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F4EBD" w14:textId="77777777" w:rsidR="00695365" w:rsidRDefault="00366511">
      <w:pPr>
        <w:pBdr>
          <w:top w:val="nil"/>
          <w:left w:val="nil"/>
          <w:bottom w:val="nil"/>
          <w:right w:val="nil"/>
          <w:between w:val="nil"/>
        </w:pBdr>
        <w:spacing w:before="240" w:line="240" w:lineRule="auto"/>
        <w:rPr>
          <w:rFonts w:ascii="Georgia" w:eastAsia="Georgia" w:hAnsi="Georgia" w:cs="Georgia"/>
          <w:sz w:val="18"/>
          <w:szCs w:val="18"/>
          <w:highlight w:val="lightGray"/>
        </w:rPr>
      </w:pPr>
      <w:bookmarkStart w:id="0" w:name="_heading=h.3znysh7" w:colFirst="0" w:colLast="0"/>
      <w:bookmarkEnd w:id="0"/>
      <w:r>
        <w:rPr>
          <w:rFonts w:ascii="Georgia" w:eastAsia="Georgia" w:hAnsi="Georgia" w:cs="Georgia"/>
          <w:sz w:val="18"/>
          <w:szCs w:val="18"/>
          <w:highlight w:val="lightGray"/>
        </w:rPr>
        <w:t>Type of the Paper: Peer-reviewed Conference Paper / Full Paper</w:t>
      </w:r>
    </w:p>
    <w:p w14:paraId="2BBC5E76" w14:textId="77777777" w:rsidR="00695365" w:rsidRDefault="00366511">
      <w:pPr>
        <w:pBdr>
          <w:top w:val="nil"/>
          <w:left w:val="nil"/>
          <w:bottom w:val="nil"/>
          <w:right w:val="nil"/>
          <w:between w:val="nil"/>
        </w:pBdr>
        <w:spacing w:before="240" w:line="240" w:lineRule="auto"/>
        <w:rPr>
          <w:rFonts w:ascii="Georgia" w:eastAsia="Georgia" w:hAnsi="Georgia" w:cs="Georgia"/>
        </w:rPr>
      </w:pPr>
      <w:r>
        <w:rPr>
          <w:rFonts w:ascii="Georgia" w:eastAsia="Georgia" w:hAnsi="Georgia" w:cs="Georgia"/>
          <w:highlight w:val="lightGray"/>
        </w:rPr>
        <w:t>Track title:</w:t>
      </w:r>
      <w:r>
        <w:rPr>
          <w:rFonts w:ascii="Georgia" w:eastAsia="Georgia" w:hAnsi="Georgia" w:cs="Georgia"/>
        </w:rPr>
        <w:t xml:space="preserve"> A Review of Post Pandemic Design of Hospitals</w:t>
      </w:r>
    </w:p>
    <w:p w14:paraId="74809860" w14:textId="77777777" w:rsidR="00695365" w:rsidRDefault="00695365">
      <w:pPr>
        <w:rPr>
          <w:rFonts w:ascii="Georgia" w:eastAsia="Georgia" w:hAnsi="Georgia" w:cs="Georgia"/>
        </w:rPr>
      </w:pPr>
    </w:p>
    <w:p w14:paraId="04628DF8" w14:textId="77777777" w:rsidR="00695365" w:rsidRDefault="00366511">
      <w:pPr>
        <w:pBdr>
          <w:top w:val="nil"/>
          <w:left w:val="nil"/>
          <w:bottom w:val="nil"/>
          <w:right w:val="nil"/>
          <w:between w:val="nil"/>
        </w:pBdr>
        <w:spacing w:after="240" w:line="240" w:lineRule="auto"/>
        <w:rPr>
          <w:rFonts w:ascii="Georgia" w:eastAsia="Georgia" w:hAnsi="Georgia" w:cs="Georgia"/>
          <w:sz w:val="36"/>
          <w:szCs w:val="36"/>
        </w:rPr>
      </w:pPr>
      <w:r>
        <w:rPr>
          <w:rFonts w:ascii="Georgia" w:eastAsia="Georgia" w:hAnsi="Georgia" w:cs="Georgia"/>
          <w:sz w:val="36"/>
          <w:szCs w:val="36"/>
        </w:rPr>
        <w:t xml:space="preserve"> A Review of the Framework for Post Pandemic Design of Hospitals</w:t>
      </w:r>
    </w:p>
    <w:p w14:paraId="53ED1692" w14:textId="77777777" w:rsidR="00695365" w:rsidRDefault="00366511">
      <w:pPr>
        <w:pBdr>
          <w:top w:val="nil"/>
          <w:left w:val="nil"/>
          <w:bottom w:val="nil"/>
          <w:right w:val="nil"/>
          <w:between w:val="nil"/>
        </w:pBdr>
        <w:spacing w:after="240" w:line="240" w:lineRule="auto"/>
        <w:rPr>
          <w:rFonts w:ascii="Georgia" w:eastAsia="Georgia" w:hAnsi="Georgia" w:cs="Georgia"/>
        </w:rPr>
      </w:pPr>
      <w:r>
        <w:rPr>
          <w:rFonts w:ascii="Georgia" w:eastAsia="Georgia" w:hAnsi="Georgia" w:cs="Georgia"/>
        </w:rPr>
        <w:t xml:space="preserve">Priya Boby </w:t>
      </w:r>
      <w:r>
        <w:rPr>
          <w:rFonts w:ascii="Georgia" w:eastAsia="Georgia" w:hAnsi="Georgia" w:cs="Georgia"/>
          <w:vertAlign w:val="superscript"/>
        </w:rPr>
        <w:t>1</w:t>
      </w:r>
      <w:r>
        <w:rPr>
          <w:rFonts w:ascii="Georgia" w:eastAsia="Georgia" w:hAnsi="Georgia" w:cs="Georgia"/>
        </w:rPr>
        <w:t xml:space="preserve">  Prabjot Sugga</w:t>
      </w:r>
      <w:r>
        <w:rPr>
          <w:rFonts w:ascii="Georgia" w:eastAsia="Georgia" w:hAnsi="Georgia" w:cs="Georgia"/>
          <w:vertAlign w:val="superscript"/>
        </w:rPr>
        <w:t>2</w:t>
      </w:r>
      <w:r>
        <w:rPr>
          <w:rFonts w:ascii="Georgia" w:eastAsia="Georgia" w:hAnsi="Georgia" w:cs="Georgia"/>
        </w:rPr>
        <w:t xml:space="preserve">  Anil Dewan</w:t>
      </w:r>
      <w:r>
        <w:rPr>
          <w:rFonts w:ascii="Georgia" w:eastAsia="Georgia" w:hAnsi="Georgia" w:cs="Georgia"/>
          <w:vertAlign w:val="superscript"/>
        </w:rPr>
        <w:t>3</w:t>
      </w:r>
    </w:p>
    <w:p w14:paraId="4987B0B6" w14:textId="77777777" w:rsidR="00695365" w:rsidRDefault="00366511">
      <w:pPr>
        <w:pBdr>
          <w:top w:val="nil"/>
          <w:left w:val="nil"/>
          <w:bottom w:val="nil"/>
          <w:right w:val="nil"/>
          <w:between w:val="nil"/>
        </w:pBdr>
        <w:spacing w:line="240" w:lineRule="auto"/>
        <w:ind w:left="2806" w:hanging="198"/>
        <w:rPr>
          <w:rFonts w:ascii="Georgia" w:eastAsia="Georgia" w:hAnsi="Georgia" w:cs="Georgia"/>
          <w:sz w:val="16"/>
          <w:szCs w:val="16"/>
        </w:rPr>
      </w:pPr>
      <w:r>
        <w:rPr>
          <w:rFonts w:ascii="Georgia" w:eastAsia="Georgia" w:hAnsi="Georgia" w:cs="Georgia"/>
          <w:sz w:val="16"/>
          <w:szCs w:val="16"/>
          <w:vertAlign w:val="superscript"/>
        </w:rPr>
        <w:t>1</w:t>
      </w:r>
      <w:r>
        <w:rPr>
          <w:rFonts w:ascii="Georgia" w:eastAsia="Georgia" w:hAnsi="Georgia" w:cs="Georgia"/>
          <w:sz w:val="16"/>
          <w:szCs w:val="16"/>
        </w:rPr>
        <w:tab/>
        <w:t>PhD scholar SPA Delhi1; priya.boby@outlook.com; 0000-0001-5158-6193</w:t>
      </w:r>
    </w:p>
    <w:p w14:paraId="75930F81" w14:textId="77777777" w:rsidR="009919BB" w:rsidRDefault="009919BB">
      <w:pPr>
        <w:pBdr>
          <w:top w:val="nil"/>
          <w:left w:val="nil"/>
          <w:bottom w:val="nil"/>
          <w:right w:val="nil"/>
          <w:between w:val="nil"/>
        </w:pBdr>
        <w:spacing w:line="240" w:lineRule="auto"/>
        <w:ind w:left="2806" w:hanging="198"/>
        <w:rPr>
          <w:rFonts w:ascii="Georgia" w:eastAsia="Georgia" w:hAnsi="Georgia" w:cs="Georgia"/>
          <w:sz w:val="16"/>
          <w:szCs w:val="16"/>
        </w:rPr>
      </w:pPr>
      <w:r w:rsidRPr="009919BB">
        <w:rPr>
          <w:rFonts w:ascii="Georgia" w:eastAsia="Georgia" w:hAnsi="Georgia" w:cs="Georgia"/>
          <w:sz w:val="16"/>
          <w:szCs w:val="16"/>
          <w:vertAlign w:val="superscript"/>
        </w:rPr>
        <w:t>2</w:t>
      </w:r>
      <w:r>
        <w:rPr>
          <w:rFonts w:ascii="Georgia" w:eastAsia="Georgia" w:hAnsi="Georgia" w:cs="Georgia"/>
          <w:sz w:val="16"/>
          <w:szCs w:val="16"/>
        </w:rPr>
        <w:t xml:space="preserve">  Associate Professor, School of Planning and Architecture, New Delhi</w:t>
      </w:r>
    </w:p>
    <w:p w14:paraId="25C6BC74" w14:textId="77777777" w:rsidR="009919BB" w:rsidRPr="009919BB" w:rsidRDefault="009919BB">
      <w:pPr>
        <w:pBdr>
          <w:top w:val="nil"/>
          <w:left w:val="nil"/>
          <w:bottom w:val="nil"/>
          <w:right w:val="nil"/>
          <w:between w:val="nil"/>
        </w:pBdr>
        <w:spacing w:line="240" w:lineRule="auto"/>
        <w:ind w:left="2806" w:hanging="198"/>
        <w:rPr>
          <w:rFonts w:ascii="Georgia" w:eastAsia="Georgia" w:hAnsi="Georgia" w:cs="Georgia"/>
          <w:sz w:val="16"/>
          <w:szCs w:val="16"/>
        </w:rPr>
      </w:pPr>
      <w:r w:rsidRPr="009919BB">
        <w:rPr>
          <w:rFonts w:ascii="Georgia" w:eastAsia="Georgia" w:hAnsi="Georgia" w:cs="Georgia"/>
          <w:sz w:val="16"/>
          <w:szCs w:val="16"/>
          <w:vertAlign w:val="superscript"/>
        </w:rPr>
        <w:t>3</w:t>
      </w:r>
      <w:r>
        <w:rPr>
          <w:rFonts w:ascii="Georgia" w:eastAsia="Georgia" w:hAnsi="Georgia" w:cs="Georgia"/>
          <w:sz w:val="16"/>
          <w:szCs w:val="16"/>
          <w:vertAlign w:val="superscript"/>
        </w:rPr>
        <w:t xml:space="preserve">  </w:t>
      </w:r>
      <w:r>
        <w:rPr>
          <w:rFonts w:ascii="Georgia" w:eastAsia="Georgia" w:hAnsi="Georgia" w:cs="Georgia"/>
          <w:sz w:val="16"/>
          <w:szCs w:val="16"/>
        </w:rPr>
        <w:t>HOD department of Architecture, School of Planning and Architecture, New Delhi</w:t>
      </w:r>
    </w:p>
    <w:p w14:paraId="543879E4" w14:textId="77777777" w:rsidR="00695365" w:rsidRDefault="00695365">
      <w:pPr>
        <w:pBdr>
          <w:top w:val="nil"/>
          <w:left w:val="nil"/>
          <w:bottom w:val="nil"/>
          <w:right w:val="nil"/>
          <w:between w:val="nil"/>
        </w:pBdr>
        <w:spacing w:line="240" w:lineRule="auto"/>
        <w:ind w:left="2806" w:hanging="198"/>
        <w:rPr>
          <w:rFonts w:ascii="Georgia" w:eastAsia="Georgia" w:hAnsi="Georgia" w:cs="Georgia"/>
          <w:sz w:val="16"/>
          <w:szCs w:val="16"/>
        </w:rPr>
      </w:pPr>
    </w:p>
    <w:p w14:paraId="15A9122C" w14:textId="77777777" w:rsidR="00695365" w:rsidRDefault="00695365">
      <w:pPr>
        <w:pBdr>
          <w:top w:val="nil"/>
          <w:left w:val="nil"/>
          <w:bottom w:val="nil"/>
          <w:right w:val="nil"/>
          <w:between w:val="nil"/>
        </w:pBdr>
        <w:spacing w:line="240" w:lineRule="auto"/>
        <w:ind w:left="2806" w:hanging="198"/>
        <w:rPr>
          <w:rFonts w:ascii="Georgia" w:eastAsia="Georgia" w:hAnsi="Georgia" w:cs="Georgia"/>
          <w:sz w:val="16"/>
          <w:szCs w:val="16"/>
        </w:rPr>
      </w:pPr>
    </w:p>
    <w:tbl>
      <w:tblPr>
        <w:tblStyle w:val="affff6"/>
        <w:tblpPr w:leftFromText="141" w:rightFromText="141" w:vertAnchor="page" w:horzAnchor="margin" w:tblpY="5921"/>
        <w:tblW w:w="241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tblGrid>
      <w:tr w:rsidR="003C1B87" w14:paraId="492351E6" w14:textId="77777777" w:rsidTr="003C1B87">
        <w:tc>
          <w:tcPr>
            <w:tcW w:w="2410" w:type="dxa"/>
            <w:shd w:val="clear" w:color="auto" w:fill="auto"/>
          </w:tcPr>
          <w:p w14:paraId="34CA43A6" w14:textId="1EAC0D72" w:rsidR="003C1B87" w:rsidRPr="008C2789" w:rsidRDefault="003C1B87" w:rsidP="0052625E">
            <w:pPr>
              <w:spacing w:line="240" w:lineRule="auto"/>
              <w:jc w:val="left"/>
              <w:rPr>
                <w:rFonts w:ascii="Georgia" w:eastAsia="Georgia" w:hAnsi="Georgia" w:cs="Georgia"/>
                <w:b/>
                <w:sz w:val="14"/>
                <w:szCs w:val="14"/>
              </w:rPr>
            </w:pPr>
            <w:r w:rsidRPr="008C2789">
              <w:rPr>
                <w:rFonts w:ascii="Georgia" w:eastAsia="Georgia" w:hAnsi="Georgia" w:cs="Georgia"/>
                <w:b/>
                <w:sz w:val="14"/>
                <w:szCs w:val="14"/>
              </w:rPr>
              <w:t xml:space="preserve">Names of the </w:t>
            </w:r>
            <w:r w:rsidR="00174C30">
              <w:rPr>
                <w:rFonts w:ascii="Georgia" w:eastAsia="Georgia" w:hAnsi="Georgia" w:cs="Georgia"/>
                <w:b/>
                <w:sz w:val="14"/>
                <w:szCs w:val="14"/>
              </w:rPr>
              <w:t xml:space="preserve">Topic </w:t>
            </w:r>
            <w:r w:rsidRPr="008C2789">
              <w:rPr>
                <w:rFonts w:ascii="Georgia" w:eastAsia="Georgia" w:hAnsi="Georgia" w:cs="Georgia"/>
                <w:b/>
                <w:sz w:val="14"/>
                <w:szCs w:val="14"/>
              </w:rPr>
              <w:t xml:space="preserve">editors: </w:t>
            </w:r>
          </w:p>
          <w:p w14:paraId="519DA42A" w14:textId="7FC30422" w:rsidR="003C1B87" w:rsidRPr="008C2789" w:rsidRDefault="006B037B" w:rsidP="0052625E">
            <w:pPr>
              <w:spacing w:line="240" w:lineRule="auto"/>
              <w:jc w:val="left"/>
              <w:rPr>
                <w:rFonts w:ascii="Georgia" w:eastAsia="Georgia" w:hAnsi="Georgia" w:cs="Georgia"/>
                <w:sz w:val="14"/>
                <w:szCs w:val="14"/>
              </w:rPr>
            </w:pPr>
            <w:r>
              <w:rPr>
                <w:rFonts w:ascii="Georgia" w:eastAsia="Georgia" w:hAnsi="Georgia" w:cs="Georgia"/>
                <w:sz w:val="14"/>
                <w:szCs w:val="14"/>
              </w:rPr>
              <w:t>Clarine van Oel</w:t>
            </w:r>
          </w:p>
          <w:p w14:paraId="27AFB3DB" w14:textId="77777777" w:rsidR="003C1B87" w:rsidRPr="008C2789" w:rsidRDefault="003C1B87" w:rsidP="0052625E">
            <w:pPr>
              <w:spacing w:line="240" w:lineRule="auto"/>
              <w:jc w:val="left"/>
              <w:rPr>
                <w:rFonts w:ascii="Georgia" w:eastAsia="Georgia" w:hAnsi="Georgia" w:cs="Georgia"/>
                <w:b/>
                <w:sz w:val="14"/>
                <w:szCs w:val="14"/>
              </w:rPr>
            </w:pPr>
            <w:r w:rsidRPr="008C2789">
              <w:rPr>
                <w:rFonts w:ascii="Georgia" w:eastAsia="Georgia" w:hAnsi="Georgia" w:cs="Georgia"/>
                <w:b/>
                <w:sz w:val="14"/>
                <w:szCs w:val="14"/>
              </w:rPr>
              <w:t xml:space="preserve">Names of the reviewers: </w:t>
            </w:r>
          </w:p>
          <w:p w14:paraId="6490C9C4" w14:textId="22C1E8CE" w:rsidR="006B037B" w:rsidRPr="006B037B" w:rsidRDefault="006B037B" w:rsidP="0052625E">
            <w:pPr>
              <w:spacing w:line="240" w:lineRule="auto"/>
              <w:jc w:val="left"/>
              <w:rPr>
                <w:rFonts w:ascii="Georgia" w:eastAsia="Georgia" w:hAnsi="Georgia" w:cs="Georgia"/>
                <w:bCs/>
                <w:sz w:val="14"/>
                <w:szCs w:val="14"/>
              </w:rPr>
            </w:pPr>
            <w:r w:rsidRPr="006B037B">
              <w:rPr>
                <w:rFonts w:ascii="Georgia" w:eastAsia="Georgia" w:hAnsi="Georgia" w:cs="Georgia"/>
                <w:bCs/>
                <w:sz w:val="14"/>
                <w:szCs w:val="14"/>
              </w:rPr>
              <w:t>Grant Mills</w:t>
            </w:r>
          </w:p>
          <w:p w14:paraId="39F472E5" w14:textId="778280B6" w:rsidR="003C1B87" w:rsidRDefault="003C1B87" w:rsidP="0052625E">
            <w:pPr>
              <w:spacing w:line="240" w:lineRule="auto"/>
              <w:jc w:val="left"/>
              <w:rPr>
                <w:rFonts w:ascii="Georgia" w:eastAsia="Georgia" w:hAnsi="Georgia" w:cs="Georgia"/>
                <w:sz w:val="14"/>
                <w:szCs w:val="14"/>
              </w:rPr>
            </w:pPr>
            <w:r w:rsidRPr="008C2789">
              <w:rPr>
                <w:rFonts w:ascii="Georgia" w:eastAsia="Georgia" w:hAnsi="Georgia" w:cs="Georgia"/>
                <w:b/>
                <w:sz w:val="14"/>
                <w:szCs w:val="14"/>
              </w:rPr>
              <w:t>Journal:</w:t>
            </w:r>
            <w:r w:rsidRPr="008C2789">
              <w:rPr>
                <w:rFonts w:ascii="Georgia" w:eastAsia="Georgia" w:hAnsi="Georgia" w:cs="Georgia"/>
                <w:sz w:val="14"/>
                <w:szCs w:val="14"/>
              </w:rPr>
              <w:t xml:space="preserve"> The Evolving Scholar </w:t>
            </w:r>
          </w:p>
          <w:p w14:paraId="71E89747" w14:textId="77777777" w:rsidR="003C1B87" w:rsidRPr="008C2789" w:rsidRDefault="003C1B87" w:rsidP="0052625E">
            <w:pPr>
              <w:spacing w:line="240" w:lineRule="auto"/>
              <w:jc w:val="left"/>
              <w:rPr>
                <w:rFonts w:ascii="Georgia" w:eastAsia="Georgia" w:hAnsi="Georgia" w:cs="Georgia"/>
                <w:sz w:val="14"/>
                <w:szCs w:val="14"/>
              </w:rPr>
            </w:pPr>
          </w:p>
          <w:p w14:paraId="030061B4" w14:textId="77777777" w:rsidR="003C1B87" w:rsidRPr="008C2789" w:rsidRDefault="003C1B87" w:rsidP="0052625E">
            <w:pPr>
              <w:pBdr>
                <w:top w:val="nil"/>
                <w:left w:val="nil"/>
                <w:bottom w:val="nil"/>
                <w:right w:val="nil"/>
                <w:between w:val="nil"/>
              </w:pBdr>
              <w:spacing w:line="240" w:lineRule="auto"/>
              <w:ind w:right="113"/>
              <w:jc w:val="left"/>
              <w:rPr>
                <w:rFonts w:ascii="Georgia" w:eastAsia="Georgia" w:hAnsi="Georgia" w:cs="Georgia"/>
                <w:sz w:val="14"/>
                <w:szCs w:val="14"/>
              </w:rPr>
            </w:pPr>
            <w:r w:rsidRPr="008C2789">
              <w:rPr>
                <w:rFonts w:ascii="Georgia" w:eastAsia="Georgia" w:hAnsi="Georgia" w:cs="Georgia"/>
                <w:b/>
                <w:sz w:val="14"/>
                <w:szCs w:val="14"/>
              </w:rPr>
              <w:t>DOI:</w:t>
            </w:r>
            <w:r w:rsidRPr="008C2789">
              <w:rPr>
                <w:rFonts w:ascii="Georgia" w:eastAsia="Georgia" w:hAnsi="Georgia" w:cs="Georgia"/>
                <w:sz w:val="14"/>
                <w:szCs w:val="14"/>
              </w:rPr>
              <w:t xml:space="preserve">10.24404/620f68305d583d481a24ddbf </w:t>
            </w:r>
          </w:p>
          <w:p w14:paraId="40B0E0E0" w14:textId="77777777" w:rsidR="003C1B87" w:rsidRPr="008C2789" w:rsidRDefault="003C1B87" w:rsidP="0052625E">
            <w:pPr>
              <w:pBdr>
                <w:top w:val="nil"/>
                <w:left w:val="nil"/>
                <w:bottom w:val="nil"/>
                <w:right w:val="nil"/>
                <w:between w:val="nil"/>
              </w:pBdr>
              <w:spacing w:line="240" w:lineRule="auto"/>
              <w:ind w:right="113"/>
              <w:jc w:val="left"/>
              <w:rPr>
                <w:rFonts w:ascii="Georgia" w:eastAsia="Georgia" w:hAnsi="Georgia" w:cs="Georgia"/>
                <w:sz w:val="14"/>
                <w:szCs w:val="14"/>
              </w:rPr>
            </w:pPr>
          </w:p>
          <w:p w14:paraId="5CAFCAD7" w14:textId="7C501E4A" w:rsidR="003C1B87" w:rsidRDefault="003C1B87" w:rsidP="0052625E">
            <w:pPr>
              <w:pBdr>
                <w:top w:val="nil"/>
                <w:left w:val="nil"/>
                <w:bottom w:val="nil"/>
                <w:right w:val="nil"/>
                <w:between w:val="nil"/>
              </w:pBdr>
              <w:spacing w:line="240" w:lineRule="auto"/>
              <w:ind w:right="113"/>
              <w:jc w:val="left"/>
              <w:rPr>
                <w:rFonts w:ascii="Georgia" w:eastAsia="Georgia" w:hAnsi="Georgia" w:cs="Georgia"/>
                <w:sz w:val="14"/>
                <w:szCs w:val="14"/>
              </w:rPr>
            </w:pPr>
            <w:r w:rsidRPr="008C2789">
              <w:rPr>
                <w:rFonts w:ascii="Georgia" w:eastAsia="Georgia" w:hAnsi="Georgia" w:cs="Georgia"/>
                <w:b/>
                <w:sz w:val="14"/>
                <w:szCs w:val="14"/>
              </w:rPr>
              <w:t>Submitted:</w:t>
            </w:r>
            <w:r w:rsidRPr="008C2789">
              <w:rPr>
                <w:rFonts w:ascii="Georgia" w:eastAsia="Georgia" w:hAnsi="Georgia" w:cs="Georgia"/>
                <w:sz w:val="14"/>
                <w:szCs w:val="14"/>
              </w:rPr>
              <w:t xml:space="preserve"> 15</w:t>
            </w:r>
            <w:r w:rsidR="00236CE4">
              <w:rPr>
                <w:rFonts w:ascii="Georgia" w:eastAsia="Georgia" w:hAnsi="Georgia" w:cs="Georgia"/>
                <w:sz w:val="14"/>
                <w:szCs w:val="14"/>
              </w:rPr>
              <w:t>-07-</w:t>
            </w:r>
            <w:r w:rsidRPr="008C2789">
              <w:rPr>
                <w:rFonts w:ascii="Georgia" w:eastAsia="Georgia" w:hAnsi="Georgia" w:cs="Georgia"/>
                <w:sz w:val="14"/>
                <w:szCs w:val="14"/>
              </w:rPr>
              <w:t>2022</w:t>
            </w:r>
          </w:p>
          <w:p w14:paraId="71FE1CE6" w14:textId="61B959AE" w:rsidR="003C1B87" w:rsidRPr="00236CE4" w:rsidRDefault="003C1B87" w:rsidP="0052625E">
            <w:pPr>
              <w:pBdr>
                <w:top w:val="nil"/>
                <w:left w:val="nil"/>
                <w:bottom w:val="nil"/>
                <w:right w:val="nil"/>
                <w:between w:val="nil"/>
              </w:pBdr>
              <w:spacing w:line="240" w:lineRule="auto"/>
              <w:ind w:right="113"/>
              <w:jc w:val="left"/>
              <w:rPr>
                <w:rFonts w:ascii="Georgia" w:eastAsia="Georgia" w:hAnsi="Georgia" w:cs="Georgia"/>
                <w:b/>
                <w:bCs/>
                <w:sz w:val="14"/>
                <w:szCs w:val="14"/>
              </w:rPr>
            </w:pPr>
            <w:r w:rsidRPr="008C2789">
              <w:rPr>
                <w:rFonts w:ascii="Georgia" w:eastAsia="Georgia" w:hAnsi="Georgia" w:cs="Georgia"/>
                <w:b/>
                <w:sz w:val="14"/>
                <w:szCs w:val="14"/>
              </w:rPr>
              <w:t>Accepted:</w:t>
            </w:r>
            <w:r w:rsidRPr="008C2789">
              <w:rPr>
                <w:rFonts w:ascii="Georgia" w:eastAsia="Georgia" w:hAnsi="Georgia" w:cs="Georgia"/>
                <w:sz w:val="14"/>
                <w:szCs w:val="14"/>
              </w:rPr>
              <w:t xml:space="preserve"> </w:t>
            </w:r>
            <w:r w:rsidR="00236CE4" w:rsidRPr="000837CF">
              <w:rPr>
                <w:rFonts w:ascii="Georgia" w:eastAsia="Georgia" w:hAnsi="Georgia" w:cs="Georgia"/>
                <w:sz w:val="14"/>
                <w:szCs w:val="14"/>
              </w:rPr>
              <w:t>22-08-2022</w:t>
            </w:r>
          </w:p>
          <w:p w14:paraId="3CA79718" w14:textId="06D42238" w:rsidR="003C1B87" w:rsidRPr="008C2789" w:rsidRDefault="003C1B87" w:rsidP="0052625E">
            <w:pPr>
              <w:pBdr>
                <w:top w:val="nil"/>
                <w:left w:val="nil"/>
                <w:bottom w:val="nil"/>
                <w:right w:val="nil"/>
                <w:between w:val="nil"/>
              </w:pBdr>
              <w:spacing w:after="240" w:line="240" w:lineRule="auto"/>
              <w:ind w:right="113"/>
              <w:jc w:val="left"/>
              <w:rPr>
                <w:rFonts w:ascii="Georgia" w:eastAsia="Georgia" w:hAnsi="Georgia" w:cs="Georgia"/>
                <w:sz w:val="14"/>
                <w:szCs w:val="14"/>
              </w:rPr>
            </w:pPr>
            <w:r w:rsidRPr="008C2789">
              <w:rPr>
                <w:rFonts w:ascii="Georgia" w:eastAsia="Georgia" w:hAnsi="Georgia" w:cs="Georgia"/>
                <w:b/>
                <w:sz w:val="14"/>
                <w:szCs w:val="14"/>
              </w:rPr>
              <w:t>Published:</w:t>
            </w:r>
            <w:r w:rsidRPr="008C2789">
              <w:rPr>
                <w:rFonts w:ascii="Georgia" w:eastAsia="Georgia" w:hAnsi="Georgia" w:cs="Georgia"/>
                <w:sz w:val="14"/>
                <w:szCs w:val="14"/>
              </w:rPr>
              <w:t xml:space="preserve"> </w:t>
            </w:r>
            <w:r w:rsidR="000837CF">
              <w:rPr>
                <w:rFonts w:ascii="Georgia" w:eastAsia="Georgia" w:hAnsi="Georgia" w:cs="Georgia"/>
                <w:sz w:val="14"/>
                <w:szCs w:val="14"/>
              </w:rPr>
              <w:t>28-07-2023</w:t>
            </w:r>
          </w:p>
          <w:p w14:paraId="045C5129" w14:textId="6DE08054" w:rsidR="003C1B87" w:rsidRPr="008C2789" w:rsidRDefault="003C1B87" w:rsidP="0052625E">
            <w:pPr>
              <w:pBdr>
                <w:top w:val="nil"/>
                <w:left w:val="nil"/>
                <w:bottom w:val="nil"/>
                <w:right w:val="nil"/>
                <w:between w:val="nil"/>
              </w:pBdr>
              <w:spacing w:line="240" w:lineRule="auto"/>
              <w:jc w:val="left"/>
              <w:rPr>
                <w:rFonts w:ascii="Georgia" w:eastAsia="Georgia" w:hAnsi="Georgia" w:cs="Georgia"/>
                <w:sz w:val="14"/>
                <w:szCs w:val="14"/>
              </w:rPr>
            </w:pPr>
            <w:r w:rsidRPr="008C2789">
              <w:rPr>
                <w:rFonts w:ascii="Georgia" w:eastAsia="Georgia" w:hAnsi="Georgia" w:cs="Georgia"/>
                <w:b/>
                <w:sz w:val="14"/>
                <w:szCs w:val="14"/>
              </w:rPr>
              <w:t>Citation:</w:t>
            </w:r>
            <w:r>
              <w:rPr>
                <w:rFonts w:ascii="Georgia" w:eastAsia="Georgia" w:hAnsi="Georgia" w:cs="Georgia"/>
                <w:b/>
                <w:sz w:val="14"/>
                <w:szCs w:val="14"/>
              </w:rPr>
              <w:t xml:space="preserve"> </w:t>
            </w:r>
            <w:r>
              <w:rPr>
                <w:rFonts w:ascii="Georgia" w:eastAsia="Georgia" w:hAnsi="Georgia" w:cs="Georgia"/>
                <w:sz w:val="14"/>
                <w:szCs w:val="14"/>
              </w:rPr>
              <w:t>Boby, P., Dewan, A</w:t>
            </w:r>
            <w:r w:rsidRPr="008C2789">
              <w:rPr>
                <w:rFonts w:ascii="Georgia" w:eastAsia="Georgia" w:hAnsi="Georgia" w:cs="Georgia"/>
                <w:sz w:val="14"/>
                <w:szCs w:val="14"/>
              </w:rPr>
              <w:t>. &amp; Sugga, P. (2022). A review of post pandemic healthcare design. The Evolving Scholar | ARCH22.</w:t>
            </w:r>
          </w:p>
          <w:p w14:paraId="64A23269" w14:textId="77777777" w:rsidR="003C1B87" w:rsidRPr="008C2789" w:rsidRDefault="003C1B87" w:rsidP="0052625E">
            <w:pPr>
              <w:pBdr>
                <w:top w:val="nil"/>
                <w:left w:val="nil"/>
                <w:bottom w:val="nil"/>
                <w:right w:val="nil"/>
                <w:between w:val="nil"/>
              </w:pBdr>
              <w:spacing w:line="240" w:lineRule="auto"/>
              <w:jc w:val="left"/>
              <w:rPr>
                <w:rFonts w:ascii="Georgia" w:eastAsia="Georgia" w:hAnsi="Georgia" w:cs="Georgia"/>
                <w:sz w:val="14"/>
                <w:szCs w:val="14"/>
              </w:rPr>
            </w:pPr>
          </w:p>
          <w:p w14:paraId="3D74DFE7" w14:textId="77777777" w:rsidR="003C1B87" w:rsidRPr="008C2789" w:rsidRDefault="003C1B87" w:rsidP="0052625E">
            <w:pPr>
              <w:pBdr>
                <w:top w:val="nil"/>
                <w:left w:val="nil"/>
                <w:bottom w:val="nil"/>
                <w:right w:val="nil"/>
                <w:between w:val="nil"/>
              </w:pBdr>
              <w:spacing w:line="240" w:lineRule="auto"/>
              <w:jc w:val="left"/>
              <w:rPr>
                <w:rFonts w:ascii="Georgia" w:eastAsia="Georgia" w:hAnsi="Georgia" w:cs="Georgia"/>
                <w:sz w:val="14"/>
                <w:szCs w:val="14"/>
              </w:rPr>
            </w:pPr>
            <w:r w:rsidRPr="008C2789">
              <w:rPr>
                <w:rFonts w:ascii="Georgia" w:eastAsia="Georgia" w:hAnsi="Georgia" w:cs="Georgia"/>
                <w:sz w:val="14"/>
                <w:szCs w:val="14"/>
              </w:rPr>
              <w:t xml:space="preserve">This work is licensed under a Creative </w:t>
            </w:r>
            <w:r>
              <w:rPr>
                <w:rFonts w:ascii="Georgia" w:eastAsia="Georgia" w:hAnsi="Georgia" w:cs="Georgia"/>
                <w:sz w:val="14"/>
                <w:szCs w:val="14"/>
              </w:rPr>
              <w:t>Commons Attribution BY (CC BY</w:t>
            </w:r>
            <w:r w:rsidRPr="008C2789">
              <w:rPr>
                <w:rFonts w:ascii="Georgia" w:eastAsia="Georgia" w:hAnsi="Georgia" w:cs="Georgia"/>
                <w:sz w:val="14"/>
                <w:szCs w:val="14"/>
              </w:rPr>
              <w:t>) license. </w:t>
            </w:r>
            <w:r>
              <w:rPr>
                <w:rFonts w:ascii="Georgia" w:eastAsia="Georgia" w:hAnsi="Georgia" w:cs="Georgia"/>
                <w:sz w:val="14"/>
                <w:szCs w:val="14"/>
              </w:rPr>
              <w:br/>
            </w:r>
          </w:p>
          <w:p w14:paraId="47BE8120" w14:textId="77777777" w:rsidR="003C1B87" w:rsidRDefault="003C1B87" w:rsidP="0052625E">
            <w:pPr>
              <w:pBdr>
                <w:top w:val="nil"/>
                <w:left w:val="nil"/>
                <w:bottom w:val="nil"/>
                <w:right w:val="nil"/>
                <w:between w:val="nil"/>
              </w:pBdr>
              <w:spacing w:line="240" w:lineRule="auto"/>
              <w:jc w:val="left"/>
              <w:rPr>
                <w:rFonts w:ascii="Georgia" w:eastAsia="Georgia" w:hAnsi="Georgia" w:cs="Georgia"/>
                <w:sz w:val="14"/>
                <w:szCs w:val="14"/>
              </w:rPr>
            </w:pPr>
            <w:r>
              <w:rPr>
                <w:rFonts w:ascii="Georgia" w:eastAsia="Georgia" w:hAnsi="Georgia" w:cs="Georgia"/>
                <w:sz w:val="14"/>
                <w:szCs w:val="14"/>
              </w:rPr>
              <w:t>© 2022 [Boby, P., Dewan, A</w:t>
            </w:r>
            <w:r w:rsidRPr="008C2789">
              <w:rPr>
                <w:rFonts w:ascii="Georgia" w:eastAsia="Georgia" w:hAnsi="Georgia" w:cs="Georgia"/>
                <w:sz w:val="14"/>
                <w:szCs w:val="14"/>
              </w:rPr>
              <w:t>. &amp; Sugga, P.] published by TU Delft OPEN on behalf of the authors</w:t>
            </w:r>
            <w:r>
              <w:rPr>
                <w:rFonts w:ascii="Georgia" w:eastAsia="Georgia" w:hAnsi="Georgia" w:cs="Georgia"/>
                <w:sz w:val="14"/>
                <w:szCs w:val="14"/>
              </w:rPr>
              <w:t>.</w:t>
            </w:r>
          </w:p>
          <w:p w14:paraId="726C8B27" w14:textId="77777777" w:rsidR="003C1B87" w:rsidRDefault="003C1B87" w:rsidP="003C1B87">
            <w:pPr>
              <w:spacing w:before="60"/>
              <w:ind w:right="113"/>
              <w:rPr>
                <w:rFonts w:ascii="Georgia" w:eastAsia="Georgia" w:hAnsi="Georgia" w:cs="Georgia"/>
                <w:sz w:val="14"/>
                <w:szCs w:val="14"/>
              </w:rPr>
            </w:pPr>
          </w:p>
        </w:tc>
      </w:tr>
    </w:tbl>
    <w:p w14:paraId="0B401686" w14:textId="2CBC8E68" w:rsidR="00695365" w:rsidRDefault="00366511">
      <w:pPr>
        <w:pBdr>
          <w:top w:val="nil"/>
          <w:left w:val="nil"/>
          <w:bottom w:val="nil"/>
          <w:right w:val="nil"/>
          <w:between w:val="nil"/>
        </w:pBdr>
        <w:spacing w:before="240" w:line="240" w:lineRule="auto"/>
        <w:ind w:left="2608"/>
        <w:rPr>
          <w:rFonts w:ascii="Georgia" w:eastAsia="Georgia" w:hAnsi="Georgia" w:cs="Georgia"/>
          <w:sz w:val="18"/>
          <w:szCs w:val="18"/>
        </w:rPr>
      </w:pPr>
      <w:r>
        <w:rPr>
          <w:rFonts w:ascii="Georgia" w:eastAsia="Georgia" w:hAnsi="Georgia" w:cs="Georgia"/>
          <w:b/>
          <w:sz w:val="18"/>
          <w:szCs w:val="18"/>
        </w:rPr>
        <w:t>Abstract:</w:t>
      </w:r>
      <w:r>
        <w:rPr>
          <w:rFonts w:ascii="Georgia" w:eastAsia="Georgia" w:hAnsi="Georgia" w:cs="Georgia"/>
          <w:sz w:val="18"/>
          <w:szCs w:val="18"/>
        </w:rPr>
        <w:t xml:space="preserve"> </w:t>
      </w:r>
      <w:r w:rsidR="00894F9F">
        <w:rPr>
          <w:rFonts w:ascii="Georgia" w:eastAsia="Georgia" w:hAnsi="Georgia" w:cs="Georgia"/>
          <w:sz w:val="18"/>
          <w:szCs w:val="18"/>
        </w:rPr>
        <w:t>The COVID-19</w:t>
      </w:r>
      <w:r w:rsidR="0030637C">
        <w:rPr>
          <w:rFonts w:ascii="Georgia" w:eastAsia="Georgia" w:hAnsi="Georgia" w:cs="Georgia"/>
          <w:sz w:val="18"/>
          <w:szCs w:val="18"/>
        </w:rPr>
        <w:t xml:space="preserve"> </w:t>
      </w:r>
      <w:r w:rsidR="00E25AD2">
        <w:rPr>
          <w:rFonts w:ascii="Georgia" w:eastAsia="Georgia" w:hAnsi="Georgia" w:cs="Georgia"/>
          <w:sz w:val="18"/>
          <w:szCs w:val="18"/>
        </w:rPr>
        <w:t xml:space="preserve">virus outbreak called </w:t>
      </w:r>
      <w:r w:rsidR="00817C99">
        <w:rPr>
          <w:rFonts w:ascii="Georgia" w:eastAsia="Georgia" w:hAnsi="Georgia" w:cs="Georgia"/>
          <w:sz w:val="18"/>
          <w:szCs w:val="18"/>
        </w:rPr>
        <w:t xml:space="preserve">for the redesign of </w:t>
      </w:r>
      <w:r w:rsidR="009F264F">
        <w:rPr>
          <w:rFonts w:ascii="Georgia" w:eastAsia="Georgia" w:hAnsi="Georgia" w:cs="Georgia"/>
          <w:sz w:val="18"/>
          <w:szCs w:val="18"/>
        </w:rPr>
        <w:t>h</w:t>
      </w:r>
      <w:r w:rsidR="00E25AD2">
        <w:rPr>
          <w:rFonts w:ascii="Georgia" w:eastAsia="Georgia" w:hAnsi="Georgia" w:cs="Georgia"/>
          <w:sz w:val="18"/>
          <w:szCs w:val="18"/>
        </w:rPr>
        <w:t>ospital infrastructure to be re</w:t>
      </w:r>
      <w:r w:rsidR="00817C99">
        <w:rPr>
          <w:rFonts w:ascii="Georgia" w:eastAsia="Georgia" w:hAnsi="Georgia" w:cs="Georgia"/>
          <w:sz w:val="18"/>
          <w:szCs w:val="18"/>
        </w:rPr>
        <w:t>silient</w:t>
      </w:r>
      <w:r w:rsidR="00E25AD2">
        <w:rPr>
          <w:rFonts w:ascii="Georgia" w:eastAsia="Georgia" w:hAnsi="Georgia" w:cs="Georgia"/>
          <w:sz w:val="18"/>
          <w:szCs w:val="18"/>
        </w:rPr>
        <w:t xml:space="preserve"> </w:t>
      </w:r>
      <w:r w:rsidR="0030637C">
        <w:rPr>
          <w:rFonts w:ascii="Georgia" w:eastAsia="Georgia" w:hAnsi="Georgia" w:cs="Georgia"/>
          <w:sz w:val="18"/>
          <w:szCs w:val="18"/>
        </w:rPr>
        <w:t>for possible future outbreaks</w:t>
      </w:r>
      <w:r w:rsidR="00E25AD2">
        <w:rPr>
          <w:rFonts w:ascii="Georgia" w:eastAsia="Georgia" w:hAnsi="Georgia" w:cs="Georgia"/>
          <w:sz w:val="18"/>
          <w:szCs w:val="18"/>
        </w:rPr>
        <w:t>.</w:t>
      </w:r>
      <w:r>
        <w:rPr>
          <w:rFonts w:ascii="Georgia" w:eastAsia="Georgia" w:hAnsi="Georgia" w:cs="Georgia"/>
          <w:sz w:val="18"/>
          <w:szCs w:val="18"/>
        </w:rPr>
        <w:t xml:space="preserve"> </w:t>
      </w:r>
      <w:r w:rsidR="0030637C">
        <w:rPr>
          <w:rFonts w:ascii="Georgia" w:eastAsia="Georgia" w:hAnsi="Georgia" w:cs="Georgia"/>
          <w:sz w:val="18"/>
          <w:szCs w:val="18"/>
        </w:rPr>
        <w:t>B</w:t>
      </w:r>
      <w:r>
        <w:rPr>
          <w:rFonts w:ascii="Georgia" w:eastAsia="Georgia" w:hAnsi="Georgia" w:cs="Georgia"/>
          <w:sz w:val="18"/>
          <w:szCs w:val="18"/>
        </w:rPr>
        <w:t>efore the pandemic</w:t>
      </w:r>
      <w:r w:rsidR="00172F14">
        <w:rPr>
          <w:rFonts w:ascii="Georgia" w:eastAsia="Georgia" w:hAnsi="Georgia" w:cs="Georgia"/>
          <w:sz w:val="18"/>
          <w:szCs w:val="18"/>
        </w:rPr>
        <w:t>,</w:t>
      </w:r>
      <w:r>
        <w:rPr>
          <w:rFonts w:ascii="Georgia" w:eastAsia="Georgia" w:hAnsi="Georgia" w:cs="Georgia"/>
          <w:sz w:val="18"/>
          <w:szCs w:val="18"/>
        </w:rPr>
        <w:t xml:space="preserve"> there was a causal link between the design of hospitals and the spread of nosocomial infections. Also, previous studies have revealed </w:t>
      </w:r>
      <w:r w:rsidR="0090129E">
        <w:rPr>
          <w:rFonts w:ascii="Georgia" w:eastAsia="Georgia" w:hAnsi="Georgia" w:cs="Georgia"/>
          <w:sz w:val="18"/>
          <w:szCs w:val="18"/>
        </w:rPr>
        <w:t xml:space="preserve">associations </w:t>
      </w:r>
      <w:r>
        <w:rPr>
          <w:rFonts w:ascii="Georgia" w:eastAsia="Georgia" w:hAnsi="Georgia" w:cs="Georgia"/>
          <w:sz w:val="18"/>
          <w:szCs w:val="18"/>
        </w:rPr>
        <w:t>between climate change and the increased rate of the spread of infectious diseases. Hence, this review created a framework of strategies for pandemic</w:t>
      </w:r>
      <w:r w:rsidR="00172F14">
        <w:rPr>
          <w:rFonts w:ascii="Georgia" w:eastAsia="Georgia" w:hAnsi="Georgia" w:cs="Georgia"/>
          <w:sz w:val="18"/>
          <w:szCs w:val="18"/>
        </w:rPr>
        <w:t>-</w:t>
      </w:r>
      <w:r>
        <w:rPr>
          <w:rFonts w:ascii="Georgia" w:eastAsia="Georgia" w:hAnsi="Georgia" w:cs="Georgia"/>
          <w:sz w:val="18"/>
          <w:szCs w:val="18"/>
        </w:rPr>
        <w:t xml:space="preserve">resilient and sustainable hospitals while </w:t>
      </w:r>
      <w:r w:rsidR="00385904">
        <w:rPr>
          <w:rFonts w:ascii="Georgia" w:eastAsia="Georgia" w:hAnsi="Georgia" w:cs="Georgia"/>
          <w:sz w:val="18"/>
          <w:szCs w:val="18"/>
        </w:rPr>
        <w:t>emphasizing</w:t>
      </w:r>
      <w:r>
        <w:rPr>
          <w:rFonts w:ascii="Georgia" w:eastAsia="Georgia" w:hAnsi="Georgia" w:cs="Georgia"/>
          <w:sz w:val="18"/>
          <w:szCs w:val="18"/>
        </w:rPr>
        <w:t xml:space="preserve"> the role of architects in health promotion.  The study conducted a qualitative content analysis of existing studies on the design of healthcare facilities post pandemic to build the framework of strategies. The research was organised into </w:t>
      </w:r>
      <w:r w:rsidR="0090129E">
        <w:rPr>
          <w:rFonts w:ascii="Georgia" w:eastAsia="Georgia" w:hAnsi="Georgia" w:cs="Georgia"/>
          <w:sz w:val="18"/>
          <w:szCs w:val="18"/>
        </w:rPr>
        <w:t>short, medium and long-term</w:t>
      </w:r>
      <w:r>
        <w:rPr>
          <w:rFonts w:ascii="Georgia" w:eastAsia="Georgia" w:hAnsi="Georgia" w:cs="Georgia"/>
          <w:sz w:val="18"/>
          <w:szCs w:val="18"/>
        </w:rPr>
        <w:t xml:space="preserve"> measures for pandemic resilien</w:t>
      </w:r>
      <w:r w:rsidR="0090129E">
        <w:rPr>
          <w:rFonts w:ascii="Georgia" w:eastAsia="Georgia" w:hAnsi="Georgia" w:cs="Georgia"/>
          <w:sz w:val="18"/>
          <w:szCs w:val="18"/>
        </w:rPr>
        <w:t>ce</w:t>
      </w:r>
      <w:r>
        <w:rPr>
          <w:rFonts w:ascii="Georgia" w:eastAsia="Georgia" w:hAnsi="Georgia" w:cs="Georgia"/>
          <w:sz w:val="18"/>
          <w:szCs w:val="18"/>
        </w:rPr>
        <w:t>. The study has demonstrated that the framework for the space planning, ventilation</w:t>
      </w:r>
      <w:r w:rsidR="0090129E">
        <w:rPr>
          <w:rFonts w:ascii="Georgia" w:eastAsia="Georgia" w:hAnsi="Georgia" w:cs="Georgia"/>
          <w:sz w:val="18"/>
          <w:szCs w:val="18"/>
        </w:rPr>
        <w:t>,</w:t>
      </w:r>
      <w:r>
        <w:rPr>
          <w:rFonts w:ascii="Georgia" w:eastAsia="Georgia" w:hAnsi="Georgia" w:cs="Georgia"/>
          <w:sz w:val="18"/>
          <w:szCs w:val="18"/>
        </w:rPr>
        <w:t xml:space="preserve"> and material specification of hospitals must be revised for pandemic</w:t>
      </w:r>
      <w:r w:rsidR="0090129E">
        <w:rPr>
          <w:rFonts w:ascii="Georgia" w:eastAsia="Georgia" w:hAnsi="Georgia" w:cs="Georgia"/>
          <w:sz w:val="18"/>
          <w:szCs w:val="18"/>
        </w:rPr>
        <w:t>-</w:t>
      </w:r>
      <w:r>
        <w:rPr>
          <w:rFonts w:ascii="Georgia" w:eastAsia="Georgia" w:hAnsi="Georgia" w:cs="Georgia"/>
          <w:sz w:val="18"/>
          <w:szCs w:val="18"/>
        </w:rPr>
        <w:t xml:space="preserve">resilient hospitals. The findings reveal that most of the design strategies that can control the spread of infection in a healthcare facility could also be a panacea for decreasing the carbon footprint of hospitals. Nonetheless, the paper has established the need for further interdisciplinary study on design strategies for impending pandemics </w:t>
      </w:r>
      <w:r w:rsidR="0090129E">
        <w:rPr>
          <w:rFonts w:ascii="Georgia" w:eastAsia="Georgia" w:hAnsi="Georgia" w:cs="Georgia"/>
          <w:sz w:val="18"/>
          <w:szCs w:val="18"/>
        </w:rPr>
        <w:t xml:space="preserve">that are </w:t>
      </w:r>
      <w:r>
        <w:rPr>
          <w:rFonts w:ascii="Georgia" w:eastAsia="Georgia" w:hAnsi="Georgia" w:cs="Georgia"/>
          <w:sz w:val="18"/>
          <w:szCs w:val="18"/>
        </w:rPr>
        <w:t>applicable to all building typologies.</w:t>
      </w:r>
    </w:p>
    <w:p w14:paraId="34ACCCFA" w14:textId="77777777" w:rsidR="00695365" w:rsidRDefault="00366511">
      <w:pPr>
        <w:pBdr>
          <w:top w:val="nil"/>
          <w:left w:val="nil"/>
          <w:bottom w:val="nil"/>
          <w:right w:val="nil"/>
          <w:between w:val="nil"/>
        </w:pBdr>
        <w:spacing w:before="240" w:line="240" w:lineRule="auto"/>
        <w:ind w:left="2608"/>
        <w:rPr>
          <w:rFonts w:ascii="Georgia" w:eastAsia="Georgia" w:hAnsi="Georgia" w:cs="Georgia"/>
          <w:sz w:val="18"/>
          <w:szCs w:val="18"/>
        </w:rPr>
      </w:pPr>
      <w:r>
        <w:rPr>
          <w:rFonts w:ascii="Georgia" w:eastAsia="Georgia" w:hAnsi="Georgia" w:cs="Georgia"/>
          <w:b/>
          <w:sz w:val="18"/>
          <w:szCs w:val="18"/>
        </w:rPr>
        <w:t>Keywords:</w:t>
      </w:r>
      <w:r>
        <w:rPr>
          <w:rFonts w:ascii="Georgia" w:eastAsia="Georgia" w:hAnsi="Georgia" w:cs="Georgia"/>
          <w:sz w:val="18"/>
          <w:szCs w:val="18"/>
        </w:rPr>
        <w:t xml:space="preserve"> Covid-19 virus, pandemic resilient hospital, health promotion, healthcare facilities post pandemics, future pandemics</w:t>
      </w:r>
    </w:p>
    <w:p w14:paraId="6440526F" w14:textId="77777777" w:rsidR="00695365" w:rsidRDefault="00366511">
      <w:pPr>
        <w:pBdr>
          <w:top w:val="nil"/>
          <w:left w:val="nil"/>
          <w:bottom w:val="nil"/>
          <w:right w:val="nil"/>
          <w:between w:val="nil"/>
        </w:pBdr>
        <w:spacing w:before="240" w:line="240" w:lineRule="auto"/>
        <w:ind w:left="2608"/>
        <w:rPr>
          <w:rFonts w:ascii="Georgia" w:eastAsia="Georgia" w:hAnsi="Georgia" w:cs="Georgia"/>
          <w:b/>
        </w:rPr>
      </w:pPr>
      <w:r>
        <w:rPr>
          <w:noProof/>
          <w:lang w:val="en-IN" w:eastAsia="en-IN"/>
        </w:rPr>
        <mc:AlternateContent>
          <mc:Choice Requires="wps">
            <w:drawing>
              <wp:anchor distT="0" distB="0" distL="114300" distR="114300" simplePos="0" relativeHeight="251658240" behindDoc="0" locked="0" layoutInCell="1" hidden="0" allowOverlap="1" wp14:anchorId="0F451854" wp14:editId="68C2F840">
                <wp:simplePos x="0" y="0"/>
                <wp:positionH relativeFrom="column">
                  <wp:posOffset>1600200</wp:posOffset>
                </wp:positionH>
                <wp:positionV relativeFrom="paragraph">
                  <wp:posOffset>88900</wp:posOffset>
                </wp:positionV>
                <wp:extent cx="0" cy="12700"/>
                <wp:effectExtent l="0" t="0" r="0" b="0"/>
                <wp:wrapNone/>
                <wp:docPr id="102" name="Straight Arrow Connector 102"/>
                <wp:cNvGraphicFramePr/>
                <a:graphic xmlns:a="http://schemas.openxmlformats.org/drawingml/2006/main">
                  <a:graphicData uri="http://schemas.microsoft.com/office/word/2010/wordprocessingShape">
                    <wps:wsp>
                      <wps:cNvCnPr/>
                      <wps:spPr>
                        <a:xfrm>
                          <a:off x="2813510" y="3780000"/>
                          <a:ext cx="506498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5F945433" id="_x0000_t32" coordsize="21600,21600" o:spt="32" o:oned="t" path="m,l21600,21600e" filled="f">
                <v:path arrowok="t" fillok="f" o:connecttype="none"/>
                <o:lock v:ext="edit" shapetype="t"/>
              </v:shapetype>
              <v:shape id="Straight Arrow Connector 102" o:spid="_x0000_s1026" type="#_x0000_t32" style="position:absolute;margin-left:126pt;margin-top:7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" strokecolor="black [3200]">
                <v:stroke startarrowwidth="narrow" startarrowlength="short" endarrowwidth="narrow" endarrowlength="short" joinstyle="miter"/>
              </v:shape>
            </w:pict>
          </mc:Fallback>
        </mc:AlternateContent>
      </w:r>
    </w:p>
    <w:p w14:paraId="12A74E55" w14:textId="77777777" w:rsidR="00695365" w:rsidRDefault="00695365">
      <w:pPr>
        <w:pBdr>
          <w:top w:val="nil"/>
          <w:left w:val="nil"/>
          <w:bottom w:val="nil"/>
          <w:right w:val="nil"/>
          <w:between w:val="nil"/>
        </w:pBdr>
        <w:spacing w:before="240" w:line="240" w:lineRule="auto"/>
        <w:ind w:left="2608"/>
        <w:rPr>
          <w:rFonts w:ascii="Georgia" w:eastAsia="Georgia" w:hAnsi="Georgia" w:cs="Georgia"/>
          <w:b/>
        </w:rPr>
      </w:pPr>
    </w:p>
    <w:p w14:paraId="3774DCD5" w14:textId="77777777" w:rsidR="00695365" w:rsidRDefault="00366511">
      <w:pPr>
        <w:spacing w:before="240" w:after="60" w:line="228" w:lineRule="auto"/>
        <w:ind w:left="2608"/>
        <w:rPr>
          <w:rFonts w:ascii="Georgia" w:eastAsia="Georgia" w:hAnsi="Georgia" w:cs="Georgia"/>
          <w:b/>
        </w:rPr>
      </w:pPr>
      <w:r>
        <w:rPr>
          <w:rFonts w:ascii="Georgia" w:eastAsia="Georgia" w:hAnsi="Georgia" w:cs="Georgia"/>
          <w:b/>
        </w:rPr>
        <w:t>1. Introduction</w:t>
      </w:r>
    </w:p>
    <w:p w14:paraId="1948BBEF" w14:textId="77777777" w:rsidR="00695365" w:rsidRDefault="00366511">
      <w:pPr>
        <w:spacing w:before="240" w:after="60" w:line="228" w:lineRule="auto"/>
        <w:ind w:left="2608"/>
        <w:rPr>
          <w:rFonts w:ascii="Georgia" w:eastAsia="Georgia" w:hAnsi="Georgia" w:cs="Georgia"/>
        </w:rPr>
      </w:pPr>
      <w:r>
        <w:rPr>
          <w:rFonts w:ascii="Georgia" w:eastAsia="Georgia" w:hAnsi="Georgia" w:cs="Georgia"/>
          <w:b/>
        </w:rPr>
        <w:t>1.1 What is the need for the study</w:t>
      </w:r>
      <w:r>
        <w:rPr>
          <w:rFonts w:ascii="Georgia" w:eastAsia="Georgia" w:hAnsi="Georgia" w:cs="Georgia"/>
        </w:rPr>
        <w:t>  </w:t>
      </w:r>
    </w:p>
    <w:p w14:paraId="165E9086" w14:textId="40D13207" w:rsidR="00695365" w:rsidRDefault="00366511">
      <w:pPr>
        <w:spacing w:before="280" w:after="280" w:line="240" w:lineRule="auto"/>
        <w:ind w:left="2552"/>
        <w:rPr>
          <w:rFonts w:ascii="Georgia" w:eastAsia="Georgia" w:hAnsi="Georgia" w:cs="Georgia"/>
        </w:rPr>
      </w:pPr>
      <w:r>
        <w:rPr>
          <w:rFonts w:ascii="Georgia" w:eastAsia="Georgia" w:hAnsi="Georgia" w:cs="Georgia"/>
        </w:rPr>
        <w:t xml:space="preserve">The </w:t>
      </w:r>
      <w:r w:rsidR="0090129E">
        <w:rPr>
          <w:rFonts w:ascii="Georgia" w:eastAsia="Georgia" w:hAnsi="Georgia" w:cs="Georgia"/>
        </w:rPr>
        <w:t>association</w:t>
      </w:r>
      <w:r>
        <w:rPr>
          <w:rFonts w:ascii="Georgia" w:eastAsia="Georgia" w:hAnsi="Georgia" w:cs="Georgia"/>
        </w:rPr>
        <w:t xml:space="preserve"> between wellbeing and architecture was identified before the COVID-19 pandemic (Guenther &amp; Vittori, 2008 &amp; </w:t>
      </w:r>
      <w:r w:rsidR="00485247">
        <w:rPr>
          <w:rFonts w:ascii="Georgia" w:eastAsia="Georgia" w:hAnsi="Georgia" w:cs="Georgia"/>
        </w:rPr>
        <w:fldChar w:fldCharType="begin" w:fldLock="1"/>
      </w:r>
      <w:r w:rsidR="00485247">
        <w:rPr>
          <w:rFonts w:ascii="Georgia" w:eastAsia="Georgia" w:hAnsi="Georgia" w:cs="Georgia"/>
        </w:rPr>
        <w:instrText>ADDIN CSL_CITATION {"citationItems":[{"id":"ITEM-1","itemData":{"author":[{"dropping-particle":"","family":"Logan","given":"Cameron","non-dropping-particle":"","parse-names":false,"suffix":""},{"dropping-particle":"","family":"Willis","given":"Julie","non-dropping-particle":"","parse-names":false,"suffix":""},{"dropping-particle":"","family":"Logan","given":"Cameron","non-dropping-particle":"","parse-names":false,"suffix":""},{"dropping-particle":"","family":"Willis","given":"Julie","non-dropping-particle":"","parse-names":false,"suffix":""}],"id":"ITEM-1","issue":"2","issued":{"date-parts":[["2010"]]},"page":"116-133","title":"International Travel as Medical Research : Architecture and the Modern Hospital Published by : Australian and New Zealand Society of the History of Medicine , Inc International Travel as Medical Research :","type":"article-journal","volume":"12"},"uris":["http://www.mendeley.com/documents/?uuid=c463fcc6-2457-4952-8e66-034b1afd5c8f"]}],"mendeley":{"formattedCitation":"(Logan et al., 2010)","manualFormatting":"Logan et al., 2010)","plainTextFormattedCitation":"(Logan et al., 2010)","previouslyFormattedCitation":"(Logan et al., 2010)"},"properties":{"noteIndex":0},"schema":"https://github.com/citation-style-language/schema/raw/master/csl-citation.json"}</w:instrText>
      </w:r>
      <w:r w:rsidR="00485247">
        <w:rPr>
          <w:rFonts w:ascii="Georgia" w:eastAsia="Georgia" w:hAnsi="Georgia" w:cs="Georgia"/>
        </w:rPr>
        <w:fldChar w:fldCharType="separate"/>
      </w:r>
      <w:r w:rsidR="00485247" w:rsidRPr="00485247">
        <w:rPr>
          <w:rFonts w:ascii="Georgia" w:eastAsia="Georgia" w:hAnsi="Georgia" w:cs="Georgia"/>
          <w:noProof/>
        </w:rPr>
        <w:t>Logan et al., 2010)</w:t>
      </w:r>
      <w:r w:rsidR="00485247">
        <w:rPr>
          <w:rFonts w:ascii="Georgia" w:eastAsia="Georgia" w:hAnsi="Georgia" w:cs="Georgia"/>
        </w:rPr>
        <w:fldChar w:fldCharType="end"/>
      </w:r>
      <w:r w:rsidR="00485247">
        <w:rPr>
          <w:rFonts w:ascii="Georgia" w:eastAsia="Georgia" w:hAnsi="Georgia" w:cs="Georgia"/>
        </w:rPr>
        <w:t>.</w:t>
      </w:r>
      <w:r>
        <w:rPr>
          <w:rFonts w:ascii="Georgia" w:eastAsia="Georgia" w:hAnsi="Georgia" w:cs="Georgia"/>
        </w:rPr>
        <w:t xml:space="preserve"> In fact, in every 100 hospitali</w:t>
      </w:r>
      <w:r w:rsidR="0090129E">
        <w:rPr>
          <w:rFonts w:ascii="Georgia" w:eastAsia="Georgia" w:hAnsi="Georgia" w:cs="Georgia"/>
        </w:rPr>
        <w:t>s</w:t>
      </w:r>
      <w:r>
        <w:rPr>
          <w:rFonts w:ascii="Georgia" w:eastAsia="Georgia" w:hAnsi="Georgia" w:cs="Georgia"/>
        </w:rPr>
        <w:t>ed patients</w:t>
      </w:r>
      <w:r w:rsidR="0090129E">
        <w:rPr>
          <w:rFonts w:ascii="Georgia" w:eastAsia="Georgia" w:hAnsi="Georgia" w:cs="Georgia"/>
        </w:rPr>
        <w:t>,</w:t>
      </w:r>
      <w:r>
        <w:rPr>
          <w:rFonts w:ascii="Georgia" w:eastAsia="Georgia" w:hAnsi="Georgia" w:cs="Georgia"/>
        </w:rPr>
        <w:t xml:space="preserve"> 7 in developed countries and 10 in developing countries get </w:t>
      </w:r>
      <w:r w:rsidR="0090129E">
        <w:rPr>
          <w:rFonts w:ascii="Georgia" w:eastAsia="Georgia" w:hAnsi="Georgia" w:cs="Georgia"/>
        </w:rPr>
        <w:t>one</w:t>
      </w:r>
      <w:r>
        <w:rPr>
          <w:rFonts w:ascii="Georgia" w:eastAsia="Georgia" w:hAnsi="Georgia" w:cs="Georgia"/>
        </w:rPr>
        <w:t xml:space="preserve"> healthcare-associated infection (WHO,</w:t>
      </w:r>
      <w:r w:rsidR="00CF43DB">
        <w:rPr>
          <w:rFonts w:ascii="Georgia" w:eastAsia="Georgia" w:hAnsi="Georgia" w:cs="Georgia"/>
        </w:rPr>
        <w:t>2020</w:t>
      </w:r>
      <w:r>
        <w:rPr>
          <w:rFonts w:ascii="Georgia" w:eastAsia="Georgia" w:hAnsi="Georgia" w:cs="Georgia"/>
        </w:rPr>
        <w:t>). The past pandemics inspired sanitary, housing</w:t>
      </w:r>
      <w:r w:rsidR="0090129E">
        <w:rPr>
          <w:rFonts w:ascii="Georgia" w:eastAsia="Georgia" w:hAnsi="Georgia" w:cs="Georgia"/>
        </w:rPr>
        <w:t>,</w:t>
      </w:r>
      <w:r>
        <w:rPr>
          <w:rFonts w:ascii="Georgia" w:eastAsia="Georgia" w:hAnsi="Georgia" w:cs="Georgia"/>
        </w:rPr>
        <w:t xml:space="preserve"> and urban planning reforms</w:t>
      </w:r>
      <w:r w:rsidR="0090129E">
        <w:rPr>
          <w:rFonts w:ascii="Georgia" w:eastAsia="Georgia" w:hAnsi="Georgia" w:cs="Georgia"/>
        </w:rPr>
        <w:t>,</w:t>
      </w:r>
      <w:r>
        <w:rPr>
          <w:rFonts w:ascii="Georgia" w:eastAsia="Georgia" w:hAnsi="Georgia" w:cs="Georgia"/>
        </w:rPr>
        <w:t xml:space="preserve"> while SARS-CoV-1 initiated changes in building design and drainage in Hong Kong</w:t>
      </w:r>
      <w:r w:rsidR="000D319B">
        <w:rPr>
          <w:rFonts w:ascii="Georgia" w:eastAsia="Georgia" w:hAnsi="Georgia" w:cs="Georgia"/>
        </w:rPr>
        <w:t xml:space="preserve"> </w:t>
      </w:r>
      <w:r w:rsidR="00FD513F">
        <w:rPr>
          <w:rFonts w:ascii="Georgia" w:eastAsia="Georgia" w:hAnsi="Georgia" w:cs="Georgia"/>
        </w:rPr>
        <w:fldChar w:fldCharType="begin" w:fldLock="1"/>
      </w:r>
      <w:r w:rsidR="00FD513F">
        <w:rPr>
          <w:rFonts w:ascii="Georgia" w:eastAsia="Georgia" w:hAnsi="Georgia" w:cs="Georgia"/>
        </w:rPr>
        <w:instrText>ADDIN CSL_CITATION {"citationItems":[{"id":"ITEM-1","itemData":{"DOI":"10.3390/su12145863","ISSN":"20711050","abstract":"The health system's response to the COVID-19 pandemic has involved research into diagnoses and vaccines, but primarily it has required specific treatments, facilities and equipment, together with the control of individual behaviour and a period of collective confinement. The aim of this particular research, therefore, is to discover whether COVID-19 is capable of changing the built environment (BE) and leveraging specific solutions for sustainable buildings or urban areas. Some historical reviews of infectious pandemics have highlighted the development of new solutions in the BE as an additional contribution towards preventing the spread of infection. The BE has an important role to play in supporting public health measures and reducing the risk of infections. The review of potential COVID-19 measures shows the existence of well-referenced solutions, ranging from incremental alterations (organisation of spaces, erection of physical barriers) to structural alterations (windows, balconies) with different timeframes and scales (ranging from changes in building materials to the design of urban areas). A critical exploratory assessment makes it possible to identify measures that may help not only to reduce the risk of COVID-19 transmission (or even prevent it), but also to increase resilience, improve air quality and lower energy requirements or the use of materials, and thus potentially increase the sustainability of the BE. COVID-19 measures challenge us to rethink buildings and urban areas and potentially leverage sustainable BE solutions with win-win outcomes (minimalist design and other solutions). The specific composition of this set of measures must, however, be further researched.","author":[{"dropping-particle":"","family":"Pinheiro","given":"Manuel Duarte","non-dropping-particle":"","parse-names":false,"suffix":""},{"dropping-particle":"","family":"Luís","given":"Nuno Cardoso","non-dropping-particle":"","parse-names":false,"suffix":""}],"container-title":"Sustainability (Switzerland)","id":"ITEM-1","issue":"14","issued":{"date-parts":[["2020"]]},"note":"GOOD GRAPHICS AND TABLES. MUST READ LATER","title":"COVID-19 could leverage a sustainable built environment","type":"article-journal","volume":"12"},"uris":["http://www.mendeley.com/documents/?uuid=213a734c-8643-49f7-b428-c787ad4f006c"]}],"mendeley":{"formattedCitation":"(Pinheiro &amp; Luís, 2020)","plainTextFormattedCitation":"(Pinheiro &amp; Luís, 2020)","previouslyFormattedCitation":"(Pinheiro &amp; Luís, 2020)"},"properties":{"noteIndex":0},"schema":"https://github.com/citation-style-language/schema/raw/master/csl-citation.json"}</w:instrText>
      </w:r>
      <w:r w:rsidR="00FD513F">
        <w:rPr>
          <w:rFonts w:ascii="Georgia" w:eastAsia="Georgia" w:hAnsi="Georgia" w:cs="Georgia"/>
        </w:rPr>
        <w:fldChar w:fldCharType="separate"/>
      </w:r>
      <w:r w:rsidR="00FD513F" w:rsidRPr="00FD513F">
        <w:rPr>
          <w:rFonts w:ascii="Georgia" w:eastAsia="Georgia" w:hAnsi="Georgia" w:cs="Georgia"/>
          <w:noProof/>
        </w:rPr>
        <w:t>(Pinheiro &amp; Luís, 2020)</w:t>
      </w:r>
      <w:r w:rsidR="00FD513F">
        <w:rPr>
          <w:rFonts w:ascii="Georgia" w:eastAsia="Georgia" w:hAnsi="Georgia" w:cs="Georgia"/>
        </w:rPr>
        <w:fldChar w:fldCharType="end"/>
      </w:r>
      <w:r w:rsidR="00485247">
        <w:rPr>
          <w:rFonts w:ascii="Georgia" w:eastAsia="Georgia" w:hAnsi="Georgia" w:cs="Georgia"/>
        </w:rPr>
        <w:t>.</w:t>
      </w:r>
    </w:p>
    <w:p w14:paraId="44DB3035" w14:textId="259E3872" w:rsidR="00695365" w:rsidRDefault="00366511">
      <w:pPr>
        <w:spacing w:before="280" w:after="280" w:line="240" w:lineRule="auto"/>
        <w:ind w:left="2552"/>
        <w:rPr>
          <w:rFonts w:ascii="Georgia" w:eastAsia="Georgia" w:hAnsi="Georgia" w:cs="Georgia"/>
        </w:rPr>
      </w:pPr>
      <w:r>
        <w:rPr>
          <w:rFonts w:ascii="Georgia" w:eastAsia="Georgia" w:hAnsi="Georgia" w:cs="Georgia"/>
        </w:rPr>
        <w:t>The COVID-19 infected patients in Wuhan, China, may have spread the virus in hospitals which progressed to stress the healthcare infrastructure in 2020</w:t>
      </w:r>
      <w:r w:rsidR="000D319B">
        <w:rPr>
          <w:rFonts w:ascii="Georgia" w:eastAsia="Georgia" w:hAnsi="Georgia" w:cs="Georgia"/>
        </w:rPr>
        <w:t xml:space="preserve"> </w:t>
      </w:r>
      <w:r w:rsidR="00FD513F">
        <w:rPr>
          <w:rFonts w:ascii="Georgia" w:eastAsia="Georgia" w:hAnsi="Georgia" w:cs="Georgia"/>
        </w:rPr>
        <w:fldChar w:fldCharType="begin" w:fldLock="1"/>
      </w:r>
      <w:r w:rsidR="007C504F">
        <w:rPr>
          <w:rFonts w:ascii="Georgia" w:eastAsia="Georgia" w:hAnsi="Georgia" w:cs="Georgia"/>
        </w:rPr>
        <w:instrText>ADDIN CSL_CITATION {"citationItems":[{"id":"ITEM-1","itemData":{"DOI":"10.1128/msystems.00245-20","ISSN":"2379-5077","PMID":"32265315","abstract":"With the rapid spread of severe acute respiratory syndrome coronavirus 2 (SARS-CoV-2) that results in coronavirus disease 2019 (COVID-19), corporate entities, federal, state, county, and city governments, universities, school districts, places of worship, prisons, health care facilities, assisted living organizations, daycares, homeowners, and other building owners and occupants have an opportunity to reduce the potential for transmission through built environment (BE)-mediated pathways. Over the last decade, substantial research into the presence, abundance, diversity, function, and transmission of microbes in the BE has taken place and revealed common pathogen exchange pathways and mechanisms.With the rapid spread of severe acute respiratory syndrome coronavirus 2 (SARS-CoV-2) that results in coronavirus disease 2019 (COVID-19), corporate entities, federal, state, county, and city governments, universities, school districts, places of worship, prisons, health care facilities, assisted living organizations, daycares, homeowners, and other building owners and occupants have an opportunity to reduce the potential for transmission through built environment (BE)-mediated pathways. Over the last decade, substantial research into the presence, abundance, diversity, function, and transmission of microbes in the BE has taken place and revealed common pathogen exchange pathways and mechanisms. In this paper, we synthesize this microbiology of the BE research and the known information about SARS-CoV-2 to provide actionable and achievable guidance to BE decision makers, building operators, and all indoor occupants attempting to minimize infectious disease transmission through environmentally mediated pathways. We believe this information is useful to corporate and public administrators and individuals responsible for building operations and environmental services in their decision-making process about the degree and duration of social-distancing measures during viral epidemics and pandemics. Author Video : An author video summary of this article is available. ","author":[{"dropping-particle":"","family":"Dietz","given":"Leslie","non-dropping-particle":"","parse-names":false,"suffix":""},{"dropping-particle":"","family":"Horve","given":"Patrick F.","non-dropping-particle":"","parse-names":false,"suffix":""},{"dropping-particle":"","family":"Coil","given":"David A.","non-dropping-particle":"","parse-names":false,"suffix":""},{"dropping-particle":"","family":"Fretz","given":"Mark","non-dropping-particle":"","parse-names":false,"suffix":""},{"dropping-particle":"","family":"Eisen","given":"Jonathan A.","non-dropping-particle":"","parse-names":false,"suffix":""},{"dropping-particle":"","family":"Wymelenberg","given":"Kevin","non-dropping-particle":"Van Den","parse-names":false,"suffix":""}],"container-title":"mSystems","id":"ITEM-1","issue":"2","issued":{"date-parts":[["2020"]]},"title":"2019 Novel Coronavirus (COVID-19) Pandemic: Built Environment Considerations To Reduce Transmission","type":"article-journal","volume":"5"},"uris":["http://www.mendeley.com/documents/?uuid=1b0cdf21-66e5-4497-80d0-d273dfccbef9"]},{"id":"ITEM-2","itemData":{"DOI":"10.23750/abm.v91i9-s.10117","abstract":"BACKGROUND AND AIM: The COVID-19 pandemic has upended the global healthcare systems. The surge in infections and sick critically ill patients has tested the resilience of healthcare infrastructures and facilities forcing organizations to quickly adapt and embrace emergency solutions. The paper proposes a decalogue of design strategies applicable both to new hospitals and to the refurbishment of existing hospitals.\nMETHODS: The authors conducted observations at hospitals, during public health webinars and through experts working groups from March to May 2020.\nRESULTS: In this commentary, the authors present a list of strategies for creating critical care surge capacity and exploring design strategies for healthcare design for resilient hospital facilities. The strategies are organized into two tiers: I) design and II) operations. The (I) Design phase strategies are: 1) Strategic Site Location; 2) Typology Configuration; 3) Flexibility; 4) Functional program; 5) User-centerdness. The (II) Operation phase strategies are: 6) Healthcare network on the territory; 7) Patient safety; 8) HVAC and indoor air quality; 9) Innovative finishing materials and furniture; 10) Healthcare digital innovation.\nCONCLUSIONS: Hospitals, health care systems, and institutions urgently need to assess their resources, identify potential bottlenecks, and create strategies for increasing critical care surge capacity. The COVID-19 pandemic disrupted healthcare operations and accelerated the processes of innovation and transformation. The design and operational strategies can enable the achievement of resilient hospital facilities. Further multidisciplinary researches is needed  to validate the strategies empirically.","author":[{"dropping-particle":"","family":"Capolongo","given":"Stefano","non-dropping-particle":"","parse-names":false,"suffix":""},{"dropping-particle":"","family":"Gola","given":"Marco","non-dropping-particle":"","parse-names":false,"suffix":""},{"dropping-particle":"","family":"Brambilla","given":"Andrea","non-dropping-particle":"","parse-names":false,"suffix":""},{"dropping-particle":"","family":"Morganti","given":"Alessandro","non-dropping-particle":"","parse-names":false,"suffix":""},{"dropping-particle":"","family":"Mosca","given":"Erica Isa","non-dropping-particle":"","parse-names":false,"suffix":""},{"dropping-particle":"","family":"Barach","given":"Paul","non-dropping-particle":"","parse-names":false,"suffix":""}],"container-title":"Acta Bio Medica : Atenei Parmensis","id":"ITEM-2","issue":"9-S","issued":{"date-parts":[["2020"]]},"page":"50-60","title":"COVID-19 and Healthcare Facilities: a Decalogue of Design Strategies for Resilient Hospitals","type":"article-journal","volume":"91"},"uris":["http://www.mendeley.com/documents/?uuid=f8901b9f-8e87-38a4-81dd-e6227a559252"]}],"mendeley":{"formattedCitation":"(Capolongo et al., 2020c; Dietz et al., 2020)","plainTextFormattedCitation":"(Capolongo et al., 2020c; Dietz et al., 2020)","previouslyFormattedCitation":"(Capolongo et al., 2020c; Dietz et al., 2020)"},"properties":{"noteIndex":0},"schema":"https://github.com/citation-style-language/schema/raw/master/csl-citation.json"}</w:instrText>
      </w:r>
      <w:r w:rsidR="00FD513F">
        <w:rPr>
          <w:rFonts w:ascii="Georgia" w:eastAsia="Georgia" w:hAnsi="Georgia" w:cs="Georgia"/>
        </w:rPr>
        <w:fldChar w:fldCharType="separate"/>
      </w:r>
      <w:r w:rsidR="007C504F" w:rsidRPr="007C504F">
        <w:rPr>
          <w:rFonts w:ascii="Georgia" w:eastAsia="Georgia" w:hAnsi="Georgia" w:cs="Georgia"/>
          <w:noProof/>
        </w:rPr>
        <w:t>(Capolongo et al., 2020</w:t>
      </w:r>
      <w:r w:rsidR="007C504F" w:rsidRPr="00B95CC7">
        <w:rPr>
          <w:rFonts w:ascii="Georgia" w:eastAsia="Georgia" w:hAnsi="Georgia" w:cs="Georgia"/>
          <w:noProof/>
        </w:rPr>
        <w:t>c</w:t>
      </w:r>
      <w:r w:rsidR="007C504F" w:rsidRPr="007C504F">
        <w:rPr>
          <w:rFonts w:ascii="Georgia" w:eastAsia="Georgia" w:hAnsi="Georgia" w:cs="Georgia"/>
          <w:noProof/>
        </w:rPr>
        <w:t>; Dietz et al., 2020)</w:t>
      </w:r>
      <w:r w:rsidR="00FD513F">
        <w:rPr>
          <w:rFonts w:ascii="Georgia" w:eastAsia="Georgia" w:hAnsi="Georgia" w:cs="Georgia"/>
        </w:rPr>
        <w:fldChar w:fldCharType="end"/>
      </w:r>
      <w:r>
        <w:rPr>
          <w:rFonts w:ascii="Georgia" w:eastAsia="Georgia" w:hAnsi="Georgia" w:cs="Georgia"/>
        </w:rPr>
        <w:t>. Eventually, the fear of contracting COVID-19 in hospitals, led to patients postpon</w:t>
      </w:r>
      <w:r w:rsidR="0090129E">
        <w:rPr>
          <w:rFonts w:ascii="Georgia" w:eastAsia="Georgia" w:hAnsi="Georgia" w:cs="Georgia"/>
        </w:rPr>
        <w:t>ing</w:t>
      </w:r>
      <w:r>
        <w:rPr>
          <w:rFonts w:ascii="Georgia" w:eastAsia="Georgia" w:hAnsi="Georgia" w:cs="Georgia"/>
        </w:rPr>
        <w:t xml:space="preserve"> their hospital appointments </w:t>
      </w:r>
      <w:r w:rsidR="00FD513F">
        <w:rPr>
          <w:rFonts w:ascii="Georgia" w:eastAsia="Georgia" w:hAnsi="Georgia" w:cs="Georgia"/>
        </w:rPr>
        <w:fldChar w:fldCharType="begin" w:fldLock="1"/>
      </w:r>
      <w:r w:rsidR="00C9757B">
        <w:rPr>
          <w:rFonts w:ascii="Georgia" w:eastAsia="Georgia" w:hAnsi="Georgia" w:cs="Georgia"/>
        </w:rPr>
        <w:instrText>ADDIN CSL_CITATION {"citationItems":[{"id":"ITEM-1","itemData":{"author":[{"dropping-particle":"","family":"Emmanuel","given":"Udomiaye","non-dropping-particle":"","parse-names":false,"suffix":""}],"id":"ITEM-1","issued":{"date-parts":[["2020"]]},"note":"Review article","page":"1699-1707","publisher":"Journal of Environmental Health Science and Engineering","title":"Architectural design strategies for infection prevention and control ( IPC ) in health-care facilities : towards curbing the spread of Covid-19","type":"article-journal"},"uris":["http://www.mendeley.com/documents/?uuid=e968bd5f-7819-48c7-860b-edfe877e1135"]}],"mendeley":{"formattedCitation":"(Emmanuel, 2020)","plainTextFormattedCitation":"(Emmanuel, 2020)","previouslyFormattedCitation":"(Emmanuel, 2020)"},"properties":{"noteIndex":0},"schema":"https://github.com/citation-style-language/schema/raw/master/csl-citation.json"}</w:instrText>
      </w:r>
      <w:r w:rsidR="00FD513F">
        <w:rPr>
          <w:rFonts w:ascii="Georgia" w:eastAsia="Georgia" w:hAnsi="Georgia" w:cs="Georgia"/>
        </w:rPr>
        <w:fldChar w:fldCharType="separate"/>
      </w:r>
      <w:r w:rsidR="00FD513F" w:rsidRPr="00FD513F">
        <w:rPr>
          <w:rFonts w:ascii="Georgia" w:eastAsia="Georgia" w:hAnsi="Georgia" w:cs="Georgia"/>
          <w:noProof/>
        </w:rPr>
        <w:t>(Emmanuel, 2020)</w:t>
      </w:r>
      <w:r w:rsidR="00FD513F">
        <w:rPr>
          <w:rFonts w:ascii="Georgia" w:eastAsia="Georgia" w:hAnsi="Georgia" w:cs="Georgia"/>
        </w:rPr>
        <w:fldChar w:fldCharType="end"/>
      </w:r>
      <w:r w:rsidR="00C9757B">
        <w:rPr>
          <w:rFonts w:ascii="Georgia" w:eastAsia="Georgia" w:hAnsi="Georgia" w:cs="Georgia"/>
        </w:rPr>
        <w:t>.</w:t>
      </w:r>
    </w:p>
    <w:p w14:paraId="27D53EB1" w14:textId="41E82ED4" w:rsidR="00695365" w:rsidRDefault="00366511">
      <w:pPr>
        <w:spacing w:before="280" w:after="280" w:line="240" w:lineRule="auto"/>
        <w:ind w:left="2552"/>
        <w:rPr>
          <w:rFonts w:ascii="Georgia" w:eastAsia="Georgia" w:hAnsi="Georgia" w:cs="Georgia"/>
        </w:rPr>
      </w:pPr>
      <w:r>
        <w:rPr>
          <w:rFonts w:ascii="Georgia" w:eastAsia="Georgia" w:hAnsi="Georgia" w:cs="Georgia"/>
        </w:rPr>
        <w:t>The pandemic timeline depicts a surge in the frequency of infectious pandemics. Since 2000, humanity has faced 5 pandemics</w:t>
      </w:r>
      <w:r w:rsidR="0090129E">
        <w:rPr>
          <w:rFonts w:ascii="Georgia" w:eastAsia="Georgia" w:hAnsi="Georgia" w:cs="Georgia"/>
        </w:rPr>
        <w:t>,</w:t>
      </w:r>
      <w:r>
        <w:rPr>
          <w:rFonts w:ascii="Georgia" w:eastAsia="Georgia" w:hAnsi="Georgia" w:cs="Georgia"/>
        </w:rPr>
        <w:t xml:space="preserve"> while in the 20th century only 4 pandemics occurred (Le Pan, 2020). Studies have demonstrated that global warming has changed </w:t>
      </w:r>
      <w:r>
        <w:rPr>
          <w:rFonts w:ascii="Georgia" w:eastAsia="Georgia" w:hAnsi="Georgia" w:cs="Georgia"/>
        </w:rPr>
        <w:lastRenderedPageBreak/>
        <w:t>the epidemiology of the vectors and caused rapid mutations</w:t>
      </w:r>
      <w:r w:rsidR="0090129E">
        <w:rPr>
          <w:rFonts w:ascii="Georgia" w:eastAsia="Georgia" w:hAnsi="Georgia" w:cs="Georgia"/>
        </w:rPr>
        <w:t xml:space="preserve"> </w:t>
      </w:r>
      <w:r w:rsidR="00C9757B">
        <w:rPr>
          <w:rFonts w:ascii="Georgia" w:eastAsia="Georgia" w:hAnsi="Georgia" w:cs="Georgia"/>
        </w:rPr>
        <w:fldChar w:fldCharType="begin" w:fldLock="1"/>
      </w:r>
      <w:r w:rsidR="00C9757B">
        <w:rPr>
          <w:rFonts w:ascii="Georgia" w:eastAsia="Georgia" w:hAnsi="Georgia" w:cs="Georgia"/>
        </w:rPr>
        <w:instrText>ADDIN CSL_CITATION {"citationItems":[{"id":"ITEM-1","itemData":{"DOI":"10.1016/j.glt.2020.09.003","ISSN":"2589-7918","author":[{"dropping-particle":"","family":"Priyadarsini","given":"S Lakshmi","non-dropping-particle":"","parse-names":false,"suffix":""},{"dropping-particle":"","family":"Suresh","given":"M","non-dropping-particle":"","parse-names":false,"suffix":""},{"dropping-particle":"","family":"Huisingh","given":"Donald","non-dropping-particle":"","parse-names":false,"suffix":""}],"container-title":"Global Transitions","id":"ITEM-1","issued":{"date-parts":[["2020"]]},"page":"202-220","publisher":"Elsevier Ltd","title":"What can we learn from previous pandemics to reduce the frequency of emerging infectious diseases like COVID-19 ?","type":"article-journal","volume":"2"},"uris":["http://www.mendeley.com/documents/?uuid=6056d99f-dcf2-4842-8200-52d75c4d21c6"]},{"id":"ITEM-2","itemData":{"author":[{"dropping-particle":"","family":"Epstein","given":"Paul R","non-dropping-particle":"","parse-names":false,"suffix":""}],"id":"ITEM-2","issue":"4","issued":{"date-parts":[["2002"]]},"page":"373-375","title":"Climate Change and Infectious Disease : Stormy Weather Ahead ?","type":"article-journal","volume":"13"},"uris":["http://www.mendeley.com/documents/?uuid=3d74ace2-36a8-4bf8-b0ca-7b09a41aebab"]},{"id":"ITEM-3","itemData":{"DOI":"10.1016/j.envint.2015.09.007","ISSN":"0160-4120","author":[{"dropping-particle":"","family":"Wu","given":"Xiaoxu","non-dropping-particle":"","parse-names":false,"suffix":""},{"dropping-particle":"","family":"Lu","given":"Yongmei","non-dropping-particle":"","parse-names":false,"suffix":""},{"dropping-particle":"","family":"Zhou","given":"Sen","non-dropping-particle":"","parse-names":false,"suffix":""},{"dropping-particle":"","family":"Chen","given":"Lifan","non-dropping-particle":"","parse-names":false,"suffix":""},{"dropping-particle":"","family":"Xu","given":"Bing","non-dropping-particle":"","parse-names":false,"suffix":""}],"container-title":"Environment International","id":"ITEM-3","issued":{"date-parts":[["2016"]]},"page":"14-23","publisher":"The Authors","title":"Impact of climate change on human infectious diseases : Empirical evidence and human adaptation","type":"article-journal","volume":"86"},"uris":["http://www.mendeley.com/documents/?uuid=89cf7155-10e1-415d-8da2-156d44af60cf"]}],"mendeley":{"formattedCitation":"(Epstein, 2002; Priyadarsini et al., 2020; Wu et al., 2016)","plainTextFormattedCitation":"(Epstein, 2002; Priyadarsini et al., 2020; Wu et al., 2016)","previouslyFormattedCitation":"(Epstein, 2002; Priyadarsini et al., 2020; Wu et al., 2016)"},"properties":{"noteIndex":0},"schema":"https://github.com/citation-style-language/schema/raw/master/csl-citation.json"}</w:instrText>
      </w:r>
      <w:r w:rsidR="00C9757B">
        <w:rPr>
          <w:rFonts w:ascii="Georgia" w:eastAsia="Georgia" w:hAnsi="Georgia" w:cs="Georgia"/>
        </w:rPr>
        <w:fldChar w:fldCharType="separate"/>
      </w:r>
      <w:r w:rsidR="00C9757B" w:rsidRPr="00C9757B">
        <w:rPr>
          <w:rFonts w:ascii="Georgia" w:eastAsia="Georgia" w:hAnsi="Georgia" w:cs="Georgia"/>
          <w:noProof/>
        </w:rPr>
        <w:t>(Epstein, 2002; Priyadarsini et al., 2020; Wu et al., 2016)</w:t>
      </w:r>
      <w:r w:rsidR="00C9757B">
        <w:rPr>
          <w:rFonts w:ascii="Georgia" w:eastAsia="Georgia" w:hAnsi="Georgia" w:cs="Georgia"/>
        </w:rPr>
        <w:fldChar w:fldCharType="end"/>
      </w:r>
      <w:r w:rsidR="00485247">
        <w:rPr>
          <w:rFonts w:ascii="Georgia" w:eastAsia="Georgia" w:hAnsi="Georgia" w:cs="Georgia"/>
        </w:rPr>
        <w:t xml:space="preserve">. </w:t>
      </w:r>
      <w:r>
        <w:rPr>
          <w:rFonts w:ascii="Georgia" w:eastAsia="Georgia" w:hAnsi="Georgia" w:cs="Georgia"/>
        </w:rPr>
        <w:t xml:space="preserve">Also, the changes in climate patterns have modified crop yield patterns and accelerated the development of the pathogens </w:t>
      </w:r>
      <w:r w:rsidR="00C9757B">
        <w:rPr>
          <w:rFonts w:ascii="Georgia" w:eastAsia="Georgia" w:hAnsi="Georgia" w:cs="Georgia"/>
        </w:rPr>
        <w:fldChar w:fldCharType="begin" w:fldLock="1"/>
      </w:r>
      <w:r w:rsidR="00C9757B">
        <w:rPr>
          <w:rFonts w:ascii="Georgia" w:eastAsia="Georgia" w:hAnsi="Georgia" w:cs="Georgia"/>
        </w:rPr>
        <w:instrText>ADDIN CSL_CITATION {"citationItems":[{"id":"ITEM-1","itemData":{"DOI":"10.1016/j.glt.2020.09.003","ISSN":"2589-7918","author":[{"dropping-particle":"","family":"Priyadarsini","given":"S Lakshmi","non-dropping-particle":"","parse-names":false,"suffix":""},{"dropping-particle":"","family":"Suresh","given":"M","non-dropping-particle":"","parse-names":false,"suffix":""},{"dropping-particle":"","family":"Huisingh","given":"Donald","non-dropping-particle":"","parse-names":false,"suffix":""}],"container-title":"Global Transitions","id":"ITEM-1","issued":{"date-parts":[["2020"]]},"page":"202-220","publisher":"Elsevier Ltd","title":"What can we learn from previous pandemics to reduce the frequency of emerging infectious diseases like COVID-19 ?","type":"article-journal","volume":"2"},"uris":["http://www.mendeley.com/documents/?uuid=6056d99f-dcf2-4842-8200-52d75c4d21c6"]}],"mendeley":{"formattedCitation":"(Priyadarsini et al., 2020)","plainTextFormattedCitation":"(Priyadarsini et al., 2020)","previouslyFormattedCitation":"(Priyadarsini et al., 2020)"},"properties":{"noteIndex":0},"schema":"https://github.com/citation-style-language/schema/raw/master/csl-citation.json"}</w:instrText>
      </w:r>
      <w:r w:rsidR="00C9757B">
        <w:rPr>
          <w:rFonts w:ascii="Georgia" w:eastAsia="Georgia" w:hAnsi="Georgia" w:cs="Georgia"/>
        </w:rPr>
        <w:fldChar w:fldCharType="separate"/>
      </w:r>
      <w:r w:rsidR="00C9757B" w:rsidRPr="00C9757B">
        <w:rPr>
          <w:rFonts w:ascii="Georgia" w:eastAsia="Georgia" w:hAnsi="Georgia" w:cs="Georgia"/>
          <w:noProof/>
        </w:rPr>
        <w:t>(Priyadarsini et al., 2020)</w:t>
      </w:r>
      <w:r w:rsidR="00C9757B">
        <w:rPr>
          <w:rFonts w:ascii="Georgia" w:eastAsia="Georgia" w:hAnsi="Georgia" w:cs="Georgia"/>
        </w:rPr>
        <w:fldChar w:fldCharType="end"/>
      </w:r>
      <w:r>
        <w:rPr>
          <w:rFonts w:ascii="Georgia" w:eastAsia="Georgia" w:hAnsi="Georgia" w:cs="Georgia"/>
        </w:rPr>
        <w:t>. In fact, on 13th May, 2022, the Monkeypox virus was detected in 12 countries, emphasizing the need for pandemic</w:t>
      </w:r>
      <w:r w:rsidR="0090129E">
        <w:rPr>
          <w:rFonts w:ascii="Georgia" w:eastAsia="Georgia" w:hAnsi="Georgia" w:cs="Georgia"/>
        </w:rPr>
        <w:t>-</w:t>
      </w:r>
      <w:r>
        <w:rPr>
          <w:rFonts w:ascii="Georgia" w:eastAsia="Georgia" w:hAnsi="Georgia" w:cs="Georgia"/>
        </w:rPr>
        <w:t>resilient hospitals (WHO, 2022).</w:t>
      </w:r>
    </w:p>
    <w:p w14:paraId="3AD2D32F" w14:textId="77777777" w:rsidR="00695365" w:rsidRPr="00504561" w:rsidRDefault="00366511">
      <w:pPr>
        <w:spacing w:before="280" w:after="280" w:line="240" w:lineRule="auto"/>
        <w:ind w:left="2552"/>
        <w:jc w:val="left"/>
        <w:rPr>
          <w:rFonts w:ascii="Georgia" w:eastAsia="Georgia" w:hAnsi="Georgia" w:cs="Georgia"/>
          <w:b/>
          <w:bCs/>
        </w:rPr>
      </w:pPr>
      <w:r w:rsidRPr="00504561">
        <w:rPr>
          <w:rFonts w:ascii="Georgia" w:eastAsia="Georgia" w:hAnsi="Georgia" w:cs="Georgia"/>
          <w:b/>
          <w:bCs/>
        </w:rPr>
        <w:t>1.2 Current gap in the Literature</w:t>
      </w:r>
    </w:p>
    <w:p w14:paraId="44FC8578" w14:textId="32AE74AF" w:rsidR="00695365" w:rsidRDefault="00366511" w:rsidP="001C7A07">
      <w:pPr>
        <w:spacing w:before="280" w:after="280" w:line="240" w:lineRule="auto"/>
        <w:ind w:left="2552"/>
        <w:rPr>
          <w:rFonts w:ascii="Georgia" w:eastAsia="Georgia" w:hAnsi="Georgia" w:cs="Georgia"/>
        </w:rPr>
      </w:pPr>
      <w:r>
        <w:rPr>
          <w:rFonts w:ascii="Georgia" w:eastAsia="Georgia" w:hAnsi="Georgia" w:cs="Georgia"/>
        </w:rPr>
        <w:t>The study created a framework of strategies for pandemic</w:t>
      </w:r>
      <w:r w:rsidR="0090129E">
        <w:rPr>
          <w:rFonts w:ascii="Georgia" w:eastAsia="Georgia" w:hAnsi="Georgia" w:cs="Georgia"/>
        </w:rPr>
        <w:t>-</w:t>
      </w:r>
      <w:r>
        <w:rPr>
          <w:rFonts w:ascii="Georgia" w:eastAsia="Georgia" w:hAnsi="Georgia" w:cs="Georgia"/>
        </w:rPr>
        <w:t xml:space="preserve">resilient and sustainable </w:t>
      </w:r>
      <w:r w:rsidR="00844106">
        <w:rPr>
          <w:rFonts w:ascii="Georgia" w:eastAsia="Georgia" w:hAnsi="Georgia" w:cs="Georgia"/>
        </w:rPr>
        <w:t xml:space="preserve">hospital </w:t>
      </w:r>
      <w:r>
        <w:rPr>
          <w:rFonts w:ascii="Georgia" w:eastAsia="Georgia" w:hAnsi="Georgia" w:cs="Georgia"/>
        </w:rPr>
        <w:t>design while highlighting the role of architects in health promotion. Previous research explored design guidelines post</w:t>
      </w:r>
      <w:r w:rsidR="00844106">
        <w:rPr>
          <w:rFonts w:ascii="Georgia" w:eastAsia="Georgia" w:hAnsi="Georgia" w:cs="Georgia"/>
        </w:rPr>
        <w:t>-</w:t>
      </w:r>
      <w:r>
        <w:rPr>
          <w:rFonts w:ascii="Georgia" w:eastAsia="Georgia" w:hAnsi="Georgia" w:cs="Georgia"/>
        </w:rPr>
        <w:t xml:space="preserve">COVID-19 </w:t>
      </w:r>
      <w:r w:rsidR="00C9757B">
        <w:rPr>
          <w:rFonts w:ascii="Georgia" w:eastAsia="Georgia" w:hAnsi="Georgia" w:cs="Georgia"/>
        </w:rPr>
        <w:fldChar w:fldCharType="begin" w:fldLock="1"/>
      </w:r>
      <w:r w:rsidR="00485247">
        <w:rPr>
          <w:rFonts w:ascii="Georgia" w:eastAsia="Georgia" w:hAnsi="Georgia" w:cs="Georgia"/>
        </w:rPr>
        <w:instrText>ADDIN CSL_CITATION {"citationItems":[{"id":"ITEM-1","itemData":{"author":[{"dropping-particle":"","family":"Amran","given":"Mugahed","non-dropping-particle":"","parse-names":false,"suffix":""},{"dropping-particle":"","family":"Makul","given":"Natt","non-dropping-particle":"","parse-names":false,"suffix":""},{"dropping-particle":"","family":"Fediuk","given":"Roman","non-dropping-particle":"","parse-names":false,"suffix":""},{"dropping-particle":"","family":"Borovkov","given":"Aleksey","non-dropping-particle":"","parse-names":false,"suffix":""},{"dropping-particle":"","family":"Ali","given":"Mujahid","non-dropping-particle":"","parse-names":false,"suffix":""},{"dropping-particle":"","family":"Zeyad","given":"Abdullah M","non-dropping-particle":"","parse-names":false,"suffix":""}],"id":"ITEM-1","issued":{"date-parts":[["2022"]]},"title":"A Review on Building Design as a Biomedical System for Preventing COVID-19 Pandemic","type":"article-journal"},"uris":["http://www.mendeley.com/documents/?uuid=c632baa1-4083-4975-bd58-d1e1806b1a46"]},{"id":"ITEM-2","itemData":{"author":[{"dropping-particle":"","family":"Emmanuel","given":"Udomiaye","non-dropping-particle":"","parse-names":false,"suffix":""}],"id":"ITEM-2","issued":{"date-parts":[["2020"]]},"note":"Review article","page":"1699-1707","publisher":"Journal of Environmental Health Science and Engineering","title":"Architectural design strategies for infection prevention and control ( IPC ) in health-care facilities : towards curbing the spread of Covid-19","type":"article-journal"},"uris":["http://www.mendeley.com/documents/?uuid=e968bd5f-7819-48c7-860b-edfe877e1135"]},{"id":"ITEM-3","itemData":{"author":[{"dropping-particle":"","family":"Luis","given":"Pinheiro and","non-dropping-particle":"","parse-names":false,"suffix":""}],"id":"ITEM-3","issued":{"date-parts":[["2020"]]},"title":"COVID-19 Could Leverage a Sustainable Built Environment","type":"article-journal"},"uris":["http://www.mendeley.com/documents/?uuid=91579067-b15a-47cc-a96f-f1e53f7a6041"]}],"mendeley":{"formattedCitation":"(Amran et al., 2022a; Emmanuel, 2020; Luis, 2020)","plainTextFormattedCitation":"(Amran et al., 2022a; Emmanuel, 2020; Luis, 2020)","previouslyFormattedCitation":"(Amran et al., 2022a; Emmanuel, 2020; Luis, 2020)"},"properties":{"noteIndex":0},"schema":"https://github.com/citation-style-language/schema/raw/master/csl-citation.json"}</w:instrText>
      </w:r>
      <w:r w:rsidR="00C9757B">
        <w:rPr>
          <w:rFonts w:ascii="Georgia" w:eastAsia="Georgia" w:hAnsi="Georgia" w:cs="Georgia"/>
        </w:rPr>
        <w:fldChar w:fldCharType="separate"/>
      </w:r>
      <w:r w:rsidR="00485247" w:rsidRPr="00485247">
        <w:rPr>
          <w:rFonts w:ascii="Georgia" w:eastAsia="Georgia" w:hAnsi="Georgia" w:cs="Georgia"/>
          <w:noProof/>
        </w:rPr>
        <w:t>(Amran et al., 2022a; Emmanuel, 2020; Luis, 2020)</w:t>
      </w:r>
      <w:r w:rsidR="00C9757B">
        <w:rPr>
          <w:rFonts w:ascii="Georgia" w:eastAsia="Georgia" w:hAnsi="Georgia" w:cs="Georgia"/>
        </w:rPr>
        <w:fldChar w:fldCharType="end"/>
      </w:r>
      <w:r w:rsidR="00844106">
        <w:rPr>
          <w:rFonts w:ascii="Georgia" w:eastAsia="Georgia" w:hAnsi="Georgia" w:cs="Georgia"/>
        </w:rPr>
        <w:t>,</w:t>
      </w:r>
      <w:r>
        <w:rPr>
          <w:rFonts w:ascii="Georgia" w:eastAsia="Georgia" w:hAnsi="Georgia" w:cs="Georgia"/>
        </w:rPr>
        <w:t xml:space="preserve"> but further research is needed to strengthen the framework of health</w:t>
      </w:r>
      <w:r w:rsidR="00844106">
        <w:rPr>
          <w:rFonts w:ascii="Georgia" w:eastAsia="Georgia" w:hAnsi="Georgia" w:cs="Georgia"/>
        </w:rPr>
        <w:t>-</w:t>
      </w:r>
      <w:r>
        <w:rPr>
          <w:rFonts w:ascii="Georgia" w:eastAsia="Georgia" w:hAnsi="Georgia" w:cs="Georgia"/>
        </w:rPr>
        <w:t>promoting design </w:t>
      </w:r>
      <w:r w:rsidR="00C9757B">
        <w:rPr>
          <w:rFonts w:ascii="Georgia" w:eastAsia="Georgia" w:hAnsi="Georgia" w:cs="Georgia"/>
        </w:rPr>
        <w:fldChar w:fldCharType="begin" w:fldLock="1"/>
      </w:r>
      <w:r w:rsidR="00E13E13">
        <w:rPr>
          <w:rFonts w:ascii="Georgia" w:eastAsia="Georgia" w:hAnsi="Georgia" w:cs="Georgia"/>
        </w:rPr>
        <w:instrText>ADDIN CSL_CITATION {"citationItems":[{"id":"ITEM-1","itemData":{"author":[{"dropping-particle":"","family":"Amran","given":"Mugahed","non-dropping-particle":"","parse-names":false,"suffix":""},{"dropping-particle":"","family":"Makul","given":"Natt","non-dropping-particle":"","parse-names":false,"suffix":""},{"dropping-particle":"","family":"Fediuk","given":"Roman","non-dropping-particle":"","parse-names":false,"suffix":""},{"dropping-particle":"","family":"Borovkov","given":"Aleksey","non-dropping-particle":"","parse-names":false,"suffix":""},{"dropping-particle":"","family":"Ali","given":"Mujahid","non-dropping-particle":"","parse-names":false,"suffix":""},{"dropping-particle":"","family":"Zeyad","given":"Abdullah M","non-dropping-particle":"","parse-names":false,"suffix":""}],"id":"ITEM-1","issued":{"date-parts":[["2022"]]},"title":"A Review on Building Design as a Biomedical System for Preventing COVID-19 Pandemic","type":"article-journal"},"uris":["http://www.mendeley.com/documents/?uuid=c632baa1-4083-4975-bd58-d1e1806b1a46"]},{"id":"ITEM-2","itemData":{"DOI":"10.1177/1937586718796651","ISSN":"19375867","PMID":"30203663","abstract":"Objective: This review explored different conceptualizations of health promotion in the context of, and in relation to, outpatient building design. Background: Today’s healthcare organizations are implementing holistic healthcare approaches such as health promotion, while simultaneously increasing their outpatient services. These health promotion approaches, focused on empowering people to take control of their health, are expected to have implications for the outpatient healthcare building design. Yet there is limited knowledge what these may be. A review of the literature on the current state of the art is thus needed to enable and support dialog on future healthcare building design. Method: A scoping review of 4,506 papers, collected from four databases and three scientific journals in 2015, resulted in 14 papers relating health promotion to building design and outpatient healthcare. From the subsequent content analysis, multiple common themes and subthemes emerged. Results: The review reveals diverse range of health promotion interpretations, three health promotion perspectives (health behavior, health equity, and sense of coherence), associated design approaches, design objectives, health-related outcomes, building features, and solutions. Conclusions: While diverse health promotion perspectives might merely represent variations in focus, these differences become problematic when relating to building design. To support further dialogs on development of health promotion in, and in relation to, the build environment, there is a need to strengthen the health promotion vocabulary. Further research is needed to compare different design approaches and how these can be combined to minimize contradicting implications for building design.","author":[{"dropping-particle":"","family":"Miedema","given":"Elke","non-dropping-particle":"","parse-names":false,"suffix":""},{"dropping-particle":"","family":"Lindahl","given":"Göran","non-dropping-particle":"","parse-names":false,"suffix":""},{"dropping-particle":"","family":"Elf","given":"Marie","non-dropping-particle":"","parse-names":false,"suffix":""}],"container-title":"Health Environments Research and Design Journal","id":"ITEM-2","issue":"1","issued":{"date-parts":[["2019"]]},"page":"69-86","title":"Conceptualizing Health Promotion in Relation to Outpatient Healthcare Building Design: A Scoping Review","type":"article-journal","volume":"12"},"uris":["http://www.mendeley.com/documents/?uuid=d045dc43-fbf9-492e-b351-df8b9b334893"]}],"mendeley":{"formattedCitation":"(Amran et al., 2022a; Miedema et al., 2019)","plainTextFormattedCitation":"(Amran et al., 2022a; Miedema et al., 2019)","previouslyFormattedCitation":"(Amran et al., 2022a; Miedema et al., 2019)"},"properties":{"noteIndex":0},"schema":"https://github.com/citation-style-language/schema/raw/master/csl-citation.json"}</w:instrText>
      </w:r>
      <w:r w:rsidR="00C9757B">
        <w:rPr>
          <w:rFonts w:ascii="Georgia" w:eastAsia="Georgia" w:hAnsi="Georgia" w:cs="Georgia"/>
        </w:rPr>
        <w:fldChar w:fldCharType="separate"/>
      </w:r>
      <w:r w:rsidR="00E13E13" w:rsidRPr="00E13E13">
        <w:rPr>
          <w:rFonts w:ascii="Georgia" w:eastAsia="Georgia" w:hAnsi="Georgia" w:cs="Georgia"/>
          <w:noProof/>
        </w:rPr>
        <w:t>(Amran et al., 2022a; Miedema et al., 2019)</w:t>
      </w:r>
      <w:r w:rsidR="00C9757B">
        <w:rPr>
          <w:rFonts w:ascii="Georgia" w:eastAsia="Georgia" w:hAnsi="Georgia" w:cs="Georgia"/>
        </w:rPr>
        <w:fldChar w:fldCharType="end"/>
      </w:r>
      <w:r w:rsidR="00485247">
        <w:rPr>
          <w:rFonts w:ascii="Georgia" w:eastAsia="Georgia" w:hAnsi="Georgia" w:cs="Georgia"/>
        </w:rPr>
        <w:t>.</w:t>
      </w:r>
      <w:r>
        <w:rPr>
          <w:rFonts w:ascii="Georgia" w:eastAsia="Georgia" w:hAnsi="Georgia" w:cs="Georgia"/>
        </w:rPr>
        <w:t xml:space="preserve"> This review creates a hierarchical framework for pandemic resilience and sustainable hospitals.</w:t>
      </w:r>
    </w:p>
    <w:p w14:paraId="26992CCE" w14:textId="77777777" w:rsidR="00695365" w:rsidRDefault="00366511">
      <w:pPr>
        <w:spacing w:before="280" w:after="280" w:line="240" w:lineRule="auto"/>
        <w:ind w:left="2552"/>
        <w:jc w:val="left"/>
        <w:rPr>
          <w:rFonts w:ascii="Georgia" w:eastAsia="Georgia" w:hAnsi="Georgia" w:cs="Georgia"/>
        </w:rPr>
      </w:pPr>
      <w:r>
        <w:rPr>
          <w:rFonts w:ascii="Georgia" w:eastAsia="Georgia" w:hAnsi="Georgia" w:cs="Georgia"/>
          <w:b/>
        </w:rPr>
        <w:t>2. Theories and Methods</w:t>
      </w:r>
    </w:p>
    <w:p w14:paraId="5D589700" w14:textId="58AFF3C9" w:rsidR="00695365" w:rsidRDefault="00366511">
      <w:pPr>
        <w:spacing w:before="280" w:after="280" w:line="240" w:lineRule="auto"/>
        <w:ind w:left="2552"/>
        <w:rPr>
          <w:rFonts w:ascii="Georgia" w:eastAsia="Georgia" w:hAnsi="Georgia" w:cs="Georgia"/>
        </w:rPr>
      </w:pPr>
      <w:r>
        <w:rPr>
          <w:rFonts w:ascii="Georgia" w:eastAsia="Georgia" w:hAnsi="Georgia" w:cs="Georgia"/>
        </w:rPr>
        <w:t>The Dimensions database identified 155 architecture journals using the search string “post pandemic design of hospitals”</w:t>
      </w:r>
      <w:r w:rsidR="00844106">
        <w:rPr>
          <w:rFonts w:ascii="Georgia" w:eastAsia="Georgia" w:hAnsi="Georgia" w:cs="Georgia"/>
        </w:rPr>
        <w:t>,</w:t>
      </w:r>
      <w:r>
        <w:rPr>
          <w:rFonts w:ascii="Georgia" w:eastAsia="Georgia" w:hAnsi="Georgia" w:cs="Georgia"/>
        </w:rPr>
        <w:t xml:space="preserve"> published from 2010 to 2022. Figure 1 shows the bibliometric network generated using the VOS viewer</w:t>
      </w:r>
      <w:r w:rsidR="00844106">
        <w:rPr>
          <w:rFonts w:ascii="Georgia" w:eastAsia="Georgia" w:hAnsi="Georgia" w:cs="Georgia"/>
        </w:rPr>
        <w:t>,</w:t>
      </w:r>
      <w:r>
        <w:rPr>
          <w:rFonts w:ascii="Georgia" w:eastAsia="Georgia" w:hAnsi="Georgia" w:cs="Georgia"/>
        </w:rPr>
        <w:t xml:space="preserve"> which depicts the common keywords were Covid, space and architecture. </w:t>
      </w:r>
      <w:r w:rsidR="00C9757B">
        <w:rPr>
          <w:rFonts w:ascii="Georgia" w:eastAsia="Georgia" w:hAnsi="Georgia" w:cs="Georgia"/>
        </w:rPr>
        <w:fldChar w:fldCharType="begin" w:fldLock="1"/>
      </w:r>
      <w:r w:rsidR="00C9757B">
        <w:rPr>
          <w:rFonts w:ascii="Georgia" w:eastAsia="Georgia" w:hAnsi="Georgia" w:cs="Georgia"/>
        </w:rPr>
        <w:instrText>ADDIN CSL_CITATION {"citationItems":[{"id":"ITEM-1","itemData":{"DOI":"10.3390/buildings12010074","ISSN":"20755309","abstract":"The COVID-19 pandemic forced the accessibility, social gathering, lifestyle, and working environment to be changed to reduce the infection. Coronavirus spreads between people in several different ways. Small liquid particles (aerosols, respiratory droplets) from an infected person are transmitted through air and surfaces that are in contact with humans. Reducing transmission through modified heating, ventilation, and air conditioning (HVAC) systems and building design are potential solutions. A comprehensive review of the engineering control preventive measures to mitigate COVID-19 spread, healthy building design, and material was carried out. The current state-of-the-art engineering control preventive measures presented include ultraviolet germicidal irradiation (UVGI), bipolar ionization, vertical gardening, and indoor plants. They have potential to improve the indoor air quality. In addition, this article presents building design with materials (e.g., copper alloys, anti-microbial paintings) and smart technologies (e.g., automation, voice control, and artificial intelligence-based facial recognition) to mitigate the infections of communicable diseases.","author":[{"dropping-particle":"","family":"Navaratnam","given":"Satheeskumar","non-dropping-particle":"","parse-names":false,"suffix":""},{"dropping-particle":"","family":"Nguyen","given":"Kate","non-dropping-particle":"","parse-names":false,"suffix":""},{"dropping-particle":"","family":"Selvaranjan","given":"Kajanan","non-dropping-particle":"","parse-names":false,"suffix":""},{"dropping-particle":"","family":"Zhang","given":"Guomin","non-dropping-particle":"","parse-names":false,"suffix":""},{"dropping-particle":"","family":"Mendis","given":"Priyan","non-dropping-particle":"","parse-names":false,"suffix":""},{"dropping-particle":"","family":"Aye","given":"Lu","non-dropping-particle":"","parse-names":false,"suffix":""}],"container-title":"Buildings","id":"ITEM-1","issue":"1","issued":{"date-parts":[["2022","1","1"]]},"publisher":"MDPI","title":"Designing Post COVID-19 Buildings: Approaches for Achieving Healthy Buildings","type":"article-journal","volume":"12"},"uris":["http://www.mendeley.com/documents/?uuid=336aa670-996a-33c7-870f-8fe5932566e9"]}],"mendeley":{"formattedCitation":"(Navaratnam et al., 2022)","plainTextFormattedCitation":"(Navaratnam et al., 2022)","previouslyFormattedCitation":"(Navaratnam et al., 2022)"},"properties":{"noteIndex":0},"schema":"https://github.com/citation-style-language/schema/raw/master/csl-citation.json"}</w:instrText>
      </w:r>
      <w:r w:rsidR="00C9757B">
        <w:rPr>
          <w:rFonts w:ascii="Georgia" w:eastAsia="Georgia" w:hAnsi="Georgia" w:cs="Georgia"/>
        </w:rPr>
        <w:fldChar w:fldCharType="separate"/>
      </w:r>
      <w:r w:rsidR="00C9757B" w:rsidRPr="00C9757B">
        <w:rPr>
          <w:rFonts w:ascii="Georgia" w:eastAsia="Georgia" w:hAnsi="Georgia" w:cs="Georgia"/>
          <w:noProof/>
        </w:rPr>
        <w:t xml:space="preserve">Navaratnam et al., </w:t>
      </w:r>
      <w:r w:rsidR="0000528D">
        <w:rPr>
          <w:rFonts w:ascii="Georgia" w:eastAsia="Georgia" w:hAnsi="Georgia" w:cs="Georgia"/>
          <w:noProof/>
        </w:rPr>
        <w:t>(</w:t>
      </w:r>
      <w:r w:rsidR="00C9757B" w:rsidRPr="00C9757B">
        <w:rPr>
          <w:rFonts w:ascii="Georgia" w:eastAsia="Georgia" w:hAnsi="Georgia" w:cs="Georgia"/>
          <w:noProof/>
        </w:rPr>
        <w:t>2022)</w:t>
      </w:r>
      <w:r w:rsidR="00C9757B">
        <w:rPr>
          <w:rFonts w:ascii="Georgia" w:eastAsia="Georgia" w:hAnsi="Georgia" w:cs="Georgia"/>
        </w:rPr>
        <w:fldChar w:fldCharType="end"/>
      </w:r>
      <w:r>
        <w:rPr>
          <w:rFonts w:ascii="Georgia" w:eastAsia="Georgia" w:hAnsi="Georgia" w:cs="Georgia"/>
        </w:rPr>
        <w:t xml:space="preserve"> utili</w:t>
      </w:r>
      <w:r w:rsidR="00844106">
        <w:rPr>
          <w:rFonts w:ascii="Georgia" w:eastAsia="Georgia" w:hAnsi="Georgia" w:cs="Georgia"/>
        </w:rPr>
        <w:t>s</w:t>
      </w:r>
      <w:r>
        <w:rPr>
          <w:rFonts w:ascii="Georgia" w:eastAsia="Georgia" w:hAnsi="Georgia" w:cs="Georgia"/>
        </w:rPr>
        <w:t>ed a similar methodology to visuali</w:t>
      </w:r>
      <w:r w:rsidR="00844106">
        <w:rPr>
          <w:rFonts w:ascii="Georgia" w:eastAsia="Georgia" w:hAnsi="Georgia" w:cs="Georgia"/>
        </w:rPr>
        <w:t>s</w:t>
      </w:r>
      <w:r>
        <w:rPr>
          <w:rFonts w:ascii="Georgia" w:eastAsia="Georgia" w:hAnsi="Georgia" w:cs="Georgia"/>
        </w:rPr>
        <w:t>e literature on healthy buildings. Hence, this research elaborates on the keywords: pandemic, architecture, space</w:t>
      </w:r>
      <w:r w:rsidR="00844106">
        <w:rPr>
          <w:rFonts w:ascii="Georgia" w:eastAsia="Georgia" w:hAnsi="Georgia" w:cs="Georgia"/>
        </w:rPr>
        <w:t>,</w:t>
      </w:r>
      <w:r>
        <w:rPr>
          <w:rFonts w:ascii="Georgia" w:eastAsia="Georgia" w:hAnsi="Georgia" w:cs="Georgia"/>
        </w:rPr>
        <w:t xml:space="preserve"> and ventilation to create a framework for pandemic</w:t>
      </w:r>
      <w:r w:rsidR="00844106">
        <w:rPr>
          <w:rFonts w:ascii="Georgia" w:eastAsia="Georgia" w:hAnsi="Georgia" w:cs="Georgia"/>
        </w:rPr>
        <w:t>-</w:t>
      </w:r>
      <w:r>
        <w:rPr>
          <w:rFonts w:ascii="Georgia" w:eastAsia="Georgia" w:hAnsi="Georgia" w:cs="Georgia"/>
        </w:rPr>
        <w:t>resilient hospitals.</w:t>
      </w:r>
    </w:p>
    <w:p w14:paraId="2AA5D5BC" w14:textId="77777777" w:rsidR="00695365" w:rsidRDefault="00366511">
      <w:pPr>
        <w:spacing w:before="240" w:after="60" w:line="228" w:lineRule="auto"/>
        <w:ind w:left="2608"/>
        <w:rPr>
          <w:rFonts w:ascii="Georgia" w:eastAsia="Georgia" w:hAnsi="Georgia" w:cs="Georgia"/>
          <w:b/>
        </w:rPr>
      </w:pPr>
      <w:r>
        <w:rPr>
          <w:rFonts w:ascii="Georgia" w:eastAsia="Georgia" w:hAnsi="Georgia" w:cs="Georgia"/>
          <w:noProof/>
          <w:lang w:val="en-IN" w:eastAsia="en-IN"/>
        </w:rPr>
        <w:drawing>
          <wp:inline distT="114300" distB="114300" distL="114300" distR="114300" wp14:anchorId="1ABA8FC3" wp14:editId="0229DD85">
            <wp:extent cx="4962525" cy="3114675"/>
            <wp:effectExtent l="0" t="0" r="9525" b="9525"/>
            <wp:docPr id="1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9"/>
                    <a:srcRect l="2523" r="2719"/>
                    <a:stretch/>
                  </pic:blipFill>
                  <pic:spPr bwMode="auto">
                    <a:xfrm>
                      <a:off x="0" y="0"/>
                      <a:ext cx="4966166" cy="3116960"/>
                    </a:xfrm>
                    <a:prstGeom prst="rect">
                      <a:avLst/>
                    </a:prstGeom>
                    <a:ln>
                      <a:noFill/>
                    </a:ln>
                    <a:extLst>
                      <a:ext uri="{53640926-AAD7-44D8-BBD7-CCE9431645EC}">
                        <a14:shadowObscured xmlns:a14="http://schemas.microsoft.com/office/drawing/2010/main"/>
                      </a:ext>
                    </a:extLst>
                  </pic:spPr>
                </pic:pic>
              </a:graphicData>
            </a:graphic>
          </wp:inline>
        </w:drawing>
      </w:r>
    </w:p>
    <w:p w14:paraId="37055501" w14:textId="0A040DCE" w:rsidR="00695365" w:rsidRDefault="00366511" w:rsidP="00813A59">
      <w:pPr>
        <w:spacing w:before="240" w:after="60" w:line="228" w:lineRule="auto"/>
        <w:ind w:left="2552"/>
        <w:rPr>
          <w:rFonts w:ascii="Georgia" w:eastAsia="Georgia" w:hAnsi="Georgia" w:cs="Georgia"/>
        </w:rPr>
        <w:sectPr w:rsidR="00695365">
          <w:headerReference w:type="even" r:id="rId10"/>
          <w:headerReference w:type="default" r:id="rId11"/>
          <w:footerReference w:type="even" r:id="rId12"/>
          <w:footerReference w:type="default" r:id="rId13"/>
          <w:headerReference w:type="first" r:id="rId14"/>
          <w:footerReference w:type="first" r:id="rId15"/>
          <w:pgSz w:w="11906" w:h="16838"/>
          <w:pgMar w:top="1418" w:right="720" w:bottom="1077" w:left="720" w:header="1021" w:footer="340" w:gutter="0"/>
          <w:pgNumType w:start="1"/>
          <w:cols w:space="720"/>
          <w:titlePg/>
        </w:sectPr>
      </w:pPr>
      <w:r>
        <w:rPr>
          <w:rFonts w:ascii="Georgia" w:eastAsia="Georgia" w:hAnsi="Georgia" w:cs="Georgia"/>
          <w:sz w:val="18"/>
          <w:szCs w:val="18"/>
        </w:rPr>
        <w:t>Figure 1</w:t>
      </w:r>
      <w:r w:rsidR="00466E51">
        <w:rPr>
          <w:rFonts w:ascii="Georgia" w:eastAsia="Georgia" w:hAnsi="Georgia" w:cs="Georgia"/>
          <w:sz w:val="18"/>
          <w:szCs w:val="18"/>
        </w:rPr>
        <w:t>:</w:t>
      </w:r>
      <w:r>
        <w:rPr>
          <w:rFonts w:ascii="Georgia" w:eastAsia="Georgia" w:hAnsi="Georgia" w:cs="Georgia"/>
          <w:sz w:val="18"/>
          <w:szCs w:val="18"/>
        </w:rPr>
        <w:t xml:space="preserve"> Bibliometric network for keywords “post pandemic design of hospitals Source: VOS viewer</w:t>
      </w:r>
    </w:p>
    <w:p w14:paraId="629ADAAF" w14:textId="6DEDD550" w:rsidR="00695365" w:rsidRDefault="00366511" w:rsidP="00813A59">
      <w:pPr>
        <w:spacing w:before="240" w:after="60" w:line="228" w:lineRule="auto"/>
        <w:ind w:left="2552"/>
        <w:rPr>
          <w:rFonts w:ascii="Georgia" w:eastAsia="Georgia" w:hAnsi="Georgia" w:cs="Georgia"/>
        </w:rPr>
      </w:pPr>
      <w:r>
        <w:rPr>
          <w:rFonts w:ascii="Georgia" w:eastAsia="Georgia" w:hAnsi="Georgia" w:cs="Georgia"/>
        </w:rPr>
        <w:t>The PRISMA technique was used to understand the literature review (</w:t>
      </w:r>
      <w:r w:rsidR="00844106">
        <w:rPr>
          <w:rFonts w:ascii="Georgia" w:eastAsia="Georgia" w:hAnsi="Georgia" w:cs="Georgia"/>
        </w:rPr>
        <w:t>F</w:t>
      </w:r>
      <w:r>
        <w:rPr>
          <w:rFonts w:ascii="Georgia" w:eastAsia="Georgia" w:hAnsi="Georgia" w:cs="Georgia"/>
        </w:rPr>
        <w:t>igure 2). The criteria for paper selection were that the research should focus on the design of hospitals and be published in the past decade. The themes</w:t>
      </w:r>
      <w:r w:rsidR="00844106">
        <w:rPr>
          <w:rFonts w:ascii="Georgia" w:eastAsia="Georgia" w:hAnsi="Georgia" w:cs="Georgia"/>
        </w:rPr>
        <w:t xml:space="preserve"> of</w:t>
      </w:r>
      <w:r>
        <w:rPr>
          <w:rFonts w:ascii="Georgia" w:eastAsia="Georgia" w:hAnsi="Georgia" w:cs="Georgia"/>
        </w:rPr>
        <w:t xml:space="preserve"> ventilation, space planning</w:t>
      </w:r>
      <w:r w:rsidR="00844106">
        <w:rPr>
          <w:rFonts w:ascii="Georgia" w:eastAsia="Georgia" w:hAnsi="Georgia" w:cs="Georgia"/>
        </w:rPr>
        <w:t>,</w:t>
      </w:r>
      <w:r>
        <w:rPr>
          <w:rFonts w:ascii="Georgia" w:eastAsia="Georgia" w:hAnsi="Georgia" w:cs="Georgia"/>
        </w:rPr>
        <w:t xml:space="preserve"> and </w:t>
      </w:r>
      <w:r>
        <w:rPr>
          <w:rFonts w:ascii="Georgia" w:eastAsia="Georgia" w:hAnsi="Georgia" w:cs="Georgia"/>
        </w:rPr>
        <w:br/>
        <w:t xml:space="preserve">materials </w:t>
      </w:r>
      <w:r w:rsidR="00844106">
        <w:rPr>
          <w:rFonts w:ascii="Georgia" w:eastAsia="Georgia" w:hAnsi="Georgia" w:cs="Georgia"/>
        </w:rPr>
        <w:t xml:space="preserve">were used </w:t>
      </w:r>
      <w:r>
        <w:rPr>
          <w:rFonts w:ascii="Georgia" w:eastAsia="Georgia" w:hAnsi="Georgia" w:cs="Georgia"/>
        </w:rPr>
        <w:t>to address the most pressing problems regarding</w:t>
      </w:r>
      <w:r>
        <w:rPr>
          <w:rFonts w:ascii="Georgia" w:eastAsia="Georgia" w:hAnsi="Georgia" w:cs="Georgia"/>
          <w:b/>
        </w:rPr>
        <w:t xml:space="preserve"> </w:t>
      </w:r>
      <w:r>
        <w:rPr>
          <w:rFonts w:ascii="Georgia" w:eastAsia="Georgia" w:hAnsi="Georgia" w:cs="Georgia"/>
        </w:rPr>
        <w:t xml:space="preserve">hospital design. </w:t>
      </w:r>
    </w:p>
    <w:p w14:paraId="69C444D0" w14:textId="77777777" w:rsidR="00695365" w:rsidRDefault="00B1288E">
      <w:pPr>
        <w:spacing w:before="240" w:after="60" w:line="228" w:lineRule="auto"/>
        <w:ind w:left="2608"/>
        <w:rPr>
          <w:rFonts w:ascii="Georgia" w:eastAsia="Georgia" w:hAnsi="Georgia" w:cs="Georgia"/>
          <w:b/>
        </w:rPr>
      </w:pPr>
      <w:r>
        <w:rPr>
          <w:noProof/>
          <w:lang w:val="en-IN" w:eastAsia="en-IN"/>
        </w:rPr>
        <w:lastRenderedPageBreak/>
        <w:drawing>
          <wp:inline distT="0" distB="0" distL="0" distR="0" wp14:anchorId="1B23FB34" wp14:editId="4E68C319">
            <wp:extent cx="5114925" cy="4136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14925" cy="4136204"/>
                    </a:xfrm>
                    <a:prstGeom prst="rect">
                      <a:avLst/>
                    </a:prstGeom>
                  </pic:spPr>
                </pic:pic>
              </a:graphicData>
            </a:graphic>
          </wp:inline>
        </w:drawing>
      </w:r>
    </w:p>
    <w:p w14:paraId="2990C637" w14:textId="49E7DA3F" w:rsidR="00695365" w:rsidRDefault="00366511">
      <w:pPr>
        <w:jc w:val="center"/>
        <w:rPr>
          <w:rFonts w:ascii="Georgia" w:eastAsia="Georgia" w:hAnsi="Georgia" w:cs="Georgia"/>
        </w:rPr>
      </w:pPr>
      <w:r>
        <w:rPr>
          <w:rFonts w:ascii="Georgia" w:eastAsia="Georgia" w:hAnsi="Georgia" w:cs="Georgia"/>
          <w:sz w:val="18"/>
          <w:szCs w:val="18"/>
        </w:rPr>
        <w:t xml:space="preserve">  Figure 2</w:t>
      </w:r>
      <w:r w:rsidR="00844106">
        <w:rPr>
          <w:rFonts w:ascii="Georgia" w:eastAsia="Georgia" w:hAnsi="Georgia" w:cs="Georgia"/>
          <w:sz w:val="18"/>
          <w:szCs w:val="18"/>
        </w:rPr>
        <w:t>:</w:t>
      </w:r>
      <w:r>
        <w:rPr>
          <w:rFonts w:ascii="Georgia" w:eastAsia="Georgia" w:hAnsi="Georgia" w:cs="Georgia"/>
          <w:sz w:val="18"/>
          <w:szCs w:val="18"/>
        </w:rPr>
        <w:t xml:space="preserve"> PRISMA technique (Source: authors)</w:t>
      </w:r>
    </w:p>
    <w:p w14:paraId="3210FFFA" w14:textId="77777777" w:rsidR="00695365" w:rsidRDefault="00366511">
      <w:pPr>
        <w:spacing w:before="240" w:after="60" w:line="228" w:lineRule="auto"/>
        <w:ind w:left="2608"/>
        <w:rPr>
          <w:rFonts w:ascii="Georgia" w:eastAsia="Georgia" w:hAnsi="Georgia" w:cs="Georgia"/>
          <w:b/>
        </w:rPr>
      </w:pPr>
      <w:r>
        <w:rPr>
          <w:rFonts w:ascii="Georgia" w:eastAsia="Georgia" w:hAnsi="Georgia" w:cs="Georgia"/>
          <w:b/>
          <w:noProof/>
          <w:lang w:val="en-IN" w:eastAsia="en-IN"/>
        </w:rPr>
        <w:drawing>
          <wp:inline distT="0" distB="0" distL="0" distR="0" wp14:anchorId="24117252" wp14:editId="14BC3ED3">
            <wp:extent cx="4485735" cy="3079631"/>
            <wp:effectExtent l="0" t="0" r="0" b="6985"/>
            <wp:docPr id="104" name="image6.png"/>
            <wp:cNvGraphicFramePr/>
            <a:graphic xmlns:a="http://schemas.openxmlformats.org/drawingml/2006/main">
              <a:graphicData uri="http://schemas.openxmlformats.org/drawingml/2006/picture">
                <pic:pic xmlns:pic="http://schemas.openxmlformats.org/drawingml/2006/picture">
                  <pic:nvPicPr>
                    <pic:cNvPr id="0" name="image6.png" descr="C:\Users\Priya\Documents\PhD application\SPA\Arch 22 conference paper\graphics\research questions.png"/>
                    <pic:cNvPicPr preferRelativeResize="0"/>
                  </pic:nvPicPr>
                  <pic:blipFill rotWithShape="1">
                    <a:blip r:embed="rId17" cstate="print">
                      <a:extLst>
                        <a:ext uri="{28A0092B-C50C-407E-A947-70E740481C1C}">
                          <a14:useLocalDpi xmlns:a14="http://schemas.microsoft.com/office/drawing/2010/main" val="0"/>
                        </a:ext>
                      </a:extLst>
                    </a:blip>
                    <a:srcRect b="8462"/>
                    <a:stretch/>
                  </pic:blipFill>
                  <pic:spPr bwMode="auto">
                    <a:xfrm>
                      <a:off x="0" y="0"/>
                      <a:ext cx="4485670" cy="3079586"/>
                    </a:xfrm>
                    <a:prstGeom prst="rect">
                      <a:avLst/>
                    </a:prstGeom>
                    <a:ln>
                      <a:noFill/>
                    </a:ln>
                    <a:extLst>
                      <a:ext uri="{53640926-AAD7-44D8-BBD7-CCE9431645EC}">
                        <a14:shadowObscured xmlns:a14="http://schemas.microsoft.com/office/drawing/2010/main"/>
                      </a:ext>
                    </a:extLst>
                  </pic:spPr>
                </pic:pic>
              </a:graphicData>
            </a:graphic>
          </wp:inline>
        </w:drawing>
      </w:r>
    </w:p>
    <w:p w14:paraId="5138E50C" w14:textId="581D5785" w:rsidR="00695365" w:rsidRDefault="00366511">
      <w:pPr>
        <w:spacing w:before="240" w:after="60" w:line="228" w:lineRule="auto"/>
        <w:ind w:left="2608"/>
        <w:rPr>
          <w:rFonts w:ascii="Georgia" w:eastAsia="Georgia" w:hAnsi="Georgia" w:cs="Georgia"/>
          <w:sz w:val="18"/>
          <w:szCs w:val="18"/>
        </w:rPr>
      </w:pPr>
      <w:r>
        <w:rPr>
          <w:rFonts w:ascii="Georgia" w:eastAsia="Georgia" w:hAnsi="Georgia" w:cs="Georgia"/>
          <w:sz w:val="18"/>
          <w:szCs w:val="18"/>
        </w:rPr>
        <w:t>Figure 3</w:t>
      </w:r>
      <w:r w:rsidR="00844106">
        <w:rPr>
          <w:rFonts w:ascii="Georgia" w:eastAsia="Georgia" w:hAnsi="Georgia" w:cs="Georgia"/>
          <w:sz w:val="18"/>
          <w:szCs w:val="18"/>
        </w:rPr>
        <w:t>:</w:t>
      </w:r>
      <w:r>
        <w:rPr>
          <w:rFonts w:ascii="Georgia" w:eastAsia="Georgia" w:hAnsi="Georgia" w:cs="Georgia"/>
          <w:sz w:val="18"/>
          <w:szCs w:val="18"/>
        </w:rPr>
        <w:t xml:space="preserve"> Steps in the </w:t>
      </w:r>
      <w:r w:rsidR="00844106">
        <w:rPr>
          <w:rFonts w:ascii="Georgia" w:eastAsia="Georgia" w:hAnsi="Georgia" w:cs="Georgia"/>
          <w:sz w:val="18"/>
          <w:szCs w:val="18"/>
        </w:rPr>
        <w:t>M</w:t>
      </w:r>
      <w:r>
        <w:rPr>
          <w:rFonts w:ascii="Georgia" w:eastAsia="Georgia" w:hAnsi="Georgia" w:cs="Georgia"/>
          <w:sz w:val="18"/>
          <w:szCs w:val="18"/>
        </w:rPr>
        <w:t>ethodology (Source: authors)</w:t>
      </w:r>
    </w:p>
    <w:p w14:paraId="5AF9630D" w14:textId="77777777" w:rsidR="00817C99" w:rsidRDefault="00817C99">
      <w:pPr>
        <w:spacing w:before="240" w:after="60" w:line="228" w:lineRule="auto"/>
        <w:ind w:left="2608"/>
        <w:rPr>
          <w:rFonts w:ascii="Georgia" w:eastAsia="Georgia" w:hAnsi="Georgia" w:cs="Georgia"/>
        </w:rPr>
      </w:pPr>
    </w:p>
    <w:p w14:paraId="2C59E1E9" w14:textId="77777777" w:rsidR="00817C99" w:rsidRDefault="00817C99">
      <w:pPr>
        <w:spacing w:before="240" w:after="60" w:line="228" w:lineRule="auto"/>
        <w:ind w:left="2608"/>
        <w:rPr>
          <w:rFonts w:ascii="Georgia" w:eastAsia="Georgia" w:hAnsi="Georgia" w:cs="Georgia"/>
        </w:rPr>
      </w:pPr>
    </w:p>
    <w:p w14:paraId="0D7CA472" w14:textId="200041A4" w:rsidR="00070C8A" w:rsidRDefault="00070C8A">
      <w:pPr>
        <w:spacing w:before="240" w:after="60" w:line="228" w:lineRule="auto"/>
        <w:ind w:left="2608"/>
        <w:rPr>
          <w:rFonts w:ascii="Georgia" w:eastAsia="Georgia" w:hAnsi="Georgia" w:cs="Georgia"/>
          <w:b/>
        </w:rPr>
      </w:pPr>
    </w:p>
    <w:p w14:paraId="27CFEE5D" w14:textId="53C96783" w:rsidR="00695365" w:rsidRPr="008B2EBE" w:rsidRDefault="00366511" w:rsidP="00813A59">
      <w:pPr>
        <w:spacing w:before="280" w:after="280" w:line="240" w:lineRule="auto"/>
        <w:ind w:left="2552"/>
        <w:jc w:val="left"/>
        <w:rPr>
          <w:rFonts w:ascii="Georgia" w:eastAsia="Georgia" w:hAnsi="Georgia" w:cs="Georgia"/>
          <w:b/>
        </w:rPr>
      </w:pPr>
      <w:r>
        <w:rPr>
          <w:rFonts w:ascii="Georgia" w:eastAsia="Georgia" w:hAnsi="Georgia" w:cs="Georgia"/>
          <w:b/>
        </w:rPr>
        <w:lastRenderedPageBreak/>
        <w:t>3 Results</w:t>
      </w:r>
      <w:r w:rsidR="008B2EBE">
        <w:rPr>
          <w:rFonts w:ascii="Georgia" w:eastAsia="Georgia" w:hAnsi="Georgia" w:cs="Georgia"/>
          <w:b/>
        </w:rPr>
        <w:t xml:space="preserve">: </w:t>
      </w:r>
      <w:r w:rsidRPr="008B2EBE">
        <w:rPr>
          <w:rFonts w:ascii="Georgia" w:eastAsia="Georgia" w:hAnsi="Georgia" w:cs="Georgia"/>
          <w:b/>
        </w:rPr>
        <w:t>History of past epidemiological disease</w:t>
      </w:r>
    </w:p>
    <w:p w14:paraId="0629091D" w14:textId="77777777" w:rsidR="008B2EBE" w:rsidRPr="00813A59" w:rsidRDefault="00504561" w:rsidP="008B2EBE">
      <w:pPr>
        <w:spacing w:before="280" w:after="280" w:line="240" w:lineRule="auto"/>
        <w:ind w:left="2552"/>
        <w:jc w:val="left"/>
        <w:rPr>
          <w:rFonts w:ascii="Georgia" w:eastAsia="Georgia" w:hAnsi="Georgia" w:cs="Georgia"/>
          <w:b/>
        </w:rPr>
      </w:pPr>
      <w:r w:rsidRPr="00813A59">
        <w:rPr>
          <w:rFonts w:ascii="Georgia" w:eastAsia="Georgia" w:hAnsi="Georgia" w:cs="Georgia"/>
          <w:b/>
        </w:rPr>
        <w:t>3.1 Short-term measures</w:t>
      </w:r>
    </w:p>
    <w:p w14:paraId="0C378A7B" w14:textId="62F5AE35" w:rsidR="00504561" w:rsidRPr="00813A59" w:rsidRDefault="00504561" w:rsidP="00813A59">
      <w:pPr>
        <w:pStyle w:val="MDPI22heading2"/>
        <w:numPr>
          <w:ilvl w:val="0"/>
          <w:numId w:val="9"/>
        </w:numPr>
        <w:spacing w:before="240"/>
        <w:ind w:left="2835" w:hanging="283"/>
        <w:jc w:val="left"/>
        <w:rPr>
          <w:rFonts w:ascii="Georgia" w:eastAsia="Georgia" w:hAnsi="Georgia" w:cs="Georgia"/>
          <w:i w:val="0"/>
          <w:iCs/>
        </w:rPr>
      </w:pPr>
      <w:r w:rsidRPr="00813A59">
        <w:rPr>
          <w:rFonts w:ascii="Georgia" w:eastAsia="Georgia" w:hAnsi="Georgia" w:cs="Georgia"/>
          <w:i w:val="0"/>
          <w:iCs/>
        </w:rPr>
        <w:t>Conversion of structures to healthcare units for pandemics</w:t>
      </w:r>
    </w:p>
    <w:p w14:paraId="49C85791" w14:textId="77777777" w:rsidR="00504561" w:rsidRDefault="00504561" w:rsidP="00813A59">
      <w:pPr>
        <w:spacing w:before="280" w:after="280" w:line="240" w:lineRule="auto"/>
        <w:ind w:left="2552"/>
        <w:rPr>
          <w:rFonts w:ascii="Georgia" w:eastAsia="Georgia" w:hAnsi="Georgia" w:cs="Georgia"/>
        </w:rPr>
      </w:pPr>
      <w:r>
        <w:rPr>
          <w:rFonts w:ascii="Georgia" w:eastAsia="Georgia" w:hAnsi="Georgia" w:cs="Georgia"/>
        </w:rPr>
        <w:t xml:space="preserve">During the peak of the coronavirus pandemic, the healthcare facilities were unable to accommodate the large influx of patients, thus, countries such as the United Kingdom transformed buildings into temporary healthcare structures </w:t>
      </w:r>
      <w:r>
        <w:rPr>
          <w:rFonts w:ascii="Georgia" w:eastAsia="Georgia" w:hAnsi="Georgia" w:cs="Georgia"/>
        </w:rPr>
        <w:fldChar w:fldCharType="begin" w:fldLock="1"/>
      </w:r>
      <w:r>
        <w:rPr>
          <w:rFonts w:ascii="Georgia" w:eastAsia="Georgia" w:hAnsi="Georgia" w:cs="Georgia"/>
        </w:rPr>
        <w:instrText>ADDIN CSL_CITATION {"citationItems":[{"id":"ITEM-1","itemData":{"DOI":"10.1016/j.pdisas.2020.100130","abstract":"The outbreak of a pandemic of global concern, the Corona Virus Disease 2019 (COVID-19) has tested the capacity of healthcare facilities to the brim in many developed countries. In a minacious fashion of rapid spread and extreme transmission rate, COVID-19 has triggered a shortage of healthcare facilities such as hospital bed spaces and ventilators. Various strategies have been adopted by the worst-hit countries to slacken or halt the spread of the virus. Common Isolation Space Creation (ISC) measures for the COVID-19 pandemic containment includes self-isolation at home, isolation at regular hospitals, isolation at existing epidemic hospitals, isolation at retrofitted buildings for an emergency, isolation at Temporary Mobile Cabins (TMCs), isolation at newly constructed temporary hospitals for COVID-19. This study evaluates the ISC measures and proposes offsite and modular solutions for the construction industry and built environment to respond to emergencies. While this study has proposed a solution for creating emergency isolation spaces for effective containment of such pandemic, other critical COVID-19 challenges such as the shortage of healthcare staff and other facilities are not addressed in this study.","author":[{"dropping-particle":"","family":"Gbadamosi","given":"Abdul-Quayyum","non-dropping-particle":"","parse-names":false,"suffix":""},{"dropping-particle":"","family":"Oyedele","given":"Lukumon","non-dropping-particle":"","parse-names":false,"suffix":""},{"dropping-particle":"","family":"Olawale","given":"Oladimeji","non-dropping-particle":"","parse-names":false,"suffix":""},{"dropping-particle":"","family":"Abioye","given":"Sofiat","non-dropping-particle":"","parse-names":false,"suffix":""}],"container-title":"Progress in Disaster Science","id":"ITEM-1","issued":{"date-parts":[["2020"]]},"page":"100130","title":"Offsite Construction for Emergencies: A focus on Isolation Space Creation (ISC) measures for the COVID-19 pandemic","type":"article-journal","volume":"8"},"uris":["http://www.mendeley.com/documents/?uuid=2d387da3-8850-399e-addc-3bec0b7bf0c6"]}],"mendeley":{"formattedCitation":"(Gbadamosi et al., 2020)","plainTextFormattedCitation":"(Gbadamosi et al., 2020)","previouslyFormattedCitation":"(Gbadamosi et al., 2020)"},"properties":{"noteIndex":0},"schema":"https://github.com/citation-style-language/schema/raw/master/csl-citation.json"}</w:instrText>
      </w:r>
      <w:r>
        <w:rPr>
          <w:rFonts w:ascii="Georgia" w:eastAsia="Georgia" w:hAnsi="Georgia" w:cs="Georgia"/>
        </w:rPr>
        <w:fldChar w:fldCharType="separate"/>
      </w:r>
      <w:r w:rsidRPr="00101749">
        <w:rPr>
          <w:rFonts w:ascii="Georgia" w:eastAsia="Georgia" w:hAnsi="Georgia" w:cs="Georgia"/>
          <w:noProof/>
        </w:rPr>
        <w:t>(Gbadamosi et al., 2020)</w:t>
      </w:r>
      <w:r>
        <w:rPr>
          <w:rFonts w:ascii="Georgia" w:eastAsia="Georgia" w:hAnsi="Georgia" w:cs="Georgia"/>
        </w:rPr>
        <w:fldChar w:fldCharType="end"/>
      </w:r>
      <w:r>
        <w:rPr>
          <w:rFonts w:ascii="Georgia" w:eastAsia="Georgia" w:hAnsi="Georgia" w:cs="Georgia"/>
        </w:rPr>
        <w:t xml:space="preserve">. However, the probability of cross-infection increased as the HVAC did not meet the ventilation requirements of a hospital: fresh air, individual thermal comfort control, and air filtration </w:t>
      </w:r>
      <w:r>
        <w:rPr>
          <w:rFonts w:ascii="Georgia" w:eastAsia="Georgia" w:hAnsi="Georgia" w:cs="Georgia"/>
        </w:rPr>
        <w:fldChar w:fldCharType="begin" w:fldLock="1"/>
      </w:r>
      <w:r>
        <w:rPr>
          <w:rFonts w:ascii="Georgia" w:eastAsia="Georgia" w:hAnsi="Georgia" w:cs="Georgia"/>
        </w:rPr>
        <w:instrText>ADDIN CSL_CITATION {"citationItems":[{"id":"ITEM-1","itemData":{"author":[{"dropping-particle":"","family":"Xu","given":"Zhe","non-dropping-particle":"","parse-names":false,"suffix":""},{"dropping-particle":"","family":"Shi","given":"Lei","non-dropping-particle":"","parse-names":false,"suffix":""},{"dropping-particle":"","family":"Wang","given":"Yijin","non-dropping-particle":"","parse-names":false,"suffix":""},{"dropping-particle":"","family":"Zhang","given":"Jiyuan","non-dropping-particle":"","parse-names":false,"suffix":""},{"dropping-particle":"","family":"Huang","given":"Lei","non-dropping-particle":"","parse-names":false,"suffix":""},{"dropping-particle":"","family":"Zhang","given":"Chao","non-dropping-particle":"","parse-names":false,"suffix":""},{"dropping-particle":"","family":"Liu","given":"Shuhong","non-dropping-particle":"","parse-names":false,"suffix":""},{"dropping-particle":"","family":"Zhao","given":"Peng","non-dropping-particle":"","parse-names":false,"suffix":""},{"dropping-particle":"","family":"Liu","given":"Hongxia","non-dropping-particle":"","parse-names":false,"suffix":""},{"dropping-particle":"","family":"Zhu","given":"Li","non-dropping-particle":"","parse-names":false,"suffix":""},{"dropping-particle":"","family":"Tai","given":"Yanhong","non-dropping-particle":"","parse-names":false,"suffix":""},{"dropping-particle":"","family":"Bai","given":"Changqing","non-dropping-particle":"","parse-names":false,"suffix":""}],"id":"ITEM-1","issue":"January","issued":{"date-parts":[["2020"]]},"title":"Since January 2020 Elsevier has created a COVID-19 resource centre with free information in English and Mandarin on the novel coronavirus COVID- research that is available on the COVID-19 resource centre - including this for unrestricted research re-use a","type":"article-journal"},"uris":["http://www.mendeley.com/documents/?uuid=d3ac7efc-7ae2-4391-8aaa-c2a4f2bba8db"]},{"id":"ITEM-2","itemData":{"DOI":"10.1016/j.envint.2020.105832","ISSN":"18736750","PMID":"32521345","abstract":"During the rapid rise in COVID-19 illnesses and deaths globally, and notwithstanding recommended precautions, questions are voiced about routes of transmission for this pandemic disease. Inhaling small airborne droplets is probable as a third route of infection, in addition to more widely recognized transmission via larger respiratory droplets and direct contact with infected people or contaminated surfaces. While uncertainties remain regarding the relative contributions of the different transmission pathways, we argue that existing evidence is sufficiently strong to warrant engineering controls targeting airborne transmission as part of an overall strategy to limit infection risk indoors. Appropriate building engineering controls include sufficient and effective ventilation, possibly enhanced by particle filtration and air disinfection, avoiding air recirculation and avoiding overcrowding. Often, such measures can be easily implemented and without much cost, but if only they are recognised as significant in contributing to infection control goals. We believe that the use of engineering controls in public buildings, including hospitals, shops, offices, schools, kindergartens, libraries, restaurants, cruise ships, elevators, conference rooms or public transport, in parallel with effective application of other controls (including isolation and quarantine, social distancing and hand hygiene), would be an additional important measure globally to reduce the likelihood of transmission and thereby protect healthcare workers, patients and the general public.","author":[{"dropping-particle":"","family":"Morawska","given":"Lidia","non-dropping-particle":"","parse-names":false,"suffix":""},{"dropping-particle":"","family":"Tang","given":"Julian W.","non-dropping-particle":"","parse-names":false,"suffix":""},{"dropping-particle":"","family":"Bahnfleth","given":"William","non-dropping-particle":"","parse-names":false,"suffix":""},{"dropping-particle":"","family":"Bluyssen","given":"Philomena M.","non-dropping-particle":"","parse-names":false,"suffix":""},{"dropping-particle":"","family":"Boerstra","given":"Atze","non-dropping-particle":"","parse-names":false,"suffix":""},{"dropping-particle":"","family":"Buonanno","given":"Giorgio","non-dropping-particle":"","parse-names":false,"suffix":""},{"dropping-particle":"","family":"Cao","given":"Junji","non-dropping-particle":"","parse-names":false,"suffix":""},{"dropping-particle":"","family":"Dancer","given":"Stephanie","non-dropping-particle":"","parse-names":false,"suffix":""},{"dropping-particle":"","family":"Floto","given":"Andres","non-dropping-particle":"","parse-names":false,"suffix":""},{"dropping-particle":"","family":"Franchimon","given":"Francesco","non-dropping-particle":"","parse-names":false,"suffix":""},{"dropping-particle":"","family":"Haworth","given":"Charles","non-dropping-particle":"","parse-names":false,"suffix":""},{"dropping-particle":"","family":"Hogeling","given":"Jaap","non-dropping-particle":"","parse-names":false,"suffix":""},{"dropping-particle":"","family":"Isaxon","given":"Christina","non-dropping-particle":"","parse-names":false,"suffix":""},{"dropping-particle":"","family":"Jimenez","given":"Jose L.","non-dropping-particle":"","parse-names":false,"suffix":""},{"dropping-particle":"","family":"Kurnitski","given":"Jarek","non-dropping-particle":"","parse-names":false,"suffix":""},{"dropping-particle":"","family":"Li","given":"Yuguo","non-dropping-particle":"","parse-names":false,"suffix":""},{"dropping-particle":"","family":"Loomans","given":"Marcel","non-dropping-particle":"","parse-names":false,"suffix":""},{"dropping-particle":"","family":"Marks","given":"Guy","non-dropping-particle":"","parse-names":false,"suffix":""},{"dropping-particle":"","family":"Marr","given":"Linsey C.","non-dropping-particle":"","parse-names":false,"suffix":""},{"dropping-particle":"","family":"Mazzarella","given":"Livio","non-dropping-particle":"","parse-names":false,"suffix":""},{"dropping-particle":"","family":"Melikov","given":"Arsen Krikor","non-dropping-particle":"","parse-names":false,"suffix":""},{"dropping-particle":"","family":"Miller","given":"Shelly","non-dropping-particle":"","parse-names":false,"suffix":""},{"dropping-particle":"","family":"Milton","given":"Donald K.","non-dropping-particle":"","parse-names":false,"suffix":""},{"dropping-particle":"","family":"Nazaroff","given":"William","non-dropping-particle":"","parse-names":false,"suffix":""},{"dropping-particle":"V.","family":"Nielsen","given":"Peter","non-dropping-particle":"","parse-names":false,"suffix":""},{"dropping-particle":"","family":"Noakes","given":"Catherine","non-dropping-particle":"","parse-names":false,"suffix":""},{"dropping-particle":"","family":"Peccia","given":"Jordan","non-dropping-particle":"","parse-names":false,"suffix":""},{"dropping-particle":"","family":"Querol","given":"Xavier","non-dropping-particle":"","parse-names":false,"suffix":""},{"dropping-particle":"","family":"Sekhar","given":"Chandra","non-dropping-particle":"","parse-names":false,"suffix":""},{"dropping-particle":"","family":"Seppänen","given":"Olli","non-dropping-particle":"","parse-names":false,"suffix":""},{"dropping-particle":"","family":"Tanabe","given":"Shin ichi","non-dropping-particle":"","parse-names":false,"suffix":""},{"dropping-particle":"","family":"Tellier","given":"Raymond","non-dropping-particle":"","parse-names":false,"suffix":""},{"dropping-particle":"","family":"Tham","given":"Kwok Wai","non-dropping-particle":"","parse-names":false,"suffix":""},{"dropping-particle":"","family":"Wargocki","given":"Pawel","non-dropping-particle":"","parse-names":false,"suffix":""},{"dropping-particle":"","family":"Wierzbicka","given":"Aneta","non-dropping-particle":"","parse-names":false,"suffix":""},{"dropping-particle":"","family":"Yao","given":"Maosheng","non-dropping-particle":"","parse-names":false,"suffix":""}],"container-title":"Environment International","id":"ITEM-2","issue":"May","issued":{"date-parts":[["2020"]]},"title":"How can airborne transmission of COVID-19 indoors be minimised?","type":"article-journal","volume":"142"},"uris":["http://www.mendeley.com/documents/?uuid=d787bf48-db7a-436d-8672-ea3cd13a41c2"]}],"mendeley":{"formattedCitation":"(Morawska et al., 2020; Xu et al., 2020)","plainTextFormattedCitation":"(Morawska et al., 2020; Xu et al., 2020)","previouslyFormattedCitation":"(Morawska et al., 2020; Xu et al., 2020)"},"properties":{"noteIndex":0},"schema":"https://github.com/citation-style-language/schema/raw/master/csl-citation.json"}</w:instrText>
      </w:r>
      <w:r>
        <w:rPr>
          <w:rFonts w:ascii="Georgia" w:eastAsia="Georgia" w:hAnsi="Georgia" w:cs="Georgia"/>
        </w:rPr>
        <w:fldChar w:fldCharType="separate"/>
      </w:r>
      <w:r w:rsidRPr="00101749">
        <w:rPr>
          <w:rFonts w:ascii="Georgia" w:eastAsia="Georgia" w:hAnsi="Georgia" w:cs="Georgia"/>
          <w:noProof/>
        </w:rPr>
        <w:t>(Morawska et al., 2020; Xu et al., 2020)</w:t>
      </w:r>
      <w:r>
        <w:rPr>
          <w:rFonts w:ascii="Georgia" w:eastAsia="Georgia" w:hAnsi="Georgia" w:cs="Georgia"/>
        </w:rPr>
        <w:fldChar w:fldCharType="end"/>
      </w:r>
      <w:r>
        <w:rPr>
          <w:rFonts w:ascii="Georgia" w:eastAsia="Georgia" w:hAnsi="Georgia" w:cs="Georgia"/>
        </w:rPr>
        <w:t xml:space="preserve">. Hence, future public spaces will need more efficient HVAC and flexibility for conversion into emergency healthcare spaces </w:t>
      </w:r>
      <w:r>
        <w:rPr>
          <w:rFonts w:ascii="Georgia" w:eastAsia="Georgia" w:hAnsi="Georgia" w:cs="Georgia"/>
        </w:rPr>
        <w:fldChar w:fldCharType="begin" w:fldLock="1"/>
      </w:r>
      <w:r>
        <w:rPr>
          <w:rFonts w:ascii="Georgia" w:eastAsia="Georgia" w:hAnsi="Georgia" w:cs="Georgia"/>
        </w:rPr>
        <w:instrText>ADDIN CSL_CITATION {"citationItems":[{"id":"ITEM-1","itemData":{"author":[{"dropping-particle":"","family":"Megahed","given":"Naglaa A","non-dropping-particle":"","parse-names":false,"suffix":""},{"dropping-particle":"","family":"Ghoneim","given":"Ehab M","non-dropping-particle":"","parse-names":false,"suffix":""}],"id":"ITEM-1","issue":"January","issued":{"date-parts":[["2020"]]},"title":"Since January 2020 Elsevier has created a COVID-19 resource centre with free information in English and Mandarin on the novel coronavirus COVID- 19 . The COVID-19 resource centre is hosted on Elsevier Connect , the company ' s public news and information ","type":"article-journal"},"uris":["http://www.mendeley.com/documents/?uuid=32905160-815c-4d2f-a00c-6ced8f198183"]}],"mendeley":{"formattedCitation":"(Megahed &amp; Ghoneim, 2020)","plainTextFormattedCitation":"(Megahed &amp; Ghoneim, 2020)","previouslyFormattedCitation":"(Megahed &amp; Ghoneim, 2020)"},"properties":{"noteIndex":0},"schema":"https://github.com/citation-style-language/schema/raw/master/csl-citation.json"}</w:instrText>
      </w:r>
      <w:r>
        <w:rPr>
          <w:rFonts w:ascii="Georgia" w:eastAsia="Georgia" w:hAnsi="Georgia" w:cs="Georgia"/>
        </w:rPr>
        <w:fldChar w:fldCharType="separate"/>
      </w:r>
      <w:r w:rsidRPr="00101749">
        <w:rPr>
          <w:rFonts w:ascii="Georgia" w:eastAsia="Georgia" w:hAnsi="Georgia" w:cs="Georgia"/>
          <w:noProof/>
        </w:rPr>
        <w:t>(Megahed &amp; Ghoneim, 2020)</w:t>
      </w:r>
      <w:r>
        <w:rPr>
          <w:rFonts w:ascii="Georgia" w:eastAsia="Georgia" w:hAnsi="Georgia" w:cs="Georgia"/>
        </w:rPr>
        <w:fldChar w:fldCharType="end"/>
      </w:r>
      <w:r>
        <w:rPr>
          <w:rFonts w:ascii="Georgia" w:eastAsia="Georgia" w:hAnsi="Georgia" w:cs="Georgia"/>
        </w:rPr>
        <w:t>. </w:t>
      </w:r>
    </w:p>
    <w:p w14:paraId="25D42913" w14:textId="77777777" w:rsidR="00504561" w:rsidRPr="008B2EBE" w:rsidRDefault="00504561" w:rsidP="008B2EBE">
      <w:pPr>
        <w:spacing w:before="280" w:after="280" w:line="240" w:lineRule="auto"/>
        <w:ind w:left="2552"/>
        <w:jc w:val="left"/>
        <w:rPr>
          <w:rFonts w:ascii="Georgia" w:eastAsia="Georgia" w:hAnsi="Georgia" w:cs="Georgia"/>
          <w:b/>
          <w:bCs/>
        </w:rPr>
      </w:pPr>
      <w:r w:rsidRPr="008B2EBE">
        <w:rPr>
          <w:rFonts w:ascii="Georgia" w:eastAsia="Georgia" w:hAnsi="Georgia" w:cs="Georgia"/>
          <w:b/>
          <w:bCs/>
        </w:rPr>
        <w:t>3.2 Medium-term measures</w:t>
      </w:r>
    </w:p>
    <w:p w14:paraId="573877BF" w14:textId="4B48F7B6" w:rsidR="00504561" w:rsidRPr="00813A59" w:rsidRDefault="00504561" w:rsidP="00813A59">
      <w:pPr>
        <w:pStyle w:val="MDPI22heading2"/>
        <w:numPr>
          <w:ilvl w:val="0"/>
          <w:numId w:val="10"/>
        </w:numPr>
        <w:spacing w:before="240"/>
        <w:ind w:left="2835" w:hanging="283"/>
        <w:jc w:val="left"/>
        <w:rPr>
          <w:rFonts w:ascii="Georgia" w:eastAsia="Georgia" w:hAnsi="Georgia" w:cs="Georgia"/>
          <w:i w:val="0"/>
          <w:iCs/>
        </w:rPr>
      </w:pPr>
      <w:r w:rsidRPr="00813A59">
        <w:rPr>
          <w:rFonts w:ascii="Georgia" w:eastAsia="Georgia" w:hAnsi="Georgia" w:cs="Georgia"/>
          <w:i w:val="0"/>
          <w:iCs/>
        </w:rPr>
        <w:t>Ventilation in hospitals</w:t>
      </w:r>
    </w:p>
    <w:p w14:paraId="2C56BCEB" w14:textId="77777777" w:rsidR="00504561" w:rsidRDefault="00504561" w:rsidP="00813A59">
      <w:pPr>
        <w:spacing w:before="280" w:after="280" w:line="240" w:lineRule="auto"/>
        <w:ind w:left="2552"/>
        <w:rPr>
          <w:rFonts w:ascii="Georgia" w:eastAsia="Georgia" w:hAnsi="Georgia" w:cs="Georgia"/>
        </w:rPr>
      </w:pPr>
      <w:r w:rsidRPr="00504561">
        <w:rPr>
          <w:rFonts w:ascii="Georgia" w:eastAsia="Georgia" w:hAnsi="Georgia" w:cs="Georgia"/>
        </w:rPr>
        <w:t xml:space="preserve">To reduce the spread of viruses through the air while reducing carbon dioxide build up, air should not be recirculated. Instead, HVAC systems should use air from outside </w:t>
      </w:r>
      <w:r>
        <w:rPr>
          <w:rFonts w:ascii="Georgia" w:eastAsia="Georgia" w:hAnsi="Georgia" w:cs="Georgia"/>
        </w:rPr>
        <w:fldChar w:fldCharType="begin" w:fldLock="1"/>
      </w:r>
      <w:r>
        <w:rPr>
          <w:rFonts w:ascii="Georgia" w:eastAsia="Georgia" w:hAnsi="Georgia" w:cs="Georgia"/>
        </w:rPr>
        <w:instrText>ADDIN CSL_CITATION {"citationItems":[{"id":"ITEM-1","itemData":{"DOI":"10.7326/M18-3529","ISSN":"15393704","PMID":"31569228","author":[{"dropping-particle":"","family":"Popovich","given":"Kyle J.","non-dropping-particle":"","parse-names":false,"suffix":""},{"dropping-particle":"","family":"Calfee","given":"David P.","non-dropping-particle":"","parse-names":false,"suffix":""},{"dropping-particle":"","family":"Patel","given":"Payal K.","non-dropping-particle":"","parse-names":false,"suffix":""},{"dropping-particle":"","family":"Lassiter","given":"Shelby","non-dropping-particle":"","parse-names":false,"suffix":""},{"dropping-particle":"","family":"Rolle","given":"Andrew J.","non-dropping-particle":"","parse-names":false,"suffix":""},{"dropping-particle":"","family":"Hung","given":"Louella","non-dropping-particle":"","parse-names":false,"suffix":""},{"dropping-particle":"","family":"Saint","given":"Sanjay","non-dropping-particle":"","parse-names":false,"suffix":""},{"dropping-particle":"","family":"Chopra","given":"Vineet","non-dropping-particle":"","parse-names":false,"suffix":""}],"container-title":"Annals of Internal Medicine","id":"ITEM-1","issue":"7","issued":{"date-parts":[["2019"]]},"page":"S2-S6","title":"The centers for disease control and prevention strive initiative: Construction of a national program to reduce health care-associated infections at the local level","type":"article-journal","volume":"171"},"uris":["http://www.mendeley.com/documents/?uuid=a80f55b6-c1be-40b2-8f5a-927b944a0ba5"]}],"mendeley":{"formattedCitation":"(Popovich et al., 2019)","plainTextFormattedCitation":"(Popovich et al., 2019)","previouslyFormattedCitation":"(Popovich et al., 2019)"},"properties":{"noteIndex":0},"schema":"https://github.com/citation-style-language/schema/raw/master/csl-citation.json"}</w:instrText>
      </w:r>
      <w:r>
        <w:rPr>
          <w:rFonts w:ascii="Georgia" w:eastAsia="Georgia" w:hAnsi="Georgia" w:cs="Georgia"/>
        </w:rPr>
        <w:fldChar w:fldCharType="separate"/>
      </w:r>
      <w:r w:rsidRPr="005B7488">
        <w:rPr>
          <w:rFonts w:ascii="Georgia" w:eastAsia="Georgia" w:hAnsi="Georgia" w:cs="Georgia"/>
        </w:rPr>
        <w:t>(Popovich et al., 2019)</w:t>
      </w:r>
      <w:r>
        <w:rPr>
          <w:rFonts w:ascii="Georgia" w:eastAsia="Georgia" w:hAnsi="Georgia" w:cs="Georgia"/>
        </w:rPr>
        <w:fldChar w:fldCharType="end"/>
      </w:r>
      <w:r>
        <w:rPr>
          <w:rFonts w:ascii="Georgia" w:eastAsia="Georgia" w:hAnsi="Georgia" w:cs="Georgia"/>
        </w:rPr>
        <w:t xml:space="preserve">. Notably, HVAC that uses 100% outdoor air may use more energy than a system that uses recirculated air </w:t>
      </w:r>
      <w:r>
        <w:rPr>
          <w:rFonts w:ascii="Georgia" w:eastAsia="Georgia" w:hAnsi="Georgia" w:cs="Georgia"/>
        </w:rPr>
        <w:fldChar w:fldCharType="begin" w:fldLock="1"/>
      </w:r>
      <w:r>
        <w:rPr>
          <w:rFonts w:ascii="Georgia" w:eastAsia="Georgia" w:hAnsi="Georgia" w:cs="Georgia"/>
        </w:rPr>
        <w:instrText>ADDIN CSL_CITATION {"citationItems":[{"id":"ITEM-1","itemData":{"DOI":"10.1016/j.envint.2020.105832","ISSN":"18736750","PMID":"32521345","abstract":"During the rapid rise in COVID-19 illnesses and deaths globally, and notwithstanding recommended precautions, questions are voiced about routes of transmission for this pandemic disease. Inhaling small airborne droplets is probable as a third route of infection, in addition to more widely recognized transmission via larger respiratory droplets and direct contact with infected people or contaminated surfaces. While uncertainties remain regarding the relative contributions of the different transmission pathways, we argue that existing evidence is sufficiently strong to warrant engineering controls targeting airborne transmission as part of an overall strategy to limit infection risk indoors. Appropriate building engineering controls include sufficient and effective ventilation, possibly enhanced by particle filtration and air disinfection, avoiding air recirculation and avoiding overcrowding. Often, such measures can be easily implemented and without much cost, but if only they are recognised as significant in contributing to infection control goals. We believe that the use of engineering controls in public buildings, including hospitals, shops, offices, schools, kindergartens, libraries, restaurants, cruise ships, elevators, conference rooms or public transport, in parallel with effective application of other controls (including isolation and quarantine, social distancing and hand hygiene), would be an additional important measure globally to reduce the likelihood of transmission and thereby protect healthcare workers, patients and the general public.","author":[{"dropping-particle":"","family":"Morawska","given":"Lidia","non-dropping-particle":"","parse-names":false,"suffix":""},{"dropping-particle":"","family":"Tang","given":"Julian W.","non-dropping-particle":"","parse-names":false,"suffix":""},{"dropping-particle":"","family":"Bahnfleth","given":"William","non-dropping-particle":"","parse-names":false,"suffix":""},{"dropping-particle":"","family":"Bluyssen","given":"Philomena M.","non-dropping-particle":"","parse-names":false,"suffix":""},{"dropping-particle":"","family":"Boerstra","given":"Atze","non-dropping-particle":"","parse-names":false,"suffix":""},{"dropping-particle":"","family":"Buonanno","given":"Giorgio","non-dropping-particle":"","parse-names":false,"suffix":""},{"dropping-particle":"","family":"Cao","given":"Junji","non-dropping-particle":"","parse-names":false,"suffix":""},{"dropping-particle":"","family":"Dancer","given":"Stephanie","non-dropping-particle":"","parse-names":false,"suffix":""},{"dropping-particle":"","family":"Floto","given":"Andres","non-dropping-particle":"","parse-names":false,"suffix":""},{"dropping-particle":"","family":"Franchimon","given":"Francesco","non-dropping-particle":"","parse-names":false,"suffix":""},{"dropping-particle":"","family":"Haworth","given":"Charles","non-dropping-particle":"","parse-names":false,"suffix":""},{"dropping-particle":"","family":"Hogeling","given":"Jaap","non-dropping-particle":"","parse-names":false,"suffix":""},{"dropping-particle":"","family":"Isaxon","given":"Christina","non-dropping-particle":"","parse-names":false,"suffix":""},{"dropping-particle":"","family":"Jimenez","given":"Jose L.","non-dropping-particle":"","parse-names":false,"suffix":""},{"dropping-particle":"","family":"Kurnitski","given":"Jarek","non-dropping-particle":"","parse-names":false,"suffix":""},{"dropping-particle":"","family":"Li","given":"Yuguo","non-dropping-particle":"","parse-names":false,"suffix":""},{"dropping-particle":"","family":"Loomans","given":"Marcel","non-dropping-particle":"","parse-names":false,"suffix":""},{"dropping-particle":"","family":"Marks","given":"Guy","non-dropping-particle":"","parse-names":false,"suffix":""},{"dropping-particle":"","family":"Marr","given":"Linsey C.","non-dropping-particle":"","parse-names":false,"suffix":""},{"dropping-particle":"","family":"Mazzarella","given":"Livio","non-dropping-particle":"","parse-names":false,"suffix":""},{"dropping-particle":"","family":"Melikov","given":"Arsen Krikor","non-dropping-particle":"","parse-names":false,"suffix":""},{"dropping-particle":"","family":"Miller","given":"Shelly","non-dropping-particle":"","parse-names":false,"suffix":""},{"dropping-particle":"","family":"Milton","given":"Donald K.","non-dropping-particle":"","parse-names":false,"suffix":""},{"dropping-particle":"","family":"Nazaroff","given":"William","non-dropping-particle":"","parse-names":false,"suffix":""},{"dropping-particle":"V.","family":"Nielsen","given":"Peter","non-dropping-particle":"","parse-names":false,"suffix":""},{"dropping-particle":"","family":"Noakes","given":"Catherine","non-dropping-particle":"","parse-names":false,"suffix":""},{"dropping-particle":"","family":"Peccia","given":"Jordan","non-dropping-particle":"","parse-names":false,"suffix":""},{"dropping-particle":"","family":"Querol","given":"Xavier","non-dropping-particle":"","parse-names":false,"suffix":""},{"dropping-particle":"","family":"Sekhar","given":"Chandra","non-dropping-particle":"","parse-names":false,"suffix":""},{"dropping-particle":"","family":"Seppänen","given":"Olli","non-dropping-particle":"","parse-names":false,"suffix":""},{"dropping-particle":"","family":"Tanabe","given":"Shin ichi","non-dropping-particle":"","parse-names":false,"suffix":""},{"dropping-particle":"","family":"Tellier","given":"Raymond","non-dropping-particle":"","parse-names":false,"suffix":""},{"dropping-particle":"","family":"Tham","given":"Kwok Wai","non-dropping-particle":"","parse-names":false,"suffix":""},{"dropping-particle":"","family":"Wargocki","given":"Pawel","non-dropping-particle":"","parse-names":false,"suffix":""},{"dropping-particle":"","family":"Wierzbicka","given":"Aneta","non-dropping-particle":"","parse-names":false,"suffix":""},{"dropping-particle":"","family":"Yao","given":"Maosheng","non-dropping-particle":"","parse-names":false,"suffix":""}],"container-title":"Environment International","id":"ITEM-1","issue":"May","issued":{"date-parts":[["2020"]]},"title":"How can airborne transmission of COVID-19 indoors be minimised?","type":"article-journal","volume":"142"},"uris":["http://www.mendeley.com/documents/?uuid=d787bf48-db7a-436d-8672-ea3cd13a41c2"]}],"mendeley":{"formattedCitation":"(Morawska et al., 2020)","plainTextFormattedCitation":"(Morawska et al., 2020)","previouslyFormattedCitation":"(Morawska et al., 2020)"},"properties":{"noteIndex":0},"schema":"https://github.com/citation-style-language/schema/raw/master/csl-citation.json"}</w:instrText>
      </w:r>
      <w:r>
        <w:rPr>
          <w:rFonts w:ascii="Georgia" w:eastAsia="Georgia" w:hAnsi="Georgia" w:cs="Georgia"/>
        </w:rPr>
        <w:fldChar w:fldCharType="separate"/>
      </w:r>
      <w:r w:rsidRPr="00101749">
        <w:rPr>
          <w:rFonts w:ascii="Georgia" w:eastAsia="Georgia" w:hAnsi="Georgia" w:cs="Georgia"/>
        </w:rPr>
        <w:t>(Morawska et al., 2020)</w:t>
      </w:r>
      <w:r>
        <w:rPr>
          <w:rFonts w:ascii="Georgia" w:eastAsia="Georgia" w:hAnsi="Georgia" w:cs="Georgia"/>
        </w:rPr>
        <w:fldChar w:fldCharType="end"/>
      </w:r>
      <w:r>
        <w:rPr>
          <w:rFonts w:ascii="Georgia" w:eastAsia="Georgia" w:hAnsi="Georgia" w:cs="Georgia"/>
        </w:rPr>
        <w:t xml:space="preserve">. However, </w:t>
      </w:r>
      <w:r>
        <w:rPr>
          <w:rFonts w:ascii="Georgia" w:eastAsia="Georgia" w:hAnsi="Georgia" w:cs="Georgia"/>
        </w:rPr>
        <w:fldChar w:fldCharType="begin" w:fldLock="1"/>
      </w:r>
      <w:r>
        <w:rPr>
          <w:rFonts w:ascii="Georgia" w:eastAsia="Georgia" w:hAnsi="Georgia" w:cs="Georgia"/>
        </w:rPr>
        <w:instrText>ADDIN CSL_CITATION {"citationItems":[{"id":"ITEM-1","itemData":{"author":[{"dropping-particle":"","family":"Megahed","given":"Naglaa A","non-dropping-particle":"","parse-names":false,"suffix":""},{"dropping-particle":"","family":"Ghoneim","given":"Ehab M","non-dropping-particle":"","parse-names":false,"suffix":""}],"id":"ITEM-1","issue":"January","issued":{"date-parts":[["2020"]]},"title":"Since January 2020 Elsevier has created a COVID-19 resource centre with free information in English and Mandarin on the novel coronavirus COVID- 19 . The COVID-19 resource centre is hosted on Elsevier Connect , the company ' s public news and information ","type":"article-journal"},"uris":["http://www.mendeley.com/documents/?uuid=32905160-815c-4d2f-a00c-6ced8f198183"]}],"mendeley":{"formattedCitation":"(Megahed &amp; Ghoneim, 2020)","plainTextFormattedCitation":"(Megahed &amp; Ghoneim, 2020)","previouslyFormattedCitation":"(Megahed &amp; Ghoneim, 2020)"},"properties":{"noteIndex":0},"schema":"https://github.com/citation-style-language/schema/raw/master/csl-citation.json"}</w:instrText>
      </w:r>
      <w:r>
        <w:rPr>
          <w:rFonts w:ascii="Georgia" w:eastAsia="Georgia" w:hAnsi="Georgia" w:cs="Georgia"/>
        </w:rPr>
        <w:fldChar w:fldCharType="separate"/>
      </w:r>
      <w:r w:rsidRPr="00AE73A8">
        <w:rPr>
          <w:rFonts w:ascii="Georgia" w:eastAsia="Georgia" w:hAnsi="Georgia" w:cs="Georgia"/>
        </w:rPr>
        <w:t>(Megahed &amp; Ghoneim, 2020)</w:t>
      </w:r>
      <w:r>
        <w:rPr>
          <w:rFonts w:ascii="Georgia" w:eastAsia="Georgia" w:hAnsi="Georgia" w:cs="Georgia"/>
        </w:rPr>
        <w:fldChar w:fldCharType="end"/>
      </w:r>
      <w:r>
        <w:rPr>
          <w:rFonts w:ascii="Georgia" w:eastAsia="Georgia" w:hAnsi="Georgia" w:cs="Georgia"/>
        </w:rPr>
        <w:fldChar w:fldCharType="begin" w:fldLock="1"/>
      </w:r>
      <w:r>
        <w:rPr>
          <w:rFonts w:ascii="Georgia" w:eastAsia="Georgia" w:hAnsi="Georgia" w:cs="Georgia"/>
        </w:rPr>
        <w:instrText>ADDIN CSL_CITATION {"citationItems":[{"id":"ITEM-1","itemData":{"ISSN":"21664870","abstract":"Ultraviolet germicidal irradiation (UVGI) is increasingly used in health care facilities to kill airborne bacteria and control the spread of airborne infection among occupants. The most widely used form of UVGI is the passive upper-room lamps that generate a horizontal layer irradiance field above the occupied zone. In this study, the efficacy of killing airborne bacteria by upper-room UVGI in a test room is investigated by using computational fluid dynamics (CFD). The killing of airborne bacteria is dependant on the dose the bacteria receive and their susceptibility. In order to calculate the dose, the trajectory of each of the bacteria needs to be predicted. The common practice in CFD is that the flow field is solved using an Eulerian reference system and the particle trajectory is calculated using a Lagrangian reference system from which the particle dose is derived. This approach gives very accurate and detailed information on the history and behavior of each organism. However, in typical experimental procedures, the samples are usually collected when the numbers of the bacteria killed, ventilated, or remaining viable in the room reach steady state and the bacteria killing mechanism is considered as a group activity. This makes comparison of the CFD prediction with experimental data difficult - the Lagrangian reference system is not suitable when the steady-state information regarding the overall behavior of the bacteria in a room at any moment is of interest. In this study, a new approach is proposed to estimate the bacteria inactivation rate in the Eulerian system. For each room condition, both the Lagrangian and Eulerian approaches are utilized to evaluate the UVGI efficacy. The predicted results with the Eulerian approach are compared with available experimental measurements. © 2004 ASHRAE.","author":[{"dropping-particle":"","family":"Memarzadeh","given":"Farhad","non-dropping-particle":"","parse-names":false,"suffix":""},{"dropping-particle":"","family":"Jiang","given":"Zheng","non-dropping-particle":"","parse-names":false,"suffix":""},{"dropping-particle":"","family":"Xu","given":"Weiran","non-dropping-particle":"","parse-names":false,"suffix":""}],"container-title":"IAQ Conference","id":"ITEM-1","issue":"2002","issued":{"date-parts":[["2004"]]},"page":"1-6","title":"Analysis of efficacy of UVGI inactivation of airborne organisms using Eulerian and Lagrangian approaches","type":"article-journal"},"uris":["http://www.mendeley.com/documents/?uuid=77687c43-0635-4019-b397-1637cd8474ed"]}],"mendeley":{"formattedCitation":"(Memarzadeh et al., 2004)","plainTextFormattedCitation":"(Memarzadeh et al., 2004)","previouslyFormattedCitation":"(Memarzadeh et al., 2004)"},"properties":{"noteIndex":0},"schema":"https://github.com/citation-style-language/schema/raw/master/csl-citation.json"}</w:instrText>
      </w:r>
      <w:r>
        <w:rPr>
          <w:rFonts w:ascii="Georgia" w:eastAsia="Georgia" w:hAnsi="Georgia" w:cs="Georgia"/>
        </w:rPr>
        <w:fldChar w:fldCharType="separate"/>
      </w:r>
      <w:r w:rsidRPr="007C52B9">
        <w:rPr>
          <w:rFonts w:ascii="Georgia" w:eastAsia="Georgia" w:hAnsi="Georgia" w:cs="Georgia"/>
        </w:rPr>
        <w:t>(Memarzadeh et al., 2004)</w:t>
      </w:r>
      <w:r>
        <w:rPr>
          <w:rFonts w:ascii="Georgia" w:eastAsia="Georgia" w:hAnsi="Georgia" w:cs="Georgia"/>
        </w:rPr>
        <w:fldChar w:fldCharType="end"/>
      </w:r>
      <w:r>
        <w:rPr>
          <w:rFonts w:ascii="Georgia" w:eastAsia="Georgia" w:hAnsi="Georgia" w:cs="Georgia"/>
        </w:rPr>
        <w:t xml:space="preserve"> point out that the ingress of outdoor air into space may bring in virus-containing particles that may cause infections. Hence, the fresh air intake needs to be filtered before entry and sourced from an uncontaminated outdoor area. </w:t>
      </w:r>
      <w:r>
        <w:rPr>
          <w:rFonts w:ascii="Georgia" w:eastAsia="Georgia" w:hAnsi="Georgia" w:cs="Georgia"/>
        </w:rPr>
        <w:fldChar w:fldCharType="begin" w:fldLock="1"/>
      </w:r>
      <w:r>
        <w:rPr>
          <w:rFonts w:ascii="Georgia" w:eastAsia="Georgia" w:hAnsi="Georgia" w:cs="Georgia"/>
        </w:rPr>
        <w:instrText>ADDIN CSL_CITATION {"citationItems":[{"id":"ITEM-1","itemData":{"author":[{"dropping-particle":"","family":"ASHRAE","given":"","non-dropping-particle":"","parse-names":false,"suffix":""}],"container-title":"ASHRAE","id":"ITEM-1","issued":{"date-parts":[["2020"]]},"title":"Ultraviolet lamp systems","type":"article-journal","volume":"CHAPER 17"},"uris":["http://www.mendeley.com/documents/?uuid=1c7c97fb-ccda-4807-a897-96ed4a87458a"]}],"mendeley":{"formattedCitation":"(ASHRAE, 2020)","manualFormatting":"ASHRAE (2020)","plainTextFormattedCitation":"(ASHRAE, 2020)","previouslyFormattedCitation":"(ASHRAE, 2020)"},"properties":{"noteIndex":0},"schema":"https://github.com/citation-style-language/schema/raw/master/csl-citation.json"}</w:instrText>
      </w:r>
      <w:r>
        <w:rPr>
          <w:rFonts w:ascii="Georgia" w:eastAsia="Georgia" w:hAnsi="Georgia" w:cs="Georgia"/>
        </w:rPr>
        <w:fldChar w:fldCharType="separate"/>
      </w:r>
      <w:r>
        <w:rPr>
          <w:rFonts w:ascii="Georgia" w:eastAsia="Georgia" w:hAnsi="Georgia" w:cs="Georgia"/>
        </w:rPr>
        <w:t>ASHRAE</w:t>
      </w:r>
      <w:r w:rsidRPr="007C52B9">
        <w:rPr>
          <w:rFonts w:ascii="Georgia" w:eastAsia="Georgia" w:hAnsi="Georgia" w:cs="Georgia"/>
        </w:rPr>
        <w:t xml:space="preserve"> </w:t>
      </w:r>
      <w:r>
        <w:rPr>
          <w:rFonts w:ascii="Georgia" w:eastAsia="Georgia" w:hAnsi="Georgia" w:cs="Georgia"/>
        </w:rPr>
        <w:t>(</w:t>
      </w:r>
      <w:r w:rsidRPr="007C52B9">
        <w:rPr>
          <w:rFonts w:ascii="Georgia" w:eastAsia="Georgia" w:hAnsi="Georgia" w:cs="Georgia"/>
        </w:rPr>
        <w:t>2020)</w:t>
      </w:r>
      <w:r>
        <w:rPr>
          <w:rFonts w:ascii="Georgia" w:eastAsia="Georgia" w:hAnsi="Georgia" w:cs="Georgia"/>
        </w:rPr>
        <w:fldChar w:fldCharType="end"/>
      </w:r>
      <w:r>
        <w:rPr>
          <w:rFonts w:ascii="Georgia" w:eastAsia="Georgia" w:hAnsi="Georgia" w:cs="Georgia"/>
        </w:rPr>
        <w:t xml:space="preserve"> recommends that the supply air intake be located near the doorway or adjacent to the exterior window with a ceiling mounted supply to allow the air to flow from the entry where the workers are to the visitor area.</w:t>
      </w:r>
    </w:p>
    <w:p w14:paraId="169A57BE" w14:textId="77777777" w:rsidR="00504561" w:rsidRDefault="00504561" w:rsidP="00813A59">
      <w:pPr>
        <w:spacing w:before="280" w:after="280" w:line="240" w:lineRule="auto"/>
        <w:ind w:left="2552"/>
        <w:rPr>
          <w:rFonts w:ascii="Georgia" w:eastAsia="Georgia" w:hAnsi="Georgia" w:cs="Georgia"/>
        </w:rPr>
      </w:pPr>
      <w:r>
        <w:rPr>
          <w:rFonts w:ascii="Georgia" w:eastAsia="Georgia" w:hAnsi="Georgia" w:cs="Georgia"/>
        </w:rPr>
        <w:t xml:space="preserve">Mixed ventilation is recommended as it reduces energy use and allows flexibility. To reduce cross-contamination, uniform ventilation is not recommended; instead, each room must have its own ventilation system </w:t>
      </w:r>
      <w:r>
        <w:rPr>
          <w:rFonts w:ascii="Georgia" w:eastAsia="Georgia" w:hAnsi="Georgia" w:cs="Georgia"/>
        </w:rPr>
        <w:fldChar w:fldCharType="begin" w:fldLock="1"/>
      </w:r>
      <w:r>
        <w:rPr>
          <w:rFonts w:ascii="Georgia" w:eastAsia="Georgia" w:hAnsi="Georgia" w:cs="Georgia"/>
        </w:rPr>
        <w:instrText>ADDIN CSL_CITATION {"citationItems":[{"id":"ITEM-1","itemData":{"DOI":"10.1051/e3sconf/202127401013","ISSN":"22671242","abstract":"Emerging infectious diseases originating from wildlife species continue to demolish humankind leaving an imprint on human history. December 2019 has marked the emergence of a novel coronavirus named SARS-CoV-2 (Covid-2019) originated in China in the city of Wuhan. Drastic emergence and spread of infectious disease have shown to appear in highly densified areas causing rapid spread of epidemic through population movement, transmission routes, major activity nodes, proximity, and connectivity of urban spaces. An extreme number of cases rising throughout the world caused space unavailability in healthcare facilities to serve patients infected with Covid-2019, therefore urging for innovative emergency management response from construction and architecture industry. Prefabricated modular construction has been widely utilized around the globe assembling rapid response facilities after catastrophic events such as tornadoes, hurricanes, and forest fires. An increasing number of Covid-2019 cases demanded effective and compressed implementation of medical centres to provide expeditious and secure healthcare. The paper examines the potential of standardization of modular construction of hospitals as a response to current and potential pandemic outbreaks. The research provides fundamental planning requirements of isolation units and their design flexibility as a key to rapid emergency solution.","author":[{"dropping-particle":"","family":"Smolova","given":"Marina","non-dropping-particle":"","parse-names":false,"suffix":""},{"dropping-particle":"","family":"Smolova","given":"Daria","non-dropping-particle":"","parse-names":false,"suffix":""}],"container-title":"E3S Web of Conferences","id":"ITEM-1","issued":{"date-parts":[["2021"]]},"title":"Emergency architecture. Modular construction of healthcare facilities as a response to pandemic outbreak","type":"article-journal","volume":"274"},"uris":["http://www.mendeley.com/documents/?uuid=ff60a0ad-9633-4bdb-a176-92f0c6286c92"]}],"mendeley":{"formattedCitation":"(Smolova &amp; Smolova, 2021)","plainTextFormattedCitation":"(Smolova &amp; Smolova, 2021)","previouslyFormattedCitation":"(Smolova &amp; Smolova, 2021)"},"properties":{"noteIndex":0},"schema":"https://github.com/citation-style-language/schema/raw/master/csl-citation.json"}</w:instrText>
      </w:r>
      <w:r>
        <w:rPr>
          <w:rFonts w:ascii="Georgia" w:eastAsia="Georgia" w:hAnsi="Georgia" w:cs="Georgia"/>
        </w:rPr>
        <w:fldChar w:fldCharType="separate"/>
      </w:r>
      <w:r w:rsidRPr="00A96588">
        <w:rPr>
          <w:rFonts w:ascii="Georgia" w:eastAsia="Georgia" w:hAnsi="Georgia" w:cs="Georgia"/>
        </w:rPr>
        <w:t>(Smolova &amp; Smolova, 2021)</w:t>
      </w:r>
      <w:r>
        <w:rPr>
          <w:rFonts w:ascii="Georgia" w:eastAsia="Georgia" w:hAnsi="Georgia" w:cs="Georgia"/>
        </w:rPr>
        <w:fldChar w:fldCharType="end"/>
      </w:r>
      <w:r>
        <w:rPr>
          <w:rFonts w:ascii="Georgia" w:eastAsia="Georgia" w:hAnsi="Georgia" w:cs="Georgia"/>
        </w:rPr>
        <w:t xml:space="preserve">. Numerous authors recommend the implementation of a high air change rate and low-level openings to reduce air contamination </w:t>
      </w:r>
      <w:r>
        <w:rPr>
          <w:rFonts w:ascii="Georgia" w:eastAsia="Georgia" w:hAnsi="Georgia" w:cs="Georgia"/>
        </w:rPr>
        <w:fldChar w:fldCharType="begin" w:fldLock="1"/>
      </w:r>
      <w:r>
        <w:rPr>
          <w:rFonts w:ascii="Georgia" w:eastAsia="Georgia" w:hAnsi="Georgia" w:cs="Georgia"/>
        </w:rPr>
        <w:instrText xml:space="preserve">ADDIN CSL_CITATION {"citationItems":[{"id":"ITEM-1","itemData":{"DOI":"10.1016/j.envint.2020.105832","ISSN":"18736750","PMID":"32521345","abstract":"During the rapid rise in COVID-19 illnesses and deaths globally, and notwithstanding recommended precautions, questions are voiced about routes of transmission for this pandemic disease. Inhaling small airborne droplets is probable as a third route of infection, in addition to more widely recognized transmission via larger respiratory droplets and direct contact with infected people or contaminated surfaces. While uncertainties remain regarding the relative contributions of the different transmission pathways, we argue that existing evidence is sufficiently strong to warrant engineering controls targeting airborne transmission as part of an overall strategy to limit infection risk indoors. Appropriate building engineering controls include sufficient and effective ventilation, possibly enhanced by particle filtration and air disinfection, avoiding air recirculation and avoiding overcrowding. Often, such measures can be easily implemented and without much cost, but if only they are recognised as significant in contributing to infection control goals. We believe that the use of engineering controls in public buildings, including hospitals, shops, offices, schools, kindergartens, libraries, restaurants, cruise ships, elevators, conference rooms or public transport, in parallel with effective application of other controls (including isolation and quarantine, social distancing and hand hygiene), would be an additional important measure globally to reduce the likelihood of transmission and thereby protect healthcare workers, patients and the general public.","author":[{"dropping-particle":"","family":"Morawska","given":"Lidia","non-dropping-particle":"","parse-names":false,"suffix":""},{"dropping-particle":"","family":"Tang","given":"Julian W.","non-dropping-particle":"","parse-names":false,"suffix":""},{"dropping-particle":"","family":"Bahnfleth","given":"William","non-dropping-particle":"","parse-names":false,"suffix":""},{"dropping-particle":"","family":"Bluyssen","given":"Philomena M.","non-dropping-particle":"","parse-names":false,"suffix":""},{"dropping-particle":"","family":"Boerstra","given":"Atze","non-dropping-particle":"","parse-names":false,"suffix":""},{"dropping-particle":"","family":"Buonanno","given":"Giorgio","non-dropping-particle":"","parse-names":false,"suffix":""},{"dropping-particle":"","family":"Cao","given":"Junji","non-dropping-particle":"","parse-names":false,"suffix":""},{"dropping-particle":"","family":"Dancer","given":"Stephanie","non-dropping-particle":"","parse-names":false,"suffix":""},{"dropping-particle":"","family":"Floto","given":"Andres","non-dropping-particle":"","parse-names":false,"suffix":""},{"dropping-particle":"","family":"Franchimon","given":"Francesco","non-dropping-particle":"","parse-names":false,"suffix":""},{"dropping-particle":"","family":"Haworth","given":"Charles","non-dropping-particle":"","parse-names":false,"suffix":""},{"dropping-particle":"","family":"Hogeling","given":"Jaap","non-dropping-particle":"","parse-names":false,"suffix":""},{"dropping-particle":"","family":"Isaxon","given":"Christina","non-dropping-particle":"","parse-names":false,"suffix":""},{"dropping-particle":"","family":"Jimenez","given":"Jose L.","non-dropping-particle":"","parse-names":false,"suffix":""},{"dropping-particle":"","family":"Kurnitski","given":"Jarek","non-dropping-particle":"","parse-names":false,"suffix":""},{"dropping-particle":"","family":"Li","given":"Yuguo","non-dropping-particle":"","parse-names":false,"suffix":""},{"dropping-particle":"","family":"Loomans","given":"Marcel","non-dropping-particle":"","parse-names":false,"suffix":""},{"dropping-particle":"","family":"Marks","given":"Guy","non-dropping-particle":"","parse-names":false,"suffix":""},{"dropping-particle":"","family":"Marr","given":"Linsey C.","non-dropping-particle":"","parse-names":false,"suffix":""},{"dropping-particle":"","family":"Mazzarella","given":"Livio","non-dropping-particle":"","parse-names":false,"suffix":""},{"dropping-particle":"","family":"Melikov","given":"Arsen Krikor","non-dropping-particle":"","parse-names":false,"suffix":""},{"dropping-particle":"","family":"Miller","given":"Shelly","non-dropping-particle":"","parse-names":false,"suffix":""},{"dropping-particle":"","family":"Milton","given":"Donald K.","non-dropping-particle":"","parse-names":false,"suffix":""},{"dropping-particle":"","family":"Nazaroff","given":"William","non-dropping-particle":"","parse-names":false,"suffix":""},{"dropping-particle":"V.","family":"Nielsen","given":"Peter","non-dropping-particle":"","parse-names":false,"suffix":""},{"dropping-particle":"","family":"Noakes","given":"Catherine","non-dropping-particle":"","parse-names":false,"suffix":""},{"dropping-particle":"","family":"Peccia","given":"Jordan","non-dropping-particle":"","parse-names":false,"suffix":""},{"dropping-particle":"","family":"Querol","given":"Xavier","non-dropping-particle":"","parse-names":false,"suffix":""},{"dropping-particle":"","family":"Sekhar","given":"Chandra","non-dropping-particle":"","parse-names":false,"suffix":""},{"dropping-particle":"","family":"Seppänen","given":"Olli","non-dropping-particle":"","parse-names":false,"suffix":""},{"dropping-particle":"","family":"Tanabe","given":"Shin ichi","non-dropping-particle":"","parse-names":false,"suffix":""},{"dropping-particle":"","family":"Tellier","given":"Raymond","non-dropping-particle":"","parse-names":false,"suffix":""},{"dropping-particle":"","family":"Tham","given":"Kwok Wai","non-dropping-particle":"","parse-names":false,"suffix":""},{"dropping-particle":"","family":"Wargocki","given":"Pawel","non-dropping-particle":"","parse-names":false,"suffix":""},{"dropping-particle":"","family":"Wierzbicka","given":"Aneta","non-dropping-particle":"","parse-names":false,"suffix":""},{"dropping-particle":"","family":"Yao","given":"Maosheng","non-dropping-particle":"","parse-names":false,"suffix":""}],"container-title":"Environment International","id":"ITEM-1","issue":"May","issued":{"date-parts":[["2020"]]},"title":"How can airborne transmission of COVID-19 indoors be minimised?","type":"article-journal","volume":"142"},"uris":["http://www.mendeley.com/documents/?uuid=d787bf48-db7a-436d-8672-ea3cd13a41c2"]},{"id":"ITEM-2","itemData":{"DOI":"10.1007/s41062-020-00453-1","ISBN":"0123456789","ISSN":"2364-4184","author":[{"dropping-particle":"","family":"Bhatti","given":"Abdul Qadir","non-dropping-particle":"","parse-names":false,"suffix":""},{"dropping-particle":"","family":"Wahab","given":"Abdul","non-dropping-particle":"","parse-names":false,"suffix":""}],"container-title":"Innovative Infrastructure Solutions","id":"ITEM-2","issue":"2","issued":{"date-parts":[["2021"]]},"page":"1-22","publisher":"Springer International Publishing","title":"Analysis and design of emergency field isolation hospital building using innovative rapidly construction prefabricated units to treat patients infected with COVID </w:instrText>
      </w:r>
      <w:r w:rsidRPr="00813A59">
        <w:rPr>
          <w:rFonts w:ascii="Times New Roman" w:eastAsia="Georgia" w:hAnsi="Times New Roman" w:cs="Times New Roman"/>
        </w:rPr>
        <w:instrText>‑</w:instrText>
      </w:r>
      <w:r>
        <w:rPr>
          <w:rFonts w:ascii="Georgia" w:eastAsia="Georgia" w:hAnsi="Georgia" w:cs="Georgia"/>
        </w:rPr>
        <w:instrText xml:space="preserve"> 19","type":"article-journal","volume":"6"},"uris":["http://www.mendeley.com/documents/?uuid=4574f66b-b5e8-477e-91b8-da4779fb51cc"]},{"id":"ITEM-3","itemData":{"author":[{"dropping-particle":"","family":"Emmanuel","given":"Udomiaye","non-dropping-particle":"","parse-names":false,"suffix":""}],"id":"ITEM-3","issued":{"date-parts":[["2020"]]},"note":"Review article","page":"1699-1707","publisher":"Journal of Environmental Health Science and Engineering","title":"Architectural design strategies for infection prevention and control ( IPC ) in health-care facilities : towards curbing the spread of Covid-19","type":"article-journal"},"uris":["http://www.mendeley.com/documents/?uuid=e968bd5f-7819-48c7-860b-edfe877e1135"]}],"mendeley":{"formattedCitation":"(Bhatti &amp; Wahab, 2021; Emmanuel, 2020; Morawska et al., 2020)","plainTextFormattedCitation":"(Bhatti &amp; Wahab, 2021; Emmanuel, 2020; Morawska et al., 2020)","previouslyFormattedCitation":"(Bhatti &amp; Wahab, 2021; Emmanuel, 2020; Morawska et al., 2020)"},"properties":{"noteIndex":0},"schema":"https://github.com/citation-style-language/schema/raw/master/csl-citation.json"}</w:instrText>
      </w:r>
      <w:r>
        <w:rPr>
          <w:rFonts w:ascii="Georgia" w:eastAsia="Georgia" w:hAnsi="Georgia" w:cs="Georgia"/>
        </w:rPr>
        <w:fldChar w:fldCharType="separate"/>
      </w:r>
      <w:r w:rsidRPr="00A96588">
        <w:rPr>
          <w:rFonts w:ascii="Georgia" w:eastAsia="Georgia" w:hAnsi="Georgia" w:cs="Georgia"/>
        </w:rPr>
        <w:t>(Bhatti &amp; Wahab, 2021; Emmanuel, 2020; Morawska et al., 2020)</w:t>
      </w:r>
      <w:r>
        <w:rPr>
          <w:rFonts w:ascii="Georgia" w:eastAsia="Georgia" w:hAnsi="Georgia" w:cs="Georgia"/>
        </w:rPr>
        <w:fldChar w:fldCharType="end"/>
      </w:r>
      <w:r>
        <w:rPr>
          <w:rFonts w:ascii="Georgia" w:eastAsia="Georgia" w:hAnsi="Georgia" w:cs="Georgia"/>
        </w:rPr>
        <w:t>.</w:t>
      </w:r>
    </w:p>
    <w:p w14:paraId="3A24DBBB" w14:textId="77777777" w:rsidR="00504561" w:rsidRDefault="00504561" w:rsidP="00813A59">
      <w:pPr>
        <w:spacing w:before="280" w:after="280" w:line="240" w:lineRule="auto"/>
        <w:ind w:left="2552"/>
        <w:rPr>
          <w:rFonts w:ascii="Georgia" w:eastAsia="Georgia" w:hAnsi="Georgia" w:cs="Georgia"/>
        </w:rPr>
      </w:pPr>
      <w:r>
        <w:rPr>
          <w:rFonts w:ascii="Georgia" w:eastAsia="Georgia" w:hAnsi="Georgia" w:cs="Georgia"/>
        </w:rPr>
        <w:t>The corridors in hospitals should be open-ended to allow ventilation. To further promote ventilation, an upper ventilation opening in the dividing wall in the corridor and a ventilation louvre on the doorstep can curb the circulation of hot air. Additionally, the courtyard layout is recommended to enhance ventilation, create an ecological space that speeds up recovery, and admits daylight (Emmanuel et al., 2020).</w:t>
      </w:r>
    </w:p>
    <w:p w14:paraId="20376F74" w14:textId="78417C04" w:rsidR="00504561" w:rsidRPr="00813A59" w:rsidRDefault="00504561" w:rsidP="00813A59">
      <w:pPr>
        <w:pStyle w:val="MDPI22heading2"/>
        <w:numPr>
          <w:ilvl w:val="0"/>
          <w:numId w:val="10"/>
        </w:numPr>
        <w:spacing w:before="240"/>
        <w:ind w:left="2835" w:hanging="283"/>
        <w:jc w:val="left"/>
        <w:rPr>
          <w:rFonts w:ascii="Georgia" w:eastAsia="Georgia" w:hAnsi="Georgia" w:cs="Georgia"/>
          <w:i w:val="0"/>
          <w:iCs/>
        </w:rPr>
      </w:pPr>
      <w:r w:rsidRPr="00813A59">
        <w:rPr>
          <w:rFonts w:ascii="Georgia" w:eastAsia="Georgia" w:hAnsi="Georgia" w:cs="Georgia"/>
          <w:i w:val="0"/>
          <w:iCs/>
        </w:rPr>
        <w:t>Typology Configuration for Enabling Disease Containment</w:t>
      </w:r>
    </w:p>
    <w:p w14:paraId="708ED5CC" w14:textId="7D602722" w:rsidR="00813A59" w:rsidRDefault="00504561" w:rsidP="00813A59">
      <w:pPr>
        <w:spacing w:before="280" w:after="280" w:line="240" w:lineRule="auto"/>
        <w:ind w:left="2552"/>
        <w:rPr>
          <w:rFonts w:ascii="Georgia" w:eastAsia="Georgia" w:hAnsi="Georgia" w:cs="Georgia"/>
        </w:rPr>
      </w:pPr>
      <w:r w:rsidRPr="00504561">
        <w:rPr>
          <w:rFonts w:ascii="Georgia" w:eastAsia="Georgia" w:hAnsi="Georgia" w:cs="Georgia"/>
        </w:rPr>
        <w:t xml:space="preserve">By avoiding vertical and horizontal connections, there should be minimal contact to curb spread of pathogens. </w:t>
      </w:r>
      <w:r>
        <w:rPr>
          <w:rFonts w:ascii="Georgia" w:eastAsia="Georgia" w:hAnsi="Georgia" w:cs="Georgia"/>
        </w:rPr>
        <w:fldChar w:fldCharType="begin" w:fldLock="1"/>
      </w:r>
      <w:r>
        <w:rPr>
          <w:rFonts w:ascii="Georgia" w:eastAsia="Georgia" w:hAnsi="Georgia" w:cs="Georgia"/>
        </w:rPr>
        <w:instrText>ADDIN CSL_CITATION {"citationItems":[{"id":"ITEM-1","itemData":{"DOI":"10.23750/abm.v91i9-S.10117","ISSN":"25316745","PMID":"32701917","abstract":"Background and aim: The COVID-19 pandemic has upended the global healthcare systems. The surge in infections and sick critically ill patients has tested the resilience of healthcare infrastructures and facilities forcing organizations to quickly adapt and embrace emergency solutions. The paper proposes a decalogue of design strategies applicable both to new hospitals and to the refurbishment of existing hospitals. Methods: The authors conducted observations at hospitals, during public health webinars and through experts working groups from March to May 2020. Results: In this commentary, the authors present a list of strategies for creating critical care surge capacity and exploring design strategies for healthcare design for resilient hospital facilities. The strategies are organized into two tiers: I) design and II) operations. The (I) Design phase strategies are: 1) Strategic Site Location; 2) Typology Configuration; 3) Flexibility; 4) Functional program; 5) User-centerdness. The (II) Operation phase strategies are: 6) Healthcare network on the territory; 7) Patient safety; 8) HVAC and indoor air quality; 9) Innovative finishing materials and furniture; 10) Healthcare digital innovation. Conclusions: Hospitals, health care systems, and institutions urgently need to assess their resources, identify potential bottlenecks, and create strategies for increasing critical care surge capacity. The COVID-19 pandemic disrupted healthcare operations and accelerated the processes of innovation and transformation. The design and operational strategies can enable the achievement of resilient hospital facilities. Further multidisciplinary researches is needed to validate the strategies empirically. (www.actabiomedica.it).","author":[{"dropping-particle":"","family":"Capolongo","given":"Stefano","non-dropping-particle":"","parse-names":false,"suffix":""},{"dropping-particle":"","family":"Gola","given":"Marco","non-dropping-particle":"","parse-names":false,"suffix":""},{"dropping-particle":"","family":"Brambilla","given":"Andrea","non-dropping-particle":"","parse-names":false,"suffix":""},{"dropping-particle":"","family":"Morganti","given":"Alessandro","non-dropping-particle":"","parse-names":false,"suffix":""},{"dropping-particle":"","family":"Mosca","given":"Erica Isa","non-dropping-particle":"","parse-names":false,"suffix":""},{"dropping-particle":"","family":"Barach","given":"Paul","non-dropping-particle":"","parse-names":false,"suffix":""}],"container-title":"Acta Biomedica","id":"ITEM-1","issued":{"date-parts":[["2020"]]},"page":"50-60","publisher":"Mattioli 1885","title":"COVID-19 and healthcare facilities: A decalogue of design strategies for resilient hospitals","type":"article-journal","volume":"91"},"uris":["http://www.mendeley.com/documents/?uuid=9f2b15c2-3c43-366c-93e3-372fe2837eee"]}],"mendeley":{"formattedCitation":"(Capolongo et al., 2020a)","manualFormatting":"Capolongo et al., (2020a)","plainTextFormattedCitation":"(Capolongo et al., 2020a)","previouslyFormattedCitation":"(Capolongo et al., 2020a)"},"properties":{"noteIndex":0},"schema":"https://github.com/citation-style-language/schema/raw/master/csl-citation.json"}</w:instrText>
      </w:r>
      <w:r>
        <w:rPr>
          <w:rFonts w:ascii="Georgia" w:eastAsia="Georgia" w:hAnsi="Georgia" w:cs="Georgia"/>
        </w:rPr>
        <w:fldChar w:fldCharType="separate"/>
      </w:r>
      <w:r w:rsidRPr="008040B2">
        <w:rPr>
          <w:rFonts w:ascii="Georgia" w:eastAsia="Georgia" w:hAnsi="Georgia" w:cs="Georgia"/>
        </w:rPr>
        <w:t xml:space="preserve">Capolongo et al., </w:t>
      </w:r>
      <w:r>
        <w:rPr>
          <w:rFonts w:ascii="Georgia" w:eastAsia="Georgia" w:hAnsi="Georgia" w:cs="Georgia"/>
        </w:rPr>
        <w:t>(</w:t>
      </w:r>
      <w:r w:rsidRPr="008040B2">
        <w:rPr>
          <w:rFonts w:ascii="Georgia" w:eastAsia="Georgia" w:hAnsi="Georgia" w:cs="Georgia"/>
        </w:rPr>
        <w:t>2020a)</w:t>
      </w:r>
      <w:r>
        <w:rPr>
          <w:rFonts w:ascii="Georgia" w:eastAsia="Georgia" w:hAnsi="Georgia" w:cs="Georgia"/>
        </w:rPr>
        <w:fldChar w:fldCharType="end"/>
      </w:r>
      <w:r>
        <w:rPr>
          <w:rFonts w:ascii="Georgia" w:eastAsia="Georgia" w:hAnsi="Georgia" w:cs="Georgia"/>
        </w:rPr>
        <w:t xml:space="preserve"> recommend that hospitals should have pandemic treatment areas :the main body connecting to supporting areas with separate vehicle access. </w:t>
      </w:r>
      <w:r w:rsidRPr="00504561">
        <w:rPr>
          <w:rFonts w:ascii="Georgia" w:eastAsia="Georgia" w:hAnsi="Georgia" w:cs="Georgia"/>
        </w:rPr>
        <w:t>However, the increased land use, energy consumption, and material consumption for the larger floor area are disadvantages.</w:t>
      </w:r>
      <w:r>
        <w:rPr>
          <w:rFonts w:ascii="Georgia" w:eastAsia="Georgia" w:hAnsi="Georgia" w:cs="Georgia"/>
        </w:rPr>
        <w:t>. Hence, the authors</w:t>
      </w:r>
      <w:r w:rsidR="00813A59">
        <w:rPr>
          <w:rFonts w:ascii="Georgia" w:eastAsia="Georgia" w:hAnsi="Georgia" w:cs="Georgia"/>
        </w:rPr>
        <w:t xml:space="preserve"> </w:t>
      </w:r>
      <w:r w:rsidR="00813A59">
        <w:rPr>
          <w:rFonts w:ascii="Georgia" w:eastAsia="Georgia" w:hAnsi="Georgia" w:cs="Georgia"/>
        </w:rPr>
        <w:t>recommend that facilities for Covid-negative patients can have multiple levels, but the COVID-19 treatment zones should be a stand-alone building with different access and separate sanitization points for staff and COVID-19 patients.</w:t>
      </w:r>
    </w:p>
    <w:p w14:paraId="0C0A2CAA" w14:textId="24D6A432" w:rsidR="00813A59" w:rsidRDefault="00813A59" w:rsidP="00813A59">
      <w:pPr>
        <w:spacing w:line="240" w:lineRule="auto"/>
        <w:rPr>
          <w:rFonts w:ascii="Georgia" w:eastAsia="Georgia" w:hAnsi="Georgia" w:cs="Georgia"/>
        </w:rPr>
      </w:pPr>
      <w:r>
        <w:rPr>
          <w:rFonts w:ascii="Georgia" w:eastAsia="Georgia" w:hAnsi="Georgia" w:cs="Georgia"/>
        </w:rPr>
        <w:br w:type="page"/>
      </w:r>
    </w:p>
    <w:tbl>
      <w:tblPr>
        <w:tblStyle w:val="affff7"/>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04"/>
        <w:gridCol w:w="2185"/>
        <w:gridCol w:w="2042"/>
        <w:gridCol w:w="2657"/>
        <w:gridCol w:w="2093"/>
      </w:tblGrid>
      <w:tr w:rsidR="006E4D6C" w:rsidRPr="00813A59" w14:paraId="327C35B2" w14:textId="77777777" w:rsidTr="006E4D6C">
        <w:tc>
          <w:tcPr>
            <w:tcW w:w="781" w:type="pct"/>
            <w:shd w:val="clear" w:color="auto" w:fill="auto"/>
            <w:tcMar>
              <w:top w:w="100" w:type="dxa"/>
              <w:left w:w="100" w:type="dxa"/>
              <w:bottom w:w="100" w:type="dxa"/>
              <w:right w:w="100" w:type="dxa"/>
            </w:tcMar>
          </w:tcPr>
          <w:p w14:paraId="6EF82DB7" w14:textId="77777777" w:rsidR="00695365" w:rsidRPr="006E4D6C" w:rsidRDefault="00366511" w:rsidP="00813A59">
            <w:pPr>
              <w:widowControl w:val="0"/>
              <w:pBdr>
                <w:top w:val="nil"/>
                <w:left w:val="nil"/>
                <w:bottom w:val="nil"/>
                <w:right w:val="nil"/>
                <w:between w:val="nil"/>
              </w:pBdr>
              <w:spacing w:line="240" w:lineRule="auto"/>
              <w:contextualSpacing/>
              <w:rPr>
                <w:rFonts w:ascii="Georgia" w:eastAsia="Georgia" w:hAnsi="Georgia" w:cs="Georgia"/>
                <w:b/>
                <w:sz w:val="18"/>
                <w:szCs w:val="18"/>
              </w:rPr>
            </w:pPr>
            <w:r w:rsidRPr="006E4D6C">
              <w:rPr>
                <w:rFonts w:ascii="Georgia" w:eastAsia="Georgia" w:hAnsi="Georgia" w:cs="Georgia"/>
                <w:b/>
                <w:sz w:val="18"/>
                <w:szCs w:val="18"/>
              </w:rPr>
              <w:lastRenderedPageBreak/>
              <w:t>Epidemiological disease</w:t>
            </w:r>
          </w:p>
        </w:tc>
        <w:tc>
          <w:tcPr>
            <w:tcW w:w="1027" w:type="pct"/>
            <w:shd w:val="clear" w:color="auto" w:fill="auto"/>
            <w:tcMar>
              <w:top w:w="100" w:type="dxa"/>
              <w:left w:w="100" w:type="dxa"/>
              <w:bottom w:w="100" w:type="dxa"/>
              <w:right w:w="100" w:type="dxa"/>
            </w:tcMar>
          </w:tcPr>
          <w:p w14:paraId="41FEADB5" w14:textId="77777777" w:rsidR="00695365" w:rsidRPr="006E4D6C" w:rsidRDefault="00366511" w:rsidP="00813A59">
            <w:pPr>
              <w:widowControl w:val="0"/>
              <w:spacing w:line="240" w:lineRule="auto"/>
              <w:contextualSpacing/>
              <w:rPr>
                <w:rFonts w:ascii="Georgia" w:eastAsia="Georgia" w:hAnsi="Georgia" w:cs="Georgia"/>
                <w:b/>
                <w:sz w:val="18"/>
                <w:szCs w:val="18"/>
              </w:rPr>
            </w:pPr>
            <w:r w:rsidRPr="006E4D6C">
              <w:rPr>
                <w:rFonts w:ascii="Georgia" w:eastAsia="Georgia" w:hAnsi="Georgia" w:cs="Georgia"/>
                <w:b/>
                <w:sz w:val="18"/>
                <w:szCs w:val="18"/>
              </w:rPr>
              <w:t>Regions affected</w:t>
            </w:r>
          </w:p>
        </w:tc>
        <w:tc>
          <w:tcPr>
            <w:tcW w:w="960" w:type="pct"/>
            <w:shd w:val="clear" w:color="auto" w:fill="auto"/>
            <w:tcMar>
              <w:top w:w="100" w:type="dxa"/>
              <w:left w:w="100" w:type="dxa"/>
              <w:bottom w:w="100" w:type="dxa"/>
              <w:right w:w="100" w:type="dxa"/>
            </w:tcMar>
          </w:tcPr>
          <w:p w14:paraId="625AC5B4" w14:textId="77777777" w:rsidR="00695365" w:rsidRPr="006E4D6C" w:rsidRDefault="00366511" w:rsidP="00813A59">
            <w:pPr>
              <w:widowControl w:val="0"/>
              <w:pBdr>
                <w:top w:val="nil"/>
                <w:left w:val="nil"/>
                <w:bottom w:val="nil"/>
                <w:right w:val="nil"/>
                <w:between w:val="nil"/>
              </w:pBdr>
              <w:spacing w:line="240" w:lineRule="auto"/>
              <w:contextualSpacing/>
              <w:rPr>
                <w:rFonts w:ascii="Georgia" w:eastAsia="Georgia" w:hAnsi="Georgia" w:cs="Georgia"/>
                <w:b/>
                <w:sz w:val="18"/>
                <w:szCs w:val="18"/>
              </w:rPr>
            </w:pPr>
            <w:r w:rsidRPr="006E4D6C">
              <w:rPr>
                <w:rFonts w:ascii="Georgia" w:eastAsia="Georgia" w:hAnsi="Georgia" w:cs="Georgia"/>
                <w:b/>
                <w:sz w:val="18"/>
                <w:szCs w:val="18"/>
              </w:rPr>
              <w:t>Social behavior and recommendations</w:t>
            </w:r>
          </w:p>
        </w:tc>
        <w:tc>
          <w:tcPr>
            <w:tcW w:w="1248" w:type="pct"/>
            <w:shd w:val="clear" w:color="auto" w:fill="auto"/>
            <w:tcMar>
              <w:top w:w="100" w:type="dxa"/>
              <w:left w:w="100" w:type="dxa"/>
              <w:bottom w:w="100" w:type="dxa"/>
              <w:right w:w="100" w:type="dxa"/>
            </w:tcMar>
          </w:tcPr>
          <w:p w14:paraId="4F5F7922" w14:textId="77777777" w:rsidR="00695365" w:rsidRPr="006E4D6C" w:rsidRDefault="00366511" w:rsidP="00813A59">
            <w:pPr>
              <w:widowControl w:val="0"/>
              <w:pBdr>
                <w:top w:val="nil"/>
                <w:left w:val="nil"/>
                <w:bottom w:val="nil"/>
                <w:right w:val="nil"/>
                <w:between w:val="nil"/>
              </w:pBdr>
              <w:spacing w:line="240" w:lineRule="auto"/>
              <w:contextualSpacing/>
              <w:rPr>
                <w:rFonts w:ascii="Georgia" w:eastAsia="Georgia" w:hAnsi="Georgia" w:cs="Georgia"/>
                <w:b/>
                <w:sz w:val="18"/>
                <w:szCs w:val="18"/>
              </w:rPr>
            </w:pPr>
            <w:r w:rsidRPr="006E4D6C">
              <w:rPr>
                <w:rFonts w:ascii="Georgia" w:eastAsia="Georgia" w:hAnsi="Georgia" w:cs="Georgia"/>
                <w:b/>
                <w:sz w:val="18"/>
                <w:szCs w:val="18"/>
              </w:rPr>
              <w:t>Built environment response</w:t>
            </w:r>
          </w:p>
        </w:tc>
        <w:tc>
          <w:tcPr>
            <w:tcW w:w="984" w:type="pct"/>
          </w:tcPr>
          <w:p w14:paraId="1CB6F907" w14:textId="77777777" w:rsidR="00695365" w:rsidRPr="006E4D6C" w:rsidRDefault="00366511" w:rsidP="00813A59">
            <w:pPr>
              <w:widowControl w:val="0"/>
              <w:pBdr>
                <w:top w:val="nil"/>
                <w:left w:val="nil"/>
                <w:bottom w:val="nil"/>
                <w:right w:val="nil"/>
                <w:between w:val="nil"/>
              </w:pBdr>
              <w:spacing w:line="240" w:lineRule="auto"/>
              <w:contextualSpacing/>
              <w:rPr>
                <w:rFonts w:ascii="Georgia" w:eastAsia="Georgia" w:hAnsi="Georgia" w:cs="Georgia"/>
                <w:b/>
                <w:sz w:val="18"/>
                <w:szCs w:val="18"/>
              </w:rPr>
            </w:pPr>
            <w:r w:rsidRPr="006E4D6C">
              <w:rPr>
                <w:rFonts w:ascii="Georgia" w:eastAsia="Georgia" w:hAnsi="Georgia" w:cs="Georgia"/>
                <w:b/>
                <w:sz w:val="18"/>
                <w:szCs w:val="18"/>
              </w:rPr>
              <w:t>Citation</w:t>
            </w:r>
          </w:p>
        </w:tc>
      </w:tr>
      <w:tr w:rsidR="006E4D6C" w:rsidRPr="00813A59" w14:paraId="458A2620" w14:textId="77777777" w:rsidTr="006E4D6C">
        <w:tc>
          <w:tcPr>
            <w:tcW w:w="781" w:type="pct"/>
            <w:shd w:val="clear" w:color="auto" w:fill="auto"/>
            <w:tcMar>
              <w:top w:w="100" w:type="dxa"/>
              <w:left w:w="100" w:type="dxa"/>
              <w:bottom w:w="100" w:type="dxa"/>
              <w:right w:w="100" w:type="dxa"/>
            </w:tcMar>
          </w:tcPr>
          <w:p w14:paraId="6224B153" w14:textId="6AAB7BBF"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
                <w:sz w:val="18"/>
                <w:szCs w:val="18"/>
              </w:rPr>
            </w:pPr>
            <w:r w:rsidRPr="006E4D6C">
              <w:rPr>
                <w:rFonts w:ascii="Georgia" w:eastAsia="Georgia" w:hAnsi="Georgia" w:cs="Georgia"/>
                <w:b/>
                <w:sz w:val="18"/>
                <w:szCs w:val="18"/>
              </w:rPr>
              <w:t>Infections</w:t>
            </w:r>
            <w:r w:rsidR="00466E51" w:rsidRPr="006E4D6C">
              <w:rPr>
                <w:rFonts w:ascii="Georgia" w:eastAsia="Georgia" w:hAnsi="Georgia" w:cs="Georgia"/>
                <w:b/>
                <w:sz w:val="18"/>
                <w:szCs w:val="18"/>
              </w:rPr>
              <w:t xml:space="preserve"> and</w:t>
            </w:r>
            <w:r w:rsidRPr="006E4D6C">
              <w:rPr>
                <w:rFonts w:ascii="Georgia" w:eastAsia="Georgia" w:hAnsi="Georgia" w:cs="Georgia"/>
                <w:b/>
                <w:sz w:val="18"/>
                <w:szCs w:val="18"/>
              </w:rPr>
              <w:t xml:space="preserve"> ailments in</w:t>
            </w:r>
            <w:r w:rsidR="00466E51" w:rsidRPr="006E4D6C">
              <w:rPr>
                <w:rFonts w:ascii="Georgia" w:eastAsia="Georgia" w:hAnsi="Georgia" w:cs="Georgia"/>
                <w:b/>
                <w:sz w:val="18"/>
                <w:szCs w:val="18"/>
              </w:rPr>
              <w:t xml:space="preserve"> the</w:t>
            </w:r>
            <w:r w:rsidRPr="006E4D6C">
              <w:rPr>
                <w:rFonts w:ascii="Georgia" w:eastAsia="Georgia" w:hAnsi="Georgia" w:cs="Georgia"/>
                <w:b/>
                <w:sz w:val="18"/>
                <w:szCs w:val="18"/>
              </w:rPr>
              <w:t xml:space="preserve"> Roman </w:t>
            </w:r>
            <w:r w:rsidR="00466E51" w:rsidRPr="006E4D6C">
              <w:rPr>
                <w:rFonts w:ascii="Georgia" w:eastAsia="Georgia" w:hAnsi="Georgia" w:cs="Georgia"/>
                <w:b/>
                <w:sz w:val="18"/>
                <w:szCs w:val="18"/>
              </w:rPr>
              <w:t>E</w:t>
            </w:r>
            <w:r w:rsidRPr="006E4D6C">
              <w:rPr>
                <w:rFonts w:ascii="Georgia" w:eastAsia="Georgia" w:hAnsi="Georgia" w:cs="Georgia"/>
                <w:b/>
                <w:sz w:val="18"/>
                <w:szCs w:val="18"/>
              </w:rPr>
              <w:t>mpire</w:t>
            </w:r>
          </w:p>
        </w:tc>
        <w:tc>
          <w:tcPr>
            <w:tcW w:w="1027" w:type="pct"/>
            <w:shd w:val="clear" w:color="auto" w:fill="auto"/>
            <w:tcMar>
              <w:top w:w="100" w:type="dxa"/>
              <w:left w:w="100" w:type="dxa"/>
              <w:bottom w:w="100" w:type="dxa"/>
              <w:right w:w="100" w:type="dxa"/>
            </w:tcMar>
          </w:tcPr>
          <w:p w14:paraId="34B397D1"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_</w:t>
            </w:r>
          </w:p>
        </w:tc>
        <w:tc>
          <w:tcPr>
            <w:tcW w:w="960" w:type="pct"/>
            <w:shd w:val="clear" w:color="auto" w:fill="auto"/>
            <w:tcMar>
              <w:top w:w="100" w:type="dxa"/>
              <w:left w:w="100" w:type="dxa"/>
              <w:bottom w:w="100" w:type="dxa"/>
              <w:right w:w="100" w:type="dxa"/>
            </w:tcMar>
          </w:tcPr>
          <w:p w14:paraId="68D3FE85"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_</w:t>
            </w:r>
          </w:p>
        </w:tc>
        <w:tc>
          <w:tcPr>
            <w:tcW w:w="1248" w:type="pct"/>
            <w:shd w:val="clear" w:color="auto" w:fill="auto"/>
            <w:tcMar>
              <w:top w:w="100" w:type="dxa"/>
              <w:left w:w="100" w:type="dxa"/>
              <w:bottom w:w="100" w:type="dxa"/>
              <w:right w:w="100" w:type="dxa"/>
            </w:tcMar>
          </w:tcPr>
          <w:p w14:paraId="27D82D1A" w14:textId="4FB731E4"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Introduction of infrastructure</w:t>
            </w:r>
          </w:p>
          <w:p w14:paraId="2B4710CB"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Isolation tents near hospitals</w:t>
            </w:r>
          </w:p>
        </w:tc>
        <w:tc>
          <w:tcPr>
            <w:tcW w:w="984" w:type="pct"/>
          </w:tcPr>
          <w:p w14:paraId="605C071F" w14:textId="00392279" w:rsidR="00695365" w:rsidRPr="006E4D6C" w:rsidRDefault="00C9757B"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fldChar w:fldCharType="begin" w:fldLock="1"/>
            </w:r>
            <w:r w:rsidR="00AF5DE5" w:rsidRPr="006E4D6C">
              <w:rPr>
                <w:rFonts w:ascii="Georgia" w:eastAsia="Georgia" w:hAnsi="Georgia" w:cs="Georgia"/>
                <w:bCs/>
                <w:sz w:val="18"/>
                <w:szCs w:val="18"/>
              </w:rPr>
              <w:instrText>ADDIN CSL_CITATION {"citationItems":[{"id":"ITEM-1","itemData":{"DOI":"10.3390/su12145863","ISSN":"20711050","abstract":"The health system's response to the COVID-19 pandemic has involved research into diagnoses and vaccines, but primarily it has required specific treatments, facilities and equipment, together with the control of individual behaviour and a period of collective confinement. The aim of this particular research, therefore, is to discover whether COVID-19 is capable of changing the built environment (BE) and leveraging specific solutions for sustainable buildings or urban areas. Some historical reviews of infectious pandemics have highlighted the development of new solutions in the BE as an additional contribution towards preventing the spread of infection. The BE has an important role to play in supporting public health measures and reducing the risk of infections. The review of potential COVID-19 measures shows the existence of well-referenced solutions, ranging from incremental alterations (organisation of spaces, erection of physical barriers) to structural alterations (windows, balconies) with different timeframes and scales (ranging from changes in building materials to the design of urban areas). A critical exploratory assessment makes it possible to identify measures that may help not only to reduce the risk of COVID-19 transmission (or even prevent it), but also to increase resilience, improve air quality and lower energy requirements or the use of materials, and thus potentially increase the sustainability of the BE. COVID-19 measures challenge us to rethink buildings and urban areas and potentially leverage sustainable BE solutions with win-win outcomes (minimalist design and other solutions). The specific composition of this set of measures must, however, be further researched.","author":[{"dropping-particle":"","family":"Pinheiro","given":"Manuel Duarte","non-dropping-particle":"","parse-names":false,"suffix":""},{"dropping-particle":"","family":"Luís","given":"Nuno Cardoso","non-dropping-particle":"","parse-names":false,"suffix":""}],"container-title":"Sustainability (Switzerland)","id":"ITEM-1","issue":"14","issued":{"date-parts":[["2020"]]},"note":"GOOD GRAPHICS AND TABLES. MUST READ LATER","title":"COVID-19 could leverage a sustainable built environment","type":"article-journal","volume":"12"},"uris":["http://www.mendeley.com/documents/?uuid=213a734c-8643-49f7-b428-c787ad4f006c"]},{"id":"ITEM-2","itemData":{"DOI":"10.18203/2394-6040.ijcmph20171745","ISSN":"2394-6032","abstract":"During the Roman Empire thousands of soldiers were exposed to communicable diseases. The Romans forged a military medical system that surpassed the medical systems of most of their enemies. Under the principles of immediacy and expectancy, the Roman medical staff salvaged and returned to duty many sick and wounded soldiers as rapidly as possible. The selection of and training of healthy legionnaires, hygiene and sanitation and immediate medical care emphasized that the timing of care after diagnosis is as important as the quality of care. The Romans were the first army in history to employ medical corpsmen, field hospitals and triage. The Roman efficacy in combat medicine may be one of the least appreciated aspects of the ability of the Roman army to help create and maintain an empire.  ","author":[{"dropping-particle":"","family":"Belfiglio","given":"Valentine J.","non-dropping-particle":"","parse-names":false,"suffix":""}],"container-title":"International Journal Of Community Medicine And Public Health","id":"ITEM-2","issue":"5","issued":{"date-parts":[["2017"]]},"page":"1387","title":"Control of epidemics in the Roman army: 27 B.C. - A.D. 476","type":"article-journal","volume":"4"},"uris":["http://www.mendeley.com/documents/?uuid=f5218e35-ee98-41e3-b485-612237c4af7f"]}],"mendeley":{"formattedCitation":"(Belfiglio, 2017; Pinheiro &amp; Luís, 2020)","plainTextFormattedCitation":"(Belfiglio, 2017; Pinheiro &amp; Luís, 2020)","previouslyFormattedCitation":"(Belfiglio, 2017; Pinheiro &amp; Luís, 2020)"},"properties":{"noteIndex":0},"schema":"https://github.com/citation-style-language/schema/raw/master/csl-citation.json"}</w:instrText>
            </w:r>
            <w:r w:rsidRPr="006E4D6C">
              <w:rPr>
                <w:rFonts w:ascii="Georgia" w:eastAsia="Georgia" w:hAnsi="Georgia" w:cs="Georgia"/>
                <w:bCs/>
                <w:sz w:val="18"/>
                <w:szCs w:val="18"/>
              </w:rPr>
              <w:fldChar w:fldCharType="separate"/>
            </w:r>
            <w:r w:rsidR="00AF5DE5" w:rsidRPr="006E4D6C">
              <w:rPr>
                <w:rFonts w:ascii="Georgia" w:eastAsia="Georgia" w:hAnsi="Georgia" w:cs="Georgia"/>
                <w:bCs/>
                <w:sz w:val="18"/>
                <w:szCs w:val="18"/>
              </w:rPr>
              <w:t xml:space="preserve">Belfiglio </w:t>
            </w:r>
            <w:r w:rsidR="003A0D5E" w:rsidRPr="006E4D6C">
              <w:rPr>
                <w:rFonts w:ascii="Georgia" w:eastAsia="Georgia" w:hAnsi="Georgia" w:cs="Georgia"/>
                <w:bCs/>
                <w:sz w:val="18"/>
                <w:szCs w:val="18"/>
              </w:rPr>
              <w:t>(</w:t>
            </w:r>
            <w:r w:rsidR="00AF5DE5" w:rsidRPr="006E4D6C">
              <w:rPr>
                <w:rFonts w:ascii="Georgia" w:eastAsia="Georgia" w:hAnsi="Georgia" w:cs="Georgia"/>
                <w:bCs/>
                <w:sz w:val="18"/>
                <w:szCs w:val="18"/>
              </w:rPr>
              <w:t>2017</w:t>
            </w:r>
            <w:r w:rsidR="003A0D5E" w:rsidRPr="006E4D6C">
              <w:rPr>
                <w:rFonts w:ascii="Georgia" w:eastAsia="Georgia" w:hAnsi="Georgia" w:cs="Georgia"/>
                <w:bCs/>
                <w:sz w:val="18"/>
                <w:szCs w:val="18"/>
              </w:rPr>
              <w:t>)</w:t>
            </w:r>
            <w:r w:rsidR="00AF5DE5" w:rsidRPr="006E4D6C">
              <w:rPr>
                <w:rFonts w:ascii="Georgia" w:eastAsia="Georgia" w:hAnsi="Georgia" w:cs="Georgia"/>
                <w:bCs/>
                <w:sz w:val="18"/>
                <w:szCs w:val="18"/>
              </w:rPr>
              <w:t xml:space="preserve">; Pinheiro &amp; Luís </w:t>
            </w:r>
            <w:r w:rsidR="003A0D5E" w:rsidRPr="006E4D6C">
              <w:rPr>
                <w:rFonts w:ascii="Georgia" w:eastAsia="Georgia" w:hAnsi="Georgia" w:cs="Georgia"/>
                <w:bCs/>
                <w:sz w:val="18"/>
                <w:szCs w:val="18"/>
              </w:rPr>
              <w:t>(</w:t>
            </w:r>
            <w:r w:rsidR="00AF5DE5" w:rsidRPr="006E4D6C">
              <w:rPr>
                <w:rFonts w:ascii="Georgia" w:eastAsia="Georgia" w:hAnsi="Georgia" w:cs="Georgia"/>
                <w:bCs/>
                <w:sz w:val="18"/>
                <w:szCs w:val="18"/>
              </w:rPr>
              <w:t>2020)</w:t>
            </w:r>
            <w:r w:rsidRPr="006E4D6C">
              <w:rPr>
                <w:rFonts w:ascii="Georgia" w:eastAsia="Georgia" w:hAnsi="Georgia" w:cs="Georgia"/>
                <w:bCs/>
                <w:sz w:val="18"/>
                <w:szCs w:val="18"/>
              </w:rPr>
              <w:fldChar w:fldCharType="end"/>
            </w:r>
          </w:p>
        </w:tc>
      </w:tr>
      <w:tr w:rsidR="006E4D6C" w:rsidRPr="00813A59" w14:paraId="42E2B255" w14:textId="77777777" w:rsidTr="006E4D6C">
        <w:tc>
          <w:tcPr>
            <w:tcW w:w="781" w:type="pct"/>
            <w:shd w:val="clear" w:color="auto" w:fill="auto"/>
            <w:tcMar>
              <w:top w:w="100" w:type="dxa"/>
              <w:left w:w="100" w:type="dxa"/>
              <w:bottom w:w="100" w:type="dxa"/>
              <w:right w:w="100" w:type="dxa"/>
            </w:tcMar>
          </w:tcPr>
          <w:p w14:paraId="5FE568BF" w14:textId="3F2C9482"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
                <w:sz w:val="18"/>
                <w:szCs w:val="18"/>
              </w:rPr>
            </w:pPr>
            <w:r w:rsidRPr="006E4D6C">
              <w:rPr>
                <w:rFonts w:ascii="Georgia" w:eastAsia="Georgia" w:hAnsi="Georgia" w:cs="Georgia"/>
                <w:b/>
                <w:sz w:val="18"/>
                <w:szCs w:val="18"/>
              </w:rPr>
              <w:t xml:space="preserve">Black death in </w:t>
            </w:r>
            <w:r w:rsidR="00466E51" w:rsidRPr="006E4D6C">
              <w:rPr>
                <w:rFonts w:ascii="Georgia" w:eastAsia="Georgia" w:hAnsi="Georgia" w:cs="Georgia"/>
                <w:b/>
                <w:sz w:val="18"/>
                <w:szCs w:val="18"/>
              </w:rPr>
              <w:t xml:space="preserve">the </w:t>
            </w:r>
            <w:r w:rsidRPr="006E4D6C">
              <w:rPr>
                <w:rFonts w:ascii="Georgia" w:eastAsia="Georgia" w:hAnsi="Georgia" w:cs="Georgia"/>
                <w:b/>
                <w:sz w:val="18"/>
                <w:szCs w:val="18"/>
              </w:rPr>
              <w:t>14th century</w:t>
            </w:r>
          </w:p>
        </w:tc>
        <w:tc>
          <w:tcPr>
            <w:tcW w:w="1027" w:type="pct"/>
            <w:shd w:val="clear" w:color="auto" w:fill="auto"/>
            <w:tcMar>
              <w:top w:w="100" w:type="dxa"/>
              <w:left w:w="100" w:type="dxa"/>
              <w:bottom w:w="100" w:type="dxa"/>
              <w:right w:w="100" w:type="dxa"/>
            </w:tcMar>
          </w:tcPr>
          <w:p w14:paraId="7EF06064" w14:textId="231D2EDA"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 xml:space="preserve">Worldwide pandemic with </w:t>
            </w:r>
            <w:r w:rsidR="00466E51" w:rsidRPr="006E4D6C">
              <w:rPr>
                <w:rFonts w:ascii="Georgia" w:eastAsia="Georgia" w:hAnsi="Georgia" w:cs="Georgia"/>
                <w:bCs/>
                <w:sz w:val="18"/>
                <w:szCs w:val="18"/>
              </w:rPr>
              <w:t xml:space="preserve">a </w:t>
            </w:r>
            <w:r w:rsidRPr="006E4D6C">
              <w:rPr>
                <w:rFonts w:ascii="Georgia" w:eastAsia="Georgia" w:hAnsi="Georgia" w:cs="Georgia"/>
                <w:bCs/>
                <w:sz w:val="18"/>
                <w:szCs w:val="18"/>
              </w:rPr>
              <w:t xml:space="preserve">mortality </w:t>
            </w:r>
            <w:r w:rsidR="00466E51" w:rsidRPr="006E4D6C">
              <w:rPr>
                <w:rFonts w:ascii="Georgia" w:eastAsia="Georgia" w:hAnsi="Georgia" w:cs="Georgia"/>
                <w:bCs/>
                <w:sz w:val="18"/>
                <w:szCs w:val="18"/>
              </w:rPr>
              <w:t xml:space="preserve">rate </w:t>
            </w:r>
            <w:r w:rsidRPr="006E4D6C">
              <w:rPr>
                <w:rFonts w:ascii="Georgia" w:eastAsia="Georgia" w:hAnsi="Georgia" w:cs="Georgia"/>
                <w:bCs/>
                <w:sz w:val="18"/>
                <w:szCs w:val="18"/>
              </w:rPr>
              <w:t>of 50–75 million people worldwide.</w:t>
            </w:r>
          </w:p>
        </w:tc>
        <w:tc>
          <w:tcPr>
            <w:tcW w:w="960" w:type="pct"/>
            <w:shd w:val="clear" w:color="auto" w:fill="auto"/>
            <w:tcMar>
              <w:top w:w="100" w:type="dxa"/>
              <w:left w:w="100" w:type="dxa"/>
              <w:bottom w:w="100" w:type="dxa"/>
              <w:right w:w="100" w:type="dxa"/>
            </w:tcMar>
          </w:tcPr>
          <w:p w14:paraId="66AEE9F1" w14:textId="58A7C920"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The quarantine protocol was enforced</w:t>
            </w:r>
            <w:r w:rsidR="00466E51" w:rsidRPr="006E4D6C">
              <w:rPr>
                <w:rFonts w:ascii="Georgia" w:eastAsia="Georgia" w:hAnsi="Georgia" w:cs="Georgia"/>
                <w:bCs/>
                <w:sz w:val="18"/>
                <w:szCs w:val="18"/>
              </w:rPr>
              <w:t>,</w:t>
            </w:r>
            <w:r w:rsidRPr="006E4D6C">
              <w:rPr>
                <w:rFonts w:ascii="Georgia" w:eastAsia="Georgia" w:hAnsi="Georgia" w:cs="Georgia"/>
                <w:bCs/>
                <w:sz w:val="18"/>
                <w:szCs w:val="18"/>
              </w:rPr>
              <w:t xml:space="preserve"> and travel was restricted.</w:t>
            </w:r>
          </w:p>
        </w:tc>
        <w:tc>
          <w:tcPr>
            <w:tcW w:w="1248" w:type="pct"/>
            <w:shd w:val="clear" w:color="auto" w:fill="auto"/>
            <w:tcMar>
              <w:top w:w="100" w:type="dxa"/>
              <w:left w:w="100" w:type="dxa"/>
              <w:bottom w:w="100" w:type="dxa"/>
              <w:right w:w="100" w:type="dxa"/>
            </w:tcMar>
          </w:tcPr>
          <w:p w14:paraId="5F51A814"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Creation of dedicated hospitals to separate the patients infected with plaque.</w:t>
            </w:r>
          </w:p>
        </w:tc>
        <w:tc>
          <w:tcPr>
            <w:tcW w:w="984" w:type="pct"/>
          </w:tcPr>
          <w:p w14:paraId="5AA9E5D3" w14:textId="42772067" w:rsidR="00695365" w:rsidRPr="006E4D6C" w:rsidRDefault="00AF5DE5"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fldChar w:fldCharType="begin" w:fldLock="1"/>
            </w:r>
            <w:r w:rsidRPr="006E4D6C">
              <w:rPr>
                <w:rFonts w:ascii="Georgia" w:eastAsia="Georgia" w:hAnsi="Georgia" w:cs="Georgia"/>
                <w:bCs/>
                <w:sz w:val="18"/>
                <w:szCs w:val="18"/>
              </w:rPr>
              <w:instrText>ADDIN CSL_CITATION {"citationItems":[{"id":"ITEM-1","itemData":{"DOI":"10.3390/su12145863","ISSN":"20711050","abstract":"The health system's response to the COVID-19 pandemic has involved research into diagnoses and vaccines, but primarily it has required specific treatments, facilities and equipment, together with the control of individual behaviour and a period of collective confinement. The aim of this particular research, therefore, is to discover whether COVID-19 is capable of changing the built environment (BE) and leveraging specific solutions for sustainable buildings or urban areas. Some historical reviews of infectious pandemics have highlighted the development of new solutions in the BE as an additional contribution towards preventing the spread of infection. The BE has an important role to play in supporting public health measures and reducing the risk of infections. The review of potential COVID-19 measures shows the existence of well-referenced solutions, ranging from incremental alterations (organisation of spaces, erection of physical barriers) to structural alterations (windows, balconies) with different timeframes and scales (ranging from changes in building materials to the design of urban areas). A critical exploratory assessment makes it possible to identify measures that may help not only to reduce the risk of COVID-19 transmission (or even prevent it), but also to increase resilience, improve air quality and lower energy requirements or the use of materials, and thus potentially increase the sustainability of the BE. COVID-19 measures challenge us to rethink buildings and urban areas and potentially leverage sustainable BE solutions with win-win outcomes (minimalist design and other solutions). The specific composition of this set of measures must, however, be further researched.","author":[{"dropping-particle":"","family":"Pinheiro","given":"Manuel Duarte","non-dropping-particle":"","parse-names":false,"suffix":""},{"dropping-particle":"","family":"Luís","given":"Nuno Cardoso","non-dropping-particle":"","parse-names":false,"suffix":""}],"container-title":"Sustainability (Switzerland)","id":"ITEM-1","issue":"14","issued":{"date-parts":[["2020"]]},"note":"GOOD GRAPHICS AND TABLES. MUST READ LATER","title":"COVID-19 could leverage a sustainable built environment","type":"article-journal","volume":"12"},"uris":["http://www.mendeley.com/documents/?uuid=213a734c-8643-49f7-b428-c787ad4f006c"]},{"id":"ITEM-2","itemData":{"DOI":"10.3390/s22093598","abstract":"During the first wave of the COVID-19 pandemic, the delivery of life-saving and life-prolonging health services for oncology care and supporting services was delayed and, in some cases, completely halted, as national health services globally shifted their attention and resources towards the pandemic response. Prior to March 2020, telehealth was starting to change access to health services. However, the onset of the global pandemic may mark a tipping point for telehealth adoption in healthcare delivery. We conducted a systematic review of literature published between January 2020 and March 2021 examining the impact of the COVID-19 pandemic on adult cancer patients. The review's inclusion criteria focused on the economic, social, health, and psychological implications of COVID-19 on cancer patients and the availability of telehealth services emerged as a key theme. The studies reviewed revealed that the introduction of new telehealth services or the expansion of existing telehealth occurred to support and enable the continuity of oncology and related services during this extraordinary period. Our analysis points to several strengths and weaknesses associated with telehealth adoption and use amongst this cohort. Evidence indicates that while telehealth is not a panacea, it can offer a \"bolstering\" solution during a time of disruption to patients' access to essential cancer diagnostic, treatment, and aftercare services. The innovative use of telehealth has created opportunities to reimagine the delivery of healthcare services beyond COVID-19.","author":[{"dropping-particle":"","family":"Murphy","given":"Aileen","non-dropping-particle":"","parse-names":false,"suffix":""},{"dropping-particle":"","family":"Kirby","given":"Ann","non-dropping-particle":"","parse-names":false,"suffix":""},{"dropping-particle":"","family":"Lawlor","given":"Amy","non-dropping-particle":"","parse-names":false,"suffix":""},{"dropping-particle":"","family":"Drummond","given":"Frances J","non-dropping-particle":"","parse-names":false,"suffix":""},{"dropping-particle":"","family":"Heavin","given":"Ciara","non-dropping-particle":"","parse-names":false,"suffix":""}],"container-title":"Sensors (Basel, Switzerland)","id":"ITEM-2","issue":"9","issued":{"date-parts":[["2022"]]},"page":"3598","title":"Mitigating the Impact of the COVID-19 Pandemic on Adult Cancer Patients through Telehealth Adoption: A Systematic Review","type":"article-journal","volume":"22"},"uris":["http://www.mendeley.com/documents/?uuid=d690e28e-f9a1-3b7c-b37c-319a138d657e"]}],"mendeley":{"formattedCitation":"(Murphy et al., 2022; Pinheiro &amp; Luís, 2020)","plainTextFormattedCitation":"(Murphy et al., 2022; Pinheiro &amp; Luís, 2020)","previouslyFormattedCitation":"(Murphy et al., 2022; Pinheiro &amp; Luís, 2020)"},"properties":{"noteIndex":0},"schema":"https://github.com/citation-style-language/schema/raw/master/csl-citation.json"}</w:instrText>
            </w:r>
            <w:r w:rsidRPr="006E4D6C">
              <w:rPr>
                <w:rFonts w:ascii="Georgia" w:eastAsia="Georgia" w:hAnsi="Georgia" w:cs="Georgia"/>
                <w:bCs/>
                <w:sz w:val="18"/>
                <w:szCs w:val="18"/>
              </w:rPr>
              <w:fldChar w:fldCharType="separate"/>
            </w:r>
            <w:r w:rsidRPr="006E4D6C">
              <w:rPr>
                <w:rFonts w:ascii="Georgia" w:eastAsia="Georgia" w:hAnsi="Georgia" w:cs="Georgia"/>
                <w:bCs/>
                <w:sz w:val="18"/>
                <w:szCs w:val="18"/>
              </w:rPr>
              <w:t xml:space="preserve">Murphy et al., </w:t>
            </w:r>
            <w:r w:rsidR="003A0D5E" w:rsidRPr="006E4D6C">
              <w:rPr>
                <w:rFonts w:ascii="Georgia" w:eastAsia="Georgia" w:hAnsi="Georgia" w:cs="Georgia"/>
                <w:bCs/>
                <w:sz w:val="18"/>
                <w:szCs w:val="18"/>
              </w:rPr>
              <w:t>(</w:t>
            </w:r>
            <w:r w:rsidRPr="006E4D6C">
              <w:rPr>
                <w:rFonts w:ascii="Georgia" w:eastAsia="Georgia" w:hAnsi="Georgia" w:cs="Georgia"/>
                <w:bCs/>
                <w:sz w:val="18"/>
                <w:szCs w:val="18"/>
              </w:rPr>
              <w:t>2022</w:t>
            </w:r>
            <w:r w:rsidR="003A0D5E" w:rsidRPr="006E4D6C">
              <w:rPr>
                <w:rFonts w:ascii="Georgia" w:eastAsia="Georgia" w:hAnsi="Georgia" w:cs="Georgia"/>
                <w:bCs/>
                <w:sz w:val="18"/>
                <w:szCs w:val="18"/>
              </w:rPr>
              <w:t>)</w:t>
            </w:r>
            <w:r w:rsidRPr="006E4D6C">
              <w:rPr>
                <w:rFonts w:ascii="Georgia" w:eastAsia="Georgia" w:hAnsi="Georgia" w:cs="Georgia"/>
                <w:bCs/>
                <w:sz w:val="18"/>
                <w:szCs w:val="18"/>
              </w:rPr>
              <w:t xml:space="preserve">; Pinheiro &amp; Luís </w:t>
            </w:r>
            <w:r w:rsidR="003A0D5E" w:rsidRPr="006E4D6C">
              <w:rPr>
                <w:rFonts w:ascii="Georgia" w:eastAsia="Georgia" w:hAnsi="Georgia" w:cs="Georgia"/>
                <w:bCs/>
                <w:sz w:val="18"/>
                <w:szCs w:val="18"/>
              </w:rPr>
              <w:t>(</w:t>
            </w:r>
            <w:r w:rsidRPr="006E4D6C">
              <w:rPr>
                <w:rFonts w:ascii="Georgia" w:eastAsia="Georgia" w:hAnsi="Georgia" w:cs="Georgia"/>
                <w:bCs/>
                <w:sz w:val="18"/>
                <w:szCs w:val="18"/>
              </w:rPr>
              <w:t>2020)</w:t>
            </w:r>
            <w:r w:rsidRPr="006E4D6C">
              <w:rPr>
                <w:rFonts w:ascii="Georgia" w:eastAsia="Georgia" w:hAnsi="Georgia" w:cs="Georgia"/>
                <w:bCs/>
                <w:sz w:val="18"/>
                <w:szCs w:val="18"/>
              </w:rPr>
              <w:fldChar w:fldCharType="end"/>
            </w:r>
          </w:p>
        </w:tc>
      </w:tr>
      <w:tr w:rsidR="006E4D6C" w:rsidRPr="00813A59" w14:paraId="347B478D" w14:textId="77777777" w:rsidTr="006E4D6C">
        <w:tc>
          <w:tcPr>
            <w:tcW w:w="781" w:type="pct"/>
            <w:shd w:val="clear" w:color="auto" w:fill="auto"/>
            <w:tcMar>
              <w:top w:w="100" w:type="dxa"/>
              <w:left w:w="100" w:type="dxa"/>
              <w:bottom w:w="100" w:type="dxa"/>
              <w:right w:w="100" w:type="dxa"/>
            </w:tcMar>
          </w:tcPr>
          <w:p w14:paraId="0DE04930" w14:textId="3AB754BF"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
                <w:sz w:val="18"/>
                <w:szCs w:val="18"/>
              </w:rPr>
            </w:pPr>
            <w:r w:rsidRPr="006E4D6C">
              <w:rPr>
                <w:rFonts w:ascii="Georgia" w:eastAsia="Georgia" w:hAnsi="Georgia" w:cs="Georgia"/>
                <w:b/>
                <w:sz w:val="18"/>
                <w:szCs w:val="18"/>
              </w:rPr>
              <w:t xml:space="preserve">Cholera in </w:t>
            </w:r>
            <w:r w:rsidR="00466E51" w:rsidRPr="006E4D6C">
              <w:rPr>
                <w:rFonts w:ascii="Georgia" w:eastAsia="Georgia" w:hAnsi="Georgia" w:cs="Georgia"/>
                <w:b/>
                <w:sz w:val="18"/>
                <w:szCs w:val="18"/>
              </w:rPr>
              <w:t xml:space="preserve">the </w:t>
            </w:r>
            <w:r w:rsidRPr="006E4D6C">
              <w:rPr>
                <w:rFonts w:ascii="Georgia" w:eastAsia="Georgia" w:hAnsi="Georgia" w:cs="Georgia"/>
                <w:b/>
                <w:sz w:val="18"/>
                <w:szCs w:val="18"/>
              </w:rPr>
              <w:t>19th century</w:t>
            </w:r>
          </w:p>
        </w:tc>
        <w:tc>
          <w:tcPr>
            <w:tcW w:w="1027" w:type="pct"/>
            <w:shd w:val="clear" w:color="auto" w:fill="auto"/>
            <w:tcMar>
              <w:top w:w="100" w:type="dxa"/>
              <w:left w:w="100" w:type="dxa"/>
              <w:bottom w:w="100" w:type="dxa"/>
              <w:right w:w="100" w:type="dxa"/>
            </w:tcMar>
          </w:tcPr>
          <w:p w14:paraId="706475E6" w14:textId="4201DA0F"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Between</w:t>
            </w:r>
            <w:r w:rsidR="00466E51" w:rsidRPr="006E4D6C">
              <w:rPr>
                <w:rFonts w:ascii="Georgia" w:eastAsia="Georgia" w:hAnsi="Georgia" w:cs="Georgia"/>
                <w:bCs/>
                <w:sz w:val="18"/>
                <w:szCs w:val="18"/>
              </w:rPr>
              <w:t xml:space="preserve"> the</w:t>
            </w:r>
            <w:r w:rsidRPr="006E4D6C">
              <w:rPr>
                <w:rFonts w:ascii="Georgia" w:eastAsia="Georgia" w:hAnsi="Georgia" w:cs="Georgia"/>
                <w:bCs/>
                <w:sz w:val="18"/>
                <w:szCs w:val="18"/>
              </w:rPr>
              <w:t xml:space="preserve"> 19th and 20th centur</w:t>
            </w:r>
            <w:r w:rsidR="00466E51" w:rsidRPr="006E4D6C">
              <w:rPr>
                <w:rFonts w:ascii="Georgia" w:eastAsia="Georgia" w:hAnsi="Georgia" w:cs="Georgia"/>
                <w:bCs/>
                <w:sz w:val="18"/>
                <w:szCs w:val="18"/>
              </w:rPr>
              <w:t>ies</w:t>
            </w:r>
            <w:r w:rsidRPr="006E4D6C">
              <w:rPr>
                <w:rFonts w:ascii="Georgia" w:eastAsia="Georgia" w:hAnsi="Georgia" w:cs="Georgia"/>
                <w:bCs/>
                <w:sz w:val="18"/>
                <w:szCs w:val="18"/>
              </w:rPr>
              <w:t xml:space="preserve"> it caused millions of deaths.</w:t>
            </w:r>
          </w:p>
        </w:tc>
        <w:tc>
          <w:tcPr>
            <w:tcW w:w="960" w:type="pct"/>
            <w:shd w:val="clear" w:color="auto" w:fill="auto"/>
            <w:tcMar>
              <w:top w:w="100" w:type="dxa"/>
              <w:left w:w="100" w:type="dxa"/>
              <w:bottom w:w="100" w:type="dxa"/>
              <w:right w:w="100" w:type="dxa"/>
            </w:tcMar>
          </w:tcPr>
          <w:p w14:paraId="590BF2FC"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Quarantine measures were enforced at the ports.</w:t>
            </w:r>
          </w:p>
        </w:tc>
        <w:tc>
          <w:tcPr>
            <w:tcW w:w="1248" w:type="pct"/>
            <w:shd w:val="clear" w:color="auto" w:fill="auto"/>
            <w:tcMar>
              <w:top w:w="100" w:type="dxa"/>
              <w:left w:w="100" w:type="dxa"/>
              <w:bottom w:w="100" w:type="dxa"/>
              <w:right w:w="100" w:type="dxa"/>
            </w:tcMar>
          </w:tcPr>
          <w:p w14:paraId="3A75A642"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More focus on sanitation with improved sewerage systems.</w:t>
            </w:r>
          </w:p>
          <w:p w14:paraId="4E77FD5B" w14:textId="50DBA4CF"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Florence Nightingale proposed pavilion models with more ventilation, daylight and hygiene.</w:t>
            </w:r>
          </w:p>
        </w:tc>
        <w:tc>
          <w:tcPr>
            <w:tcW w:w="984" w:type="pct"/>
          </w:tcPr>
          <w:p w14:paraId="6D956E11" w14:textId="77777777" w:rsidR="00302B53" w:rsidRPr="006E4D6C" w:rsidRDefault="00302B53"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Emmanuel</w:t>
            </w:r>
          </w:p>
          <w:p w14:paraId="6C3F5B8E" w14:textId="6F22E4D5" w:rsidR="00695365" w:rsidRPr="006E4D6C" w:rsidRDefault="003A0D5E"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(2020);</w:t>
            </w:r>
            <w:r w:rsidR="00366511" w:rsidRPr="006E4D6C">
              <w:rPr>
                <w:rFonts w:ascii="Georgia" w:eastAsia="Georgia" w:hAnsi="Georgia" w:cs="Georgia"/>
                <w:bCs/>
                <w:sz w:val="18"/>
                <w:szCs w:val="18"/>
              </w:rPr>
              <w:t>Tappero  and Tauxe</w:t>
            </w:r>
            <w:r w:rsidR="00B66392" w:rsidRPr="006E4D6C">
              <w:rPr>
                <w:rFonts w:ascii="Georgia" w:eastAsia="Georgia" w:hAnsi="Georgia" w:cs="Georgia"/>
                <w:bCs/>
                <w:sz w:val="18"/>
                <w:szCs w:val="18"/>
              </w:rPr>
              <w:t xml:space="preserve"> </w:t>
            </w:r>
            <w:r w:rsidR="00366511" w:rsidRPr="006E4D6C">
              <w:rPr>
                <w:rFonts w:ascii="Georgia" w:eastAsia="Georgia" w:hAnsi="Georgia" w:cs="Georgia"/>
                <w:bCs/>
                <w:sz w:val="18"/>
                <w:szCs w:val="18"/>
              </w:rPr>
              <w:t>(2011)</w:t>
            </w:r>
          </w:p>
          <w:p w14:paraId="55A84C13" w14:textId="77777777" w:rsidR="00695365" w:rsidRPr="006E4D6C" w:rsidRDefault="00695365" w:rsidP="006E4D6C">
            <w:pPr>
              <w:pBdr>
                <w:top w:val="nil"/>
                <w:left w:val="nil"/>
                <w:bottom w:val="nil"/>
                <w:right w:val="nil"/>
                <w:between w:val="nil"/>
              </w:pBdr>
              <w:spacing w:after="120" w:line="240" w:lineRule="auto"/>
              <w:jc w:val="left"/>
              <w:rPr>
                <w:rFonts w:ascii="Georgia" w:eastAsia="Georgia" w:hAnsi="Georgia" w:cs="Georgia"/>
                <w:bCs/>
                <w:sz w:val="18"/>
                <w:szCs w:val="18"/>
              </w:rPr>
            </w:pPr>
          </w:p>
        </w:tc>
      </w:tr>
      <w:tr w:rsidR="006E4D6C" w:rsidRPr="00813A59" w14:paraId="01A5B03C" w14:textId="77777777" w:rsidTr="006E4D6C">
        <w:tc>
          <w:tcPr>
            <w:tcW w:w="781" w:type="pct"/>
            <w:shd w:val="clear" w:color="auto" w:fill="auto"/>
            <w:tcMar>
              <w:top w:w="100" w:type="dxa"/>
              <w:left w:w="100" w:type="dxa"/>
              <w:bottom w:w="100" w:type="dxa"/>
              <w:right w:w="100" w:type="dxa"/>
            </w:tcMar>
          </w:tcPr>
          <w:p w14:paraId="7874AD1C" w14:textId="5C17504F" w:rsidR="00695365" w:rsidRPr="006E4D6C" w:rsidRDefault="00466E51" w:rsidP="006E4D6C">
            <w:pPr>
              <w:pBdr>
                <w:top w:val="nil"/>
                <w:left w:val="nil"/>
                <w:bottom w:val="nil"/>
                <w:right w:val="nil"/>
                <w:between w:val="nil"/>
              </w:pBdr>
              <w:spacing w:after="120" w:line="240" w:lineRule="auto"/>
              <w:jc w:val="left"/>
              <w:rPr>
                <w:rFonts w:ascii="Georgia" w:eastAsia="Georgia" w:hAnsi="Georgia" w:cs="Georgia"/>
                <w:b/>
                <w:sz w:val="18"/>
                <w:szCs w:val="18"/>
              </w:rPr>
            </w:pPr>
            <w:r w:rsidRPr="006E4D6C">
              <w:rPr>
                <w:rFonts w:ascii="Georgia" w:eastAsia="Georgia" w:hAnsi="Georgia" w:cs="Georgia"/>
                <w:b/>
                <w:sz w:val="18"/>
                <w:szCs w:val="18"/>
              </w:rPr>
              <w:t>Tuberculosis (</w:t>
            </w:r>
            <w:r w:rsidR="00366511" w:rsidRPr="006E4D6C">
              <w:rPr>
                <w:rFonts w:ascii="Georgia" w:eastAsia="Georgia" w:hAnsi="Georgia" w:cs="Georgia"/>
                <w:b/>
                <w:sz w:val="18"/>
                <w:szCs w:val="18"/>
              </w:rPr>
              <w:t>TB)</w:t>
            </w:r>
          </w:p>
        </w:tc>
        <w:tc>
          <w:tcPr>
            <w:tcW w:w="1027" w:type="pct"/>
            <w:shd w:val="clear" w:color="auto" w:fill="auto"/>
            <w:tcMar>
              <w:top w:w="100" w:type="dxa"/>
              <w:left w:w="100" w:type="dxa"/>
              <w:bottom w:w="100" w:type="dxa"/>
              <w:right w:w="100" w:type="dxa"/>
            </w:tcMar>
          </w:tcPr>
          <w:p w14:paraId="2F21F08D" w14:textId="42DD2836"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 xml:space="preserve">Emerged in the 19th century with </w:t>
            </w:r>
            <w:r w:rsidR="00466E51" w:rsidRPr="006E4D6C">
              <w:rPr>
                <w:rFonts w:ascii="Georgia" w:eastAsia="Georgia" w:hAnsi="Georgia" w:cs="Georgia"/>
                <w:bCs/>
                <w:sz w:val="18"/>
                <w:szCs w:val="18"/>
              </w:rPr>
              <w:t xml:space="preserve">a </w:t>
            </w:r>
            <w:r w:rsidRPr="006E4D6C">
              <w:rPr>
                <w:rFonts w:ascii="Georgia" w:eastAsia="Georgia" w:hAnsi="Georgia" w:cs="Georgia"/>
                <w:bCs/>
                <w:sz w:val="18"/>
                <w:szCs w:val="18"/>
              </w:rPr>
              <w:t>mortality rate of 2 billion people.</w:t>
            </w:r>
          </w:p>
        </w:tc>
        <w:tc>
          <w:tcPr>
            <w:tcW w:w="960" w:type="pct"/>
            <w:shd w:val="clear" w:color="auto" w:fill="auto"/>
            <w:tcMar>
              <w:top w:w="100" w:type="dxa"/>
              <w:left w:w="100" w:type="dxa"/>
              <w:bottom w:w="100" w:type="dxa"/>
              <w:right w:w="100" w:type="dxa"/>
            </w:tcMar>
          </w:tcPr>
          <w:p w14:paraId="441621EC"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Social isolation was enforced.</w:t>
            </w:r>
          </w:p>
        </w:tc>
        <w:tc>
          <w:tcPr>
            <w:tcW w:w="1248" w:type="pct"/>
            <w:shd w:val="clear" w:color="auto" w:fill="auto"/>
            <w:tcMar>
              <w:top w:w="100" w:type="dxa"/>
              <w:left w:w="100" w:type="dxa"/>
              <w:bottom w:w="100" w:type="dxa"/>
              <w:right w:w="100" w:type="dxa"/>
            </w:tcMar>
          </w:tcPr>
          <w:p w14:paraId="228040F5" w14:textId="77777777" w:rsidR="006E4D6C" w:rsidRDefault="00366511" w:rsidP="006E4D6C">
            <w:pP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Sanatorium</w:t>
            </w:r>
            <w:r w:rsidR="00466E51" w:rsidRPr="006E4D6C">
              <w:rPr>
                <w:rFonts w:ascii="Georgia" w:eastAsia="Georgia" w:hAnsi="Georgia" w:cs="Georgia"/>
                <w:bCs/>
                <w:sz w:val="18"/>
                <w:szCs w:val="18"/>
              </w:rPr>
              <w:t>s</w:t>
            </w:r>
            <w:r w:rsidRPr="006E4D6C">
              <w:rPr>
                <w:rFonts w:ascii="Georgia" w:eastAsia="Georgia" w:hAnsi="Georgia" w:cs="Georgia"/>
                <w:bCs/>
                <w:sz w:val="18"/>
                <w:szCs w:val="18"/>
              </w:rPr>
              <w:t xml:space="preserve"> w</w:t>
            </w:r>
            <w:r w:rsidR="00466E51" w:rsidRPr="006E4D6C">
              <w:rPr>
                <w:rFonts w:ascii="Georgia" w:eastAsia="Georgia" w:hAnsi="Georgia" w:cs="Georgia"/>
                <w:bCs/>
                <w:sz w:val="18"/>
                <w:szCs w:val="18"/>
              </w:rPr>
              <w:t>ere</w:t>
            </w:r>
            <w:r w:rsidRPr="006E4D6C">
              <w:rPr>
                <w:rFonts w:ascii="Georgia" w:eastAsia="Georgia" w:hAnsi="Georgia" w:cs="Georgia"/>
                <w:bCs/>
                <w:sz w:val="18"/>
                <w:szCs w:val="18"/>
              </w:rPr>
              <w:t xml:space="preserve"> introduced for treating patients with TB.</w:t>
            </w:r>
          </w:p>
          <w:p w14:paraId="28125A2D" w14:textId="2D48AE01" w:rsidR="00695365" w:rsidRPr="006E4D6C" w:rsidRDefault="00366511" w:rsidP="006E4D6C">
            <w:pP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The usage of natural and mechanical ventilation. Install UVGI fixtures with ceiling fans for air mixing.</w:t>
            </w:r>
          </w:p>
        </w:tc>
        <w:tc>
          <w:tcPr>
            <w:tcW w:w="984" w:type="pct"/>
          </w:tcPr>
          <w:p w14:paraId="631A43BE"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WHO (2018); Pinheiro and Luis (2020)</w:t>
            </w:r>
          </w:p>
        </w:tc>
      </w:tr>
      <w:tr w:rsidR="006E4D6C" w:rsidRPr="00813A59" w14:paraId="2154EAFB" w14:textId="77777777" w:rsidTr="006E4D6C">
        <w:tc>
          <w:tcPr>
            <w:tcW w:w="781" w:type="pct"/>
            <w:shd w:val="clear" w:color="auto" w:fill="auto"/>
            <w:tcMar>
              <w:top w:w="100" w:type="dxa"/>
              <w:left w:w="100" w:type="dxa"/>
              <w:bottom w:w="100" w:type="dxa"/>
              <w:right w:w="100" w:type="dxa"/>
            </w:tcMar>
          </w:tcPr>
          <w:p w14:paraId="4C66A9F7"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
                <w:sz w:val="18"/>
                <w:szCs w:val="18"/>
              </w:rPr>
            </w:pPr>
            <w:r w:rsidRPr="006E4D6C">
              <w:rPr>
                <w:rFonts w:ascii="Georgia" w:eastAsia="Georgia" w:hAnsi="Georgia" w:cs="Georgia"/>
                <w:b/>
                <w:sz w:val="18"/>
                <w:szCs w:val="18"/>
              </w:rPr>
              <w:t>1918 influenza pandemic (influenza)</w:t>
            </w:r>
          </w:p>
        </w:tc>
        <w:tc>
          <w:tcPr>
            <w:tcW w:w="1027" w:type="pct"/>
            <w:shd w:val="clear" w:color="auto" w:fill="auto"/>
            <w:tcMar>
              <w:top w:w="100" w:type="dxa"/>
              <w:left w:w="100" w:type="dxa"/>
              <w:bottom w:w="100" w:type="dxa"/>
              <w:right w:w="100" w:type="dxa"/>
            </w:tcMar>
          </w:tcPr>
          <w:p w14:paraId="19933D1B"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Mortality rate of 50 million people during 1918-1919.</w:t>
            </w:r>
          </w:p>
        </w:tc>
        <w:tc>
          <w:tcPr>
            <w:tcW w:w="960" w:type="pct"/>
            <w:shd w:val="clear" w:color="auto" w:fill="auto"/>
            <w:tcMar>
              <w:top w:w="100" w:type="dxa"/>
              <w:left w:w="100" w:type="dxa"/>
              <w:bottom w:w="100" w:type="dxa"/>
              <w:right w:w="100" w:type="dxa"/>
            </w:tcMar>
          </w:tcPr>
          <w:p w14:paraId="409BE19E" w14:textId="6185B7C1"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 xml:space="preserve">Social distancing and </w:t>
            </w:r>
            <w:r w:rsidR="00466E51" w:rsidRPr="006E4D6C">
              <w:rPr>
                <w:rFonts w:ascii="Georgia" w:eastAsia="Georgia" w:hAnsi="Georgia" w:cs="Georgia"/>
                <w:bCs/>
                <w:sz w:val="18"/>
                <w:szCs w:val="18"/>
              </w:rPr>
              <w:t xml:space="preserve">the </w:t>
            </w:r>
            <w:r w:rsidRPr="006E4D6C">
              <w:rPr>
                <w:rFonts w:ascii="Georgia" w:eastAsia="Georgia" w:hAnsi="Georgia" w:cs="Georgia"/>
                <w:bCs/>
                <w:sz w:val="18"/>
                <w:szCs w:val="18"/>
              </w:rPr>
              <w:t>use of masks.</w:t>
            </w:r>
          </w:p>
        </w:tc>
        <w:tc>
          <w:tcPr>
            <w:tcW w:w="1248" w:type="pct"/>
            <w:shd w:val="clear" w:color="auto" w:fill="auto"/>
            <w:tcMar>
              <w:top w:w="100" w:type="dxa"/>
              <w:left w:w="100" w:type="dxa"/>
              <w:bottom w:w="100" w:type="dxa"/>
              <w:right w:w="100" w:type="dxa"/>
            </w:tcMar>
          </w:tcPr>
          <w:p w14:paraId="372B35B4" w14:textId="6FA892FD"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The gyms, state armouries, parish halls</w:t>
            </w:r>
            <w:r w:rsidR="00466E51" w:rsidRPr="006E4D6C">
              <w:rPr>
                <w:rFonts w:ascii="Georgia" w:eastAsia="Georgia" w:hAnsi="Georgia" w:cs="Georgia"/>
                <w:bCs/>
                <w:sz w:val="18"/>
                <w:szCs w:val="18"/>
              </w:rPr>
              <w:t>,</w:t>
            </w:r>
            <w:r w:rsidRPr="006E4D6C">
              <w:rPr>
                <w:rFonts w:ascii="Georgia" w:eastAsia="Georgia" w:hAnsi="Georgia" w:cs="Georgia"/>
                <w:bCs/>
                <w:sz w:val="18"/>
                <w:szCs w:val="18"/>
              </w:rPr>
              <w:t xml:space="preserve"> and other facilit</w:t>
            </w:r>
            <w:r w:rsidR="00466E51" w:rsidRPr="006E4D6C">
              <w:rPr>
                <w:rFonts w:ascii="Georgia" w:eastAsia="Georgia" w:hAnsi="Georgia" w:cs="Georgia"/>
                <w:bCs/>
                <w:sz w:val="18"/>
                <w:szCs w:val="18"/>
              </w:rPr>
              <w:t>i</w:t>
            </w:r>
            <w:r w:rsidRPr="006E4D6C">
              <w:rPr>
                <w:rFonts w:ascii="Georgia" w:eastAsia="Georgia" w:hAnsi="Georgia" w:cs="Georgia"/>
                <w:bCs/>
                <w:sz w:val="18"/>
                <w:szCs w:val="18"/>
              </w:rPr>
              <w:t>es were converted into wards.</w:t>
            </w:r>
          </w:p>
        </w:tc>
        <w:tc>
          <w:tcPr>
            <w:tcW w:w="984" w:type="pct"/>
          </w:tcPr>
          <w:p w14:paraId="0FB802ED" w14:textId="46770438" w:rsidR="00695365" w:rsidRPr="006E4D6C" w:rsidRDefault="00485247"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fldChar w:fldCharType="begin" w:fldLock="1"/>
            </w:r>
            <w:r w:rsidR="00576E92" w:rsidRPr="006E4D6C">
              <w:rPr>
                <w:rFonts w:ascii="Georgia" w:eastAsia="Georgia" w:hAnsi="Georgia" w:cs="Georgia"/>
                <w:bCs/>
                <w:sz w:val="18"/>
                <w:szCs w:val="18"/>
              </w:rPr>
              <w:instrText>ADDIN CSL_CITATION {"citationItems":[{"id":"ITEM-1","itemData":{"DOI":"10.1038/nrmicro1208","ISSN":"17401526","PMID":"16064053","abstract":"Recent outbreaks of highly pathogenic avian influenza A virus infections (H5 and H7 subtypes) in poultry and in humans (through direct contact with infected birds) have had important economic repercussions and have raised concerns that a new influenza pandemic will occur in the near future. The eradication of pathogenic avian influenza viruses seems to be the most effective way to prevent influenza pandemics, although this strategy has not proven successful so far. Here, we review the molecular factors that contribute to the emergence of pandemic strains.","author":[{"dropping-particle":"","family":"Horimoto","given":"Taisuke","non-dropping-particle":"","parse-names":false,"suffix":""},{"dropping-particle":"","family":"Kawaoka","given":"Yoshihiro","non-dropping-particle":"","parse-names":false,"suffix":""}],"container-title":"Nature Reviews Microbiology","id":"ITEM-1","issue":"8","issued":{"date-parts":[["2005","8"]]},"page":"591-600","title":"Influenza: Lessons from past pandemics, warnings from current incidents","type":"article","volume":"3"},"uris":["http://www.mendeley.com/documents/?uuid=644a8879-ea70-3c40-adfe-433a3c943008"]}],"mendeley":{"formattedCitation":"(Horimoto &amp; Kawaoka, 2005)","plainTextFormattedCitation":"(Horimoto &amp; Kawaoka, 2005)","previouslyFormattedCitation":"(Horimoto &amp; Kawaoka, 2005)"},"properties":{"noteIndex":0},"schema":"https://github.com/citation-style-language/schema/raw/master/csl-citation.json"}</w:instrText>
            </w:r>
            <w:r w:rsidRPr="006E4D6C">
              <w:rPr>
                <w:rFonts w:ascii="Georgia" w:eastAsia="Georgia" w:hAnsi="Georgia" w:cs="Georgia"/>
                <w:bCs/>
                <w:sz w:val="18"/>
                <w:szCs w:val="18"/>
              </w:rPr>
              <w:fldChar w:fldCharType="separate"/>
            </w:r>
            <w:r w:rsidRPr="006E4D6C">
              <w:rPr>
                <w:rFonts w:ascii="Georgia" w:eastAsia="Georgia" w:hAnsi="Georgia" w:cs="Georgia"/>
                <w:bCs/>
                <w:sz w:val="18"/>
                <w:szCs w:val="18"/>
              </w:rPr>
              <w:t xml:space="preserve">Horimoto &amp; Kawaoka </w:t>
            </w:r>
            <w:r w:rsidR="003A0D5E" w:rsidRPr="006E4D6C">
              <w:rPr>
                <w:rFonts w:ascii="Georgia" w:eastAsia="Georgia" w:hAnsi="Georgia" w:cs="Georgia"/>
                <w:bCs/>
                <w:sz w:val="18"/>
                <w:szCs w:val="18"/>
              </w:rPr>
              <w:t>(</w:t>
            </w:r>
            <w:r w:rsidRPr="006E4D6C">
              <w:rPr>
                <w:rFonts w:ascii="Georgia" w:eastAsia="Georgia" w:hAnsi="Georgia" w:cs="Georgia"/>
                <w:bCs/>
                <w:sz w:val="18"/>
                <w:szCs w:val="18"/>
              </w:rPr>
              <w:t>2005)</w:t>
            </w:r>
            <w:r w:rsidRPr="006E4D6C">
              <w:rPr>
                <w:rFonts w:ascii="Georgia" w:eastAsia="Georgia" w:hAnsi="Georgia" w:cs="Georgia"/>
                <w:bCs/>
                <w:sz w:val="18"/>
                <w:szCs w:val="18"/>
              </w:rPr>
              <w:fldChar w:fldCharType="end"/>
            </w:r>
          </w:p>
        </w:tc>
      </w:tr>
      <w:tr w:rsidR="006E4D6C" w:rsidRPr="00813A59" w14:paraId="47A30203" w14:textId="77777777" w:rsidTr="006E4D6C">
        <w:tc>
          <w:tcPr>
            <w:tcW w:w="781" w:type="pct"/>
            <w:shd w:val="clear" w:color="auto" w:fill="auto"/>
            <w:tcMar>
              <w:top w:w="100" w:type="dxa"/>
              <w:left w:w="100" w:type="dxa"/>
              <w:bottom w:w="100" w:type="dxa"/>
              <w:right w:w="100" w:type="dxa"/>
            </w:tcMar>
          </w:tcPr>
          <w:p w14:paraId="51C77174" w14:textId="1BB738A1"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
                <w:sz w:val="18"/>
                <w:szCs w:val="18"/>
              </w:rPr>
            </w:pPr>
            <w:r w:rsidRPr="006E4D6C">
              <w:rPr>
                <w:rFonts w:ascii="Georgia" w:eastAsia="Georgia" w:hAnsi="Georgia" w:cs="Georgia"/>
                <w:b/>
                <w:sz w:val="18"/>
                <w:szCs w:val="18"/>
              </w:rPr>
              <w:t>SARS-Cov-1</w:t>
            </w:r>
          </w:p>
        </w:tc>
        <w:tc>
          <w:tcPr>
            <w:tcW w:w="1027" w:type="pct"/>
            <w:shd w:val="clear" w:color="auto" w:fill="auto"/>
            <w:tcMar>
              <w:top w:w="100" w:type="dxa"/>
              <w:left w:w="100" w:type="dxa"/>
              <w:bottom w:w="100" w:type="dxa"/>
              <w:right w:w="100" w:type="dxa"/>
            </w:tcMar>
          </w:tcPr>
          <w:p w14:paraId="6B5859E9" w14:textId="737DA80D"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 xml:space="preserve">Prevailed between 2003-2004 with </w:t>
            </w:r>
            <w:r w:rsidR="00466E51" w:rsidRPr="006E4D6C">
              <w:rPr>
                <w:rFonts w:ascii="Georgia" w:eastAsia="Georgia" w:hAnsi="Georgia" w:cs="Georgia"/>
                <w:bCs/>
                <w:sz w:val="18"/>
                <w:szCs w:val="18"/>
              </w:rPr>
              <w:t xml:space="preserve">an  </w:t>
            </w:r>
            <w:r w:rsidRPr="006E4D6C">
              <w:rPr>
                <w:rFonts w:ascii="Georgia" w:eastAsia="Georgia" w:hAnsi="Georgia" w:cs="Georgia"/>
                <w:bCs/>
                <w:sz w:val="18"/>
                <w:szCs w:val="18"/>
              </w:rPr>
              <w:t>infection rate of 8000 cases and 800 mortalities.</w:t>
            </w:r>
          </w:p>
        </w:tc>
        <w:tc>
          <w:tcPr>
            <w:tcW w:w="960" w:type="pct"/>
            <w:shd w:val="clear" w:color="auto" w:fill="auto"/>
            <w:tcMar>
              <w:top w:w="100" w:type="dxa"/>
              <w:left w:w="100" w:type="dxa"/>
              <w:bottom w:w="100" w:type="dxa"/>
              <w:right w:w="100" w:type="dxa"/>
            </w:tcMar>
          </w:tcPr>
          <w:p w14:paraId="377E39A1"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Quarantine and social distancing</w:t>
            </w:r>
          </w:p>
        </w:tc>
        <w:tc>
          <w:tcPr>
            <w:tcW w:w="1248" w:type="pct"/>
            <w:shd w:val="clear" w:color="auto" w:fill="auto"/>
            <w:tcMar>
              <w:top w:w="100" w:type="dxa"/>
              <w:left w:w="100" w:type="dxa"/>
              <w:bottom w:w="100" w:type="dxa"/>
              <w:right w:w="100" w:type="dxa"/>
            </w:tcMar>
          </w:tcPr>
          <w:p w14:paraId="0075A43E"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Improved ventilation and drainage systems.</w:t>
            </w:r>
          </w:p>
        </w:tc>
        <w:tc>
          <w:tcPr>
            <w:tcW w:w="984" w:type="pct"/>
          </w:tcPr>
          <w:p w14:paraId="3C2A8E54" w14:textId="482312B3" w:rsidR="00695365" w:rsidRPr="006E4D6C" w:rsidRDefault="00101749"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fldChar w:fldCharType="begin" w:fldLock="1"/>
            </w:r>
            <w:r w:rsidRPr="006E4D6C">
              <w:rPr>
                <w:rFonts w:ascii="Georgia" w:eastAsia="Georgia" w:hAnsi="Georgia" w:cs="Georgia"/>
                <w:bCs/>
                <w:sz w:val="18"/>
                <w:szCs w:val="18"/>
              </w:rPr>
              <w:instrText>ADDIN CSL_CITATION {"citationItems":[{"id":"ITEM-1","itemData":{"DOI":"10.3390/su12145863","ISSN":"20711050","abstract":"The health system's response to the COVID-19 pandemic has involved research into diagnoses and vaccines, but primarily it has required specific treatments, facilities and equipment, together with the control of individual behaviour and a period of collective confinement. The aim of this particular research, therefore, is to discover whether COVID-19 is capable of changing the built environment (BE) and leveraging specific solutions for sustainable buildings or urban areas. Some historical reviews of infectious pandemics have highlighted the development of new solutions in the BE as an additional contribution towards preventing the spread of infection. The BE has an important role to play in supporting public health measures and reducing the risk of infections. The review of potential COVID-19 measures shows the existence of well-referenced solutions, ranging from incremental alterations (organisation of spaces, erection of physical barriers) to structural alterations (windows, balconies) with different timeframes and scales (ranging from changes in building materials to the design of urban areas). A critical exploratory assessment makes it possible to identify measures that may help not only to reduce the risk of COVID-19 transmission (or even prevent it), but also to increase resilience, improve air quality and lower energy requirements or the use of materials, and thus potentially increase the sustainability of the BE. COVID-19 measures challenge us to rethink buildings and urban areas and potentially leverage sustainable BE solutions with win-win outcomes (minimalist design and other solutions). The specific composition of this set of measures must, however, be further researched.","author":[{"dropping-particle":"","family":"Pinheiro","given":"Manuel Duarte","non-dropping-particle":"","parse-names":false,"suffix":""},{"dropping-particle":"","family":"Luís","given":"Nuno Cardoso","non-dropping-particle":"","parse-names":false,"suffix":""}],"container-title":"Sustainability (Switzerland)","id":"ITEM-1","issue":"14","issued":{"date-parts":[["2020"]]},"note":"GOOD GRAPHICS AND TABLES. MUST READ LATER","title":"COVID-19 could leverage a sustainable built environment","type":"article-journal","volume":"12"},"uris":["http://www.mendeley.com/documents/?uuid=213a734c-8643-49f7-b428-c787ad4f006c"]}],"mendeley":{"formattedCitation":"(Pinheiro &amp; Luís, 2020)","plainTextFormattedCitation":"(Pinheiro &amp; Luís, 2020)","previouslyFormattedCitation":"(Pinheiro &amp; Luís, 2020)"},"properties":{"noteIndex":0},"schema":"https://github.com/citation-style-language/schema/raw/master/csl-citation.json"}</w:instrText>
            </w:r>
            <w:r w:rsidRPr="006E4D6C">
              <w:rPr>
                <w:rFonts w:ascii="Georgia" w:eastAsia="Georgia" w:hAnsi="Georgia" w:cs="Georgia"/>
                <w:bCs/>
                <w:sz w:val="18"/>
                <w:szCs w:val="18"/>
              </w:rPr>
              <w:fldChar w:fldCharType="separate"/>
            </w:r>
            <w:r w:rsidRPr="006E4D6C">
              <w:rPr>
                <w:rFonts w:ascii="Georgia" w:eastAsia="Georgia" w:hAnsi="Georgia" w:cs="Georgia"/>
                <w:bCs/>
                <w:sz w:val="18"/>
                <w:szCs w:val="18"/>
              </w:rPr>
              <w:t>Pinheiro &amp; Luís</w:t>
            </w:r>
            <w:r w:rsidR="00EB0898" w:rsidRPr="006E4D6C">
              <w:rPr>
                <w:rFonts w:ascii="Georgia" w:eastAsia="Georgia" w:hAnsi="Georgia" w:cs="Georgia"/>
                <w:bCs/>
                <w:sz w:val="18"/>
                <w:szCs w:val="18"/>
              </w:rPr>
              <w:t xml:space="preserve"> </w:t>
            </w:r>
            <w:r w:rsidR="003A0D5E" w:rsidRPr="006E4D6C">
              <w:rPr>
                <w:rFonts w:ascii="Georgia" w:eastAsia="Georgia" w:hAnsi="Georgia" w:cs="Georgia"/>
                <w:bCs/>
                <w:sz w:val="18"/>
                <w:szCs w:val="18"/>
              </w:rPr>
              <w:t>(</w:t>
            </w:r>
            <w:r w:rsidRPr="006E4D6C">
              <w:rPr>
                <w:rFonts w:ascii="Georgia" w:eastAsia="Georgia" w:hAnsi="Georgia" w:cs="Georgia"/>
                <w:bCs/>
                <w:sz w:val="18"/>
                <w:szCs w:val="18"/>
              </w:rPr>
              <w:t>2020)</w:t>
            </w:r>
            <w:r w:rsidRPr="006E4D6C">
              <w:rPr>
                <w:rFonts w:ascii="Georgia" w:eastAsia="Georgia" w:hAnsi="Georgia" w:cs="Georgia"/>
                <w:bCs/>
                <w:sz w:val="18"/>
                <w:szCs w:val="18"/>
              </w:rPr>
              <w:fldChar w:fldCharType="end"/>
            </w:r>
          </w:p>
        </w:tc>
      </w:tr>
      <w:tr w:rsidR="006E4D6C" w:rsidRPr="00813A59" w14:paraId="586111B2" w14:textId="77777777" w:rsidTr="006E4D6C">
        <w:tc>
          <w:tcPr>
            <w:tcW w:w="781" w:type="pct"/>
            <w:shd w:val="clear" w:color="auto" w:fill="auto"/>
            <w:tcMar>
              <w:top w:w="100" w:type="dxa"/>
              <w:left w:w="100" w:type="dxa"/>
              <w:bottom w:w="100" w:type="dxa"/>
              <w:right w:w="100" w:type="dxa"/>
            </w:tcMar>
          </w:tcPr>
          <w:p w14:paraId="5390F5B2"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
                <w:sz w:val="18"/>
                <w:szCs w:val="18"/>
              </w:rPr>
            </w:pPr>
            <w:r w:rsidRPr="006E4D6C">
              <w:rPr>
                <w:rFonts w:ascii="Georgia" w:eastAsia="Georgia" w:hAnsi="Georgia" w:cs="Georgia"/>
                <w:b/>
                <w:sz w:val="18"/>
                <w:szCs w:val="18"/>
              </w:rPr>
              <w:t>Ebola virus disease</w:t>
            </w:r>
          </w:p>
        </w:tc>
        <w:tc>
          <w:tcPr>
            <w:tcW w:w="1027" w:type="pct"/>
            <w:shd w:val="clear" w:color="auto" w:fill="auto"/>
            <w:tcMar>
              <w:top w:w="100" w:type="dxa"/>
              <w:left w:w="100" w:type="dxa"/>
              <w:bottom w:w="100" w:type="dxa"/>
              <w:right w:w="100" w:type="dxa"/>
            </w:tcMar>
          </w:tcPr>
          <w:p w14:paraId="7B2E87E0" w14:textId="003B6A74"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2014-2015 affected West Africa</w:t>
            </w:r>
            <w:r w:rsidR="00466E51" w:rsidRPr="006E4D6C">
              <w:rPr>
                <w:rFonts w:ascii="Georgia" w:eastAsia="Georgia" w:hAnsi="Georgia" w:cs="Georgia"/>
                <w:bCs/>
                <w:sz w:val="18"/>
                <w:szCs w:val="18"/>
              </w:rPr>
              <w:t>.</w:t>
            </w:r>
          </w:p>
        </w:tc>
        <w:tc>
          <w:tcPr>
            <w:tcW w:w="960" w:type="pct"/>
            <w:shd w:val="clear" w:color="auto" w:fill="auto"/>
            <w:tcMar>
              <w:top w:w="100" w:type="dxa"/>
              <w:left w:w="100" w:type="dxa"/>
              <w:bottom w:w="100" w:type="dxa"/>
              <w:right w:w="100" w:type="dxa"/>
            </w:tcMar>
          </w:tcPr>
          <w:p w14:paraId="431F90E3"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CDC tool kit was used to assess the readiness of the hospital to an infectious disease.</w:t>
            </w:r>
          </w:p>
          <w:p w14:paraId="2D063FB0" w14:textId="77777777" w:rsidR="00695365" w:rsidRPr="006E4D6C" w:rsidRDefault="00366511" w:rsidP="006E4D6C">
            <w:pPr>
              <w:spacing w:after="120"/>
              <w:jc w:val="left"/>
              <w:rPr>
                <w:rFonts w:ascii="Georgia" w:eastAsia="Georgia" w:hAnsi="Georgia" w:cs="Georgia"/>
                <w:bCs/>
                <w:sz w:val="18"/>
                <w:szCs w:val="18"/>
              </w:rPr>
            </w:pPr>
            <w:r w:rsidRPr="006E4D6C">
              <w:rPr>
                <w:rFonts w:ascii="Georgia" w:eastAsia="Georgia" w:hAnsi="Georgia" w:cs="Georgia"/>
                <w:bCs/>
                <w:sz w:val="18"/>
                <w:szCs w:val="18"/>
              </w:rPr>
              <w:t>Early diagnostic procedures.</w:t>
            </w:r>
          </w:p>
          <w:p w14:paraId="63C61A01" w14:textId="5CE3741D" w:rsidR="00695365" w:rsidRPr="006E4D6C" w:rsidRDefault="00366511" w:rsidP="006E4D6C">
            <w:pPr>
              <w:spacing w:after="120"/>
              <w:jc w:val="left"/>
              <w:rPr>
                <w:rFonts w:ascii="Georgia" w:eastAsia="Georgia" w:hAnsi="Georgia" w:cs="Georgia"/>
                <w:bCs/>
                <w:sz w:val="18"/>
                <w:szCs w:val="18"/>
              </w:rPr>
            </w:pPr>
            <w:r w:rsidRPr="006E4D6C">
              <w:rPr>
                <w:rFonts w:ascii="Georgia" w:eastAsia="Georgia" w:hAnsi="Georgia" w:cs="Georgia"/>
                <w:bCs/>
                <w:sz w:val="18"/>
                <w:szCs w:val="18"/>
              </w:rPr>
              <w:t>Provide self-selected staff that treat</w:t>
            </w:r>
            <w:r w:rsidR="00466E51" w:rsidRPr="006E4D6C">
              <w:rPr>
                <w:rFonts w:ascii="Georgia" w:eastAsia="Georgia" w:hAnsi="Georgia" w:cs="Georgia"/>
                <w:bCs/>
                <w:sz w:val="18"/>
                <w:szCs w:val="18"/>
              </w:rPr>
              <w:t>s</w:t>
            </w:r>
            <w:r w:rsidRPr="006E4D6C">
              <w:rPr>
                <w:rFonts w:ascii="Georgia" w:eastAsia="Georgia" w:hAnsi="Georgia" w:cs="Georgia"/>
                <w:bCs/>
                <w:sz w:val="18"/>
                <w:szCs w:val="18"/>
              </w:rPr>
              <w:t xml:space="preserve"> and isolate</w:t>
            </w:r>
            <w:r w:rsidR="00466E51" w:rsidRPr="006E4D6C">
              <w:rPr>
                <w:rFonts w:ascii="Georgia" w:eastAsia="Georgia" w:hAnsi="Georgia" w:cs="Georgia"/>
                <w:bCs/>
                <w:sz w:val="18"/>
                <w:szCs w:val="18"/>
              </w:rPr>
              <w:t>s</w:t>
            </w:r>
            <w:r w:rsidRPr="006E4D6C">
              <w:rPr>
                <w:rFonts w:ascii="Georgia" w:eastAsia="Georgia" w:hAnsi="Georgia" w:cs="Georgia"/>
                <w:bCs/>
                <w:sz w:val="18"/>
                <w:szCs w:val="18"/>
              </w:rPr>
              <w:t xml:space="preserve"> Ebola patients.</w:t>
            </w:r>
          </w:p>
        </w:tc>
        <w:tc>
          <w:tcPr>
            <w:tcW w:w="1248" w:type="pct"/>
            <w:shd w:val="clear" w:color="auto" w:fill="auto"/>
            <w:tcMar>
              <w:top w:w="100" w:type="dxa"/>
              <w:left w:w="100" w:type="dxa"/>
              <w:bottom w:w="100" w:type="dxa"/>
              <w:right w:w="100" w:type="dxa"/>
            </w:tcMar>
          </w:tcPr>
          <w:p w14:paraId="41E074C0" w14:textId="5F0448E3"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Designated treatment cent</w:t>
            </w:r>
            <w:r w:rsidR="007064E3" w:rsidRPr="006E4D6C">
              <w:rPr>
                <w:rFonts w:ascii="Georgia" w:eastAsia="Georgia" w:hAnsi="Georgia" w:cs="Georgia"/>
                <w:bCs/>
                <w:sz w:val="18"/>
                <w:szCs w:val="18"/>
              </w:rPr>
              <w:t>r</w:t>
            </w:r>
            <w:r w:rsidRPr="006E4D6C">
              <w:rPr>
                <w:rFonts w:ascii="Georgia" w:eastAsia="Georgia" w:hAnsi="Georgia" w:cs="Georgia"/>
                <w:bCs/>
                <w:sz w:val="18"/>
                <w:szCs w:val="18"/>
              </w:rPr>
              <w:t>es for treating Ebola virus.</w:t>
            </w:r>
          </w:p>
          <w:p w14:paraId="5AEBC22A" w14:textId="426D027C" w:rsidR="00695365" w:rsidRPr="006E4D6C" w:rsidRDefault="007064E3"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one</w:t>
            </w:r>
            <w:r w:rsidR="00366511" w:rsidRPr="006E4D6C">
              <w:rPr>
                <w:rFonts w:ascii="Georgia" w:eastAsia="Georgia" w:hAnsi="Georgia" w:cs="Georgia"/>
                <w:bCs/>
                <w:sz w:val="18"/>
                <w:szCs w:val="18"/>
              </w:rPr>
              <w:t xml:space="preserve"> way traffic flow: PPE donning room to patient room and exit to PPE doffing room.</w:t>
            </w:r>
          </w:p>
          <w:p w14:paraId="72AE33B5" w14:textId="77777777" w:rsidR="007064E3" w:rsidRPr="006E4D6C" w:rsidRDefault="007064E3" w:rsidP="006E4D6C">
            <w:pPr>
              <w:pBdr>
                <w:top w:val="nil"/>
                <w:left w:val="nil"/>
                <w:bottom w:val="nil"/>
                <w:right w:val="nil"/>
                <w:between w:val="nil"/>
              </w:pBdr>
              <w:spacing w:after="120" w:line="240" w:lineRule="auto"/>
              <w:jc w:val="left"/>
              <w:rPr>
                <w:rFonts w:ascii="Georgia" w:eastAsia="Georgia" w:hAnsi="Georgia" w:cs="Georgia"/>
                <w:bCs/>
                <w:sz w:val="18"/>
                <w:szCs w:val="18"/>
              </w:rPr>
            </w:pPr>
          </w:p>
          <w:p w14:paraId="2184ABFD" w14:textId="01BAB494"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Negative pressure ventilation and high efficiency particulate filters,</w:t>
            </w:r>
          </w:p>
        </w:tc>
        <w:tc>
          <w:tcPr>
            <w:tcW w:w="984" w:type="pct"/>
          </w:tcPr>
          <w:p w14:paraId="79C6BD82" w14:textId="049143D5" w:rsidR="00695365" w:rsidRPr="006E4D6C" w:rsidRDefault="00101749"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fldChar w:fldCharType="begin" w:fldLock="1"/>
            </w:r>
            <w:r w:rsidRPr="006E4D6C">
              <w:rPr>
                <w:rFonts w:ascii="Georgia" w:eastAsia="Georgia" w:hAnsi="Georgia" w:cs="Georgia"/>
                <w:bCs/>
                <w:sz w:val="18"/>
                <w:szCs w:val="18"/>
              </w:rPr>
              <w:instrText>ADDIN CSL_CITATION {"citationItems":[{"id":"ITEM-1","itemData":{"DOI":"10.1016/j.ajic.2017.11.001","ISSN":"15273296","PMID":"29249609","abstract":"Background: The domestic response to the West Africa Ebola virus disease (EVD) epidemic from 2014-2016 provides a unique opportunity to distill lessons learned about health sector planning and operations from those individuals directly involved. This research project aimed to identify and integrate these lessons into an actionable checklist that can improve health sector resilience to future high-consequence infectious disease (HCID) events. Methods: Interviews (N = 73) were completed with individuals involved in the domestic EVD response in 4 cities (Atlanta, Dallas, New York, and Omaha), and included individuals who worked in academia, emergency management, government, health care, law, media, and public health during the response. Interviews were transcribed and analyzed qualitatively. Two focus groups were then conducted to expand on themes identified in the interviews. Using these themes, an evidence-informed checklist was developed and vetted for completeness and feasibility by an expert advisory group. Results: Salient themes identified included health care facility issues—specifically identifying assessment and treatment hospitals, isolation and treatment unit layout, waste management, community relations, patient identification, patient isolation, limitations on treatment, laboratories, and research considerations—and health care workforce issues—specifically psychosocial impact, unit staffing, staff training, and proper personal protective equipment. Conclusions: The experiences of those involved in the domestic Ebola response provide critical lessons that can help strengthen resilience of health care systems and improve future responses to HCID events.","author":[{"dropping-particle":"","family":"Meyer","given":"Diane","non-dropping-particle":"","parse-names":false,"suffix":""},{"dropping-particle":"","family":"Kirk Sell","given":"Tara","non-dropping-particle":"","parse-names":false,"suffix":""},{"dropping-particle":"","family":"Schoch-Spana","given":"Monica","non-dropping-particle":"","parse-names":false,"suffix":""},{"dropping-particle":"","family":"Shearer","given":"Matthew P.","non-dropping-particle":"","parse-names":false,"suffix":""},{"dropping-particle":"","family":"Chandler","given":"Hannah","non-dropping-particle":"","parse-names":false,"suffix":""},{"dropping-particle":"","family":"Thomas","given":"Erin","non-dropping-particle":"","parse-names":false,"suffix":""},{"dropping-particle":"","family":"Rose","given":"Dale A.","non-dropping-particle":"","parse-names":false,"suffix":""},{"dropping-particle":"","family":"Carbone","given":"Eric G.","non-dropping-particle":"","parse-names":false,"suffix":""},{"dropping-particle":"","family":"Toner","given":"Eric","non-dropping-particle":"","parse-names":false,"suffix":""}],"container-title":"American Journal of Infection Control","id":"ITEM-1","issue":"5","issued":{"date-parts":[["2018","5","1"]]},"note":"GOOD PAPER","page":"533-537","publisher":"Mosby Inc.","title":"Lessons from the domestic Ebola response: Improving health care system resilience to high consequence infectious diseases","type":"article-journal","volume":"46"},"uris":["http://www.mendeley.com/documents/?uuid=4fad76ef-37c3-33e7-8cac-53f22291cfda"]}],"mendeley":{"formattedCitation":"(Meyer et al., 2018)","plainTextFormattedCitation":"(Meyer et al., 2018)","previouslyFormattedCitation":"(Meyer et al., 2018)"},"properties":{"noteIndex":0},"schema":"https://github.com/citation-style-language/schema/raw/master/csl-citation.json"}</w:instrText>
            </w:r>
            <w:r w:rsidRPr="006E4D6C">
              <w:rPr>
                <w:rFonts w:ascii="Georgia" w:eastAsia="Georgia" w:hAnsi="Georgia" w:cs="Georgia"/>
                <w:bCs/>
                <w:sz w:val="18"/>
                <w:szCs w:val="18"/>
              </w:rPr>
              <w:fldChar w:fldCharType="separate"/>
            </w:r>
            <w:r w:rsidRPr="006E4D6C">
              <w:rPr>
                <w:rFonts w:ascii="Georgia" w:eastAsia="Georgia" w:hAnsi="Georgia" w:cs="Georgia"/>
                <w:bCs/>
                <w:sz w:val="18"/>
                <w:szCs w:val="18"/>
              </w:rPr>
              <w:t xml:space="preserve">Meyer et al., </w:t>
            </w:r>
            <w:r w:rsidR="003A0D5E" w:rsidRPr="006E4D6C">
              <w:rPr>
                <w:rFonts w:ascii="Georgia" w:eastAsia="Georgia" w:hAnsi="Georgia" w:cs="Georgia"/>
                <w:bCs/>
                <w:sz w:val="18"/>
                <w:szCs w:val="18"/>
              </w:rPr>
              <w:t>(</w:t>
            </w:r>
            <w:r w:rsidRPr="006E4D6C">
              <w:rPr>
                <w:rFonts w:ascii="Georgia" w:eastAsia="Georgia" w:hAnsi="Georgia" w:cs="Georgia"/>
                <w:bCs/>
                <w:sz w:val="18"/>
                <w:szCs w:val="18"/>
              </w:rPr>
              <w:t>2018)</w:t>
            </w:r>
            <w:r w:rsidRPr="006E4D6C">
              <w:rPr>
                <w:rFonts w:ascii="Georgia" w:eastAsia="Georgia" w:hAnsi="Georgia" w:cs="Georgia"/>
                <w:bCs/>
                <w:sz w:val="18"/>
                <w:szCs w:val="18"/>
              </w:rPr>
              <w:fldChar w:fldCharType="end"/>
            </w:r>
          </w:p>
        </w:tc>
      </w:tr>
      <w:tr w:rsidR="006E4D6C" w:rsidRPr="00813A59" w14:paraId="7B6BF588" w14:textId="77777777" w:rsidTr="006E4D6C">
        <w:tc>
          <w:tcPr>
            <w:tcW w:w="781" w:type="pct"/>
            <w:shd w:val="clear" w:color="auto" w:fill="auto"/>
            <w:tcMar>
              <w:top w:w="100" w:type="dxa"/>
              <w:left w:w="100" w:type="dxa"/>
              <w:bottom w:w="100" w:type="dxa"/>
              <w:right w:w="100" w:type="dxa"/>
            </w:tcMar>
          </w:tcPr>
          <w:p w14:paraId="1EF0C20B" w14:textId="77777777"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
                <w:sz w:val="18"/>
                <w:szCs w:val="18"/>
              </w:rPr>
            </w:pPr>
            <w:r w:rsidRPr="006E4D6C">
              <w:rPr>
                <w:rFonts w:ascii="Georgia" w:eastAsia="Georgia" w:hAnsi="Georgia" w:cs="Georgia"/>
                <w:b/>
                <w:sz w:val="18"/>
                <w:szCs w:val="18"/>
              </w:rPr>
              <w:t>Nipah virus</w:t>
            </w:r>
          </w:p>
        </w:tc>
        <w:tc>
          <w:tcPr>
            <w:tcW w:w="1027" w:type="pct"/>
            <w:shd w:val="clear" w:color="auto" w:fill="auto"/>
            <w:tcMar>
              <w:top w:w="100" w:type="dxa"/>
              <w:left w:w="100" w:type="dxa"/>
              <w:bottom w:w="100" w:type="dxa"/>
              <w:right w:w="100" w:type="dxa"/>
            </w:tcMar>
          </w:tcPr>
          <w:p w14:paraId="1550D473" w14:textId="77777777" w:rsidR="00695365" w:rsidRPr="006E4D6C" w:rsidRDefault="00695365" w:rsidP="006E4D6C">
            <w:pPr>
              <w:pBdr>
                <w:top w:val="nil"/>
                <w:left w:val="nil"/>
                <w:bottom w:val="nil"/>
                <w:right w:val="nil"/>
                <w:between w:val="nil"/>
              </w:pBdr>
              <w:spacing w:after="120" w:line="240" w:lineRule="auto"/>
              <w:jc w:val="left"/>
              <w:rPr>
                <w:rFonts w:ascii="Georgia" w:eastAsia="Georgia" w:hAnsi="Georgia" w:cs="Georgia"/>
                <w:bCs/>
                <w:sz w:val="18"/>
                <w:szCs w:val="18"/>
              </w:rPr>
            </w:pPr>
          </w:p>
          <w:p w14:paraId="58F2F8F2" w14:textId="68FBE9D5"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Pre</w:t>
            </w:r>
            <w:r w:rsidR="007064E3" w:rsidRPr="006E4D6C">
              <w:rPr>
                <w:rFonts w:ascii="Georgia" w:eastAsia="Georgia" w:hAnsi="Georgia" w:cs="Georgia"/>
                <w:bCs/>
                <w:sz w:val="18"/>
                <w:szCs w:val="18"/>
              </w:rPr>
              <w:t xml:space="preserve">dominated </w:t>
            </w:r>
            <w:r w:rsidRPr="006E4D6C">
              <w:rPr>
                <w:rFonts w:ascii="Georgia" w:eastAsia="Georgia" w:hAnsi="Georgia" w:cs="Georgia"/>
                <w:bCs/>
                <w:sz w:val="18"/>
                <w:szCs w:val="18"/>
              </w:rPr>
              <w:t>in south Asia from 2018-2019.</w:t>
            </w:r>
          </w:p>
        </w:tc>
        <w:tc>
          <w:tcPr>
            <w:tcW w:w="960" w:type="pct"/>
            <w:shd w:val="clear" w:color="auto" w:fill="auto"/>
            <w:tcMar>
              <w:top w:w="100" w:type="dxa"/>
              <w:left w:w="100" w:type="dxa"/>
              <w:bottom w:w="100" w:type="dxa"/>
              <w:right w:w="100" w:type="dxa"/>
            </w:tcMar>
          </w:tcPr>
          <w:p w14:paraId="7C454C74" w14:textId="6B05169A"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Ensure</w:t>
            </w:r>
            <w:r w:rsidR="007064E3" w:rsidRPr="006E4D6C">
              <w:rPr>
                <w:rFonts w:ascii="Georgia" w:eastAsia="Georgia" w:hAnsi="Georgia" w:cs="Georgia"/>
                <w:bCs/>
                <w:sz w:val="18"/>
                <w:szCs w:val="18"/>
              </w:rPr>
              <w:t xml:space="preserve"> the</w:t>
            </w:r>
            <w:r w:rsidRPr="006E4D6C">
              <w:rPr>
                <w:rFonts w:ascii="Georgia" w:eastAsia="Georgia" w:hAnsi="Georgia" w:cs="Georgia"/>
                <w:bCs/>
                <w:sz w:val="18"/>
                <w:szCs w:val="18"/>
              </w:rPr>
              <w:t xml:space="preserve"> availability of medication.</w:t>
            </w:r>
          </w:p>
          <w:p w14:paraId="0992F79A" w14:textId="2346833F"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 xml:space="preserve">Notably, zoo nautical surveillance is necessary, </w:t>
            </w:r>
            <w:r w:rsidR="007064E3" w:rsidRPr="006E4D6C">
              <w:rPr>
                <w:rFonts w:ascii="Georgia" w:eastAsia="Georgia" w:hAnsi="Georgia" w:cs="Georgia"/>
                <w:bCs/>
                <w:sz w:val="18"/>
                <w:szCs w:val="18"/>
              </w:rPr>
              <w:t xml:space="preserve">and </w:t>
            </w:r>
            <w:r w:rsidRPr="006E4D6C">
              <w:rPr>
                <w:rFonts w:ascii="Georgia" w:eastAsia="Georgia" w:hAnsi="Georgia" w:cs="Georgia"/>
                <w:bCs/>
                <w:sz w:val="18"/>
                <w:szCs w:val="18"/>
              </w:rPr>
              <w:t>epidemiological and lab data need to be shared globally.</w:t>
            </w:r>
          </w:p>
        </w:tc>
        <w:tc>
          <w:tcPr>
            <w:tcW w:w="1248" w:type="pct"/>
            <w:shd w:val="clear" w:color="auto" w:fill="auto"/>
            <w:tcMar>
              <w:top w:w="100" w:type="dxa"/>
              <w:left w:w="100" w:type="dxa"/>
              <w:bottom w:w="100" w:type="dxa"/>
              <w:right w:w="100" w:type="dxa"/>
            </w:tcMar>
          </w:tcPr>
          <w:p w14:paraId="6631935A" w14:textId="3C2F7253" w:rsidR="00695365" w:rsidRPr="006E4D6C" w:rsidRDefault="00366511"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Point</w:t>
            </w:r>
            <w:r w:rsidR="007064E3" w:rsidRPr="006E4D6C">
              <w:rPr>
                <w:rFonts w:ascii="Georgia" w:eastAsia="Georgia" w:hAnsi="Georgia" w:cs="Georgia"/>
                <w:bCs/>
                <w:sz w:val="18"/>
                <w:szCs w:val="18"/>
              </w:rPr>
              <w:t>-</w:t>
            </w:r>
            <w:r w:rsidRPr="006E4D6C">
              <w:rPr>
                <w:rFonts w:ascii="Georgia" w:eastAsia="Georgia" w:hAnsi="Georgia" w:cs="Georgia"/>
                <w:bCs/>
                <w:sz w:val="18"/>
                <w:szCs w:val="18"/>
              </w:rPr>
              <w:t>of</w:t>
            </w:r>
            <w:r w:rsidR="007064E3" w:rsidRPr="006E4D6C">
              <w:rPr>
                <w:rFonts w:ascii="Georgia" w:eastAsia="Georgia" w:hAnsi="Georgia" w:cs="Georgia"/>
                <w:bCs/>
                <w:sz w:val="18"/>
                <w:szCs w:val="18"/>
              </w:rPr>
              <w:t>-</w:t>
            </w:r>
            <w:r w:rsidRPr="006E4D6C">
              <w:rPr>
                <w:rFonts w:ascii="Georgia" w:eastAsia="Georgia" w:hAnsi="Georgia" w:cs="Georgia"/>
                <w:bCs/>
                <w:sz w:val="18"/>
                <w:szCs w:val="18"/>
              </w:rPr>
              <w:t>care labs were built for screening the public.</w:t>
            </w:r>
          </w:p>
          <w:p w14:paraId="16EEDDAE" w14:textId="77777777" w:rsidR="00695365" w:rsidRPr="006E4D6C" w:rsidRDefault="00695365" w:rsidP="006E4D6C">
            <w:pPr>
              <w:pBdr>
                <w:top w:val="nil"/>
                <w:left w:val="nil"/>
                <w:bottom w:val="nil"/>
                <w:right w:val="nil"/>
                <w:between w:val="nil"/>
              </w:pBdr>
              <w:spacing w:after="120" w:line="240" w:lineRule="auto"/>
              <w:jc w:val="left"/>
              <w:rPr>
                <w:rFonts w:ascii="Georgia" w:eastAsia="Georgia" w:hAnsi="Georgia" w:cs="Georgia"/>
                <w:bCs/>
                <w:sz w:val="18"/>
                <w:szCs w:val="18"/>
              </w:rPr>
            </w:pPr>
          </w:p>
        </w:tc>
        <w:tc>
          <w:tcPr>
            <w:tcW w:w="984" w:type="pct"/>
          </w:tcPr>
          <w:p w14:paraId="64BB2AF5" w14:textId="6C921643" w:rsidR="00695365" w:rsidRPr="006E4D6C" w:rsidRDefault="00101749" w:rsidP="006E4D6C">
            <w:pPr>
              <w:pBdr>
                <w:top w:val="nil"/>
                <w:left w:val="nil"/>
                <w:bottom w:val="nil"/>
                <w:right w:val="nil"/>
                <w:between w:val="nil"/>
              </w:pBd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fldChar w:fldCharType="begin" w:fldLock="1"/>
            </w:r>
            <w:r w:rsidRPr="006E4D6C">
              <w:rPr>
                <w:rFonts w:ascii="Georgia" w:eastAsia="Georgia" w:hAnsi="Georgia" w:cs="Georgia"/>
                <w:bCs/>
                <w:sz w:val="18"/>
                <w:szCs w:val="18"/>
              </w:rPr>
              <w:instrText>ADDIN CSL_CITATION {"citationItems":[{"id":"ITEM-1","itemData":{"DOI":"10.4103/jfmpc.jfmpc_801_21","ISSN":"2249-4863","abstract":"Background: Nipah is an emerging zoonotic disease that is transmitted through contaminated food or directly between people. Recently, Nipah virus infection was confirmed in Kochi, Kerala, making it the fourth outbreak reported in India. However, due to its good epidemic response, the health system of Kerala was able to control it in a timely manner., Objective: To qualitatively analyse the response of the health system of Kerala in controlling the Nipah outbreak (2019) by identifying the enabling factors and the challenges faced by it., Methods: A qualitative study was conducted using grounded theory approach. Key informant interviews were conducted till data saturation was reached. The audio recorded data was translated, transcribed and was manually coded and thematically analysed., Results: The major enablers for its apt response were identified to be effective communication, good line of control, effective division of work, intersectorial coordination, strong leadership, political commitment, resilient public private partnership and support groups, past experiences in disaster management, quick procurement of medicines and availability of lab facilities. On the other hand, the challenges identified were initial confusions, lack of standard operating procedures/guidelines for epidemic management, complacency, lack of effective zoonotic surveillance, media management and community participation., Conclusion: This study attributes the success of the outbreak response to the strong leadership and political commitment. In order to prevent recurrences in the future, there is a need to build a resilient health system through capacity building and further strengthening of the surveillance system., (C) 2021 Journal of Family Medicine and Primary Care | Published by Wolters Kluwer - Medknow","author":[{"dropping-particle":"","family":"Menon","given":"VishnuB","non-dropping-particle":"","parse-names":false,"suffix":""},{"dropping-particle":"","family":"George","given":"LeyannaSusan","non-dropping-particle":"","parse-names":false,"suffix":""}],"container-title":"Journal of Family Medicine and Primary Care","id":"ITEM-1","issue":"9","issued":{"date-parts":[["2021"]]},"page":"3355","publisher":"Medknow","title":"Response of the health system in Nipah outbreak in Ernakulam district: A qualitative analysis","type":"article-journal","volume":"10"},"uris":["http://www.mendeley.com/documents/?uuid=6d262406-282e-3663-acb0-76a7709d6d0b"]}],"mendeley":{"formattedCitation":"(Menon &amp; George, 2021)","plainTextFormattedCitation":"(Menon &amp; George, 2021)","previouslyFormattedCitation":"(Menon &amp; George, 2021)"},"properties":{"noteIndex":0},"schema":"https://github.com/citation-style-language/schema/raw/master/csl-citation.json"}</w:instrText>
            </w:r>
            <w:r w:rsidRPr="006E4D6C">
              <w:rPr>
                <w:rFonts w:ascii="Georgia" w:eastAsia="Georgia" w:hAnsi="Georgia" w:cs="Georgia"/>
                <w:bCs/>
                <w:sz w:val="18"/>
                <w:szCs w:val="18"/>
              </w:rPr>
              <w:fldChar w:fldCharType="separate"/>
            </w:r>
            <w:r w:rsidR="003A0D5E" w:rsidRPr="006E4D6C">
              <w:rPr>
                <w:rFonts w:ascii="Georgia" w:eastAsia="Georgia" w:hAnsi="Georgia" w:cs="Georgia"/>
                <w:bCs/>
                <w:sz w:val="18"/>
                <w:szCs w:val="18"/>
              </w:rPr>
              <w:t>M</w:t>
            </w:r>
            <w:r w:rsidRPr="006E4D6C">
              <w:rPr>
                <w:rFonts w:ascii="Georgia" w:eastAsia="Georgia" w:hAnsi="Georgia" w:cs="Georgia"/>
                <w:bCs/>
                <w:sz w:val="18"/>
                <w:szCs w:val="18"/>
              </w:rPr>
              <w:t>enon &amp; George</w:t>
            </w:r>
            <w:r w:rsidR="00EB0898" w:rsidRPr="006E4D6C">
              <w:rPr>
                <w:rFonts w:ascii="Georgia" w:eastAsia="Georgia" w:hAnsi="Georgia" w:cs="Georgia"/>
                <w:bCs/>
                <w:sz w:val="18"/>
                <w:szCs w:val="18"/>
              </w:rPr>
              <w:t xml:space="preserve"> </w:t>
            </w:r>
            <w:r w:rsidR="003A0D5E" w:rsidRPr="006E4D6C">
              <w:rPr>
                <w:rFonts w:ascii="Georgia" w:eastAsia="Georgia" w:hAnsi="Georgia" w:cs="Georgia"/>
                <w:bCs/>
                <w:sz w:val="18"/>
                <w:szCs w:val="18"/>
              </w:rPr>
              <w:t>(</w:t>
            </w:r>
            <w:r w:rsidRPr="006E4D6C">
              <w:rPr>
                <w:rFonts w:ascii="Georgia" w:eastAsia="Georgia" w:hAnsi="Georgia" w:cs="Georgia"/>
                <w:bCs/>
                <w:sz w:val="18"/>
                <w:szCs w:val="18"/>
              </w:rPr>
              <w:t>2021)</w:t>
            </w:r>
            <w:r w:rsidRPr="006E4D6C">
              <w:rPr>
                <w:rFonts w:ascii="Georgia" w:eastAsia="Georgia" w:hAnsi="Georgia" w:cs="Georgia"/>
                <w:bCs/>
                <w:sz w:val="18"/>
                <w:szCs w:val="18"/>
              </w:rPr>
              <w:fldChar w:fldCharType="end"/>
            </w:r>
          </w:p>
        </w:tc>
      </w:tr>
    </w:tbl>
    <w:p w14:paraId="77B75E42" w14:textId="553AF1F1" w:rsidR="00695365" w:rsidRDefault="00366511">
      <w:pPr>
        <w:spacing w:before="240" w:after="60" w:line="228" w:lineRule="auto"/>
        <w:jc w:val="left"/>
        <w:rPr>
          <w:rFonts w:ascii="Georgia" w:eastAsia="Georgia" w:hAnsi="Georgia" w:cs="Georgia"/>
          <w:b/>
        </w:rPr>
      </w:pPr>
      <w:r>
        <w:rPr>
          <w:rFonts w:ascii="Georgia" w:eastAsia="Georgia" w:hAnsi="Georgia" w:cs="Georgia"/>
          <w:sz w:val="18"/>
          <w:szCs w:val="18"/>
        </w:rPr>
        <w:t>Table 1</w:t>
      </w:r>
      <w:r w:rsidR="007064E3">
        <w:rPr>
          <w:rFonts w:ascii="Georgia" w:eastAsia="Georgia" w:hAnsi="Georgia" w:cs="Georgia"/>
          <w:sz w:val="18"/>
          <w:szCs w:val="18"/>
        </w:rPr>
        <w:t>:</w:t>
      </w:r>
      <w:r>
        <w:rPr>
          <w:rFonts w:ascii="Georgia" w:eastAsia="Georgia" w:hAnsi="Georgia" w:cs="Georgia"/>
          <w:sz w:val="18"/>
          <w:szCs w:val="18"/>
        </w:rPr>
        <w:t xml:space="preserve"> Lessons for hospital design from past pandemic</w:t>
      </w:r>
      <w:r w:rsidR="007064E3">
        <w:rPr>
          <w:rFonts w:ascii="Georgia" w:eastAsia="Georgia" w:hAnsi="Georgia" w:cs="Georgia"/>
          <w:sz w:val="18"/>
          <w:szCs w:val="18"/>
        </w:rPr>
        <w:t>s</w:t>
      </w:r>
      <w:r>
        <w:rPr>
          <w:rFonts w:ascii="Georgia" w:eastAsia="Georgia" w:hAnsi="Georgia" w:cs="Georgia"/>
          <w:sz w:val="18"/>
          <w:szCs w:val="18"/>
        </w:rPr>
        <w:t xml:space="preserve"> Source: Authors</w:t>
      </w:r>
    </w:p>
    <w:p w14:paraId="6C7820FA" w14:textId="5965E3E9" w:rsidR="00695365" w:rsidRPr="00813A59" w:rsidRDefault="00366511" w:rsidP="00813A59">
      <w:pPr>
        <w:pStyle w:val="MDPI22heading2"/>
        <w:numPr>
          <w:ilvl w:val="0"/>
          <w:numId w:val="10"/>
        </w:numPr>
        <w:spacing w:before="240"/>
        <w:ind w:left="2835" w:hanging="283"/>
        <w:jc w:val="left"/>
        <w:rPr>
          <w:rFonts w:ascii="Georgia" w:eastAsia="Georgia" w:hAnsi="Georgia" w:cs="Georgia"/>
          <w:i w:val="0"/>
          <w:iCs/>
        </w:rPr>
      </w:pPr>
      <w:r w:rsidRPr="00813A59">
        <w:rPr>
          <w:rFonts w:ascii="Georgia" w:eastAsia="Georgia" w:hAnsi="Georgia" w:cs="Georgia"/>
          <w:i w:val="0"/>
          <w:iCs/>
        </w:rPr>
        <w:lastRenderedPageBreak/>
        <w:t>Functional Programme, Access</w:t>
      </w:r>
      <w:r w:rsidR="008C2ACA" w:rsidRPr="00813A59">
        <w:rPr>
          <w:rFonts w:ascii="Georgia" w:eastAsia="Georgia" w:hAnsi="Georgia" w:cs="Georgia"/>
          <w:i w:val="0"/>
          <w:iCs/>
        </w:rPr>
        <w:t>,</w:t>
      </w:r>
      <w:r w:rsidRPr="00813A59">
        <w:rPr>
          <w:rFonts w:ascii="Georgia" w:eastAsia="Georgia" w:hAnsi="Georgia" w:cs="Georgia"/>
          <w:i w:val="0"/>
          <w:iCs/>
        </w:rPr>
        <w:t xml:space="preserve"> and Flows Management</w:t>
      </w:r>
    </w:p>
    <w:p w14:paraId="5795FA40" w14:textId="18E9B184" w:rsidR="00695365" w:rsidRDefault="008C2ACA" w:rsidP="00813A59">
      <w:pPr>
        <w:spacing w:before="280" w:after="280" w:line="240" w:lineRule="auto"/>
        <w:ind w:left="2552"/>
        <w:rPr>
          <w:rFonts w:ascii="Georgia" w:eastAsia="Georgia" w:hAnsi="Georgia" w:cs="Georgia"/>
        </w:rPr>
      </w:pPr>
      <w:r w:rsidRPr="00504561">
        <w:rPr>
          <w:rFonts w:ascii="Georgia" w:eastAsia="Georgia" w:hAnsi="Georgia" w:cs="Georgia"/>
        </w:rPr>
        <w:t xml:space="preserve">To reduce the spread of infections, the hospitals must have different routes for COVID-19 infected patients, suspected COVID-19 patients, and non-infected patients. </w:t>
      </w:r>
      <w:r w:rsidR="00366511">
        <w:rPr>
          <w:rFonts w:ascii="Georgia" w:eastAsia="Georgia" w:hAnsi="Georgia" w:cs="Georgia"/>
        </w:rPr>
        <w:t>However, signage to guide patients on which route to use may not be sufficient</w:t>
      </w:r>
      <w:r>
        <w:rPr>
          <w:rFonts w:ascii="Georgia" w:eastAsia="Georgia" w:hAnsi="Georgia" w:cs="Georgia"/>
        </w:rPr>
        <w:t>,</w:t>
      </w:r>
      <w:r w:rsidR="00366511">
        <w:rPr>
          <w:rFonts w:ascii="Georgia" w:eastAsia="Georgia" w:hAnsi="Georgia" w:cs="Georgia"/>
        </w:rPr>
        <w:t xml:space="preserve"> so an access card system may be introduced to ensure the segregation of footfall in corridors. Furthermore, the corridor width should be a minimum of 2600mm</w:t>
      </w:r>
      <w:r>
        <w:rPr>
          <w:rFonts w:ascii="Georgia" w:eastAsia="Georgia" w:hAnsi="Georgia" w:cs="Georgia"/>
        </w:rPr>
        <w:t>,</w:t>
      </w:r>
      <w:r w:rsidR="00366511">
        <w:rPr>
          <w:rFonts w:ascii="Georgia" w:eastAsia="Georgia" w:hAnsi="Georgia" w:cs="Georgia"/>
        </w:rPr>
        <w:t xml:space="preserve"> allowing </w:t>
      </w:r>
      <w:r>
        <w:rPr>
          <w:rFonts w:ascii="Georgia" w:eastAsia="Georgia" w:hAnsi="Georgia" w:cs="Georgia"/>
        </w:rPr>
        <w:t xml:space="preserve">for </w:t>
      </w:r>
      <w:r w:rsidR="00366511">
        <w:rPr>
          <w:rFonts w:ascii="Georgia" w:eastAsia="Georgia" w:hAnsi="Georgia" w:cs="Georgia"/>
        </w:rPr>
        <w:t xml:space="preserve">1000mm </w:t>
      </w:r>
      <w:r>
        <w:rPr>
          <w:rFonts w:ascii="Georgia" w:eastAsia="Georgia" w:hAnsi="Georgia" w:cs="Georgia"/>
        </w:rPr>
        <w:t>of</w:t>
      </w:r>
      <w:r w:rsidR="00366511">
        <w:rPr>
          <w:rFonts w:ascii="Georgia" w:eastAsia="Georgia" w:hAnsi="Georgia" w:cs="Georgia"/>
        </w:rPr>
        <w:t xml:space="preserve"> social distancing and 300mm </w:t>
      </w:r>
      <w:r>
        <w:rPr>
          <w:rFonts w:ascii="Georgia" w:eastAsia="Georgia" w:hAnsi="Georgia" w:cs="Georgia"/>
        </w:rPr>
        <w:t xml:space="preserve">of </w:t>
      </w:r>
      <w:r w:rsidR="00366511">
        <w:rPr>
          <w:rFonts w:ascii="Georgia" w:eastAsia="Georgia" w:hAnsi="Georgia" w:cs="Georgia"/>
        </w:rPr>
        <w:t xml:space="preserve">freeboard as people do not move in a straight </w:t>
      </w:r>
      <w:r>
        <w:rPr>
          <w:rFonts w:ascii="Georgia" w:eastAsia="Georgia" w:hAnsi="Georgia" w:cs="Georgia"/>
        </w:rPr>
        <w:t xml:space="preserve">line </w:t>
      </w:r>
      <w:r w:rsidR="008040B2">
        <w:rPr>
          <w:rFonts w:ascii="Georgia" w:eastAsia="Georgia" w:hAnsi="Georgia" w:cs="Georgia"/>
        </w:rPr>
        <w:fldChar w:fldCharType="begin" w:fldLock="1"/>
      </w:r>
      <w:r w:rsidR="008040B2">
        <w:rPr>
          <w:rFonts w:ascii="Georgia" w:eastAsia="Georgia" w:hAnsi="Georgia" w:cs="Georgia"/>
        </w:rPr>
        <w:instrText>ADDIN CSL_CITATION {"citationItems":[{"id":"ITEM-1","itemData":{"author":[{"dropping-particle":"","family":"Emmanuel","given":"Udomiaye","non-dropping-particle":"","parse-names":false,"suffix":""}],"id":"ITEM-1","issued":{"date-parts":[["2020"]]},"note":"Review article","page":"1699-1707","publisher":"Journal of Environmental Health Science and Engineering","title":"Architectural design strategies for infection prevention and control ( IPC ) in health-care facilities : towards curbing the spread of Covid-19","type":"article-journal"},"uris":["http://www.mendeley.com/documents/?uuid=e968bd5f-7819-48c7-860b-edfe877e1135"]}],"mendeley":{"formattedCitation":"(Emmanuel, 2020)","plainTextFormattedCitation":"(Emmanuel, 2020)","previouslyFormattedCitation":"(Emmanuel, 2020)"},"properties":{"noteIndex":0},"schema":"https://github.com/citation-style-language/schema/raw/master/csl-citation.json"}</w:instrText>
      </w:r>
      <w:r w:rsidR="008040B2">
        <w:rPr>
          <w:rFonts w:ascii="Georgia" w:eastAsia="Georgia" w:hAnsi="Georgia" w:cs="Georgia"/>
        </w:rPr>
        <w:fldChar w:fldCharType="separate"/>
      </w:r>
      <w:r w:rsidR="008040B2" w:rsidRPr="008040B2">
        <w:rPr>
          <w:rFonts w:ascii="Georgia" w:eastAsia="Georgia" w:hAnsi="Georgia" w:cs="Georgia"/>
        </w:rPr>
        <w:t>(Emmanuel, 2020)</w:t>
      </w:r>
      <w:r w:rsidR="008040B2">
        <w:rPr>
          <w:rFonts w:ascii="Georgia" w:eastAsia="Georgia" w:hAnsi="Georgia" w:cs="Georgia"/>
        </w:rPr>
        <w:fldChar w:fldCharType="end"/>
      </w:r>
      <w:r w:rsidR="00B75FD8">
        <w:rPr>
          <w:rFonts w:ascii="Georgia" w:eastAsia="Georgia" w:hAnsi="Georgia" w:cs="Georgia"/>
        </w:rPr>
        <w:t>.</w:t>
      </w:r>
      <w:r w:rsidR="00366511">
        <w:rPr>
          <w:rFonts w:ascii="Georgia" w:eastAsia="Georgia" w:hAnsi="Georgia" w:cs="Georgia"/>
        </w:rPr>
        <w:t xml:space="preserve"> Additionally, benches and ledges must be avoided in a corridor to discourage conversation, </w:t>
      </w:r>
      <w:r>
        <w:rPr>
          <w:rFonts w:ascii="Georgia" w:eastAsia="Georgia" w:hAnsi="Georgia" w:cs="Georgia"/>
        </w:rPr>
        <w:t xml:space="preserve">and </w:t>
      </w:r>
      <w:r w:rsidR="00366511">
        <w:rPr>
          <w:rFonts w:ascii="Georgia" w:eastAsia="Georgia" w:hAnsi="Georgia" w:cs="Georgia"/>
        </w:rPr>
        <w:t>poorly ventilated corridors and waiting areas must be avoided. Instead, the priority should be to reduce waiting time</w:t>
      </w:r>
      <w:r>
        <w:rPr>
          <w:rFonts w:ascii="Georgia" w:eastAsia="Georgia" w:hAnsi="Georgia" w:cs="Georgia"/>
        </w:rPr>
        <w:t>s</w:t>
      </w:r>
      <w:r w:rsidR="00366511">
        <w:rPr>
          <w:rFonts w:ascii="Georgia" w:eastAsia="Georgia" w:hAnsi="Georgia" w:cs="Georgia"/>
        </w:rPr>
        <w:t xml:space="preserve"> in hospitals to avoid the spread of viruses Emmanuel et al., 2020).</w:t>
      </w:r>
    </w:p>
    <w:p w14:paraId="2FAE4497" w14:textId="743A0B53" w:rsidR="00695365" w:rsidRPr="00813A59" w:rsidRDefault="00366511" w:rsidP="00813A59">
      <w:pPr>
        <w:pStyle w:val="MDPI22heading2"/>
        <w:numPr>
          <w:ilvl w:val="0"/>
          <w:numId w:val="10"/>
        </w:numPr>
        <w:spacing w:before="240"/>
        <w:ind w:left="2835" w:hanging="283"/>
        <w:jc w:val="left"/>
        <w:rPr>
          <w:rFonts w:ascii="Georgia" w:eastAsia="Georgia" w:hAnsi="Georgia" w:cs="Georgia"/>
          <w:i w:val="0"/>
          <w:iCs/>
        </w:rPr>
      </w:pPr>
      <w:r w:rsidRPr="00813A59">
        <w:rPr>
          <w:rFonts w:ascii="Georgia" w:eastAsia="Georgia" w:hAnsi="Georgia" w:cs="Georgia"/>
          <w:i w:val="0"/>
          <w:iCs/>
        </w:rPr>
        <w:t>Selection of antivirus materials</w:t>
      </w:r>
    </w:p>
    <w:p w14:paraId="4B8A1871" w14:textId="3BD448ED" w:rsidR="00C17699" w:rsidRDefault="00366511" w:rsidP="00813A59">
      <w:pPr>
        <w:spacing w:before="280" w:after="280" w:line="240" w:lineRule="auto"/>
        <w:ind w:left="2552"/>
        <w:rPr>
          <w:rFonts w:ascii="Georgia" w:eastAsia="Georgia" w:hAnsi="Georgia" w:cs="Georgia"/>
        </w:rPr>
      </w:pPr>
      <w:r>
        <w:rPr>
          <w:rFonts w:ascii="Georgia" w:eastAsia="Georgia" w:hAnsi="Georgia" w:cs="Georgia"/>
        </w:rPr>
        <w:t> Studies have demonstrated that the COVID-19 virus has different survival times on various surfaces</w:t>
      </w:r>
      <w:r w:rsidR="008C2ACA">
        <w:rPr>
          <w:rFonts w:ascii="Georgia" w:eastAsia="Georgia" w:hAnsi="Georgia" w:cs="Georgia"/>
        </w:rPr>
        <w:t xml:space="preserve"> </w:t>
      </w:r>
      <w:r w:rsidR="00A96588">
        <w:rPr>
          <w:rFonts w:ascii="Georgia" w:eastAsia="Georgia" w:hAnsi="Georgia" w:cs="Georgia"/>
        </w:rPr>
        <w:fldChar w:fldCharType="begin" w:fldLock="1"/>
      </w:r>
      <w:r w:rsidR="008040B2">
        <w:rPr>
          <w:rFonts w:ascii="Georgia" w:eastAsia="Georgia" w:hAnsi="Georgia" w:cs="Georgia"/>
        </w:rPr>
        <w:instrText>ADDIN CSL_CITATION {"citationItems":[{"id":"ITEM-1","itemData":{"DOI":"10.1101/2020.03.09.20033217","abstract":"To the Editor, A novel human coronavirus, now named severe acute respiratory syndrome coronavirus 2 (SARS-CoV-2, referred to as HCoV-19 here) that emerged in Wuhan, China in late 2019 is now causing a pandemic1. Here, we analyze the aerosol and surface stability of HCoV-19 and compare it with SARS-CoV-1, the most closely related human coronavirus.2 We evaluated the stability of HCoV-19 and SARS-CoV-1 in aerosols and on different surfaces and estimated their decay rates using a Bayesian regression model (see Supplementary Appendix). All experimental measurements are reported as mean across 3 replicates.","author":[{"dropping-particle":"","family":"Doremalen","given":"Neeltje","non-dropping-particle":"van","parse-names":false,"suffix":""},{"dropping-particle":"","family":"Bushmaker","given":"Trenton","non-dropping-particle":"","parse-names":false,"suffix":""},{"dropping-particle":"","family":"Morris","given":"Dylan H.","non-dropping-particle":"","parse-names":false,"suffix":""},{"dropping-particle":"","family":"Holbrook","given":"Myndi G.","non-dropping-particle":"","parse-names":false,"suffix":""},{"dropping-particle":"","family":"Gamble","given":"Amandine","non-dropping-particle":"","parse-names":false,"suffix":""},{"dropping-particle":"","family":"Williamson","given":"Brandi N.","non-dropping-particle":"","parse-names":false,"suffix":""},{"dropping-particle":"","family":"Tamin","given":"Azaibi","non-dropping-particle":"","parse-names":false,"suffix":""},{"dropping-particle":"","family":"Harcourt","given":"Jennifer L.","non-dropping-particle":"","parse-names":false,"suffix":""},{"dropping-particle":"","family":"Thornburg","given":"Natalie J.","non-dropping-particle":"","parse-names":false,"suffix":""},{"dropping-particle":"","family":"Gerber","given":"Susan I.","non-dropping-particle":"","parse-names":false,"suffix":""},{"dropping-particle":"","family":"Lloyd-Smith","given":"James O.","non-dropping-particle":"","parse-names":false,"suffix":""},{"dropping-particle":"","family":"Wit","given":"Emmie","non-dropping-particle":"de","parse-names":false,"suffix":""},{"dropping-particle":"","family":"Munster","given":"Vincent J.","non-dropping-particle":"","parse-names":false,"suffix":""}],"container-title":"medRxiv : the preprint server for health sciences","id":"ITEM-1","issued":{"date-parts":[["2020"]]},"title":"Aerosol and surface stability of HCoV-19 (SARS-CoV-2) compared to SARS-CoV-1","type":"article-journal"},"uris":["http://www.mendeley.com/documents/?uuid=09f99a41-8208-4940-8f5d-9d8720145607"]},{"id":"ITEM-2","itemData":{"author":[{"dropping-particle":"","family":"Garg","given":"Ajay","non-dropping-particle":"","parse-names":false,"suffix":""}],"id":"ITEM-2","issue":"1","issued":{"date-parts":[["2021"]]},"page":"22-25","title":"Preparedness of Hospitals Post COVID-19 Era","type":"article-journal","volume":"2"},"uris":["http://www.mendeley.com/documents/?uuid=a9d894bd-1d8a-494e-a2b0-743b3172134f"]},{"id":"ITEM-3","itemData":{"author":[{"dropping-particle":"","family":"Emmanuel","given":"Udomiaye","non-dropping-particle":"","parse-names":false,"suffix":""}],"id":"ITEM-3","issued":{"date-parts":[["2020"]]},"note":"Review article","page":"1699-1707","publisher":"Journal of Environmental Health Science and Engineering","title":"Architectural design strategies for infection prevention and control ( IPC ) in health-care facilities : towards curbing the spread of Covid-19","type":"article-journal"},"uris":["http://www.mendeley.com/documents/?uuid=e968bd5f-7819-48c7-860b-edfe877e1135"]}],"mendeley":{"formattedCitation":"(Emmanuel, 2020; Garg, 2021; van Doremalen et al., 2020)","plainTextFormattedCitation":"(Emmanuel, 2020; Garg, 2021; van Doremalen et al., 2020)","previouslyFormattedCitation":"(Emmanuel, 2020; Garg, 2021; van Doremalen et al., 2020)"},"properties":{"noteIndex":0},"schema":"https://github.com/citation-style-language/schema/raw/master/csl-citation.json"}</w:instrText>
      </w:r>
      <w:r w:rsidR="00A96588">
        <w:rPr>
          <w:rFonts w:ascii="Georgia" w:eastAsia="Georgia" w:hAnsi="Georgia" w:cs="Georgia"/>
        </w:rPr>
        <w:fldChar w:fldCharType="separate"/>
      </w:r>
      <w:r w:rsidR="00A96588" w:rsidRPr="00A96588">
        <w:rPr>
          <w:rFonts w:ascii="Georgia" w:eastAsia="Georgia" w:hAnsi="Georgia" w:cs="Georgia"/>
        </w:rPr>
        <w:t>(Emmanuel, 2020; Garg, 2021; van Doremalen et al., 2020)</w:t>
      </w:r>
      <w:r w:rsidR="00A96588">
        <w:rPr>
          <w:rFonts w:ascii="Georgia" w:eastAsia="Georgia" w:hAnsi="Georgia" w:cs="Georgia"/>
        </w:rPr>
        <w:fldChar w:fldCharType="end"/>
      </w:r>
      <w:r w:rsidR="00B75FD8">
        <w:rPr>
          <w:rFonts w:ascii="Georgia" w:eastAsia="Georgia" w:hAnsi="Georgia" w:cs="Georgia"/>
        </w:rPr>
        <w:t xml:space="preserve">. </w:t>
      </w:r>
      <w:r>
        <w:rPr>
          <w:rFonts w:ascii="Georgia" w:eastAsia="Georgia" w:hAnsi="Georgia" w:cs="Georgia"/>
        </w:rPr>
        <w:t>Doremalen et al. (2020) retort that COVID-19 can last up to 3 days on plastic and steel</w:t>
      </w:r>
      <w:r w:rsidR="008C2ACA">
        <w:rPr>
          <w:rFonts w:ascii="Georgia" w:eastAsia="Georgia" w:hAnsi="Georgia" w:cs="Georgia"/>
        </w:rPr>
        <w:t>,</w:t>
      </w:r>
      <w:r>
        <w:rPr>
          <w:rFonts w:ascii="Georgia" w:eastAsia="Georgia" w:hAnsi="Georgia" w:cs="Georgia"/>
        </w:rPr>
        <w:t xml:space="preserve"> while on cardboard it can last up to 1 day and survives for 4 h on copper surfaces. Hence, frequently touched surfaces such as balcony rails, staircase handrails</w:t>
      </w:r>
      <w:r w:rsidR="008C2ACA">
        <w:rPr>
          <w:rFonts w:ascii="Georgia" w:eastAsia="Georgia" w:hAnsi="Georgia" w:cs="Georgia"/>
        </w:rPr>
        <w:t>,</w:t>
      </w:r>
      <w:r>
        <w:rPr>
          <w:rFonts w:ascii="Georgia" w:eastAsia="Georgia" w:hAnsi="Georgia" w:cs="Georgia"/>
        </w:rPr>
        <w:t xml:space="preserve"> and bed rails should have copper</w:t>
      </w:r>
      <w:r w:rsidR="008C2ACA">
        <w:rPr>
          <w:rFonts w:ascii="Georgia" w:eastAsia="Georgia" w:hAnsi="Georgia" w:cs="Georgia"/>
        </w:rPr>
        <w:t>-</w:t>
      </w:r>
      <w:r>
        <w:rPr>
          <w:rFonts w:ascii="Georgia" w:eastAsia="Georgia" w:hAnsi="Georgia" w:cs="Georgia"/>
        </w:rPr>
        <w:t xml:space="preserve">infused or </w:t>
      </w:r>
      <w:r w:rsidR="008C2ACA">
        <w:rPr>
          <w:rFonts w:ascii="Georgia" w:eastAsia="Georgia" w:hAnsi="Georgia" w:cs="Georgia"/>
        </w:rPr>
        <w:t>-</w:t>
      </w:r>
      <w:r>
        <w:rPr>
          <w:rFonts w:ascii="Georgia" w:eastAsia="Georgia" w:hAnsi="Georgia" w:cs="Georgia"/>
        </w:rPr>
        <w:t>plated materials. However, the cost of copper may discourage designers from specifying it. Hospitals must use antibacterial paints and prefabricated furniture, while sensor-controlled lifts, sinks</w:t>
      </w:r>
      <w:r w:rsidR="008C2ACA">
        <w:rPr>
          <w:rFonts w:ascii="Georgia" w:eastAsia="Georgia" w:hAnsi="Georgia" w:cs="Georgia"/>
        </w:rPr>
        <w:t>,</w:t>
      </w:r>
      <w:r>
        <w:rPr>
          <w:rFonts w:ascii="Georgia" w:eastAsia="Georgia" w:hAnsi="Georgia" w:cs="Georgia"/>
        </w:rPr>
        <w:t xml:space="preserve"> and taps can avoid contact altogether (Garg, 2021; Emmanuel et al., 2020). Also, carpets and rugs should be avoided as they harbo</w:t>
      </w:r>
      <w:r w:rsidR="008C2ACA">
        <w:rPr>
          <w:rFonts w:ascii="Georgia" w:eastAsia="Georgia" w:hAnsi="Georgia" w:cs="Georgia"/>
        </w:rPr>
        <w:t>u</w:t>
      </w:r>
      <w:r>
        <w:rPr>
          <w:rFonts w:ascii="Georgia" w:eastAsia="Georgia" w:hAnsi="Georgia" w:cs="Georgia"/>
        </w:rPr>
        <w:t xml:space="preserve">r viruses and their cleaning products reduce indoor air quality </w:t>
      </w:r>
      <w:r w:rsidR="008040B2">
        <w:rPr>
          <w:rFonts w:ascii="Georgia" w:eastAsia="Georgia" w:hAnsi="Georgia" w:cs="Georgia"/>
        </w:rPr>
        <w:fldChar w:fldCharType="begin" w:fldLock="1"/>
      </w:r>
      <w:r w:rsidR="008040B2">
        <w:rPr>
          <w:rFonts w:ascii="Georgia" w:eastAsia="Georgia" w:hAnsi="Georgia" w:cs="Georgia"/>
        </w:rPr>
        <w:instrText>ADDIN CSL_CITATION {"citationItems":[{"id":"ITEM-1","itemData":{"DOI":"10.3390/su12145863","ISSN":"20711050","abstract":"The health system's response to the COVID-19 pandemic has involved research into diagnoses and vaccines, but primarily it has required specific treatments, facilities and equipment, together with the control of individual behaviour and a period of collective confinement. The aim of this particular research, therefore, is to discover whether COVID-19 is capable of changing the built environment (BE) and leveraging specific solutions for sustainable buildings or urban areas. Some historical reviews of infectious pandemics have highlighted the development of new solutions in the BE as an additional contribution towards preventing the spread of infection. The BE has an important role to play in supporting public health measures and reducing the risk of infections. The review of potential COVID-19 measures shows the existence of well-referenced solutions, ranging from incremental alterations (organisation of spaces, erection of physical barriers) to structural alterations (windows, balconies) with different timeframes and scales (ranging from changes in building materials to the design of urban areas). A critical exploratory assessment makes it possible to identify measures that may help not only to reduce the risk of COVID-19 transmission (or even prevent it), but also to increase resilience, improve air quality and lower energy requirements or the use of materials, and thus potentially increase the sustainability of the BE. COVID-19 measures challenge us to rethink buildings and urban areas and potentially leverage sustainable BE solutions with win-win outcomes (minimalist design and other solutions). The specific composition of this set of measures must, however, be further researched.","author":[{"dropping-particle":"","family":"Pinheiro","given":"Manuel Duarte","non-dropping-particle":"","parse-names":false,"suffix":""},{"dropping-particle":"","family":"Luís","given":"Nuno Cardoso","non-dropping-particle":"","parse-names":false,"suffix":""}],"container-title":"Sustainability (Switzerland)","id":"ITEM-1","issue":"14","issued":{"date-parts":[["2020"]]},"note":"GOOD GRAPHICS AND TABLES. MUST READ LATER","title":"COVID-19 could leverage a sustainable built environment","type":"article-journal","volume":"12"},"uris":["http://www.mendeley.com/documents/?uuid=213a734c-8643-49f7-b428-c787ad4f006c"]}],"mendeley":{"formattedCitation":"(Pinheiro &amp; Luís, 2020)","plainTextFormattedCitation":"(Pinheiro &amp; Luís, 2020)","previouslyFormattedCitation":"(Pinheiro &amp; Luís, 2020)"},"properties":{"noteIndex":0},"schema":"https://github.com/citation-style-language/schema/raw/master/csl-citation.json"}</w:instrText>
      </w:r>
      <w:r w:rsidR="008040B2">
        <w:rPr>
          <w:rFonts w:ascii="Georgia" w:eastAsia="Georgia" w:hAnsi="Georgia" w:cs="Georgia"/>
        </w:rPr>
        <w:fldChar w:fldCharType="separate"/>
      </w:r>
      <w:r w:rsidR="008040B2" w:rsidRPr="008040B2">
        <w:rPr>
          <w:rFonts w:ascii="Georgia" w:eastAsia="Georgia" w:hAnsi="Georgia" w:cs="Georgia"/>
        </w:rPr>
        <w:t>(Pinheiro &amp; Luís, 2020)</w:t>
      </w:r>
      <w:r w:rsidR="008040B2">
        <w:rPr>
          <w:rFonts w:ascii="Georgia" w:eastAsia="Georgia" w:hAnsi="Georgia" w:cs="Georgia"/>
        </w:rPr>
        <w:fldChar w:fldCharType="end"/>
      </w:r>
      <w:r>
        <w:rPr>
          <w:rFonts w:ascii="Georgia" w:eastAsia="Georgia" w:hAnsi="Georgia" w:cs="Georgia"/>
        </w:rPr>
        <w:t xml:space="preserve">. To allow flexibility, electric wiring should have </w:t>
      </w:r>
      <w:r w:rsidR="008C2ACA">
        <w:rPr>
          <w:rFonts w:ascii="Georgia" w:eastAsia="Georgia" w:hAnsi="Georgia" w:cs="Georgia"/>
        </w:rPr>
        <w:t>p</w:t>
      </w:r>
      <w:r>
        <w:rPr>
          <w:rFonts w:ascii="Georgia" w:eastAsia="Georgia" w:hAnsi="Georgia" w:cs="Georgia"/>
        </w:rPr>
        <w:t xml:space="preserve">olyvinyl chloride (PVC) conduit to enable the installation of electrical points and appliances </w:t>
      </w:r>
      <w:r w:rsidR="008040B2">
        <w:rPr>
          <w:rFonts w:ascii="Georgia" w:eastAsia="Georgia" w:hAnsi="Georgia" w:cs="Georgia"/>
        </w:rPr>
        <w:fldChar w:fldCharType="begin" w:fldLock="1"/>
      </w:r>
      <w:r w:rsidR="00AA4FA8">
        <w:rPr>
          <w:rFonts w:ascii="Georgia" w:eastAsia="Georgia" w:hAnsi="Georgia" w:cs="Georgia"/>
        </w:rPr>
        <w:instrText>ADDIN CSL_CITATION {"citationItems":[{"id":"ITEM-1","itemData":{"author":[{"dropping-particle":"","family":"Garg","given":"Ajay","non-dropping-particle":"","parse-names":false,"suffix":""}],"id":"ITEM-1","issue":"1","issued":{"date-parts":[["2021"]]},"page":"22-25","title":"Preparedness of Hospitals Post COVID-19 Era","type":"article-journal","volume":"2"},"uris":["http://www.mendeley.com/documents/?uuid=a9d894bd-1d8a-494e-a2b0-743b3172134f"]}],"mendeley":{"formattedCitation":"(Garg, 2021)","plainTextFormattedCitation":"(Garg, 2021)","previouslyFormattedCitation":"(Garg, 2021)"},"properties":{"noteIndex":0},"schema":"https://github.com/citation-style-language/schema/raw/master/csl-citation.json"}</w:instrText>
      </w:r>
      <w:r w:rsidR="008040B2">
        <w:rPr>
          <w:rFonts w:ascii="Georgia" w:eastAsia="Georgia" w:hAnsi="Georgia" w:cs="Georgia"/>
        </w:rPr>
        <w:fldChar w:fldCharType="separate"/>
      </w:r>
      <w:r w:rsidR="008040B2" w:rsidRPr="008040B2">
        <w:rPr>
          <w:rFonts w:ascii="Georgia" w:eastAsia="Georgia" w:hAnsi="Georgia" w:cs="Georgia"/>
        </w:rPr>
        <w:t>(Garg, 2021)</w:t>
      </w:r>
      <w:r w:rsidR="008040B2">
        <w:rPr>
          <w:rFonts w:ascii="Georgia" w:eastAsia="Georgia" w:hAnsi="Georgia" w:cs="Georgia"/>
        </w:rPr>
        <w:fldChar w:fldCharType="end"/>
      </w:r>
      <w:r>
        <w:rPr>
          <w:rFonts w:ascii="Georgia" w:eastAsia="Georgia" w:hAnsi="Georgia" w:cs="Georgia"/>
        </w:rPr>
        <w:t>.</w:t>
      </w:r>
    </w:p>
    <w:p w14:paraId="0BD87AC0" w14:textId="6F7471D2" w:rsidR="00695365" w:rsidRPr="00813A59" w:rsidRDefault="00813A59" w:rsidP="00813A59">
      <w:pPr>
        <w:pStyle w:val="MDPI22heading2"/>
        <w:numPr>
          <w:ilvl w:val="0"/>
          <w:numId w:val="10"/>
        </w:numPr>
        <w:spacing w:before="240"/>
        <w:ind w:left="2835" w:hanging="283"/>
        <w:jc w:val="left"/>
        <w:rPr>
          <w:rFonts w:ascii="Georgia" w:eastAsia="Georgia" w:hAnsi="Georgia" w:cs="Georgia"/>
          <w:i w:val="0"/>
          <w:iCs/>
        </w:rPr>
      </w:pPr>
      <w:r>
        <w:rPr>
          <w:rFonts w:ascii="Georgia" w:eastAsia="Georgia" w:hAnsi="Georgia" w:cs="Georgia"/>
          <w:i w:val="0"/>
          <w:iCs/>
        </w:rPr>
        <w:t>A</w:t>
      </w:r>
      <w:r w:rsidR="00366511" w:rsidRPr="00813A59">
        <w:rPr>
          <w:rFonts w:ascii="Georgia" w:eastAsia="Georgia" w:hAnsi="Georgia" w:cs="Georgia"/>
          <w:i w:val="0"/>
          <w:iCs/>
        </w:rPr>
        <w:t>ir filtration</w:t>
      </w:r>
    </w:p>
    <w:p w14:paraId="0AE9C71C" w14:textId="278D8FE4" w:rsidR="00695365" w:rsidRDefault="00366511" w:rsidP="00813A59">
      <w:pPr>
        <w:spacing w:before="280" w:after="280" w:line="240" w:lineRule="auto"/>
        <w:ind w:left="2552"/>
        <w:rPr>
          <w:rFonts w:ascii="Georgia" w:eastAsia="Georgia" w:hAnsi="Georgia" w:cs="Georgia"/>
        </w:rPr>
      </w:pPr>
      <w:r>
        <w:rPr>
          <w:rFonts w:ascii="Georgia" w:eastAsia="Georgia" w:hAnsi="Georgia" w:cs="Georgia"/>
        </w:rPr>
        <w:t xml:space="preserve">The air filters reduce the viral </w:t>
      </w:r>
      <w:r w:rsidR="008C2ACA" w:rsidRPr="00504561">
        <w:rPr>
          <w:rFonts w:ascii="Georgia" w:eastAsia="Georgia" w:hAnsi="Georgia" w:cs="Georgia"/>
        </w:rPr>
        <w:t xml:space="preserve">particles concentration in the air and curb the deposition of viruses on surfaces </w:t>
      </w:r>
      <w:r w:rsidR="00B75FD8">
        <w:rPr>
          <w:rFonts w:ascii="Georgia" w:eastAsia="Georgia" w:hAnsi="Georgia" w:cs="Georgia"/>
        </w:rPr>
        <w:t xml:space="preserve"> </w:t>
      </w:r>
      <w:r>
        <w:rPr>
          <w:rFonts w:ascii="Georgia" w:eastAsia="Georgia" w:hAnsi="Georgia" w:cs="Georgia"/>
        </w:rPr>
        <w:t xml:space="preserve"> (Horning and Davis, 2020; </w:t>
      </w:r>
      <w:r w:rsidR="00AA4FA8">
        <w:rPr>
          <w:rFonts w:ascii="Georgia" w:eastAsia="Georgia" w:hAnsi="Georgia" w:cs="Georgia"/>
        </w:rPr>
        <w:fldChar w:fldCharType="begin" w:fldLock="1"/>
      </w:r>
      <w:r w:rsidR="00AA4FA8">
        <w:rPr>
          <w:rFonts w:ascii="Georgia" w:eastAsia="Georgia" w:hAnsi="Georgia" w:cs="Georgia"/>
        </w:rPr>
        <w:instrText>ADDIN CSL_CITATION {"citationItems":[{"id":"ITEM-1","itemData":{"DOI":"10.1016/j.ajic.2010.04.208","ISSN":"01966553","PMID":"20569852","abstract":"This review evaluates the applicability and relative contribution of ultraviolet germicidal irradiation (UVGI) to disinfection of air in health care facilities. A section addressing the use of UVGI for environmental surfaces is also included. The germicidal susceptibility of biologic agents is addressed, but with emphasis on application in health care facilities. The balance of scientific evidence indicates that UVGI should be considered as a disinfection application in a health care setting only in conjunction with other well-established elements, such as appropriate heating, ventilating, and air-conditioning (HVAC) systems; dynamic removal of contaminants from the air; and preventive maintenance in combination with through cleaning of the care environment. We conclude that although UVGI is microbiocidal, it is not \"ready for prime time\" as a primary intervention to kill or inactivate infectious microorganisms; rather, it should be considered an adjunct. Other factors, such as careful design of the built environment, installation and effective operation of the HVAC system, and a high level of attention to traditional cleaning and disinfection, must be assessed before a health care facility can decide to rely solely on UVGI to meet indoor air quality requirements for health care facilities. More targeted and multiparameter studies are needed to evaluate the efficacy, safety, and incremental benefit of UVGI for mitigating reservoirs of microorganisms and ultimately preventing cross-transmission of pathogens that lead to health care-associated infections. © 2010 Association for Professionals in Infection Control and Epidemiology, Inc.","author":[{"dropping-particle":"","family":"Memarzadeh","given":"Farhad","non-dropping-particle":"","parse-names":false,"suffix":""},{"dropping-particle":"","family":"Olmsted","given":"Russell N.","non-dropping-particle":"","parse-names":false,"suffix":""},{"dropping-particle":"","family":"Bartley","given":"Judene M.","non-dropping-particle":"","parse-names":false,"suffix":""}],"container-title":"American Journal of Infection Control","id":"ITEM-1","issue":"5 SUPPL.","issued":{"date-parts":[["2010"]]},"title":"Applications of ultraviolet germicidal irradiation disinfection in health care facilities: Effective adjunct, but not stand-alone technology","type":"article-journal","volume":"38"},"uris":["http://www.mendeley.com/documents/?uuid=41e91f03-13d1-4640-a2fb-e368ce62ce9d"]}],"mendeley":{"formattedCitation":"(Memarzadeh et al., 2010)","manualFormatting":"Memarzadeh et al., 2010)","plainTextFormattedCitation":"(Memarzadeh et al., 2010)","previouslyFormattedCitation":"(Memarzadeh et al., 2010)"},"properties":{"noteIndex":0},"schema":"https://github.com/citation-style-language/schema/raw/master/csl-citation.json"}</w:instrText>
      </w:r>
      <w:r w:rsidR="00AA4FA8">
        <w:rPr>
          <w:rFonts w:ascii="Georgia" w:eastAsia="Georgia" w:hAnsi="Georgia" w:cs="Georgia"/>
        </w:rPr>
        <w:fldChar w:fldCharType="separate"/>
      </w:r>
      <w:r w:rsidR="00AA4FA8" w:rsidRPr="00AA4FA8">
        <w:rPr>
          <w:rFonts w:ascii="Georgia" w:eastAsia="Georgia" w:hAnsi="Georgia" w:cs="Georgia"/>
        </w:rPr>
        <w:t>Memarzadeh et al., 2010)</w:t>
      </w:r>
      <w:r w:rsidR="00AA4FA8">
        <w:rPr>
          <w:rFonts w:ascii="Georgia" w:eastAsia="Georgia" w:hAnsi="Georgia" w:cs="Georgia"/>
        </w:rPr>
        <w:fldChar w:fldCharType="end"/>
      </w:r>
      <w:r>
        <w:rPr>
          <w:rFonts w:ascii="Georgia" w:eastAsia="Georgia" w:hAnsi="Georgia" w:cs="Georgia"/>
        </w:rPr>
        <w:t xml:space="preserve">. Also, the filtration of </w:t>
      </w:r>
      <w:r w:rsidR="008C2ACA">
        <w:rPr>
          <w:rFonts w:ascii="Georgia" w:eastAsia="Georgia" w:hAnsi="Georgia" w:cs="Georgia"/>
        </w:rPr>
        <w:t xml:space="preserve">the </w:t>
      </w:r>
      <w:r>
        <w:rPr>
          <w:rFonts w:ascii="Georgia" w:eastAsia="Georgia" w:hAnsi="Georgia" w:cs="Georgia"/>
        </w:rPr>
        <w:t xml:space="preserve">air in the COVID-19 wards may reduce the viral load and speed the recovery process. The HEPA (high-efficiency particulate air) filters can remove 99.97% of particles </w:t>
      </w:r>
      <w:r w:rsidR="002B0E58">
        <w:rPr>
          <w:rFonts w:ascii="Georgia" w:eastAsia="Georgia" w:hAnsi="Georgia" w:cs="Georgia"/>
        </w:rPr>
        <w:t xml:space="preserve">larger </w:t>
      </w:r>
      <w:r>
        <w:rPr>
          <w:rFonts w:ascii="Georgia" w:eastAsia="Georgia" w:hAnsi="Georgia" w:cs="Georgia"/>
        </w:rPr>
        <w:t>than 0.3 microns, but ULPA (Ultra-low Penetration air) filters can capture 99.99% of particles larger than 0.12 microns. Additionally, air filtration will remove any other pollutants in the air but requires frequent replacement</w:t>
      </w:r>
      <w:r w:rsidR="002B0E58">
        <w:rPr>
          <w:rFonts w:ascii="Georgia" w:eastAsia="Georgia" w:hAnsi="Georgia" w:cs="Georgia"/>
        </w:rPr>
        <w:t>,</w:t>
      </w:r>
      <w:r>
        <w:rPr>
          <w:rFonts w:ascii="Georgia" w:eastAsia="Georgia" w:hAnsi="Georgia" w:cs="Georgia"/>
        </w:rPr>
        <w:t xml:space="preserve"> and the used filters must be carefully disposed of to avoid the spread of the virus.</w:t>
      </w:r>
    </w:p>
    <w:p w14:paraId="458828DB" w14:textId="78B5BA32" w:rsidR="00695365" w:rsidRPr="00813A59" w:rsidRDefault="00366511" w:rsidP="00813A59">
      <w:pPr>
        <w:pStyle w:val="MDPI22heading2"/>
        <w:numPr>
          <w:ilvl w:val="0"/>
          <w:numId w:val="10"/>
        </w:numPr>
        <w:spacing w:before="240"/>
        <w:ind w:left="2835" w:hanging="283"/>
        <w:jc w:val="left"/>
        <w:rPr>
          <w:rFonts w:ascii="Georgia" w:eastAsia="Georgia" w:hAnsi="Georgia" w:cs="Georgia"/>
          <w:i w:val="0"/>
          <w:iCs/>
        </w:rPr>
      </w:pPr>
      <w:r w:rsidRPr="00813A59">
        <w:rPr>
          <w:rFonts w:ascii="Georgia" w:eastAsia="Georgia" w:hAnsi="Georgia" w:cs="Georgia"/>
          <w:i w:val="0"/>
          <w:iCs/>
        </w:rPr>
        <w:t>Ultraviolet germicidal irradiation</w:t>
      </w:r>
    </w:p>
    <w:p w14:paraId="13942F6E" w14:textId="1E9C4345" w:rsidR="00695365" w:rsidRDefault="00366511" w:rsidP="00813A59">
      <w:pPr>
        <w:spacing w:before="280" w:after="280" w:line="240" w:lineRule="auto"/>
        <w:ind w:left="2552"/>
        <w:rPr>
          <w:rFonts w:ascii="Georgia" w:eastAsia="Georgia" w:hAnsi="Georgia" w:cs="Georgia"/>
        </w:rPr>
      </w:pPr>
      <w:r>
        <w:rPr>
          <w:rFonts w:ascii="Georgia" w:eastAsia="Georgia" w:hAnsi="Georgia" w:cs="Georgia"/>
        </w:rPr>
        <w:t xml:space="preserve">Ultraviolet </w:t>
      </w:r>
      <w:r w:rsidR="002B0E58">
        <w:rPr>
          <w:rFonts w:ascii="Georgia" w:eastAsia="Georgia" w:hAnsi="Georgia" w:cs="Georgia"/>
        </w:rPr>
        <w:t>g</w:t>
      </w:r>
      <w:r>
        <w:rPr>
          <w:rFonts w:ascii="Georgia" w:eastAsia="Georgia" w:hAnsi="Georgia" w:cs="Georgia"/>
        </w:rPr>
        <w:t xml:space="preserve">ermicidal </w:t>
      </w:r>
      <w:r w:rsidR="002B0E58">
        <w:rPr>
          <w:rFonts w:ascii="Georgia" w:eastAsia="Georgia" w:hAnsi="Georgia" w:cs="Georgia"/>
        </w:rPr>
        <w:t>i</w:t>
      </w:r>
      <w:r>
        <w:rPr>
          <w:rFonts w:ascii="Georgia" w:eastAsia="Georgia" w:hAnsi="Georgia" w:cs="Georgia"/>
        </w:rPr>
        <w:t>rradiation (UVGI) has a wavelength of 253.7 nm and possesses antimicrobial properties. However, it should be used carefully as it poses a health risk to the eyes and skin. Nonetheless, while more research is conducted to determine the effectiveness of this technology in irradiating the COVID-19 virus, UVGI may be installed in unoccupied areas to minimi</w:t>
      </w:r>
      <w:r w:rsidR="002B0E58">
        <w:rPr>
          <w:rFonts w:ascii="Georgia" w:eastAsia="Georgia" w:hAnsi="Georgia" w:cs="Georgia"/>
        </w:rPr>
        <w:t>s</w:t>
      </w:r>
      <w:r>
        <w:rPr>
          <w:rFonts w:ascii="Georgia" w:eastAsia="Georgia" w:hAnsi="Georgia" w:cs="Georgia"/>
        </w:rPr>
        <w:t xml:space="preserve">e adverse health effects </w:t>
      </w:r>
      <w:r w:rsidR="00AA4FA8">
        <w:rPr>
          <w:rFonts w:ascii="Georgia" w:eastAsia="Georgia" w:hAnsi="Georgia" w:cs="Georgia"/>
        </w:rPr>
        <w:fldChar w:fldCharType="begin" w:fldLock="1"/>
      </w:r>
      <w:r w:rsidR="00AA4FA8">
        <w:rPr>
          <w:rFonts w:ascii="Georgia" w:eastAsia="Georgia" w:hAnsi="Georgia" w:cs="Georgia"/>
        </w:rPr>
        <w:instrText>ADDIN CSL_CITATION {"citationItems":[{"id":"ITEM-1","itemData":{"DOI":"10.1016/j.envres.2020.110471","ISSN":"10960953","PMID":"33197423","abstract":"To effectively reduce the spread of SARS-CoV-2, it is crucial to highlight the effectiveness of building design strategies in mitigating threats to occupants. The ongoing pandemic research and actions focus on how poor Indoor Air Quality (IAQ) amplifies the effects of airborne viruses. This review aims to draw architects' attention toward the high risk of airborne transmission of diseases by providing the latest updates and solutions to understand better the environmental and health issues associated with COVID-19. Based on the complexity of the problem and the need for interdisciplinary research, this study presents a conceptual model that addresses the integration of engineering controls, design strategies and, air disinfection techniques required to achieve a better IAQ.","author":[{"dropping-particle":"","family":"Megahed","given":"Naglaa A.","non-dropping-particle":"","parse-names":false,"suffix":""},{"dropping-particle":"","family":"Ghoneim","given":"Ehab M.","non-dropping-particle":"","parse-names":false,"suffix":""}],"container-title":"Environmental Research","id":"ITEM-1","issued":{"date-parts":[["2021","2","1"]]},"publisher":"Academic Press Inc.","title":"Indoor Air Quality: Rethinking rules of building design strategies in post-pandemic architecture","type":"article-journal","volume":"193"},"uris":["http://www.mendeley.com/documents/?uuid=93d68029-6880-3de8-ae6f-6aa539ea4ba6"]}],"mendeley":{"formattedCitation":"(Megahed &amp; Ghoneim, 2021)","plainTextFormattedCitation":"(Megahed &amp; Ghoneim, 2021)","previouslyFormattedCitation":"(Megahed &amp; Ghoneim, 2021)"},"properties":{"noteIndex":0},"schema":"https://github.com/citation-style-language/schema/raw/master/csl-citation.json"}</w:instrText>
      </w:r>
      <w:r w:rsidR="00AA4FA8">
        <w:rPr>
          <w:rFonts w:ascii="Georgia" w:eastAsia="Georgia" w:hAnsi="Georgia" w:cs="Georgia"/>
        </w:rPr>
        <w:fldChar w:fldCharType="separate"/>
      </w:r>
      <w:r w:rsidR="00AA4FA8" w:rsidRPr="00AA4FA8">
        <w:rPr>
          <w:rFonts w:ascii="Georgia" w:eastAsia="Georgia" w:hAnsi="Georgia" w:cs="Georgia"/>
        </w:rPr>
        <w:t>(Megahed &amp; Ghoneim, 2021)</w:t>
      </w:r>
      <w:r w:rsidR="00AA4FA8">
        <w:rPr>
          <w:rFonts w:ascii="Georgia" w:eastAsia="Georgia" w:hAnsi="Georgia" w:cs="Georgia"/>
        </w:rPr>
        <w:fldChar w:fldCharType="end"/>
      </w:r>
      <w:r>
        <w:rPr>
          <w:rFonts w:ascii="Georgia" w:eastAsia="Georgia" w:hAnsi="Georgia" w:cs="Georgia"/>
        </w:rPr>
        <w:t>. Hence, UVGI may be mounted in deep louvr</w:t>
      </w:r>
      <w:r w:rsidR="002B0E58">
        <w:rPr>
          <w:rFonts w:ascii="Georgia" w:eastAsia="Georgia" w:hAnsi="Georgia" w:cs="Georgia"/>
        </w:rPr>
        <w:t>e</w:t>
      </w:r>
      <w:r>
        <w:rPr>
          <w:rFonts w:ascii="Georgia" w:eastAsia="Georgia" w:hAnsi="Georgia" w:cs="Georgia"/>
        </w:rPr>
        <w:t xml:space="preserve"> enclosures at a height from the floor to reduce exposure to the eyes and excess reflection from the ceiling and in the duct of the HVAC for disinfecting contaminated air.</w:t>
      </w:r>
    </w:p>
    <w:p w14:paraId="36EC4895" w14:textId="3E6D70DD" w:rsidR="00695365" w:rsidRPr="00813A59" w:rsidRDefault="00366511" w:rsidP="00813A59">
      <w:pPr>
        <w:pStyle w:val="MDPI22heading2"/>
        <w:numPr>
          <w:ilvl w:val="0"/>
          <w:numId w:val="10"/>
        </w:numPr>
        <w:spacing w:before="240"/>
        <w:ind w:left="2835" w:hanging="283"/>
        <w:jc w:val="left"/>
        <w:rPr>
          <w:rFonts w:ascii="Georgia" w:eastAsia="Georgia" w:hAnsi="Georgia" w:cs="Georgia"/>
          <w:i w:val="0"/>
          <w:iCs/>
        </w:rPr>
      </w:pPr>
      <w:r w:rsidRPr="00813A59">
        <w:rPr>
          <w:rFonts w:ascii="Georgia" w:eastAsia="Georgia" w:hAnsi="Georgia" w:cs="Georgia"/>
          <w:i w:val="0"/>
          <w:iCs/>
        </w:rPr>
        <w:t>Humidification</w:t>
      </w:r>
    </w:p>
    <w:p w14:paraId="21A949C2" w14:textId="6E43B668" w:rsidR="00695365" w:rsidRDefault="00366511" w:rsidP="00813A59">
      <w:pPr>
        <w:spacing w:before="280" w:after="280" w:line="240" w:lineRule="auto"/>
        <w:ind w:left="2552"/>
        <w:rPr>
          <w:rFonts w:ascii="Georgia" w:eastAsia="Georgia" w:hAnsi="Georgia" w:cs="Georgia"/>
        </w:rPr>
      </w:pPr>
      <w:r>
        <w:rPr>
          <w:rFonts w:ascii="Georgia" w:eastAsia="Georgia" w:hAnsi="Georgia" w:cs="Georgia"/>
        </w:rPr>
        <w:t xml:space="preserve">Indoor humidity levels are a significant factor in the spread of infections. The low relative humidity in a cool climate may prompt the droplets to evaporate at a fast pace, creating particles with smaller sizes that may move longer distances and infect more people </w:t>
      </w:r>
      <w:r w:rsidR="00A56A4D">
        <w:rPr>
          <w:rFonts w:ascii="Georgia" w:eastAsia="Georgia" w:hAnsi="Georgia" w:cs="Georgia"/>
        </w:rPr>
        <w:t>(He et al</w:t>
      </w:r>
      <w:r w:rsidR="00817C99" w:rsidRPr="001C7A07">
        <w:rPr>
          <w:rFonts w:ascii="Georgia" w:eastAsia="Georgia" w:hAnsi="Georgia" w:cs="Georgia"/>
        </w:rPr>
        <w:t>.,</w:t>
      </w:r>
      <w:r w:rsidR="00A56A4D" w:rsidRPr="00817C99">
        <w:rPr>
          <w:rFonts w:ascii="Georgia" w:eastAsia="Georgia" w:hAnsi="Georgia" w:cs="Georgia"/>
        </w:rPr>
        <w:t>.</w:t>
      </w:r>
      <w:r w:rsidR="00A56A4D">
        <w:rPr>
          <w:rFonts w:ascii="Georgia" w:eastAsia="Georgia" w:hAnsi="Georgia" w:cs="Georgia"/>
        </w:rPr>
        <w:t>2022;</w:t>
      </w:r>
      <w:r>
        <w:rPr>
          <w:rFonts w:ascii="Georgia" w:eastAsia="Georgia" w:hAnsi="Georgia" w:cs="Georgia"/>
        </w:rPr>
        <w:t xml:space="preserve">Feng et al., 2020). </w:t>
      </w:r>
      <w:r w:rsidR="000D319B">
        <w:rPr>
          <w:rFonts w:ascii="Georgia" w:eastAsia="Georgia" w:hAnsi="Georgia" w:cs="Georgia"/>
        </w:rPr>
        <w:t>On the other hand</w:t>
      </w:r>
      <w:r w:rsidR="00091BF6">
        <w:rPr>
          <w:rFonts w:ascii="Georgia" w:eastAsia="Georgia" w:hAnsi="Georgia" w:cs="Georgia"/>
        </w:rPr>
        <w:t>,</w:t>
      </w:r>
      <w:r w:rsidR="000D319B">
        <w:rPr>
          <w:rFonts w:ascii="Georgia" w:eastAsia="Georgia" w:hAnsi="Georgia" w:cs="Georgia"/>
        </w:rPr>
        <w:t xml:space="preserve"> in</w:t>
      </w:r>
      <w:r>
        <w:rPr>
          <w:rFonts w:ascii="Georgia" w:eastAsia="Georgia" w:hAnsi="Georgia" w:cs="Georgia"/>
        </w:rPr>
        <w:t xml:space="preserve"> humid conditions, the size of the viral drops increases and falls from the atmosphere, reducing the chance of transmission. </w:t>
      </w:r>
      <w:r w:rsidR="00AA4FA8">
        <w:rPr>
          <w:rFonts w:ascii="Georgia" w:eastAsia="Georgia" w:hAnsi="Georgia" w:cs="Georgia"/>
        </w:rPr>
        <w:fldChar w:fldCharType="begin" w:fldLock="1"/>
      </w:r>
      <w:r w:rsidR="00AA4FA8">
        <w:rPr>
          <w:rFonts w:ascii="Georgia" w:eastAsia="Georgia" w:hAnsi="Georgia" w:cs="Georgia"/>
        </w:rPr>
        <w:instrText>ADDIN CSL_CITATION {"citationItems":[{"id":"ITEM-1","itemData":{"DOI":"10.4209/aaqr.2020.06.0302","ISSN":"20711409","abstract":"COVID-19 disease is caused by severe acute respiratory syndrome coronavirus 2 (SARS-CoV-2), which originated in Wuhan, China and spread with an astonishing rate across the world. The transmission routes of SARS-CoV-2 are still debated, but recent evidence strongly suggests that COVID-19 could be transmitted via air in poorly ventilated places. Some studies also suggest the higher surface stability of SARS-CoV-2 as compared to SARS-CoV-1. It is also possible that small viral particles may enter into indoor environments from the various emission sources aided by environmental factors such as relative humidity, wind speed, temperature, thus representing a type of an aerosol transmission. Here, we explore the role of relative humidity in airborne transmission of SARS-CoV-2 virus in indoor environments based on recent studies around the world. Humidity affects both the evaporation kinematics and particle growth. In dry indoor places i.e., less humidity (&lt; 40% RH), the chances of airborne transmission of SARS-CoV-2 are higher than that of humid places (i.e., &gt; 90% RH). Based on earlier studies, a relative humidity of 40–60% was found to be optimal for human health in indoor places. Thus, it is extremely important to set a minimum relative humidity standard for indoor environments such as hospitals, offices and public transports for minimization of airborne spread of SARS-CoV-2.","author":[{"dropping-particle":"","family":"Ahlawat","given":"Ajit","non-dropping-particle":"","parse-names":false,"suffix":""},{"dropping-particle":"","family":"Wiedensohler","given":"Alfred","non-dropping-particle":"","parse-names":false,"suffix":""},{"dropping-particle":"","family":"Mishra","given":"Sumit Kumar","non-dropping-particle":"","parse-names":false,"suffix":""}],"container-title":"Aerosol and Air Quality Research","id":"ITEM-1","issue":"9","issued":{"date-parts":[["2020"]]},"page":"1856-1861","title":"An overview on the role of relative humidity in airborne transmission of sars-cov-2 in indoor environments","type":"article-journal","volume":"20"},"uris":["http://www.mendeley.com/documents/?uuid=9e8125ec-9ec6-4b9b-b2f9-ad9a869053b8"]}],"mendeley":{"formattedCitation":"(Ahlawat et al., 2020)","manualFormatting":"Ahlawat et al., (2020)","plainTextFormattedCitation":"(Ahlawat et al., 2020)","previouslyFormattedCitation":"(Ahlawat et al., 2020)"},"properties":{"noteIndex":0},"schema":"https://github.com/citation-style-language/schema/raw/master/csl-citation.json"}</w:instrText>
      </w:r>
      <w:r w:rsidR="00AA4FA8">
        <w:rPr>
          <w:rFonts w:ascii="Georgia" w:eastAsia="Georgia" w:hAnsi="Georgia" w:cs="Georgia"/>
        </w:rPr>
        <w:fldChar w:fldCharType="separate"/>
      </w:r>
      <w:r w:rsidR="00AA4FA8" w:rsidRPr="00AA4FA8">
        <w:rPr>
          <w:rFonts w:ascii="Georgia" w:eastAsia="Georgia" w:hAnsi="Georgia" w:cs="Georgia"/>
        </w:rPr>
        <w:t xml:space="preserve">Ahlawat et al., </w:t>
      </w:r>
      <w:r w:rsidR="00AA4FA8">
        <w:rPr>
          <w:rFonts w:ascii="Georgia" w:eastAsia="Georgia" w:hAnsi="Georgia" w:cs="Georgia"/>
        </w:rPr>
        <w:t>(</w:t>
      </w:r>
      <w:r w:rsidR="00AA4FA8" w:rsidRPr="00AA4FA8">
        <w:rPr>
          <w:rFonts w:ascii="Georgia" w:eastAsia="Georgia" w:hAnsi="Georgia" w:cs="Georgia"/>
        </w:rPr>
        <w:t>2020)</w:t>
      </w:r>
      <w:r w:rsidR="00AA4FA8">
        <w:rPr>
          <w:rFonts w:ascii="Georgia" w:eastAsia="Georgia" w:hAnsi="Georgia" w:cs="Georgia"/>
        </w:rPr>
        <w:fldChar w:fldCharType="end"/>
      </w:r>
      <w:r>
        <w:rPr>
          <w:rFonts w:ascii="Georgia" w:eastAsia="Georgia" w:hAnsi="Georgia" w:cs="Georgia"/>
        </w:rPr>
        <w:t xml:space="preserve"> retort that humidity </w:t>
      </w:r>
      <w:r w:rsidR="00091BF6">
        <w:rPr>
          <w:rFonts w:ascii="Georgia" w:eastAsia="Georgia" w:hAnsi="Georgia" w:cs="Georgia"/>
        </w:rPr>
        <w:t xml:space="preserve">below </w:t>
      </w:r>
      <w:r>
        <w:rPr>
          <w:rFonts w:ascii="Georgia" w:eastAsia="Georgia" w:hAnsi="Georgia" w:cs="Georgia"/>
        </w:rPr>
        <w:t xml:space="preserve">40% reduces the respiratory immunity of humans as the mucus in the throat and nose turns dry and </w:t>
      </w:r>
      <w:r>
        <w:rPr>
          <w:rFonts w:ascii="Georgia" w:eastAsia="Georgia" w:hAnsi="Georgia" w:cs="Georgia"/>
        </w:rPr>
        <w:lastRenderedPageBreak/>
        <w:t xml:space="preserve">viscous, reducing the ability to eliminate viral aerosols. Hence, </w:t>
      </w:r>
      <w:r w:rsidR="00091BF6">
        <w:rPr>
          <w:rFonts w:ascii="Georgia" w:eastAsia="Georgia" w:hAnsi="Georgia" w:cs="Georgia"/>
        </w:rPr>
        <w:t xml:space="preserve">a </w:t>
      </w:r>
      <w:r>
        <w:rPr>
          <w:rFonts w:ascii="Georgia" w:eastAsia="Georgia" w:hAnsi="Georgia" w:cs="Georgia"/>
        </w:rPr>
        <w:t>relative humidity of 40%-60% is recommended for the health of occupants and reducing the survival of pathogens</w:t>
      </w:r>
      <w:r w:rsidR="00091BF6">
        <w:rPr>
          <w:rFonts w:ascii="Georgia" w:eastAsia="Georgia" w:hAnsi="Georgia" w:cs="Georgia"/>
        </w:rPr>
        <w:t xml:space="preserve"> </w:t>
      </w:r>
      <w:r w:rsidR="00AA4FA8">
        <w:rPr>
          <w:rFonts w:ascii="Georgia" w:eastAsia="Georgia" w:hAnsi="Georgia" w:cs="Georgia"/>
        </w:rPr>
        <w:t xml:space="preserve">(Condair Ltd., 2007; </w:t>
      </w:r>
      <w:r w:rsidR="00AA4FA8">
        <w:rPr>
          <w:rFonts w:ascii="Georgia" w:eastAsia="Georgia" w:hAnsi="Georgia" w:cs="Georgia"/>
        </w:rPr>
        <w:fldChar w:fldCharType="begin" w:fldLock="1"/>
      </w:r>
      <w:r w:rsidR="00B3503C">
        <w:rPr>
          <w:rFonts w:ascii="Georgia" w:eastAsia="Georgia" w:hAnsi="Georgia" w:cs="Georgia"/>
        </w:rPr>
        <w:instrText>ADDIN CSL_CITATION {"citationItems":[{"id":"ITEM-1","itemData":{"DOI":"10.1021/acs.est.0c03247","ISSN":"15205851","PMID":"32845618","abstract":"The outbreak of SARS-CoV-2 has made us all think critically about hospital indoor air quality and the approaches to remove, dilute, and disinfect pathogenic organisms from the hospital environment. While specific aspects of the coronavirus infectivity, spread, and routes of transmission are still under rigorous investigation, it seems that a recollection of knowledge from the literature can provide useful lessons to cope with this new situation. As a result, a systematic literature review was conducted on the safety of air filtration and air recirculation in healthcare premises. This review targeted a wide range of evidence from codes and regulations, to peer-reviewed publications, and best practice standards. The literature search resulted in 394 publications, of which 109 documents were included in the final review. Overall, even though solid evidence to support current practice is very scarce, proper filtration remains one important approach to maintain the cleanliness of indoor air in hospitals. Given the rather large physical footprint of the filtration system, a range of short-term and long-term solutions from the literature are collected. Nonetheless, there is a need for a rigorous and feasible line of research in the area of air filtration and recirculation in healthcare facilities. Such efforts can enhance the performance of healthcare facilities under normal conditions or during a pandemic. Past innovations can be adopted for the new outbreak at low-to-minimal cost.","author":[{"dropping-particle":"","family":"Mousavi","given":"Ehsan S.","non-dropping-particle":"","parse-names":false,"suffix":""},{"dropping-particle":"","family":"Kananizadeh","given":"Negin","non-dropping-particle":"","parse-names":false,"suffix":""},{"dropping-particle":"","family":"Martinello","given":"Richard A.","non-dropping-particle":"","parse-names":false,"suffix":""},{"dropping-particle":"","family":"Sherman","given":"Jodi D.","non-dropping-particle":"","parse-names":false,"suffix":""}],"container-title":"Environmental Science and Technology","id":"ITEM-1","issue":"7","issued":{"date-parts":[["2021"]]},"page":"4134-4147","title":"COVID-19 Outbreak and Hospital Air Quality: A Systematic Review of Evidence on Air Filtration and Recirculation","type":"article-journal","volume":"55"},"uris":["http://www.mendeley.com/documents/?uuid=9397b23a-ad7e-41c8-9c5a-19d8eb0a13cd"]}],"mendeley":{"formattedCitation":"(Mousavi et al., 2021)","manualFormatting":"Mousavi et al., 2021)","plainTextFormattedCitation":"(Mousavi et al., 2021)","previouslyFormattedCitation":"(Mousavi et al., 2021)"},"properties":{"noteIndex":0},"schema":"https://github.com/citation-style-language/schema/raw/master/csl-citation.json"}</w:instrText>
      </w:r>
      <w:r w:rsidR="00AA4FA8">
        <w:rPr>
          <w:rFonts w:ascii="Georgia" w:eastAsia="Georgia" w:hAnsi="Georgia" w:cs="Georgia"/>
        </w:rPr>
        <w:fldChar w:fldCharType="separate"/>
      </w:r>
      <w:r w:rsidR="00AA4FA8" w:rsidRPr="00AA4FA8">
        <w:rPr>
          <w:rFonts w:ascii="Georgia" w:eastAsia="Georgia" w:hAnsi="Georgia" w:cs="Georgia"/>
        </w:rPr>
        <w:t>Mousavi et al., 2021)</w:t>
      </w:r>
      <w:r w:rsidR="00AA4FA8">
        <w:rPr>
          <w:rFonts w:ascii="Georgia" w:eastAsia="Georgia" w:hAnsi="Georgia" w:cs="Georgia"/>
        </w:rPr>
        <w:fldChar w:fldCharType="end"/>
      </w:r>
      <w:r>
        <w:rPr>
          <w:rFonts w:ascii="Georgia" w:eastAsia="Georgia" w:hAnsi="Georgia" w:cs="Georgia"/>
        </w:rPr>
        <w:t>.</w:t>
      </w:r>
    </w:p>
    <w:p w14:paraId="767F51D8" w14:textId="77777777" w:rsidR="00695365" w:rsidRPr="00813A59" w:rsidRDefault="00366511" w:rsidP="00813A59">
      <w:pPr>
        <w:spacing w:before="280" w:after="280" w:line="240" w:lineRule="auto"/>
        <w:ind w:left="2552"/>
        <w:jc w:val="left"/>
        <w:rPr>
          <w:rFonts w:ascii="Georgia" w:eastAsia="Georgia" w:hAnsi="Georgia" w:cs="Georgia"/>
          <w:b/>
          <w:bCs/>
        </w:rPr>
      </w:pPr>
      <w:r w:rsidRPr="00813A59">
        <w:rPr>
          <w:rFonts w:ascii="Georgia" w:eastAsia="Georgia" w:hAnsi="Georgia" w:cs="Georgia"/>
          <w:b/>
          <w:bCs/>
        </w:rPr>
        <w:t>3.3 Long-term measures</w:t>
      </w:r>
    </w:p>
    <w:p w14:paraId="0D73B86B" w14:textId="5A6B80BF" w:rsidR="00695365" w:rsidRPr="00131758" w:rsidRDefault="00366511" w:rsidP="00131758">
      <w:pPr>
        <w:pStyle w:val="MDPI22heading2"/>
        <w:numPr>
          <w:ilvl w:val="0"/>
          <w:numId w:val="11"/>
        </w:numPr>
        <w:spacing w:before="240"/>
        <w:ind w:left="2835" w:hanging="283"/>
        <w:jc w:val="left"/>
        <w:rPr>
          <w:rFonts w:ascii="Georgia" w:eastAsia="Georgia" w:hAnsi="Georgia" w:cs="Georgia"/>
          <w:i w:val="0"/>
          <w:iCs/>
        </w:rPr>
      </w:pPr>
      <w:r w:rsidRPr="00131758">
        <w:rPr>
          <w:rFonts w:ascii="Georgia" w:eastAsia="Georgia" w:hAnsi="Georgia" w:cs="Georgia"/>
          <w:i w:val="0"/>
          <w:iCs/>
        </w:rPr>
        <w:t>The location of hospitals</w:t>
      </w:r>
    </w:p>
    <w:p w14:paraId="7FC6E4C2" w14:textId="75790E7B" w:rsidR="00695365" w:rsidRDefault="00366511" w:rsidP="00813A59">
      <w:pPr>
        <w:spacing w:before="280" w:after="280" w:line="240" w:lineRule="auto"/>
        <w:ind w:left="2552"/>
        <w:rPr>
          <w:rFonts w:ascii="Georgia" w:eastAsia="Georgia" w:hAnsi="Georgia" w:cs="Georgia"/>
        </w:rPr>
      </w:pPr>
      <w:r>
        <w:rPr>
          <w:rFonts w:ascii="Georgia" w:eastAsia="Georgia" w:hAnsi="Georgia" w:cs="Georgia"/>
        </w:rPr>
        <w:t>Green building codes deduced that the location of a hospital define</w:t>
      </w:r>
      <w:r w:rsidR="00091BF6">
        <w:rPr>
          <w:rFonts w:ascii="Georgia" w:eastAsia="Georgia" w:hAnsi="Georgia" w:cs="Georgia"/>
        </w:rPr>
        <w:t>d</w:t>
      </w:r>
      <w:r>
        <w:rPr>
          <w:rFonts w:ascii="Georgia" w:eastAsia="Georgia" w:hAnsi="Georgia" w:cs="Georgia"/>
        </w:rPr>
        <w:t xml:space="preserve"> its accessibility and is preferably located in the centr</w:t>
      </w:r>
      <w:r w:rsidR="00091BF6">
        <w:rPr>
          <w:rFonts w:ascii="Georgia" w:eastAsia="Georgia" w:hAnsi="Georgia" w:cs="Georgia"/>
        </w:rPr>
        <w:t>e</w:t>
      </w:r>
      <w:r>
        <w:rPr>
          <w:rFonts w:ascii="Georgia" w:eastAsia="Georgia" w:hAnsi="Georgia" w:cs="Georgia"/>
        </w:rPr>
        <w:t xml:space="preserve"> of the city (USBGC, 2017).</w:t>
      </w:r>
      <w:r w:rsidR="00091BF6">
        <w:rPr>
          <w:rFonts w:ascii="Georgia" w:eastAsia="Georgia" w:hAnsi="Georgia" w:cs="Georgia"/>
        </w:rPr>
        <w:t xml:space="preserve"> </w:t>
      </w:r>
      <w:bookmarkStart w:id="1" w:name="_heading=h.tyjcwt" w:colFirst="0" w:colLast="0"/>
      <w:bookmarkEnd w:id="1"/>
      <w:r w:rsidR="00091BF6">
        <w:rPr>
          <w:rFonts w:ascii="Georgia" w:eastAsia="Georgia" w:hAnsi="Georgia" w:cs="Georgia"/>
        </w:rPr>
        <w:t>But</w:t>
      </w:r>
      <w:r>
        <w:rPr>
          <w:rFonts w:ascii="Georgia" w:eastAsia="Georgia" w:hAnsi="Georgia" w:cs="Georgia"/>
        </w:rPr>
        <w:t xml:space="preserve"> locating hospitals along the edges of the city reduces crowded areas</w:t>
      </w:r>
      <w:r w:rsidR="00091BF6">
        <w:rPr>
          <w:rFonts w:ascii="Georgia" w:eastAsia="Georgia" w:hAnsi="Georgia" w:cs="Georgia"/>
        </w:rPr>
        <w:t>,</w:t>
      </w:r>
      <w:r>
        <w:rPr>
          <w:rFonts w:ascii="Georgia" w:eastAsia="Georgia" w:hAnsi="Georgia" w:cs="Georgia"/>
        </w:rPr>
        <w:t xml:space="preserve"> while allowing access </w:t>
      </w:r>
      <w:r w:rsidR="00B3503C">
        <w:rPr>
          <w:rFonts w:ascii="Georgia" w:eastAsia="Georgia" w:hAnsi="Georgia" w:cs="Georgia"/>
        </w:rPr>
        <w:fldChar w:fldCharType="begin" w:fldLock="1"/>
      </w:r>
      <w:r w:rsidR="00B3503C">
        <w:rPr>
          <w:rFonts w:ascii="Georgia" w:eastAsia="Georgia" w:hAnsi="Georgia" w:cs="Georgia"/>
        </w:rPr>
        <w:instrText>ADDIN CSL_CITATION {"citationItems":[{"id":"ITEM-1","itemData":{"DOI":"10.23750/abm.v91i9-S.10117","ISSN":"25316745","PMID":"32701917","abstract":"Background and aim: The COVID-19 pandemic has upended the global healthcare systems. The surge in infections and sick critically ill patients has tested the resilience of healthcare infrastructures and facilities forcing organizations to quickly adapt and embrace emergency solutions. The paper proposes a decalogue of design strategies applicable both to new hospitals and to the refurbishment of existing hospitals. Methods: The authors conducted observations at hospitals, during public health webinars and through experts working groups from March to May 2020. Results: In this commentary, the authors present a list of strategies for creating critical care surge capacity and exploring design strategies for healthcare design for resilient hospital facilities. The strategies are organized into two tiers: I) design and II) operations. The (I) Design phase strategies are: 1) Strategic Site Location; 2) Typology Configuration; 3) Flexibility; 4) Functional program; 5) User-centerdness. The (II) Operation phase strategies are: 6) Healthcare network on the territory; 7) Patient safety; 8) HVAC and indoor air quality; 9) Innovative finishing materials and furniture; 10) Healthcare digital innovation. Conclusions: Hospitals, health care systems, and institutions urgently need to assess their resources, identify potential bottlenecks, and create strategies for increasing critical care surge capacity. The COVID-19 pandemic disrupted healthcare operations and accelerated the processes of innovation and transformation. The design and operational strategies can enable the achievement of resilient hospital facilities. Further multidisciplinary researches is needed to validate the strategies empirically. (www.actabiomedica.it).","author":[{"dropping-particle":"","family":"Capolongo","given":"Stefano","non-dropping-particle":"","parse-names":false,"suffix":""},{"dropping-particle":"","family":"Gola","given":"Marco","non-dropping-particle":"","parse-names":false,"suffix":""},{"dropping-particle":"","family":"Brambilla","given":"Andrea","non-dropping-particle":"","parse-names":false,"suffix":""},{"dropping-particle":"","family":"Morganti","given":"Alessandro","non-dropping-particle":"","parse-names":false,"suffix":""},{"dropping-particle":"","family":"Mosca","given":"Erica Isa","non-dropping-particle":"","parse-names":false,"suffix":""},{"dropping-particle":"","family":"Barach","given":"Paul","non-dropping-particle":"","parse-names":false,"suffix":""}],"container-title":"Acta Biomedica","id":"ITEM-1","issued":{"date-parts":[["2020"]]},"page":"50-60","publisher":"Mattioli 1885","title":"COVID-19 and healthcare facilities: A decalogue of design strategies for resilient hospitals","type":"article-journal","volume":"91"},"uris":["http://www.mendeley.com/documents/?uuid=9f2b15c2-3c43-366c-93e3-372fe2837eee"]}],"mendeley":{"formattedCitation":"(Capolongo et al., 2020a)","plainTextFormattedCitation":"(Capolongo et al., 2020a)","previouslyFormattedCitation":"(Capolongo et al., 2020a)"},"properties":{"noteIndex":0},"schema":"https://github.com/citation-style-language/schema/raw/master/csl-citation.json"}</w:instrText>
      </w:r>
      <w:r w:rsidR="00B3503C">
        <w:rPr>
          <w:rFonts w:ascii="Georgia" w:eastAsia="Georgia" w:hAnsi="Georgia" w:cs="Georgia"/>
        </w:rPr>
        <w:fldChar w:fldCharType="separate"/>
      </w:r>
      <w:r w:rsidR="00B3503C" w:rsidRPr="00B3503C">
        <w:rPr>
          <w:rFonts w:ascii="Georgia" w:eastAsia="Georgia" w:hAnsi="Georgia" w:cs="Georgia"/>
        </w:rPr>
        <w:t>(Capolongo et al., 2020a)</w:t>
      </w:r>
      <w:r w:rsidR="00B3503C">
        <w:rPr>
          <w:rFonts w:ascii="Georgia" w:eastAsia="Georgia" w:hAnsi="Georgia" w:cs="Georgia"/>
        </w:rPr>
        <w:fldChar w:fldCharType="end"/>
      </w:r>
      <w:r>
        <w:rPr>
          <w:rFonts w:ascii="Georgia" w:eastAsia="Georgia" w:hAnsi="Georgia" w:cs="Georgia"/>
        </w:rPr>
        <w:t>. However, the distance should be maintained to reduce GHG emissions (USGBC, 2017).</w:t>
      </w:r>
    </w:p>
    <w:p w14:paraId="0C42E5A2" w14:textId="77777777" w:rsidR="00695365" w:rsidRPr="00131758" w:rsidRDefault="00366511" w:rsidP="00131758">
      <w:pPr>
        <w:spacing w:before="280" w:after="280" w:line="240" w:lineRule="auto"/>
        <w:ind w:left="2552"/>
        <w:jc w:val="left"/>
        <w:rPr>
          <w:rFonts w:ascii="Georgia" w:eastAsia="Georgia" w:hAnsi="Georgia" w:cs="Georgia"/>
          <w:b/>
          <w:bCs/>
        </w:rPr>
      </w:pPr>
      <w:r w:rsidRPr="00131758">
        <w:rPr>
          <w:rFonts w:ascii="Georgia" w:eastAsia="Georgia" w:hAnsi="Georgia" w:cs="Georgia"/>
          <w:b/>
          <w:bCs/>
        </w:rPr>
        <w:t>4. Discussion</w:t>
      </w:r>
    </w:p>
    <w:p w14:paraId="7D7034C4" w14:textId="77777777" w:rsidR="00695365" w:rsidRDefault="00366511" w:rsidP="00813A59">
      <w:pPr>
        <w:spacing w:before="280" w:after="280" w:line="240" w:lineRule="auto"/>
        <w:ind w:left="2552"/>
        <w:rPr>
          <w:rFonts w:ascii="Georgia" w:eastAsia="Georgia" w:hAnsi="Georgia" w:cs="Georgia"/>
        </w:rPr>
      </w:pPr>
      <w:r>
        <w:rPr>
          <w:rFonts w:ascii="Georgia" w:eastAsia="Georgia" w:hAnsi="Georgia" w:cs="Georgia"/>
        </w:rPr>
        <w:t>Table 3 summarizes the measure that can be implemented for Covid-19 benefits with its implications on sustainability.</w:t>
      </w:r>
    </w:p>
    <w:p w14:paraId="54A536E4" w14:textId="77777777" w:rsidR="00695365" w:rsidRDefault="00695365">
      <w:pPr>
        <w:pBdr>
          <w:top w:val="nil"/>
          <w:left w:val="nil"/>
          <w:bottom w:val="nil"/>
          <w:right w:val="nil"/>
          <w:between w:val="nil"/>
        </w:pBdr>
        <w:spacing w:line="240" w:lineRule="auto"/>
        <w:jc w:val="left"/>
        <w:rPr>
          <w:rFonts w:ascii="Georgia" w:eastAsia="Georgia" w:hAnsi="Georgia" w:cs="Georgia"/>
          <w:sz w:val="18"/>
          <w:szCs w:val="18"/>
        </w:rPr>
      </w:pPr>
    </w:p>
    <w:tbl>
      <w:tblPr>
        <w:tblStyle w:val="affff8"/>
        <w:tblW w:w="0" w:type="auto"/>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58"/>
        <w:gridCol w:w="1500"/>
        <w:gridCol w:w="2622"/>
        <w:gridCol w:w="2313"/>
        <w:gridCol w:w="2587"/>
      </w:tblGrid>
      <w:tr w:rsidR="007C378B" w:rsidRPr="00131758" w14:paraId="5139C39B" w14:textId="77777777" w:rsidTr="006E4D6C">
        <w:trPr>
          <w:trHeight w:val="358"/>
        </w:trPr>
        <w:tc>
          <w:tcPr>
            <w:tcW w:w="0" w:type="auto"/>
            <w:tcMar>
              <w:top w:w="57" w:type="dxa"/>
              <w:left w:w="57" w:type="dxa"/>
              <w:bottom w:w="57" w:type="dxa"/>
              <w:right w:w="57" w:type="dxa"/>
            </w:tcMar>
            <w:vAlign w:val="top"/>
          </w:tcPr>
          <w:p w14:paraId="6137B40C" w14:textId="77777777" w:rsidR="00695365" w:rsidRPr="00131758" w:rsidRDefault="00366511" w:rsidP="00942672">
            <w:pPr>
              <w:spacing w:after="120" w:line="240" w:lineRule="auto"/>
              <w:rPr>
                <w:rFonts w:ascii="Georgia" w:eastAsia="Georgia" w:hAnsi="Georgia" w:cs="Georgia"/>
                <w:b/>
                <w:sz w:val="18"/>
                <w:szCs w:val="18"/>
              </w:rPr>
            </w:pPr>
            <w:r w:rsidRPr="00131758">
              <w:rPr>
                <w:rFonts w:ascii="Georgia" w:eastAsia="Georgia" w:hAnsi="Georgia" w:cs="Georgia"/>
                <w:b/>
                <w:sz w:val="18"/>
                <w:szCs w:val="18"/>
              </w:rPr>
              <w:t>Built Environment system</w:t>
            </w:r>
          </w:p>
        </w:tc>
        <w:tc>
          <w:tcPr>
            <w:tcW w:w="0" w:type="auto"/>
            <w:tcMar>
              <w:top w:w="57" w:type="dxa"/>
              <w:left w:w="57" w:type="dxa"/>
              <w:bottom w:w="57" w:type="dxa"/>
              <w:right w:w="57" w:type="dxa"/>
            </w:tcMar>
            <w:vAlign w:val="top"/>
          </w:tcPr>
          <w:p w14:paraId="31032DCA" w14:textId="77777777" w:rsidR="00695365" w:rsidRPr="00131758" w:rsidRDefault="00366511" w:rsidP="00942672">
            <w:pPr>
              <w:spacing w:after="120" w:line="240" w:lineRule="auto"/>
              <w:rPr>
                <w:rFonts w:ascii="Georgia" w:eastAsia="Georgia" w:hAnsi="Georgia" w:cs="Georgia"/>
                <w:b/>
                <w:sz w:val="18"/>
                <w:szCs w:val="18"/>
              </w:rPr>
            </w:pPr>
            <w:r w:rsidRPr="00131758">
              <w:rPr>
                <w:rFonts w:ascii="Georgia" w:eastAsia="Georgia" w:hAnsi="Georgia" w:cs="Georgia"/>
                <w:b/>
                <w:sz w:val="18"/>
                <w:szCs w:val="18"/>
              </w:rPr>
              <w:t>Measure</w:t>
            </w:r>
          </w:p>
        </w:tc>
        <w:tc>
          <w:tcPr>
            <w:tcW w:w="0" w:type="auto"/>
            <w:tcMar>
              <w:top w:w="57" w:type="dxa"/>
              <w:left w:w="57" w:type="dxa"/>
              <w:bottom w:w="57" w:type="dxa"/>
              <w:right w:w="57" w:type="dxa"/>
            </w:tcMar>
            <w:vAlign w:val="top"/>
          </w:tcPr>
          <w:p w14:paraId="62007AC5" w14:textId="77777777" w:rsidR="00695365" w:rsidRPr="00131758" w:rsidRDefault="00366511" w:rsidP="00942672">
            <w:pPr>
              <w:spacing w:after="120" w:line="240" w:lineRule="auto"/>
              <w:rPr>
                <w:rFonts w:ascii="Georgia" w:eastAsia="Georgia" w:hAnsi="Georgia" w:cs="Georgia"/>
                <w:b/>
                <w:sz w:val="18"/>
                <w:szCs w:val="18"/>
              </w:rPr>
            </w:pPr>
            <w:r w:rsidRPr="00131758">
              <w:rPr>
                <w:rFonts w:ascii="Georgia" w:eastAsia="Georgia" w:hAnsi="Georgia" w:cs="Georgia"/>
                <w:b/>
                <w:sz w:val="18"/>
                <w:szCs w:val="18"/>
              </w:rPr>
              <w:t>Covid-19 benefits</w:t>
            </w:r>
          </w:p>
        </w:tc>
        <w:tc>
          <w:tcPr>
            <w:tcW w:w="0" w:type="auto"/>
            <w:tcMar>
              <w:top w:w="57" w:type="dxa"/>
              <w:left w:w="57" w:type="dxa"/>
              <w:bottom w:w="57" w:type="dxa"/>
              <w:right w:w="57" w:type="dxa"/>
            </w:tcMar>
            <w:vAlign w:val="top"/>
          </w:tcPr>
          <w:p w14:paraId="4772AFFB" w14:textId="77777777" w:rsidR="00695365" w:rsidRPr="00131758" w:rsidRDefault="00366511" w:rsidP="00942672">
            <w:pPr>
              <w:spacing w:after="120" w:line="240" w:lineRule="auto"/>
              <w:rPr>
                <w:rFonts w:ascii="Georgia" w:eastAsia="Georgia" w:hAnsi="Georgia" w:cs="Georgia"/>
                <w:b/>
                <w:sz w:val="18"/>
                <w:szCs w:val="18"/>
              </w:rPr>
            </w:pPr>
            <w:r w:rsidRPr="00131758">
              <w:rPr>
                <w:rFonts w:ascii="Georgia" w:eastAsia="Georgia" w:hAnsi="Georgia" w:cs="Georgia"/>
                <w:b/>
                <w:sz w:val="18"/>
                <w:szCs w:val="18"/>
              </w:rPr>
              <w:t>Implication on sustainability</w:t>
            </w:r>
          </w:p>
        </w:tc>
        <w:tc>
          <w:tcPr>
            <w:tcW w:w="0" w:type="auto"/>
            <w:tcMar>
              <w:top w:w="57" w:type="dxa"/>
              <w:left w:w="57" w:type="dxa"/>
              <w:bottom w:w="57" w:type="dxa"/>
              <w:right w:w="57" w:type="dxa"/>
            </w:tcMar>
            <w:vAlign w:val="top"/>
          </w:tcPr>
          <w:p w14:paraId="15D616EA" w14:textId="77777777" w:rsidR="00695365" w:rsidRPr="00131758" w:rsidRDefault="00366511" w:rsidP="00942672">
            <w:pPr>
              <w:spacing w:after="120" w:line="240" w:lineRule="auto"/>
              <w:rPr>
                <w:rFonts w:ascii="Georgia" w:eastAsia="Georgia" w:hAnsi="Georgia" w:cs="Georgia"/>
                <w:b/>
                <w:sz w:val="18"/>
                <w:szCs w:val="18"/>
              </w:rPr>
            </w:pPr>
            <w:r w:rsidRPr="00131758">
              <w:rPr>
                <w:rFonts w:ascii="Georgia" w:eastAsia="Georgia" w:hAnsi="Georgia" w:cs="Georgia"/>
                <w:b/>
                <w:sz w:val="18"/>
                <w:szCs w:val="18"/>
              </w:rPr>
              <w:t>Recommendation by authors</w:t>
            </w:r>
          </w:p>
        </w:tc>
      </w:tr>
      <w:tr w:rsidR="007C378B" w:rsidRPr="00131758" w14:paraId="191F08AD" w14:textId="77777777" w:rsidTr="006E4D6C">
        <w:tc>
          <w:tcPr>
            <w:tcW w:w="0" w:type="auto"/>
            <w:tcMar>
              <w:top w:w="57" w:type="dxa"/>
              <w:left w:w="57" w:type="dxa"/>
              <w:bottom w:w="57" w:type="dxa"/>
              <w:right w:w="57" w:type="dxa"/>
            </w:tcMar>
            <w:vAlign w:val="top"/>
          </w:tcPr>
          <w:p w14:paraId="3011FEC8"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b/>
                <w:sz w:val="18"/>
                <w:szCs w:val="18"/>
              </w:rPr>
              <w:t>Structure</w:t>
            </w:r>
          </w:p>
        </w:tc>
        <w:tc>
          <w:tcPr>
            <w:tcW w:w="0" w:type="auto"/>
            <w:tcMar>
              <w:top w:w="57" w:type="dxa"/>
              <w:left w:w="57" w:type="dxa"/>
              <w:bottom w:w="57" w:type="dxa"/>
              <w:right w:w="57" w:type="dxa"/>
            </w:tcMar>
            <w:vAlign w:val="top"/>
          </w:tcPr>
          <w:p w14:paraId="3D680098"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Conversion of structures to healthcare units for pandemic</w:t>
            </w:r>
          </w:p>
        </w:tc>
        <w:tc>
          <w:tcPr>
            <w:tcW w:w="0" w:type="auto"/>
            <w:tcMar>
              <w:top w:w="57" w:type="dxa"/>
              <w:left w:w="57" w:type="dxa"/>
              <w:bottom w:w="57" w:type="dxa"/>
              <w:right w:w="57" w:type="dxa"/>
            </w:tcMar>
            <w:vAlign w:val="top"/>
          </w:tcPr>
          <w:p w14:paraId="59EB9B10" w14:textId="402D6ABC"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During the wave of infections</w:t>
            </w:r>
            <w:r w:rsidR="00091BF6" w:rsidRPr="00131758">
              <w:rPr>
                <w:rFonts w:ascii="Georgia" w:eastAsia="Georgia" w:hAnsi="Georgia" w:cs="Georgia"/>
                <w:sz w:val="18"/>
                <w:szCs w:val="18"/>
              </w:rPr>
              <w:t>,</w:t>
            </w:r>
            <w:r w:rsidRPr="00131758">
              <w:rPr>
                <w:rFonts w:ascii="Georgia" w:eastAsia="Georgia" w:hAnsi="Georgia" w:cs="Georgia"/>
                <w:sz w:val="18"/>
                <w:szCs w:val="18"/>
              </w:rPr>
              <w:t xml:space="preserve"> countries converted unused public spaces </w:t>
            </w:r>
            <w:r w:rsidR="00091BF6" w:rsidRPr="00131758">
              <w:rPr>
                <w:rFonts w:ascii="Georgia" w:eastAsia="Georgia" w:hAnsi="Georgia" w:cs="Georgia"/>
                <w:sz w:val="18"/>
                <w:szCs w:val="18"/>
              </w:rPr>
              <w:t>in</w:t>
            </w:r>
            <w:r w:rsidRPr="00131758">
              <w:rPr>
                <w:rFonts w:ascii="Georgia" w:eastAsia="Georgia" w:hAnsi="Georgia" w:cs="Georgia"/>
                <w:sz w:val="18"/>
                <w:szCs w:val="18"/>
              </w:rPr>
              <w:t>to treatment centr</w:t>
            </w:r>
            <w:r w:rsidR="00AA7ED8" w:rsidRPr="00131758">
              <w:rPr>
                <w:rFonts w:ascii="Georgia" w:eastAsia="Georgia" w:hAnsi="Georgia" w:cs="Georgia"/>
                <w:sz w:val="18"/>
                <w:szCs w:val="18"/>
              </w:rPr>
              <w:t>e</w:t>
            </w:r>
            <w:r w:rsidRPr="00131758">
              <w:rPr>
                <w:rFonts w:ascii="Georgia" w:eastAsia="Georgia" w:hAnsi="Georgia" w:cs="Georgia"/>
                <w:sz w:val="18"/>
                <w:szCs w:val="18"/>
              </w:rPr>
              <w:t xml:space="preserve">s </w:t>
            </w:r>
            <w:r w:rsidR="00B3503C" w:rsidRPr="00131758">
              <w:rPr>
                <w:rFonts w:ascii="Georgia" w:eastAsia="Georgia" w:hAnsi="Georgia" w:cs="Georgia"/>
                <w:sz w:val="18"/>
                <w:szCs w:val="18"/>
              </w:rPr>
              <w:fldChar w:fldCharType="begin" w:fldLock="1"/>
            </w:r>
            <w:r w:rsidR="00B3503C" w:rsidRPr="00131758">
              <w:rPr>
                <w:rFonts w:ascii="Georgia" w:eastAsia="Georgia" w:hAnsi="Georgia" w:cs="Georgia"/>
                <w:sz w:val="18"/>
                <w:szCs w:val="18"/>
              </w:rPr>
              <w:instrText>ADDIN CSL_CITATION {"citationItems":[{"id":"ITEM-1","itemData":{"DOI":"10.1016/j.pdisas.2020.100130","abstract":"The outbreak of a pandemic of global concern, the Corona Virus Disease 2019 (COVID-19) has tested the capacity of healthcare facilities to the brim in many developed countries. In a minacious fashion of rapid spread and extreme transmission rate, COVID-19 has triggered a shortage of healthcare facilities such as hospital bed spaces and ventilators. Various strategies have been adopted by the worst-hit countries to slacken or halt the spread of the virus. Common Isolation Space Creation (ISC) measures for the COVID-19 pandemic containment includes self-isolation at home, isolation at regular hospitals, isolation at existing epidemic hospitals, isolation at retrofitted buildings for an emergency, isolation at Temporary Mobile Cabins (TMCs), isolation at newly constructed temporary hospitals for COVID-19. This study evaluates the ISC measures and proposes offsite and modular solutions for the construction industry and built environment to respond to emergencies. While this study has proposed a solution for creating emergency isolation spaces for effective containment of such pandemic, other critical COVID-19 challenges such as the shortage of healthcare staff and other facilities are not addressed in this study.","author":[{"dropping-particle":"","family":"Gbadamosi","given":"Abdul-Quayyum","non-dropping-particle":"","parse-names":false,"suffix":""},{"dropping-particle":"","family":"Oyedele","given":"Lukumon","non-dropping-particle":"","parse-names":false,"suffix":""},{"dropping-particle":"","family":"Olawale","given":"Oladimeji","non-dropping-particle":"","parse-names":false,"suffix":""},{"dropping-particle":"","family":"Abioye","given":"Sofiat","non-dropping-particle":"","parse-names":false,"suffix":""}],"container-title":"Progress in Disaster Science","id":"ITEM-1","issued":{"date-parts":[["2020"]]},"page":"100130","title":"Offsite Construction for Emergencies: A focus on Isolation Space Creation (ISC) measures for the COVID-19 pandemic","type":"article-journal","volume":"8"},"uris":["http://www.mendeley.com/documents/?uuid=2d387da3-8850-399e-addc-3bec0b7bf0c6"]}],"mendeley":{"formattedCitation":"(Gbadamosi et al., 2020)","plainTextFormattedCitation":"(Gbadamosi et al., 2020)","previouslyFormattedCitation":"(Gbadamosi et al., 2020)"},"properties":{"noteIndex":0},"schema":"https://github.com/citation-style-language/schema/raw/master/csl-citation.json"}</w:instrText>
            </w:r>
            <w:r w:rsidR="00B3503C" w:rsidRPr="00131758">
              <w:rPr>
                <w:rFonts w:ascii="Georgia" w:eastAsia="Georgia" w:hAnsi="Georgia" w:cs="Georgia"/>
                <w:sz w:val="18"/>
                <w:szCs w:val="18"/>
              </w:rPr>
              <w:fldChar w:fldCharType="separate"/>
            </w:r>
            <w:r w:rsidR="00B3503C" w:rsidRPr="00131758">
              <w:rPr>
                <w:rFonts w:ascii="Georgia" w:eastAsia="Georgia" w:hAnsi="Georgia" w:cs="Georgia"/>
                <w:noProof/>
                <w:sz w:val="18"/>
                <w:szCs w:val="18"/>
              </w:rPr>
              <w:t>(Gbadamosi et al., 2020)</w:t>
            </w:r>
            <w:r w:rsidR="00B3503C" w:rsidRPr="00131758">
              <w:rPr>
                <w:rFonts w:ascii="Georgia" w:eastAsia="Georgia" w:hAnsi="Georgia" w:cs="Georgia"/>
                <w:sz w:val="18"/>
                <w:szCs w:val="18"/>
              </w:rPr>
              <w:fldChar w:fldCharType="end"/>
            </w:r>
            <w:r w:rsidRPr="00131758">
              <w:rPr>
                <w:rFonts w:ascii="Georgia" w:eastAsia="Georgia" w:hAnsi="Georgia" w:cs="Georgia"/>
                <w:sz w:val="18"/>
                <w:szCs w:val="18"/>
              </w:rPr>
              <w:t>. However, these spaces were not designed with the requirement</w:t>
            </w:r>
            <w:r w:rsidR="00AA7ED8" w:rsidRPr="00131758">
              <w:rPr>
                <w:rFonts w:ascii="Georgia" w:eastAsia="Georgia" w:hAnsi="Georgia" w:cs="Georgia"/>
                <w:sz w:val="18"/>
                <w:szCs w:val="18"/>
              </w:rPr>
              <w:t>s</w:t>
            </w:r>
            <w:r w:rsidRPr="00131758">
              <w:rPr>
                <w:rFonts w:ascii="Georgia" w:eastAsia="Georgia" w:hAnsi="Georgia" w:cs="Georgia"/>
                <w:sz w:val="18"/>
                <w:szCs w:val="18"/>
              </w:rPr>
              <w:t xml:space="preserve"> of a treatment facility in mind.</w:t>
            </w:r>
          </w:p>
        </w:tc>
        <w:tc>
          <w:tcPr>
            <w:tcW w:w="0" w:type="auto"/>
            <w:tcMar>
              <w:top w:w="57" w:type="dxa"/>
              <w:left w:w="57" w:type="dxa"/>
              <w:bottom w:w="57" w:type="dxa"/>
              <w:right w:w="57" w:type="dxa"/>
            </w:tcMar>
            <w:vAlign w:val="top"/>
          </w:tcPr>
          <w:p w14:paraId="3EA89878" w14:textId="29649746"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use of existing facilities is sustainable as it requires minimal resources</w:t>
            </w:r>
            <w:r w:rsidR="00AA7ED8" w:rsidRPr="00131758">
              <w:rPr>
                <w:rFonts w:ascii="Georgia" w:eastAsia="Georgia" w:hAnsi="Georgia" w:cs="Georgia"/>
                <w:sz w:val="18"/>
                <w:szCs w:val="18"/>
              </w:rPr>
              <w:t>,</w:t>
            </w:r>
            <w:r w:rsidRPr="00131758">
              <w:rPr>
                <w:rFonts w:ascii="Georgia" w:eastAsia="Georgia" w:hAnsi="Georgia" w:cs="Georgia"/>
                <w:sz w:val="18"/>
                <w:szCs w:val="18"/>
              </w:rPr>
              <w:t xml:space="preserve"> reducing the carbon footprint.</w:t>
            </w:r>
          </w:p>
        </w:tc>
        <w:tc>
          <w:tcPr>
            <w:tcW w:w="0" w:type="auto"/>
            <w:tcMar>
              <w:top w:w="57" w:type="dxa"/>
              <w:left w:w="57" w:type="dxa"/>
              <w:bottom w:w="57" w:type="dxa"/>
              <w:right w:w="57" w:type="dxa"/>
            </w:tcMar>
            <w:vAlign w:val="top"/>
          </w:tcPr>
          <w:p w14:paraId="64EDFD65" w14:textId="130C1E44"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existing hospitals can have spaces for expansion to utili</w:t>
            </w:r>
            <w:r w:rsidR="00AA7ED8" w:rsidRPr="00131758">
              <w:rPr>
                <w:rFonts w:ascii="Georgia" w:eastAsia="Georgia" w:hAnsi="Georgia" w:cs="Georgia"/>
                <w:sz w:val="18"/>
                <w:szCs w:val="18"/>
              </w:rPr>
              <w:t>s</w:t>
            </w:r>
            <w:r w:rsidRPr="00131758">
              <w:rPr>
                <w:rFonts w:ascii="Georgia" w:eastAsia="Georgia" w:hAnsi="Georgia" w:cs="Georgia"/>
                <w:sz w:val="18"/>
                <w:szCs w:val="18"/>
              </w:rPr>
              <w:t>e during emergencies.</w:t>
            </w:r>
          </w:p>
        </w:tc>
      </w:tr>
      <w:tr w:rsidR="007C378B" w:rsidRPr="00131758" w14:paraId="078A8104" w14:textId="77777777" w:rsidTr="006E4D6C">
        <w:trPr>
          <w:trHeight w:val="200"/>
        </w:trPr>
        <w:tc>
          <w:tcPr>
            <w:tcW w:w="0" w:type="auto"/>
            <w:vMerge w:val="restart"/>
            <w:tcMar>
              <w:top w:w="57" w:type="dxa"/>
              <w:left w:w="57" w:type="dxa"/>
              <w:bottom w:w="57" w:type="dxa"/>
              <w:right w:w="57" w:type="dxa"/>
            </w:tcMar>
            <w:vAlign w:val="top"/>
          </w:tcPr>
          <w:p w14:paraId="569C876C" w14:textId="77777777" w:rsidR="00695365" w:rsidRPr="00131758" w:rsidRDefault="00366511" w:rsidP="006E4D6C">
            <w:pPr>
              <w:spacing w:before="20" w:after="120" w:line="240" w:lineRule="auto"/>
              <w:jc w:val="left"/>
              <w:rPr>
                <w:rFonts w:ascii="Georgia" w:eastAsia="Georgia" w:hAnsi="Georgia" w:cs="Georgia"/>
                <w:b/>
                <w:sz w:val="18"/>
                <w:szCs w:val="18"/>
              </w:rPr>
            </w:pPr>
            <w:r w:rsidRPr="00131758">
              <w:rPr>
                <w:rFonts w:ascii="Georgia" w:eastAsia="Georgia" w:hAnsi="Georgia" w:cs="Georgia"/>
                <w:b/>
                <w:sz w:val="18"/>
                <w:szCs w:val="18"/>
              </w:rPr>
              <w:t>Space planning</w:t>
            </w:r>
          </w:p>
        </w:tc>
        <w:tc>
          <w:tcPr>
            <w:tcW w:w="0" w:type="auto"/>
            <w:tcMar>
              <w:top w:w="57" w:type="dxa"/>
              <w:left w:w="57" w:type="dxa"/>
              <w:bottom w:w="57" w:type="dxa"/>
              <w:right w:w="57" w:type="dxa"/>
            </w:tcMar>
            <w:vAlign w:val="top"/>
          </w:tcPr>
          <w:p w14:paraId="4E042B60" w14:textId="5CE960AC" w:rsidR="00695365" w:rsidRPr="00131758" w:rsidRDefault="00366511" w:rsidP="006E4D6C">
            <w:pPr>
              <w:spacing w:before="20" w:after="120" w:line="240" w:lineRule="auto"/>
              <w:jc w:val="left"/>
              <w:rPr>
                <w:rFonts w:ascii="Georgia" w:eastAsia="Georgia" w:hAnsi="Georgia" w:cs="Georgia"/>
                <w:sz w:val="18"/>
                <w:szCs w:val="18"/>
              </w:rPr>
            </w:pPr>
            <w:r w:rsidRPr="00131758">
              <w:rPr>
                <w:rFonts w:ascii="Georgia" w:eastAsia="Georgia" w:hAnsi="Georgia" w:cs="Georgia"/>
                <w:sz w:val="18"/>
                <w:szCs w:val="18"/>
              </w:rPr>
              <w:t>Functional Programme, Access</w:t>
            </w:r>
            <w:r w:rsidR="00AA7ED8" w:rsidRPr="00131758">
              <w:rPr>
                <w:rFonts w:ascii="Georgia" w:eastAsia="Georgia" w:hAnsi="Georgia" w:cs="Georgia"/>
                <w:sz w:val="18"/>
                <w:szCs w:val="18"/>
              </w:rPr>
              <w:t>,</w:t>
            </w:r>
            <w:r w:rsidRPr="00131758">
              <w:rPr>
                <w:rFonts w:ascii="Georgia" w:eastAsia="Georgia" w:hAnsi="Georgia" w:cs="Georgia"/>
                <w:sz w:val="18"/>
                <w:szCs w:val="18"/>
              </w:rPr>
              <w:t xml:space="preserve"> and Flows Management</w:t>
            </w:r>
          </w:p>
        </w:tc>
        <w:tc>
          <w:tcPr>
            <w:tcW w:w="0" w:type="auto"/>
            <w:tcMar>
              <w:top w:w="57" w:type="dxa"/>
              <w:left w:w="57" w:type="dxa"/>
              <w:bottom w:w="57" w:type="dxa"/>
              <w:right w:w="57" w:type="dxa"/>
            </w:tcMar>
            <w:vAlign w:val="top"/>
          </w:tcPr>
          <w:p w14:paraId="1100E65B" w14:textId="5E133B32"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Avoid vertical and horizontal connections (Capolongo et al, 2020). Instead</w:t>
            </w:r>
            <w:r w:rsidR="00AA7ED8" w:rsidRPr="00131758">
              <w:rPr>
                <w:rFonts w:ascii="Georgia" w:eastAsia="Georgia" w:hAnsi="Georgia" w:cs="Georgia"/>
                <w:sz w:val="18"/>
                <w:szCs w:val="18"/>
              </w:rPr>
              <w:t>,</w:t>
            </w:r>
            <w:r w:rsidRPr="00131758">
              <w:rPr>
                <w:rFonts w:ascii="Georgia" w:eastAsia="Georgia" w:hAnsi="Georgia" w:cs="Georgia"/>
                <w:sz w:val="18"/>
                <w:szCs w:val="18"/>
              </w:rPr>
              <w:t xml:space="preserve"> separate treatment areas are recommended.</w:t>
            </w:r>
          </w:p>
        </w:tc>
        <w:tc>
          <w:tcPr>
            <w:tcW w:w="0" w:type="auto"/>
            <w:tcMar>
              <w:top w:w="57" w:type="dxa"/>
              <w:left w:w="57" w:type="dxa"/>
              <w:bottom w:w="57" w:type="dxa"/>
              <w:right w:w="57" w:type="dxa"/>
            </w:tcMar>
            <w:vAlign w:val="top"/>
          </w:tcPr>
          <w:p w14:paraId="6A91FAC9" w14:textId="1BD9C428"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Increase</w:t>
            </w:r>
            <w:r w:rsidR="00AA7ED8" w:rsidRPr="00131758">
              <w:rPr>
                <w:rFonts w:ascii="Georgia" w:eastAsia="Georgia" w:hAnsi="Georgia" w:cs="Georgia"/>
                <w:sz w:val="18"/>
                <w:szCs w:val="18"/>
              </w:rPr>
              <w:t xml:space="preserve"> in</w:t>
            </w:r>
            <w:r w:rsidRPr="00131758">
              <w:rPr>
                <w:rFonts w:ascii="Georgia" w:eastAsia="Georgia" w:hAnsi="Georgia" w:cs="Georgia"/>
                <w:sz w:val="18"/>
                <w:szCs w:val="18"/>
              </w:rPr>
              <w:t xml:space="preserve"> carbon and building footprint due to the increase in materials and energy (</w:t>
            </w:r>
            <w:r w:rsidRPr="00131758">
              <w:rPr>
                <w:rFonts w:ascii="Georgia" w:eastAsia="Georgia" w:hAnsi="Georgia" w:cs="Georgia"/>
                <w:color w:val="222222"/>
                <w:sz w:val="18"/>
                <w:szCs w:val="18"/>
                <w:highlight w:val="white"/>
              </w:rPr>
              <w:t>Pinheiro &amp; Luís, 2020)</w:t>
            </w:r>
            <w:r w:rsidRPr="00131758">
              <w:rPr>
                <w:rFonts w:ascii="Georgia" w:eastAsia="Georgia" w:hAnsi="Georgia" w:cs="Georgia"/>
                <w:sz w:val="18"/>
                <w:szCs w:val="18"/>
              </w:rPr>
              <w:t>.</w:t>
            </w:r>
          </w:p>
          <w:p w14:paraId="7D4EE707" w14:textId="77777777" w:rsidR="00695365" w:rsidRPr="00131758" w:rsidRDefault="00695365" w:rsidP="006E4D6C">
            <w:pPr>
              <w:spacing w:after="120" w:line="240" w:lineRule="auto"/>
              <w:jc w:val="left"/>
              <w:rPr>
                <w:rFonts w:ascii="Georgia" w:eastAsia="Georgia" w:hAnsi="Georgia" w:cs="Georgia"/>
                <w:sz w:val="18"/>
                <w:szCs w:val="18"/>
              </w:rPr>
            </w:pPr>
          </w:p>
          <w:p w14:paraId="5701FAF7" w14:textId="77777777" w:rsidR="00695365" w:rsidRPr="00131758" w:rsidRDefault="00695365" w:rsidP="006E4D6C">
            <w:pP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32A29DE1" w14:textId="10749698"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minimum dimensions of the treatment areas must be revised to curb airborne transmission.</w:t>
            </w:r>
          </w:p>
          <w:p w14:paraId="569A4EE8" w14:textId="4F392794"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Introduce courtyards and atriums to encourage ventilation without increasing material requirements.</w:t>
            </w:r>
          </w:p>
          <w:p w14:paraId="2A4432CA" w14:textId="4CD7D13A"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Movable partitions can be used to demarcate treatment at existing facilities.</w:t>
            </w:r>
          </w:p>
          <w:p w14:paraId="3256D4DA" w14:textId="0C46F8BE"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Retain online consultations for mild illness</w:t>
            </w:r>
            <w:r w:rsidR="00AA7ED8" w:rsidRPr="00131758">
              <w:rPr>
                <w:rFonts w:ascii="Georgia" w:eastAsia="Georgia" w:hAnsi="Georgia" w:cs="Georgia"/>
                <w:sz w:val="18"/>
                <w:szCs w:val="18"/>
              </w:rPr>
              <w:t>es</w:t>
            </w:r>
            <w:r w:rsidRPr="00131758">
              <w:rPr>
                <w:rFonts w:ascii="Georgia" w:eastAsia="Georgia" w:hAnsi="Georgia" w:cs="Georgia"/>
                <w:sz w:val="18"/>
                <w:szCs w:val="18"/>
              </w:rPr>
              <w:t xml:space="preserve"> to reduce overcrowding in hospitals.</w:t>
            </w:r>
          </w:p>
          <w:p w14:paraId="48307F25" w14:textId="51841CF0"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 xml:space="preserve">Asymptomatic patients with </w:t>
            </w:r>
            <w:r w:rsidR="00AA7ED8" w:rsidRPr="00131758">
              <w:rPr>
                <w:rFonts w:ascii="Georgia" w:eastAsia="Georgia" w:hAnsi="Georgia" w:cs="Georgia"/>
                <w:sz w:val="18"/>
                <w:szCs w:val="18"/>
              </w:rPr>
              <w:t xml:space="preserve">an </w:t>
            </w:r>
            <w:r w:rsidRPr="00131758">
              <w:rPr>
                <w:rFonts w:ascii="Georgia" w:eastAsia="Georgia" w:hAnsi="Georgia" w:cs="Georgia"/>
                <w:sz w:val="18"/>
                <w:szCs w:val="18"/>
              </w:rPr>
              <w:t>airborne illness may be transferred to temporary medical facilities or self-contained at home.</w:t>
            </w:r>
          </w:p>
        </w:tc>
      </w:tr>
      <w:tr w:rsidR="007C378B" w:rsidRPr="00131758" w14:paraId="01A00860" w14:textId="77777777" w:rsidTr="006E4D6C">
        <w:trPr>
          <w:trHeight w:val="200"/>
        </w:trPr>
        <w:tc>
          <w:tcPr>
            <w:tcW w:w="0" w:type="auto"/>
            <w:vMerge/>
            <w:tcMar>
              <w:top w:w="57" w:type="dxa"/>
              <w:left w:w="57" w:type="dxa"/>
              <w:bottom w:w="57" w:type="dxa"/>
              <w:right w:w="57" w:type="dxa"/>
            </w:tcMar>
            <w:vAlign w:val="top"/>
          </w:tcPr>
          <w:p w14:paraId="6784305F" w14:textId="77777777" w:rsidR="00695365" w:rsidRPr="00131758" w:rsidRDefault="00695365" w:rsidP="006E4D6C">
            <w:pPr>
              <w:widowControl w:val="0"/>
              <w:pBdr>
                <w:top w:val="nil"/>
                <w:left w:val="nil"/>
                <w:bottom w:val="nil"/>
                <w:right w:val="nil"/>
                <w:between w:val="nil"/>
              </w:pBd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55409603" w14:textId="77777777" w:rsidR="00695365" w:rsidRPr="00131758" w:rsidRDefault="00366511" w:rsidP="006E4D6C">
            <w:pPr>
              <w:spacing w:before="20" w:after="120" w:line="240" w:lineRule="auto"/>
              <w:jc w:val="left"/>
              <w:rPr>
                <w:rFonts w:ascii="Georgia" w:eastAsia="Georgia" w:hAnsi="Georgia" w:cs="Georgia"/>
                <w:sz w:val="18"/>
                <w:szCs w:val="18"/>
              </w:rPr>
            </w:pPr>
            <w:r w:rsidRPr="00131758">
              <w:rPr>
                <w:rFonts w:ascii="Georgia" w:eastAsia="Georgia" w:hAnsi="Georgia" w:cs="Georgia"/>
                <w:sz w:val="18"/>
                <w:szCs w:val="18"/>
              </w:rPr>
              <w:t>Circulation</w:t>
            </w:r>
          </w:p>
        </w:tc>
        <w:tc>
          <w:tcPr>
            <w:tcW w:w="0" w:type="auto"/>
            <w:tcMar>
              <w:top w:w="57" w:type="dxa"/>
              <w:left w:w="57" w:type="dxa"/>
              <w:bottom w:w="57" w:type="dxa"/>
              <w:right w:w="57" w:type="dxa"/>
            </w:tcMar>
            <w:vAlign w:val="top"/>
          </w:tcPr>
          <w:p w14:paraId="29C7C157" w14:textId="748D43E4"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Studies demonstrate that the width of corridors must be increased to 2.6</w:t>
            </w:r>
            <w:r w:rsidR="00AA7ED8" w:rsidRPr="00131758">
              <w:rPr>
                <w:rFonts w:ascii="Georgia" w:eastAsia="Georgia" w:hAnsi="Georgia" w:cs="Georgia"/>
                <w:sz w:val="18"/>
                <w:szCs w:val="18"/>
              </w:rPr>
              <w:t xml:space="preserve"> </w:t>
            </w:r>
            <w:r w:rsidRPr="00131758">
              <w:rPr>
                <w:rFonts w:ascii="Georgia" w:eastAsia="Georgia" w:hAnsi="Georgia" w:cs="Georgia"/>
                <w:sz w:val="18"/>
                <w:szCs w:val="18"/>
              </w:rPr>
              <w:t xml:space="preserve">m </w:t>
            </w:r>
            <w:r w:rsidR="00B3503C" w:rsidRPr="00131758">
              <w:rPr>
                <w:rFonts w:ascii="Georgia" w:eastAsia="Georgia" w:hAnsi="Georgia" w:cs="Georgia"/>
                <w:sz w:val="18"/>
                <w:szCs w:val="18"/>
              </w:rPr>
              <w:fldChar w:fldCharType="begin" w:fldLock="1"/>
            </w:r>
            <w:r w:rsidR="00B3503C" w:rsidRPr="00131758">
              <w:rPr>
                <w:rFonts w:ascii="Georgia" w:eastAsia="Georgia" w:hAnsi="Georgia" w:cs="Georgia"/>
                <w:sz w:val="18"/>
                <w:szCs w:val="18"/>
              </w:rPr>
              <w:instrText>ADDIN CSL_CITATION {"citationItems":[{"id":"ITEM-1","itemData":{"DOI":"10.1007/s40201-020-00580-y/Published","abstract":"Background Sustainable design strategies are targeted at finding architectural solutions that reassure the well-being and coexistence of inorganic features, living organisms, and humans that make up the ecosystem. The emergence of the novel coronavirus, an increase in microbial resistance, and lack of a vaccine for the present pandemic have made it imperative to appraise the preventive strategies employed during the pre-antibiotic period. Sustainable architecture for children's hospital design and childcare facilities, apart from low energy and carbon emission, must integrate design strategies to confront the impact of infectious diseases. Aim The aim of the paper is to identify how the space patients and health-care workers0 occupy can be made safer from an architectural design perspective with the view of developing guidelines for policymakers and highlighting the architect's role in combating the pandemic. Objectives The objectives include; to examine the evolution of medical architecture and the nexus between infectious diseases and architectural space and suggest a design approach that enhances infection prevention and control (IPC). Method The paper relied on existing literature, interviews, and interactions with healthcare workers. Results/Conclusion The findings showed that design strategies have always played a significant role in infection prevention and control (IPC) and could as well be a panacea for curbing the spread of Covid-19.","author":[{"dropping-particle":"","family":"Emmanuel","given":"Udomiaye","non-dropping-particle":"","parse-names":false,"suffix":""},{"dropping-particle":"","family":"Osondu","given":"Desy","non-dropping-particle":"","parse-names":false,"suffix":""},{"dropping-particle":"","family":"Kalu","given":"Kalu Cheche","non-dropping-particle":"","parse-names":false,"suffix":""}],"id":"ITEM-1","issued":{"date-parts":[["2020"]]},"title":"Architectural design strategies for infection prevention and control (IPC) in health-care facilities: towards curbing the spread of Covid-19","type":"article-journal"},"uris":["http://www.mendeley.com/documents/?uuid=fec96e76-0d61-32c3-9beb-53e3b5775ba4"]}],"mendeley":{"formattedCitation":"(Emmanuel et al., 2020)","plainTextFormattedCitation":"(Emmanuel et al., 2020)","previouslyFormattedCitation":"(Emmanuel et al., 2020)"},"properties":{"noteIndex":0},"schema":"https://github.com/citation-style-language/schema/raw/master/csl-citation.json"}</w:instrText>
            </w:r>
            <w:r w:rsidR="00B3503C" w:rsidRPr="00131758">
              <w:rPr>
                <w:rFonts w:ascii="Georgia" w:eastAsia="Georgia" w:hAnsi="Georgia" w:cs="Georgia"/>
                <w:sz w:val="18"/>
                <w:szCs w:val="18"/>
              </w:rPr>
              <w:fldChar w:fldCharType="separate"/>
            </w:r>
            <w:r w:rsidR="00B3503C" w:rsidRPr="00131758">
              <w:rPr>
                <w:rFonts w:ascii="Georgia" w:eastAsia="Georgia" w:hAnsi="Georgia" w:cs="Georgia"/>
                <w:noProof/>
                <w:sz w:val="18"/>
                <w:szCs w:val="18"/>
              </w:rPr>
              <w:t>(Emmanuel et al., 2020)</w:t>
            </w:r>
            <w:r w:rsidR="00B3503C" w:rsidRPr="00131758">
              <w:rPr>
                <w:rFonts w:ascii="Georgia" w:eastAsia="Georgia" w:hAnsi="Georgia" w:cs="Georgia"/>
                <w:sz w:val="18"/>
                <w:szCs w:val="18"/>
              </w:rPr>
              <w:fldChar w:fldCharType="end"/>
            </w:r>
            <w:r w:rsidR="00B3503C" w:rsidRPr="00131758">
              <w:rPr>
                <w:rFonts w:ascii="Georgia" w:eastAsia="Georgia" w:hAnsi="Georgia" w:cs="Georgia"/>
                <w:sz w:val="18"/>
                <w:szCs w:val="18"/>
              </w:rPr>
              <w:t>.</w:t>
            </w:r>
          </w:p>
        </w:tc>
        <w:tc>
          <w:tcPr>
            <w:tcW w:w="0" w:type="auto"/>
            <w:tcMar>
              <w:top w:w="57" w:type="dxa"/>
              <w:left w:w="57" w:type="dxa"/>
              <w:bottom w:w="57" w:type="dxa"/>
              <w:right w:w="57" w:type="dxa"/>
            </w:tcMar>
            <w:vAlign w:val="top"/>
          </w:tcPr>
          <w:p w14:paraId="6F50EEAF"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Increased materials required for construction.</w:t>
            </w:r>
          </w:p>
        </w:tc>
        <w:tc>
          <w:tcPr>
            <w:tcW w:w="0" w:type="auto"/>
            <w:tcMar>
              <w:top w:w="57" w:type="dxa"/>
              <w:left w:w="57" w:type="dxa"/>
              <w:bottom w:w="57" w:type="dxa"/>
              <w:right w:w="57" w:type="dxa"/>
            </w:tcMar>
            <w:vAlign w:val="top"/>
          </w:tcPr>
          <w:p w14:paraId="0EE1A5BD"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length of the passage must be minimal for easy movement.</w:t>
            </w:r>
          </w:p>
        </w:tc>
      </w:tr>
      <w:tr w:rsidR="007C378B" w:rsidRPr="00131758" w14:paraId="2A46CD9E" w14:textId="77777777" w:rsidTr="006E4D6C">
        <w:trPr>
          <w:trHeight w:val="200"/>
        </w:trPr>
        <w:tc>
          <w:tcPr>
            <w:tcW w:w="0" w:type="auto"/>
            <w:vMerge/>
            <w:tcMar>
              <w:top w:w="57" w:type="dxa"/>
              <w:left w:w="57" w:type="dxa"/>
              <w:bottom w:w="57" w:type="dxa"/>
              <w:right w:w="57" w:type="dxa"/>
            </w:tcMar>
            <w:vAlign w:val="top"/>
          </w:tcPr>
          <w:p w14:paraId="736DEDA4" w14:textId="77777777" w:rsidR="00695365" w:rsidRPr="00131758" w:rsidRDefault="00695365" w:rsidP="006E4D6C">
            <w:pPr>
              <w:widowControl w:val="0"/>
              <w:pBdr>
                <w:top w:val="nil"/>
                <w:left w:val="nil"/>
                <w:bottom w:val="nil"/>
                <w:right w:val="nil"/>
                <w:between w:val="nil"/>
              </w:pBd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5B429135" w14:textId="77777777" w:rsidR="00695365" w:rsidRPr="00131758" w:rsidRDefault="00366511" w:rsidP="006E4D6C">
            <w:pPr>
              <w:spacing w:before="20" w:after="120" w:line="240" w:lineRule="auto"/>
              <w:jc w:val="left"/>
              <w:rPr>
                <w:rFonts w:ascii="Georgia" w:eastAsia="Georgia" w:hAnsi="Georgia" w:cs="Georgia"/>
                <w:sz w:val="18"/>
                <w:szCs w:val="18"/>
              </w:rPr>
            </w:pPr>
            <w:r w:rsidRPr="00131758">
              <w:rPr>
                <w:rFonts w:ascii="Georgia" w:eastAsia="Georgia" w:hAnsi="Georgia" w:cs="Georgia"/>
                <w:sz w:val="18"/>
                <w:szCs w:val="18"/>
              </w:rPr>
              <w:t>Flexible design</w:t>
            </w:r>
          </w:p>
        </w:tc>
        <w:tc>
          <w:tcPr>
            <w:tcW w:w="0" w:type="auto"/>
            <w:tcMar>
              <w:top w:w="57" w:type="dxa"/>
              <w:left w:w="57" w:type="dxa"/>
              <w:bottom w:w="57" w:type="dxa"/>
              <w:right w:w="57" w:type="dxa"/>
            </w:tcMar>
            <w:vAlign w:val="top"/>
          </w:tcPr>
          <w:p w14:paraId="23C98189" w14:textId="51367DEF"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 xml:space="preserve">Create lung spaces to accommodate expansions, </w:t>
            </w:r>
            <w:r w:rsidRPr="00131758">
              <w:rPr>
                <w:rFonts w:ascii="Georgia" w:eastAsia="Georgia" w:hAnsi="Georgia" w:cs="Georgia"/>
                <w:sz w:val="18"/>
                <w:szCs w:val="18"/>
              </w:rPr>
              <w:lastRenderedPageBreak/>
              <w:t>reconfigurations</w:t>
            </w:r>
            <w:r w:rsidR="00AA7ED8" w:rsidRPr="00131758">
              <w:rPr>
                <w:rFonts w:ascii="Georgia" w:eastAsia="Georgia" w:hAnsi="Georgia" w:cs="Georgia"/>
                <w:sz w:val="18"/>
                <w:szCs w:val="18"/>
              </w:rPr>
              <w:t>,</w:t>
            </w:r>
            <w:r w:rsidRPr="00131758">
              <w:rPr>
                <w:rFonts w:ascii="Georgia" w:eastAsia="Georgia" w:hAnsi="Georgia" w:cs="Georgia"/>
                <w:sz w:val="18"/>
                <w:szCs w:val="18"/>
              </w:rPr>
              <w:t xml:space="preserve"> or isolation areas (Capalongo et al., 2020).</w:t>
            </w:r>
          </w:p>
        </w:tc>
        <w:tc>
          <w:tcPr>
            <w:tcW w:w="0" w:type="auto"/>
            <w:tcMar>
              <w:top w:w="57" w:type="dxa"/>
              <w:left w:w="57" w:type="dxa"/>
              <w:bottom w:w="57" w:type="dxa"/>
              <w:right w:w="57" w:type="dxa"/>
            </w:tcMar>
            <w:vAlign w:val="top"/>
          </w:tcPr>
          <w:p w14:paraId="047B3219" w14:textId="30D9C8EB"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lastRenderedPageBreak/>
              <w:t>USGBC</w:t>
            </w:r>
            <w:r w:rsidR="00AA7ED8" w:rsidRPr="00131758">
              <w:rPr>
                <w:rFonts w:ascii="Georgia" w:eastAsia="Georgia" w:hAnsi="Georgia" w:cs="Georgia"/>
                <w:sz w:val="18"/>
                <w:szCs w:val="18"/>
              </w:rPr>
              <w:t xml:space="preserve"> </w:t>
            </w:r>
            <w:r w:rsidRPr="00131758">
              <w:rPr>
                <w:rFonts w:ascii="Georgia" w:eastAsia="Georgia" w:hAnsi="Georgia" w:cs="Georgia"/>
                <w:sz w:val="18"/>
                <w:szCs w:val="18"/>
              </w:rPr>
              <w:t xml:space="preserve">(2017) recommends the use of </w:t>
            </w:r>
            <w:r w:rsidRPr="00131758">
              <w:rPr>
                <w:rFonts w:ascii="Georgia" w:eastAsia="Georgia" w:hAnsi="Georgia" w:cs="Georgia"/>
                <w:sz w:val="18"/>
                <w:szCs w:val="18"/>
              </w:rPr>
              <w:lastRenderedPageBreak/>
              <w:t>shell and soft space for the flexibility of the hospital.</w:t>
            </w:r>
          </w:p>
        </w:tc>
        <w:tc>
          <w:tcPr>
            <w:tcW w:w="0" w:type="auto"/>
            <w:tcMar>
              <w:top w:w="57" w:type="dxa"/>
              <w:left w:w="57" w:type="dxa"/>
              <w:bottom w:w="57" w:type="dxa"/>
              <w:right w:w="57" w:type="dxa"/>
            </w:tcMar>
            <w:vAlign w:val="top"/>
          </w:tcPr>
          <w:p w14:paraId="053DADF2" w14:textId="449CC725" w:rsidR="00695365" w:rsidRPr="00131758" w:rsidRDefault="00366511" w:rsidP="006E4D6C">
            <w:pPr>
              <w:spacing w:after="120" w:line="240" w:lineRule="auto"/>
              <w:jc w:val="left"/>
              <w:rPr>
                <w:rFonts w:ascii="Georgia" w:eastAsia="Georgia" w:hAnsi="Georgia" w:cs="Georgia"/>
                <w:sz w:val="18"/>
                <w:szCs w:val="18"/>
              </w:rPr>
            </w:pPr>
            <w:bookmarkStart w:id="2" w:name="_heading=h.30j0zll" w:colFirst="0" w:colLast="0"/>
            <w:bookmarkEnd w:id="2"/>
            <w:r w:rsidRPr="00131758">
              <w:rPr>
                <w:rFonts w:ascii="Georgia" w:eastAsia="Georgia" w:hAnsi="Georgia" w:cs="Georgia"/>
                <w:sz w:val="18"/>
                <w:szCs w:val="18"/>
              </w:rPr>
              <w:lastRenderedPageBreak/>
              <w:t xml:space="preserve">The challenge is to ensure that the spaces are not underused </w:t>
            </w:r>
            <w:r w:rsidRPr="00131758">
              <w:rPr>
                <w:rFonts w:ascii="Georgia" w:eastAsia="Georgia" w:hAnsi="Georgia" w:cs="Georgia"/>
                <w:sz w:val="18"/>
                <w:szCs w:val="18"/>
              </w:rPr>
              <w:lastRenderedPageBreak/>
              <w:t>(Garg and Dewan, 2020). Hence</w:t>
            </w:r>
            <w:r w:rsidR="00AA7ED8" w:rsidRPr="00131758">
              <w:rPr>
                <w:rFonts w:ascii="Georgia" w:eastAsia="Georgia" w:hAnsi="Georgia" w:cs="Georgia"/>
                <w:sz w:val="18"/>
                <w:szCs w:val="18"/>
              </w:rPr>
              <w:t>,</w:t>
            </w:r>
            <w:r w:rsidRPr="00131758">
              <w:rPr>
                <w:rFonts w:ascii="Georgia" w:eastAsia="Georgia" w:hAnsi="Georgia" w:cs="Georgia"/>
                <w:sz w:val="18"/>
                <w:szCs w:val="18"/>
              </w:rPr>
              <w:t xml:space="preserve"> further study is needed to establish the area required for the flexible spaces.</w:t>
            </w:r>
          </w:p>
        </w:tc>
      </w:tr>
      <w:tr w:rsidR="007C378B" w:rsidRPr="00131758" w14:paraId="6556F73C" w14:textId="77777777" w:rsidTr="006E4D6C">
        <w:trPr>
          <w:trHeight w:val="200"/>
        </w:trPr>
        <w:tc>
          <w:tcPr>
            <w:tcW w:w="0" w:type="auto"/>
            <w:vMerge/>
            <w:tcMar>
              <w:top w:w="57" w:type="dxa"/>
              <w:left w:w="57" w:type="dxa"/>
              <w:bottom w:w="57" w:type="dxa"/>
              <w:right w:w="57" w:type="dxa"/>
            </w:tcMar>
            <w:vAlign w:val="top"/>
          </w:tcPr>
          <w:p w14:paraId="794B02C8" w14:textId="77777777" w:rsidR="00695365" w:rsidRPr="00131758" w:rsidRDefault="00695365" w:rsidP="006E4D6C">
            <w:pPr>
              <w:widowControl w:val="0"/>
              <w:pBdr>
                <w:top w:val="nil"/>
                <w:left w:val="nil"/>
                <w:bottom w:val="nil"/>
                <w:right w:val="nil"/>
                <w:between w:val="nil"/>
              </w:pBd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4DB6B16F" w14:textId="77777777" w:rsidR="00695365" w:rsidRPr="00131758" w:rsidRDefault="00366511" w:rsidP="006E4D6C">
            <w:pPr>
              <w:spacing w:before="20" w:after="120" w:line="240" w:lineRule="auto"/>
              <w:jc w:val="left"/>
              <w:rPr>
                <w:rFonts w:ascii="Georgia" w:eastAsia="Georgia" w:hAnsi="Georgia" w:cs="Georgia"/>
                <w:sz w:val="18"/>
                <w:szCs w:val="18"/>
              </w:rPr>
            </w:pPr>
            <w:r w:rsidRPr="00131758">
              <w:rPr>
                <w:rFonts w:ascii="Georgia" w:eastAsia="Georgia" w:hAnsi="Georgia" w:cs="Georgia"/>
                <w:sz w:val="18"/>
                <w:szCs w:val="18"/>
              </w:rPr>
              <w:t>Evidence based design</w:t>
            </w:r>
          </w:p>
        </w:tc>
        <w:tc>
          <w:tcPr>
            <w:tcW w:w="0" w:type="auto"/>
            <w:tcMar>
              <w:top w:w="57" w:type="dxa"/>
              <w:left w:w="57" w:type="dxa"/>
              <w:bottom w:w="57" w:type="dxa"/>
              <w:right w:w="57" w:type="dxa"/>
            </w:tcMar>
            <w:vAlign w:val="top"/>
          </w:tcPr>
          <w:p w14:paraId="74C1D60C" w14:textId="18D37D3D"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Biophillic design strategies: view</w:t>
            </w:r>
            <w:r w:rsidR="00AA7ED8" w:rsidRPr="00131758">
              <w:rPr>
                <w:rFonts w:ascii="Georgia" w:eastAsia="Georgia" w:hAnsi="Georgia" w:cs="Georgia"/>
                <w:sz w:val="18"/>
                <w:szCs w:val="18"/>
              </w:rPr>
              <w:t>s</w:t>
            </w:r>
            <w:r w:rsidRPr="00131758">
              <w:rPr>
                <w:rFonts w:ascii="Georgia" w:eastAsia="Georgia" w:hAnsi="Georgia" w:cs="Georgia"/>
                <w:sz w:val="18"/>
                <w:szCs w:val="18"/>
              </w:rPr>
              <w:t xml:space="preserve"> to nature, fresh air</w:t>
            </w:r>
            <w:r w:rsidR="00AA7ED8" w:rsidRPr="00131758">
              <w:rPr>
                <w:rFonts w:ascii="Georgia" w:eastAsia="Georgia" w:hAnsi="Georgia" w:cs="Georgia"/>
                <w:sz w:val="18"/>
                <w:szCs w:val="18"/>
              </w:rPr>
              <w:t>,</w:t>
            </w:r>
            <w:r w:rsidRPr="00131758">
              <w:rPr>
                <w:rFonts w:ascii="Georgia" w:eastAsia="Georgia" w:hAnsi="Georgia" w:cs="Georgia"/>
                <w:sz w:val="18"/>
                <w:szCs w:val="18"/>
              </w:rPr>
              <w:t xml:space="preserve"> and natural sounds are encouraged for speeding the recovery process</w:t>
            </w:r>
            <w:r w:rsidR="00AA7ED8" w:rsidRPr="00131758">
              <w:rPr>
                <w:rFonts w:ascii="Georgia" w:eastAsia="Georgia" w:hAnsi="Georgia" w:cs="Georgia"/>
                <w:sz w:val="18"/>
                <w:szCs w:val="18"/>
              </w:rPr>
              <w:t xml:space="preserve"> </w:t>
            </w:r>
            <w:r w:rsidR="00B3503C" w:rsidRPr="00131758">
              <w:rPr>
                <w:rFonts w:ascii="Georgia" w:eastAsia="Georgia" w:hAnsi="Georgia" w:cs="Georgia"/>
                <w:sz w:val="18"/>
                <w:szCs w:val="18"/>
              </w:rPr>
              <w:fldChar w:fldCharType="begin" w:fldLock="1"/>
            </w:r>
            <w:r w:rsidR="00062EDE" w:rsidRPr="00131758">
              <w:rPr>
                <w:rFonts w:ascii="Georgia" w:eastAsia="Georgia" w:hAnsi="Georgia" w:cs="Georgia"/>
                <w:sz w:val="18"/>
                <w:szCs w:val="18"/>
              </w:rPr>
              <w:instrText>ADDIN CSL_CITATION {"citationItems":[{"id":"ITEM-1","itemData":{"DOI":"10.1186/s41983-021-00429-7","abstract":"BackgroundCOVID-19 pandemic became a global health problem affecting the life of millions of people all over the world. The effects of this pandemic were not only on the physical and medical aspects but also on the psychological issues including anxiety disorders, depressive manifestations, sleep problems and others. Sleep disorders were very commonly reported during the novel Coronavirus-19 pandemic either in the acute phase of COVID-19 infection or after recovery. These sleep problems might have a drastic burden on the recovered patients’ life. This study aimed to investigate the sleep in the post-Coronavirus-19 period and if has an impact on the different items of patients’ quality of life. This cross-sectional observational study investigated the sleep problems in 500 patients in the post recovery period using Insomnia Severity Index and Pittsburgh sleep quality index (PSQI), their relation to this critical period and their impact on different domains of Quality of Life which was assessed by the SF36 Health Survey. ResultsSocio-demographic characteristics of 500 post-Coronavirus-19 patients were collected; the insomnia severity index and Pittsburgh sleep quality index evaluated the sleep pattern. The quality of life was investigated using Short Form 36 scale. The study revealed high scores of insomnia severity index (13.01</w:instrText>
            </w:r>
            <w:r w:rsidR="00062EDE" w:rsidRPr="00131758">
              <w:rPr>
                <w:rFonts w:ascii="Times New Roman" w:eastAsia="Georgia" w:hAnsi="Times New Roman" w:cs="Times New Roman"/>
                <w:sz w:val="18"/>
                <w:szCs w:val="18"/>
              </w:rPr>
              <w:instrText> </w:instrText>
            </w:r>
            <w:r w:rsidR="00062EDE" w:rsidRPr="00131758">
              <w:rPr>
                <w:rFonts w:ascii="Georgia" w:eastAsia="Georgia" w:hAnsi="Georgia" w:cs="Georgia"/>
                <w:sz w:val="18"/>
                <w:szCs w:val="18"/>
              </w:rPr>
              <w:instrText>±</w:instrText>
            </w:r>
            <w:r w:rsidR="00062EDE" w:rsidRPr="00131758">
              <w:rPr>
                <w:rFonts w:ascii="Times New Roman" w:eastAsia="Georgia" w:hAnsi="Times New Roman" w:cs="Times New Roman"/>
                <w:sz w:val="18"/>
                <w:szCs w:val="18"/>
              </w:rPr>
              <w:instrText> </w:instrText>
            </w:r>
            <w:r w:rsidR="00062EDE" w:rsidRPr="00131758">
              <w:rPr>
                <w:rFonts w:ascii="Georgia" w:eastAsia="Georgia" w:hAnsi="Georgia" w:cs="Georgia"/>
                <w:sz w:val="18"/>
                <w:szCs w:val="18"/>
              </w:rPr>
              <w:instrText>4.9), Pittsburgh sleep quality index (15.37</w:instrText>
            </w:r>
            <w:r w:rsidR="00062EDE" w:rsidRPr="00131758">
              <w:rPr>
                <w:rFonts w:ascii="Times New Roman" w:eastAsia="Georgia" w:hAnsi="Times New Roman" w:cs="Times New Roman"/>
                <w:sz w:val="18"/>
                <w:szCs w:val="18"/>
              </w:rPr>
              <w:instrText> </w:instrText>
            </w:r>
            <w:r w:rsidR="00062EDE" w:rsidRPr="00131758">
              <w:rPr>
                <w:rFonts w:ascii="Georgia" w:eastAsia="Georgia" w:hAnsi="Georgia" w:cs="Georgia"/>
                <w:sz w:val="18"/>
                <w:szCs w:val="18"/>
              </w:rPr>
              <w:instrText>±</w:instrText>
            </w:r>
            <w:r w:rsidR="00062EDE" w:rsidRPr="00131758">
              <w:rPr>
                <w:rFonts w:ascii="Times New Roman" w:eastAsia="Georgia" w:hAnsi="Times New Roman" w:cs="Times New Roman"/>
                <w:sz w:val="18"/>
                <w:szCs w:val="18"/>
              </w:rPr>
              <w:instrText> </w:instrText>
            </w:r>
            <w:r w:rsidR="00062EDE" w:rsidRPr="00131758">
              <w:rPr>
                <w:rFonts w:ascii="Georgia" w:eastAsia="Georgia" w:hAnsi="Georgia" w:cs="Georgia"/>
                <w:sz w:val="18"/>
                <w:szCs w:val="18"/>
              </w:rPr>
              <w:instrText>4.43), also high scores of different items of scale of quality of life in the studied group. ConclusionPost-COVID-19 sleep disturbances were commonly reported in the recovery period, also these sleep deficits had an impact on the physical and mental aspects of quality of life, so these sleep problems must be managed properly especially in this critical pandemic era.","author":[{"dropping-particle":"","family":"Sayed","given":"Samir","non-dropping-particle":"El","parse-names":false,"suffix":""},{"dropping-particle":"","family":"Gomaa","given":"Sarah","non-dropping-particle":"","parse-names":false,"suffix":""},{"dropping-particle":"","family":"Shokry","given":"Doaa","non-dropping-particle":"","parse-names":false,"suffix":""},{"dropping-particle":"","family":"Kabil","given":"Ahmed","non-dropping-particle":"","parse-names":false,"suffix":""},{"dropping-particle":"","family":"Eissa","given":"Ahmed","non-dropping-particle":"","parse-names":false,"suffix":""}],"container-title":"The Egyptian Journal of Neurology, Psychiatry and Neurosurgery","id":"ITEM-1","issue":"1","issued":{"date-parts":[["2021"]]},"page":"172","title":"Sleep in post-COVID-19 recovery period and its impact on different domains of quality of life","type":"article-journal","volume":"57"},"uris":["http://www.mendeley.com/documents/?uuid=e1ef7b2c-f0ed-368a-a249-454a5905ce13"]}],"mendeley":{"formattedCitation":"(El Sayed et al., 2021)","plainTextFormattedCitation":"(El Sayed et al., 2021)","previouslyFormattedCitation":"(El Sayed et al., 2021)"},"properties":{"noteIndex":0},"schema":"https://github.com/citation-style-language/schema/raw/master/csl-citation.json"}</w:instrText>
            </w:r>
            <w:r w:rsidR="00B3503C" w:rsidRPr="00131758">
              <w:rPr>
                <w:rFonts w:ascii="Georgia" w:eastAsia="Georgia" w:hAnsi="Georgia" w:cs="Georgia"/>
                <w:sz w:val="18"/>
                <w:szCs w:val="18"/>
              </w:rPr>
              <w:fldChar w:fldCharType="separate"/>
            </w:r>
            <w:r w:rsidR="00B3503C" w:rsidRPr="00131758">
              <w:rPr>
                <w:rFonts w:ascii="Georgia" w:eastAsia="Georgia" w:hAnsi="Georgia" w:cs="Georgia"/>
                <w:noProof/>
                <w:sz w:val="18"/>
                <w:szCs w:val="18"/>
              </w:rPr>
              <w:t>(El Sayed et al., 2021)</w:t>
            </w:r>
            <w:r w:rsidR="00B3503C" w:rsidRPr="00131758">
              <w:rPr>
                <w:rFonts w:ascii="Georgia" w:eastAsia="Georgia" w:hAnsi="Georgia" w:cs="Georgia"/>
                <w:sz w:val="18"/>
                <w:szCs w:val="18"/>
              </w:rPr>
              <w:fldChar w:fldCharType="end"/>
            </w:r>
            <w:r w:rsidRPr="00131758">
              <w:rPr>
                <w:rFonts w:ascii="Georgia" w:eastAsia="Georgia" w:hAnsi="Georgia" w:cs="Georgia"/>
                <w:sz w:val="18"/>
                <w:szCs w:val="18"/>
              </w:rPr>
              <w:t>. The improvement in IEQ may be effective against many infectious diseases similar to COVID-19</w:t>
            </w:r>
            <w:r w:rsidR="00B3503C" w:rsidRPr="00131758">
              <w:rPr>
                <w:rFonts w:ascii="Georgia" w:eastAsia="Georgia" w:hAnsi="Georgia" w:cs="Georgia"/>
                <w:sz w:val="18"/>
                <w:szCs w:val="18"/>
              </w:rPr>
              <w:t xml:space="preserve"> </w:t>
            </w:r>
            <w:r w:rsidR="00CD6784" w:rsidRPr="00131758">
              <w:rPr>
                <w:rFonts w:ascii="Georgia" w:eastAsia="Georgia" w:hAnsi="Georgia" w:cs="Georgia"/>
                <w:sz w:val="18"/>
                <w:szCs w:val="18"/>
              </w:rPr>
              <w:fldChar w:fldCharType="begin" w:fldLock="1"/>
            </w:r>
            <w:r w:rsidR="005049D2" w:rsidRPr="00131758">
              <w:rPr>
                <w:rFonts w:ascii="Georgia" w:eastAsia="Georgia" w:hAnsi="Georgia" w:cs="Georgia"/>
                <w:sz w:val="18"/>
                <w:szCs w:val="18"/>
              </w:rPr>
              <w:instrText>ADDIN CSL_CITATION {"citationItems":[{"id":"ITEM-1","itemData":{"DOI":"10.1016/j.enbuild.2009.03.016","ISSN":"03787788","abstract":"The indoor environmental quality (IEQ) in residential buildings is examined from the prospect of an occupant's acceptance in four aspects: thermal comfort, indoor air quality, noise level and illumination level. Based on the evaluations by 125 occupants living in 32 typical residential apartments in Hong Kong, this study proposes empirical expressions to approximate the overall IEQ acceptance with respect to four contributors, namely operative temperature, carbon dioxide concentration, equivalent noise level and illumination level, via a multivariate logistic regression model. A range of IEQ acceptances for regular residential conditions is determined and the dependence of the predicted overall IEQ acceptance on the variations of the contributors is discussed. The proposed overall IEQ acceptance can be used as a quantitative assessment criterion for similar residential environments where an occupant's evaluation is expected. © 2009 Elsevier B.V. All rights reserved.","author":[{"dropping-particle":"","family":"Lai","given":"A. C.K.","non-dropping-particle":"","parse-names":false,"suffix":""},{"dropping-particle":"","family":"Mui","given":"K. W.","non-dropping-particle":"","parse-names":false,"suffix":""},{"dropping-particle":"","family":"Wong","given":"L. T.","non-dropping-particle":"","parse-names":false,"suffix":""},{"dropping-particle":"","family":"Law","given":"L. Y.","non-dropping-particle":"","parse-names":false,"suffix":""}],"container-title":"Energy and Buildings","id":"ITEM-1","issue":"9","issued":{"date-parts":[["2009"]]},"page":"930-936","title":"An evaluation model for indoor environmental quality (IEQ) acceptance in residential buildings","type":"article-journal","volume":"41"},"uris":["http://www.mendeley.com/documents/?uuid=1544186b-512c-432d-95d3-31548c2236e4"]}],"mendeley":{"formattedCitation":"(Lai et al., 2009)","plainTextFormattedCitation":"(Lai et al., 2009)","previouslyFormattedCitation":"(Lai et al., 2009)"},"properties":{"noteIndex":0},"schema":"https://github.com/citation-style-language/schema/raw/master/csl-citation.json"}</w:instrText>
            </w:r>
            <w:r w:rsidR="00CD6784" w:rsidRPr="00131758">
              <w:rPr>
                <w:rFonts w:ascii="Georgia" w:eastAsia="Georgia" w:hAnsi="Georgia" w:cs="Georgia"/>
                <w:sz w:val="18"/>
                <w:szCs w:val="18"/>
              </w:rPr>
              <w:fldChar w:fldCharType="separate"/>
            </w:r>
            <w:r w:rsidR="00CD6784" w:rsidRPr="00131758">
              <w:rPr>
                <w:rFonts w:ascii="Georgia" w:eastAsia="Georgia" w:hAnsi="Georgia" w:cs="Georgia"/>
                <w:noProof/>
                <w:sz w:val="18"/>
                <w:szCs w:val="18"/>
              </w:rPr>
              <w:t>(Lai et al., 2009)</w:t>
            </w:r>
            <w:r w:rsidR="00CD6784" w:rsidRPr="00131758">
              <w:rPr>
                <w:rFonts w:ascii="Georgia" w:eastAsia="Georgia" w:hAnsi="Georgia" w:cs="Georgia"/>
                <w:sz w:val="18"/>
                <w:szCs w:val="18"/>
              </w:rPr>
              <w:fldChar w:fldCharType="end"/>
            </w:r>
            <w:r w:rsidRPr="00131758">
              <w:rPr>
                <w:rFonts w:ascii="Georgia" w:eastAsia="Georgia" w:hAnsi="Georgia" w:cs="Georgia"/>
                <w:sz w:val="18"/>
                <w:szCs w:val="18"/>
              </w:rPr>
              <w:t>.</w:t>
            </w:r>
          </w:p>
        </w:tc>
        <w:tc>
          <w:tcPr>
            <w:tcW w:w="0" w:type="auto"/>
            <w:tcMar>
              <w:top w:w="57" w:type="dxa"/>
              <w:left w:w="57" w:type="dxa"/>
              <w:bottom w:w="57" w:type="dxa"/>
              <w:right w:w="57" w:type="dxa"/>
            </w:tcMar>
            <w:vAlign w:val="top"/>
          </w:tcPr>
          <w:p w14:paraId="4B3D8BAF" w14:textId="1E5221EA"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At least 50% of the site area’s vegetation</w:t>
            </w:r>
            <w:r w:rsidR="00AA7ED8" w:rsidRPr="00131758">
              <w:rPr>
                <w:rFonts w:ascii="Georgia" w:eastAsia="Georgia" w:hAnsi="Georgia" w:cs="Georgia"/>
                <w:sz w:val="18"/>
                <w:szCs w:val="18"/>
              </w:rPr>
              <w:t>,</w:t>
            </w:r>
            <w:r w:rsidRPr="00131758">
              <w:rPr>
                <w:rFonts w:ascii="Georgia" w:eastAsia="Georgia" w:hAnsi="Georgia" w:cs="Georgia"/>
                <w:sz w:val="18"/>
                <w:szCs w:val="18"/>
              </w:rPr>
              <w:t xml:space="preserve"> excluding the building area</w:t>
            </w:r>
            <w:r w:rsidR="00AA7ED8" w:rsidRPr="00131758">
              <w:rPr>
                <w:rFonts w:ascii="Georgia" w:eastAsia="Georgia" w:hAnsi="Georgia" w:cs="Georgia"/>
                <w:sz w:val="18"/>
                <w:szCs w:val="18"/>
              </w:rPr>
              <w:t>,</w:t>
            </w:r>
            <w:r w:rsidRPr="00131758">
              <w:rPr>
                <w:rFonts w:ascii="Georgia" w:eastAsia="Georgia" w:hAnsi="Georgia" w:cs="Georgia"/>
                <w:sz w:val="18"/>
                <w:szCs w:val="18"/>
              </w:rPr>
              <w:t xml:space="preserve"> should be restored or protected with native vegetation (LEED, 2009).</w:t>
            </w:r>
          </w:p>
          <w:p w14:paraId="1324A633" w14:textId="524DE0FD"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Derive health benefits for patients and staff by providing 5</w:t>
            </w:r>
            <w:r w:rsidR="00AA7ED8" w:rsidRPr="00131758">
              <w:rPr>
                <w:rFonts w:ascii="Georgia" w:eastAsia="Georgia" w:hAnsi="Georgia" w:cs="Georgia"/>
                <w:sz w:val="18"/>
                <w:szCs w:val="18"/>
              </w:rPr>
              <w:t xml:space="preserve"> </w:t>
            </w:r>
            <w:r w:rsidRPr="00131758">
              <w:rPr>
                <w:rFonts w:ascii="Georgia" w:eastAsia="Georgia" w:hAnsi="Georgia" w:cs="Georgia"/>
                <w:sz w:val="18"/>
                <w:szCs w:val="18"/>
              </w:rPr>
              <w:t>sq</w:t>
            </w:r>
            <w:r w:rsidR="00AA7ED8" w:rsidRPr="00131758">
              <w:rPr>
                <w:rFonts w:ascii="Georgia" w:eastAsia="Georgia" w:hAnsi="Georgia" w:cs="Georgia"/>
                <w:sz w:val="18"/>
                <w:szCs w:val="18"/>
              </w:rPr>
              <w:t xml:space="preserve"> </w:t>
            </w:r>
            <w:r w:rsidRPr="00131758">
              <w:rPr>
                <w:rFonts w:ascii="Georgia" w:eastAsia="Georgia" w:hAnsi="Georgia" w:cs="Georgia"/>
                <w:sz w:val="18"/>
                <w:szCs w:val="18"/>
              </w:rPr>
              <w:t>m per inpatient for at least 75% of inpatients</w:t>
            </w:r>
            <w:r w:rsidR="00E13E13" w:rsidRPr="00131758">
              <w:rPr>
                <w:rFonts w:ascii="Georgia" w:eastAsia="Georgia" w:hAnsi="Georgia" w:cs="Georgia"/>
                <w:sz w:val="18"/>
                <w:szCs w:val="18"/>
              </w:rPr>
              <w:t xml:space="preserve"> </w:t>
            </w:r>
            <w:r w:rsidRPr="00131758">
              <w:rPr>
                <w:rFonts w:ascii="Georgia" w:eastAsia="Georgia" w:hAnsi="Georgia" w:cs="Georgia"/>
                <w:sz w:val="18"/>
                <w:szCs w:val="18"/>
              </w:rPr>
              <w:t>(LEED, 2009).</w:t>
            </w:r>
          </w:p>
        </w:tc>
        <w:tc>
          <w:tcPr>
            <w:tcW w:w="0" w:type="auto"/>
            <w:tcMar>
              <w:top w:w="57" w:type="dxa"/>
              <w:left w:w="57" w:type="dxa"/>
              <w:bottom w:w="57" w:type="dxa"/>
              <w:right w:w="57" w:type="dxa"/>
            </w:tcMar>
            <w:vAlign w:val="top"/>
          </w:tcPr>
          <w:p w14:paraId="00089C0B"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existing terraces can be converted to gardens.</w:t>
            </w:r>
          </w:p>
        </w:tc>
      </w:tr>
      <w:tr w:rsidR="007C378B" w:rsidRPr="00131758" w14:paraId="669460DF" w14:textId="77777777" w:rsidTr="006E4D6C">
        <w:tc>
          <w:tcPr>
            <w:tcW w:w="0" w:type="auto"/>
            <w:vMerge w:val="restart"/>
            <w:tcMar>
              <w:top w:w="57" w:type="dxa"/>
              <w:left w:w="57" w:type="dxa"/>
              <w:bottom w:w="57" w:type="dxa"/>
              <w:right w:w="57" w:type="dxa"/>
            </w:tcMar>
            <w:vAlign w:val="top"/>
          </w:tcPr>
          <w:p w14:paraId="54579D34" w14:textId="77777777" w:rsidR="00695365" w:rsidRPr="00131758" w:rsidRDefault="00366511" w:rsidP="006E4D6C">
            <w:pPr>
              <w:spacing w:before="20" w:after="120" w:line="240" w:lineRule="auto"/>
              <w:jc w:val="left"/>
              <w:rPr>
                <w:rFonts w:ascii="Georgia" w:eastAsia="Georgia" w:hAnsi="Georgia" w:cs="Georgia"/>
                <w:b/>
                <w:sz w:val="18"/>
                <w:szCs w:val="18"/>
              </w:rPr>
            </w:pPr>
            <w:r w:rsidRPr="00131758">
              <w:rPr>
                <w:rFonts w:ascii="Georgia" w:eastAsia="Georgia" w:hAnsi="Georgia" w:cs="Georgia"/>
                <w:b/>
                <w:sz w:val="18"/>
                <w:szCs w:val="18"/>
              </w:rPr>
              <w:t>Services</w:t>
            </w:r>
          </w:p>
        </w:tc>
        <w:tc>
          <w:tcPr>
            <w:tcW w:w="0" w:type="auto"/>
            <w:tcMar>
              <w:top w:w="57" w:type="dxa"/>
              <w:left w:w="57" w:type="dxa"/>
              <w:bottom w:w="57" w:type="dxa"/>
              <w:right w:w="57" w:type="dxa"/>
            </w:tcMar>
            <w:vAlign w:val="top"/>
          </w:tcPr>
          <w:p w14:paraId="4036A44A" w14:textId="77777777" w:rsidR="00695365" w:rsidRPr="00131758" w:rsidRDefault="00366511" w:rsidP="006E4D6C">
            <w:pPr>
              <w:spacing w:before="20" w:after="120" w:line="240" w:lineRule="auto"/>
              <w:jc w:val="left"/>
              <w:rPr>
                <w:rFonts w:ascii="Georgia" w:eastAsia="Georgia" w:hAnsi="Georgia" w:cs="Georgia"/>
                <w:sz w:val="18"/>
                <w:szCs w:val="18"/>
              </w:rPr>
            </w:pPr>
            <w:r w:rsidRPr="00131758">
              <w:rPr>
                <w:rFonts w:ascii="Georgia" w:eastAsia="Georgia" w:hAnsi="Georgia" w:cs="Georgia"/>
                <w:sz w:val="18"/>
                <w:szCs w:val="18"/>
              </w:rPr>
              <w:t>Conveyance</w:t>
            </w:r>
          </w:p>
        </w:tc>
        <w:tc>
          <w:tcPr>
            <w:tcW w:w="0" w:type="auto"/>
            <w:tcMar>
              <w:top w:w="57" w:type="dxa"/>
              <w:left w:w="57" w:type="dxa"/>
              <w:bottom w:w="57" w:type="dxa"/>
              <w:right w:w="57" w:type="dxa"/>
            </w:tcMar>
            <w:vAlign w:val="top"/>
          </w:tcPr>
          <w:p w14:paraId="0B4980E7" w14:textId="0EE27C83"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 xml:space="preserve">Provide signage on elevators to implement social distancing and reduce airborne transmission </w:t>
            </w:r>
            <w:r w:rsidR="00062EDE" w:rsidRPr="00131758">
              <w:rPr>
                <w:rFonts w:ascii="Georgia" w:eastAsia="Georgia" w:hAnsi="Georgia" w:cs="Georgia"/>
                <w:sz w:val="18"/>
                <w:szCs w:val="18"/>
              </w:rPr>
              <w:fldChar w:fldCharType="begin" w:fldLock="1"/>
            </w:r>
            <w:r w:rsidR="001F0382" w:rsidRPr="00131758">
              <w:rPr>
                <w:rFonts w:ascii="Georgia" w:eastAsia="Georgia" w:hAnsi="Georgia" w:cs="Georgia"/>
                <w:sz w:val="18"/>
                <w:szCs w:val="18"/>
              </w:rPr>
              <w:instrText>ADDIN CSL_CITATION {"citationItems":[{"id":"ITEM-1","itemData":{"author":[{"dropping-particle":"","family":"Luis","given":"Pinheiro and","non-dropping-particle":"","parse-names":false,"suffix":""}],"id":"ITEM-1","issued":{"date-parts":[["2020"]]},"title":"COVID-19 Could Leverage a Sustainable Built Environment","type":"article-journal"},"uris":["http://www.mendeley.com/documents/?uuid=91579067-b15a-47cc-a96f-f1e53f7a6041"]}],"mendeley":{"formattedCitation":"(Luis, 2020)","plainTextFormattedCitation":"(Luis, 2020)","previouslyFormattedCitation":"(Luis, 2020)"},"properties":{"noteIndex":0},"schema":"https://github.com/citation-style-language/schema/raw/master/csl-citation.json"}</w:instrText>
            </w:r>
            <w:r w:rsidR="00062EDE" w:rsidRPr="00131758">
              <w:rPr>
                <w:rFonts w:ascii="Georgia" w:eastAsia="Georgia" w:hAnsi="Georgia" w:cs="Georgia"/>
                <w:sz w:val="18"/>
                <w:szCs w:val="18"/>
              </w:rPr>
              <w:fldChar w:fldCharType="separate"/>
            </w:r>
            <w:r w:rsidR="001F0382" w:rsidRPr="00131758">
              <w:rPr>
                <w:rFonts w:ascii="Georgia" w:eastAsia="Georgia" w:hAnsi="Georgia" w:cs="Georgia"/>
                <w:noProof/>
                <w:sz w:val="18"/>
                <w:szCs w:val="18"/>
              </w:rPr>
              <w:t>(Luis, 2020)</w:t>
            </w:r>
            <w:r w:rsidR="00062EDE" w:rsidRPr="00131758">
              <w:rPr>
                <w:rFonts w:ascii="Georgia" w:eastAsia="Georgia" w:hAnsi="Georgia" w:cs="Georgia"/>
                <w:sz w:val="18"/>
                <w:szCs w:val="18"/>
              </w:rPr>
              <w:fldChar w:fldCharType="end"/>
            </w:r>
            <w:r w:rsidR="00062EDE" w:rsidRPr="00131758">
              <w:rPr>
                <w:rFonts w:ascii="Georgia" w:eastAsia="Georgia" w:hAnsi="Georgia" w:cs="Georgia"/>
                <w:sz w:val="18"/>
                <w:szCs w:val="18"/>
              </w:rPr>
              <w:t>.</w:t>
            </w:r>
          </w:p>
        </w:tc>
        <w:tc>
          <w:tcPr>
            <w:tcW w:w="0" w:type="auto"/>
            <w:tcMar>
              <w:top w:w="57" w:type="dxa"/>
              <w:left w:w="57" w:type="dxa"/>
              <w:bottom w:w="57" w:type="dxa"/>
              <w:right w:w="57" w:type="dxa"/>
            </w:tcMar>
            <w:vAlign w:val="top"/>
          </w:tcPr>
          <w:p w14:paraId="1DE2E57A" w14:textId="75FD613F"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Increased energy usage from the increased number of trips</w:t>
            </w:r>
            <w:r w:rsidR="00E13E13" w:rsidRPr="00131758">
              <w:rPr>
                <w:rFonts w:ascii="Georgia" w:eastAsia="Georgia" w:hAnsi="Georgia" w:cs="Georgia"/>
                <w:sz w:val="18"/>
                <w:szCs w:val="18"/>
              </w:rPr>
              <w:t xml:space="preserve"> </w:t>
            </w:r>
            <w:r w:rsidRPr="00131758">
              <w:rPr>
                <w:rFonts w:ascii="Georgia" w:eastAsia="Georgia" w:hAnsi="Georgia" w:cs="Georgia"/>
                <w:sz w:val="18"/>
                <w:szCs w:val="18"/>
              </w:rPr>
              <w:t>(Pinheiro and Luis, 2020).</w:t>
            </w:r>
          </w:p>
        </w:tc>
        <w:tc>
          <w:tcPr>
            <w:tcW w:w="0" w:type="auto"/>
            <w:tcMar>
              <w:top w:w="57" w:type="dxa"/>
              <w:left w:w="57" w:type="dxa"/>
              <w:bottom w:w="57" w:type="dxa"/>
              <w:right w:w="57" w:type="dxa"/>
            </w:tcMar>
            <w:vAlign w:val="top"/>
          </w:tcPr>
          <w:p w14:paraId="248A3EB5" w14:textId="19C14C12"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Use touch free controls for lifts</w:t>
            </w:r>
            <w:r w:rsidR="00A56A4D" w:rsidRPr="00131758">
              <w:rPr>
                <w:rFonts w:ascii="Georgia" w:eastAsia="Georgia" w:hAnsi="Georgia" w:cs="Georgia"/>
                <w:sz w:val="18"/>
                <w:szCs w:val="18"/>
              </w:rPr>
              <w:t xml:space="preserve"> with</w:t>
            </w:r>
            <w:r w:rsidRPr="00131758">
              <w:rPr>
                <w:rFonts w:ascii="Georgia" w:eastAsia="Georgia" w:hAnsi="Georgia" w:cs="Georgia"/>
                <w:sz w:val="18"/>
                <w:szCs w:val="18"/>
              </w:rPr>
              <w:t xml:space="preserve"> separate lifts</w:t>
            </w:r>
            <w:r w:rsidR="00A56A4D" w:rsidRPr="00131758">
              <w:rPr>
                <w:rFonts w:ascii="Georgia" w:eastAsia="Georgia" w:hAnsi="Georgia" w:cs="Georgia"/>
                <w:sz w:val="18"/>
                <w:szCs w:val="18"/>
              </w:rPr>
              <w:t xml:space="preserve"> for movement</w:t>
            </w:r>
            <w:r w:rsidR="003A0D5E" w:rsidRPr="00131758">
              <w:rPr>
                <w:rFonts w:ascii="Georgia" w:eastAsia="Georgia" w:hAnsi="Georgia" w:cs="Georgia"/>
                <w:sz w:val="18"/>
                <w:szCs w:val="18"/>
              </w:rPr>
              <w:t xml:space="preserve"> of patients and medical </w:t>
            </w:r>
            <w:r w:rsidR="001C7A07" w:rsidRPr="00131758">
              <w:rPr>
                <w:rFonts w:ascii="Georgia" w:eastAsia="Georgia" w:hAnsi="Georgia" w:cs="Georgia"/>
                <w:sz w:val="18"/>
                <w:szCs w:val="18"/>
              </w:rPr>
              <w:t>personnel</w:t>
            </w:r>
            <w:r w:rsidR="00A56A4D" w:rsidRPr="00131758">
              <w:rPr>
                <w:rFonts w:ascii="Georgia" w:eastAsia="Georgia" w:hAnsi="Georgia" w:cs="Georgia"/>
                <w:sz w:val="18"/>
                <w:szCs w:val="18"/>
              </w:rPr>
              <w:t>.</w:t>
            </w:r>
          </w:p>
        </w:tc>
      </w:tr>
      <w:tr w:rsidR="007C378B" w:rsidRPr="00131758" w14:paraId="22BB3EC4" w14:textId="77777777" w:rsidTr="006E4D6C">
        <w:trPr>
          <w:trHeight w:val="180"/>
        </w:trPr>
        <w:tc>
          <w:tcPr>
            <w:tcW w:w="0" w:type="auto"/>
            <w:vMerge/>
            <w:tcMar>
              <w:top w:w="57" w:type="dxa"/>
              <w:left w:w="57" w:type="dxa"/>
              <w:bottom w:w="57" w:type="dxa"/>
              <w:right w:w="57" w:type="dxa"/>
            </w:tcMar>
            <w:vAlign w:val="top"/>
          </w:tcPr>
          <w:p w14:paraId="655530EA" w14:textId="77777777" w:rsidR="00695365" w:rsidRPr="00131758" w:rsidRDefault="00695365" w:rsidP="006E4D6C">
            <w:pPr>
              <w:widowControl w:val="0"/>
              <w:pBdr>
                <w:top w:val="nil"/>
                <w:left w:val="nil"/>
                <w:bottom w:val="nil"/>
                <w:right w:val="nil"/>
                <w:between w:val="nil"/>
              </w:pBd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10425C0D"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Humidification</w:t>
            </w:r>
          </w:p>
        </w:tc>
        <w:tc>
          <w:tcPr>
            <w:tcW w:w="0" w:type="auto"/>
            <w:tcMar>
              <w:top w:w="57" w:type="dxa"/>
              <w:left w:w="57" w:type="dxa"/>
              <w:bottom w:w="57" w:type="dxa"/>
              <w:right w:w="57" w:type="dxa"/>
            </w:tcMar>
            <w:vAlign w:val="top"/>
          </w:tcPr>
          <w:p w14:paraId="5CD2066F" w14:textId="2790071D"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Authors recommend a 40-60% humidity to reduce aerosol transmission (Condair Ltd., 2007; Mousavi et al, 2019;</w:t>
            </w:r>
            <w:r w:rsidR="00E13E13" w:rsidRPr="00131758">
              <w:rPr>
                <w:rFonts w:ascii="Georgia" w:eastAsia="Georgia" w:hAnsi="Georgia" w:cs="Georgia"/>
                <w:sz w:val="18"/>
                <w:szCs w:val="18"/>
              </w:rPr>
              <w:t xml:space="preserve"> </w:t>
            </w:r>
            <w:r w:rsidRPr="00131758">
              <w:rPr>
                <w:rFonts w:ascii="Georgia" w:eastAsia="Georgia" w:hAnsi="Georgia" w:cs="Georgia"/>
                <w:sz w:val="18"/>
                <w:szCs w:val="18"/>
              </w:rPr>
              <w:t>Gola et al., 2018).</w:t>
            </w:r>
          </w:p>
        </w:tc>
        <w:tc>
          <w:tcPr>
            <w:tcW w:w="0" w:type="auto"/>
            <w:tcMar>
              <w:top w:w="57" w:type="dxa"/>
              <w:left w:w="57" w:type="dxa"/>
              <w:bottom w:w="57" w:type="dxa"/>
              <w:right w:w="57" w:type="dxa"/>
            </w:tcMar>
            <w:vAlign w:val="top"/>
          </w:tcPr>
          <w:p w14:paraId="004DB482" w14:textId="1F39EDCD"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Improves indoor air quality (USGBC, 2020).</w:t>
            </w:r>
          </w:p>
        </w:tc>
        <w:tc>
          <w:tcPr>
            <w:tcW w:w="0" w:type="auto"/>
            <w:tcMar>
              <w:top w:w="57" w:type="dxa"/>
              <w:left w:w="57" w:type="dxa"/>
              <w:bottom w:w="57" w:type="dxa"/>
              <w:right w:w="57" w:type="dxa"/>
            </w:tcMar>
            <w:vAlign w:val="top"/>
          </w:tcPr>
          <w:p w14:paraId="40128D15"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building codes for hospitals must be updated to account for post pandemic issues.</w:t>
            </w:r>
          </w:p>
        </w:tc>
      </w:tr>
      <w:tr w:rsidR="007C378B" w:rsidRPr="00131758" w14:paraId="74D92D05" w14:textId="77777777" w:rsidTr="006E4D6C">
        <w:trPr>
          <w:trHeight w:val="180"/>
        </w:trPr>
        <w:tc>
          <w:tcPr>
            <w:tcW w:w="0" w:type="auto"/>
            <w:vMerge/>
            <w:tcMar>
              <w:top w:w="57" w:type="dxa"/>
              <w:left w:w="57" w:type="dxa"/>
              <w:bottom w:w="57" w:type="dxa"/>
              <w:right w:w="57" w:type="dxa"/>
            </w:tcMar>
            <w:vAlign w:val="top"/>
          </w:tcPr>
          <w:p w14:paraId="0463A8CB" w14:textId="77777777" w:rsidR="00695365" w:rsidRPr="00131758" w:rsidRDefault="00695365" w:rsidP="006E4D6C">
            <w:pPr>
              <w:widowControl w:val="0"/>
              <w:pBdr>
                <w:top w:val="nil"/>
                <w:left w:val="nil"/>
                <w:bottom w:val="nil"/>
                <w:right w:val="nil"/>
                <w:between w:val="nil"/>
              </w:pBd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7E4F2113"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Aeration in hospitals</w:t>
            </w:r>
          </w:p>
        </w:tc>
        <w:tc>
          <w:tcPr>
            <w:tcW w:w="0" w:type="auto"/>
            <w:tcMar>
              <w:top w:w="57" w:type="dxa"/>
              <w:left w:w="57" w:type="dxa"/>
              <w:bottom w:w="57" w:type="dxa"/>
              <w:right w:w="57" w:type="dxa"/>
            </w:tcMar>
            <w:vAlign w:val="top"/>
          </w:tcPr>
          <w:p w14:paraId="3CB4D1FC"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 xml:space="preserve">Avoid recirculation of air </w:t>
            </w:r>
            <w:r w:rsidR="00062EDE" w:rsidRPr="00131758">
              <w:rPr>
                <w:rFonts w:ascii="Georgia" w:eastAsia="Georgia" w:hAnsi="Georgia" w:cs="Georgia"/>
                <w:sz w:val="18"/>
                <w:szCs w:val="18"/>
              </w:rPr>
              <w:fldChar w:fldCharType="begin" w:fldLock="1"/>
            </w:r>
            <w:r w:rsidR="00D41E18" w:rsidRPr="00131758">
              <w:rPr>
                <w:rFonts w:ascii="Georgia" w:eastAsia="Georgia" w:hAnsi="Georgia" w:cs="Georgia"/>
                <w:sz w:val="18"/>
                <w:szCs w:val="18"/>
              </w:rPr>
              <w:instrText>ADDIN CSL_CITATION {"citationItems":[{"id":"ITEM-1","itemData":{"DOI":"10.7326/M18-3529","ISSN":"15393704","PMID":"31569228","author":[{"dropping-particle":"","family":"Popovich","given":"Kyle J.","non-dropping-particle":"","parse-names":false,"suffix":""},{"dropping-particle":"","family":"Calfee","given":"David P.","non-dropping-particle":"","parse-names":false,"suffix":""},{"dropping-particle":"","family":"Patel","given":"Payal K.","non-dropping-particle":"","parse-names":false,"suffix":""},{"dropping-particle":"","family":"Lassiter","given":"Shelby","non-dropping-particle":"","parse-names":false,"suffix":""},{"dropping-particle":"","family":"Rolle","given":"Andrew J.","non-dropping-particle":"","parse-names":false,"suffix":""},{"dropping-particle":"","family":"Hung","given":"Louella","non-dropping-particle":"","parse-names":false,"suffix":""},{"dropping-particle":"","family":"Saint","given":"Sanjay","non-dropping-particle":"","parse-names":false,"suffix":""},{"dropping-particle":"","family":"Chopra","given":"Vineet","non-dropping-particle":"","parse-names":false,"suffix":""}],"container-title":"Annals of Internal Medicine","id":"ITEM-1","issue":"7","issued":{"date-parts":[["2019"]]},"page":"S2-S6","title":"The centers for disease control and prevention strive initiative: Construction of a national program to reduce health care-associated infections at the local level","type":"article-journal","volume":"171"},"uris":["http://www.mendeley.com/documents/?uuid=a80f55b6-c1be-40b2-8f5a-927b944a0ba5"]}],"mendeley":{"formattedCitation":"(Popovich et al., 2019)","plainTextFormattedCitation":"(Popovich et al., 2019)","previouslyFormattedCitation":"(Popovich et al., 2019)"},"properties":{"noteIndex":0},"schema":"https://github.com/citation-style-language/schema/raw/master/csl-citation.json"}</w:instrText>
            </w:r>
            <w:r w:rsidR="00062EDE" w:rsidRPr="00131758">
              <w:rPr>
                <w:rFonts w:ascii="Georgia" w:eastAsia="Georgia" w:hAnsi="Georgia" w:cs="Georgia"/>
                <w:sz w:val="18"/>
                <w:szCs w:val="18"/>
              </w:rPr>
              <w:fldChar w:fldCharType="separate"/>
            </w:r>
            <w:r w:rsidR="00062EDE" w:rsidRPr="00131758">
              <w:rPr>
                <w:rFonts w:ascii="Georgia" w:eastAsia="Georgia" w:hAnsi="Georgia" w:cs="Georgia"/>
                <w:noProof/>
                <w:sz w:val="18"/>
                <w:szCs w:val="18"/>
              </w:rPr>
              <w:t>(Popovich et al., 2019)</w:t>
            </w:r>
            <w:r w:rsidR="00062EDE" w:rsidRPr="00131758">
              <w:rPr>
                <w:rFonts w:ascii="Georgia" w:eastAsia="Georgia" w:hAnsi="Georgia" w:cs="Georgia"/>
                <w:sz w:val="18"/>
                <w:szCs w:val="18"/>
              </w:rPr>
              <w:fldChar w:fldCharType="end"/>
            </w:r>
            <w:r w:rsidRPr="00131758">
              <w:rPr>
                <w:rFonts w:ascii="Georgia" w:eastAsia="Georgia" w:hAnsi="Georgia" w:cs="Georgia"/>
                <w:sz w:val="18"/>
                <w:szCs w:val="18"/>
              </w:rPr>
              <w:t xml:space="preserve">.The ventilation for each room must be separate to avoid cross contamination </w:t>
            </w:r>
            <w:r w:rsidR="00D41E18" w:rsidRPr="00131758">
              <w:rPr>
                <w:rFonts w:ascii="Georgia" w:eastAsia="Georgia" w:hAnsi="Georgia" w:cs="Georgia"/>
                <w:sz w:val="18"/>
                <w:szCs w:val="18"/>
              </w:rPr>
              <w:fldChar w:fldCharType="begin" w:fldLock="1"/>
            </w:r>
            <w:r w:rsidR="00D41E18" w:rsidRPr="00131758">
              <w:rPr>
                <w:rFonts w:ascii="Georgia" w:eastAsia="Georgia" w:hAnsi="Georgia" w:cs="Georgia"/>
                <w:sz w:val="18"/>
                <w:szCs w:val="18"/>
              </w:rPr>
              <w:instrText>ADDIN CSL_CITATION {"citationItems":[{"id":"ITEM-1","itemData":{"DOI":"10.1051/e3sconf/202127401013","ISSN":"22671242","abstract":"Emerging infectious diseases originating from wildlife species continue to demolish humankind leaving an imprint on human history. December 2019 has marked the emergence of a novel coronavirus named SARS-CoV-2 (Covid-2019) originated in China in the city of Wuhan. Drastic emergence and spread of infectious disease have shown to appear in highly densified areas causing rapid spread of epidemic through population movement, transmission routes, major activity nodes, proximity, and connectivity of urban spaces. An extreme number of cases rising throughout the world caused space unavailability in healthcare facilities to serve patients infected with Covid-2019, therefore urging for innovative emergency management response from construction and architecture industry. Prefabricated modular construction has been widely utilized around the globe assembling rapid response facilities after catastrophic events such as tornadoes, hurricanes, and forest fires. An increasing number of Covid-2019 cases demanded effective and compressed implementation of medical centres to provide expeditious and secure healthcare. The paper examines the potential of standardization of modular construction of hospitals as a response to current and potential pandemic outbreaks. The research provides fundamental planning requirements of isolation units and their design flexibility as a key to rapid emergency solution.","author":[{"dropping-particle":"","family":"Smolova","given":"Marina","non-dropping-particle":"","parse-names":false,"suffix":""},{"dropping-particle":"","family":"Smolova","given":"Daria","non-dropping-particle":"","parse-names":false,"suffix":""}],"container-title":"E3S Web of Conferences","id":"ITEM-1","issued":{"date-parts":[["2021"]]},"title":"Emergency architecture. Modular construction of healthcare facilities as a response to pandemic outbreak","type":"article-journal","volume":"274"},"uris":["http://www.mendeley.com/documents/?uuid=e539033a-3e09-4952-8b78-55d0b973375b"]}],"mendeley":{"formattedCitation":"(Smolova &amp; Smolova, 2021)","plainTextFormattedCitation":"(Smolova &amp; Smolova, 2021)","previouslyFormattedCitation":"(Smolova &amp; Smolova, 2021)"},"properties":{"noteIndex":0},"schema":"https://github.com/citation-style-language/schema/raw/master/csl-citation.json"}</w:instrText>
            </w:r>
            <w:r w:rsidR="00D41E18" w:rsidRPr="00131758">
              <w:rPr>
                <w:rFonts w:ascii="Georgia" w:eastAsia="Georgia" w:hAnsi="Georgia" w:cs="Georgia"/>
                <w:sz w:val="18"/>
                <w:szCs w:val="18"/>
              </w:rPr>
              <w:fldChar w:fldCharType="separate"/>
            </w:r>
            <w:r w:rsidR="00D41E18" w:rsidRPr="00131758">
              <w:rPr>
                <w:rFonts w:ascii="Georgia" w:eastAsia="Georgia" w:hAnsi="Georgia" w:cs="Georgia"/>
                <w:noProof/>
                <w:sz w:val="18"/>
                <w:szCs w:val="18"/>
              </w:rPr>
              <w:t>(Smolova &amp; Smolova, 2021)</w:t>
            </w:r>
            <w:r w:rsidR="00D41E18" w:rsidRPr="00131758">
              <w:rPr>
                <w:rFonts w:ascii="Georgia" w:eastAsia="Georgia" w:hAnsi="Georgia" w:cs="Georgia"/>
                <w:sz w:val="18"/>
                <w:szCs w:val="18"/>
              </w:rPr>
              <w:fldChar w:fldCharType="end"/>
            </w:r>
            <w:r w:rsidR="00D41E18" w:rsidRPr="00131758">
              <w:rPr>
                <w:rFonts w:ascii="Georgia" w:eastAsia="Georgia" w:hAnsi="Georgia" w:cs="Georgia"/>
                <w:sz w:val="18"/>
                <w:szCs w:val="18"/>
              </w:rPr>
              <w:t>.</w:t>
            </w:r>
            <w:r w:rsidRPr="00131758">
              <w:rPr>
                <w:rFonts w:ascii="Georgia" w:eastAsia="Georgia" w:hAnsi="Georgia" w:cs="Georgia"/>
                <w:sz w:val="18"/>
                <w:szCs w:val="18"/>
              </w:rPr>
              <w:t xml:space="preserve"> Avoid close ended corridors (Emmanuel et al, 2020).</w:t>
            </w:r>
          </w:p>
          <w:p w14:paraId="7FE88297" w14:textId="09C59380" w:rsidR="00695365" w:rsidRPr="00131758" w:rsidRDefault="00FE3B21" w:rsidP="006E4D6C">
            <w:pPr>
              <w:spacing w:after="120" w:line="240" w:lineRule="auto"/>
              <w:jc w:val="left"/>
              <w:rPr>
                <w:rFonts w:ascii="Georgia" w:eastAsia="Georgia" w:hAnsi="Georgia" w:cs="Georgia"/>
                <w:sz w:val="18"/>
                <w:szCs w:val="18"/>
              </w:rPr>
            </w:pPr>
            <w:r w:rsidRPr="00131758">
              <w:rPr>
                <w:rFonts w:ascii="Georgia" w:hAnsi="Georgia"/>
                <w:sz w:val="18"/>
                <w:szCs w:val="18"/>
              </w:rPr>
              <w:t>Heat recovery units make sure that the air inside and outside are completely separate</w:t>
            </w:r>
            <w:r w:rsidR="005049D2" w:rsidRPr="00131758">
              <w:rPr>
                <w:rFonts w:ascii="Georgia" w:eastAsia="Georgia" w:hAnsi="Georgia" w:cs="Georgia"/>
                <w:sz w:val="18"/>
                <w:szCs w:val="18"/>
              </w:rPr>
              <w:fldChar w:fldCharType="begin" w:fldLock="1"/>
            </w:r>
            <w:r w:rsidR="00B66392" w:rsidRPr="00131758">
              <w:rPr>
                <w:rFonts w:ascii="Georgia" w:eastAsia="Georgia" w:hAnsi="Georgia" w:cs="Georgia"/>
                <w:sz w:val="18"/>
                <w:szCs w:val="18"/>
              </w:rPr>
              <w:instrText>ADDIN CSL_CITATION {"citationItems":[{"id":"ITEM-1","itemData":{"DOI":"10.1016/j.envint.2020.105832","ISSN":"18736750","PMID":"32521345","abstract":"During the rapid rise in COVID-19 illnesses and deaths globally, and notwithstanding recommended precautions, questions are voiced about routes of transmission for this pandemic disease. Inhaling small airborne droplets is probable as a third route of infection, in addition to more widely recognized transmission via larger respiratory droplets and direct contact with infected people or contaminated surfaces. While uncertainties remain regarding the relative contributions of the different transmission pathways, we argue that existing evidence is sufficiently strong to warrant engineering controls targeting airborne transmission as part of an overall strategy to limit infection risk indoors. Appropriate building engineering controls include sufficient and effective ventilation, possibly enhanced by particle filtration and air disinfection, avoiding air recirculation and avoiding overcrowding. Often, such measures can be easily implemented and without much cost, but if only they are recognised as significant in contributing to infection control goals. We believe that the use of engineering controls in public buildings, including hospitals, shops, offices, schools, kindergartens, libraries, restaurants, cruise ships, elevators, conference rooms or public transport, in parallel with effective application of other controls (including isolation and quarantine, social distancing and hand hygiene), would be an additional important measure globally to reduce the likelihood of transmission and thereby protect healthcare workers, patients and the general public.","author":[{"dropping-particle":"","family":"Morawska","given":"Lidia","non-dropping-particle":"","parse-names":false,"suffix":""},{"dropping-particle":"","family":"Tang","given":"Julian W.","non-dropping-particle":"","parse-names":false,"suffix":""},{"dropping-particle":"","family":"Bahnfleth","given":"William","non-dropping-particle":"","parse-names":false,"suffix":""},{"dropping-particle":"","family":"Bluyssen","given":"Philomena M.","non-dropping-particle":"","parse-names":false,"suffix":""},{"dropping-particle":"","family":"Boerstra","given":"Atze","non-dropping-particle":"","parse-names":false,"suffix":""},{"dropping-particle":"","family":"Buonanno","given":"Giorgio","non-dropping-particle":"","parse-names":false,"suffix":""},{"dropping-particle":"","family":"Cao","given":"Junji","non-dropping-particle":"","parse-names":false,"suffix":""},{"dropping-particle":"","family":"Dancer","given":"Stephanie","non-dropping-particle":"","parse-names":false,"suffix":""},{"dropping-particle":"","family":"Floto","given":"Andres","non-dropping-particle":"","parse-names":false,"suffix":""},{"dropping-particle":"","family":"Franchimon","given":"Francesco","non-dropping-particle":"","parse-names":false,"suffix":""},{"dropping-particle":"","family":"Haworth","given":"Charles","non-dropping-particle":"","parse-names":false,"suffix":""},{"dropping-particle":"","family":"Hogeling","given":"Jaap","non-dropping-particle":"","parse-names":false,"suffix":""},{"dropping-particle":"","family":"Isaxon","given":"Christina","non-dropping-particle":"","parse-names":false,"suffix":""},{"dropping-particle":"","family":"Jimenez","given":"Jose L.","non-dropping-particle":"","parse-names":false,"suffix":""},{"dropping-particle":"","family":"Kurnitski","given":"Jarek","non-dropping-particle":"","parse-names":false,"suffix":""},{"dropping-particle":"","family":"Li","given":"Yuguo","non-dropping-particle":"","parse-names":false,"suffix":""},{"dropping-particle":"","family":"Loomans","given":"Marcel","non-dropping-particle":"","parse-names":false,"suffix":""},{"dropping-particle":"","family":"Marks","given":"Guy","non-dropping-particle":"","parse-names":false,"suffix":""},{"dropping-particle":"","family":"Marr","given":"Linsey C.","non-dropping-particle":"","parse-names":false,"suffix":""},{"dropping-particle":"","family":"Mazzarella","given":"Livio","non-dropping-particle":"","parse-names":false,"suffix":""},{"dropping-particle":"","family":"Melikov","given":"Arsen Krikor","non-dropping-particle":"","parse-names":false,"suffix":""},{"dropping-particle":"","family":"Miller","given":"Shelly","non-dropping-particle":"","parse-names":false,"suffix":""},{"dropping-particle":"","family":"Milton","given":"Donald K.","non-dropping-particle":"","parse-names":false,"suffix":""},{"dropping-particle":"","family":"Nazaroff","given":"William","non-dropping-particle":"","parse-names":false,"suffix":""},{"dropping-particle":"V.","family":"Nielsen","given":"Peter","non-dropping-particle":"","parse-names":false,"suffix":""},{"dropping-particle":"","family":"Noakes","given":"Catherine","non-dropping-particle":"","parse-names":false,"suffix":""},{"dropping-particle":"","family":"Peccia","given":"Jordan","non-dropping-particle":"","parse-names":false,"suffix":""},{"dropping-particle":"","family":"Querol","given":"Xavier","non-dropping-particle":"","parse-names":false,"suffix":""},{"dropping-particle":"","family":"Sekhar","given":"Chandra","non-dropping-particle":"","parse-names":false,"suffix":""},{"dropping-particle":"","family":"Seppänen","given":"Olli","non-dropping-particle":"","parse-names":false,"suffix":""},{"dropping-particle":"","family":"Tanabe","given":"Shin ichi","non-dropping-particle":"","parse-names":false,"suffix":""},{"dropping-particle":"","family":"Tellier","given":"Raymond","non-dropping-particle":"","parse-names":false,"suffix":""},{"dropping-particle":"","family":"Tham","given":"Kwok Wai","non-dropping-particle":"","parse-names":false,"suffix":""},{"dropping-particle":"","family":"Wargocki","given":"Pawel","non-dropping-particle":"","parse-names":false,"suffix":""},{"dropping-particle":"","family":"Wierzbicka","given":"Aneta","non-dropping-particle":"","parse-names":false,"suffix":""},{"dropping-particle":"","family":"Yao","given":"Maosheng","non-dropping-particle":"","parse-names":false,"suffix":""}],"container-title":"Environment International","id":"ITEM-1","issue":"May","issued":{"date-parts":[["2020"]]},"title":"How can airborne transmission of COVID-19 indoors be minimised?","type":"article-journal","volume":"142"},"uris":["http://www.mendeley.com/documents/?uuid=d787bf48-db7a-436d-8672-ea3cd13a41c2"]}],"mendeley":{"formattedCitation":"(Morawska et al., 2020)","plainTextFormattedCitation":"(Morawska et al., 2020)","previouslyFormattedCitation":"(Morawska et al., 2020)"},"properties":{"noteIndex":0},"schema":"https://github.com/citation-style-language/schema/raw/master/csl-citation.json"}</w:instrText>
            </w:r>
            <w:r w:rsidR="005049D2" w:rsidRPr="00131758">
              <w:rPr>
                <w:rFonts w:ascii="Georgia" w:eastAsia="Georgia" w:hAnsi="Georgia" w:cs="Georgia"/>
                <w:sz w:val="18"/>
                <w:szCs w:val="18"/>
              </w:rPr>
              <w:fldChar w:fldCharType="separate"/>
            </w:r>
            <w:r w:rsidR="005049D2" w:rsidRPr="00131758">
              <w:rPr>
                <w:rFonts w:ascii="Georgia" w:eastAsia="Georgia" w:hAnsi="Georgia" w:cs="Georgia"/>
                <w:noProof/>
                <w:sz w:val="18"/>
                <w:szCs w:val="18"/>
              </w:rPr>
              <w:t>(Morawska et al., 2020)</w:t>
            </w:r>
            <w:r w:rsidR="005049D2" w:rsidRPr="00131758">
              <w:rPr>
                <w:rFonts w:ascii="Georgia" w:eastAsia="Georgia" w:hAnsi="Georgia" w:cs="Georgia"/>
                <w:sz w:val="18"/>
                <w:szCs w:val="18"/>
              </w:rPr>
              <w:fldChar w:fldCharType="end"/>
            </w:r>
            <w:r w:rsidR="00366511" w:rsidRPr="00131758">
              <w:rPr>
                <w:rFonts w:ascii="Georgia" w:eastAsia="Georgia" w:hAnsi="Georgia" w:cs="Georgia"/>
                <w:sz w:val="18"/>
                <w:szCs w:val="18"/>
              </w:rPr>
              <w:t>.</w:t>
            </w:r>
          </w:p>
          <w:p w14:paraId="15E6D717" w14:textId="77777777" w:rsidR="00695365" w:rsidRPr="00131758" w:rsidRDefault="00695365" w:rsidP="006E4D6C">
            <w:pPr>
              <w:spacing w:after="120" w:line="240" w:lineRule="auto"/>
              <w:jc w:val="left"/>
              <w:rPr>
                <w:rFonts w:ascii="Georgia" w:eastAsia="Georgia" w:hAnsi="Georgia" w:cs="Georgia"/>
                <w:sz w:val="18"/>
                <w:szCs w:val="18"/>
              </w:rPr>
            </w:pPr>
          </w:p>
          <w:p w14:paraId="53D64720" w14:textId="77777777" w:rsidR="00695365" w:rsidRPr="00131758" w:rsidRDefault="00695365" w:rsidP="006E4D6C">
            <w:pP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5E737230" w14:textId="5B6D9C54"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Natural ventilation is encouraged to reduce energy demand and improve the comfort and mental health of patients (USGBC, 2017;</w:t>
            </w:r>
            <w:r w:rsidRPr="00131758">
              <w:rPr>
                <w:rFonts w:ascii="Georgia" w:eastAsia="Georgia" w:hAnsi="Georgia" w:cs="Georgia"/>
                <w:sz w:val="18"/>
                <w:szCs w:val="18"/>
                <w:highlight w:val="white"/>
              </w:rPr>
              <w:t xml:space="preserve"> </w:t>
            </w:r>
            <w:r w:rsidR="00D41E18" w:rsidRPr="00131758">
              <w:rPr>
                <w:rFonts w:ascii="Georgia" w:eastAsia="Georgia" w:hAnsi="Georgia" w:cs="Georgia"/>
                <w:sz w:val="18"/>
                <w:szCs w:val="18"/>
                <w:highlight w:val="white"/>
              </w:rPr>
              <w:fldChar w:fldCharType="begin" w:fldLock="1"/>
            </w:r>
            <w:r w:rsidR="001F0382" w:rsidRPr="00131758">
              <w:rPr>
                <w:rFonts w:ascii="Georgia" w:eastAsia="Georgia" w:hAnsi="Georgia" w:cs="Georgia"/>
                <w:sz w:val="18"/>
                <w:szCs w:val="18"/>
                <w:highlight w:val="white"/>
              </w:rPr>
              <w:instrText>ADDIN CSL_CITATION {"citationItems":[{"id":"ITEM-1","itemData":{"DOI":"10.3390/ijerph18147353","ISSN":"16604601","PMID":"34299803","abstract":"While the pressure on hospital workers keeps growing, they are generally more dissatis-fied with their comfort than other occupants in hospitals or offices. To better understand the comfort of outpatient workers in hospitals, clusters for preferences and perceptions of the indoor environmental quality (IEQ) and social comfort were identified in a previous study before the outbreak of the coronavirus disease 2019 (COVID-19) pandemic. This qualitative study explains the outpatient workers’ main preferences for comfort during the COVID-19 pandemic. Semi-structured interviews and photo-elicitation were used. Contextual changes due to the COVID-19 pandemic were in-cluded. The questions in the interviews were based on the characteristics of the profiles, corresponding with the clusters. The data were analyzed with content analysis according to the steps defined by Gioia. Seventeen outpatient workers who had been part of the previous study participated. For some outpatient workers differentiation of preferences was illogical due to interrelations and equal importance of the comfort aspects. The main changes in perceptions of comfort due to the pandemic were worries about the indoor air quality and impoverished interaction. Because the occupants’ preferences for comfort can change over time, it was suggested that further development of occupant profiles needs to accommodate changes.","author":[{"dropping-particle":"","family":"Eijkelenboom","given":"Annemarie","non-dropping-particle":"","parse-names":false,"suffix":""},{"dropping-particle":"","family":"Ortiz","given":"Marco A.","non-dropping-particle":"","parse-names":false,"suffix":""},{"dropping-particle":"","family":"Bluyssen","given":"Philomena M.","non-dropping-particle":"","parse-names":false,"suffix":""}],"container-title":"International Journal of Environmental Research and Public Health","id":"ITEM-1","issue":"14","issued":{"date-parts":[["2021","7","2"]]},"publisher":"MDPI AG","title":"Preferences for indoor environmental and social comfort of outpatient staff during the COVID-19 pandemic, an explanatory study","type":"article-journal","volume":"18"},"uris":["http://www.mendeley.com/documents/?uuid=59c7599a-a2d7-3cc6-be7f-2edcd559b79f"]}],"mendeley":{"formattedCitation":"(Eijkelenboom et al., 2021)","plainTextFormattedCitation":"(Eijkelenboom et al., 2021)","previouslyFormattedCitation":"(Eijkelenboom et al., 2021)"},"properties":{"noteIndex":0},"schema":"https://github.com/citation-style-language/schema/raw/master/csl-citation.json"}</w:instrText>
            </w:r>
            <w:r w:rsidR="00D41E18" w:rsidRPr="00131758">
              <w:rPr>
                <w:rFonts w:ascii="Georgia" w:eastAsia="Georgia" w:hAnsi="Georgia" w:cs="Georgia"/>
                <w:sz w:val="18"/>
                <w:szCs w:val="18"/>
                <w:highlight w:val="white"/>
              </w:rPr>
              <w:fldChar w:fldCharType="separate"/>
            </w:r>
            <w:r w:rsidR="00D41E18" w:rsidRPr="00131758">
              <w:rPr>
                <w:rFonts w:ascii="Georgia" w:eastAsia="Georgia" w:hAnsi="Georgia" w:cs="Georgia"/>
                <w:noProof/>
                <w:sz w:val="18"/>
                <w:szCs w:val="18"/>
                <w:highlight w:val="white"/>
              </w:rPr>
              <w:t>(Eijkelenboom et al., 2021)</w:t>
            </w:r>
            <w:r w:rsidR="00D41E18" w:rsidRPr="00131758">
              <w:rPr>
                <w:rFonts w:ascii="Georgia" w:eastAsia="Georgia" w:hAnsi="Georgia" w:cs="Georgia"/>
                <w:sz w:val="18"/>
                <w:szCs w:val="18"/>
                <w:highlight w:val="white"/>
              </w:rPr>
              <w:fldChar w:fldCharType="end"/>
            </w:r>
            <w:r w:rsidRPr="00131758">
              <w:rPr>
                <w:rFonts w:ascii="Georgia" w:eastAsia="Georgia" w:hAnsi="Georgia" w:cs="Georgia"/>
                <w:sz w:val="18"/>
                <w:szCs w:val="18"/>
              </w:rPr>
              <w:t>.</w:t>
            </w:r>
          </w:p>
          <w:p w14:paraId="0DF073EE" w14:textId="478AF71D"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 xml:space="preserve">Dedicated elements such as </w:t>
            </w:r>
            <w:r w:rsidR="00AA7ED8" w:rsidRPr="00131758">
              <w:rPr>
                <w:rFonts w:ascii="Georgia" w:eastAsia="Georgia" w:hAnsi="Georgia" w:cs="Georgia"/>
                <w:sz w:val="18"/>
                <w:szCs w:val="18"/>
              </w:rPr>
              <w:t xml:space="preserve">a </w:t>
            </w:r>
            <w:r w:rsidRPr="00131758">
              <w:rPr>
                <w:rFonts w:ascii="Georgia" w:eastAsia="Georgia" w:hAnsi="Georgia" w:cs="Georgia"/>
                <w:sz w:val="18"/>
                <w:szCs w:val="18"/>
              </w:rPr>
              <w:t>wind cowl, wind catcher</w:t>
            </w:r>
            <w:r w:rsidR="00AA7ED8" w:rsidRPr="00131758">
              <w:rPr>
                <w:rFonts w:ascii="Georgia" w:eastAsia="Georgia" w:hAnsi="Georgia" w:cs="Georgia"/>
                <w:sz w:val="18"/>
                <w:szCs w:val="18"/>
              </w:rPr>
              <w:t>,</w:t>
            </w:r>
            <w:r w:rsidRPr="00131758">
              <w:rPr>
                <w:rFonts w:ascii="Georgia" w:eastAsia="Georgia" w:hAnsi="Georgia" w:cs="Georgia"/>
                <w:sz w:val="18"/>
                <w:szCs w:val="18"/>
              </w:rPr>
              <w:t xml:space="preserve"> and double skin may be used to enhance airflow </w:t>
            </w:r>
            <w:r w:rsidR="00E13E13" w:rsidRPr="00131758">
              <w:rPr>
                <w:rFonts w:ascii="Georgia" w:eastAsia="Georgia" w:hAnsi="Georgia" w:cs="Georgia"/>
                <w:sz w:val="18"/>
                <w:szCs w:val="18"/>
              </w:rPr>
              <w:fldChar w:fldCharType="begin" w:fldLock="1"/>
            </w:r>
            <w:r w:rsidR="009F10AC" w:rsidRPr="00131758">
              <w:rPr>
                <w:rFonts w:ascii="Georgia" w:eastAsia="Georgia" w:hAnsi="Georgia" w:cs="Georgia"/>
                <w:sz w:val="18"/>
                <w:szCs w:val="18"/>
              </w:rPr>
              <w:instrText>ADDIN CSL_CITATION {"citationItems":[{"id":"ITEM-1","itemData":{"abstract":"While the economical, environmental, comfort and health related benefits of natural ventilation are known and proven, the choice for natural ventilation is rarely made, especially in larger buildings. This paper presents a comprehensive explanation of the driving forces for natural ventilation, the natural ventilation principles and their possible application on different typologies of buildings. Characteristic architectural elements such as solar chimneys, double-skin facades or atria are reviewed, their relevance for buildings in the Netherlands in general and for the AMC hospital in Amsterdam in specific is discussed, and the possibility to use them in combination with passive heating or cooling is assessed. Design recommendations are derived from the literature study that can be explored further in a research by design approach.","author":[{"dropping-particle":"","family":"Ridder-Le Creurer","given":"Maxime","non-dropping-particle":"De","parse-names":false,"suffix":""}],"id":"ITEM-1","issued":{"date-parts":[["0"]]},"title":"ASSESSING NATURAL VENTILATION AND PASSIVE CLIMATE CONTROL POSSIBILITIES IN A HOSPITAL BUILDING IN THE NETHERLANDS","type":"report"},"uris":["http://www.mendeley.com/documents/?uuid=de4eb0ca-8325-3781-b582-1f88ad72f152"]}],"mendeley":{"formattedCitation":"(De Ridder-Le Creurer, n.d.)","manualFormatting":"(Creurer, 2020.)","plainTextFormattedCitation":"(De Ridder-Le Creurer, n.d.)","previouslyFormattedCitation":"(De Ridder-Le Creurer, n.d.)"},"properties":{"noteIndex":0},"schema":"https://github.com/citation-style-language/schema/raw/master/csl-citation.json"}</w:instrText>
            </w:r>
            <w:r w:rsidR="00E13E13" w:rsidRPr="00131758">
              <w:rPr>
                <w:rFonts w:ascii="Georgia" w:eastAsia="Georgia" w:hAnsi="Georgia" w:cs="Georgia"/>
                <w:sz w:val="18"/>
                <w:szCs w:val="18"/>
              </w:rPr>
              <w:fldChar w:fldCharType="separate"/>
            </w:r>
            <w:r w:rsidR="009F10AC" w:rsidRPr="00131758">
              <w:rPr>
                <w:rFonts w:ascii="Georgia" w:eastAsia="Georgia" w:hAnsi="Georgia" w:cs="Georgia"/>
                <w:noProof/>
                <w:sz w:val="18"/>
                <w:szCs w:val="18"/>
              </w:rPr>
              <w:t>(Creurer, 2020</w:t>
            </w:r>
            <w:r w:rsidR="00E13E13" w:rsidRPr="00131758">
              <w:rPr>
                <w:rFonts w:ascii="Georgia" w:eastAsia="Georgia" w:hAnsi="Georgia" w:cs="Georgia"/>
                <w:noProof/>
                <w:sz w:val="18"/>
                <w:szCs w:val="18"/>
              </w:rPr>
              <w:t>.)</w:t>
            </w:r>
            <w:r w:rsidR="00E13E13" w:rsidRPr="00131758">
              <w:rPr>
                <w:rFonts w:ascii="Georgia" w:eastAsia="Georgia" w:hAnsi="Georgia" w:cs="Georgia"/>
                <w:sz w:val="18"/>
                <w:szCs w:val="18"/>
              </w:rPr>
              <w:fldChar w:fldCharType="end"/>
            </w:r>
            <w:r w:rsidRPr="00131758">
              <w:rPr>
                <w:rFonts w:ascii="Georgia" w:eastAsia="Georgia" w:hAnsi="Georgia" w:cs="Georgia"/>
                <w:sz w:val="18"/>
                <w:szCs w:val="18"/>
              </w:rPr>
              <w:t>.</w:t>
            </w:r>
          </w:p>
          <w:p w14:paraId="5C9C38CB" w14:textId="3026D6B9"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pollutants and microorganisms are also eliminated</w:t>
            </w:r>
            <w:r w:rsidR="00AA7ED8" w:rsidRPr="00131758">
              <w:rPr>
                <w:rFonts w:ascii="Georgia" w:eastAsia="Georgia" w:hAnsi="Georgia" w:cs="Georgia"/>
                <w:sz w:val="18"/>
                <w:szCs w:val="18"/>
              </w:rPr>
              <w:t>,</w:t>
            </w:r>
            <w:r w:rsidRPr="00131758">
              <w:rPr>
                <w:rFonts w:ascii="Georgia" w:eastAsia="Georgia" w:hAnsi="Georgia" w:cs="Georgia"/>
                <w:sz w:val="18"/>
                <w:szCs w:val="18"/>
              </w:rPr>
              <w:t xml:space="preserve"> improving the indoor air quality (</w:t>
            </w:r>
            <w:r w:rsidRPr="00131758">
              <w:rPr>
                <w:rFonts w:ascii="Georgia" w:eastAsia="Georgia" w:hAnsi="Georgia" w:cs="Georgia"/>
                <w:color w:val="222222"/>
                <w:sz w:val="18"/>
                <w:szCs w:val="18"/>
                <w:highlight w:val="white"/>
              </w:rPr>
              <w:t>Pinheiro &amp; Luís, 2020)</w:t>
            </w:r>
            <w:r w:rsidRPr="00131758">
              <w:rPr>
                <w:rFonts w:ascii="Georgia" w:eastAsia="Georgia" w:hAnsi="Georgia" w:cs="Georgia"/>
                <w:sz w:val="18"/>
                <w:szCs w:val="18"/>
              </w:rPr>
              <w:t>.</w:t>
            </w:r>
          </w:p>
          <w:p w14:paraId="703B9A96" w14:textId="29E8F69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view from</w:t>
            </w:r>
            <w:r w:rsidR="001F0382" w:rsidRPr="00131758">
              <w:rPr>
                <w:rFonts w:ascii="Georgia" w:eastAsia="Georgia" w:hAnsi="Georgia" w:cs="Georgia"/>
                <w:sz w:val="18"/>
                <w:szCs w:val="18"/>
              </w:rPr>
              <w:t xml:space="preserve"> the window improves wellbeing</w:t>
            </w:r>
            <w:r w:rsidR="00AA7ED8" w:rsidRPr="00131758">
              <w:rPr>
                <w:rFonts w:ascii="Georgia" w:eastAsia="Georgia" w:hAnsi="Georgia" w:cs="Georgia"/>
                <w:sz w:val="18"/>
                <w:szCs w:val="18"/>
              </w:rPr>
              <w:t xml:space="preserve"> </w:t>
            </w:r>
            <w:r w:rsidR="001F0382" w:rsidRPr="00131758">
              <w:rPr>
                <w:rFonts w:ascii="Georgia" w:eastAsia="Georgia" w:hAnsi="Georgia" w:cs="Georgia"/>
                <w:sz w:val="18"/>
                <w:szCs w:val="18"/>
              </w:rPr>
              <w:fldChar w:fldCharType="begin" w:fldLock="1"/>
            </w:r>
            <w:r w:rsidR="001F0382" w:rsidRPr="00131758">
              <w:rPr>
                <w:rFonts w:ascii="Georgia" w:eastAsia="Georgia" w:hAnsi="Georgia" w:cs="Georgia"/>
                <w:sz w:val="18"/>
                <w:szCs w:val="18"/>
              </w:rPr>
              <w:instrText>ADDIN CSL_CITATION {"citationItems":[{"id":"ITEM-1","itemData":{"author":[{"dropping-particle":"","family":"Luis","given":"Pinheiro and","non-dropping-particle":"","parse-names":false,"suffix":""}],"id":"ITEM-1","issued":{"date-parts":[["2020"]]},"title":"COVID-19 Could Leverage a Sustainable Built Environment","type":"article-journal"},"uris":["http://www.mendeley.com/documents/?uuid=91579067-b15a-47cc-a96f-f1e53f7a6041"]}],"mendeley":{"formattedCitation":"(Luis, 2020)","manualFormatting":"( Pinheiro &amp; Luis, 2020)","plainTextFormattedCitation":"(Luis, 2020)","previouslyFormattedCitation":"(Luis, 2020)"},"properties":{"noteIndex":0},"schema":"https://github.com/citation-style-language/schema/raw/master/csl-citation.json"}</w:instrText>
            </w:r>
            <w:r w:rsidR="001F0382" w:rsidRPr="00131758">
              <w:rPr>
                <w:rFonts w:ascii="Georgia" w:eastAsia="Georgia" w:hAnsi="Georgia" w:cs="Georgia"/>
                <w:sz w:val="18"/>
                <w:szCs w:val="18"/>
              </w:rPr>
              <w:fldChar w:fldCharType="separate"/>
            </w:r>
            <w:r w:rsidR="001F0382" w:rsidRPr="00131758">
              <w:rPr>
                <w:rFonts w:ascii="Georgia" w:eastAsia="Georgia" w:hAnsi="Georgia" w:cs="Georgia"/>
                <w:noProof/>
                <w:sz w:val="18"/>
                <w:szCs w:val="18"/>
              </w:rPr>
              <w:t>(</w:t>
            </w:r>
            <w:r w:rsidR="001F0382" w:rsidRPr="00131758">
              <w:rPr>
                <w:rFonts w:ascii="Georgia" w:eastAsia="Georgia" w:hAnsi="Georgia" w:cs="Georgia"/>
                <w:noProof/>
                <w:color w:val="222222"/>
                <w:sz w:val="18"/>
                <w:szCs w:val="18"/>
                <w:highlight w:val="white"/>
              </w:rPr>
              <w:t xml:space="preserve"> Pinheiro &amp;</w:t>
            </w:r>
            <w:r w:rsidR="001F0382" w:rsidRPr="00131758">
              <w:rPr>
                <w:rFonts w:ascii="Georgia" w:eastAsia="Georgia" w:hAnsi="Georgia" w:cs="Georgia"/>
                <w:noProof/>
                <w:color w:val="222222"/>
                <w:sz w:val="18"/>
                <w:szCs w:val="18"/>
              </w:rPr>
              <w:t xml:space="preserve"> </w:t>
            </w:r>
            <w:r w:rsidR="001F0382" w:rsidRPr="00131758">
              <w:rPr>
                <w:rFonts w:ascii="Georgia" w:eastAsia="Georgia" w:hAnsi="Georgia" w:cs="Georgia"/>
                <w:noProof/>
                <w:sz w:val="18"/>
                <w:szCs w:val="18"/>
              </w:rPr>
              <w:t>Luis, 2020)</w:t>
            </w:r>
            <w:r w:rsidR="001F0382" w:rsidRPr="00131758">
              <w:rPr>
                <w:rFonts w:ascii="Georgia" w:eastAsia="Georgia" w:hAnsi="Georgia" w:cs="Georgia"/>
                <w:sz w:val="18"/>
                <w:szCs w:val="18"/>
              </w:rPr>
              <w:fldChar w:fldCharType="end"/>
            </w:r>
            <w:r w:rsidRPr="00131758">
              <w:rPr>
                <w:rFonts w:ascii="Georgia" w:eastAsia="Georgia" w:hAnsi="Georgia" w:cs="Georgia"/>
                <w:sz w:val="18"/>
                <w:szCs w:val="18"/>
              </w:rPr>
              <w:t>.</w:t>
            </w:r>
          </w:p>
          <w:p w14:paraId="39A65A56" w14:textId="5AD43738"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USGBC</w:t>
            </w:r>
            <w:r w:rsidR="00AA7ED8" w:rsidRPr="00131758">
              <w:rPr>
                <w:rFonts w:ascii="Georgia" w:eastAsia="Georgia" w:hAnsi="Georgia" w:cs="Georgia"/>
                <w:sz w:val="18"/>
                <w:szCs w:val="18"/>
              </w:rPr>
              <w:t xml:space="preserve"> </w:t>
            </w:r>
            <w:r w:rsidRPr="00131758">
              <w:rPr>
                <w:rFonts w:ascii="Georgia" w:eastAsia="Georgia" w:hAnsi="Georgia" w:cs="Georgia"/>
                <w:sz w:val="18"/>
                <w:szCs w:val="18"/>
              </w:rPr>
              <w:t>(2017) suggests that optimum PM2.5</w:t>
            </w:r>
            <w:r w:rsidR="00FE3B21" w:rsidRPr="00131758">
              <w:rPr>
                <w:rFonts w:ascii="Georgia" w:eastAsia="Georgia" w:hAnsi="Georgia" w:cs="Georgia"/>
                <w:sz w:val="18"/>
                <w:szCs w:val="18"/>
              </w:rPr>
              <w:t xml:space="preserve"> is</w:t>
            </w:r>
            <w:r w:rsidRPr="00131758">
              <w:rPr>
                <w:rFonts w:ascii="Georgia" w:eastAsia="Georgia" w:hAnsi="Georgia" w:cs="Georgia"/>
                <w:sz w:val="18"/>
                <w:szCs w:val="18"/>
              </w:rPr>
              <w:t xml:space="preserve"> 15 µg/m or lower and </w:t>
            </w:r>
            <w:r w:rsidR="00FE3B21" w:rsidRPr="00131758">
              <w:rPr>
                <w:rFonts w:ascii="Georgia" w:eastAsia="Georgia" w:hAnsi="Georgia" w:cs="Georgia"/>
                <w:sz w:val="18"/>
                <w:szCs w:val="18"/>
              </w:rPr>
              <w:t xml:space="preserve">optimum </w:t>
            </w:r>
            <w:r w:rsidRPr="00131758">
              <w:rPr>
                <w:rFonts w:ascii="Georgia" w:eastAsia="Georgia" w:hAnsi="Georgia" w:cs="Georgia"/>
                <w:sz w:val="18"/>
                <w:szCs w:val="18"/>
              </w:rPr>
              <w:t>PM</w:t>
            </w:r>
            <w:r w:rsidR="001C7A07" w:rsidRPr="00131758">
              <w:rPr>
                <w:rFonts w:ascii="Georgia" w:eastAsia="Georgia" w:hAnsi="Georgia" w:cs="Georgia"/>
                <w:sz w:val="18"/>
                <w:szCs w:val="18"/>
              </w:rPr>
              <w:t xml:space="preserve"> </w:t>
            </w:r>
            <w:r w:rsidR="00A56A4D" w:rsidRPr="00131758">
              <w:rPr>
                <w:rFonts w:ascii="Georgia" w:eastAsia="Georgia" w:hAnsi="Georgia" w:cs="Georgia"/>
                <w:sz w:val="18"/>
                <w:szCs w:val="18"/>
              </w:rPr>
              <w:t>(particulate matter)</w:t>
            </w:r>
            <w:r w:rsidRPr="00131758">
              <w:rPr>
                <w:rFonts w:ascii="Georgia" w:eastAsia="Georgia" w:hAnsi="Georgia" w:cs="Georgia"/>
                <w:sz w:val="18"/>
                <w:szCs w:val="18"/>
              </w:rPr>
              <w:t>: 50 µg/m or lower.</w:t>
            </w:r>
          </w:p>
        </w:tc>
        <w:tc>
          <w:tcPr>
            <w:tcW w:w="0" w:type="auto"/>
            <w:tcMar>
              <w:top w:w="57" w:type="dxa"/>
              <w:left w:w="57" w:type="dxa"/>
              <w:bottom w:w="57" w:type="dxa"/>
              <w:right w:w="57" w:type="dxa"/>
            </w:tcMar>
            <w:vAlign w:val="top"/>
          </w:tcPr>
          <w:p w14:paraId="3DE47A2C" w14:textId="41FBB344" w:rsidR="00695365" w:rsidRPr="00131758" w:rsidRDefault="00AA7ED8"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When designing the HVAC, the site's climate and the amount of space needed should be taken into account.</w:t>
            </w:r>
            <w:r w:rsidR="00366511" w:rsidRPr="00131758">
              <w:rPr>
                <w:rFonts w:ascii="Georgia" w:eastAsia="Georgia" w:hAnsi="Georgia" w:cs="Georgia"/>
                <w:sz w:val="18"/>
                <w:szCs w:val="18"/>
              </w:rPr>
              <w:t xml:space="preserve"> However, in extreme climates hybrid ventilation is required. The wall window ratio can be used for designing the openings.</w:t>
            </w:r>
          </w:p>
          <w:p w14:paraId="012FB72A" w14:textId="77777777" w:rsidR="00695365"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BIM simulation can assist the design of HVAC early in the design process</w:t>
            </w:r>
            <w:r w:rsidR="001F0382" w:rsidRPr="00131758">
              <w:rPr>
                <w:rFonts w:ascii="Georgia" w:eastAsia="Georgia" w:hAnsi="Georgia" w:cs="Georgia"/>
                <w:sz w:val="18"/>
                <w:szCs w:val="18"/>
              </w:rPr>
              <w:t xml:space="preserve"> </w:t>
            </w:r>
            <w:r w:rsidRPr="00131758">
              <w:rPr>
                <w:rFonts w:ascii="Georgia" w:eastAsia="Georgia" w:hAnsi="Georgia" w:cs="Georgia"/>
                <w:sz w:val="18"/>
                <w:szCs w:val="18"/>
              </w:rPr>
              <w:t>(Luo et al., 2020).</w:t>
            </w:r>
          </w:p>
          <w:p w14:paraId="54014DB6" w14:textId="77777777" w:rsidR="007C378B" w:rsidRPr="00131758" w:rsidRDefault="007C378B" w:rsidP="006E4D6C">
            <w:pPr>
              <w:spacing w:after="120" w:line="240" w:lineRule="auto"/>
              <w:jc w:val="left"/>
              <w:rPr>
                <w:rFonts w:ascii="Georgia" w:eastAsia="Georgia" w:hAnsi="Georgia" w:cs="Georgia"/>
                <w:sz w:val="18"/>
                <w:szCs w:val="18"/>
              </w:rPr>
            </w:pPr>
          </w:p>
          <w:p w14:paraId="1E927D2F" w14:textId="7515E9B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air changes per hour should be 24</w:t>
            </w:r>
            <w:r w:rsidR="00FE3B21" w:rsidRPr="00131758">
              <w:rPr>
                <w:rFonts w:ascii="Georgia" w:eastAsia="Georgia" w:hAnsi="Georgia" w:cs="Georgia"/>
                <w:sz w:val="18"/>
                <w:szCs w:val="18"/>
              </w:rPr>
              <w:t xml:space="preserve"> </w:t>
            </w:r>
            <w:r w:rsidRPr="00131758">
              <w:rPr>
                <w:rFonts w:ascii="Georgia" w:eastAsia="Georgia" w:hAnsi="Georgia" w:cs="Georgia"/>
                <w:sz w:val="18"/>
                <w:szCs w:val="18"/>
              </w:rPr>
              <w:t>ACH to reduce the concentration of the pathogens in 10 minutes rather than 12</w:t>
            </w:r>
            <w:r w:rsidR="00FE3B21" w:rsidRPr="00131758">
              <w:rPr>
                <w:rFonts w:ascii="Georgia" w:eastAsia="Georgia" w:hAnsi="Georgia" w:cs="Georgia"/>
                <w:sz w:val="18"/>
                <w:szCs w:val="18"/>
              </w:rPr>
              <w:t xml:space="preserve"> </w:t>
            </w:r>
            <w:r w:rsidRPr="00131758">
              <w:rPr>
                <w:rFonts w:ascii="Georgia" w:eastAsia="Georgia" w:hAnsi="Georgia" w:cs="Georgia"/>
                <w:sz w:val="18"/>
                <w:szCs w:val="18"/>
              </w:rPr>
              <w:t>ACH which takes 20 minutes</w:t>
            </w:r>
            <w:r w:rsidR="00FE3B21" w:rsidRPr="00131758">
              <w:rPr>
                <w:rFonts w:ascii="Georgia" w:eastAsia="Georgia" w:hAnsi="Georgia" w:cs="Georgia"/>
                <w:sz w:val="18"/>
                <w:szCs w:val="18"/>
              </w:rPr>
              <w:t xml:space="preserve"> </w:t>
            </w:r>
            <w:r w:rsidR="001F0382" w:rsidRPr="00131758">
              <w:rPr>
                <w:rFonts w:ascii="Georgia" w:eastAsia="Georgia" w:hAnsi="Georgia" w:cs="Georgia"/>
                <w:sz w:val="18"/>
                <w:szCs w:val="18"/>
              </w:rPr>
              <w:fldChar w:fldCharType="begin" w:fldLock="1"/>
            </w:r>
            <w:r w:rsidR="001F0382" w:rsidRPr="00131758">
              <w:rPr>
                <w:rFonts w:ascii="Georgia" w:eastAsia="Georgia" w:hAnsi="Georgia" w:cs="Georgia"/>
                <w:sz w:val="18"/>
                <w:szCs w:val="18"/>
              </w:rPr>
              <w:instrText>ADDIN CSL_CITATION {"citationItems":[{"id":"ITEM-1","itemData":{"DOI":"10.1016/j.buildenv.2009.07.011","ISBN":"1364518600","ISSN":"03601323","abstract":"High ventilation rate is shown to be effective for reducing cross-infection risk of airborne diseases in hospitals and isolation rooms. Natural ventilation can deliver much higher ventilation rate than mechanical ventilation in an energy-efficient manner. This paper reports a field measurement of naturally ventilated hospital wards in Hong Kong and presents a possibility of using natural ventilation for infection control in hospital wards. Our measurements showed that natural ventilation could achieve high ventilation rates especially when both the windows and the doors were open in a ward. The highest ventilation rate recorded in our study was 69.0 ACH. The airflow pattern and the airflow direction were found to be unstable in some measurements with large openings. Mechanical fans were installed in a ward window to create a negative pressure difference. Measurements showed that the negative pressure difference was negligible with large openings but the overall airflow was controlled in the expected direction. When all the openings were closed and the exhaust fans were turned on, a reasonable negative pressure was created although the air temperature was uncontrolled. The high ventilation rate provided by natural ventilation can reduce cross-infection of airborne diseases, and thus it is recommended for consideration of use in appropriate hospital wards for infection control. Our results also demonstrated a possibility of converting an existing ward using natural ventilation to a temporary isolation room through installing mechanical exhaust fans. © 2009 Elsevier Ltd.","author":[{"dropping-particle":"","family":"Qian","given":"Hua","non-dropping-particle":"","parse-names":false,"suffix":""},{"dropping-particle":"","family":"Li","given":"Yuguo","non-dropping-particle":"","parse-names":false,"suffix":""},{"dropping-particle":"","family":"Seto","given":"W. H.","non-dropping-particle":"","parse-names":false,"suffix":""},{"dropping-particle":"","family":"Ching","given":"Patricia","non-dropping-particle":"","parse-names":false,"suffix":""},{"dropping-particle":"","family":"Ching","given":"W. H.","non-dropping-particle":"","parse-names":false,"suffix":""},{"dropping-particle":"","family":"Sun","given":"H. Q.","non-dropping-particle":"","parse-names":false,"suffix":""}],"container-title":"Building and Environment","id":"ITEM-1","issue":"3","issued":{"date-parts":[["2010"]]},"page":"559-565","title":"Natural ventilation for reducing airborne infection in hospitals","type":"article-journal","volume":"45"},"uris":["http://www.mendeley.com/documents/?uuid=e67afb85-4784-4a2d-a993-418c55b1b6b4"]}],"mendeley":{"formattedCitation":"(Qian et al., 2010)","plainTextFormattedCitation":"(Qian et al., 2010)","previouslyFormattedCitation":"(Qian et al., 2010)"},"properties":{"noteIndex":0},"schema":"https://github.com/citation-style-language/schema/raw/master/csl-citation.json"}</w:instrText>
            </w:r>
            <w:r w:rsidR="001F0382" w:rsidRPr="00131758">
              <w:rPr>
                <w:rFonts w:ascii="Georgia" w:eastAsia="Georgia" w:hAnsi="Georgia" w:cs="Georgia"/>
                <w:sz w:val="18"/>
                <w:szCs w:val="18"/>
              </w:rPr>
              <w:fldChar w:fldCharType="separate"/>
            </w:r>
            <w:r w:rsidR="001F0382" w:rsidRPr="00131758">
              <w:rPr>
                <w:rFonts w:ascii="Georgia" w:eastAsia="Georgia" w:hAnsi="Georgia" w:cs="Georgia"/>
                <w:sz w:val="18"/>
                <w:szCs w:val="18"/>
              </w:rPr>
              <w:t>(Qian et al., 2010)</w:t>
            </w:r>
            <w:r w:rsidR="001F0382" w:rsidRPr="00131758">
              <w:rPr>
                <w:rFonts w:ascii="Georgia" w:eastAsia="Georgia" w:hAnsi="Georgia" w:cs="Georgia"/>
                <w:sz w:val="18"/>
                <w:szCs w:val="18"/>
              </w:rPr>
              <w:fldChar w:fldCharType="end"/>
            </w:r>
            <w:r w:rsidR="001F0382" w:rsidRPr="00131758">
              <w:rPr>
                <w:rFonts w:ascii="Georgia" w:eastAsia="Georgia" w:hAnsi="Georgia" w:cs="Georgia"/>
                <w:sz w:val="18"/>
                <w:szCs w:val="18"/>
              </w:rPr>
              <w:t>.</w:t>
            </w:r>
          </w:p>
        </w:tc>
      </w:tr>
      <w:tr w:rsidR="007C378B" w:rsidRPr="00131758" w14:paraId="7998A17B" w14:textId="77777777" w:rsidTr="006E4D6C">
        <w:trPr>
          <w:trHeight w:val="180"/>
        </w:trPr>
        <w:tc>
          <w:tcPr>
            <w:tcW w:w="0" w:type="auto"/>
            <w:vMerge/>
            <w:tcMar>
              <w:top w:w="57" w:type="dxa"/>
              <w:left w:w="57" w:type="dxa"/>
              <w:bottom w:w="57" w:type="dxa"/>
              <w:right w:w="57" w:type="dxa"/>
            </w:tcMar>
            <w:vAlign w:val="top"/>
          </w:tcPr>
          <w:p w14:paraId="4AA0FFF4" w14:textId="77777777" w:rsidR="00695365" w:rsidRPr="00131758" w:rsidRDefault="00695365" w:rsidP="006E4D6C">
            <w:pPr>
              <w:widowControl w:val="0"/>
              <w:pBdr>
                <w:top w:val="nil"/>
                <w:left w:val="nil"/>
                <w:bottom w:val="nil"/>
                <w:right w:val="nil"/>
                <w:between w:val="nil"/>
              </w:pBd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1D8821DD" w14:textId="77777777" w:rsidR="00695365" w:rsidRPr="00131758" w:rsidRDefault="00366511" w:rsidP="006E4D6C">
            <w:pPr>
              <w:spacing w:before="20" w:after="120" w:line="240" w:lineRule="auto"/>
              <w:jc w:val="left"/>
              <w:rPr>
                <w:rFonts w:ascii="Georgia" w:eastAsia="Georgia" w:hAnsi="Georgia" w:cs="Georgia"/>
                <w:sz w:val="18"/>
                <w:szCs w:val="18"/>
              </w:rPr>
            </w:pPr>
            <w:r w:rsidRPr="00131758">
              <w:rPr>
                <w:rFonts w:ascii="Georgia" w:eastAsia="Georgia" w:hAnsi="Georgia" w:cs="Georgia"/>
                <w:sz w:val="18"/>
                <w:szCs w:val="18"/>
              </w:rPr>
              <w:t>Air filtration</w:t>
            </w:r>
          </w:p>
        </w:tc>
        <w:tc>
          <w:tcPr>
            <w:tcW w:w="0" w:type="auto"/>
            <w:tcMar>
              <w:top w:w="57" w:type="dxa"/>
              <w:left w:w="57" w:type="dxa"/>
              <w:bottom w:w="57" w:type="dxa"/>
              <w:right w:w="57" w:type="dxa"/>
            </w:tcMar>
            <w:vAlign w:val="top"/>
          </w:tcPr>
          <w:p w14:paraId="0A87D62F" w14:textId="5721B3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Use HEPA filters of MERV 17 or higher to remove viruses and other particles</w:t>
            </w:r>
            <w:r w:rsidR="00FE3B21" w:rsidRPr="00131758">
              <w:rPr>
                <w:rFonts w:ascii="Georgia" w:eastAsia="Georgia" w:hAnsi="Georgia" w:cs="Georgia"/>
                <w:sz w:val="18"/>
                <w:szCs w:val="18"/>
              </w:rPr>
              <w:t xml:space="preserve"> </w:t>
            </w:r>
            <w:r w:rsidR="00536AFB" w:rsidRPr="00131758">
              <w:rPr>
                <w:rFonts w:ascii="Georgia" w:eastAsia="Georgia" w:hAnsi="Georgia" w:cs="Georgia"/>
                <w:sz w:val="18"/>
                <w:szCs w:val="18"/>
              </w:rPr>
              <w:fldChar w:fldCharType="begin" w:fldLock="1"/>
            </w:r>
            <w:r w:rsidR="00536AFB" w:rsidRPr="00131758">
              <w:rPr>
                <w:rFonts w:ascii="Georgia" w:eastAsia="Georgia" w:hAnsi="Georgia" w:cs="Georgia"/>
                <w:sz w:val="18"/>
                <w:szCs w:val="18"/>
              </w:rPr>
              <w:instrText>ADDIN CSL_CITATION {"citationItems":[{"id":"ITEM-1","itemData":{"author":[{"dropping-particle":"","family":"Elias","given":"Blake","non-dropping-particle":"","parse-names":false,"suffix":""},{"dropping-particle":"","family":"Bar-yam","given":"Yaneer","non-dropping-particle":"","parse-names":false,"suffix":""}],"id":"ITEM-1","issued":{"date-parts":[["2020"]]},"title":"Could Air Filtration Reduce COVID-19 Severity and Spread ?","type":"article-journal"},"uris":["http://www.mendeley.com/documents/?uuid=23586834-6f6b-4ce8-86fb-c3cd79e24ed0"]},{"id":"ITEM-2","itemData":{"DOI":"10.1021/acs.est.0c03247","ISSN":"15205851","PMID":"32845618","abstract":"The outbreak of SARS-CoV-2 has made us all think critically about hospital indoor air quality and the approaches to remove, dilute, and disinfect pathogenic organisms from the hospital environment. While specific aspects of the coronavirus infectivity, spread, and routes of transmission are still under rigorous investigation, it seems that a recollection of knowledge from the literature can provide useful lessons to cope with this new situation. As a result, a systematic literature review was conducted on the safety of air filtration and air recirculation in healthcare premises. This review targeted a wide range of evidence from codes and regulations, to peer-reviewed publications, and best practice standards. The literature search resulted in 394 publications, of which 109 documents were included in the final review. Overall, even though solid evidence to support current practice is very scarce, proper filtration remains one important approach to maintain the cleanliness of indoor air in hospitals. Given the rather large physical footprint of the filtration system, a range of short-term and long-term solutions from the literature are collected. Nonetheless, there is a need for a rigorous and feasible line of research in the area of air filtration and recirculation in healthcare facilities. Such efforts can enhance the performance of healthcare facilities under normal conditions or during a pandemic. Past innovations can be adopted for the new outbreak at low-to-minimal cost.","author":[{"dropping-particle":"","family":"Mousavi","given":"Ehsan S.","non-dropping-particle":"","parse-names":false,"suffix":""},{"dropping-particle":"","family":"Kananizadeh","given":"Negin","non-dropping-particle":"","parse-names":false,"suffix":""},{"dropping-particle":"","family":"Martinello","given":"Richard A.","non-dropping-particle":"","parse-names":false,"suffix":""},{"dropping-particle":"","family":"Sherman","given":"Jodi D.","non-dropping-particle":"","parse-names":false,"suffix":""}],"container-title":"Environmental Science and Technology","id":"ITEM-2","issue":"7","issued":{"date-parts":[["2021"]]},"page":"4134-4147","title":"COVID-19 Outbreak and Hospital Air Quality: A Systematic Review of Evidence on Air Filtration and Recirculation","type":"article-journal","volume":"55"},"uris":["http://www.mendeley.com/documents/?uuid=7a4e9861-54e0-4075-a4db-02fdb70adee5"]}],"mendeley":{"formattedCitation":"(Elias &amp; Bar-yam, 2020; Mousavi et al., 2021)","plainTextFormattedCitation":"(Elias &amp; Bar-yam, 2020; Mousavi et al., 2021)","previouslyFormattedCitation":"(Elias &amp; Bar-yam, 2020; Mousavi et al., 2021)"},"properties":{"noteIndex":0},"schema":"https://github.com/citation-style-language/schema/raw/master/csl-citation.json"}</w:instrText>
            </w:r>
            <w:r w:rsidR="00536AFB" w:rsidRPr="00131758">
              <w:rPr>
                <w:rFonts w:ascii="Georgia" w:eastAsia="Georgia" w:hAnsi="Georgia" w:cs="Georgia"/>
                <w:sz w:val="18"/>
                <w:szCs w:val="18"/>
              </w:rPr>
              <w:fldChar w:fldCharType="separate"/>
            </w:r>
            <w:r w:rsidR="00536AFB" w:rsidRPr="00131758">
              <w:rPr>
                <w:rFonts w:ascii="Georgia" w:eastAsia="Georgia" w:hAnsi="Georgia" w:cs="Georgia"/>
                <w:noProof/>
                <w:sz w:val="18"/>
                <w:szCs w:val="18"/>
              </w:rPr>
              <w:t>(Elias &amp; Bar-yam, 2020; Mousavi et al., 2021)</w:t>
            </w:r>
            <w:r w:rsidR="00536AFB" w:rsidRPr="00131758">
              <w:rPr>
                <w:rFonts w:ascii="Georgia" w:eastAsia="Georgia" w:hAnsi="Georgia" w:cs="Georgia"/>
                <w:sz w:val="18"/>
                <w:szCs w:val="18"/>
              </w:rPr>
              <w:fldChar w:fldCharType="end"/>
            </w:r>
            <w:r w:rsidRPr="00131758">
              <w:rPr>
                <w:rFonts w:ascii="Georgia" w:eastAsia="Georgia" w:hAnsi="Georgia" w:cs="Georgia"/>
                <w:sz w:val="18"/>
                <w:szCs w:val="18"/>
              </w:rPr>
              <w:t>.</w:t>
            </w:r>
          </w:p>
        </w:tc>
        <w:tc>
          <w:tcPr>
            <w:tcW w:w="0" w:type="auto"/>
            <w:tcMar>
              <w:top w:w="57" w:type="dxa"/>
              <w:left w:w="57" w:type="dxa"/>
              <w:bottom w:w="57" w:type="dxa"/>
              <w:right w:w="57" w:type="dxa"/>
            </w:tcMar>
            <w:vAlign w:val="top"/>
          </w:tcPr>
          <w:p w14:paraId="183073B6" w14:textId="77777777" w:rsidR="00695365" w:rsidRPr="00131758" w:rsidRDefault="00366511" w:rsidP="006E4D6C">
            <w:pPr>
              <w:spacing w:after="120" w:line="240" w:lineRule="auto"/>
              <w:jc w:val="left"/>
              <w:rPr>
                <w:rFonts w:ascii="Georgia" w:eastAsia="Georgia" w:hAnsi="Georgia" w:cs="Georgia"/>
                <w:color w:val="222222"/>
                <w:sz w:val="18"/>
                <w:szCs w:val="18"/>
              </w:rPr>
            </w:pPr>
            <w:r w:rsidRPr="00131758">
              <w:rPr>
                <w:rFonts w:ascii="Georgia" w:eastAsia="Georgia" w:hAnsi="Georgia" w:cs="Georgia"/>
                <w:sz w:val="18"/>
                <w:szCs w:val="18"/>
              </w:rPr>
              <w:t>The HEPA filters remove dust and other pollutants; improving the indoor air quality (</w:t>
            </w:r>
            <w:hyperlink r:id="rId18" w:anchor="bib33">
              <w:r w:rsidRPr="00131758">
                <w:rPr>
                  <w:rFonts w:ascii="Georgia" w:eastAsia="Georgia" w:hAnsi="Georgia" w:cs="Georgia"/>
                  <w:sz w:val="18"/>
                  <w:szCs w:val="18"/>
                </w:rPr>
                <w:t>Horning and Davis, 2020</w:t>
              </w:r>
            </w:hyperlink>
            <w:r w:rsidRPr="00131758">
              <w:rPr>
                <w:rFonts w:ascii="Georgia" w:eastAsia="Georgia" w:hAnsi="Georgia" w:cs="Georgia"/>
                <w:sz w:val="18"/>
                <w:szCs w:val="18"/>
              </w:rPr>
              <w:t xml:space="preserve">; </w:t>
            </w:r>
            <w:hyperlink r:id="rId19" w:anchor="bib48">
              <w:r w:rsidRPr="00131758">
                <w:rPr>
                  <w:rFonts w:ascii="Georgia" w:eastAsia="Georgia" w:hAnsi="Georgia" w:cs="Georgia"/>
                  <w:sz w:val="18"/>
                  <w:szCs w:val="18"/>
                </w:rPr>
                <w:t>Memarzadeh et al., 2010</w:t>
              </w:r>
            </w:hyperlink>
            <w:r w:rsidRPr="00131758">
              <w:rPr>
                <w:rFonts w:ascii="Georgia" w:eastAsia="Georgia" w:hAnsi="Georgia" w:cs="Georgia"/>
                <w:sz w:val="18"/>
                <w:szCs w:val="18"/>
              </w:rPr>
              <w:t>).</w:t>
            </w:r>
          </w:p>
        </w:tc>
        <w:tc>
          <w:tcPr>
            <w:tcW w:w="0" w:type="auto"/>
            <w:tcMar>
              <w:top w:w="57" w:type="dxa"/>
              <w:left w:w="57" w:type="dxa"/>
              <w:bottom w:w="57" w:type="dxa"/>
              <w:right w:w="57" w:type="dxa"/>
            </w:tcMar>
            <w:vAlign w:val="top"/>
          </w:tcPr>
          <w:p w14:paraId="15D3CE28"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filters must be maintained and replaced frequently for maximum performance.</w:t>
            </w:r>
          </w:p>
        </w:tc>
      </w:tr>
      <w:tr w:rsidR="007C378B" w:rsidRPr="00131758" w14:paraId="4366E3A3" w14:textId="77777777" w:rsidTr="006E4D6C">
        <w:trPr>
          <w:trHeight w:val="180"/>
        </w:trPr>
        <w:tc>
          <w:tcPr>
            <w:tcW w:w="0" w:type="auto"/>
            <w:vMerge/>
            <w:tcMar>
              <w:top w:w="57" w:type="dxa"/>
              <w:left w:w="57" w:type="dxa"/>
              <w:bottom w:w="57" w:type="dxa"/>
              <w:right w:w="57" w:type="dxa"/>
            </w:tcMar>
            <w:vAlign w:val="top"/>
          </w:tcPr>
          <w:p w14:paraId="6F77DA6D" w14:textId="77777777" w:rsidR="00695365" w:rsidRPr="00131758" w:rsidRDefault="00695365" w:rsidP="006E4D6C">
            <w:pPr>
              <w:widowControl w:val="0"/>
              <w:pBdr>
                <w:top w:val="nil"/>
                <w:left w:val="nil"/>
                <w:bottom w:val="nil"/>
                <w:right w:val="nil"/>
                <w:between w:val="nil"/>
              </w:pBd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6403736B" w14:textId="77777777" w:rsidR="00695365" w:rsidRPr="00131758" w:rsidRDefault="00366511" w:rsidP="006E4D6C">
            <w:pPr>
              <w:spacing w:before="20" w:after="120" w:line="240" w:lineRule="auto"/>
              <w:jc w:val="left"/>
              <w:rPr>
                <w:rFonts w:ascii="Georgia" w:eastAsia="Georgia" w:hAnsi="Georgia" w:cs="Georgia"/>
                <w:sz w:val="18"/>
                <w:szCs w:val="18"/>
              </w:rPr>
            </w:pPr>
            <w:r w:rsidRPr="00131758">
              <w:rPr>
                <w:rFonts w:ascii="Georgia" w:eastAsia="Georgia" w:hAnsi="Georgia" w:cs="Georgia"/>
                <w:sz w:val="18"/>
                <w:szCs w:val="18"/>
              </w:rPr>
              <w:t xml:space="preserve">Bipolar </w:t>
            </w:r>
            <w:r w:rsidRPr="00131758">
              <w:rPr>
                <w:rFonts w:ascii="Georgia" w:eastAsia="Georgia" w:hAnsi="Georgia" w:cs="Georgia"/>
                <w:sz w:val="18"/>
                <w:szCs w:val="18"/>
              </w:rPr>
              <w:lastRenderedPageBreak/>
              <w:t>ionisation</w:t>
            </w:r>
          </w:p>
        </w:tc>
        <w:tc>
          <w:tcPr>
            <w:tcW w:w="0" w:type="auto"/>
            <w:tcMar>
              <w:top w:w="57" w:type="dxa"/>
              <w:left w:w="57" w:type="dxa"/>
              <w:bottom w:w="57" w:type="dxa"/>
              <w:right w:w="57" w:type="dxa"/>
            </w:tcMar>
            <w:vAlign w:val="top"/>
          </w:tcPr>
          <w:p w14:paraId="736FB865"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lastRenderedPageBreak/>
              <w:t xml:space="preserve">This can reduce the pathogens in the air </w:t>
            </w:r>
            <w:r w:rsidR="00536AFB" w:rsidRPr="00131758">
              <w:rPr>
                <w:rFonts w:ascii="Georgia" w:eastAsia="Georgia" w:hAnsi="Georgia" w:cs="Georgia"/>
                <w:sz w:val="18"/>
                <w:szCs w:val="18"/>
              </w:rPr>
              <w:fldChar w:fldCharType="begin" w:fldLock="1"/>
            </w:r>
            <w:r w:rsidR="0081486B" w:rsidRPr="00131758">
              <w:rPr>
                <w:rFonts w:ascii="Georgia" w:eastAsia="Georgia" w:hAnsi="Georgia" w:cs="Georgia"/>
                <w:sz w:val="18"/>
                <w:szCs w:val="18"/>
              </w:rPr>
              <w:instrText>ADDIN CSL_CITATION {"citationItems":[{"id":"ITEM-1","itemData":{"DOI":"10.3390/buildings12010074","ISSN":"20755309","abstract":"The COVID-19 pandemic forced the accessibility, social gathering, lifestyle, and working environment to be changed to reduce the infection. Coronavirus spreads between people in several different ways. Small liquid particles (aerosols, respiratory droplets) from an infected person are transmitted through air and surfaces that are in contact with humans. Reducing transmission through modified heating, ventilation, and air conditioning (HVAC) systems and building design are potential solutions. A comprehensive review of the engineering control preventive measures to mitigate COVID-19 spread, healthy building design, and material was carried out. The current state-of-the-art engineering control preventive measures presented include ultraviolet germicidal irradiation (UVGI), bipolar ionization, vertical gardening, and indoor plants. They have potential to improve the indoor air quality. In addition, this article presents building design with materials (e.g., copper alloys, anti-microbial paintings) and smart technologies (e.g., automation, voice control, and artificial intelligence-based facial recognition) to mitigate the infections of communicable diseases.","author":[{"dropping-particle":"","family":"Navaratnam","given":"Satheeskumar","non-dropping-particle":"","parse-names":false,"suffix":""},{"dropping-particle":"","family":"Nguyen","given":"Kate","non-dropping-particle":"","parse-names":false,"suffix":""},{"dropping-particle":"","family":"Selvaranjan","given":"Kajanan","non-dropping-particle":"","parse-names":false,"suffix":""},{"dropping-particle":"","family":"Zhang","given":"Guomin","non-dropping-particle":"","parse-names":false,"suffix":""},{"dropping-particle":"","family":"Mendis","given":"Priyan","non-dropping-particle":"","parse-names":false,"suffix":""},{"dropping-particle":"","family":"Aye","given":"Lu","non-dropping-particle":"","parse-names":false,"suffix":""}],"container-title":"Buildings","id":"ITEM-1","issue":"1","issued":{"date-parts":[["2022","1","1"]]},"publisher":"MDPI","title":"Designing Post COVID-19 Buildings: Approaches for Achieving Healthy Buildings","type":"article-journal","volume":"12"},"uris":["http://www.mendeley.com/documents/?uuid=9672a09e-f4e0-33d3-82d8-9dc660f3427d"]}],"mendeley":{"formattedCitation":"(Navaratnam et al., 2022)","plainTextFormattedCitation":"(Navaratnam et al., 2022)","previouslyFormattedCitation":"(Navaratnam et al., 2022)"},"properties":{"noteIndex":0},"schema":"https://github.com/citation-style-language/schema/raw/master/csl-citation.json"}</w:instrText>
            </w:r>
            <w:r w:rsidR="00536AFB" w:rsidRPr="00131758">
              <w:rPr>
                <w:rFonts w:ascii="Georgia" w:eastAsia="Georgia" w:hAnsi="Georgia" w:cs="Georgia"/>
                <w:sz w:val="18"/>
                <w:szCs w:val="18"/>
              </w:rPr>
              <w:fldChar w:fldCharType="separate"/>
            </w:r>
            <w:r w:rsidR="00536AFB" w:rsidRPr="00131758">
              <w:rPr>
                <w:rFonts w:ascii="Georgia" w:eastAsia="Georgia" w:hAnsi="Georgia" w:cs="Georgia"/>
                <w:noProof/>
                <w:sz w:val="18"/>
                <w:szCs w:val="18"/>
              </w:rPr>
              <w:t xml:space="preserve">(Navaratnam et al., </w:t>
            </w:r>
            <w:r w:rsidR="00536AFB" w:rsidRPr="00131758">
              <w:rPr>
                <w:rFonts w:ascii="Georgia" w:eastAsia="Georgia" w:hAnsi="Georgia" w:cs="Georgia"/>
                <w:noProof/>
                <w:sz w:val="18"/>
                <w:szCs w:val="18"/>
              </w:rPr>
              <w:lastRenderedPageBreak/>
              <w:t>2022)</w:t>
            </w:r>
            <w:r w:rsidR="00536AFB" w:rsidRPr="00131758">
              <w:rPr>
                <w:rFonts w:ascii="Georgia" w:eastAsia="Georgia" w:hAnsi="Georgia" w:cs="Georgia"/>
                <w:sz w:val="18"/>
                <w:szCs w:val="18"/>
              </w:rPr>
              <w:fldChar w:fldCharType="end"/>
            </w:r>
            <w:r w:rsidRPr="00131758">
              <w:rPr>
                <w:rFonts w:ascii="Georgia" w:eastAsia="Georgia" w:hAnsi="Georgia" w:cs="Georgia"/>
                <w:sz w:val="18"/>
                <w:szCs w:val="18"/>
              </w:rPr>
              <w:t>.</w:t>
            </w:r>
          </w:p>
        </w:tc>
        <w:tc>
          <w:tcPr>
            <w:tcW w:w="0" w:type="auto"/>
            <w:tcMar>
              <w:top w:w="57" w:type="dxa"/>
              <w:left w:w="57" w:type="dxa"/>
              <w:bottom w:w="57" w:type="dxa"/>
              <w:right w:w="57" w:type="dxa"/>
            </w:tcMar>
            <w:vAlign w:val="top"/>
          </w:tcPr>
          <w:p w14:paraId="2001E372" w14:textId="231E3773"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lastRenderedPageBreak/>
              <w:t>It is less costly, can be installed easily</w:t>
            </w:r>
            <w:r w:rsidR="00FE3B21" w:rsidRPr="00131758">
              <w:rPr>
                <w:rFonts w:ascii="Georgia" w:eastAsia="Georgia" w:hAnsi="Georgia" w:cs="Georgia"/>
                <w:sz w:val="18"/>
                <w:szCs w:val="18"/>
              </w:rPr>
              <w:t>,</w:t>
            </w:r>
            <w:r w:rsidRPr="00131758">
              <w:rPr>
                <w:rFonts w:ascii="Georgia" w:eastAsia="Georgia" w:hAnsi="Georgia" w:cs="Georgia"/>
                <w:sz w:val="18"/>
                <w:szCs w:val="18"/>
              </w:rPr>
              <w:t xml:space="preserve"> and causes </w:t>
            </w:r>
            <w:r w:rsidRPr="00131758">
              <w:rPr>
                <w:rFonts w:ascii="Georgia" w:eastAsia="Georgia" w:hAnsi="Georgia" w:cs="Georgia"/>
                <w:sz w:val="18"/>
                <w:szCs w:val="18"/>
              </w:rPr>
              <w:lastRenderedPageBreak/>
              <w:t xml:space="preserve">a pressure drop in the AHU </w:t>
            </w:r>
            <w:r w:rsidR="0081486B" w:rsidRPr="00131758">
              <w:rPr>
                <w:rFonts w:ascii="Georgia" w:eastAsia="Georgia" w:hAnsi="Georgia" w:cs="Georgia"/>
                <w:sz w:val="18"/>
                <w:szCs w:val="18"/>
              </w:rPr>
              <w:fldChar w:fldCharType="begin" w:fldLock="1"/>
            </w:r>
            <w:r w:rsidR="0081486B" w:rsidRPr="00131758">
              <w:rPr>
                <w:rFonts w:ascii="Georgia" w:eastAsia="Georgia" w:hAnsi="Georgia" w:cs="Georgia"/>
                <w:sz w:val="18"/>
                <w:szCs w:val="18"/>
              </w:rPr>
              <w:instrText>ADDIN CSL_CITATION {"citationItems":[{"id":"ITEM-1","itemData":{"DOI":"10.1016/j.buildenv.2021.107750","ISSN":"03601323","abstract":"We conducted a series of experiments to evaluate the gas and particle removal effectiveness and potential for byproduct formation resulting from the operation of a commercially available in-duct bipolar ionization device. Laboratory tests were conducted with the ionizer installed in a small air handler serving a large semi-furnished chamber. Chamber experiments were conducted under (i) normal operating conditions to characterize the impact of the ionizer on concentrations of particles (0.01–10 μm), ozone (O3), nitrogen dioxide (NO2), volatile organic compounds (VOCs), and aldehydes, and (ii) particle injection and decay conditions to characterize the impact of the ionizer operation on particle loss rates. The field test involved air sampling of particulates (0.01–10 μm), O3, and VOCs upstream and downstream of an operating ionizer device installed in an air handling unit serving an occupied office building. Both the chamber and field tests suggested that the use of the tested bipolar ionization unit led to a decrease in some hydrocarbons (e.g., xylenes) among the lists of compounds we were able to analyze, but an increase in others, most prominently oxygenated VOCs (e.g., acetone, ethanol) and toluene. Ionizer operation appeared to minimally impact particle, O3, and NO2 concentrations during normal operating conditions. Particle injection and decay experiments in the chamber suggest that operation of the ionizer unit led to a small increase in loss rates for ultrafine particles (&lt;0.15 μm) and a small decrease in loss rates for larger particles (&gt;0.3 μm), but with negligible net changes in estimated PM2.5 loss rates.","author":[{"dropping-particle":"","family":"Zeng","given":"Yicheng","non-dropping-particle":"","parse-names":false,"suffix":""},{"dropping-particle":"","family":"Manwatkar","given":"Prashik","non-dropping-particle":"","parse-names":false,"suffix":""},{"dropping-particle":"","family":"Laguerre","given":"Aurélie","non-dropping-particle":"","parse-names":false,"suffix":""},{"dropping-particle":"","family":"Beke","given":"Marina","non-dropping-particle":"","parse-names":false,"suffix":""},{"dropping-particle":"","family":"Kang","given":"Insung","non-dropping-particle":"","parse-names":false,"suffix":""},{"dropping-particle":"","family":"Ali","given":"Akram S.","non-dropping-particle":"","parse-names":false,"suffix":""},{"dropping-particle":"","family":"Farmer","given":"Delphine K.","non-dropping-particle":"","parse-names":false,"suffix":""},{"dropping-particle":"","family":"Gall","given":"Elliott T.","non-dropping-particle":"","parse-names":false,"suffix":""},{"dropping-particle":"","family":"Heidarinejad","given":"Mohammad","non-dropping-particle":"","parse-names":false,"suffix":""},{"dropping-particle":"","family":"Stephens","given":"Brent","non-dropping-particle":"","parse-names":false,"suffix":""}],"container-title":"Building and Environment","id":"ITEM-1","issued":{"date-parts":[["2021"]]},"title":"Evaluating a commercially available in-duct bipolar ionization device for pollutant removal and potential byproduct formation","type":"article-journal","volume":"195"},"uris":["http://www.mendeley.com/documents/?uuid=589e7b22-9f48-4447-a7c4-139fc3490c1f"]}],"mendeley":{"formattedCitation":"(Zeng et al., 2021)","plainTextFormattedCitation":"(Zeng et al., 2021)","previouslyFormattedCitation":"(Zeng et al., 2021)"},"properties":{"noteIndex":0},"schema":"https://github.com/citation-style-language/schema/raw/master/csl-citation.json"}</w:instrText>
            </w:r>
            <w:r w:rsidR="0081486B" w:rsidRPr="00131758">
              <w:rPr>
                <w:rFonts w:ascii="Georgia" w:eastAsia="Georgia" w:hAnsi="Georgia" w:cs="Georgia"/>
                <w:sz w:val="18"/>
                <w:szCs w:val="18"/>
              </w:rPr>
              <w:fldChar w:fldCharType="separate"/>
            </w:r>
            <w:r w:rsidR="0081486B" w:rsidRPr="00131758">
              <w:rPr>
                <w:rFonts w:ascii="Georgia" w:eastAsia="Georgia" w:hAnsi="Georgia" w:cs="Georgia"/>
                <w:noProof/>
                <w:sz w:val="18"/>
                <w:szCs w:val="18"/>
              </w:rPr>
              <w:t>(Zeng et al., 2021)</w:t>
            </w:r>
            <w:r w:rsidR="0081486B" w:rsidRPr="00131758">
              <w:rPr>
                <w:rFonts w:ascii="Georgia" w:eastAsia="Georgia" w:hAnsi="Georgia" w:cs="Georgia"/>
                <w:sz w:val="18"/>
                <w:szCs w:val="18"/>
              </w:rPr>
              <w:fldChar w:fldCharType="end"/>
            </w:r>
            <w:r w:rsidR="0081486B" w:rsidRPr="00131758">
              <w:rPr>
                <w:rFonts w:ascii="Georgia" w:eastAsia="Georgia" w:hAnsi="Georgia" w:cs="Georgia"/>
                <w:sz w:val="18"/>
                <w:szCs w:val="18"/>
              </w:rPr>
              <w:t>.</w:t>
            </w:r>
          </w:p>
        </w:tc>
        <w:tc>
          <w:tcPr>
            <w:tcW w:w="0" w:type="auto"/>
            <w:tcMar>
              <w:top w:w="57" w:type="dxa"/>
              <w:left w:w="57" w:type="dxa"/>
              <w:bottom w:w="57" w:type="dxa"/>
              <w:right w:w="57" w:type="dxa"/>
            </w:tcMar>
            <w:vAlign w:val="top"/>
          </w:tcPr>
          <w:p w14:paraId="037F3D7F" w14:textId="77777777" w:rsidR="00695365" w:rsidRPr="00131758" w:rsidRDefault="00695365" w:rsidP="006E4D6C">
            <w:pPr>
              <w:spacing w:after="120" w:line="240" w:lineRule="auto"/>
              <w:jc w:val="left"/>
              <w:rPr>
                <w:rFonts w:ascii="Georgia" w:eastAsia="Georgia" w:hAnsi="Georgia" w:cs="Georgia"/>
                <w:sz w:val="18"/>
                <w:szCs w:val="18"/>
              </w:rPr>
            </w:pPr>
          </w:p>
        </w:tc>
      </w:tr>
      <w:tr w:rsidR="007C378B" w:rsidRPr="00131758" w14:paraId="45A19949" w14:textId="77777777" w:rsidTr="006E4D6C">
        <w:trPr>
          <w:trHeight w:val="180"/>
        </w:trPr>
        <w:tc>
          <w:tcPr>
            <w:tcW w:w="0" w:type="auto"/>
            <w:vMerge/>
            <w:tcMar>
              <w:top w:w="57" w:type="dxa"/>
              <w:left w:w="57" w:type="dxa"/>
              <w:bottom w:w="57" w:type="dxa"/>
              <w:right w:w="57" w:type="dxa"/>
            </w:tcMar>
            <w:vAlign w:val="top"/>
          </w:tcPr>
          <w:p w14:paraId="5D37CE63" w14:textId="77777777" w:rsidR="00695365" w:rsidRPr="00131758" w:rsidRDefault="00695365" w:rsidP="006E4D6C">
            <w:pPr>
              <w:widowControl w:val="0"/>
              <w:pBdr>
                <w:top w:val="nil"/>
                <w:left w:val="nil"/>
                <w:bottom w:val="nil"/>
                <w:right w:val="nil"/>
                <w:between w:val="nil"/>
              </w:pBd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40F59491" w14:textId="77777777" w:rsidR="00695365" w:rsidRPr="00131758" w:rsidRDefault="00366511" w:rsidP="006E4D6C">
            <w:pPr>
              <w:spacing w:before="20" w:after="120" w:line="240" w:lineRule="auto"/>
              <w:jc w:val="left"/>
              <w:rPr>
                <w:rFonts w:ascii="Georgia" w:eastAsia="Georgia" w:hAnsi="Georgia" w:cs="Georgia"/>
                <w:sz w:val="18"/>
                <w:szCs w:val="18"/>
              </w:rPr>
            </w:pPr>
            <w:r w:rsidRPr="00131758">
              <w:rPr>
                <w:rFonts w:ascii="Georgia" w:eastAsia="Georgia" w:hAnsi="Georgia" w:cs="Georgia"/>
                <w:sz w:val="18"/>
                <w:szCs w:val="18"/>
              </w:rPr>
              <w:t>Ultraviolet germicidal irradiation</w:t>
            </w:r>
          </w:p>
        </w:tc>
        <w:tc>
          <w:tcPr>
            <w:tcW w:w="0" w:type="auto"/>
            <w:tcMar>
              <w:top w:w="57" w:type="dxa"/>
              <w:left w:w="57" w:type="dxa"/>
              <w:bottom w:w="57" w:type="dxa"/>
              <w:right w:w="57" w:type="dxa"/>
            </w:tcMar>
            <w:vAlign w:val="top"/>
          </w:tcPr>
          <w:p w14:paraId="28514808"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Can be installed in the HVAC ducts and PPE lockers to eliminate the virus.</w:t>
            </w:r>
          </w:p>
        </w:tc>
        <w:tc>
          <w:tcPr>
            <w:tcW w:w="0" w:type="auto"/>
            <w:tcMar>
              <w:top w:w="57" w:type="dxa"/>
              <w:left w:w="57" w:type="dxa"/>
              <w:bottom w:w="57" w:type="dxa"/>
              <w:right w:w="57" w:type="dxa"/>
            </w:tcMar>
            <w:vAlign w:val="top"/>
          </w:tcPr>
          <w:p w14:paraId="51452E13" w14:textId="7018FD62"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UVGI increases energy demand and may be harmful to eyes if not installed well</w:t>
            </w:r>
            <w:r w:rsidR="00FE3B21" w:rsidRPr="00131758">
              <w:rPr>
                <w:rFonts w:ascii="Georgia" w:eastAsia="Georgia" w:hAnsi="Georgia" w:cs="Georgia"/>
                <w:sz w:val="18"/>
                <w:szCs w:val="18"/>
              </w:rPr>
              <w:t xml:space="preserve"> </w:t>
            </w:r>
            <w:r w:rsidR="00E04BA2" w:rsidRPr="00131758">
              <w:rPr>
                <w:rFonts w:ascii="Georgia" w:eastAsia="Georgia" w:hAnsi="Georgia" w:cs="Georgia"/>
                <w:sz w:val="18"/>
                <w:szCs w:val="18"/>
              </w:rPr>
              <w:fldChar w:fldCharType="begin" w:fldLock="1"/>
            </w:r>
            <w:r w:rsidR="00AD397A" w:rsidRPr="00131758">
              <w:rPr>
                <w:rFonts w:ascii="Georgia" w:eastAsia="Georgia" w:hAnsi="Georgia" w:cs="Georgia"/>
                <w:sz w:val="18"/>
                <w:szCs w:val="18"/>
              </w:rPr>
              <w:instrText>ADDIN CSL_CITATION {"citationItems":[{"id":"ITEM-1","itemData":{"author":[{"dropping-particle":"","family":"Chen","given":"Tina","non-dropping-particle":"","parse-names":false,"suffix":""},{"dropping-particle":"","family":"Keeffe","given":"Juliette O","non-dropping-particle":"","parse-names":false,"suffix":""}],"id":"ITEM-1","issued":{"date-parts":[["2020"]]},"page":"1-25","title":"COVID-19 in indoor environments — Air and surface disinfection measures Prepared by Current approaches to risk mitigation in indoor spaces","type":"article-journal"},"uris":["http://www.mendeley.com/documents/?uuid=367a7e53-7aa8-49b1-be1c-655679a8a709"]}],"mendeley":{"formattedCitation":"(Chen &amp; Keeffe, 2020)","plainTextFormattedCitation":"(Chen &amp; Keeffe, 2020)","previouslyFormattedCitation":"(Chen &amp; Keeffe, 2020)"},"properties":{"noteIndex":0},"schema":"https://github.com/citation-style-language/schema/raw/master/csl-citation.json"}</w:instrText>
            </w:r>
            <w:r w:rsidR="00E04BA2" w:rsidRPr="00131758">
              <w:rPr>
                <w:rFonts w:ascii="Georgia" w:eastAsia="Georgia" w:hAnsi="Georgia" w:cs="Georgia"/>
                <w:sz w:val="18"/>
                <w:szCs w:val="18"/>
              </w:rPr>
              <w:fldChar w:fldCharType="separate"/>
            </w:r>
            <w:r w:rsidR="00E04BA2" w:rsidRPr="00131758">
              <w:rPr>
                <w:rFonts w:ascii="Georgia" w:eastAsia="Georgia" w:hAnsi="Georgia" w:cs="Georgia"/>
                <w:noProof/>
                <w:sz w:val="18"/>
                <w:szCs w:val="18"/>
              </w:rPr>
              <w:t>(Chen &amp; Keeffe, 2020)</w:t>
            </w:r>
            <w:r w:rsidR="00E04BA2" w:rsidRPr="00131758">
              <w:rPr>
                <w:rFonts w:ascii="Georgia" w:eastAsia="Georgia" w:hAnsi="Georgia" w:cs="Georgia"/>
                <w:sz w:val="18"/>
                <w:szCs w:val="18"/>
              </w:rPr>
              <w:fldChar w:fldCharType="end"/>
            </w:r>
            <w:r w:rsidRPr="00131758">
              <w:rPr>
                <w:rFonts w:ascii="Georgia" w:eastAsia="Georgia" w:hAnsi="Georgia" w:cs="Georgia"/>
                <w:sz w:val="18"/>
                <w:szCs w:val="18"/>
              </w:rPr>
              <w:t>.</w:t>
            </w:r>
          </w:p>
          <w:p w14:paraId="66058091" w14:textId="09BD95F6"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However, UV light is less expensive than  mechanical ventilation and more effective than ioni</w:t>
            </w:r>
            <w:r w:rsidR="00FE3B21" w:rsidRPr="00131758">
              <w:rPr>
                <w:rFonts w:ascii="Georgia" w:eastAsia="Georgia" w:hAnsi="Georgia" w:cs="Georgia"/>
                <w:sz w:val="18"/>
                <w:szCs w:val="18"/>
              </w:rPr>
              <w:t>s</w:t>
            </w:r>
            <w:r w:rsidRPr="00131758">
              <w:rPr>
                <w:rFonts w:ascii="Georgia" w:eastAsia="Georgia" w:hAnsi="Georgia" w:cs="Georgia"/>
                <w:sz w:val="18"/>
                <w:szCs w:val="18"/>
              </w:rPr>
              <w:t xml:space="preserve">ation </w:t>
            </w:r>
            <w:r w:rsidR="0081486B" w:rsidRPr="00131758">
              <w:rPr>
                <w:rFonts w:ascii="Georgia" w:eastAsia="Georgia" w:hAnsi="Georgia" w:cs="Georgia"/>
                <w:sz w:val="18"/>
                <w:szCs w:val="18"/>
              </w:rPr>
              <w:fldChar w:fldCharType="begin" w:fldLock="1"/>
            </w:r>
            <w:r w:rsidR="005D0903" w:rsidRPr="00131758">
              <w:rPr>
                <w:rFonts w:ascii="Georgia" w:eastAsia="Georgia" w:hAnsi="Georgia" w:cs="Georgia"/>
                <w:sz w:val="18"/>
                <w:szCs w:val="18"/>
              </w:rPr>
              <w:instrText>ADDIN CSL_CITATION {"citationItems":[{"id":"ITEM-1","itemData":{"DOI":"10.1371/journal.pmed.1000043","author":[{"dropping-particle":"","family":"Escombe","given":"A Roderick","non-dropping-particle":"","parse-names":false,"suffix":""},{"dropping-particle":"","family":"Moore","given":"David A J","non-dropping-particle":"","parse-names":false,"suffix":""},{"dropping-particle":"","family":"Gilman","given":"Robert H","non-dropping-particle":"","parse-names":false,"suffix":""},{"dropping-particle":"","family":"Navincopa","given":"Marcos","non-dropping-particle":"","parse-names":false,"suffix":""},{"dropping-particle":"","family":"Ticona","given":"Eduardo","non-dropping-particle":"","parse-names":false,"suffix":""},{"dropping-particle":"","family":"Sheen","given":"Patricia","non-dropping-particle":"","parse-names":false,"suffix":""},{"dropping-particle":"","family":"Ramirez","given":"Rocio","non-dropping-particle":"","parse-names":false,"suffix":""},{"dropping-particle":"","family":"Quino","given":"Willi","non-dropping-particle":"","parse-names":false,"suffix":""},{"dropping-particle":"","family":"Mitchell","given":"Bailey","non-dropping-particle":"","parse-names":false,"suffix":""},{"dropping-particle":"","family":"Noakes","given":"Catherine","non-dropping-particle":"","parse-names":false,"suffix":""},{"dropping-particle":"","family":"Martı","given":"Carlos","non-dropping-particle":"","parse-names":false,"suffix":""},{"dropping-particle":"","family":"Gonzalez","given":"Armando","non-dropping-particle":"","parse-names":false,"suffix":""},{"dropping-particle":"","family":"Friedland","given":"Jon S","non-dropping-particle":"","parse-names":false,"suffix":""},{"dropping-particle":"","family":"Evans","given":"Carlton A","non-dropping-particle":"","parse-names":false,"suffix":""}],"id":"ITEM-1","issue":"3","issued":{"date-parts":[["2009"]]},"title":"Upper-Room Ultraviolet Light and Negative Air Ionization to Prevent Tuberculosis Transmission","type":"article-journal","volume":"6"},"uris":["http://www.mendeley.com/documents/?uuid=e746f846-74fc-4499-9efa-5cf45bf7df44"]}],"mendeley":{"formattedCitation":"(Escombe et al., 2009)","plainTextFormattedCitation":"(Escombe et al., 2009)","previouslyFormattedCitation":"(Escombe et al., 2009)"},"properties":{"noteIndex":0},"schema":"https://github.com/citation-style-language/schema/raw/master/csl-citation.json"}</w:instrText>
            </w:r>
            <w:r w:rsidR="0081486B" w:rsidRPr="00131758">
              <w:rPr>
                <w:rFonts w:ascii="Georgia" w:eastAsia="Georgia" w:hAnsi="Georgia" w:cs="Georgia"/>
                <w:sz w:val="18"/>
                <w:szCs w:val="18"/>
              </w:rPr>
              <w:fldChar w:fldCharType="separate"/>
            </w:r>
            <w:r w:rsidR="0081486B" w:rsidRPr="00131758">
              <w:rPr>
                <w:rFonts w:ascii="Georgia" w:eastAsia="Georgia" w:hAnsi="Georgia" w:cs="Georgia"/>
                <w:noProof/>
                <w:sz w:val="18"/>
                <w:szCs w:val="18"/>
              </w:rPr>
              <w:t>(Escombe et al., 2009)</w:t>
            </w:r>
            <w:r w:rsidR="0081486B" w:rsidRPr="00131758">
              <w:rPr>
                <w:rFonts w:ascii="Georgia" w:eastAsia="Georgia" w:hAnsi="Georgia" w:cs="Georgia"/>
                <w:sz w:val="18"/>
                <w:szCs w:val="18"/>
              </w:rPr>
              <w:fldChar w:fldCharType="end"/>
            </w:r>
            <w:r w:rsidR="005D0903" w:rsidRPr="00131758">
              <w:rPr>
                <w:rFonts w:ascii="Georgia" w:eastAsia="Georgia" w:hAnsi="Georgia" w:cs="Georgia"/>
                <w:sz w:val="18"/>
                <w:szCs w:val="18"/>
              </w:rPr>
              <w:t>.</w:t>
            </w:r>
          </w:p>
        </w:tc>
        <w:tc>
          <w:tcPr>
            <w:tcW w:w="0" w:type="auto"/>
            <w:tcMar>
              <w:top w:w="57" w:type="dxa"/>
              <w:left w:w="57" w:type="dxa"/>
              <w:bottom w:w="57" w:type="dxa"/>
              <w:right w:w="57" w:type="dxa"/>
            </w:tcMar>
            <w:vAlign w:val="top"/>
          </w:tcPr>
          <w:p w14:paraId="7C222991" w14:textId="49373305"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 xml:space="preserve">Hence, further studies are required on the height </w:t>
            </w:r>
            <w:r w:rsidR="00FE3B21" w:rsidRPr="00131758">
              <w:rPr>
                <w:rFonts w:ascii="Georgia" w:eastAsia="Georgia" w:hAnsi="Georgia" w:cs="Georgia"/>
                <w:sz w:val="18"/>
                <w:szCs w:val="18"/>
              </w:rPr>
              <w:t xml:space="preserve">at which </w:t>
            </w:r>
            <w:r w:rsidRPr="00131758">
              <w:rPr>
                <w:rFonts w:ascii="Georgia" w:eastAsia="Georgia" w:hAnsi="Georgia" w:cs="Georgia"/>
                <w:sz w:val="18"/>
                <w:szCs w:val="18"/>
              </w:rPr>
              <w:t>the UVGI lamps should be mounted, the wavelength of the UV light</w:t>
            </w:r>
            <w:r w:rsidR="00FE3B21" w:rsidRPr="00131758">
              <w:rPr>
                <w:rFonts w:ascii="Georgia" w:eastAsia="Georgia" w:hAnsi="Georgia" w:cs="Georgia"/>
                <w:sz w:val="18"/>
                <w:szCs w:val="18"/>
              </w:rPr>
              <w:t>,</w:t>
            </w:r>
            <w:r w:rsidRPr="00131758">
              <w:rPr>
                <w:rFonts w:ascii="Georgia" w:eastAsia="Georgia" w:hAnsi="Georgia" w:cs="Georgia"/>
                <w:sz w:val="18"/>
                <w:szCs w:val="18"/>
              </w:rPr>
              <w:t xml:space="preserve"> and the installation of the light</w:t>
            </w:r>
            <w:r w:rsidR="009F10AC" w:rsidRPr="00131758">
              <w:rPr>
                <w:rFonts w:ascii="Georgia" w:eastAsia="Georgia" w:hAnsi="Georgia" w:cs="Georgia"/>
                <w:sz w:val="18"/>
                <w:szCs w:val="18"/>
              </w:rPr>
              <w:t xml:space="preserve"> </w:t>
            </w:r>
            <w:r w:rsidRPr="00131758">
              <w:rPr>
                <w:rFonts w:ascii="Georgia" w:eastAsia="Georgia" w:hAnsi="Georgia" w:cs="Georgia"/>
                <w:sz w:val="18"/>
                <w:szCs w:val="18"/>
              </w:rPr>
              <w:t>(Escombe et al., 2009).</w:t>
            </w:r>
          </w:p>
        </w:tc>
      </w:tr>
      <w:tr w:rsidR="007C378B" w:rsidRPr="00131758" w14:paraId="17BA08F0" w14:textId="77777777" w:rsidTr="006E4D6C">
        <w:trPr>
          <w:trHeight w:val="180"/>
        </w:trPr>
        <w:tc>
          <w:tcPr>
            <w:tcW w:w="0" w:type="auto"/>
            <w:tcMar>
              <w:top w:w="57" w:type="dxa"/>
              <w:left w:w="57" w:type="dxa"/>
              <w:bottom w:w="57" w:type="dxa"/>
              <w:right w:w="57" w:type="dxa"/>
            </w:tcMar>
            <w:vAlign w:val="top"/>
          </w:tcPr>
          <w:p w14:paraId="638257DD" w14:textId="77777777" w:rsidR="00695365" w:rsidRPr="00131758" w:rsidRDefault="00695365" w:rsidP="006E4D6C">
            <w:pPr>
              <w:widowControl w:val="0"/>
              <w:pBdr>
                <w:top w:val="nil"/>
                <w:left w:val="nil"/>
                <w:bottom w:val="nil"/>
                <w:right w:val="nil"/>
                <w:between w:val="nil"/>
              </w:pBd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1A71AB07" w14:textId="77777777" w:rsidR="00695365" w:rsidRPr="00131758" w:rsidRDefault="00366511" w:rsidP="006E4D6C">
            <w:pPr>
              <w:spacing w:before="20" w:after="120" w:line="240" w:lineRule="auto"/>
              <w:jc w:val="left"/>
              <w:rPr>
                <w:rFonts w:ascii="Georgia" w:eastAsia="Georgia" w:hAnsi="Georgia" w:cs="Georgia"/>
                <w:sz w:val="18"/>
                <w:szCs w:val="18"/>
              </w:rPr>
            </w:pPr>
            <w:r w:rsidRPr="00131758">
              <w:rPr>
                <w:rFonts w:ascii="Georgia" w:eastAsia="Georgia" w:hAnsi="Georgia" w:cs="Georgia"/>
                <w:sz w:val="18"/>
                <w:szCs w:val="18"/>
              </w:rPr>
              <w:t>HEPA filters</w:t>
            </w:r>
          </w:p>
        </w:tc>
        <w:tc>
          <w:tcPr>
            <w:tcW w:w="0" w:type="auto"/>
            <w:tcMar>
              <w:top w:w="57" w:type="dxa"/>
              <w:left w:w="57" w:type="dxa"/>
              <w:bottom w:w="57" w:type="dxa"/>
              <w:right w:w="57" w:type="dxa"/>
            </w:tcMar>
            <w:vAlign w:val="top"/>
          </w:tcPr>
          <w:p w14:paraId="15BAFB0B" w14:textId="42EEC50E"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It is effective in removing bioaerosols but MERV is a safer option.</w:t>
            </w:r>
          </w:p>
        </w:tc>
        <w:tc>
          <w:tcPr>
            <w:tcW w:w="0" w:type="auto"/>
            <w:tcMar>
              <w:top w:w="57" w:type="dxa"/>
              <w:left w:w="57" w:type="dxa"/>
              <w:bottom w:w="57" w:type="dxa"/>
              <w:right w:w="57" w:type="dxa"/>
            </w:tcMar>
            <w:vAlign w:val="top"/>
          </w:tcPr>
          <w:p w14:paraId="413DA41F" w14:textId="20FC985B"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It needs frequent maintenance, high pressure drops</w:t>
            </w:r>
            <w:r w:rsidR="00FE3B21" w:rsidRPr="00131758">
              <w:rPr>
                <w:rFonts w:ascii="Georgia" w:eastAsia="Georgia" w:hAnsi="Georgia" w:cs="Georgia"/>
                <w:sz w:val="18"/>
                <w:szCs w:val="18"/>
              </w:rPr>
              <w:t>,</w:t>
            </w:r>
            <w:r w:rsidRPr="00131758">
              <w:rPr>
                <w:rFonts w:ascii="Georgia" w:eastAsia="Georgia" w:hAnsi="Georgia" w:cs="Georgia"/>
                <w:sz w:val="18"/>
                <w:szCs w:val="18"/>
              </w:rPr>
              <w:t xml:space="preserve"> and increased energy consumption</w:t>
            </w:r>
            <w:r w:rsidR="00FE3B21" w:rsidRPr="00131758">
              <w:rPr>
                <w:rFonts w:ascii="Georgia" w:eastAsia="Georgia" w:hAnsi="Georgia" w:cs="Georgia"/>
                <w:sz w:val="18"/>
                <w:szCs w:val="18"/>
              </w:rPr>
              <w:t xml:space="preserve"> </w:t>
            </w:r>
            <w:r w:rsidR="00AD397A" w:rsidRPr="00131758">
              <w:rPr>
                <w:rFonts w:ascii="Georgia" w:eastAsia="Georgia" w:hAnsi="Georgia" w:cs="Georgia"/>
                <w:sz w:val="18"/>
                <w:szCs w:val="18"/>
              </w:rPr>
              <w:fldChar w:fldCharType="begin" w:fldLock="1"/>
            </w:r>
            <w:r w:rsidR="00A40379" w:rsidRPr="00131758">
              <w:rPr>
                <w:rFonts w:ascii="Georgia" w:eastAsia="Georgia" w:hAnsi="Georgia" w:cs="Georgia"/>
                <w:sz w:val="18"/>
                <w:szCs w:val="18"/>
              </w:rPr>
              <w:instrText>ADDIN CSL_CITATION {"citationItems":[{"id":"ITEM-1","itemData":{"DOI":"10.3201/eid1211.060426","ISSN":"10806059","PMID":"17283614","abstract":"In theory, influenza viruses can be transmitted through aerosols, large droplets, or direct contact with secretions (or fomites). These 3 modes are not mutually exclusive. Published findings that support the occurrence of aerosol transmission were reviewed to assess the importance of this mode of transmission. Published evidence indicates that aerosol transmission of influenza can be an important mode of transmission, which has obvious implications for pandemic influenza planning and in particular for recommendations about the use of N95 respirators as part of personal protective equipment.","author":[{"dropping-particle":"","family":"Tellier","given":"Raymond","non-dropping-particle":"","parse-names":false,"suffix":""}],"container-title":"Emerging Infectious Diseases","id":"ITEM-1","issue":"11","issued":{"date-parts":[["2006"]]},"page":"1657-1662","title":"Review of aerosol transmission of influenza A virus","type":"article-journal","volume":"12"},"uris":["http://www.mendeley.com/documents/?uuid=bcb56880-3ff5-4185-807e-640b2f44cef5"]}],"mendeley":{"formattedCitation":"(Tellier, 2006)","plainTextFormattedCitation":"(Tellier, 2006)","previouslyFormattedCitation":"(Tellier, 2006)"},"properties":{"noteIndex":0},"schema":"https://github.com/citation-style-language/schema/raw/master/csl-citation.json"}</w:instrText>
            </w:r>
            <w:r w:rsidR="00AD397A" w:rsidRPr="00131758">
              <w:rPr>
                <w:rFonts w:ascii="Georgia" w:eastAsia="Georgia" w:hAnsi="Georgia" w:cs="Georgia"/>
                <w:sz w:val="18"/>
                <w:szCs w:val="18"/>
              </w:rPr>
              <w:fldChar w:fldCharType="separate"/>
            </w:r>
            <w:r w:rsidR="00AD397A" w:rsidRPr="00131758">
              <w:rPr>
                <w:rFonts w:ascii="Georgia" w:eastAsia="Georgia" w:hAnsi="Georgia" w:cs="Georgia"/>
                <w:noProof/>
                <w:sz w:val="18"/>
                <w:szCs w:val="18"/>
              </w:rPr>
              <w:t>(Tellier, 2006)</w:t>
            </w:r>
            <w:r w:rsidR="00AD397A" w:rsidRPr="00131758">
              <w:rPr>
                <w:rFonts w:ascii="Georgia" w:eastAsia="Georgia" w:hAnsi="Georgia" w:cs="Georgia"/>
                <w:sz w:val="18"/>
                <w:szCs w:val="18"/>
              </w:rPr>
              <w:fldChar w:fldCharType="end"/>
            </w:r>
            <w:r w:rsidR="00AF2FA6" w:rsidRPr="00131758">
              <w:rPr>
                <w:rFonts w:ascii="Georgia" w:hAnsi="Georgia"/>
                <w:sz w:val="18"/>
                <w:szCs w:val="18"/>
              </w:rPr>
              <w:t>.</w:t>
            </w:r>
          </w:p>
          <w:p w14:paraId="0044C40A" w14:textId="77777777" w:rsidR="00695365"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 xml:space="preserve">The filters may reemit  the virus during replacement </w:t>
            </w:r>
            <w:r w:rsidR="005D0903" w:rsidRPr="00131758">
              <w:rPr>
                <w:rFonts w:ascii="Georgia" w:eastAsia="Georgia" w:hAnsi="Georgia" w:cs="Georgia"/>
                <w:sz w:val="18"/>
                <w:szCs w:val="18"/>
              </w:rPr>
              <w:fldChar w:fldCharType="begin" w:fldLock="1"/>
            </w:r>
            <w:r w:rsidR="00E13E13" w:rsidRPr="00131758">
              <w:rPr>
                <w:rFonts w:ascii="Georgia" w:eastAsia="Georgia" w:hAnsi="Georgia" w:cs="Georgia"/>
                <w:sz w:val="18"/>
                <w:szCs w:val="18"/>
              </w:rPr>
              <w:instrText>ADDIN CSL_CITATION {"citationItems":[{"id":"ITEM-1","itemData":{"DOI":"10.1007/s11356-021-17486-3","ISSN":"16147499","PMID":"34796437","abstract":"Although several non-thermal plasmas (NTPs) technologies have been widely investigated in air treatment, very few studies have focused on the inactivation mechanism of viruses by NTPs. Due to its efficiency and environmental compatibility, non-thermal plasma could be considered a promising virus-inactivation technology. Plasma is a partly or fully ionized gas including some species (i.e., electrons, free radicals, ions, and neutral molecules) to oxidize pollutants or inactivate harmful organisms. Non-thermal plasmas are made using less energy and have an active electron at a much higher temperature than bulk gas molecules. This review describes NTPs for virus inactivation in indoor air. The different application processes of plasma for microorganism inactivation at both laboratory and pilot-scale was also reviewed This paper reports on recent advances in this exciting area of viral inactivation identifying applications and mechanisms of inactivation, and summarizing the results of the latest experiments in the literature. Moreover, special attention was paid to the mechanism of virus inactivation. Finally, the paper suggests research directions in the field of airborne virus inactivation using non-thermal plasma.","author":[{"dropping-particle":"","family":"Assadi","given":"Imen","non-dropping-particle":"","parse-names":false,"suffix":""},{"dropping-particle":"","family":"Guesmi","given":"Ahlem","non-dropping-particle":"","parse-names":false,"suffix":""},{"dropping-particle":"","family":"Baaloudj","given":"Oussama","non-dropping-particle":"","parse-names":false,"suffix":""},{"dropping-particle":"","family":"Zeghioud","given":"Hichem","non-dropping-particle":"","parse-names":false,"suffix":""},{"dropping-particle":"","family":"Elfalleh","given":"Walid","non-dropping-particle":"","parse-names":false,"suffix":""},{"dropping-particle":"","family":"Benhammadi","given":"Naoufel","non-dropping-particle":"","parse-names":false,"suffix":""},{"dropping-particle":"","family":"Khezami","given":"Lotfi","non-dropping-particle":"","parse-names":false,"suffix":""},{"dropping-particle":"","family":"Assadi","given":"Aymen Amine","non-dropping-particle":"","parse-names":false,"suffix":""}],"container-title":"Environmental Science and Pollution Research","id":"ITEM-1","issue":"4","issued":{"date-parts":[["2022","1","1"]]},"page":"4880-4892","publisher":"Springer Science and Business Media Deutschland GmbH","title":"Review on inactivation of airborne viruses using non-thermal plasma technologies: from MS2 to coronavirus","type":"article","volume":"29"},"uris":["http://www.mendeley.com/documents/?uuid=88cc78fe-d384-3e73-97f2-d5f43db822d7"]}],"mendeley":{"formattedCitation":"(Assadi et al., 2022)","plainTextFormattedCitation":"(Assadi et al., 2022)","previouslyFormattedCitation":"(Assadi et al., 2022)"},"properties":{"noteIndex":0},"schema":"https://github.com/citation-style-language/schema/raw/master/csl-citation.json"}</w:instrText>
            </w:r>
            <w:r w:rsidR="005D0903" w:rsidRPr="00131758">
              <w:rPr>
                <w:rFonts w:ascii="Georgia" w:eastAsia="Georgia" w:hAnsi="Georgia" w:cs="Georgia"/>
                <w:sz w:val="18"/>
                <w:szCs w:val="18"/>
              </w:rPr>
              <w:fldChar w:fldCharType="separate"/>
            </w:r>
            <w:r w:rsidR="005D0903" w:rsidRPr="00131758">
              <w:rPr>
                <w:rFonts w:ascii="Georgia" w:eastAsia="Georgia" w:hAnsi="Georgia" w:cs="Georgia"/>
                <w:noProof/>
                <w:sz w:val="18"/>
                <w:szCs w:val="18"/>
              </w:rPr>
              <w:t>(Assadi et al., 2022)</w:t>
            </w:r>
            <w:r w:rsidR="005D0903" w:rsidRPr="00131758">
              <w:rPr>
                <w:rFonts w:ascii="Georgia" w:eastAsia="Georgia" w:hAnsi="Georgia" w:cs="Georgia"/>
                <w:sz w:val="18"/>
                <w:szCs w:val="18"/>
              </w:rPr>
              <w:fldChar w:fldCharType="end"/>
            </w:r>
            <w:r w:rsidR="005D0903" w:rsidRPr="00131758">
              <w:rPr>
                <w:rFonts w:ascii="Georgia" w:eastAsia="Georgia" w:hAnsi="Georgia" w:cs="Georgia"/>
                <w:sz w:val="18"/>
                <w:szCs w:val="18"/>
              </w:rPr>
              <w:t>.</w:t>
            </w:r>
          </w:p>
          <w:p w14:paraId="74CE0BE8" w14:textId="77777777" w:rsidR="007C378B" w:rsidRPr="00131758" w:rsidRDefault="007C378B" w:rsidP="006E4D6C">
            <w:pP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4B70FE59" w14:textId="77777777" w:rsidR="00695365" w:rsidRDefault="00695365" w:rsidP="006E4D6C">
            <w:pPr>
              <w:spacing w:after="120" w:line="240" w:lineRule="auto"/>
              <w:jc w:val="left"/>
              <w:rPr>
                <w:rFonts w:ascii="Georgia" w:eastAsia="Georgia" w:hAnsi="Georgia" w:cs="Georgia"/>
                <w:sz w:val="18"/>
                <w:szCs w:val="18"/>
              </w:rPr>
            </w:pPr>
          </w:p>
          <w:p w14:paraId="1FABAA89" w14:textId="77777777" w:rsidR="007C378B" w:rsidRPr="00131758" w:rsidRDefault="007C378B" w:rsidP="006E4D6C">
            <w:pPr>
              <w:spacing w:after="120" w:line="240" w:lineRule="auto"/>
              <w:jc w:val="left"/>
              <w:rPr>
                <w:rFonts w:ascii="Georgia" w:eastAsia="Georgia" w:hAnsi="Georgia" w:cs="Georgia"/>
                <w:sz w:val="18"/>
                <w:szCs w:val="18"/>
              </w:rPr>
            </w:pPr>
          </w:p>
        </w:tc>
      </w:tr>
      <w:tr w:rsidR="007C378B" w:rsidRPr="00131758" w14:paraId="4C333982" w14:textId="77777777" w:rsidTr="006E4D6C">
        <w:tc>
          <w:tcPr>
            <w:tcW w:w="0" w:type="auto"/>
            <w:tcMar>
              <w:top w:w="57" w:type="dxa"/>
              <w:left w:w="57" w:type="dxa"/>
              <w:bottom w:w="57" w:type="dxa"/>
              <w:right w:w="57" w:type="dxa"/>
            </w:tcMar>
            <w:vAlign w:val="top"/>
          </w:tcPr>
          <w:p w14:paraId="56F59762" w14:textId="77777777" w:rsidR="00695365" w:rsidRPr="00131758" w:rsidRDefault="00366511" w:rsidP="006E4D6C">
            <w:pPr>
              <w:spacing w:after="120" w:line="240" w:lineRule="auto"/>
              <w:jc w:val="left"/>
              <w:rPr>
                <w:rFonts w:ascii="Georgia" w:eastAsia="Georgia" w:hAnsi="Georgia" w:cs="Georgia"/>
                <w:b/>
                <w:sz w:val="18"/>
                <w:szCs w:val="18"/>
              </w:rPr>
            </w:pPr>
            <w:r w:rsidRPr="00131758">
              <w:rPr>
                <w:rFonts w:ascii="Georgia" w:eastAsia="Georgia" w:hAnsi="Georgia" w:cs="Georgia"/>
                <w:b/>
                <w:sz w:val="18"/>
                <w:szCs w:val="18"/>
              </w:rPr>
              <w:t>Indoor environmental quality</w:t>
            </w:r>
          </w:p>
        </w:tc>
        <w:tc>
          <w:tcPr>
            <w:tcW w:w="0" w:type="auto"/>
            <w:tcMar>
              <w:top w:w="57" w:type="dxa"/>
              <w:left w:w="57" w:type="dxa"/>
              <w:bottom w:w="57" w:type="dxa"/>
              <w:right w:w="57" w:type="dxa"/>
            </w:tcMar>
            <w:vAlign w:val="top"/>
          </w:tcPr>
          <w:p w14:paraId="26BD6D49" w14:textId="77777777" w:rsidR="00695365" w:rsidRPr="00131758" w:rsidRDefault="00366511" w:rsidP="006E4D6C">
            <w:pPr>
              <w:spacing w:before="20" w:after="120" w:line="240" w:lineRule="auto"/>
              <w:jc w:val="left"/>
              <w:rPr>
                <w:rFonts w:ascii="Georgia" w:eastAsia="Georgia" w:hAnsi="Georgia" w:cs="Georgia"/>
                <w:sz w:val="18"/>
                <w:szCs w:val="18"/>
              </w:rPr>
            </w:pPr>
            <w:r w:rsidRPr="00131758">
              <w:rPr>
                <w:rFonts w:ascii="Georgia" w:eastAsia="Georgia" w:hAnsi="Georgia" w:cs="Georgia"/>
                <w:sz w:val="18"/>
                <w:szCs w:val="18"/>
              </w:rPr>
              <w:t>Encourage daylighting</w:t>
            </w:r>
          </w:p>
        </w:tc>
        <w:tc>
          <w:tcPr>
            <w:tcW w:w="0" w:type="auto"/>
            <w:tcMar>
              <w:top w:w="57" w:type="dxa"/>
              <w:left w:w="57" w:type="dxa"/>
              <w:bottom w:w="57" w:type="dxa"/>
              <w:right w:w="57" w:type="dxa"/>
            </w:tcMar>
            <w:vAlign w:val="top"/>
          </w:tcPr>
          <w:p w14:paraId="4C164576" w14:textId="0F909CA5" w:rsidR="00695365" w:rsidRPr="00131758" w:rsidRDefault="00FE3B21" w:rsidP="006E4D6C">
            <w:pPr>
              <w:spacing w:after="120" w:line="240" w:lineRule="auto"/>
              <w:jc w:val="left"/>
              <w:rPr>
                <w:rFonts w:ascii="Georgia" w:eastAsia="Georgia" w:hAnsi="Georgia" w:cs="Georgia"/>
                <w:sz w:val="18"/>
                <w:szCs w:val="18"/>
              </w:rPr>
            </w:pPr>
            <w:r w:rsidRPr="00131758">
              <w:rPr>
                <w:rFonts w:ascii="Georgia" w:hAnsi="Georgia"/>
                <w:sz w:val="18"/>
                <w:szCs w:val="18"/>
              </w:rPr>
              <w:t>Atkinson et al. (2016) found that different studies have come to different conclusions about how well sunlight kills viruses. Amran et al. (2022b), on the other hand, say that adding windows to the wards and passageways could help control and stop infections.</w:t>
            </w:r>
            <w:r w:rsidR="00366511" w:rsidRPr="00131758">
              <w:rPr>
                <w:rFonts w:ascii="Georgia" w:eastAsia="Georgia" w:hAnsi="Georgia" w:cs="Georgia"/>
                <w:sz w:val="18"/>
                <w:szCs w:val="18"/>
                <w:highlight w:val="white"/>
              </w:rPr>
              <w:t>.</w:t>
            </w:r>
          </w:p>
        </w:tc>
        <w:tc>
          <w:tcPr>
            <w:tcW w:w="0" w:type="auto"/>
            <w:tcMar>
              <w:top w:w="57" w:type="dxa"/>
              <w:left w:w="57" w:type="dxa"/>
              <w:bottom w:w="57" w:type="dxa"/>
              <w:right w:w="57" w:type="dxa"/>
            </w:tcMar>
            <w:vAlign w:val="top"/>
          </w:tcPr>
          <w:p w14:paraId="28A871BC" w14:textId="4B21609C"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A minimum of</w:t>
            </w:r>
            <w:r w:rsidR="00942672">
              <w:rPr>
                <w:rFonts w:ascii="Georgia" w:eastAsia="Georgia" w:hAnsi="Georgia" w:cs="Georgia"/>
                <w:sz w:val="18"/>
                <w:szCs w:val="18"/>
              </w:rPr>
              <w:t xml:space="preserve"> </w:t>
            </w:r>
            <w:r w:rsidRPr="00131758">
              <w:rPr>
                <w:rFonts w:ascii="Georgia" w:eastAsia="Georgia" w:hAnsi="Georgia" w:cs="Georgia"/>
                <w:sz w:val="18"/>
                <w:szCs w:val="18"/>
              </w:rPr>
              <w:t>10 footcandles (fc) (110 lux)</w:t>
            </w:r>
            <w:r w:rsidR="00E13E13" w:rsidRPr="00131758">
              <w:rPr>
                <w:rFonts w:ascii="Georgia" w:eastAsia="Georgia" w:hAnsi="Georgia" w:cs="Georgia"/>
                <w:sz w:val="18"/>
                <w:szCs w:val="18"/>
              </w:rPr>
              <w:t xml:space="preserve"> </w:t>
            </w:r>
            <w:r w:rsidRPr="00131758">
              <w:rPr>
                <w:rFonts w:ascii="Georgia" w:eastAsia="Georgia" w:hAnsi="Georgia" w:cs="Georgia"/>
                <w:sz w:val="18"/>
                <w:szCs w:val="18"/>
              </w:rPr>
              <w:t>and a maximum of 500 fc</w:t>
            </w:r>
            <w:r w:rsidR="00E13E13" w:rsidRPr="00131758">
              <w:rPr>
                <w:rFonts w:ascii="Georgia" w:eastAsia="Georgia" w:hAnsi="Georgia" w:cs="Georgia"/>
                <w:sz w:val="18"/>
                <w:szCs w:val="18"/>
              </w:rPr>
              <w:t xml:space="preserve"> </w:t>
            </w:r>
            <w:r w:rsidRPr="00131758">
              <w:rPr>
                <w:rFonts w:ascii="Georgia" w:eastAsia="Georgia" w:hAnsi="Georgia" w:cs="Georgia"/>
                <w:sz w:val="18"/>
                <w:szCs w:val="18"/>
              </w:rPr>
              <w:t>(5,400 lux) in a clear sky condition on Sept</w:t>
            </w:r>
            <w:r w:rsidR="005D0903" w:rsidRPr="00131758">
              <w:rPr>
                <w:rFonts w:ascii="Georgia" w:eastAsia="Georgia" w:hAnsi="Georgia" w:cs="Georgia"/>
                <w:sz w:val="18"/>
                <w:szCs w:val="18"/>
              </w:rPr>
              <w:t xml:space="preserve">ember 21 </w:t>
            </w:r>
            <w:r w:rsidR="00FE3B21" w:rsidRPr="00131758">
              <w:rPr>
                <w:rFonts w:ascii="Georgia" w:eastAsia="Georgia" w:hAnsi="Georgia" w:cs="Georgia"/>
                <w:sz w:val="18"/>
                <w:szCs w:val="18"/>
              </w:rPr>
              <w:t>between</w:t>
            </w:r>
            <w:r w:rsidR="005D0903" w:rsidRPr="00131758">
              <w:rPr>
                <w:rFonts w:ascii="Georgia" w:eastAsia="Georgia" w:hAnsi="Georgia" w:cs="Georgia"/>
                <w:sz w:val="18"/>
                <w:szCs w:val="18"/>
              </w:rPr>
              <w:t xml:space="preserve"> 9 a.m. and 3 p.m (</w:t>
            </w:r>
            <w:r w:rsidRPr="00131758">
              <w:rPr>
                <w:rFonts w:ascii="Georgia" w:eastAsia="Georgia" w:hAnsi="Georgia" w:cs="Georgia"/>
                <w:sz w:val="18"/>
                <w:szCs w:val="18"/>
              </w:rPr>
              <w:t xml:space="preserve">USGBC, 2017). Introducing apertures for daylight </w:t>
            </w:r>
            <w:r w:rsidR="00FE3B21" w:rsidRPr="00131758">
              <w:rPr>
                <w:rFonts w:ascii="Georgia" w:eastAsia="Georgia" w:hAnsi="Georgia" w:cs="Georgia"/>
                <w:sz w:val="18"/>
                <w:szCs w:val="18"/>
              </w:rPr>
              <w:t xml:space="preserve">will </w:t>
            </w:r>
            <w:r w:rsidRPr="00131758">
              <w:rPr>
                <w:rFonts w:ascii="Georgia" w:eastAsia="Georgia" w:hAnsi="Georgia" w:cs="Georgia"/>
                <w:sz w:val="18"/>
                <w:szCs w:val="18"/>
              </w:rPr>
              <w:t xml:space="preserve">also afford occupants a view </w:t>
            </w:r>
            <w:r w:rsidR="00FE3B21" w:rsidRPr="00131758">
              <w:rPr>
                <w:rFonts w:ascii="Georgia" w:eastAsia="Georgia" w:hAnsi="Georgia" w:cs="Georgia"/>
                <w:sz w:val="18"/>
                <w:szCs w:val="18"/>
              </w:rPr>
              <w:t>of the</w:t>
            </w:r>
            <w:r w:rsidRPr="00131758">
              <w:rPr>
                <w:rFonts w:ascii="Georgia" w:eastAsia="Georgia" w:hAnsi="Georgia" w:cs="Georgia"/>
                <w:sz w:val="18"/>
                <w:szCs w:val="18"/>
              </w:rPr>
              <w:t xml:space="preserve"> outdoors.</w:t>
            </w:r>
          </w:p>
          <w:p w14:paraId="61200B7E" w14:textId="77777777" w:rsidR="00695365" w:rsidRPr="00131758" w:rsidRDefault="00695365" w:rsidP="006E4D6C">
            <w:pP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2565C494" w14:textId="5182CCFE"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UVC light of 260-265</w:t>
            </w:r>
            <w:r w:rsidR="00FE3B21" w:rsidRPr="00131758">
              <w:rPr>
                <w:rFonts w:ascii="Georgia" w:eastAsia="Georgia" w:hAnsi="Georgia" w:cs="Georgia"/>
                <w:sz w:val="18"/>
                <w:szCs w:val="18"/>
              </w:rPr>
              <w:t xml:space="preserve"> </w:t>
            </w:r>
            <w:r w:rsidRPr="00131758">
              <w:rPr>
                <w:rFonts w:ascii="Georgia" w:eastAsia="Georgia" w:hAnsi="Georgia" w:cs="Georgia"/>
                <w:sz w:val="18"/>
                <w:szCs w:val="18"/>
              </w:rPr>
              <w:t xml:space="preserve">mm has the most germicidal effectiveness </w:t>
            </w:r>
            <w:r w:rsidR="00FE3B21" w:rsidRPr="00131758">
              <w:rPr>
                <w:rFonts w:ascii="Georgia" w:eastAsia="Georgia" w:hAnsi="Georgia" w:cs="Georgia"/>
                <w:sz w:val="18"/>
                <w:szCs w:val="18"/>
              </w:rPr>
              <w:t xml:space="preserve">and </w:t>
            </w:r>
            <w:r w:rsidRPr="00131758">
              <w:rPr>
                <w:rFonts w:ascii="Georgia" w:eastAsia="Georgia" w:hAnsi="Georgia" w:cs="Georgia"/>
                <w:sz w:val="18"/>
                <w:szCs w:val="18"/>
              </w:rPr>
              <w:t>is eliminated from natural daylight</w:t>
            </w:r>
            <w:r w:rsidR="005D58D5" w:rsidRPr="00131758">
              <w:rPr>
                <w:rFonts w:ascii="Georgia" w:eastAsia="Georgia" w:hAnsi="Georgia" w:cs="Georgia"/>
                <w:sz w:val="18"/>
                <w:szCs w:val="18"/>
              </w:rPr>
              <w:t xml:space="preserve"> </w:t>
            </w:r>
            <w:r w:rsidRPr="00131758">
              <w:rPr>
                <w:rFonts w:ascii="Georgia" w:eastAsia="Georgia" w:hAnsi="Georgia" w:cs="Georgia"/>
                <w:sz w:val="18"/>
                <w:szCs w:val="18"/>
              </w:rPr>
              <w:t xml:space="preserve">(Kowalski, 2009; Antoino and </w:t>
            </w:r>
            <w:r w:rsidRPr="00131758">
              <w:rPr>
                <w:rFonts w:ascii="Georgia" w:eastAsia="Georgia" w:hAnsi="Georgia" w:cs="Georgia"/>
                <w:sz w:val="18"/>
                <w:szCs w:val="18"/>
                <w:highlight w:val="white"/>
              </w:rPr>
              <w:t>Sanmartín, 2018)</w:t>
            </w:r>
            <w:r w:rsidRPr="00131758">
              <w:rPr>
                <w:rFonts w:ascii="Georgia" w:eastAsia="Georgia" w:hAnsi="Georgia" w:cs="Georgia"/>
                <w:sz w:val="18"/>
                <w:szCs w:val="18"/>
              </w:rPr>
              <w:t>. Hence, the use of UVGI lamps is an alternative.</w:t>
            </w:r>
          </w:p>
        </w:tc>
      </w:tr>
      <w:tr w:rsidR="007C378B" w:rsidRPr="00131758" w14:paraId="6BBA5EDC" w14:textId="77777777" w:rsidTr="006E4D6C">
        <w:tc>
          <w:tcPr>
            <w:tcW w:w="0" w:type="auto"/>
            <w:tcMar>
              <w:top w:w="57" w:type="dxa"/>
              <w:left w:w="57" w:type="dxa"/>
              <w:bottom w:w="57" w:type="dxa"/>
              <w:right w:w="57" w:type="dxa"/>
            </w:tcMar>
            <w:vAlign w:val="top"/>
          </w:tcPr>
          <w:p w14:paraId="6431FE9A" w14:textId="77777777" w:rsidR="00695365" w:rsidRPr="00131758" w:rsidRDefault="00366511" w:rsidP="006E4D6C">
            <w:pPr>
              <w:spacing w:after="120" w:line="240" w:lineRule="auto"/>
              <w:jc w:val="left"/>
              <w:rPr>
                <w:rFonts w:ascii="Georgia" w:eastAsia="Georgia" w:hAnsi="Georgia" w:cs="Georgia"/>
                <w:b/>
                <w:sz w:val="18"/>
                <w:szCs w:val="18"/>
              </w:rPr>
            </w:pPr>
            <w:r w:rsidRPr="00131758">
              <w:rPr>
                <w:rFonts w:ascii="Georgia" w:eastAsia="Georgia" w:hAnsi="Georgia" w:cs="Georgia"/>
                <w:b/>
                <w:sz w:val="18"/>
                <w:szCs w:val="18"/>
              </w:rPr>
              <w:t>Interior finishes</w:t>
            </w:r>
          </w:p>
        </w:tc>
        <w:tc>
          <w:tcPr>
            <w:tcW w:w="0" w:type="auto"/>
            <w:tcMar>
              <w:top w:w="57" w:type="dxa"/>
              <w:left w:w="57" w:type="dxa"/>
              <w:bottom w:w="57" w:type="dxa"/>
              <w:right w:w="57" w:type="dxa"/>
            </w:tcMar>
            <w:vAlign w:val="top"/>
          </w:tcPr>
          <w:p w14:paraId="6D0133A2" w14:textId="77777777" w:rsidR="00695365" w:rsidRPr="00131758" w:rsidRDefault="00366511" w:rsidP="006E4D6C">
            <w:pPr>
              <w:spacing w:before="20" w:after="120" w:line="240" w:lineRule="auto"/>
              <w:jc w:val="left"/>
              <w:rPr>
                <w:rFonts w:ascii="Georgia" w:eastAsia="Georgia" w:hAnsi="Georgia" w:cs="Georgia"/>
                <w:sz w:val="18"/>
                <w:szCs w:val="18"/>
              </w:rPr>
            </w:pPr>
            <w:r w:rsidRPr="00131758">
              <w:rPr>
                <w:rFonts w:ascii="Georgia" w:eastAsia="Georgia" w:hAnsi="Georgia" w:cs="Georgia"/>
                <w:sz w:val="18"/>
                <w:szCs w:val="18"/>
              </w:rPr>
              <w:t>Selection of anti-virus materials</w:t>
            </w:r>
          </w:p>
        </w:tc>
        <w:tc>
          <w:tcPr>
            <w:tcW w:w="0" w:type="auto"/>
            <w:tcMar>
              <w:top w:w="57" w:type="dxa"/>
              <w:left w:w="57" w:type="dxa"/>
              <w:bottom w:w="57" w:type="dxa"/>
              <w:right w:w="57" w:type="dxa"/>
            </w:tcMar>
            <w:vAlign w:val="top"/>
          </w:tcPr>
          <w:p w14:paraId="6226B7F3" w14:textId="4878C859"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material specifications must use materials such as copper, antibacterial paints</w:t>
            </w:r>
            <w:r w:rsidR="00FE3B21" w:rsidRPr="00131758">
              <w:rPr>
                <w:rFonts w:ascii="Georgia" w:eastAsia="Georgia" w:hAnsi="Georgia" w:cs="Georgia"/>
                <w:sz w:val="18"/>
                <w:szCs w:val="18"/>
              </w:rPr>
              <w:t>,</w:t>
            </w:r>
            <w:r w:rsidRPr="00131758">
              <w:rPr>
                <w:rFonts w:ascii="Georgia" w:eastAsia="Georgia" w:hAnsi="Georgia" w:cs="Georgia"/>
                <w:sz w:val="18"/>
                <w:szCs w:val="18"/>
              </w:rPr>
              <w:t xml:space="preserve"> and prefabricated furniture</w:t>
            </w:r>
            <w:r w:rsidR="00FE3B21" w:rsidRPr="00131758">
              <w:rPr>
                <w:rFonts w:ascii="Georgia" w:eastAsia="Georgia" w:hAnsi="Georgia" w:cs="Georgia"/>
                <w:sz w:val="18"/>
                <w:szCs w:val="18"/>
              </w:rPr>
              <w:t>,</w:t>
            </w:r>
            <w:r w:rsidRPr="00131758">
              <w:rPr>
                <w:rFonts w:ascii="Georgia" w:eastAsia="Georgia" w:hAnsi="Georgia" w:cs="Georgia"/>
                <w:sz w:val="18"/>
                <w:szCs w:val="18"/>
              </w:rPr>
              <w:t xml:space="preserve"> while sensor controlled lifts, sinks</w:t>
            </w:r>
            <w:r w:rsidR="00FE3B21" w:rsidRPr="00131758">
              <w:rPr>
                <w:rFonts w:ascii="Georgia" w:eastAsia="Georgia" w:hAnsi="Georgia" w:cs="Georgia"/>
                <w:sz w:val="18"/>
                <w:szCs w:val="18"/>
              </w:rPr>
              <w:t>,</w:t>
            </w:r>
            <w:r w:rsidRPr="00131758">
              <w:rPr>
                <w:rFonts w:ascii="Georgia" w:eastAsia="Georgia" w:hAnsi="Georgia" w:cs="Georgia"/>
                <w:sz w:val="18"/>
                <w:szCs w:val="18"/>
              </w:rPr>
              <w:t xml:space="preserve"> and taps can avoid contact altogether (Garg,2021; Emmanuel et al, 2020).</w:t>
            </w:r>
          </w:p>
          <w:p w14:paraId="026BC6EA" w14:textId="77777777" w:rsidR="00695365" w:rsidRPr="00131758" w:rsidRDefault="00695365" w:rsidP="006E4D6C">
            <w:pPr>
              <w:spacing w:after="120" w:line="240" w:lineRule="auto"/>
              <w:jc w:val="left"/>
              <w:rPr>
                <w:rFonts w:ascii="Georgia" w:eastAsia="Georgia" w:hAnsi="Georgia" w:cs="Georgia"/>
                <w:sz w:val="18"/>
                <w:szCs w:val="18"/>
              </w:rPr>
            </w:pPr>
          </w:p>
        </w:tc>
        <w:tc>
          <w:tcPr>
            <w:tcW w:w="0" w:type="auto"/>
            <w:tcMar>
              <w:top w:w="57" w:type="dxa"/>
              <w:left w:w="57" w:type="dxa"/>
              <w:bottom w:w="57" w:type="dxa"/>
              <w:right w:w="57" w:type="dxa"/>
            </w:tcMar>
            <w:vAlign w:val="top"/>
          </w:tcPr>
          <w:p w14:paraId="7BBAA61E" w14:textId="5D0A8858"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manufacturing process for metals is carbon intensive (Liu et al, 2017).</w:t>
            </w:r>
          </w:p>
          <w:p w14:paraId="4283C60F" w14:textId="21FF1793" w:rsidR="00695365" w:rsidRPr="00131758" w:rsidRDefault="00FE3B2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A c</w:t>
            </w:r>
            <w:r w:rsidR="00366511" w:rsidRPr="00131758">
              <w:rPr>
                <w:rFonts w:ascii="Georgia" w:eastAsia="Georgia" w:hAnsi="Georgia" w:cs="Georgia"/>
                <w:sz w:val="18"/>
                <w:szCs w:val="18"/>
              </w:rPr>
              <w:t xml:space="preserve">opper finish has high </w:t>
            </w:r>
            <w:r w:rsidR="00A33642" w:rsidRPr="00131758">
              <w:rPr>
                <w:rFonts w:ascii="Georgia" w:eastAsia="Georgia" w:hAnsi="Georgia" w:cs="Georgia"/>
                <w:sz w:val="18"/>
                <w:szCs w:val="18"/>
              </w:rPr>
              <w:t xml:space="preserve">cost and </w:t>
            </w:r>
            <w:r w:rsidRPr="00131758">
              <w:rPr>
                <w:rFonts w:ascii="Georgia" w:eastAsia="Georgia" w:hAnsi="Georgia" w:cs="Georgia"/>
                <w:sz w:val="18"/>
                <w:szCs w:val="18"/>
              </w:rPr>
              <w:t xml:space="preserve">a </w:t>
            </w:r>
            <w:r w:rsidR="00A33642" w:rsidRPr="00131758">
              <w:rPr>
                <w:rFonts w:ascii="Georgia" w:eastAsia="Georgia" w:hAnsi="Georgia" w:cs="Georgia"/>
                <w:sz w:val="18"/>
                <w:szCs w:val="18"/>
              </w:rPr>
              <w:t xml:space="preserve">high maintenance cost </w:t>
            </w:r>
            <w:r w:rsidR="00A33642" w:rsidRPr="00131758">
              <w:rPr>
                <w:rFonts w:ascii="Georgia" w:eastAsia="Georgia" w:hAnsi="Georgia" w:cs="Georgia"/>
                <w:sz w:val="18"/>
                <w:szCs w:val="18"/>
              </w:rPr>
              <w:fldChar w:fldCharType="begin" w:fldLock="1"/>
            </w:r>
            <w:r w:rsidR="00E52B35" w:rsidRPr="00131758">
              <w:rPr>
                <w:rFonts w:ascii="Georgia" w:eastAsia="Georgia" w:hAnsi="Georgia" w:cs="Georgia"/>
                <w:sz w:val="18"/>
                <w:szCs w:val="18"/>
              </w:rPr>
              <w:instrText>ADDIN CSL_CITATION {"citationItems":[{"id":"ITEM-1","itemData":{"DOI":"10.3390/buildings12010074","ISSN":"20755309","abstract":"The COVID-19 pandemic forced the accessibility, social gathering, lifestyle, and working environment to be changed to reduce the infection. Coronavirus spreads between people in several different ways. Small liquid particles (aerosols, respiratory droplets) from an infected person are transmitted through air and surfaces that are in contact with humans. Reducing transmission through modified heating, ventilation, and air conditioning (HVAC) systems and building design are potential solutions. A comprehensive review of the engineering control preventive measures to mitigate COVID-19 spread, healthy building design, and material was carried out. The current state-of-the-art engineering control preventive measures presented include ultraviolet germicidal irradiation (UVGI), bipolar ionization, vertical gardening, and indoor plants. They have potential to improve the indoor air quality. In addition, this article presents building design with materials (e.g., copper alloys, anti-microbial paintings) and smart technologies (e.g., automation, voice control, and artificial intelligence-based facial recognition) to mitigate the infections of communicable diseases.","author":[{"dropping-particle":"","family":"Navaratnam","given":"Satheeskumar","non-dropping-particle":"","parse-names":false,"suffix":""},{"dropping-particle":"","family":"Nguyen","given":"Kate","non-dropping-particle":"","parse-names":false,"suffix":""},{"dropping-particle":"","family":"Selvaranjan","given":"Kajanan","non-dropping-particle":"","parse-names":false,"suffix":""},{"dropping-particle":"","family":"Zhang","given":"Guomin","non-dropping-particle":"","parse-names":false,"suffix":""},{"dropping-particle":"","family":"Mendis","given":"Priyan","non-dropping-particle":"","parse-names":false,"suffix":""},{"dropping-particle":"","family":"Aye","given":"Lu","non-dropping-particle":"","parse-names":false,"suffix":""}],"container-title":"Buildings","id":"ITEM-1","issue":"1","issued":{"date-parts":[["2022","1","1"]]},"publisher":"MDPI","title":"Designing Post COVID-19 Buildings: Approaches for Achieving Healthy Buildings","type":"article-journal","volume":"12"},"uris":["http://www.mendeley.com/documents/?uuid=9672a09e-f4e0-33d3-82d8-9dc660f3427d"]}],"mendeley":{"formattedCitation":"(Navaratnam et al., 2022)","plainTextFormattedCitation":"(Navaratnam et al., 2022)","previouslyFormattedCitation":"(Navaratnam et al., 2022)"},"properties":{"noteIndex":0},"schema":"https://github.com/citation-style-language/schema/raw/master/csl-citation.json"}</w:instrText>
            </w:r>
            <w:r w:rsidR="00A33642" w:rsidRPr="00131758">
              <w:rPr>
                <w:rFonts w:ascii="Georgia" w:eastAsia="Georgia" w:hAnsi="Georgia" w:cs="Georgia"/>
                <w:sz w:val="18"/>
                <w:szCs w:val="18"/>
              </w:rPr>
              <w:fldChar w:fldCharType="separate"/>
            </w:r>
            <w:r w:rsidR="00A33642" w:rsidRPr="00131758">
              <w:rPr>
                <w:rFonts w:ascii="Georgia" w:eastAsia="Georgia" w:hAnsi="Georgia" w:cs="Georgia"/>
                <w:noProof/>
                <w:sz w:val="18"/>
                <w:szCs w:val="18"/>
              </w:rPr>
              <w:t>(Navaratnam et al., 2022)</w:t>
            </w:r>
            <w:r w:rsidR="00A33642" w:rsidRPr="00131758">
              <w:rPr>
                <w:rFonts w:ascii="Georgia" w:eastAsia="Georgia" w:hAnsi="Georgia" w:cs="Georgia"/>
                <w:sz w:val="18"/>
                <w:szCs w:val="18"/>
              </w:rPr>
              <w:fldChar w:fldCharType="end"/>
            </w:r>
            <w:r w:rsidR="00366511" w:rsidRPr="00131758">
              <w:rPr>
                <w:rFonts w:ascii="Georgia" w:eastAsia="Georgia" w:hAnsi="Georgia" w:cs="Georgia"/>
                <w:sz w:val="18"/>
                <w:szCs w:val="18"/>
              </w:rPr>
              <w:t>.</w:t>
            </w:r>
          </w:p>
        </w:tc>
        <w:tc>
          <w:tcPr>
            <w:tcW w:w="0" w:type="auto"/>
            <w:tcMar>
              <w:top w:w="57" w:type="dxa"/>
              <w:left w:w="57" w:type="dxa"/>
              <w:bottom w:w="57" w:type="dxa"/>
              <w:right w:w="57" w:type="dxa"/>
            </w:tcMar>
            <w:vAlign w:val="top"/>
          </w:tcPr>
          <w:p w14:paraId="54521347" w14:textId="781D8523"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Hence, further research is needed on the materials that are antibacterial and low carbon.</w:t>
            </w:r>
          </w:p>
        </w:tc>
      </w:tr>
      <w:tr w:rsidR="007C378B" w:rsidRPr="00131758" w14:paraId="2CF7AC86" w14:textId="77777777" w:rsidTr="006E4D6C">
        <w:tc>
          <w:tcPr>
            <w:tcW w:w="0" w:type="auto"/>
            <w:tcMar>
              <w:top w:w="57" w:type="dxa"/>
              <w:left w:w="57" w:type="dxa"/>
              <w:bottom w:w="57" w:type="dxa"/>
              <w:right w:w="57" w:type="dxa"/>
            </w:tcMar>
            <w:vAlign w:val="top"/>
          </w:tcPr>
          <w:p w14:paraId="67D6167B" w14:textId="1F898282" w:rsidR="00695365" w:rsidRPr="00131758" w:rsidRDefault="00366511" w:rsidP="006E4D6C">
            <w:pPr>
              <w:spacing w:after="120" w:line="240" w:lineRule="auto"/>
              <w:jc w:val="left"/>
              <w:rPr>
                <w:rFonts w:ascii="Georgia" w:eastAsia="Georgia" w:hAnsi="Georgia" w:cs="Georgia"/>
                <w:b/>
                <w:sz w:val="18"/>
                <w:szCs w:val="18"/>
              </w:rPr>
            </w:pPr>
            <w:r w:rsidRPr="00131758">
              <w:rPr>
                <w:rFonts w:ascii="Georgia" w:eastAsia="Georgia" w:hAnsi="Georgia" w:cs="Georgia"/>
                <w:b/>
                <w:sz w:val="18"/>
                <w:szCs w:val="18"/>
              </w:rPr>
              <w:t>Site</w:t>
            </w:r>
          </w:p>
        </w:tc>
        <w:tc>
          <w:tcPr>
            <w:tcW w:w="0" w:type="auto"/>
            <w:tcMar>
              <w:top w:w="57" w:type="dxa"/>
              <w:left w:w="57" w:type="dxa"/>
              <w:bottom w:w="57" w:type="dxa"/>
              <w:right w:w="57" w:type="dxa"/>
            </w:tcMar>
            <w:vAlign w:val="top"/>
          </w:tcPr>
          <w:p w14:paraId="1B295091" w14:textId="77777777"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location of hospitals</w:t>
            </w:r>
          </w:p>
        </w:tc>
        <w:tc>
          <w:tcPr>
            <w:tcW w:w="0" w:type="auto"/>
            <w:tcMar>
              <w:top w:w="57" w:type="dxa"/>
              <w:left w:w="57" w:type="dxa"/>
              <w:bottom w:w="57" w:type="dxa"/>
              <w:right w:w="57" w:type="dxa"/>
            </w:tcMar>
            <w:vAlign w:val="top"/>
          </w:tcPr>
          <w:p w14:paraId="1B048306" w14:textId="52381A13" w:rsidR="00695365" w:rsidRPr="00131758" w:rsidRDefault="00B239ED"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 xml:space="preserve">Put </w:t>
            </w:r>
            <w:r w:rsidR="00366511" w:rsidRPr="00131758">
              <w:rPr>
                <w:rFonts w:ascii="Georgia" w:eastAsia="Georgia" w:hAnsi="Georgia" w:cs="Georgia"/>
                <w:sz w:val="18"/>
                <w:szCs w:val="18"/>
              </w:rPr>
              <w:t xml:space="preserve">hospitals along the edges of the city to avoid overcrowding </w:t>
            </w:r>
            <w:r w:rsidR="00EA6804" w:rsidRPr="00131758">
              <w:rPr>
                <w:rFonts w:ascii="Georgia" w:eastAsia="Georgia" w:hAnsi="Georgia" w:cs="Georgia"/>
                <w:sz w:val="18"/>
                <w:szCs w:val="18"/>
              </w:rPr>
              <w:fldChar w:fldCharType="begin" w:fldLock="1"/>
            </w:r>
            <w:r w:rsidR="007C504F" w:rsidRPr="00131758">
              <w:rPr>
                <w:rFonts w:ascii="Georgia" w:eastAsia="Georgia" w:hAnsi="Georgia" w:cs="Georgia"/>
                <w:sz w:val="18"/>
                <w:szCs w:val="18"/>
              </w:rPr>
              <w:instrText>ADDIN CSL_CITATION {"citationItems":[{"id":"ITEM-1","itemData":{"DOI":"10.23750/abm.v91i9-S.10117","ISSN":"2531-6745","abstract":"BACKGROUND AND AIM: The COVID-19 pandemic has upended the global healthcare systems. The surge in infections and sick critically ill patients has tested the resilience of healthcare infrastructures and facilities forcing organizations to quickly adapt and embrace emergency solutions. The paper proposes a decalogue of design strategies applicable both to new hospitals and to the refurbishment of existing hospitals. METHODS: The authors conducted observations at hospitals, during public health webinars and through experts working groups from March to May 2020. RESULTS: In this commentary, the authors present a list of strategies for creating critical care surge capacity and exploring design strategies for healthcare design for resilient hospital facilities. The strategies are organized into two tiers: I) design and II) operations. The (I) Design phase strategies are: 1) Strategic Site Location; 2) Typology Configuration; 3) Flexibility; 4) Functional program; 5) User-centerdness. The (II) Operation phase strategies are: 6) Healthcare network on the territory; 7) Patient safety; 8) HVAC and indoor air quality; 9) Innovative finishing materials and furniture; 10) Healthcare digital innovation. CONCLUSIONS: Hospitals, health care systems, and institutions urgently need to assess their resources, identify potential bottlenecks, and create strategies for increasing critical care surge capacity. The COVID-19 pandemic disrupted healthcare operations and accelerated the processes of innovation and transformation. The design and operational strategies can enable the achievement of resilient hospital facilities. Further multidisciplinary researches is needed  to validate the strategies empirically.","author":[{"dropping-particle":"","family":"Capolongo","given":"Stefano","non-dropping-particle":"","parse-names":false,"suffix":""},{"dropping-particle":"","family":"Gola","given":"Marco","non-dropping-particle":"","parse-names":false,"suffix":""},{"dropping-particle":"","family":"Brambilla","given":"Andrea","non-dropping-particle":"","parse-names":false,"suffix":""},{"dropping-particle":"","family":"Morganti","given":"Alessandro","non-dropping-particle":"","parse-names":false,"suffix":""},{"dropping-particle":"","family":"Mosca","given":"Erica Isa","non-dropping-particle":"","parse-names":false,"suffix":""},{"dropping-particle":"","family":"Barach","given":"Paul","non-dropping-particle":"","parse-names":false,"suffix":""}],"container-title":"Acta bio-medica : Atenei Parmensis","id":"ITEM-1","issue":"9-S","issued":{"date-parts":[["2020","7","20"]]},"language":"eng","page":"50-60","publisher":"Mattioli 1885","title":"COVID-19 and Healthcare Facilities: a Decalogue of Design Strategies for Resilient Hospitals","type":"article-journal","volume":"91"},"uris":["http://www.mendeley.com/documents/?uuid=e49d4011-e9a9-4727-88e2-a30198d531c4"]}],"mendeley":{"formattedCitation":"(Capolongo et al., 2020d)","plainTextFormattedCitation":"(Capolongo et al., 2020d)","previouslyFormattedCitation":"(Capolongo et al., 2020d)"},"properties":{"noteIndex":0},"schema":"https://github.com/citation-style-language/schema/raw/master/csl-citation.json"}</w:instrText>
            </w:r>
            <w:r w:rsidR="00EA6804" w:rsidRPr="00131758">
              <w:rPr>
                <w:rFonts w:ascii="Georgia" w:eastAsia="Georgia" w:hAnsi="Georgia" w:cs="Georgia"/>
                <w:sz w:val="18"/>
                <w:szCs w:val="18"/>
              </w:rPr>
              <w:fldChar w:fldCharType="separate"/>
            </w:r>
            <w:r w:rsidR="007C504F" w:rsidRPr="00131758">
              <w:rPr>
                <w:rFonts w:ascii="Georgia" w:eastAsia="Georgia" w:hAnsi="Georgia" w:cs="Georgia"/>
                <w:noProof/>
                <w:sz w:val="18"/>
                <w:szCs w:val="18"/>
              </w:rPr>
              <w:t>(Capolongo et al., 2020d)</w:t>
            </w:r>
            <w:r w:rsidR="00EA6804" w:rsidRPr="00131758">
              <w:rPr>
                <w:rFonts w:ascii="Georgia" w:eastAsia="Georgia" w:hAnsi="Georgia" w:cs="Georgia"/>
                <w:sz w:val="18"/>
                <w:szCs w:val="18"/>
              </w:rPr>
              <w:fldChar w:fldCharType="end"/>
            </w:r>
            <w:r w:rsidR="00EA6804" w:rsidRPr="00131758">
              <w:rPr>
                <w:rFonts w:ascii="Georgia" w:eastAsia="Georgia" w:hAnsi="Georgia" w:cs="Georgia"/>
                <w:sz w:val="18"/>
                <w:szCs w:val="18"/>
              </w:rPr>
              <w:t>.</w:t>
            </w:r>
          </w:p>
        </w:tc>
        <w:tc>
          <w:tcPr>
            <w:tcW w:w="0" w:type="auto"/>
            <w:tcMar>
              <w:top w:w="57" w:type="dxa"/>
              <w:left w:w="57" w:type="dxa"/>
              <w:bottom w:w="57" w:type="dxa"/>
              <w:right w:w="57" w:type="dxa"/>
            </w:tcMar>
            <w:vAlign w:val="top"/>
          </w:tcPr>
          <w:p w14:paraId="17234770" w14:textId="0E9B15EC"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The GHG emissions from the vehicles pose a risk to the environment as longer distances have to be trave</w:t>
            </w:r>
            <w:r w:rsidR="00FE3B21" w:rsidRPr="00131758">
              <w:rPr>
                <w:rFonts w:ascii="Georgia" w:eastAsia="Georgia" w:hAnsi="Georgia" w:cs="Georgia"/>
                <w:sz w:val="18"/>
                <w:szCs w:val="18"/>
              </w:rPr>
              <w:t>l</w:t>
            </w:r>
            <w:r w:rsidRPr="00131758">
              <w:rPr>
                <w:rFonts w:ascii="Georgia" w:eastAsia="Georgia" w:hAnsi="Georgia" w:cs="Georgia"/>
                <w:sz w:val="18"/>
                <w:szCs w:val="18"/>
              </w:rPr>
              <w:t>led.</w:t>
            </w:r>
          </w:p>
          <w:p w14:paraId="3F784763" w14:textId="79607330"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LEED (2009) encourages development with ½ miles of services</w:t>
            </w:r>
            <w:r w:rsidR="00FE3B21" w:rsidRPr="00131758">
              <w:rPr>
                <w:rFonts w:ascii="Georgia" w:eastAsia="Georgia" w:hAnsi="Georgia" w:cs="Georgia"/>
                <w:sz w:val="18"/>
                <w:szCs w:val="18"/>
              </w:rPr>
              <w:t>.</w:t>
            </w:r>
          </w:p>
        </w:tc>
        <w:tc>
          <w:tcPr>
            <w:tcW w:w="0" w:type="auto"/>
            <w:tcMar>
              <w:top w:w="57" w:type="dxa"/>
              <w:left w:w="57" w:type="dxa"/>
              <w:bottom w:w="57" w:type="dxa"/>
              <w:right w:w="57" w:type="dxa"/>
            </w:tcMar>
            <w:vAlign w:val="top"/>
          </w:tcPr>
          <w:p w14:paraId="0457878C" w14:textId="0F81FC5A" w:rsidR="00695365" w:rsidRPr="00131758" w:rsidRDefault="00366511" w:rsidP="006E4D6C">
            <w:pPr>
              <w:spacing w:after="120" w:line="240" w:lineRule="auto"/>
              <w:jc w:val="left"/>
              <w:rPr>
                <w:rFonts w:ascii="Georgia" w:eastAsia="Georgia" w:hAnsi="Georgia" w:cs="Georgia"/>
                <w:sz w:val="18"/>
                <w:szCs w:val="18"/>
              </w:rPr>
            </w:pPr>
            <w:r w:rsidRPr="00131758">
              <w:rPr>
                <w:rFonts w:ascii="Georgia" w:eastAsia="Georgia" w:hAnsi="Georgia" w:cs="Georgia"/>
                <w:sz w:val="18"/>
                <w:szCs w:val="18"/>
              </w:rPr>
              <w:t>Create a 15 minute city that allows access to amenities via bicycl</w:t>
            </w:r>
            <w:r w:rsidR="00FE3B21" w:rsidRPr="00131758">
              <w:rPr>
                <w:rFonts w:ascii="Georgia" w:eastAsia="Georgia" w:hAnsi="Georgia" w:cs="Georgia"/>
                <w:sz w:val="18"/>
                <w:szCs w:val="18"/>
              </w:rPr>
              <w:t>e</w:t>
            </w:r>
            <w:r w:rsidRPr="00131758">
              <w:rPr>
                <w:rFonts w:ascii="Georgia" w:eastAsia="Georgia" w:hAnsi="Georgia" w:cs="Georgia"/>
                <w:sz w:val="18"/>
                <w:szCs w:val="18"/>
              </w:rPr>
              <w:t xml:space="preserve"> or </w:t>
            </w:r>
            <w:r w:rsidR="00FE3B21" w:rsidRPr="00131758">
              <w:rPr>
                <w:rFonts w:ascii="Georgia" w:eastAsia="Georgia" w:hAnsi="Georgia" w:cs="Georgia"/>
                <w:sz w:val="18"/>
                <w:szCs w:val="18"/>
              </w:rPr>
              <w:t xml:space="preserve">foot </w:t>
            </w:r>
            <w:r w:rsidRPr="00131758">
              <w:rPr>
                <w:rFonts w:ascii="Georgia" w:eastAsia="Georgia" w:hAnsi="Georgia" w:cs="Georgia"/>
                <w:sz w:val="18"/>
                <w:szCs w:val="18"/>
              </w:rPr>
              <w:t>to reduce carbon emissions.</w:t>
            </w:r>
          </w:p>
        </w:tc>
      </w:tr>
    </w:tbl>
    <w:p w14:paraId="34A26008" w14:textId="1691ED08" w:rsidR="00695365" w:rsidRDefault="00366511" w:rsidP="007C378B">
      <w:pPr>
        <w:pBdr>
          <w:top w:val="nil"/>
          <w:left w:val="nil"/>
          <w:bottom w:val="nil"/>
          <w:right w:val="nil"/>
          <w:between w:val="nil"/>
        </w:pBdr>
        <w:spacing w:before="240" w:after="60" w:line="228" w:lineRule="auto"/>
        <w:ind w:left="1276"/>
        <w:jc w:val="left"/>
        <w:rPr>
          <w:rFonts w:ascii="Georgia" w:eastAsia="Georgia" w:hAnsi="Georgia" w:cs="Georgia"/>
          <w:sz w:val="18"/>
          <w:szCs w:val="18"/>
        </w:rPr>
      </w:pPr>
      <w:r>
        <w:rPr>
          <w:rFonts w:ascii="Georgia" w:eastAsia="Georgia" w:hAnsi="Georgia" w:cs="Georgia"/>
          <w:sz w:val="18"/>
          <w:szCs w:val="18"/>
        </w:rPr>
        <w:t>Table 3</w:t>
      </w:r>
      <w:r w:rsidR="00B239ED">
        <w:rPr>
          <w:rFonts w:ascii="Georgia" w:eastAsia="Georgia" w:hAnsi="Georgia" w:cs="Georgia"/>
          <w:sz w:val="18"/>
          <w:szCs w:val="18"/>
        </w:rPr>
        <w:t>:</w:t>
      </w:r>
      <w:r>
        <w:rPr>
          <w:rFonts w:ascii="Georgia" w:eastAsia="Georgia" w:hAnsi="Georgia" w:cs="Georgia"/>
          <w:sz w:val="18"/>
          <w:szCs w:val="18"/>
        </w:rPr>
        <w:t xml:space="preserve"> Thematic analysis of literature Source: Authors</w:t>
      </w:r>
    </w:p>
    <w:p w14:paraId="544AD418" w14:textId="77777777" w:rsidR="00695365" w:rsidRDefault="00695365">
      <w:pPr>
        <w:pBdr>
          <w:top w:val="nil"/>
          <w:left w:val="nil"/>
          <w:bottom w:val="nil"/>
          <w:right w:val="nil"/>
          <w:between w:val="nil"/>
        </w:pBdr>
        <w:spacing w:before="240" w:after="60" w:line="228" w:lineRule="auto"/>
        <w:jc w:val="left"/>
        <w:rPr>
          <w:rFonts w:ascii="Georgia" w:eastAsia="Georgia" w:hAnsi="Georgia" w:cs="Georgia"/>
          <w:sz w:val="18"/>
          <w:szCs w:val="18"/>
        </w:rPr>
      </w:pPr>
    </w:p>
    <w:p w14:paraId="677FB829" w14:textId="77777777" w:rsidR="00DA5635" w:rsidRDefault="00DA5635" w:rsidP="00DA5635">
      <w:pPr>
        <w:spacing w:before="280" w:after="280" w:line="240" w:lineRule="auto"/>
        <w:ind w:left="2552"/>
        <w:rPr>
          <w:rFonts w:ascii="Georgia" w:eastAsia="Georgia" w:hAnsi="Georgia" w:cs="Georgia"/>
        </w:rPr>
      </w:pPr>
      <w:r>
        <w:rPr>
          <w:rFonts w:ascii="Georgia" w:eastAsia="Georgia" w:hAnsi="Georgia" w:cs="Georgia"/>
        </w:rPr>
        <w:lastRenderedPageBreak/>
        <w:t>The authors have produced a graph depicting the duration for the strategies from short-, medium- and long-term measures. The pandemic resilience and sustainability are quantified on the scale 0 to 4, where 0 depicts the least contribution, 1 reduces the risk of spread, 2 signifies reduction of transmission among people, 3 means reduce transmission through surface, and 4 depicts pandemic resilient solutions that are sustainable.</w:t>
      </w:r>
    </w:p>
    <w:p w14:paraId="55B7779B" w14:textId="77777777" w:rsidR="00695365" w:rsidRDefault="00695365">
      <w:pPr>
        <w:spacing w:line="228" w:lineRule="auto"/>
        <w:ind w:left="2608" w:firstLine="425"/>
        <w:rPr>
          <w:rFonts w:ascii="Georgia" w:eastAsia="Georgia" w:hAnsi="Georgia" w:cs="Georgia"/>
        </w:rPr>
      </w:pPr>
    </w:p>
    <w:p w14:paraId="7A745BCF" w14:textId="77777777" w:rsidR="00695365" w:rsidRDefault="00366511">
      <w:pPr>
        <w:spacing w:line="228" w:lineRule="auto"/>
        <w:ind w:left="2608" w:firstLine="425"/>
        <w:jc w:val="center"/>
        <w:rPr>
          <w:rFonts w:ascii="Georgia" w:eastAsia="Georgia" w:hAnsi="Georgia" w:cs="Georgia"/>
        </w:rPr>
      </w:pPr>
      <w:r>
        <w:rPr>
          <w:rFonts w:ascii="Georgia" w:eastAsia="Georgia" w:hAnsi="Georgia" w:cs="Georgia"/>
          <w:noProof/>
          <w:lang w:val="en-IN" w:eastAsia="en-IN"/>
        </w:rPr>
        <w:drawing>
          <wp:inline distT="0" distB="0" distL="0" distR="0" wp14:anchorId="6D07E5AB" wp14:editId="24295F7E">
            <wp:extent cx="4787660" cy="3688847"/>
            <wp:effectExtent l="0" t="0" r="0" b="6985"/>
            <wp:docPr id="107" name="image2.jpg" descr="C:\Users\admin\Downloads\research questions.pptx (1).jpg"/>
            <wp:cNvGraphicFramePr/>
            <a:graphic xmlns:a="http://schemas.openxmlformats.org/drawingml/2006/main">
              <a:graphicData uri="http://schemas.openxmlformats.org/drawingml/2006/picture">
                <pic:pic xmlns:pic="http://schemas.openxmlformats.org/drawingml/2006/picture">
                  <pic:nvPicPr>
                    <pic:cNvPr id="0" name="image2.jpg" descr="C:\Users\admin\Downloads\research questions.pptx (1).jpg"/>
                    <pic:cNvPicPr preferRelativeResize="0"/>
                  </pic:nvPicPr>
                  <pic:blipFill>
                    <a:blip r:embed="rId20"/>
                    <a:srcRect l="4752" r="2573"/>
                    <a:stretch>
                      <a:fillRect/>
                    </a:stretch>
                  </pic:blipFill>
                  <pic:spPr>
                    <a:xfrm>
                      <a:off x="0" y="0"/>
                      <a:ext cx="4789471" cy="3690243"/>
                    </a:xfrm>
                    <a:prstGeom prst="rect">
                      <a:avLst/>
                    </a:prstGeom>
                    <a:ln/>
                  </pic:spPr>
                </pic:pic>
              </a:graphicData>
            </a:graphic>
          </wp:inline>
        </w:drawing>
      </w:r>
    </w:p>
    <w:p w14:paraId="5CF3009E" w14:textId="343528ED" w:rsidR="00695365" w:rsidRDefault="00366511">
      <w:pPr>
        <w:pBdr>
          <w:top w:val="nil"/>
          <w:left w:val="nil"/>
          <w:bottom w:val="nil"/>
          <w:right w:val="nil"/>
          <w:between w:val="nil"/>
        </w:pBdr>
        <w:spacing w:before="240" w:after="60" w:line="228" w:lineRule="auto"/>
        <w:ind w:left="2608"/>
        <w:rPr>
          <w:rFonts w:ascii="Georgia" w:eastAsia="Georgia" w:hAnsi="Georgia" w:cs="Georgia"/>
          <w:sz w:val="18"/>
          <w:szCs w:val="18"/>
        </w:rPr>
      </w:pPr>
      <w:r>
        <w:rPr>
          <w:rFonts w:ascii="Georgia" w:eastAsia="Georgia" w:hAnsi="Georgia" w:cs="Georgia"/>
          <w:sz w:val="18"/>
          <w:szCs w:val="18"/>
        </w:rPr>
        <w:t>Figure 4</w:t>
      </w:r>
      <w:r w:rsidR="00B239ED">
        <w:rPr>
          <w:rFonts w:ascii="Georgia" w:eastAsia="Georgia" w:hAnsi="Georgia" w:cs="Georgia"/>
          <w:sz w:val="18"/>
          <w:szCs w:val="18"/>
        </w:rPr>
        <w:t>:</w:t>
      </w:r>
      <w:r>
        <w:rPr>
          <w:rFonts w:ascii="Georgia" w:eastAsia="Georgia" w:hAnsi="Georgia" w:cs="Georgia"/>
          <w:sz w:val="18"/>
          <w:szCs w:val="18"/>
        </w:rPr>
        <w:t xml:space="preserve"> Covid 19 reduction strategies that are sustainable (Source:</w:t>
      </w:r>
      <w:r w:rsidR="000D319B">
        <w:rPr>
          <w:rFonts w:ascii="Georgia" w:eastAsia="Georgia" w:hAnsi="Georgia" w:cs="Georgia"/>
          <w:sz w:val="18"/>
          <w:szCs w:val="18"/>
        </w:rPr>
        <w:t xml:space="preserve"> </w:t>
      </w:r>
      <w:r>
        <w:rPr>
          <w:rFonts w:ascii="Georgia" w:eastAsia="Georgia" w:hAnsi="Georgia" w:cs="Georgia"/>
          <w:sz w:val="18"/>
          <w:szCs w:val="18"/>
        </w:rPr>
        <w:t>authors)</w:t>
      </w:r>
    </w:p>
    <w:p w14:paraId="40F08E02" w14:textId="77777777" w:rsidR="00DA5635" w:rsidRDefault="00DA5635" w:rsidP="00DA5635">
      <w:pPr>
        <w:spacing w:before="280" w:after="280" w:line="240" w:lineRule="auto"/>
        <w:ind w:left="2552"/>
        <w:rPr>
          <w:rFonts w:ascii="Georgia" w:eastAsia="Georgia" w:hAnsi="Georgia" w:cs="Georgia"/>
        </w:rPr>
      </w:pPr>
    </w:p>
    <w:p w14:paraId="716BA74E" w14:textId="77777777" w:rsidR="00695365" w:rsidRPr="00131758" w:rsidRDefault="00366511" w:rsidP="00131758">
      <w:pPr>
        <w:spacing w:before="280" w:after="280" w:line="240" w:lineRule="auto"/>
        <w:ind w:left="2552"/>
        <w:jc w:val="left"/>
        <w:rPr>
          <w:rFonts w:ascii="Georgia" w:eastAsia="Georgia" w:hAnsi="Georgia" w:cs="Georgia"/>
          <w:b/>
          <w:bCs/>
        </w:rPr>
      </w:pPr>
      <w:r w:rsidRPr="00131758">
        <w:rPr>
          <w:rFonts w:ascii="Georgia" w:eastAsia="Georgia" w:hAnsi="Georgia" w:cs="Georgia"/>
          <w:b/>
          <w:bCs/>
        </w:rPr>
        <w:t>5. Conclusions</w:t>
      </w:r>
    </w:p>
    <w:p w14:paraId="49FE497B" w14:textId="6CB6225F" w:rsidR="00695365" w:rsidRDefault="00366511" w:rsidP="00813A59">
      <w:pPr>
        <w:spacing w:before="280" w:after="280" w:line="240" w:lineRule="auto"/>
        <w:ind w:left="2552"/>
        <w:rPr>
          <w:rFonts w:ascii="Georgia" w:eastAsia="Georgia" w:hAnsi="Georgia" w:cs="Georgia"/>
        </w:rPr>
      </w:pPr>
      <w:r>
        <w:rPr>
          <w:rFonts w:ascii="Georgia" w:eastAsia="Georgia" w:hAnsi="Georgia" w:cs="Georgia"/>
        </w:rPr>
        <w:t>During the 14th to the 19th centur</w:t>
      </w:r>
      <w:r w:rsidR="00F10E99">
        <w:rPr>
          <w:rFonts w:ascii="Georgia" w:eastAsia="Georgia" w:hAnsi="Georgia" w:cs="Georgia"/>
        </w:rPr>
        <w:t>ies</w:t>
      </w:r>
      <w:r>
        <w:rPr>
          <w:rFonts w:ascii="Georgia" w:eastAsia="Georgia" w:hAnsi="Georgia" w:cs="Georgia"/>
        </w:rPr>
        <w:t>, the world responded to pandemics through urban renewal, sanitary reforms</w:t>
      </w:r>
      <w:r w:rsidR="00F10E99">
        <w:rPr>
          <w:rFonts w:ascii="Georgia" w:eastAsia="Georgia" w:hAnsi="Georgia" w:cs="Georgia"/>
        </w:rPr>
        <w:t>,</w:t>
      </w:r>
      <w:r>
        <w:rPr>
          <w:rFonts w:ascii="Georgia" w:eastAsia="Georgia" w:hAnsi="Georgia" w:cs="Georgia"/>
        </w:rPr>
        <w:t xml:space="preserve"> and housing renewal </w:t>
      </w:r>
      <w:r w:rsidR="00E52B35">
        <w:rPr>
          <w:rFonts w:ascii="Georgia" w:eastAsia="Georgia" w:hAnsi="Georgia" w:cs="Georgia"/>
        </w:rPr>
        <w:fldChar w:fldCharType="begin" w:fldLock="1"/>
      </w:r>
      <w:r w:rsidR="002944F1">
        <w:rPr>
          <w:rFonts w:ascii="Georgia" w:eastAsia="Georgia" w:hAnsi="Georgia" w:cs="Georgia"/>
        </w:rPr>
        <w:instrText>ADDIN CSL_CITATION {"citationItems":[{"id":"ITEM-1","itemData":{"DOI":"10.3389/fmicb.2020.631736","ISSN":"1664302X","abstract":"The emergence and spread of infectious diseases with pandemic potential occurred regularly throughout history. Major pandemics and epidemics such as plague, cholera, flu, severe acute respiratory syndrome coronavirus (SARS-CoV) and Middle East respiratory syndrome coronavirus (MERS-CoV) have already afflicted humanity. The world is now facing the new coronavirus disease 2019 (COVID-19) pandemic. Many infectious diseases leading to pandemics are caused by zoonotic pathogens that were transmitted to humans due to increased contacts with animals through breeding, hunting and global trade activities. The understanding of the mechanisms of transmission of pathogens to humans allowed the establishment of methods to prevent and control infections. During centuries, implementation of public health measures such as isolation, quarantine and border control helped to contain the spread of infectious diseases and maintain the structure of the society. In the absence of pharmaceutical interventions, these containment methods have still been used nowadays to control COVID-19 pandemic. Global surveillance programs of water-borne pathogens, vector-borne diseases and zoonotic spillovers at the animal-human interface are of prime importance to rapidly detect the emergence of infectious threats. Novel technologies for rapid diagnostic testing, contact tracing, drug repurposing, biomarkers of disease severity as well as new platforms for the development and production of vaccines are needed for an effective response in case of pandemics.","author":[{"dropping-particle":"","family":"Piret","given":"Jocelyne","non-dropping-particle":"","parse-names":false,"suffix":""},{"dropping-particle":"","family":"Boivin","given":"Guy","non-dropping-particle":"","parse-names":false,"suffix":""}],"container-title":"Frontiers in Microbiology","id":"ITEM-1","issued":{"date-parts":[["2021","1","15"]]},"publisher":"Frontiers Media S.A.","title":"Pandemics Throughout History","type":"article","volume":"11"},"uris":["http://www.mendeley.com/documents/?uuid=48062bb6-8d5b-35d3-b2ce-88fc64e6e479"]}],"mendeley":{"formattedCitation":"(Piret &amp; Boivin, 2021)","plainTextFormattedCitation":"(Piret &amp; Boivin, 2021)","previouslyFormattedCitation":"(Piret &amp; Boivin, 2021)"},"properties":{"noteIndex":0},"schema":"https://github.com/citation-style-language/schema/raw/master/csl-citation.json"}</w:instrText>
      </w:r>
      <w:r w:rsidR="00E52B35">
        <w:rPr>
          <w:rFonts w:ascii="Georgia" w:eastAsia="Georgia" w:hAnsi="Georgia" w:cs="Georgia"/>
        </w:rPr>
        <w:fldChar w:fldCharType="separate"/>
      </w:r>
      <w:r w:rsidR="008859F5" w:rsidRPr="008859F5">
        <w:rPr>
          <w:rFonts w:ascii="Georgia" w:eastAsia="Georgia" w:hAnsi="Georgia" w:cs="Georgia"/>
        </w:rPr>
        <w:t>(Piret &amp; Boivin, 2021)</w:t>
      </w:r>
      <w:r w:rsidR="00E52B35">
        <w:rPr>
          <w:rFonts w:ascii="Georgia" w:eastAsia="Georgia" w:hAnsi="Georgia" w:cs="Georgia"/>
        </w:rPr>
        <w:fldChar w:fldCharType="end"/>
      </w:r>
      <w:r>
        <w:rPr>
          <w:rFonts w:ascii="Georgia" w:eastAsia="Georgia" w:hAnsi="Georgia" w:cs="Georgia"/>
        </w:rPr>
        <w:t>. The strategies</w:t>
      </w:r>
      <w:r w:rsidR="00F10E99">
        <w:rPr>
          <w:rFonts w:ascii="Georgia" w:eastAsia="Georgia" w:hAnsi="Georgia" w:cs="Georgia"/>
        </w:rPr>
        <w:t>,</w:t>
      </w:r>
      <w:r>
        <w:rPr>
          <w:rFonts w:ascii="Georgia" w:eastAsia="Georgia" w:hAnsi="Georgia" w:cs="Georgia"/>
        </w:rPr>
        <w:t xml:space="preserve"> such as the creation of dedicated spaces for treating infectious diseases, </w:t>
      </w:r>
      <w:r w:rsidR="00F10E99">
        <w:rPr>
          <w:rFonts w:ascii="Georgia" w:eastAsia="Georgia" w:hAnsi="Georgia" w:cs="Georgia"/>
        </w:rPr>
        <w:t xml:space="preserve">the </w:t>
      </w:r>
      <w:r w:rsidR="00F10E99" w:rsidRPr="00504561">
        <w:rPr>
          <w:rFonts w:ascii="Georgia" w:eastAsia="Georgia" w:hAnsi="Georgia" w:cs="Georgia"/>
        </w:rPr>
        <w:t>incorporation of UVGI into ventilation systems, the prioritisation of daylight, and the creation of point-of-care labs, were effective in controlling cholera and tuberculosis</w:t>
      </w:r>
      <w:r>
        <w:rPr>
          <w:rFonts w:ascii="Georgia" w:eastAsia="Georgia" w:hAnsi="Georgia" w:cs="Georgia"/>
        </w:rPr>
        <w:t>. The challenge is to avoid overdesigning pandemic</w:t>
      </w:r>
      <w:r w:rsidR="00F10E99">
        <w:rPr>
          <w:rFonts w:ascii="Georgia" w:eastAsia="Georgia" w:hAnsi="Georgia" w:cs="Georgia"/>
        </w:rPr>
        <w:t>-</w:t>
      </w:r>
      <w:r>
        <w:rPr>
          <w:rFonts w:ascii="Georgia" w:eastAsia="Georgia" w:hAnsi="Georgia" w:cs="Georgia"/>
        </w:rPr>
        <w:t>resilient hospitals to avoid escalating costs and underuse of facilities (Garg and Dewan, 2022).</w:t>
      </w:r>
      <w:r w:rsidR="00F10E99">
        <w:rPr>
          <w:rFonts w:ascii="Georgia" w:eastAsia="Georgia" w:hAnsi="Georgia" w:cs="Georgia"/>
        </w:rPr>
        <w:t xml:space="preserve"> </w:t>
      </w:r>
      <w:r>
        <w:rPr>
          <w:rFonts w:ascii="Georgia" w:eastAsia="Georgia" w:hAnsi="Georgia" w:cs="Georgia"/>
        </w:rPr>
        <w:t>The authors recommended that the building codes should add a framework of design strategies for pandemic resilient hospitals.</w:t>
      </w:r>
    </w:p>
    <w:p w14:paraId="43E3CAC8" w14:textId="3AD7BCE0" w:rsidR="00695365" w:rsidRDefault="00366511" w:rsidP="00813A59">
      <w:pPr>
        <w:spacing w:before="280" w:after="280" w:line="240" w:lineRule="auto"/>
        <w:ind w:left="2552"/>
        <w:rPr>
          <w:rFonts w:ascii="Georgia" w:eastAsia="Georgia" w:hAnsi="Georgia" w:cs="Georgia"/>
        </w:rPr>
      </w:pPr>
      <w:r>
        <w:rPr>
          <w:rFonts w:ascii="Georgia" w:eastAsia="Georgia" w:hAnsi="Georgia" w:cs="Georgia"/>
        </w:rPr>
        <w:t>The main challenge in post pandemic design is maintaining social distanc</w:t>
      </w:r>
      <w:r w:rsidR="00F10E99">
        <w:rPr>
          <w:rFonts w:ascii="Georgia" w:eastAsia="Georgia" w:hAnsi="Georgia" w:cs="Georgia"/>
        </w:rPr>
        <w:t>e</w:t>
      </w:r>
      <w:r>
        <w:rPr>
          <w:rFonts w:ascii="Georgia" w:eastAsia="Georgia" w:hAnsi="Georgia" w:cs="Georgia"/>
        </w:rPr>
        <w:t xml:space="preserve"> without increasing energy demand and GHG emissions. The authors recommend a courtyard layout to separate spaces while providing ventilation and day lighting (figure 4). The circulation space can be along the courtyard to encourage cross ventilation</w:t>
      </w:r>
      <w:r w:rsidR="00F10E99">
        <w:rPr>
          <w:rFonts w:ascii="Georgia" w:eastAsia="Georgia" w:hAnsi="Georgia" w:cs="Georgia"/>
        </w:rPr>
        <w:t>,</w:t>
      </w:r>
      <w:r>
        <w:rPr>
          <w:rFonts w:ascii="Georgia" w:eastAsia="Georgia" w:hAnsi="Georgia" w:cs="Georgia"/>
        </w:rPr>
        <w:t xml:space="preserve"> and buffer zones before entry can reduce the transmission of viruses. Also, the perimeter around the courtyard can be an </w:t>
      </w:r>
      <w:r w:rsidR="00F10E99">
        <w:rPr>
          <w:rFonts w:ascii="Georgia" w:eastAsia="Georgia" w:hAnsi="Georgia" w:cs="Georgia"/>
        </w:rPr>
        <w:t>open-air</w:t>
      </w:r>
      <w:r>
        <w:rPr>
          <w:rFonts w:ascii="Georgia" w:eastAsia="Georgia" w:hAnsi="Georgia" w:cs="Georgia"/>
        </w:rPr>
        <w:t xml:space="preserve"> waiting area to reduce airborne transmission while creating a biophilic link. However, the courtyard must be designed after considering the climatic conditions of the area. </w:t>
      </w:r>
    </w:p>
    <w:p w14:paraId="50BFEEE1" w14:textId="77777777" w:rsidR="00DA5635" w:rsidRDefault="00DA5635">
      <w:pPr>
        <w:spacing w:line="240" w:lineRule="auto"/>
        <w:rPr>
          <w:rFonts w:ascii="Georgia" w:eastAsia="Georgia" w:hAnsi="Georgia" w:cs="Georgia"/>
        </w:rPr>
      </w:pPr>
      <w:r>
        <w:rPr>
          <w:rFonts w:ascii="Georgia" w:eastAsia="Georgia" w:hAnsi="Georgia" w:cs="Georgia"/>
        </w:rPr>
        <w:br w:type="page"/>
      </w:r>
    </w:p>
    <w:p w14:paraId="4FAA4CE2" w14:textId="24183BEE" w:rsidR="00FB11B3" w:rsidRDefault="00FB11B3" w:rsidP="00FB11B3">
      <w:pPr>
        <w:spacing w:before="280" w:after="280" w:line="240" w:lineRule="auto"/>
        <w:ind w:left="2552"/>
        <w:rPr>
          <w:rFonts w:ascii="Georgia" w:eastAsia="Georgia" w:hAnsi="Georgia" w:cs="Georgia"/>
        </w:rPr>
      </w:pPr>
      <w:r>
        <w:rPr>
          <w:rFonts w:ascii="Georgia" w:eastAsia="Georgia" w:hAnsi="Georgia" w:cs="Georgia"/>
        </w:rPr>
        <w:lastRenderedPageBreak/>
        <w:t xml:space="preserve">Nevertheless, the challenge is to design hospitals that foresee an impending pandemic. Hence, further interdisciplinary research and simulations must highlight: </w:t>
      </w:r>
    </w:p>
    <w:p w14:paraId="53545CEE" w14:textId="77777777" w:rsidR="00FB11B3" w:rsidRPr="00FB11B3" w:rsidRDefault="00FB11B3" w:rsidP="00FB11B3">
      <w:pPr>
        <w:pStyle w:val="Lijstalinea"/>
        <w:numPr>
          <w:ilvl w:val="0"/>
          <w:numId w:val="13"/>
        </w:numPr>
        <w:spacing w:before="280" w:after="280" w:line="240" w:lineRule="auto"/>
        <w:rPr>
          <w:rFonts w:ascii="Georgia" w:eastAsia="Georgia" w:hAnsi="Georgia" w:cs="Georgia"/>
        </w:rPr>
      </w:pPr>
      <w:r w:rsidRPr="00FB11B3">
        <w:rPr>
          <w:rFonts w:ascii="Georgia" w:eastAsia="Georgia" w:hAnsi="Georgia" w:cs="Georgia"/>
        </w:rPr>
        <w:t>the minimum dimensions of rooms required to reduce cross contamination;</w:t>
      </w:r>
    </w:p>
    <w:p w14:paraId="667E06B4" w14:textId="77777777" w:rsidR="00FB11B3" w:rsidRPr="007C378B" w:rsidRDefault="00FB11B3" w:rsidP="00FB11B3">
      <w:pPr>
        <w:pStyle w:val="Lijstalinea"/>
        <w:numPr>
          <w:ilvl w:val="0"/>
          <w:numId w:val="13"/>
        </w:numPr>
        <w:spacing w:before="280" w:after="280" w:line="240" w:lineRule="auto"/>
        <w:rPr>
          <w:rFonts w:ascii="Georgia" w:eastAsia="Georgia" w:hAnsi="Georgia" w:cs="Georgia"/>
        </w:rPr>
      </w:pPr>
      <w:r w:rsidRPr="007C378B">
        <w:rPr>
          <w:rFonts w:ascii="Georgia" w:eastAsia="Georgia" w:hAnsi="Georgia" w:cs="Georgia"/>
        </w:rPr>
        <w:t>humidity levels;</w:t>
      </w:r>
    </w:p>
    <w:p w14:paraId="0BD404FB" w14:textId="77777777" w:rsidR="00FB11B3" w:rsidRPr="007C378B" w:rsidRDefault="00FB11B3" w:rsidP="00FB11B3">
      <w:pPr>
        <w:pStyle w:val="Lijstalinea"/>
        <w:numPr>
          <w:ilvl w:val="0"/>
          <w:numId w:val="13"/>
        </w:numPr>
        <w:spacing w:before="280" w:after="280" w:line="240" w:lineRule="auto"/>
        <w:rPr>
          <w:rFonts w:ascii="Georgia" w:eastAsia="Georgia" w:hAnsi="Georgia" w:cs="Georgia"/>
        </w:rPr>
      </w:pPr>
      <w:r w:rsidRPr="007C378B">
        <w:rPr>
          <w:rFonts w:ascii="Georgia" w:eastAsia="Georgia" w:hAnsi="Georgia" w:cs="Georgia"/>
        </w:rPr>
        <w:t>air change units for reducing viral particles in the air;</w:t>
      </w:r>
    </w:p>
    <w:p w14:paraId="5FCFBFA3" w14:textId="77777777" w:rsidR="00FB11B3" w:rsidRPr="007C378B" w:rsidRDefault="00FB11B3" w:rsidP="00FB11B3">
      <w:pPr>
        <w:pStyle w:val="Lijstalinea"/>
        <w:numPr>
          <w:ilvl w:val="0"/>
          <w:numId w:val="13"/>
        </w:numPr>
        <w:spacing w:before="280" w:after="280" w:line="240" w:lineRule="auto"/>
        <w:rPr>
          <w:rFonts w:ascii="Georgia" w:eastAsia="Georgia" w:hAnsi="Georgia" w:cs="Georgia"/>
        </w:rPr>
      </w:pPr>
      <w:r w:rsidRPr="007C378B">
        <w:rPr>
          <w:rFonts w:ascii="Georgia" w:eastAsia="Georgia" w:hAnsi="Georgia" w:cs="Georgia"/>
        </w:rPr>
        <w:t>low cost materials with antibacterial properties;</w:t>
      </w:r>
    </w:p>
    <w:p w14:paraId="3FF7C1BB" w14:textId="77777777" w:rsidR="00FB11B3" w:rsidRPr="007C378B" w:rsidRDefault="00FB11B3" w:rsidP="00FB11B3">
      <w:pPr>
        <w:pStyle w:val="Lijstalinea"/>
        <w:numPr>
          <w:ilvl w:val="0"/>
          <w:numId w:val="13"/>
        </w:numPr>
        <w:spacing w:before="280" w:after="280" w:line="240" w:lineRule="auto"/>
        <w:rPr>
          <w:rFonts w:ascii="Georgia" w:eastAsia="Georgia" w:hAnsi="Georgia" w:cs="Georgia"/>
        </w:rPr>
      </w:pPr>
      <w:r w:rsidRPr="007C378B">
        <w:rPr>
          <w:rFonts w:ascii="Georgia" w:eastAsia="Georgia" w:hAnsi="Georgia" w:cs="Georgia"/>
        </w:rPr>
        <w:t xml:space="preserve">The wavelength and voltage of UVGI required to eliminate the virus. </w:t>
      </w:r>
    </w:p>
    <w:p w14:paraId="1ED003E5" w14:textId="77777777" w:rsidR="00FB11B3" w:rsidRDefault="00FB11B3" w:rsidP="00FB11B3">
      <w:pPr>
        <w:spacing w:before="280" w:after="280" w:line="240" w:lineRule="auto"/>
        <w:ind w:left="2552"/>
        <w:rPr>
          <w:rFonts w:ascii="Georgia" w:eastAsia="Georgia" w:hAnsi="Georgia" w:cs="Georgia"/>
        </w:rPr>
      </w:pPr>
      <w:r>
        <w:rPr>
          <w:rFonts w:ascii="Georgia" w:eastAsia="Georgia" w:hAnsi="Georgia" w:cs="Georgia"/>
        </w:rPr>
        <w:t xml:space="preserve">The authors recommend that the research on pandemic resilient design should be extended to all building typologies and that the framework of design strategies for hospitals be constantly updated. </w:t>
      </w:r>
    </w:p>
    <w:p w14:paraId="769B7DF2" w14:textId="77777777" w:rsidR="00FB11B3" w:rsidRDefault="00FB11B3" w:rsidP="00FB11B3">
      <w:pPr>
        <w:spacing w:before="280" w:after="280" w:line="240" w:lineRule="auto"/>
        <w:ind w:left="2552"/>
        <w:rPr>
          <w:rFonts w:ascii="Georgia" w:eastAsia="Georgia" w:hAnsi="Georgia" w:cs="Georgia"/>
        </w:rPr>
      </w:pPr>
      <w:r>
        <w:rPr>
          <w:rFonts w:ascii="Georgia" w:eastAsia="Georgia" w:hAnsi="Georgia" w:cs="Georgia"/>
        </w:rPr>
        <w:t xml:space="preserve">In conclusion, the authors view the Covid-19 pandemic as a motivation for the design community to rethink hospital design and implement strategies that are resilient. </w:t>
      </w:r>
    </w:p>
    <w:p w14:paraId="1B6751A3" w14:textId="77777777" w:rsidR="001C7A07" w:rsidRDefault="001C7A07" w:rsidP="001C7A07">
      <w:pPr>
        <w:pBdr>
          <w:top w:val="nil"/>
          <w:left w:val="nil"/>
          <w:bottom w:val="nil"/>
          <w:right w:val="nil"/>
          <w:between w:val="nil"/>
        </w:pBdr>
        <w:spacing w:before="240" w:after="60" w:line="228" w:lineRule="auto"/>
        <w:ind w:left="2608"/>
        <w:rPr>
          <w:rFonts w:ascii="Georgia" w:eastAsia="Georgia" w:hAnsi="Georgia" w:cs="Georgia"/>
        </w:rPr>
      </w:pPr>
    </w:p>
    <w:tbl>
      <w:tblPr>
        <w:tblStyle w:val="affff9"/>
        <w:tblW w:w="10365" w:type="dxa"/>
        <w:tblInd w:w="2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05"/>
        <w:gridCol w:w="2685"/>
        <w:gridCol w:w="6075"/>
      </w:tblGrid>
      <w:tr w:rsidR="00695365" w:rsidRPr="007C378B" w14:paraId="4662A442" w14:textId="77777777" w:rsidTr="00FB11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14E74415" w14:textId="723EF451" w:rsidR="00695365" w:rsidRPr="007C378B" w:rsidRDefault="007C378B" w:rsidP="00FB11B3">
            <w:pPr>
              <w:spacing w:before="240" w:after="120" w:line="240" w:lineRule="auto"/>
              <w:ind w:left="90"/>
              <w:rPr>
                <w:rFonts w:ascii="Georgia" w:eastAsia="Georgia" w:hAnsi="Georgia" w:cs="Georgia"/>
                <w:bCs/>
                <w:sz w:val="18"/>
                <w:szCs w:val="18"/>
              </w:rPr>
            </w:pPr>
            <w:bookmarkStart w:id="3" w:name="_heading=h.gjdgxs" w:colFirst="0" w:colLast="0"/>
            <w:bookmarkEnd w:id="3"/>
            <w:r w:rsidRPr="007C378B">
              <w:rPr>
                <w:rFonts w:ascii="Georgia" w:eastAsia="Georgia" w:hAnsi="Georgia" w:cs="Georgia"/>
                <w:bCs/>
                <w:sz w:val="18"/>
                <w:szCs w:val="18"/>
              </w:rPr>
              <w:t>Requirement</w:t>
            </w:r>
          </w:p>
        </w:tc>
        <w:tc>
          <w:tcPr>
            <w:tcW w:w="2685" w:type="dxa"/>
          </w:tcPr>
          <w:p w14:paraId="072BA2EA" w14:textId="378E5DFE" w:rsidR="00695365" w:rsidRPr="007C378B" w:rsidRDefault="007C378B" w:rsidP="00FB11B3">
            <w:pPr>
              <w:spacing w:before="240" w:after="120" w:line="240" w:lineRule="auto"/>
              <w:ind w:left="450" w:hanging="525"/>
              <w:cnfStyle w:val="100000000000" w:firstRow="1" w:lastRow="0" w:firstColumn="0" w:lastColumn="0" w:oddVBand="0" w:evenVBand="0" w:oddHBand="0" w:evenHBand="0" w:firstRowFirstColumn="0" w:firstRowLastColumn="0" w:lastRowFirstColumn="0" w:lastRowLastColumn="0"/>
              <w:rPr>
                <w:rFonts w:ascii="Georgia" w:eastAsia="Georgia" w:hAnsi="Georgia" w:cs="Georgia"/>
                <w:bCs/>
                <w:sz w:val="18"/>
                <w:szCs w:val="18"/>
              </w:rPr>
            </w:pPr>
            <w:r w:rsidRPr="007C378B">
              <w:rPr>
                <w:rFonts w:ascii="Georgia" w:eastAsia="Georgia" w:hAnsi="Georgia" w:cs="Georgia"/>
                <w:bCs/>
                <w:sz w:val="18"/>
                <w:szCs w:val="18"/>
              </w:rPr>
              <w:t>Hospital Design Pre- Pandemic</w:t>
            </w:r>
          </w:p>
        </w:tc>
        <w:tc>
          <w:tcPr>
            <w:tcW w:w="6075" w:type="dxa"/>
          </w:tcPr>
          <w:p w14:paraId="301590D9" w14:textId="5E860D4E" w:rsidR="00695365" w:rsidRPr="007C378B" w:rsidRDefault="007C378B" w:rsidP="00FB11B3">
            <w:pPr>
              <w:spacing w:before="240" w:after="120" w:line="240" w:lineRule="auto"/>
              <w:ind w:left="450"/>
              <w:cnfStyle w:val="100000000000" w:firstRow="1" w:lastRow="0" w:firstColumn="0" w:lastColumn="0" w:oddVBand="0" w:evenVBand="0" w:oddHBand="0" w:evenHBand="0" w:firstRowFirstColumn="0" w:firstRowLastColumn="0" w:lastRowFirstColumn="0" w:lastRowLastColumn="0"/>
              <w:rPr>
                <w:rFonts w:ascii="Georgia" w:eastAsia="Georgia" w:hAnsi="Georgia" w:cs="Georgia"/>
                <w:bCs/>
                <w:sz w:val="18"/>
                <w:szCs w:val="18"/>
              </w:rPr>
            </w:pPr>
            <w:r w:rsidRPr="007C378B">
              <w:rPr>
                <w:rFonts w:ascii="Georgia" w:eastAsia="Georgia" w:hAnsi="Georgia" w:cs="Georgia"/>
                <w:bCs/>
                <w:sz w:val="18"/>
                <w:szCs w:val="18"/>
              </w:rPr>
              <w:t>Hospital Design Post Pandemic</w:t>
            </w:r>
          </w:p>
        </w:tc>
      </w:tr>
      <w:tr w:rsidR="00695365" w:rsidRPr="007C378B" w14:paraId="346F9113" w14:textId="77777777" w:rsidTr="00FB1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auto"/>
          </w:tcPr>
          <w:p w14:paraId="51444022" w14:textId="77777777" w:rsidR="00695365" w:rsidRPr="006E4D6C" w:rsidRDefault="00366511" w:rsidP="006E4D6C">
            <w:pP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Location</w:t>
            </w:r>
          </w:p>
        </w:tc>
        <w:tc>
          <w:tcPr>
            <w:tcW w:w="2685" w:type="dxa"/>
            <w:shd w:val="clear" w:color="auto" w:fill="auto"/>
          </w:tcPr>
          <w:p w14:paraId="425D2F1E" w14:textId="3AF35C25" w:rsidR="00695365" w:rsidRPr="006E4D6C" w:rsidRDefault="00366511" w:rsidP="006E4D6C">
            <w:pPr>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18"/>
                <w:szCs w:val="18"/>
              </w:rPr>
            </w:pPr>
            <w:bookmarkStart w:id="4" w:name="_heading=h.1fob9te" w:colFirst="0" w:colLast="0"/>
            <w:bookmarkEnd w:id="4"/>
            <w:r w:rsidRPr="006E4D6C">
              <w:rPr>
                <w:rFonts w:ascii="Georgia" w:eastAsia="Georgia" w:hAnsi="Georgia" w:cs="Georgia"/>
                <w:sz w:val="18"/>
                <w:szCs w:val="18"/>
              </w:rPr>
              <w:t>The early hospital design was frequently a courtyard</w:t>
            </w:r>
            <w:r w:rsidR="00F10E99" w:rsidRPr="006E4D6C">
              <w:rPr>
                <w:rFonts w:ascii="Georgia" w:eastAsia="Georgia" w:hAnsi="Georgia" w:cs="Georgia"/>
                <w:sz w:val="18"/>
                <w:szCs w:val="18"/>
              </w:rPr>
              <w:t>,</w:t>
            </w:r>
            <w:r w:rsidRPr="006E4D6C">
              <w:rPr>
                <w:rFonts w:ascii="Georgia" w:eastAsia="Georgia" w:hAnsi="Georgia" w:cs="Georgia"/>
                <w:sz w:val="18"/>
                <w:szCs w:val="18"/>
              </w:rPr>
              <w:t xml:space="preserve"> often located at </w:t>
            </w:r>
            <w:r w:rsidR="00715039" w:rsidRPr="006E4D6C">
              <w:rPr>
                <w:rFonts w:ascii="Georgia" w:eastAsia="Georgia" w:hAnsi="Georgia" w:cs="Georgia"/>
                <w:sz w:val="18"/>
                <w:szCs w:val="18"/>
              </w:rPr>
              <w:t xml:space="preserve">the edge of settlements </w:t>
            </w:r>
            <w:r w:rsidR="00A40379" w:rsidRPr="006E4D6C">
              <w:rPr>
                <w:rFonts w:ascii="Georgia" w:eastAsia="Georgia" w:hAnsi="Georgia" w:cs="Georgia"/>
                <w:sz w:val="18"/>
                <w:szCs w:val="18"/>
              </w:rPr>
              <w:fldChar w:fldCharType="begin" w:fldLock="1"/>
            </w:r>
            <w:r w:rsidR="006E3305" w:rsidRPr="006E4D6C">
              <w:rPr>
                <w:rFonts w:ascii="Georgia" w:eastAsia="Georgia" w:hAnsi="Georgia" w:cs="Georgia"/>
                <w:sz w:val="18"/>
                <w:szCs w:val="18"/>
              </w:rPr>
              <w:instrText>ADDIN CSL_CITATION {"citationItems":[{"id":"ITEM-1","itemData":{"DOI":"10.1051/matecconf/201817003015","ISSN":"2261236X","abstract":"This article deals with the history of medical architecture development in Russia and abroad. Numerous examples of buildings of healthcare facilities, from ancient times to the present day, are given. Buildings of hospitals and clinics were erected in the architectural traditions then prevailing. Features of healthcare facilities, which determine their architectural concept, are: type and purpose of the healthcare facility, scope and structure of medical services, location in the urban environment, architectural environment, etc. When designing the construction and reconstruction of hospitals and outpatient clinics, parameters of wards, doctor's offices, procedure and administrative premises shall be taken into account. Special attention shall be paid to requirements to surgical theaters, intensive care units and other facilities with sophisticated equipment and numerous utilities.","author":[{"dropping-particle":"","family":"Tesler","given":"Nadezhda","non-dropping-particle":"","parse-names":false,"suffix":""}],"container-title":"MATEC Web of Conferences","id":"ITEM-1","issued":{"date-parts":[["2018"]]},"title":"Evolution of medical architecture","type":"paper-conference","volume":"170"},"uris":["http://www.mendeley.com/documents/?uuid=2a77a8ae-e43d-3107-8fbc-d1092e67f312"]},{"id":"ITEM-2","itemData":{"abstract":"Throughout western history, the place where the sick have been cared for has transformed. These \" healing \" environments have ranged from the home, to the church, and then developed to what we now understand as hospitals. Early in history, the sick were cared for in their homes. Later, religious orders took responsibility for looking after the infi rm within their churches or cathedrals. The Catholic Church became the most powerful provider of health care, and monastic orders were the caretakers for the sick. Hospitals were often located on the edge of villages or cities, and populations often grew to surround the hospital. In Europe's more affl uent cities, hospitals became civic enterprises rather than religious centers. Although they were often run by religious orders, they maintained a distinct civic role within the community. Many of these buildings were structured around large central courtyards with smaller secondary courtyards delineated by the wards. Many of these hospitals resembled schools within the urban landscape, and this building form permeated the urban hospital landscape through the 19th century. In the late 1700's a re-evaluation of the hospital form was prompted by Louis XV in Paris, who developed a committee charged with creating standards for fundamental reform of the basic hospital typology. This sea change was prompted in part by the new recognition of clean air and hygienic conditions as agents of health, especially within hospital environments. The reformers believed that health primarily c ame, not from medical solutions, but from creating a pure, natural environment that provided clean air. Two architectural proposals were made: a radial solution and a pavilion system. The pavilion system became a very infl uential form; the fi rst was Hôpital Lariboisiere, built between 1839 and 1854 in Paris by M.P. Gauthier. Florence Nightingale (1820-1910) was a very infl uential fi gure in nursing following the Crimean war in 1854 and is lauded for her intuitive, observational approach. She recognized that cleanliness within the hospital ward correlated to patient survival, a quarter century before Louis Pasteur formally proposed his germ theory of disease. During the Crimean War of the 1850s, she was able to decrease the death rate of wounded soldiers remarkably from 60% to 2% within six months. Nightingale is lauded as the mother of modern nursing,","author":[{"dropping-particle":"","family":"Burpee","given":"Heather","non-dropping-particle":"","parse-names":false,"suffix":""}],"container-title":"Integrated Design Lab Puget Sound","id":"ITEM-2","issued":{"date-parts":[["2008"]]},"page":"1-3","title":"History of Healthcare Architecture","type":"article-journal"},"uris":["http://www.mendeley.com/documents/?uuid=6c2f966a-72f6-4cd2-8d80-f7c70a5672b1"]}],"mendeley":{"formattedCitation":"(Burpee, 2008; Tesler, 2018)","plainTextFormattedCitation":"(Burpee, 2008; Tesler, 2018)","previouslyFormattedCitation":"(Burpee, 2008; Tesler, 2018)"},"properties":{"noteIndex":0},"schema":"https://github.com/citation-style-language/schema/raw/master/csl-citation.json"}</w:instrText>
            </w:r>
            <w:r w:rsidR="00A40379" w:rsidRPr="006E4D6C">
              <w:rPr>
                <w:rFonts w:ascii="Georgia" w:eastAsia="Georgia" w:hAnsi="Georgia" w:cs="Georgia"/>
                <w:sz w:val="18"/>
                <w:szCs w:val="18"/>
              </w:rPr>
              <w:fldChar w:fldCharType="separate"/>
            </w:r>
            <w:r w:rsidR="00A40379" w:rsidRPr="006E4D6C">
              <w:rPr>
                <w:rFonts w:ascii="Georgia" w:eastAsia="Georgia" w:hAnsi="Georgia" w:cs="Georgia"/>
                <w:sz w:val="18"/>
                <w:szCs w:val="18"/>
              </w:rPr>
              <w:t>(Burpee, 2008; Tesler, 2018)</w:t>
            </w:r>
            <w:r w:rsidR="00A40379" w:rsidRPr="006E4D6C">
              <w:rPr>
                <w:rFonts w:ascii="Georgia" w:eastAsia="Georgia" w:hAnsi="Georgia" w:cs="Georgia"/>
                <w:sz w:val="18"/>
                <w:szCs w:val="18"/>
              </w:rPr>
              <w:fldChar w:fldCharType="end"/>
            </w:r>
            <w:r w:rsidRPr="006E4D6C">
              <w:rPr>
                <w:rFonts w:ascii="Georgia" w:eastAsia="Georgia" w:hAnsi="Georgia" w:cs="Georgia"/>
                <w:sz w:val="18"/>
                <w:szCs w:val="18"/>
              </w:rPr>
              <w:t>.</w:t>
            </w:r>
          </w:p>
        </w:tc>
        <w:tc>
          <w:tcPr>
            <w:tcW w:w="6075" w:type="dxa"/>
            <w:shd w:val="clear" w:color="auto" w:fill="auto"/>
          </w:tcPr>
          <w:p w14:paraId="0BE578C7" w14:textId="5428E659" w:rsidR="00695365" w:rsidRPr="006E4D6C" w:rsidRDefault="00366511" w:rsidP="006E4D6C">
            <w:pPr>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 xml:space="preserve">Reintroduce the courtyard layout for ventilation and </w:t>
            </w:r>
            <w:r w:rsidR="00F10E99" w:rsidRPr="006E4D6C">
              <w:rPr>
                <w:rFonts w:ascii="Georgia" w:eastAsia="Georgia" w:hAnsi="Georgia" w:cs="Georgia"/>
                <w:sz w:val="18"/>
                <w:szCs w:val="18"/>
              </w:rPr>
              <w:t xml:space="preserve">a </w:t>
            </w:r>
            <w:r w:rsidRPr="006E4D6C">
              <w:rPr>
                <w:rFonts w:ascii="Georgia" w:eastAsia="Georgia" w:hAnsi="Georgia" w:cs="Georgia"/>
                <w:sz w:val="18"/>
                <w:szCs w:val="18"/>
              </w:rPr>
              <w:t>link to nature (Emmanuel, 2020).</w:t>
            </w:r>
          </w:p>
          <w:p w14:paraId="7D572CD3" w14:textId="139894B7" w:rsidR="00695365" w:rsidRPr="006E4D6C" w:rsidRDefault="00366511" w:rsidP="006E4D6C">
            <w:pPr>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Spacing in hospitals should be at least 2000</w:t>
            </w:r>
            <w:r w:rsidR="00F10E99" w:rsidRPr="006E4D6C">
              <w:rPr>
                <w:rFonts w:ascii="Georgia" w:eastAsia="Georgia" w:hAnsi="Georgia" w:cs="Georgia"/>
                <w:sz w:val="18"/>
                <w:szCs w:val="18"/>
              </w:rPr>
              <w:t xml:space="preserve"> </w:t>
            </w:r>
            <w:r w:rsidRPr="006E4D6C">
              <w:rPr>
                <w:rFonts w:ascii="Georgia" w:eastAsia="Georgia" w:hAnsi="Georgia" w:cs="Georgia"/>
                <w:sz w:val="18"/>
                <w:szCs w:val="18"/>
              </w:rPr>
              <w:t>m to maintain social distancing.</w:t>
            </w:r>
          </w:p>
          <w:p w14:paraId="145FA63F" w14:textId="4019B734" w:rsidR="00695365" w:rsidRPr="006E4D6C" w:rsidRDefault="00366511" w:rsidP="006E4D6C">
            <w:pPr>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Li et al (2020) recommend designing multi-level</w:t>
            </w:r>
            <w:r w:rsidR="00F10E99" w:rsidRPr="006E4D6C">
              <w:rPr>
                <w:rFonts w:ascii="Georgia" w:eastAsia="Georgia" w:hAnsi="Georgia" w:cs="Georgia"/>
                <w:sz w:val="18"/>
                <w:szCs w:val="18"/>
              </w:rPr>
              <w:t xml:space="preserve"> hospitals</w:t>
            </w:r>
            <w:r w:rsidRPr="006E4D6C">
              <w:rPr>
                <w:rFonts w:ascii="Georgia" w:eastAsia="Georgia" w:hAnsi="Georgia" w:cs="Georgia"/>
                <w:sz w:val="18"/>
                <w:szCs w:val="18"/>
              </w:rPr>
              <w:t xml:space="preserve"> to replace the single level hospitals </w:t>
            </w:r>
            <w:r w:rsidR="00F10E99" w:rsidRPr="006E4D6C">
              <w:rPr>
                <w:rFonts w:ascii="Georgia" w:eastAsia="Georgia" w:hAnsi="Georgia" w:cs="Georgia"/>
                <w:sz w:val="18"/>
                <w:szCs w:val="18"/>
              </w:rPr>
              <w:t xml:space="preserve">that </w:t>
            </w:r>
            <w:r w:rsidRPr="006E4D6C">
              <w:rPr>
                <w:rFonts w:ascii="Georgia" w:eastAsia="Georgia" w:hAnsi="Georgia" w:cs="Georgia"/>
                <w:sz w:val="18"/>
                <w:szCs w:val="18"/>
              </w:rPr>
              <w:t>depend on major hospitals</w:t>
            </w:r>
            <w:r w:rsidR="00F10E99" w:rsidRPr="006E4D6C">
              <w:rPr>
                <w:rFonts w:ascii="Georgia" w:eastAsia="Georgia" w:hAnsi="Georgia" w:cs="Georgia"/>
                <w:sz w:val="18"/>
                <w:szCs w:val="18"/>
              </w:rPr>
              <w:t>,</w:t>
            </w:r>
            <w:r w:rsidRPr="006E4D6C">
              <w:rPr>
                <w:rFonts w:ascii="Georgia" w:eastAsia="Georgia" w:hAnsi="Georgia" w:cs="Georgia"/>
                <w:sz w:val="18"/>
                <w:szCs w:val="18"/>
              </w:rPr>
              <w:t xml:space="preserve"> which should be distributed with lower density within a certain distance.</w:t>
            </w:r>
          </w:p>
          <w:p w14:paraId="347981A6" w14:textId="48FDFB68" w:rsidR="00695365" w:rsidRPr="006E4D6C" w:rsidRDefault="00366511" w:rsidP="006E4D6C">
            <w:pPr>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The emergency department may be a pavilion to act as an independent unit in the event of a pandemic</w:t>
            </w:r>
            <w:r w:rsidR="00F10E99" w:rsidRPr="006E4D6C">
              <w:rPr>
                <w:rFonts w:ascii="Georgia" w:eastAsia="Georgia" w:hAnsi="Georgia" w:cs="Georgia"/>
                <w:sz w:val="18"/>
                <w:szCs w:val="18"/>
              </w:rPr>
              <w:t xml:space="preserve"> </w:t>
            </w:r>
            <w:r w:rsidR="006E3305" w:rsidRPr="006E4D6C">
              <w:rPr>
                <w:rFonts w:ascii="Georgia" w:eastAsia="Georgia" w:hAnsi="Georgia" w:cs="Georgia"/>
                <w:sz w:val="18"/>
                <w:szCs w:val="18"/>
              </w:rPr>
              <w:fldChar w:fldCharType="begin" w:fldLock="1"/>
            </w:r>
            <w:r w:rsidR="007C504F" w:rsidRPr="006E4D6C">
              <w:rPr>
                <w:rFonts w:ascii="Georgia" w:eastAsia="Georgia" w:hAnsi="Georgia" w:cs="Georgia"/>
                <w:sz w:val="18"/>
                <w:szCs w:val="18"/>
              </w:rPr>
              <w:instrText>ADDIN CSL_CITATION {"citationItems":[{"id":"ITEM-1","itemData":{"DOI":"10.3390/ijerph19020675","ISSN":"16604601","PMID":"35055493","abstract":"The COVID-19 pandemic revealed many vulnerabilities of the contemporary built environment along with limited preparedness and low efficiency in mitigating unexpected and unprecedented challenges. This article discusses the efficiency and responsiveness of basic hospital spatial layouts in three different scenarios: normal operation; the segregation of a large number of patients and still providing them with access to emergency healthcare, typical for a pandemic; and a sudden, extremely high number of admissions typical for compound disasters and terrorist attacks. A set of parameters and a method for general adaptability assessment (GAAT) that can be used as a tool in decision-making processes as well as evaluation of both existing facilities and the new models for resilient hospitals resulting from the experience of the pandemic are proposed. The paper emphasizes why factors among which adaptability, convertibility, and scalability should be at the very core of hospital development and management strategies. It also discusses new models of adaptable healthcare facilities that enable day-to-day operations to continue alongside a pandemic, and other emergency scenarios.","author":[{"dropping-particle":"","family":"Łukasik","given":"Marta","non-dropping-particle":"","parse-names":false,"suffix":""},{"dropping-particle":"","family":"Porębska","given":"Anna","non-dropping-particle":"","parse-names":false,"suffix":""}],"container-title":"International Journal of Environmental Research and Public Health","id":"ITEM-1","issue":"2","issued":{"date-parts":[["2022","1","1"]]},"publisher":"MDPI","title":"Responsiveness and Adaptability of Healthcare Facilities in Emergency Scenarios: COVID-19 Experience","type":"article-journal","volume":"19"},"uris":["http://www.mendeley.com/documents/?uuid=7a240c2c-07e6-35d5-b4e4-e58909e1f528"]}],"mendeley":{"formattedCitation":"(Łukasik &amp; Porębska, 2022)","plainTextFormattedCitation":"(Łukasik &amp; Porębska, 2022)","previouslyFormattedCitation":"(Łukasik &amp; Porębska, 2022)"},"properties":{"noteIndex":0},"schema":"https://github.com/citation-style-language/schema/raw/master/csl-citation.json"}</w:instrText>
            </w:r>
            <w:r w:rsidR="006E3305" w:rsidRPr="006E4D6C">
              <w:rPr>
                <w:rFonts w:ascii="Georgia" w:eastAsia="Georgia" w:hAnsi="Georgia" w:cs="Georgia"/>
                <w:sz w:val="18"/>
                <w:szCs w:val="18"/>
              </w:rPr>
              <w:fldChar w:fldCharType="separate"/>
            </w:r>
            <w:r w:rsidR="007C504F" w:rsidRPr="006E4D6C">
              <w:rPr>
                <w:rFonts w:ascii="Georgia" w:eastAsia="Georgia" w:hAnsi="Georgia" w:cs="Georgia"/>
                <w:sz w:val="18"/>
                <w:szCs w:val="18"/>
              </w:rPr>
              <w:t>(Łukasik &amp; Porębska, 2022)</w:t>
            </w:r>
            <w:r w:rsidR="006E3305" w:rsidRPr="006E4D6C">
              <w:rPr>
                <w:rFonts w:ascii="Georgia" w:eastAsia="Georgia" w:hAnsi="Georgia" w:cs="Georgia"/>
                <w:sz w:val="18"/>
                <w:szCs w:val="18"/>
              </w:rPr>
              <w:fldChar w:fldCharType="end"/>
            </w:r>
            <w:r w:rsidR="002944F1" w:rsidRPr="006E4D6C">
              <w:rPr>
                <w:rFonts w:ascii="Georgia" w:eastAsia="Georgia" w:hAnsi="Georgia" w:cs="Georgia"/>
                <w:sz w:val="18"/>
                <w:szCs w:val="18"/>
              </w:rPr>
              <w:t xml:space="preserve"> </w:t>
            </w:r>
            <w:r w:rsidR="006E3305" w:rsidRPr="006E4D6C">
              <w:rPr>
                <w:rFonts w:ascii="Georgia" w:eastAsia="Georgia" w:hAnsi="Georgia" w:cs="Georgia"/>
                <w:sz w:val="18"/>
                <w:szCs w:val="18"/>
              </w:rPr>
              <w:t>.</w:t>
            </w:r>
          </w:p>
        </w:tc>
      </w:tr>
      <w:tr w:rsidR="00695365" w:rsidRPr="00FB11B3" w14:paraId="2B7A7218" w14:textId="77777777" w:rsidTr="00FB1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371D6297" w14:textId="77777777" w:rsidR="00695365" w:rsidRPr="006E4D6C" w:rsidRDefault="00366511" w:rsidP="006E4D6C">
            <w:pP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Material selection</w:t>
            </w:r>
          </w:p>
        </w:tc>
        <w:tc>
          <w:tcPr>
            <w:tcW w:w="2685" w:type="dxa"/>
          </w:tcPr>
          <w:p w14:paraId="7D5C08C7" w14:textId="47B26310" w:rsidR="00695365" w:rsidRPr="006E4D6C" w:rsidRDefault="00366511" w:rsidP="006E4D6C">
            <w:pPr>
              <w:spacing w:after="120" w:line="240" w:lineRule="auto"/>
              <w:jc w:val="left"/>
              <w:cnfStyle w:val="000000010000" w:firstRow="0" w:lastRow="0" w:firstColumn="0" w:lastColumn="0" w:oddVBand="0" w:evenVBand="0" w:oddHBand="0" w:evenHBand="1"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 xml:space="preserve">Safety; </w:t>
            </w:r>
            <w:r w:rsidR="00F10E99" w:rsidRPr="006E4D6C">
              <w:rPr>
                <w:rFonts w:ascii="Georgia" w:eastAsia="Georgia" w:hAnsi="Georgia" w:cs="Georgia"/>
                <w:sz w:val="18"/>
                <w:szCs w:val="18"/>
              </w:rPr>
              <w:t>a</w:t>
            </w:r>
            <w:r w:rsidRPr="006E4D6C">
              <w:rPr>
                <w:rFonts w:ascii="Georgia" w:eastAsia="Georgia" w:hAnsi="Georgia" w:cs="Georgia"/>
                <w:sz w:val="18"/>
                <w:szCs w:val="18"/>
              </w:rPr>
              <w:t xml:space="preserve">ccess; </w:t>
            </w:r>
            <w:r w:rsidR="00F10E99" w:rsidRPr="006E4D6C">
              <w:rPr>
                <w:rFonts w:ascii="Georgia" w:eastAsia="Georgia" w:hAnsi="Georgia" w:cs="Georgia"/>
                <w:sz w:val="18"/>
                <w:szCs w:val="18"/>
              </w:rPr>
              <w:t>f</w:t>
            </w:r>
            <w:r w:rsidRPr="006E4D6C">
              <w:rPr>
                <w:rFonts w:ascii="Georgia" w:eastAsia="Georgia" w:hAnsi="Georgia" w:cs="Georgia"/>
                <w:sz w:val="18"/>
                <w:szCs w:val="18"/>
              </w:rPr>
              <w:t xml:space="preserve">ire </w:t>
            </w:r>
            <w:r w:rsidR="00F10E99" w:rsidRPr="006E4D6C">
              <w:rPr>
                <w:rFonts w:ascii="Georgia" w:eastAsia="Georgia" w:hAnsi="Georgia" w:cs="Georgia"/>
                <w:sz w:val="18"/>
                <w:szCs w:val="18"/>
              </w:rPr>
              <w:t>e</w:t>
            </w:r>
            <w:r w:rsidRPr="006E4D6C">
              <w:rPr>
                <w:rFonts w:ascii="Georgia" w:eastAsia="Georgia" w:hAnsi="Georgia" w:cs="Georgia"/>
                <w:sz w:val="18"/>
                <w:szCs w:val="18"/>
              </w:rPr>
              <w:t xml:space="preserve">vacuation; </w:t>
            </w:r>
            <w:r w:rsidR="00F10E99" w:rsidRPr="006E4D6C">
              <w:rPr>
                <w:rFonts w:ascii="Georgia" w:eastAsia="Georgia" w:hAnsi="Georgia" w:cs="Georgia"/>
                <w:sz w:val="18"/>
                <w:szCs w:val="18"/>
              </w:rPr>
              <w:t>p</w:t>
            </w:r>
            <w:r w:rsidRPr="006E4D6C">
              <w:rPr>
                <w:rFonts w:ascii="Georgia" w:eastAsia="Georgia" w:hAnsi="Georgia" w:cs="Georgia"/>
                <w:sz w:val="18"/>
                <w:szCs w:val="18"/>
              </w:rPr>
              <w:t xml:space="preserve">atient </w:t>
            </w:r>
            <w:r w:rsidR="00F10E99" w:rsidRPr="006E4D6C">
              <w:rPr>
                <w:rFonts w:ascii="Georgia" w:eastAsia="Georgia" w:hAnsi="Georgia" w:cs="Georgia"/>
                <w:sz w:val="18"/>
                <w:szCs w:val="18"/>
              </w:rPr>
              <w:t>c</w:t>
            </w:r>
            <w:r w:rsidRPr="006E4D6C">
              <w:rPr>
                <w:rFonts w:ascii="Georgia" w:eastAsia="Georgia" w:hAnsi="Georgia" w:cs="Georgia"/>
                <w:sz w:val="18"/>
                <w:szCs w:val="18"/>
              </w:rPr>
              <w:t xml:space="preserve">are, and </w:t>
            </w:r>
            <w:r w:rsidR="00CF1026" w:rsidRPr="006E4D6C">
              <w:rPr>
                <w:rFonts w:ascii="Georgia" w:eastAsia="Georgia" w:hAnsi="Georgia" w:cs="Georgia"/>
                <w:sz w:val="18"/>
                <w:szCs w:val="18"/>
              </w:rPr>
              <w:t>e</w:t>
            </w:r>
            <w:r w:rsidRPr="006E4D6C">
              <w:rPr>
                <w:rFonts w:ascii="Georgia" w:eastAsia="Georgia" w:hAnsi="Georgia" w:cs="Georgia"/>
                <w:sz w:val="18"/>
                <w:szCs w:val="18"/>
              </w:rPr>
              <w:t xml:space="preserve">nvironmental </w:t>
            </w:r>
            <w:r w:rsidR="00CF1026" w:rsidRPr="006E4D6C">
              <w:rPr>
                <w:rFonts w:ascii="Georgia" w:eastAsia="Georgia" w:hAnsi="Georgia" w:cs="Georgia"/>
                <w:sz w:val="18"/>
                <w:szCs w:val="18"/>
              </w:rPr>
              <w:t>d</w:t>
            </w:r>
            <w:r w:rsidRPr="006E4D6C">
              <w:rPr>
                <w:rFonts w:ascii="Georgia" w:eastAsia="Georgia" w:hAnsi="Georgia" w:cs="Georgia"/>
                <w:sz w:val="18"/>
                <w:szCs w:val="18"/>
              </w:rPr>
              <w:t xml:space="preserve">esign were the selection criteria for finishes in the hospitals </w:t>
            </w:r>
            <w:r w:rsidR="00D744FA" w:rsidRPr="006E4D6C">
              <w:rPr>
                <w:rFonts w:ascii="Georgia" w:eastAsia="Georgia" w:hAnsi="Georgia" w:cs="Georgia"/>
                <w:sz w:val="18"/>
                <w:szCs w:val="18"/>
              </w:rPr>
              <w:fldChar w:fldCharType="begin" w:fldLock="1"/>
            </w:r>
            <w:r w:rsidR="00D744FA" w:rsidRPr="006E4D6C">
              <w:rPr>
                <w:rFonts w:ascii="Georgia" w:eastAsia="Georgia" w:hAnsi="Georgia" w:cs="Georgia"/>
                <w:sz w:val="18"/>
                <w:szCs w:val="18"/>
              </w:rPr>
              <w:instrText>ADDIN CSL_CITATION {"citationItems":[{"id":"ITEM-1","itemData":{"abstract":"Health Building Notes give best practice guidance on the design and planning of new healthcare buildings and on the adaptation/extension of existing facilities. This note provides general guidance for healthcare buildings, including information on gender segregated spaces.","author":[{"dropping-particle":"","family":"Department of Health","given":"","non-dropping-particle":"","parse-names":false,"suffix":""}],"container-title":"Department of Health","id":"ITEM-1","issue":"March","issued":{"date-parts":[["2014"]]},"page":"77","title":"Health Building Note 00-01: General Design Guidance for Healthcare Buildings","type":"article-journal"},"uris":["http://www.mendeley.com/documents/?uuid=f2096de5-7c89-41be-aeb5-b792eefcfd66"]}],"mendeley":{"formattedCitation":"(Department of Health, 2014)","plainTextFormattedCitation":"(Department of Health, 2014)","previouslyFormattedCitation":"(Department of Health, 2014)"},"properties":{"noteIndex":0},"schema":"https://github.com/citation-style-language/schema/raw/master/csl-citation.json"}</w:instrText>
            </w:r>
            <w:r w:rsidR="00D744FA" w:rsidRPr="006E4D6C">
              <w:rPr>
                <w:rFonts w:ascii="Georgia" w:eastAsia="Georgia" w:hAnsi="Georgia" w:cs="Georgia"/>
                <w:sz w:val="18"/>
                <w:szCs w:val="18"/>
              </w:rPr>
              <w:fldChar w:fldCharType="separate"/>
            </w:r>
            <w:r w:rsidR="00D744FA" w:rsidRPr="006E4D6C">
              <w:rPr>
                <w:rFonts w:ascii="Georgia" w:eastAsia="Georgia" w:hAnsi="Georgia" w:cs="Georgia"/>
                <w:sz w:val="18"/>
                <w:szCs w:val="18"/>
              </w:rPr>
              <w:t>(Department of Health, 2014)</w:t>
            </w:r>
            <w:r w:rsidR="00D744FA" w:rsidRPr="006E4D6C">
              <w:rPr>
                <w:rFonts w:ascii="Georgia" w:eastAsia="Georgia" w:hAnsi="Georgia" w:cs="Georgia"/>
                <w:sz w:val="18"/>
                <w:szCs w:val="18"/>
              </w:rPr>
              <w:fldChar w:fldCharType="end"/>
            </w:r>
            <w:r w:rsidRPr="006E4D6C">
              <w:rPr>
                <w:rFonts w:ascii="Georgia" w:eastAsia="Georgia" w:hAnsi="Georgia" w:cs="Georgia"/>
                <w:sz w:val="18"/>
                <w:szCs w:val="18"/>
              </w:rPr>
              <w:t>.</w:t>
            </w:r>
          </w:p>
        </w:tc>
        <w:tc>
          <w:tcPr>
            <w:tcW w:w="6075" w:type="dxa"/>
          </w:tcPr>
          <w:p w14:paraId="4EC9B6E6" w14:textId="0C2DED7E" w:rsidR="00695365" w:rsidRPr="006E4D6C" w:rsidRDefault="00366511" w:rsidP="006E4D6C">
            <w:pPr>
              <w:spacing w:after="120" w:line="240" w:lineRule="auto"/>
              <w:jc w:val="left"/>
              <w:cnfStyle w:val="000000010000" w:firstRow="0" w:lastRow="0" w:firstColumn="0" w:lastColumn="0" w:oddVBand="0" w:evenVBand="0" w:oddHBand="0" w:evenHBand="1"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Materials such as copper based alloys should be used for</w:t>
            </w:r>
            <w:r w:rsidR="00F10E99" w:rsidRPr="006E4D6C">
              <w:rPr>
                <w:rFonts w:ascii="Georgia" w:eastAsia="Georgia" w:hAnsi="Georgia" w:cs="Georgia"/>
                <w:sz w:val="18"/>
                <w:szCs w:val="18"/>
              </w:rPr>
              <w:t>their</w:t>
            </w:r>
            <w:r w:rsidRPr="006E4D6C">
              <w:rPr>
                <w:rFonts w:ascii="Georgia" w:eastAsia="Georgia" w:hAnsi="Georgia" w:cs="Georgia"/>
                <w:sz w:val="18"/>
                <w:szCs w:val="18"/>
              </w:rPr>
              <w:t xml:space="preserve"> anti-bacterial properties to reduce transmission via contact</w:t>
            </w:r>
            <w:r w:rsidR="00E00338" w:rsidRPr="006E4D6C">
              <w:rPr>
                <w:rFonts w:ascii="Georgia" w:eastAsia="Georgia" w:hAnsi="Georgia" w:cs="Georgia"/>
                <w:sz w:val="18"/>
                <w:szCs w:val="18"/>
              </w:rPr>
              <w:t xml:space="preserve"> </w:t>
            </w:r>
            <w:r w:rsidRPr="006E4D6C">
              <w:rPr>
                <w:rFonts w:ascii="Georgia" w:eastAsia="Georgia" w:hAnsi="Georgia" w:cs="Georgia"/>
                <w:sz w:val="18"/>
                <w:szCs w:val="18"/>
              </w:rPr>
              <w:t>(Garg, 2021; Emmanuel et al, 2020). Hence, the anti-bacterial properties of materials must be prioritised in the selection criteria.</w:t>
            </w:r>
          </w:p>
        </w:tc>
      </w:tr>
      <w:tr w:rsidR="00695365" w:rsidRPr="00FB11B3" w14:paraId="76355BAA" w14:textId="77777777" w:rsidTr="00FB1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shd w:val="clear" w:color="auto" w:fill="auto"/>
          </w:tcPr>
          <w:p w14:paraId="1377C2B6" w14:textId="77777777" w:rsidR="00695365" w:rsidRPr="006E4D6C" w:rsidRDefault="00366511" w:rsidP="006E4D6C">
            <w:pP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Ventilation</w:t>
            </w:r>
          </w:p>
        </w:tc>
        <w:tc>
          <w:tcPr>
            <w:tcW w:w="2685" w:type="dxa"/>
            <w:shd w:val="clear" w:color="auto" w:fill="auto"/>
          </w:tcPr>
          <w:p w14:paraId="7475783C" w14:textId="0943F561" w:rsidR="00695365" w:rsidRPr="006E4D6C" w:rsidRDefault="00366511" w:rsidP="006E4D6C">
            <w:pPr>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All wards shall be provided with positive ventilation (except</w:t>
            </w:r>
            <w:r w:rsidR="00A46B7D" w:rsidRPr="006E4D6C">
              <w:rPr>
                <w:rFonts w:ascii="Georgia" w:eastAsia="Georgia" w:hAnsi="Georgia" w:cs="Georgia"/>
                <w:sz w:val="18"/>
                <w:szCs w:val="18"/>
              </w:rPr>
              <w:t xml:space="preserve"> the</w:t>
            </w:r>
            <w:r w:rsidRPr="006E4D6C">
              <w:rPr>
                <w:rFonts w:ascii="Georgia" w:eastAsia="Georgia" w:hAnsi="Georgia" w:cs="Georgia"/>
                <w:sz w:val="18"/>
                <w:szCs w:val="18"/>
              </w:rPr>
              <w:t xml:space="preserve"> isolation ward) and fans </w:t>
            </w:r>
            <w:r w:rsidR="00D744FA" w:rsidRPr="006E4D6C">
              <w:rPr>
                <w:rFonts w:ascii="Georgia" w:eastAsia="Georgia" w:hAnsi="Georgia" w:cs="Georgia"/>
                <w:sz w:val="18"/>
                <w:szCs w:val="18"/>
              </w:rPr>
              <w:fldChar w:fldCharType="begin" w:fldLock="1"/>
            </w:r>
            <w:r w:rsidR="00D744FA" w:rsidRPr="006E4D6C">
              <w:rPr>
                <w:rFonts w:ascii="Georgia" w:eastAsia="Georgia" w:hAnsi="Georgia" w:cs="Georgia"/>
                <w:sz w:val="18"/>
                <w:szCs w:val="18"/>
              </w:rPr>
              <w:instrText>ADDIN CSL_CITATION {"citationItems":[{"id":"ITEM-1","itemData":{"author":[{"dropping-particle":"","family":"Ministry of Health and Family Welfare","given":"","non-dropping-particle":"","parse-names":false,"suffix":""}],"id":"ITEM-1","issue":"25 November","issued":{"date-parts":[["2012"]]},"title":"Guidelines for District Hospitals (101 to 500 Bedded) ","type":"article-journal","volume":"2017"},"uris":["http://www.mendeley.com/documents/?uuid=c2020221-80cd-49fd-87d0-8800df6539c5"]}],"mendeley":{"formattedCitation":"(Ministry of Health and Family Welfare, 2012)","plainTextFormattedCitation":"(Ministry of Health and Family Welfare, 2012)","previouslyFormattedCitation":"(Ministry of Health and Family Welfare, 2012)"},"properties":{"noteIndex":0},"schema":"https://github.com/citation-style-language/schema/raw/master/csl-citation.json"}</w:instrText>
            </w:r>
            <w:r w:rsidR="00D744FA" w:rsidRPr="006E4D6C">
              <w:rPr>
                <w:rFonts w:ascii="Georgia" w:eastAsia="Georgia" w:hAnsi="Georgia" w:cs="Georgia"/>
                <w:sz w:val="18"/>
                <w:szCs w:val="18"/>
              </w:rPr>
              <w:fldChar w:fldCharType="separate"/>
            </w:r>
            <w:r w:rsidR="00D744FA" w:rsidRPr="006E4D6C">
              <w:rPr>
                <w:rFonts w:ascii="Georgia" w:eastAsia="Georgia" w:hAnsi="Georgia" w:cs="Georgia"/>
                <w:sz w:val="18"/>
                <w:szCs w:val="18"/>
              </w:rPr>
              <w:t>(Ministry of Health and Family Welfare, 2012)</w:t>
            </w:r>
            <w:r w:rsidR="00D744FA" w:rsidRPr="006E4D6C">
              <w:rPr>
                <w:rFonts w:ascii="Georgia" w:eastAsia="Georgia" w:hAnsi="Georgia" w:cs="Georgia"/>
                <w:sz w:val="18"/>
                <w:szCs w:val="18"/>
              </w:rPr>
              <w:fldChar w:fldCharType="end"/>
            </w:r>
            <w:r w:rsidRPr="006E4D6C">
              <w:rPr>
                <w:rFonts w:ascii="Georgia" w:eastAsia="Georgia" w:hAnsi="Georgia" w:cs="Georgia"/>
                <w:sz w:val="18"/>
                <w:szCs w:val="18"/>
              </w:rPr>
              <w:t>.</w:t>
            </w:r>
          </w:p>
          <w:p w14:paraId="599297DF" w14:textId="77777777" w:rsidR="00695365" w:rsidRPr="006E4D6C" w:rsidRDefault="00366511" w:rsidP="006E4D6C">
            <w:pPr>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Hospitals should use natural ventilation (IS 2433, 2001).</w:t>
            </w:r>
          </w:p>
          <w:p w14:paraId="67D92C70" w14:textId="77777777" w:rsidR="00695365" w:rsidRPr="006E4D6C" w:rsidRDefault="00695365" w:rsidP="006E4D6C">
            <w:pPr>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18"/>
                <w:szCs w:val="18"/>
              </w:rPr>
            </w:pPr>
          </w:p>
        </w:tc>
        <w:tc>
          <w:tcPr>
            <w:tcW w:w="6075" w:type="dxa"/>
            <w:shd w:val="clear" w:color="auto" w:fill="auto"/>
          </w:tcPr>
          <w:p w14:paraId="118AAA25" w14:textId="35961BAF" w:rsidR="00695365" w:rsidRPr="006E4D6C" w:rsidRDefault="00366511" w:rsidP="006E4D6C">
            <w:pPr>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Induce negative pressure in infected wards in cold</w:t>
            </w:r>
            <w:r w:rsidR="00A46B7D" w:rsidRPr="006E4D6C">
              <w:rPr>
                <w:rFonts w:ascii="Georgia" w:eastAsia="Georgia" w:hAnsi="Georgia" w:cs="Georgia"/>
                <w:sz w:val="18"/>
                <w:szCs w:val="18"/>
              </w:rPr>
              <w:t xml:space="preserve"> climates,</w:t>
            </w:r>
            <w:r w:rsidRPr="006E4D6C">
              <w:rPr>
                <w:rFonts w:ascii="Georgia" w:eastAsia="Georgia" w:hAnsi="Georgia" w:cs="Georgia"/>
                <w:sz w:val="18"/>
                <w:szCs w:val="18"/>
              </w:rPr>
              <w:t xml:space="preserve"> while positive pressure should be induced in warm climates </w:t>
            </w:r>
            <w:r w:rsidR="00D744FA" w:rsidRPr="006E4D6C">
              <w:rPr>
                <w:rFonts w:ascii="Georgia" w:eastAsia="Georgia" w:hAnsi="Georgia" w:cs="Georgia"/>
                <w:sz w:val="18"/>
                <w:szCs w:val="18"/>
              </w:rPr>
              <w:fldChar w:fldCharType="begin" w:fldLock="1"/>
            </w:r>
            <w:r w:rsidR="00D744FA" w:rsidRPr="006E4D6C">
              <w:rPr>
                <w:rFonts w:ascii="Georgia" w:eastAsia="Georgia" w:hAnsi="Georgia" w:cs="Georgia"/>
                <w:sz w:val="18"/>
                <w:szCs w:val="18"/>
              </w:rPr>
              <w:instrText>ADDIN CSL_CITATION {"citationItems":[{"id":"ITEM-1","itemData":{"abstract":"This is the first edition of the practical manual to set up and manage a severe acute respiratory infection (SARI) treatment centre and a SARI screening facility in health-care facilities. The document has been developed to meet the operational needs emerging with the COVID-19 pandemic.","author":[{"dropping-particle":"","family":"WHO","given":"","non-dropping-particle":"","parse-names":false,"suffix":""}],"container-title":"World Health Organization Publications","id":"ITEM-1","issue":"March","issued":{"date-parts":[["2020"]]},"page":"120","title":"Severe Acute Respiratory Infections Treatment Centre","type":"article-journal"},"uris":["http://www.mendeley.com/documents/?uuid=d4202ef7-5f66-4466-887c-ab5eb883a44a"]}],"mendeley":{"formattedCitation":"(WHO, 2020)","plainTextFormattedCitation":"(WHO, 2020)","previouslyFormattedCitation":"(WHO, 2020)"},"properties":{"noteIndex":0},"schema":"https://github.com/citation-style-language/schema/raw/master/csl-citation.json"}</w:instrText>
            </w:r>
            <w:r w:rsidR="00D744FA" w:rsidRPr="006E4D6C">
              <w:rPr>
                <w:rFonts w:ascii="Georgia" w:eastAsia="Georgia" w:hAnsi="Georgia" w:cs="Georgia"/>
                <w:sz w:val="18"/>
                <w:szCs w:val="18"/>
              </w:rPr>
              <w:fldChar w:fldCharType="separate"/>
            </w:r>
            <w:r w:rsidR="00D744FA" w:rsidRPr="006E4D6C">
              <w:rPr>
                <w:rFonts w:ascii="Georgia" w:eastAsia="Georgia" w:hAnsi="Georgia" w:cs="Georgia"/>
                <w:sz w:val="18"/>
                <w:szCs w:val="18"/>
              </w:rPr>
              <w:t>(WHO, 2020)</w:t>
            </w:r>
            <w:r w:rsidR="00D744FA" w:rsidRPr="006E4D6C">
              <w:rPr>
                <w:rFonts w:ascii="Georgia" w:eastAsia="Georgia" w:hAnsi="Georgia" w:cs="Georgia"/>
                <w:sz w:val="18"/>
                <w:szCs w:val="18"/>
              </w:rPr>
              <w:fldChar w:fldCharType="end"/>
            </w:r>
          </w:p>
          <w:p w14:paraId="0FADFEAC" w14:textId="58FCB691" w:rsidR="00695365" w:rsidRPr="006E4D6C" w:rsidRDefault="00366511" w:rsidP="006E4D6C">
            <w:pPr>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Use anterooms to dilute air that moves whe</w:t>
            </w:r>
            <w:r w:rsidR="00D744FA" w:rsidRPr="006E4D6C">
              <w:rPr>
                <w:rFonts w:ascii="Georgia" w:eastAsia="Georgia" w:hAnsi="Georgia" w:cs="Georgia"/>
                <w:sz w:val="18"/>
                <w:szCs w:val="18"/>
              </w:rPr>
              <w:t xml:space="preserve">n a door is operated </w:t>
            </w:r>
            <w:r w:rsidR="00D744FA" w:rsidRPr="006E4D6C">
              <w:rPr>
                <w:rFonts w:ascii="Georgia" w:eastAsia="Georgia" w:hAnsi="Georgia" w:cs="Georgia"/>
                <w:sz w:val="18"/>
                <w:szCs w:val="18"/>
              </w:rPr>
              <w:fldChar w:fldCharType="begin" w:fldLock="1"/>
            </w:r>
            <w:r w:rsidR="00D44103" w:rsidRPr="006E4D6C">
              <w:rPr>
                <w:rFonts w:ascii="Georgia" w:eastAsia="Georgia" w:hAnsi="Georgia" w:cs="Georgia"/>
                <w:sz w:val="18"/>
                <w:szCs w:val="18"/>
              </w:rPr>
              <w:instrText>ADDIN CSL_CITATION {"citationItems":[{"id":"ITEM-1","itemData":{"abstract":"This is the first edition of the practical manual to set up and manage a severe acute respiratory infection (SARI) treatment centre and a SARI screening facility in health-care facilities. The document has been developed to meet the operational needs emerging with the COVID-19 pandemic.","author":[{"dropping-particle":"","family":"WHO","given":"","non-dropping-particle":"","parse-names":false,"suffix":""}],"container-title":"World Health Organization Publications","id":"ITEM-1","issue":"March","issued":{"date-parts":[["2020"]]},"page":"120","title":"Severe Acute Respiratory Infections Treatment Centre","type":"article-journal"},"uris":["http://www.mendeley.com/documents/?uuid=d4202ef7-5f66-4466-887c-ab5eb883a44a"]}],"mendeley":{"formattedCitation":"(WHO, 2020)","plainTextFormattedCitation":"(WHO, 2020)","previouslyFormattedCitation":"(WHO, 2020)"},"properties":{"noteIndex":0},"schema":"https://github.com/citation-style-language/schema/raw/master/csl-citation.json"}</w:instrText>
            </w:r>
            <w:r w:rsidR="00D744FA" w:rsidRPr="006E4D6C">
              <w:rPr>
                <w:rFonts w:ascii="Georgia" w:eastAsia="Georgia" w:hAnsi="Georgia" w:cs="Georgia"/>
                <w:sz w:val="18"/>
                <w:szCs w:val="18"/>
              </w:rPr>
              <w:fldChar w:fldCharType="separate"/>
            </w:r>
            <w:r w:rsidR="00D744FA" w:rsidRPr="006E4D6C">
              <w:rPr>
                <w:rFonts w:ascii="Georgia" w:eastAsia="Georgia" w:hAnsi="Georgia" w:cs="Georgia"/>
                <w:sz w:val="18"/>
                <w:szCs w:val="18"/>
              </w:rPr>
              <w:t>(WHO, 2020)</w:t>
            </w:r>
            <w:r w:rsidR="00D744FA" w:rsidRPr="006E4D6C">
              <w:rPr>
                <w:rFonts w:ascii="Georgia" w:eastAsia="Georgia" w:hAnsi="Georgia" w:cs="Georgia"/>
                <w:sz w:val="18"/>
                <w:szCs w:val="18"/>
              </w:rPr>
              <w:fldChar w:fldCharType="end"/>
            </w:r>
            <w:r w:rsidRPr="006E4D6C">
              <w:rPr>
                <w:rFonts w:ascii="Georgia" w:eastAsia="Georgia" w:hAnsi="Georgia" w:cs="Georgia"/>
                <w:sz w:val="18"/>
                <w:szCs w:val="18"/>
              </w:rPr>
              <w:t>.</w:t>
            </w:r>
          </w:p>
          <w:p w14:paraId="210FCCED" w14:textId="71F4B090" w:rsidR="00695365" w:rsidRPr="006E4D6C" w:rsidRDefault="00366511" w:rsidP="006E4D6C">
            <w:pPr>
              <w:spacing w:after="120" w:line="240" w:lineRule="auto"/>
              <w:jc w:val="left"/>
              <w:cnfStyle w:val="000000100000" w:firstRow="0" w:lastRow="0" w:firstColumn="0" w:lastColumn="0" w:oddVBand="0" w:evenVBand="0" w:oddHBand="1" w:evenHBand="0"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WHO (2021) recommends hybrid ventilation</w:t>
            </w:r>
            <w:r w:rsidR="00A46B7D" w:rsidRPr="006E4D6C">
              <w:rPr>
                <w:rFonts w:ascii="Georgia" w:eastAsia="Georgia" w:hAnsi="Georgia" w:cs="Georgia"/>
                <w:sz w:val="18"/>
                <w:szCs w:val="18"/>
              </w:rPr>
              <w:t>,</w:t>
            </w:r>
            <w:r w:rsidRPr="006E4D6C">
              <w:rPr>
                <w:rFonts w:ascii="Georgia" w:eastAsia="Georgia" w:hAnsi="Georgia" w:cs="Georgia"/>
                <w:sz w:val="18"/>
                <w:szCs w:val="18"/>
              </w:rPr>
              <w:t xml:space="preserve"> but Wang et al(2013) retort that operable windows achieving 12</w:t>
            </w:r>
            <w:r w:rsidR="00A46B7D" w:rsidRPr="006E4D6C">
              <w:rPr>
                <w:rFonts w:ascii="Georgia" w:eastAsia="Georgia" w:hAnsi="Georgia" w:cs="Georgia"/>
                <w:sz w:val="18"/>
                <w:szCs w:val="18"/>
              </w:rPr>
              <w:t xml:space="preserve"> </w:t>
            </w:r>
            <w:r w:rsidRPr="006E4D6C">
              <w:rPr>
                <w:rFonts w:ascii="Georgia" w:eastAsia="Georgia" w:hAnsi="Georgia" w:cs="Georgia"/>
                <w:sz w:val="18"/>
                <w:szCs w:val="18"/>
              </w:rPr>
              <w:t>ACH prevented infections in Chinese hospitals during SARS.</w:t>
            </w:r>
          </w:p>
        </w:tc>
      </w:tr>
      <w:tr w:rsidR="00695365" w:rsidRPr="00FB11B3" w14:paraId="74318A1F" w14:textId="77777777" w:rsidTr="00FB1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5" w:type="dxa"/>
          </w:tcPr>
          <w:p w14:paraId="780A721B" w14:textId="77777777" w:rsidR="00695365" w:rsidRPr="006E4D6C" w:rsidRDefault="00366511" w:rsidP="006E4D6C">
            <w:pPr>
              <w:spacing w:after="120" w:line="240" w:lineRule="auto"/>
              <w:jc w:val="left"/>
              <w:rPr>
                <w:rFonts w:ascii="Georgia" w:eastAsia="Georgia" w:hAnsi="Georgia" w:cs="Georgia"/>
                <w:bCs/>
                <w:sz w:val="18"/>
                <w:szCs w:val="18"/>
              </w:rPr>
            </w:pPr>
            <w:r w:rsidRPr="006E4D6C">
              <w:rPr>
                <w:rFonts w:ascii="Georgia" w:eastAsia="Georgia" w:hAnsi="Georgia" w:cs="Georgia"/>
                <w:bCs/>
                <w:sz w:val="18"/>
                <w:szCs w:val="18"/>
              </w:rPr>
              <w:t>Space planning</w:t>
            </w:r>
          </w:p>
        </w:tc>
        <w:tc>
          <w:tcPr>
            <w:tcW w:w="2685" w:type="dxa"/>
          </w:tcPr>
          <w:p w14:paraId="43C85EA2" w14:textId="532686FD" w:rsidR="00695365" w:rsidRPr="006E4D6C" w:rsidRDefault="00A46B7D" w:rsidP="006E4D6C">
            <w:pPr>
              <w:spacing w:after="120" w:line="240" w:lineRule="auto"/>
              <w:jc w:val="left"/>
              <w:cnfStyle w:val="000000010000" w:firstRow="0" w:lastRow="0" w:firstColumn="0" w:lastColumn="0" w:oddVBand="0" w:evenVBand="0" w:oddHBand="0" w:evenHBand="1"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The w</w:t>
            </w:r>
            <w:r w:rsidR="00366511" w:rsidRPr="006E4D6C">
              <w:rPr>
                <w:rFonts w:ascii="Georgia" w:eastAsia="Georgia" w:hAnsi="Georgia" w:cs="Georgia"/>
                <w:sz w:val="18"/>
                <w:szCs w:val="18"/>
              </w:rPr>
              <w:t>aiting areas in the outpatient department had seating areas to make waiting comfortable (Peng, 2022).</w:t>
            </w:r>
          </w:p>
          <w:p w14:paraId="78E34B2F" w14:textId="77777777" w:rsidR="00695365" w:rsidRPr="006E4D6C" w:rsidRDefault="00366511" w:rsidP="006E4D6C">
            <w:pPr>
              <w:spacing w:after="120" w:line="240" w:lineRule="auto"/>
              <w:jc w:val="left"/>
              <w:cnfStyle w:val="000000010000" w:firstRow="0" w:lastRow="0" w:firstColumn="0" w:lastColumn="0" w:oddVBand="0" w:evenVBand="0" w:oddHBand="0" w:evenHBand="1"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There was less focus on the comfort of the patient and they were given rooms with numerous beds (Szafranowicz et al., 2015).</w:t>
            </w:r>
          </w:p>
        </w:tc>
        <w:tc>
          <w:tcPr>
            <w:tcW w:w="6075" w:type="dxa"/>
          </w:tcPr>
          <w:p w14:paraId="42C83E37" w14:textId="5675F03A" w:rsidR="00695365" w:rsidRPr="006E4D6C" w:rsidRDefault="00366511" w:rsidP="006E4D6C">
            <w:pPr>
              <w:spacing w:after="120" w:line="240" w:lineRule="auto"/>
              <w:jc w:val="left"/>
              <w:cnfStyle w:val="000000010000" w:firstRow="0" w:lastRow="0" w:firstColumn="0" w:lastColumn="0" w:oddVBand="0" w:evenVBand="0" w:oddHBand="0" w:evenHBand="1"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 xml:space="preserve">Benches and ledges must be avoided in a corridor to discourage conversation, </w:t>
            </w:r>
            <w:r w:rsidR="00A46B7D" w:rsidRPr="006E4D6C">
              <w:rPr>
                <w:rFonts w:ascii="Georgia" w:eastAsia="Georgia" w:hAnsi="Georgia" w:cs="Georgia"/>
                <w:sz w:val="18"/>
                <w:szCs w:val="18"/>
              </w:rPr>
              <w:t xml:space="preserve">and </w:t>
            </w:r>
            <w:r w:rsidRPr="006E4D6C">
              <w:rPr>
                <w:rFonts w:ascii="Georgia" w:eastAsia="Georgia" w:hAnsi="Georgia" w:cs="Georgia"/>
                <w:sz w:val="18"/>
                <w:szCs w:val="18"/>
              </w:rPr>
              <w:t>poorly ventilated corridors and waiting areas must be avoided (Emmanuel et al, 2020).</w:t>
            </w:r>
          </w:p>
          <w:p w14:paraId="17078C70" w14:textId="77777777" w:rsidR="00695365" w:rsidRPr="006E4D6C" w:rsidRDefault="00366511" w:rsidP="006E4D6C">
            <w:pPr>
              <w:spacing w:after="120" w:line="240" w:lineRule="auto"/>
              <w:jc w:val="left"/>
              <w:cnfStyle w:val="000000010000" w:firstRow="0" w:lastRow="0" w:firstColumn="0" w:lastColumn="0" w:oddVBand="0" w:evenVBand="0" w:oddHBand="0" w:evenHBand="1"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Individual rooms are recommended to reduce transmission.</w:t>
            </w:r>
          </w:p>
          <w:p w14:paraId="17A370F8" w14:textId="5AB0E196" w:rsidR="00695365" w:rsidRPr="006E4D6C" w:rsidRDefault="00366511" w:rsidP="006E4D6C">
            <w:pPr>
              <w:spacing w:after="120" w:line="240" w:lineRule="auto"/>
              <w:jc w:val="left"/>
              <w:cnfStyle w:val="000000010000" w:firstRow="0" w:lastRow="0" w:firstColumn="0" w:lastColumn="0" w:oddVBand="0" w:evenVBand="0" w:oddHBand="0" w:evenHBand="1" w:firstRowFirstColumn="0" w:firstRowLastColumn="0" w:lastRowFirstColumn="0" w:lastRowLastColumn="0"/>
              <w:rPr>
                <w:rFonts w:ascii="Georgia" w:eastAsia="Georgia" w:hAnsi="Georgia" w:cs="Georgia"/>
                <w:sz w:val="18"/>
                <w:szCs w:val="18"/>
              </w:rPr>
            </w:pPr>
            <w:r w:rsidRPr="006E4D6C">
              <w:rPr>
                <w:rFonts w:ascii="Georgia" w:eastAsia="Georgia" w:hAnsi="Georgia" w:cs="Georgia"/>
                <w:sz w:val="18"/>
                <w:szCs w:val="18"/>
              </w:rPr>
              <w:t xml:space="preserve">The trend is to follow evidence based design </w:t>
            </w:r>
            <w:r w:rsidR="00A46B7D" w:rsidRPr="006E4D6C">
              <w:rPr>
                <w:rFonts w:ascii="Georgia" w:eastAsia="Georgia" w:hAnsi="Georgia" w:cs="Georgia"/>
                <w:sz w:val="18"/>
                <w:szCs w:val="18"/>
              </w:rPr>
              <w:t xml:space="preserve">that </w:t>
            </w:r>
            <w:r w:rsidRPr="006E4D6C">
              <w:rPr>
                <w:rFonts w:ascii="Georgia" w:eastAsia="Georgia" w:hAnsi="Georgia" w:cs="Georgia"/>
                <w:sz w:val="18"/>
                <w:szCs w:val="18"/>
              </w:rPr>
              <w:t>prioriti</w:t>
            </w:r>
            <w:r w:rsidR="00A46B7D" w:rsidRPr="006E4D6C">
              <w:rPr>
                <w:rFonts w:ascii="Georgia" w:eastAsia="Georgia" w:hAnsi="Georgia" w:cs="Georgia"/>
                <w:sz w:val="18"/>
                <w:szCs w:val="18"/>
              </w:rPr>
              <w:t>s</w:t>
            </w:r>
            <w:r w:rsidRPr="006E4D6C">
              <w:rPr>
                <w:rFonts w:ascii="Georgia" w:eastAsia="Georgia" w:hAnsi="Georgia" w:cs="Georgia"/>
                <w:sz w:val="18"/>
                <w:szCs w:val="18"/>
              </w:rPr>
              <w:t>es air quality, lighting</w:t>
            </w:r>
            <w:r w:rsidR="00A46B7D" w:rsidRPr="006E4D6C">
              <w:rPr>
                <w:rFonts w:ascii="Georgia" w:eastAsia="Georgia" w:hAnsi="Georgia" w:cs="Georgia"/>
                <w:sz w:val="18"/>
                <w:szCs w:val="18"/>
              </w:rPr>
              <w:t>,</w:t>
            </w:r>
            <w:r w:rsidRPr="006E4D6C">
              <w:rPr>
                <w:rFonts w:ascii="Georgia" w:eastAsia="Georgia" w:hAnsi="Georgia" w:cs="Georgia"/>
                <w:sz w:val="18"/>
                <w:szCs w:val="18"/>
              </w:rPr>
              <w:t xml:space="preserve"> and materials to speed up the recovery process </w:t>
            </w:r>
            <w:r w:rsidR="007C504F" w:rsidRPr="006E4D6C">
              <w:rPr>
                <w:rFonts w:ascii="Georgia" w:eastAsia="Georgia" w:hAnsi="Georgia" w:cs="Georgia"/>
                <w:sz w:val="18"/>
                <w:szCs w:val="18"/>
              </w:rPr>
              <w:fldChar w:fldCharType="begin" w:fldLock="1"/>
            </w:r>
            <w:r w:rsidR="003A646C" w:rsidRPr="006E4D6C">
              <w:rPr>
                <w:rFonts w:ascii="Georgia" w:eastAsia="Georgia" w:hAnsi="Georgia" w:cs="Georgia"/>
                <w:sz w:val="18"/>
                <w:szCs w:val="18"/>
              </w:rPr>
              <w:instrText>ADDIN CSL_CITATION {"citationItems":[{"id":"ITEM-1","itemData":{"DOI":"10.23750/abm.v91i9-S.10117","ISSN":"25316745","PMID":"32701917","abstract":"Background and aim: The COVID-19 pandemic has upended the global healthcare systems. The surge in infections and sick critically ill patients has tested the resilience of healthcare infrastructures and facilities forcing organizations to quickly adapt and embrace emergency solutions. The paper proposes a decalogue of design strategies applicable both to new hospitals and to the refurbishment of existing hospitals. Methods: The authors conducted observations at hospitals, during public health webinars and through experts working groups from March to May 2020. Results: In this commentary, the authors present a list of strategies for creating critical care surge capacity and exploring design strategies for healthcare design for resilient hospital facilities. The strategies are organized into two tiers: I) design and II) operations. The (I) Design phase strategies are: 1) Strategic Site Location; 2) Typology Configuration; 3) Flexibility; 4) Functional program; 5) User-centerdness. The (II) Operation phase strategies are: 6) Healthcare network on the territory; 7) Patient safety; 8) HVAC and indoor air quality; 9) Innovative finishing materials and furniture; 10) Healthcare digital innovation. Conclusions: Hospitals, health care systems, and institutions urgently need to assess their resources, identify potential bottlenecks, and create strategies for increasing critical care surge capacity. The COVID-19 pandemic disrupted healthcare operations and accelerated the processes of innovation and transformation. The design and operational strategies can enable the achievement of resilient hospital facilities. Further multidisciplinary researches is needed to validate the strategies empirically. (www.actabiomedica.it).","author":[{"dropping-particle":"","family":"Capolongo","given":"Stefano","non-dropping-particle":"","parse-names":false,"suffix":""},{"dropping-particle":"","family":"Gola","given":"Marco","non-dropping-particle":"","parse-names":false,"suffix":""},{"dropping-particle":"","family":"Brambilla","given":"Andrea","non-dropping-particle":"","parse-names":false,"suffix":""},{"dropping-particle":"","family":"Morganti","given":"Alessandro","non-dropping-particle":"","parse-names":false,"suffix":""},{"dropping-particle":"","family":"Mosca","given":"Erica Isa","non-dropping-particle":"","parse-names":false,"suffix":""},{"dropping-particle":"","family":"Barach","given":"Paul","non-dropping-particle":"","parse-names":false,"suffix":""}],"container-title":"Acta Biomedica","id":"ITEM-1","issue":"1","issued":{"date-parts":[["2020"]]},"page":"50-60","title":"COVID-19 and healthcare facilities: A decalogue of design strategies for resilient hospitals","type":"article-journal","volume":"91"},"uris":["http://www.mendeley.com/documents/?uuid=2e7b2295-e47f-4348-82c2-684e2376bc93"]},{"id":"ITEM-2","itemData":{"DOI":"10.22514/sv.2021.098","ISSN":"1845206X","abstract":"Objectives: The aim of the current work was to evaluate the frequency and the type of cases of medical liability from a single center in the first ten months of the pandemic as well as to identify critical issues associated with the organization of public health during the coronavirus disease 2019 pandemic. Methods: We compared 130 cases evaluated for medical liability from March 2020 to January 2021 and compared with 159 cases from March 2019 to January 2020. The cases were divided in four pre-established groups: surgical error, diagnostic/therapeutic errors and nosocomial diseases, delays, and problems related to assistance. Results: Analysis showed a significant increase in cases due to delay in treat-ment/hospitalization and shortages in health care of non-autonomous patients [χ2 (1, N = 289) = 5.6746, p = 0.02]. Conclusions: The work showed an increase in medical/legal cases regarding non-COVID-19 emergencies in which the outcome is related to the time of treatment and/or arrival at the hospital. There was also a rise in complaints of deficits in supervision and care for non-autonomous patients. Despite the persistence of preventive measures for the current pandemic, measures should be taken to improve health care in these categories of patients.","author":[{"dropping-particle":"","family":"Nioi","given":"Matteo","non-dropping-particle":"","parse-names":false,"suffix":""},{"dropping-particle":"","family":"Napoli","given":"Pietro Emanuele","non-dropping-particle":"","parse-names":false,"suffix":""},{"dropping-particle":"","family":"Finco","given":"Gabriele","non-dropping-particle":"","parse-names":false,"suffix":""},{"dropping-particle":"","family":"Demontis","given":"Roberto","non-dropping-particle":"","parse-names":false,"suffix":""},{"dropping-particle":"","family":"Fossarello","given":"Maurizio","non-dropping-particle":"","parse-names":false,"suffix":""},{"dropping-particle":"","family":"D'aloja","given":"Ernesto","non-dropping-particle":"","parse-names":false,"suffix":""}],"container-title":"Signa Vitae","id":"ITEM-2","issue":"4","issued":{"date-parts":[["2021"]]},"page":"79-85","title":"Fear of the covid-19 and medical liability. Insights from a series of 130 consecutives medico-legal claims evaluated in a single institution during sars-cov-2-related pandemic","type":"article-journal","volume":"17"},"uris":["http://www.mendeley.com/documents/?uuid=f708a66b-5038-4bb3-a4db-ee1f0e8f7e52"]}],"mendeley":{"formattedCitation":"(Capolongo et al., 2020b; Nioi et al., 2021)","plainTextFormattedCitation":"(Capolongo et al., 2020b; Nioi et al., 2021)","previouslyFormattedCitation":"(Capolongo et al., 2020b; Nioi et al., 2021)"},"properties":{"noteIndex":0},"schema":"https://github.com/citation-style-language/schema/raw/master/csl-citation.json"}</w:instrText>
            </w:r>
            <w:r w:rsidR="007C504F" w:rsidRPr="006E4D6C">
              <w:rPr>
                <w:rFonts w:ascii="Georgia" w:eastAsia="Georgia" w:hAnsi="Georgia" w:cs="Georgia"/>
                <w:sz w:val="18"/>
                <w:szCs w:val="18"/>
              </w:rPr>
              <w:fldChar w:fldCharType="separate"/>
            </w:r>
            <w:r w:rsidR="007C504F" w:rsidRPr="006E4D6C">
              <w:rPr>
                <w:rFonts w:ascii="Georgia" w:eastAsia="Georgia" w:hAnsi="Georgia" w:cs="Georgia"/>
                <w:sz w:val="18"/>
                <w:szCs w:val="18"/>
              </w:rPr>
              <w:t>(Capolongo et al., 2020b; Nioi et al., 2021)</w:t>
            </w:r>
            <w:r w:rsidR="007C504F" w:rsidRPr="006E4D6C">
              <w:rPr>
                <w:rFonts w:ascii="Georgia" w:eastAsia="Georgia" w:hAnsi="Georgia" w:cs="Georgia"/>
                <w:sz w:val="18"/>
                <w:szCs w:val="18"/>
              </w:rPr>
              <w:fldChar w:fldCharType="end"/>
            </w:r>
            <w:r w:rsidR="007C504F" w:rsidRPr="006E4D6C">
              <w:rPr>
                <w:rFonts w:ascii="Georgia" w:eastAsia="Georgia" w:hAnsi="Georgia" w:cs="Georgia"/>
                <w:sz w:val="18"/>
                <w:szCs w:val="18"/>
              </w:rPr>
              <w:t>.</w:t>
            </w:r>
          </w:p>
        </w:tc>
      </w:tr>
    </w:tbl>
    <w:p w14:paraId="3DAB232C" w14:textId="77777777" w:rsidR="00EA55F7" w:rsidRDefault="00EA55F7">
      <w:pPr>
        <w:pBdr>
          <w:top w:val="nil"/>
          <w:left w:val="nil"/>
          <w:bottom w:val="nil"/>
          <w:right w:val="nil"/>
          <w:between w:val="nil"/>
        </w:pBdr>
        <w:spacing w:line="228" w:lineRule="auto"/>
        <w:rPr>
          <w:rFonts w:ascii="Georgia" w:eastAsia="Georgia" w:hAnsi="Georgia" w:cs="Georgia"/>
          <w:sz w:val="18"/>
          <w:szCs w:val="18"/>
        </w:rPr>
      </w:pPr>
    </w:p>
    <w:p w14:paraId="2B8CB1A9" w14:textId="6AF11AD7" w:rsidR="00695365" w:rsidRDefault="00366511" w:rsidP="00FB11B3">
      <w:pPr>
        <w:pBdr>
          <w:top w:val="nil"/>
          <w:left w:val="nil"/>
          <w:bottom w:val="nil"/>
          <w:right w:val="nil"/>
          <w:between w:val="nil"/>
        </w:pBdr>
        <w:spacing w:line="228" w:lineRule="auto"/>
        <w:ind w:firstLine="142"/>
        <w:rPr>
          <w:rFonts w:ascii="Georgia" w:eastAsia="Georgia" w:hAnsi="Georgia" w:cs="Georgia"/>
          <w:sz w:val="18"/>
          <w:szCs w:val="18"/>
        </w:rPr>
      </w:pPr>
      <w:r>
        <w:rPr>
          <w:rFonts w:ascii="Georgia" w:eastAsia="Georgia" w:hAnsi="Georgia" w:cs="Georgia"/>
          <w:sz w:val="18"/>
          <w:szCs w:val="18"/>
        </w:rPr>
        <w:t>Table 4</w:t>
      </w:r>
      <w:r w:rsidR="00A47DBC">
        <w:rPr>
          <w:rFonts w:ascii="Georgia" w:eastAsia="Georgia" w:hAnsi="Georgia" w:cs="Georgia"/>
          <w:sz w:val="18"/>
          <w:szCs w:val="18"/>
        </w:rPr>
        <w:t>:</w:t>
      </w:r>
      <w:r>
        <w:rPr>
          <w:rFonts w:ascii="Georgia" w:eastAsia="Georgia" w:hAnsi="Georgia" w:cs="Georgia"/>
          <w:sz w:val="18"/>
          <w:szCs w:val="18"/>
        </w:rPr>
        <w:t xml:space="preserve"> Hospital </w:t>
      </w:r>
      <w:r w:rsidR="00A47DBC">
        <w:rPr>
          <w:rFonts w:ascii="Georgia" w:eastAsia="Georgia" w:hAnsi="Georgia" w:cs="Georgia"/>
          <w:sz w:val="18"/>
          <w:szCs w:val="18"/>
        </w:rPr>
        <w:t>D</w:t>
      </w:r>
      <w:r>
        <w:rPr>
          <w:rFonts w:ascii="Georgia" w:eastAsia="Georgia" w:hAnsi="Georgia" w:cs="Georgia"/>
          <w:sz w:val="18"/>
          <w:szCs w:val="18"/>
        </w:rPr>
        <w:t xml:space="preserve">esign </w:t>
      </w:r>
      <w:r w:rsidR="00A47DBC">
        <w:rPr>
          <w:rFonts w:ascii="Georgia" w:eastAsia="Georgia" w:hAnsi="Georgia" w:cs="Georgia"/>
          <w:sz w:val="18"/>
          <w:szCs w:val="18"/>
        </w:rPr>
        <w:t>R</w:t>
      </w:r>
      <w:r>
        <w:rPr>
          <w:rFonts w:ascii="Georgia" w:eastAsia="Georgia" w:hAnsi="Georgia" w:cs="Georgia"/>
          <w:sz w:val="18"/>
          <w:szCs w:val="18"/>
        </w:rPr>
        <w:t>equirements</w:t>
      </w:r>
      <w:r w:rsidR="00A47DBC">
        <w:rPr>
          <w:rFonts w:ascii="Georgia" w:eastAsia="Georgia" w:hAnsi="Georgia" w:cs="Georgia"/>
          <w:sz w:val="18"/>
          <w:szCs w:val="18"/>
        </w:rPr>
        <w:t>,</w:t>
      </w:r>
      <w:r>
        <w:rPr>
          <w:rFonts w:ascii="Georgia" w:eastAsia="Georgia" w:hAnsi="Georgia" w:cs="Georgia"/>
          <w:sz w:val="18"/>
          <w:szCs w:val="18"/>
        </w:rPr>
        <w:t xml:space="preserve"> </w:t>
      </w:r>
      <w:r w:rsidR="00A47DBC">
        <w:rPr>
          <w:rFonts w:ascii="Georgia" w:eastAsia="Georgia" w:hAnsi="Georgia" w:cs="Georgia"/>
          <w:sz w:val="18"/>
          <w:szCs w:val="18"/>
        </w:rPr>
        <w:t>P</w:t>
      </w:r>
      <w:r>
        <w:rPr>
          <w:rFonts w:ascii="Georgia" w:eastAsia="Georgia" w:hAnsi="Georgia" w:cs="Georgia"/>
          <w:sz w:val="18"/>
          <w:szCs w:val="18"/>
        </w:rPr>
        <w:t>re</w:t>
      </w:r>
      <w:r w:rsidR="00A47DBC">
        <w:rPr>
          <w:rFonts w:ascii="Georgia" w:eastAsia="Georgia" w:hAnsi="Georgia" w:cs="Georgia"/>
          <w:sz w:val="18"/>
          <w:szCs w:val="18"/>
        </w:rPr>
        <w:t>-,</w:t>
      </w:r>
      <w:r>
        <w:rPr>
          <w:rFonts w:ascii="Georgia" w:eastAsia="Georgia" w:hAnsi="Georgia" w:cs="Georgia"/>
          <w:sz w:val="18"/>
          <w:szCs w:val="18"/>
        </w:rPr>
        <w:t xml:space="preserve"> and </w:t>
      </w:r>
      <w:r w:rsidR="00A47DBC">
        <w:rPr>
          <w:rFonts w:ascii="Georgia" w:eastAsia="Georgia" w:hAnsi="Georgia" w:cs="Georgia"/>
          <w:sz w:val="18"/>
          <w:szCs w:val="18"/>
        </w:rPr>
        <w:t>P</w:t>
      </w:r>
      <w:r>
        <w:rPr>
          <w:rFonts w:ascii="Georgia" w:eastAsia="Georgia" w:hAnsi="Georgia" w:cs="Georgia"/>
          <w:sz w:val="18"/>
          <w:szCs w:val="18"/>
        </w:rPr>
        <w:t>ost</w:t>
      </w:r>
      <w:r w:rsidR="00A47DBC">
        <w:rPr>
          <w:rFonts w:ascii="Georgia" w:eastAsia="Georgia" w:hAnsi="Georgia" w:cs="Georgia"/>
          <w:sz w:val="18"/>
          <w:szCs w:val="18"/>
        </w:rPr>
        <w:t>-P</w:t>
      </w:r>
      <w:r>
        <w:rPr>
          <w:rFonts w:ascii="Georgia" w:eastAsia="Georgia" w:hAnsi="Georgia" w:cs="Georgia"/>
          <w:sz w:val="18"/>
          <w:szCs w:val="18"/>
        </w:rPr>
        <w:t xml:space="preserve">andemic </w:t>
      </w:r>
      <w:r w:rsidR="00A47DBC">
        <w:rPr>
          <w:rFonts w:ascii="Georgia" w:eastAsia="Georgia" w:hAnsi="Georgia" w:cs="Georgia"/>
          <w:sz w:val="18"/>
          <w:szCs w:val="18"/>
        </w:rPr>
        <w:t>(</w:t>
      </w:r>
      <w:r>
        <w:rPr>
          <w:rFonts w:ascii="Georgia" w:eastAsia="Georgia" w:hAnsi="Georgia" w:cs="Georgia"/>
          <w:sz w:val="18"/>
          <w:szCs w:val="18"/>
        </w:rPr>
        <w:t>Source: authors</w:t>
      </w:r>
      <w:r w:rsidR="00A47DBC">
        <w:rPr>
          <w:rFonts w:ascii="Georgia" w:eastAsia="Georgia" w:hAnsi="Georgia" w:cs="Georgia"/>
          <w:sz w:val="18"/>
          <w:szCs w:val="18"/>
        </w:rPr>
        <w:t>)</w:t>
      </w:r>
    </w:p>
    <w:p w14:paraId="4F887789" w14:textId="77777777" w:rsidR="00695365" w:rsidRDefault="00695365">
      <w:pPr>
        <w:pBdr>
          <w:top w:val="nil"/>
          <w:left w:val="nil"/>
          <w:bottom w:val="nil"/>
          <w:right w:val="nil"/>
          <w:between w:val="nil"/>
        </w:pBdr>
        <w:spacing w:line="228" w:lineRule="auto"/>
        <w:ind w:left="2610"/>
        <w:rPr>
          <w:rFonts w:ascii="Georgia" w:eastAsia="Georgia" w:hAnsi="Georgia" w:cs="Georgia"/>
          <w:sz w:val="18"/>
          <w:szCs w:val="18"/>
        </w:rPr>
      </w:pPr>
    </w:p>
    <w:p w14:paraId="55B8B28B" w14:textId="77777777" w:rsidR="00695365" w:rsidRPr="00FB11B3" w:rsidRDefault="00366511" w:rsidP="00813A59">
      <w:pPr>
        <w:spacing w:before="280" w:after="280" w:line="240" w:lineRule="auto"/>
        <w:ind w:left="2552"/>
        <w:rPr>
          <w:rFonts w:ascii="Georgia" w:eastAsia="Georgia" w:hAnsi="Georgia" w:cs="Georgia"/>
          <w:b/>
          <w:bCs/>
        </w:rPr>
      </w:pPr>
      <w:r w:rsidRPr="00FB11B3">
        <w:rPr>
          <w:rFonts w:ascii="Georgia" w:eastAsia="Georgia" w:hAnsi="Georgia" w:cs="Georgia"/>
          <w:b/>
          <w:bCs/>
        </w:rPr>
        <w:lastRenderedPageBreak/>
        <w:t xml:space="preserve">Contributor statement </w:t>
      </w:r>
    </w:p>
    <w:p w14:paraId="6FCDF36F" w14:textId="4749C009" w:rsidR="00CF43DB" w:rsidRPr="00813A59" w:rsidRDefault="00366511" w:rsidP="00FB11B3">
      <w:pPr>
        <w:spacing w:before="280" w:after="280" w:line="240" w:lineRule="auto"/>
        <w:ind w:left="2552"/>
        <w:rPr>
          <w:rFonts w:ascii="Georgia" w:eastAsia="Georgia" w:hAnsi="Georgia" w:cs="Georgia"/>
        </w:rPr>
      </w:pPr>
      <w:r w:rsidRPr="00813A59">
        <w:rPr>
          <w:rFonts w:ascii="Georgia" w:eastAsia="Georgia" w:hAnsi="Georgia" w:cs="Georgia"/>
        </w:rPr>
        <w:t>The main author was Priya Rachel Boby with co</w:t>
      </w:r>
      <w:r w:rsidR="009919BB" w:rsidRPr="00813A59">
        <w:rPr>
          <w:rFonts w:ascii="Georgia" w:eastAsia="Georgia" w:hAnsi="Georgia" w:cs="Georgia"/>
        </w:rPr>
        <w:t>-</w:t>
      </w:r>
      <w:r w:rsidRPr="00813A59">
        <w:rPr>
          <w:rFonts w:ascii="Georgia" w:eastAsia="Georgia" w:hAnsi="Georgia" w:cs="Georgia"/>
        </w:rPr>
        <w:t>authors Prof Dr. Prabjot Sugga and Prof Dr. Anil Dewan.</w:t>
      </w:r>
    </w:p>
    <w:p w14:paraId="4B00E2DC" w14:textId="77777777" w:rsidR="00CF43DB" w:rsidRDefault="00CF43DB">
      <w:pPr>
        <w:pBdr>
          <w:top w:val="nil"/>
          <w:left w:val="nil"/>
          <w:bottom w:val="nil"/>
          <w:right w:val="nil"/>
          <w:between w:val="nil"/>
        </w:pBdr>
        <w:spacing w:after="120" w:line="228" w:lineRule="auto"/>
        <w:ind w:left="2608"/>
        <w:rPr>
          <w:rFonts w:ascii="Georgia" w:eastAsia="Georgia" w:hAnsi="Georgia" w:cs="Georgia"/>
          <w:sz w:val="18"/>
          <w:szCs w:val="18"/>
        </w:rPr>
      </w:pPr>
    </w:p>
    <w:p w14:paraId="7C0BDD5F" w14:textId="77777777" w:rsidR="001C2556" w:rsidRPr="00636697" w:rsidRDefault="00636697" w:rsidP="00636697">
      <w:pPr>
        <w:adjustRightInd w:val="0"/>
        <w:snapToGrid w:val="0"/>
        <w:spacing w:before="240" w:after="60" w:line="228" w:lineRule="auto"/>
        <w:jc w:val="left"/>
        <w:outlineLvl w:val="0"/>
        <w:rPr>
          <w:rFonts w:ascii="Georgia" w:eastAsia="DengXian" w:hAnsi="Georgia" w:cs="Arial"/>
          <w:b/>
          <w:snapToGrid w:val="0"/>
          <w:szCs w:val="22"/>
          <w:lang w:eastAsia="de-DE" w:bidi="en-US"/>
        </w:rPr>
      </w:pPr>
      <w:r w:rsidRPr="00636697">
        <w:rPr>
          <w:rFonts w:ascii="Georgia" w:eastAsia="DengXian" w:hAnsi="Georgia" w:cs="Arial"/>
          <w:b/>
          <w:snapToGrid w:val="0"/>
          <w:szCs w:val="22"/>
          <w:lang w:eastAsia="de-DE" w:bidi="en-US"/>
        </w:rPr>
        <w:t>References</w:t>
      </w:r>
    </w:p>
    <w:p w14:paraId="6E388257" w14:textId="77777777" w:rsidR="00576E92" w:rsidRPr="00636697" w:rsidRDefault="00E53210"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A92FA6">
        <w:rPr>
          <w:rFonts w:ascii="Georgia" w:eastAsia="Georgia" w:hAnsi="Georgia" w:cs="Georgia"/>
          <w:b/>
          <w:sz w:val="16"/>
          <w:szCs w:val="16"/>
        </w:rPr>
        <w:fldChar w:fldCharType="begin" w:fldLock="1"/>
      </w:r>
      <w:r w:rsidRPr="008C2789">
        <w:rPr>
          <w:rFonts w:ascii="Georgia" w:eastAsia="Georgia" w:hAnsi="Georgia" w:cs="Georgia"/>
          <w:b/>
          <w:sz w:val="16"/>
          <w:szCs w:val="16"/>
          <w:lang w:val="nl-NL"/>
        </w:rPr>
        <w:instrText xml:space="preserve">ADDIN Mendeley Bibliography CSL_BIBLIOGRAPHY </w:instrText>
      </w:r>
      <w:r w:rsidRPr="00A92FA6">
        <w:rPr>
          <w:rFonts w:ascii="Georgia" w:eastAsia="Georgia" w:hAnsi="Georgia" w:cs="Georgia"/>
          <w:b/>
          <w:sz w:val="16"/>
          <w:szCs w:val="16"/>
        </w:rPr>
        <w:fldChar w:fldCharType="separate"/>
      </w:r>
      <w:r w:rsidR="00576E92" w:rsidRPr="008C2789">
        <w:rPr>
          <w:rFonts w:ascii="Georgia" w:hAnsi="Georgia" w:cs="Times New Roman"/>
          <w:noProof/>
          <w:sz w:val="16"/>
          <w:szCs w:val="24"/>
          <w:lang w:val="nl-NL"/>
        </w:rPr>
        <w:t xml:space="preserve">Ahlawat, A., Wiedensohler, A., &amp; Mishra, S. K. (2020). </w:t>
      </w:r>
      <w:r w:rsidR="00576E92" w:rsidRPr="00636697">
        <w:rPr>
          <w:rFonts w:ascii="Georgia" w:hAnsi="Georgia" w:cs="Times New Roman"/>
          <w:noProof/>
          <w:sz w:val="16"/>
          <w:szCs w:val="24"/>
        </w:rPr>
        <w:t xml:space="preserve">An overview on the role of relative humidity in airborne transmission of sars-cov-2 in indoor environments. </w:t>
      </w:r>
      <w:r w:rsidR="00576E92" w:rsidRPr="00636697">
        <w:rPr>
          <w:rFonts w:ascii="Georgia" w:hAnsi="Georgia" w:cs="Times New Roman"/>
          <w:i/>
          <w:iCs/>
          <w:noProof/>
          <w:sz w:val="16"/>
          <w:szCs w:val="24"/>
        </w:rPr>
        <w:t>Aerosol and Air Quality Research</w:t>
      </w:r>
      <w:r w:rsidR="00576E92" w:rsidRPr="00636697">
        <w:rPr>
          <w:rFonts w:ascii="Georgia" w:hAnsi="Georgia" w:cs="Times New Roman"/>
          <w:noProof/>
          <w:sz w:val="16"/>
          <w:szCs w:val="24"/>
        </w:rPr>
        <w:t xml:space="preserve">, </w:t>
      </w:r>
      <w:r w:rsidR="00576E92" w:rsidRPr="00636697">
        <w:rPr>
          <w:rFonts w:ascii="Georgia" w:hAnsi="Georgia" w:cs="Times New Roman"/>
          <w:i/>
          <w:iCs/>
          <w:noProof/>
          <w:sz w:val="16"/>
          <w:szCs w:val="24"/>
        </w:rPr>
        <w:t>20</w:t>
      </w:r>
      <w:r w:rsidR="00576E92" w:rsidRPr="00636697">
        <w:rPr>
          <w:rFonts w:ascii="Georgia" w:hAnsi="Georgia" w:cs="Times New Roman"/>
          <w:noProof/>
          <w:sz w:val="16"/>
          <w:szCs w:val="24"/>
        </w:rPr>
        <w:t>(9), 1856–1861. https://doi.org/10.4209/aaqr.2020.06.0302</w:t>
      </w:r>
    </w:p>
    <w:p w14:paraId="08ED3520"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Amran, M., Makul, N., Fediuk, R., Borovkov, A., Ali, M., &amp; Zeyad, A. M. (2022a). </w:t>
      </w:r>
      <w:r w:rsidRPr="00636697">
        <w:rPr>
          <w:rFonts w:ascii="Georgia" w:hAnsi="Georgia" w:cs="Times New Roman"/>
          <w:i/>
          <w:iCs/>
          <w:noProof/>
          <w:sz w:val="16"/>
          <w:szCs w:val="24"/>
        </w:rPr>
        <w:t>A Review on Building Design as a Biomedical System for Preventing COVID-19 Pandemic</w:t>
      </w:r>
      <w:r w:rsidRPr="00636697">
        <w:rPr>
          <w:rFonts w:ascii="Georgia" w:hAnsi="Georgia" w:cs="Times New Roman"/>
          <w:noProof/>
          <w:sz w:val="16"/>
          <w:szCs w:val="24"/>
        </w:rPr>
        <w:t>.</w:t>
      </w:r>
    </w:p>
    <w:p w14:paraId="0F1BC74C"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Amran, M., Makul, N., Fediuk, R., Borovkov, A., Ali, M., &amp; Zeyad, A. M. (2022b). A Review on Building Design as a Biomedical System for Preventing COVID-19 Pandemic. In </w:t>
      </w:r>
      <w:r w:rsidRPr="00636697">
        <w:rPr>
          <w:rFonts w:ascii="Georgia" w:hAnsi="Georgia" w:cs="Times New Roman"/>
          <w:i/>
          <w:iCs/>
          <w:noProof/>
          <w:sz w:val="16"/>
          <w:szCs w:val="24"/>
        </w:rPr>
        <w:t>Buildings</w:t>
      </w:r>
      <w:r w:rsidRPr="00636697">
        <w:rPr>
          <w:rFonts w:ascii="Georgia" w:hAnsi="Georgia" w:cs="Times New Roman"/>
          <w:noProof/>
          <w:sz w:val="16"/>
          <w:szCs w:val="24"/>
        </w:rPr>
        <w:t xml:space="preserve"> (Vol. 12, Issue 5). MDPI. https://doi.org/10.3390/buildings12050582</w:t>
      </w:r>
    </w:p>
    <w:p w14:paraId="37B96AB4"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ASHRAE. (2020). Ultraviolet lamp systems. </w:t>
      </w:r>
      <w:r w:rsidRPr="00636697">
        <w:rPr>
          <w:rFonts w:ascii="Georgia" w:hAnsi="Georgia" w:cs="Times New Roman"/>
          <w:i/>
          <w:iCs/>
          <w:noProof/>
          <w:sz w:val="16"/>
          <w:szCs w:val="24"/>
        </w:rPr>
        <w:t>ASHRAE</w:t>
      </w:r>
      <w:r w:rsidRPr="00636697">
        <w:rPr>
          <w:rFonts w:ascii="Georgia" w:hAnsi="Georgia" w:cs="Times New Roman"/>
          <w:noProof/>
          <w:sz w:val="16"/>
          <w:szCs w:val="24"/>
        </w:rPr>
        <w:t xml:space="preserve">, </w:t>
      </w:r>
      <w:r w:rsidRPr="00636697">
        <w:rPr>
          <w:rFonts w:ascii="Georgia" w:hAnsi="Georgia" w:cs="Times New Roman"/>
          <w:i/>
          <w:iCs/>
          <w:noProof/>
          <w:sz w:val="16"/>
          <w:szCs w:val="24"/>
        </w:rPr>
        <w:t>CHAPER 17</w:t>
      </w:r>
      <w:r w:rsidRPr="00636697">
        <w:rPr>
          <w:rFonts w:ascii="Georgia" w:hAnsi="Georgia" w:cs="Times New Roman"/>
          <w:noProof/>
          <w:sz w:val="16"/>
          <w:szCs w:val="24"/>
        </w:rPr>
        <w:t>.</w:t>
      </w:r>
    </w:p>
    <w:p w14:paraId="5F3F48CA"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Assadi, I., Guesmi, A., Baaloudj, O., Zeghioud, H., Elfalleh, W., Benhammadi, N., Khezami, L., &amp; Assadi, A. A. (2022). Review on inactivation of airborne viruses using non-thermal plasma technologies: from MS2 to coronavirus. In </w:t>
      </w:r>
      <w:r w:rsidRPr="00636697">
        <w:rPr>
          <w:rFonts w:ascii="Georgia" w:hAnsi="Georgia" w:cs="Times New Roman"/>
          <w:i/>
          <w:iCs/>
          <w:noProof/>
          <w:sz w:val="16"/>
          <w:szCs w:val="24"/>
        </w:rPr>
        <w:t>Environmental Science and Pollution Research</w:t>
      </w:r>
      <w:r w:rsidRPr="00636697">
        <w:rPr>
          <w:rFonts w:ascii="Georgia" w:hAnsi="Georgia" w:cs="Times New Roman"/>
          <w:noProof/>
          <w:sz w:val="16"/>
          <w:szCs w:val="24"/>
        </w:rPr>
        <w:t xml:space="preserve"> (Vol. 29, Issue 4, pp. 4880–4892). Springer Science and Business Media Deutschland GmbH. https://doi.org/10.1007/s11356-021-17486-3</w:t>
      </w:r>
    </w:p>
    <w:p w14:paraId="19D85F94"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Belfiglio, V. J. (2017). Control of epidemics in the Roman army: 27 B.C. - A.D. 476. </w:t>
      </w:r>
      <w:r w:rsidRPr="00636697">
        <w:rPr>
          <w:rFonts w:ascii="Georgia" w:hAnsi="Georgia" w:cs="Times New Roman"/>
          <w:i/>
          <w:iCs/>
          <w:noProof/>
          <w:sz w:val="16"/>
          <w:szCs w:val="24"/>
        </w:rPr>
        <w:t>International Journal Of Community Medicine And Public Health</w:t>
      </w:r>
      <w:r w:rsidRPr="00636697">
        <w:rPr>
          <w:rFonts w:ascii="Georgia" w:hAnsi="Georgia" w:cs="Times New Roman"/>
          <w:noProof/>
          <w:sz w:val="16"/>
          <w:szCs w:val="24"/>
        </w:rPr>
        <w:t xml:space="preserve">, </w:t>
      </w:r>
      <w:r w:rsidRPr="00636697">
        <w:rPr>
          <w:rFonts w:ascii="Georgia" w:hAnsi="Georgia" w:cs="Times New Roman"/>
          <w:i/>
          <w:iCs/>
          <w:noProof/>
          <w:sz w:val="16"/>
          <w:szCs w:val="24"/>
        </w:rPr>
        <w:t>4</w:t>
      </w:r>
      <w:r w:rsidRPr="00636697">
        <w:rPr>
          <w:rFonts w:ascii="Georgia" w:hAnsi="Georgia" w:cs="Times New Roman"/>
          <w:noProof/>
          <w:sz w:val="16"/>
          <w:szCs w:val="24"/>
        </w:rPr>
        <w:t>(5), 1387. https://doi.org/10.18203/2394-6040.ijcmph20171745</w:t>
      </w:r>
    </w:p>
    <w:p w14:paraId="1CD75D5A"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Bhatti, A. Q., &amp; Wahab, A. (2021). Analysis and design of emergency field isolation hospital building using innovative rapidly construction prefabricated units to treat patients infected with COVID </w:t>
      </w:r>
      <w:r w:rsidRPr="00636697">
        <w:rPr>
          <w:rFonts w:ascii="Cambria Math" w:hAnsi="Cambria Math" w:cs="Cambria Math"/>
          <w:noProof/>
          <w:sz w:val="16"/>
          <w:szCs w:val="24"/>
        </w:rPr>
        <w:t>‑</w:t>
      </w:r>
      <w:r w:rsidRPr="00636697">
        <w:rPr>
          <w:rFonts w:ascii="Georgia" w:hAnsi="Georgia" w:cs="Times New Roman"/>
          <w:noProof/>
          <w:sz w:val="16"/>
          <w:szCs w:val="24"/>
        </w:rPr>
        <w:t xml:space="preserve"> 19. </w:t>
      </w:r>
      <w:r w:rsidRPr="00636697">
        <w:rPr>
          <w:rFonts w:ascii="Georgia" w:hAnsi="Georgia" w:cs="Times New Roman"/>
          <w:i/>
          <w:iCs/>
          <w:noProof/>
          <w:sz w:val="16"/>
          <w:szCs w:val="24"/>
        </w:rPr>
        <w:t>Innovative Infrastructure Solutions</w:t>
      </w:r>
      <w:r w:rsidRPr="00636697">
        <w:rPr>
          <w:rFonts w:ascii="Georgia" w:hAnsi="Georgia" w:cs="Times New Roman"/>
          <w:noProof/>
          <w:sz w:val="16"/>
          <w:szCs w:val="24"/>
        </w:rPr>
        <w:t xml:space="preserve">, </w:t>
      </w:r>
      <w:r w:rsidRPr="00636697">
        <w:rPr>
          <w:rFonts w:ascii="Georgia" w:hAnsi="Georgia" w:cs="Times New Roman"/>
          <w:i/>
          <w:iCs/>
          <w:noProof/>
          <w:sz w:val="16"/>
          <w:szCs w:val="24"/>
        </w:rPr>
        <w:t>6</w:t>
      </w:r>
      <w:r w:rsidRPr="00636697">
        <w:rPr>
          <w:rFonts w:ascii="Georgia" w:hAnsi="Georgia" w:cs="Times New Roman"/>
          <w:noProof/>
          <w:sz w:val="16"/>
          <w:szCs w:val="24"/>
        </w:rPr>
        <w:t>(2), 1–22. https://doi.org/10.1007/s41062-020-00453-1</w:t>
      </w:r>
    </w:p>
    <w:p w14:paraId="0D24FC19"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Burpee, H. (2008). History of Healthcare Architecture. </w:t>
      </w:r>
      <w:r w:rsidRPr="00636697">
        <w:rPr>
          <w:rFonts w:ascii="Georgia" w:hAnsi="Georgia" w:cs="Times New Roman"/>
          <w:i/>
          <w:iCs/>
          <w:noProof/>
          <w:sz w:val="16"/>
          <w:szCs w:val="24"/>
        </w:rPr>
        <w:t>Integrated Design Lab Puget Sound</w:t>
      </w:r>
      <w:r w:rsidRPr="00636697">
        <w:rPr>
          <w:rFonts w:ascii="Georgia" w:hAnsi="Georgia" w:cs="Times New Roman"/>
          <w:noProof/>
          <w:sz w:val="16"/>
          <w:szCs w:val="24"/>
        </w:rPr>
        <w:t>, 1–3. http://www.mahlum.com/pdf/historyofhealthcarearchburpee.pdf</w:t>
      </w:r>
    </w:p>
    <w:p w14:paraId="5EE7F99C"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Capolongo, S., Gola, M., Brambilla, A., Morganti, A., Mosca, E. I., &amp; Barach, P. (2020a). COVID-19 and healthcare facilities: A decalogue of design strategies for resilient hospitals. </w:t>
      </w:r>
      <w:r w:rsidRPr="00636697">
        <w:rPr>
          <w:rFonts w:ascii="Georgia" w:hAnsi="Georgia" w:cs="Times New Roman"/>
          <w:i/>
          <w:iCs/>
          <w:noProof/>
          <w:sz w:val="16"/>
          <w:szCs w:val="24"/>
        </w:rPr>
        <w:t>Acta Biomedica</w:t>
      </w:r>
      <w:r w:rsidRPr="00636697">
        <w:rPr>
          <w:rFonts w:ascii="Georgia" w:hAnsi="Georgia" w:cs="Times New Roman"/>
          <w:noProof/>
          <w:sz w:val="16"/>
          <w:szCs w:val="24"/>
        </w:rPr>
        <w:t xml:space="preserve">, </w:t>
      </w:r>
      <w:r w:rsidRPr="00636697">
        <w:rPr>
          <w:rFonts w:ascii="Georgia" w:hAnsi="Georgia" w:cs="Times New Roman"/>
          <w:i/>
          <w:iCs/>
          <w:noProof/>
          <w:sz w:val="16"/>
          <w:szCs w:val="24"/>
        </w:rPr>
        <w:t>91</w:t>
      </w:r>
      <w:r w:rsidRPr="00636697">
        <w:rPr>
          <w:rFonts w:ascii="Georgia" w:hAnsi="Georgia" w:cs="Times New Roman"/>
          <w:noProof/>
          <w:sz w:val="16"/>
          <w:szCs w:val="24"/>
        </w:rPr>
        <w:t>, 50–60. https://doi.org/10.23750/abm.v91i9-S.10117</w:t>
      </w:r>
    </w:p>
    <w:p w14:paraId="045FCE29" w14:textId="77777777" w:rsidR="001C2556"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8C2789">
        <w:rPr>
          <w:rFonts w:ascii="Georgia" w:hAnsi="Georgia" w:cs="Times New Roman"/>
          <w:noProof/>
          <w:sz w:val="16"/>
          <w:szCs w:val="24"/>
          <w:lang w:val="nl-NL"/>
        </w:rPr>
        <w:t xml:space="preserve">Chen, T., &amp; Keeffe, J. O. (2020). </w:t>
      </w:r>
      <w:r w:rsidRPr="00636697">
        <w:rPr>
          <w:rFonts w:ascii="Georgia" w:hAnsi="Georgia" w:cs="Times New Roman"/>
          <w:i/>
          <w:iCs/>
          <w:noProof/>
          <w:sz w:val="16"/>
          <w:szCs w:val="24"/>
        </w:rPr>
        <w:t>COVID-19 in indoor environments — Air and surface disinfection measures Prepared by Current approaches to risk mitigation in indoor spaces</w:t>
      </w:r>
      <w:r w:rsidRPr="00636697">
        <w:rPr>
          <w:rFonts w:ascii="Georgia" w:hAnsi="Georgia" w:cs="Times New Roman"/>
          <w:noProof/>
          <w:sz w:val="16"/>
          <w:szCs w:val="24"/>
        </w:rPr>
        <w:t>. 1–25.</w:t>
      </w:r>
    </w:p>
    <w:p w14:paraId="6A74B15D" w14:textId="77777777" w:rsidR="001C2556" w:rsidRPr="00636697" w:rsidRDefault="001C2556"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eastAsia="Georgia" w:hAnsi="Georgia" w:cs="Georgia"/>
          <w:sz w:val="18"/>
          <w:szCs w:val="18"/>
        </w:rPr>
        <w:t>Condair Ltd. (2007). Healthy air humidity. The importance of air humidification in hospitals and in outpatient settings. Retrieved from: https://www.condair.com/m/0/importance-of-health-airhumidity- in-hospitals-1.pdf</w:t>
      </w:r>
    </w:p>
    <w:p w14:paraId="19C53F03"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8C2789">
        <w:rPr>
          <w:rFonts w:ascii="Georgia" w:hAnsi="Georgia" w:cs="Times New Roman"/>
          <w:noProof/>
          <w:sz w:val="16"/>
          <w:szCs w:val="24"/>
          <w:lang w:val="nl-NL"/>
        </w:rPr>
        <w:t xml:space="preserve">De Ridder-Le Creurer, M. (n.d.). </w:t>
      </w:r>
      <w:r w:rsidRPr="00636697">
        <w:rPr>
          <w:rFonts w:ascii="Georgia" w:hAnsi="Georgia" w:cs="Times New Roman"/>
          <w:i/>
          <w:iCs/>
          <w:noProof/>
          <w:sz w:val="16"/>
          <w:szCs w:val="24"/>
        </w:rPr>
        <w:t>ASSESSING NATURAL VENTILATION AND PASSIVE CLIMATE CONTROL POSSIBILITIES IN A HOSPITAL BUILDING IN THE NETHERLANDS</w:t>
      </w:r>
      <w:r w:rsidRPr="00636697">
        <w:rPr>
          <w:rFonts w:ascii="Georgia" w:hAnsi="Georgia" w:cs="Times New Roman"/>
          <w:noProof/>
          <w:sz w:val="16"/>
          <w:szCs w:val="24"/>
        </w:rPr>
        <w:t>.</w:t>
      </w:r>
    </w:p>
    <w:p w14:paraId="3F0F2417"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Department of Health. (2014). Health Building Note 00-01: General Design Guidance for Healthcare Buildings. </w:t>
      </w:r>
      <w:r w:rsidRPr="00636697">
        <w:rPr>
          <w:rFonts w:ascii="Georgia" w:hAnsi="Georgia" w:cs="Times New Roman"/>
          <w:i/>
          <w:iCs/>
          <w:noProof/>
          <w:sz w:val="16"/>
          <w:szCs w:val="24"/>
        </w:rPr>
        <w:t>Department of Health</w:t>
      </w:r>
      <w:r w:rsidRPr="00636697">
        <w:rPr>
          <w:rFonts w:ascii="Georgia" w:hAnsi="Georgia" w:cs="Times New Roman"/>
          <w:noProof/>
          <w:sz w:val="16"/>
          <w:szCs w:val="24"/>
        </w:rPr>
        <w:t xml:space="preserve">, </w:t>
      </w:r>
      <w:r w:rsidRPr="00636697">
        <w:rPr>
          <w:rFonts w:ascii="Georgia" w:hAnsi="Georgia" w:cs="Times New Roman"/>
          <w:i/>
          <w:iCs/>
          <w:noProof/>
          <w:sz w:val="16"/>
          <w:szCs w:val="24"/>
        </w:rPr>
        <w:t>March</w:t>
      </w:r>
      <w:r w:rsidRPr="00636697">
        <w:rPr>
          <w:rFonts w:ascii="Georgia" w:hAnsi="Georgia" w:cs="Times New Roman"/>
          <w:noProof/>
          <w:sz w:val="16"/>
          <w:szCs w:val="24"/>
        </w:rPr>
        <w:t>, 77. https://www.gov.uk/government/uploads/system/uploads/attachment_data/file/316247/HBN_00-01-2.pdf</w:t>
      </w:r>
    </w:p>
    <w:p w14:paraId="42E86391"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8C2789">
        <w:rPr>
          <w:rFonts w:ascii="Georgia" w:hAnsi="Georgia" w:cs="Times New Roman"/>
          <w:noProof/>
          <w:sz w:val="16"/>
          <w:szCs w:val="24"/>
          <w:lang w:val="nl-NL"/>
        </w:rPr>
        <w:t xml:space="preserve">Dietz, L., Horve, P. F., Coil, D. A., Fretz, M., Eisen, J. A., &amp; Van Den Wymelenberg, K. (2020). </w:t>
      </w:r>
      <w:r w:rsidRPr="00636697">
        <w:rPr>
          <w:rFonts w:ascii="Georgia" w:hAnsi="Georgia" w:cs="Times New Roman"/>
          <w:noProof/>
          <w:sz w:val="16"/>
          <w:szCs w:val="24"/>
        </w:rPr>
        <w:t xml:space="preserve">2019 Novel Coronavirus (COVID-19) Pandemic: Built Environment Considerations To Reduce Transmission. </w:t>
      </w:r>
      <w:r w:rsidRPr="00636697">
        <w:rPr>
          <w:rFonts w:ascii="Georgia" w:hAnsi="Georgia" w:cs="Times New Roman"/>
          <w:i/>
          <w:iCs/>
          <w:noProof/>
          <w:sz w:val="16"/>
          <w:szCs w:val="24"/>
        </w:rPr>
        <w:t>MSystems</w:t>
      </w:r>
      <w:r w:rsidRPr="00636697">
        <w:rPr>
          <w:rFonts w:ascii="Georgia" w:hAnsi="Georgia" w:cs="Times New Roman"/>
          <w:noProof/>
          <w:sz w:val="16"/>
          <w:szCs w:val="24"/>
        </w:rPr>
        <w:t xml:space="preserve">, </w:t>
      </w:r>
      <w:r w:rsidRPr="00636697">
        <w:rPr>
          <w:rFonts w:ascii="Georgia" w:hAnsi="Georgia" w:cs="Times New Roman"/>
          <w:i/>
          <w:iCs/>
          <w:noProof/>
          <w:sz w:val="16"/>
          <w:szCs w:val="24"/>
        </w:rPr>
        <w:t>5</w:t>
      </w:r>
      <w:r w:rsidRPr="00636697">
        <w:rPr>
          <w:rFonts w:ascii="Georgia" w:hAnsi="Georgia" w:cs="Times New Roman"/>
          <w:noProof/>
          <w:sz w:val="16"/>
          <w:szCs w:val="24"/>
        </w:rPr>
        <w:t>(2). https://doi.org/10.1128/msystems.00245-20</w:t>
      </w:r>
    </w:p>
    <w:p w14:paraId="68408A04"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8C2789">
        <w:rPr>
          <w:rFonts w:ascii="Georgia" w:hAnsi="Georgia" w:cs="Times New Roman"/>
          <w:noProof/>
          <w:sz w:val="16"/>
          <w:szCs w:val="24"/>
          <w:lang w:val="nl-NL"/>
        </w:rPr>
        <w:t xml:space="preserve">Eijkelenboom, A., Ortiz, M. A., &amp; Bluyssen, P. M. (2021). </w:t>
      </w:r>
      <w:r w:rsidRPr="00636697">
        <w:rPr>
          <w:rFonts w:ascii="Georgia" w:hAnsi="Georgia" w:cs="Times New Roman"/>
          <w:noProof/>
          <w:sz w:val="16"/>
          <w:szCs w:val="24"/>
        </w:rPr>
        <w:t xml:space="preserve">Preferences for indoor environmental and social comfort of outpatient staff during the COVID-19 pandemic, an explanatory study. </w:t>
      </w:r>
      <w:r w:rsidRPr="00636697">
        <w:rPr>
          <w:rFonts w:ascii="Georgia" w:hAnsi="Georgia" w:cs="Times New Roman"/>
          <w:i/>
          <w:iCs/>
          <w:noProof/>
          <w:sz w:val="16"/>
          <w:szCs w:val="24"/>
        </w:rPr>
        <w:t>International Journal of Environmental Research and Public Health</w:t>
      </w:r>
      <w:r w:rsidRPr="00636697">
        <w:rPr>
          <w:rFonts w:ascii="Georgia" w:hAnsi="Georgia" w:cs="Times New Roman"/>
          <w:noProof/>
          <w:sz w:val="16"/>
          <w:szCs w:val="24"/>
        </w:rPr>
        <w:t xml:space="preserve">, </w:t>
      </w:r>
      <w:r w:rsidRPr="00636697">
        <w:rPr>
          <w:rFonts w:ascii="Georgia" w:hAnsi="Georgia" w:cs="Times New Roman"/>
          <w:i/>
          <w:iCs/>
          <w:noProof/>
          <w:sz w:val="16"/>
          <w:szCs w:val="24"/>
        </w:rPr>
        <w:t>18</w:t>
      </w:r>
      <w:r w:rsidRPr="00636697">
        <w:rPr>
          <w:rFonts w:ascii="Georgia" w:hAnsi="Georgia" w:cs="Times New Roman"/>
          <w:noProof/>
          <w:sz w:val="16"/>
          <w:szCs w:val="24"/>
        </w:rPr>
        <w:t>(14). https://doi.org/10.3390/ijerph18147353</w:t>
      </w:r>
    </w:p>
    <w:p w14:paraId="0EFB9B37"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El Sayed, S., Gomaa, S., Shokry, D., Kabil, A., &amp; Eissa, A. (2021). Sleep in post-COVID-19 recovery period and its impact on different domains of quality of life. </w:t>
      </w:r>
      <w:r w:rsidRPr="00636697">
        <w:rPr>
          <w:rFonts w:ascii="Georgia" w:hAnsi="Georgia" w:cs="Times New Roman"/>
          <w:i/>
          <w:iCs/>
          <w:noProof/>
          <w:sz w:val="16"/>
          <w:szCs w:val="24"/>
        </w:rPr>
        <w:t>The Egyptian Journal of Neurology, Psychiatry and Neurosurgery</w:t>
      </w:r>
      <w:r w:rsidRPr="00636697">
        <w:rPr>
          <w:rFonts w:ascii="Georgia" w:hAnsi="Georgia" w:cs="Times New Roman"/>
          <w:noProof/>
          <w:sz w:val="16"/>
          <w:szCs w:val="24"/>
        </w:rPr>
        <w:t xml:space="preserve">, </w:t>
      </w:r>
      <w:r w:rsidRPr="00636697">
        <w:rPr>
          <w:rFonts w:ascii="Georgia" w:hAnsi="Georgia" w:cs="Times New Roman"/>
          <w:i/>
          <w:iCs/>
          <w:noProof/>
          <w:sz w:val="16"/>
          <w:szCs w:val="24"/>
        </w:rPr>
        <w:t>57</w:t>
      </w:r>
      <w:r w:rsidRPr="00636697">
        <w:rPr>
          <w:rFonts w:ascii="Georgia" w:hAnsi="Georgia" w:cs="Times New Roman"/>
          <w:noProof/>
          <w:sz w:val="16"/>
          <w:szCs w:val="24"/>
        </w:rPr>
        <w:t>(1), 172. https://doi.org/10.1186/s41983-021-00429-7</w:t>
      </w:r>
    </w:p>
    <w:p w14:paraId="657E45B3"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Elias, B., &amp; Bar-yam, Y. (2020). </w:t>
      </w:r>
      <w:r w:rsidRPr="00636697">
        <w:rPr>
          <w:rFonts w:ascii="Georgia" w:hAnsi="Georgia" w:cs="Times New Roman"/>
          <w:i/>
          <w:iCs/>
          <w:noProof/>
          <w:sz w:val="16"/>
          <w:szCs w:val="24"/>
        </w:rPr>
        <w:t>Could Air Filtration Reduce COVID-19 Severity and Spread</w:t>
      </w:r>
      <w:r w:rsidRPr="00636697">
        <w:rPr>
          <w:rFonts w:ascii="Times New Roman" w:hAnsi="Times New Roman" w:cs="Times New Roman"/>
          <w:i/>
          <w:iCs/>
          <w:noProof/>
          <w:sz w:val="16"/>
          <w:szCs w:val="24"/>
        </w:rPr>
        <w:t> </w:t>
      </w:r>
      <w:r w:rsidRPr="00636697">
        <w:rPr>
          <w:rFonts w:ascii="Georgia" w:hAnsi="Georgia" w:cs="Times New Roman"/>
          <w:i/>
          <w:iCs/>
          <w:noProof/>
          <w:sz w:val="16"/>
          <w:szCs w:val="24"/>
        </w:rPr>
        <w:t>?</w:t>
      </w:r>
    </w:p>
    <w:p w14:paraId="3844D120"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Emmanuel, U. (2020). </w:t>
      </w:r>
      <w:r w:rsidRPr="00636697">
        <w:rPr>
          <w:rFonts w:ascii="Georgia" w:hAnsi="Georgia" w:cs="Times New Roman"/>
          <w:i/>
          <w:iCs/>
          <w:noProof/>
          <w:sz w:val="16"/>
          <w:szCs w:val="24"/>
        </w:rPr>
        <w:t>Architectural design strategies for infection prevention and control ( IPC ) in health-care facilities</w:t>
      </w:r>
      <w:r w:rsidRPr="00636697">
        <w:rPr>
          <w:rFonts w:ascii="Times New Roman" w:hAnsi="Times New Roman" w:cs="Times New Roman"/>
          <w:i/>
          <w:iCs/>
          <w:noProof/>
          <w:sz w:val="16"/>
          <w:szCs w:val="24"/>
        </w:rPr>
        <w:t> </w:t>
      </w:r>
      <w:r w:rsidRPr="00636697">
        <w:rPr>
          <w:rFonts w:ascii="Georgia" w:hAnsi="Georgia" w:cs="Times New Roman"/>
          <w:i/>
          <w:iCs/>
          <w:noProof/>
          <w:sz w:val="16"/>
          <w:szCs w:val="24"/>
        </w:rPr>
        <w:t>: towards curbing the spread of Covid-19</w:t>
      </w:r>
      <w:r w:rsidRPr="00636697">
        <w:rPr>
          <w:rFonts w:ascii="Georgia" w:hAnsi="Georgia" w:cs="Times New Roman"/>
          <w:noProof/>
          <w:sz w:val="16"/>
          <w:szCs w:val="24"/>
        </w:rPr>
        <w:t>. 1699–1707.</w:t>
      </w:r>
    </w:p>
    <w:p w14:paraId="43177E15"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Emmanuel, U., Osondu, D., &amp; Kalu, K. C. (2020). </w:t>
      </w:r>
      <w:r w:rsidRPr="00636697">
        <w:rPr>
          <w:rFonts w:ascii="Georgia" w:hAnsi="Georgia" w:cs="Times New Roman"/>
          <w:i/>
          <w:iCs/>
          <w:noProof/>
          <w:sz w:val="16"/>
          <w:szCs w:val="24"/>
        </w:rPr>
        <w:t>Architectural design strategies for infection prevention and control (IPC) in health-care facilities: towards curbing the spread of Covid-19</w:t>
      </w:r>
      <w:r w:rsidRPr="00636697">
        <w:rPr>
          <w:rFonts w:ascii="Georgia" w:hAnsi="Georgia" w:cs="Times New Roman"/>
          <w:noProof/>
          <w:sz w:val="16"/>
          <w:szCs w:val="24"/>
        </w:rPr>
        <w:t>. https://doi.org/10.1007/s40201-020-00580-y/Published</w:t>
      </w:r>
    </w:p>
    <w:p w14:paraId="774CD413"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Epstein, P. R. (2002). </w:t>
      </w:r>
      <w:r w:rsidRPr="00636697">
        <w:rPr>
          <w:rFonts w:ascii="Georgia" w:hAnsi="Georgia" w:cs="Times New Roman"/>
          <w:i/>
          <w:iCs/>
          <w:noProof/>
          <w:sz w:val="16"/>
          <w:szCs w:val="24"/>
        </w:rPr>
        <w:t>Climate Change and Infectious Disease</w:t>
      </w:r>
      <w:r w:rsidRPr="00636697">
        <w:rPr>
          <w:rFonts w:ascii="Times New Roman" w:hAnsi="Times New Roman" w:cs="Times New Roman"/>
          <w:i/>
          <w:iCs/>
          <w:noProof/>
          <w:sz w:val="16"/>
          <w:szCs w:val="24"/>
        </w:rPr>
        <w:t> </w:t>
      </w:r>
      <w:r w:rsidRPr="00636697">
        <w:rPr>
          <w:rFonts w:ascii="Georgia" w:hAnsi="Georgia" w:cs="Times New Roman"/>
          <w:i/>
          <w:iCs/>
          <w:noProof/>
          <w:sz w:val="16"/>
          <w:szCs w:val="24"/>
        </w:rPr>
        <w:t>: Stormy Weather Ahead</w:t>
      </w:r>
      <w:r w:rsidRPr="00636697">
        <w:rPr>
          <w:rFonts w:ascii="Times New Roman" w:hAnsi="Times New Roman" w:cs="Times New Roman"/>
          <w:i/>
          <w:iCs/>
          <w:noProof/>
          <w:sz w:val="16"/>
          <w:szCs w:val="24"/>
        </w:rPr>
        <w:t> </w:t>
      </w:r>
      <w:r w:rsidRPr="00636697">
        <w:rPr>
          <w:rFonts w:ascii="Georgia" w:hAnsi="Georgia" w:cs="Times New Roman"/>
          <w:i/>
          <w:iCs/>
          <w:noProof/>
          <w:sz w:val="16"/>
          <w:szCs w:val="24"/>
        </w:rPr>
        <w:t>?</w:t>
      </w:r>
      <w:r w:rsidRPr="00636697">
        <w:rPr>
          <w:rFonts w:ascii="Georgia" w:hAnsi="Georgia" w:cs="Times New Roman"/>
          <w:noProof/>
          <w:sz w:val="16"/>
          <w:szCs w:val="24"/>
        </w:rPr>
        <w:t xml:space="preserve"> </w:t>
      </w:r>
      <w:r w:rsidRPr="00636697">
        <w:rPr>
          <w:rFonts w:ascii="Georgia" w:hAnsi="Georgia" w:cs="Times New Roman"/>
          <w:i/>
          <w:iCs/>
          <w:noProof/>
          <w:sz w:val="16"/>
          <w:szCs w:val="24"/>
        </w:rPr>
        <w:t>13</w:t>
      </w:r>
      <w:r w:rsidRPr="00636697">
        <w:rPr>
          <w:rFonts w:ascii="Georgia" w:hAnsi="Georgia" w:cs="Times New Roman"/>
          <w:noProof/>
          <w:sz w:val="16"/>
          <w:szCs w:val="24"/>
        </w:rPr>
        <w:t>(4), 373–375.</w:t>
      </w:r>
    </w:p>
    <w:p w14:paraId="5970E50C"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Escombe, A. R., Moore, D. A. J., Gilman, R. H., Navincopa, M., Ticona, E., Sheen, P., Ramirez, R., Quino, W., Mitchell, B., Noakes, C., Martı, C., Gonzalez, A., Friedland, J. S., &amp; Evans, C. A. (2009). </w:t>
      </w:r>
      <w:r w:rsidRPr="00636697">
        <w:rPr>
          <w:rFonts w:ascii="Georgia" w:hAnsi="Georgia" w:cs="Times New Roman"/>
          <w:i/>
          <w:iCs/>
          <w:noProof/>
          <w:sz w:val="16"/>
          <w:szCs w:val="24"/>
        </w:rPr>
        <w:t>Upper-Room Ultraviolet Light and Negative Air Ionization to Prevent Tuberculosis Transmission</w:t>
      </w:r>
      <w:r w:rsidRPr="00636697">
        <w:rPr>
          <w:rFonts w:ascii="Georgia" w:hAnsi="Georgia" w:cs="Times New Roman"/>
          <w:noProof/>
          <w:sz w:val="16"/>
          <w:szCs w:val="24"/>
        </w:rPr>
        <w:t xml:space="preserve">. </w:t>
      </w:r>
      <w:r w:rsidRPr="00636697">
        <w:rPr>
          <w:rFonts w:ascii="Georgia" w:hAnsi="Georgia" w:cs="Times New Roman"/>
          <w:i/>
          <w:iCs/>
          <w:noProof/>
          <w:sz w:val="16"/>
          <w:szCs w:val="24"/>
        </w:rPr>
        <w:t>6</w:t>
      </w:r>
      <w:r w:rsidRPr="00636697">
        <w:rPr>
          <w:rFonts w:ascii="Georgia" w:hAnsi="Georgia" w:cs="Times New Roman"/>
          <w:noProof/>
          <w:sz w:val="16"/>
          <w:szCs w:val="24"/>
        </w:rPr>
        <w:t>(3). https://doi.org/10.1371/journal.pmed.1000043</w:t>
      </w:r>
    </w:p>
    <w:p w14:paraId="5B0FD8D8" w14:textId="77777777" w:rsidR="001C2556"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Garg, A. (2021). Preparedness of Hospitals Post COVID-19 Era. 2(1), 22–25.</w:t>
      </w:r>
    </w:p>
    <w:p w14:paraId="09FECE5C" w14:textId="77777777" w:rsidR="001C2556" w:rsidRPr="00636697" w:rsidRDefault="001C2556"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Garg A. &amp; Dewan A. (2022) Manuel of hospital planning and design.</w:t>
      </w:r>
    </w:p>
    <w:p w14:paraId="0F3F4484"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Gbadamosi, A.-Q., Oyedele, L., Olawale, O., &amp; Abioye, S. (2020). Offsite Construction for Emergencies: A focus on Isolation Space Creation (ISC) measures for the COVID-19 pandemic. </w:t>
      </w:r>
      <w:r w:rsidRPr="00636697">
        <w:rPr>
          <w:rFonts w:ascii="Georgia" w:hAnsi="Georgia" w:cs="Times New Roman"/>
          <w:i/>
          <w:iCs/>
          <w:noProof/>
          <w:sz w:val="16"/>
          <w:szCs w:val="24"/>
        </w:rPr>
        <w:t>Progress in Disaster Science</w:t>
      </w:r>
      <w:r w:rsidRPr="00636697">
        <w:rPr>
          <w:rFonts w:ascii="Georgia" w:hAnsi="Georgia" w:cs="Times New Roman"/>
          <w:noProof/>
          <w:sz w:val="16"/>
          <w:szCs w:val="24"/>
        </w:rPr>
        <w:t xml:space="preserve">, </w:t>
      </w:r>
      <w:r w:rsidRPr="00636697">
        <w:rPr>
          <w:rFonts w:ascii="Georgia" w:hAnsi="Georgia" w:cs="Times New Roman"/>
          <w:i/>
          <w:iCs/>
          <w:noProof/>
          <w:sz w:val="16"/>
          <w:szCs w:val="24"/>
        </w:rPr>
        <w:t>8</w:t>
      </w:r>
      <w:r w:rsidRPr="00636697">
        <w:rPr>
          <w:rFonts w:ascii="Georgia" w:hAnsi="Georgia" w:cs="Times New Roman"/>
          <w:noProof/>
          <w:sz w:val="16"/>
          <w:szCs w:val="24"/>
        </w:rPr>
        <w:t>, 100130. https://doi.org/10.1016/j.pdisas.2020.100130</w:t>
      </w:r>
    </w:p>
    <w:p w14:paraId="09342C10"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He, L., Lu, F., Du, X., Long, D., Sang, C., Tang, R., Dong, J., Guo, M., &amp; Ma, C. (2022). Impact of COVID-19 Pandemic on Hospital Admissions of Acute Coronary Syndrome: A Beijing Inpatient Database Study. </w:t>
      </w:r>
      <w:r w:rsidRPr="00636697">
        <w:rPr>
          <w:rFonts w:ascii="Georgia" w:hAnsi="Georgia" w:cs="Times New Roman"/>
          <w:i/>
          <w:iCs/>
          <w:noProof/>
          <w:sz w:val="16"/>
          <w:szCs w:val="24"/>
        </w:rPr>
        <w:t>The Lancet Regional Health - Western Pacific</w:t>
      </w:r>
      <w:r w:rsidRPr="00636697">
        <w:rPr>
          <w:rFonts w:ascii="Georgia" w:hAnsi="Georgia" w:cs="Times New Roman"/>
          <w:noProof/>
          <w:sz w:val="16"/>
          <w:szCs w:val="24"/>
        </w:rPr>
        <w:t xml:space="preserve">, </w:t>
      </w:r>
      <w:r w:rsidRPr="00636697">
        <w:rPr>
          <w:rFonts w:ascii="Georgia" w:hAnsi="Georgia" w:cs="Times New Roman"/>
          <w:i/>
          <w:iCs/>
          <w:noProof/>
          <w:sz w:val="16"/>
          <w:szCs w:val="24"/>
        </w:rPr>
        <w:t>19</w:t>
      </w:r>
      <w:r w:rsidRPr="00636697">
        <w:rPr>
          <w:rFonts w:ascii="Georgia" w:hAnsi="Georgia" w:cs="Times New Roman"/>
          <w:noProof/>
          <w:sz w:val="16"/>
          <w:szCs w:val="24"/>
        </w:rPr>
        <w:t>, 100335. https://doi.org/10.1016/j.lanwpc.2021.100335</w:t>
      </w:r>
    </w:p>
    <w:p w14:paraId="318B0674"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Horimoto, T., &amp; Kawaoka, Y. (2005). Influenza: Lessons from past pandemics, warnings from current incidents. In </w:t>
      </w:r>
      <w:r w:rsidRPr="00636697">
        <w:rPr>
          <w:rFonts w:ascii="Georgia" w:hAnsi="Georgia" w:cs="Times New Roman"/>
          <w:i/>
          <w:iCs/>
          <w:noProof/>
          <w:sz w:val="16"/>
          <w:szCs w:val="24"/>
        </w:rPr>
        <w:t>Nature Reviews Microbiology</w:t>
      </w:r>
      <w:r w:rsidRPr="00636697">
        <w:rPr>
          <w:rFonts w:ascii="Georgia" w:hAnsi="Georgia" w:cs="Times New Roman"/>
          <w:noProof/>
          <w:sz w:val="16"/>
          <w:szCs w:val="24"/>
        </w:rPr>
        <w:t xml:space="preserve"> (Vol. 3, Issue 8, pp. 591–600). https://doi.org/10.1038/nrmicro1208</w:t>
      </w:r>
    </w:p>
    <w:p w14:paraId="3D836329"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Lai, A. C. K., Mui, K. W., Wong, L. T., &amp; Law, L. Y. (2009). An evaluation model for indoor environmental quality (IEQ) acceptance in residential buildings. </w:t>
      </w:r>
      <w:r w:rsidRPr="00636697">
        <w:rPr>
          <w:rFonts w:ascii="Georgia" w:hAnsi="Georgia" w:cs="Times New Roman"/>
          <w:i/>
          <w:iCs/>
          <w:noProof/>
          <w:sz w:val="16"/>
          <w:szCs w:val="24"/>
        </w:rPr>
        <w:t>Energy and Buildings</w:t>
      </w:r>
      <w:r w:rsidRPr="00636697">
        <w:rPr>
          <w:rFonts w:ascii="Georgia" w:hAnsi="Georgia" w:cs="Times New Roman"/>
          <w:noProof/>
          <w:sz w:val="16"/>
          <w:szCs w:val="24"/>
        </w:rPr>
        <w:t xml:space="preserve">, </w:t>
      </w:r>
      <w:r w:rsidRPr="00636697">
        <w:rPr>
          <w:rFonts w:ascii="Georgia" w:hAnsi="Georgia" w:cs="Times New Roman"/>
          <w:i/>
          <w:iCs/>
          <w:noProof/>
          <w:sz w:val="16"/>
          <w:szCs w:val="24"/>
        </w:rPr>
        <w:t>41</w:t>
      </w:r>
      <w:r w:rsidRPr="00636697">
        <w:rPr>
          <w:rFonts w:ascii="Georgia" w:hAnsi="Georgia" w:cs="Times New Roman"/>
          <w:noProof/>
          <w:sz w:val="16"/>
          <w:szCs w:val="24"/>
        </w:rPr>
        <w:t>(9), 930–936. https://doi.org/10.1016/j.enbuild.2009.03.016</w:t>
      </w:r>
    </w:p>
    <w:p w14:paraId="747FFF9F"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Logan, C., Willis, J., Logan, C., &amp; Willis, J. (2010). </w:t>
      </w:r>
      <w:r w:rsidRPr="00636697">
        <w:rPr>
          <w:rFonts w:ascii="Georgia" w:hAnsi="Georgia" w:cs="Times New Roman"/>
          <w:i/>
          <w:iCs/>
          <w:noProof/>
          <w:sz w:val="16"/>
          <w:szCs w:val="24"/>
        </w:rPr>
        <w:t>International Travel as Medical Research</w:t>
      </w:r>
      <w:r w:rsidRPr="00636697">
        <w:rPr>
          <w:rFonts w:ascii="Times New Roman" w:hAnsi="Times New Roman" w:cs="Times New Roman"/>
          <w:i/>
          <w:iCs/>
          <w:noProof/>
          <w:sz w:val="16"/>
          <w:szCs w:val="24"/>
        </w:rPr>
        <w:t> </w:t>
      </w:r>
      <w:r w:rsidRPr="00636697">
        <w:rPr>
          <w:rFonts w:ascii="Georgia" w:hAnsi="Georgia" w:cs="Times New Roman"/>
          <w:i/>
          <w:iCs/>
          <w:noProof/>
          <w:sz w:val="16"/>
          <w:szCs w:val="24"/>
        </w:rPr>
        <w:t>: Architecture and the Modern Hospital Published by</w:t>
      </w:r>
      <w:r w:rsidRPr="00636697">
        <w:rPr>
          <w:rFonts w:ascii="Times New Roman" w:hAnsi="Times New Roman" w:cs="Times New Roman"/>
          <w:i/>
          <w:iCs/>
          <w:noProof/>
          <w:sz w:val="16"/>
          <w:szCs w:val="24"/>
        </w:rPr>
        <w:t> </w:t>
      </w:r>
      <w:r w:rsidRPr="00636697">
        <w:rPr>
          <w:rFonts w:ascii="Georgia" w:hAnsi="Georgia" w:cs="Times New Roman"/>
          <w:i/>
          <w:iCs/>
          <w:noProof/>
          <w:sz w:val="16"/>
          <w:szCs w:val="24"/>
        </w:rPr>
        <w:t>: Australian and New Zealand Society of the History of Medicine , Inc International Travel as Medical Research</w:t>
      </w:r>
      <w:r w:rsidRPr="00636697">
        <w:rPr>
          <w:rFonts w:ascii="Times New Roman" w:hAnsi="Times New Roman" w:cs="Times New Roman"/>
          <w:i/>
          <w:iCs/>
          <w:noProof/>
          <w:sz w:val="16"/>
          <w:szCs w:val="24"/>
        </w:rPr>
        <w:t> </w:t>
      </w:r>
      <w:r w:rsidRPr="00636697">
        <w:rPr>
          <w:rFonts w:ascii="Georgia" w:hAnsi="Georgia" w:cs="Times New Roman"/>
          <w:i/>
          <w:iCs/>
          <w:noProof/>
          <w:sz w:val="16"/>
          <w:szCs w:val="24"/>
        </w:rPr>
        <w:t>:</w:t>
      </w:r>
      <w:r w:rsidRPr="00636697">
        <w:rPr>
          <w:rFonts w:ascii="Georgia" w:hAnsi="Georgia" w:cs="Times New Roman"/>
          <w:noProof/>
          <w:sz w:val="16"/>
          <w:szCs w:val="24"/>
        </w:rPr>
        <w:t xml:space="preserve"> </w:t>
      </w:r>
      <w:r w:rsidRPr="00636697">
        <w:rPr>
          <w:rFonts w:ascii="Georgia" w:hAnsi="Georgia" w:cs="Times New Roman"/>
          <w:i/>
          <w:iCs/>
          <w:noProof/>
          <w:sz w:val="16"/>
          <w:szCs w:val="24"/>
        </w:rPr>
        <w:t>12</w:t>
      </w:r>
      <w:r w:rsidRPr="00636697">
        <w:rPr>
          <w:rFonts w:ascii="Georgia" w:hAnsi="Georgia" w:cs="Times New Roman"/>
          <w:noProof/>
          <w:sz w:val="16"/>
          <w:szCs w:val="24"/>
        </w:rPr>
        <w:t>(2), 116–133.</w:t>
      </w:r>
    </w:p>
    <w:p w14:paraId="6D7E6DE5"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Luis, P. and. (2020). </w:t>
      </w:r>
      <w:r w:rsidRPr="00636697">
        <w:rPr>
          <w:rFonts w:ascii="Georgia" w:hAnsi="Georgia" w:cs="Times New Roman"/>
          <w:i/>
          <w:iCs/>
          <w:noProof/>
          <w:sz w:val="16"/>
          <w:szCs w:val="24"/>
        </w:rPr>
        <w:t>COVID-19 Could Leverage a Sustainable Built Environment</w:t>
      </w:r>
      <w:r w:rsidRPr="00636697">
        <w:rPr>
          <w:rFonts w:ascii="Georgia" w:hAnsi="Georgia" w:cs="Times New Roman"/>
          <w:noProof/>
          <w:sz w:val="16"/>
          <w:szCs w:val="24"/>
        </w:rPr>
        <w:t>.</w:t>
      </w:r>
    </w:p>
    <w:p w14:paraId="264AE334"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Łukasik, M., &amp; Porębska, A. (2022). Responsiveness and Adaptability of Healthcare Facilities in Emergency Scenarios: COVID-19 Experience. </w:t>
      </w:r>
      <w:r w:rsidRPr="00636697">
        <w:rPr>
          <w:rFonts w:ascii="Georgia" w:hAnsi="Georgia" w:cs="Times New Roman"/>
          <w:i/>
          <w:iCs/>
          <w:noProof/>
          <w:sz w:val="16"/>
          <w:szCs w:val="24"/>
        </w:rPr>
        <w:t>International Journal of Environmental Research and Public Health</w:t>
      </w:r>
      <w:r w:rsidRPr="00636697">
        <w:rPr>
          <w:rFonts w:ascii="Georgia" w:hAnsi="Georgia" w:cs="Times New Roman"/>
          <w:noProof/>
          <w:sz w:val="16"/>
          <w:szCs w:val="24"/>
        </w:rPr>
        <w:t xml:space="preserve">, </w:t>
      </w:r>
      <w:r w:rsidRPr="00636697">
        <w:rPr>
          <w:rFonts w:ascii="Georgia" w:hAnsi="Georgia" w:cs="Times New Roman"/>
          <w:i/>
          <w:iCs/>
          <w:noProof/>
          <w:sz w:val="16"/>
          <w:szCs w:val="24"/>
        </w:rPr>
        <w:t>19</w:t>
      </w:r>
      <w:r w:rsidRPr="00636697">
        <w:rPr>
          <w:rFonts w:ascii="Georgia" w:hAnsi="Georgia" w:cs="Times New Roman"/>
          <w:noProof/>
          <w:sz w:val="16"/>
          <w:szCs w:val="24"/>
        </w:rPr>
        <w:t>(2). https://doi.org/10.3390/ijerph19020675</w:t>
      </w:r>
    </w:p>
    <w:p w14:paraId="21FB02DB"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Megahed, N. A., &amp; Ghoneim, E. M. (2020). </w:t>
      </w:r>
      <w:r w:rsidRPr="00636697">
        <w:rPr>
          <w:rFonts w:ascii="Georgia" w:hAnsi="Georgia" w:cs="Times New Roman"/>
          <w:i/>
          <w:iCs/>
          <w:noProof/>
          <w:sz w:val="16"/>
          <w:szCs w:val="24"/>
        </w:rPr>
        <w:t xml:space="preserve">Since January 2020 Elsevier has created a COVID-19 resource centre with free information </w:t>
      </w:r>
      <w:r w:rsidRPr="00636697">
        <w:rPr>
          <w:rFonts w:ascii="Georgia" w:hAnsi="Georgia" w:cs="Times New Roman"/>
          <w:i/>
          <w:iCs/>
          <w:noProof/>
          <w:sz w:val="16"/>
          <w:szCs w:val="24"/>
        </w:rPr>
        <w:lastRenderedPageBreak/>
        <w:t xml:space="preserve">in English and Mandarin on the novel coronavirus COVID- 19 . The COVID-19 resource centre is hosted on Elsevier Connect , the company ’ s public news and information </w:t>
      </w:r>
      <w:r w:rsidRPr="00636697">
        <w:rPr>
          <w:rFonts w:ascii="Georgia" w:hAnsi="Georgia" w:cs="Times New Roman"/>
          <w:noProof/>
          <w:sz w:val="16"/>
          <w:szCs w:val="24"/>
        </w:rPr>
        <w:t xml:space="preserve">. </w:t>
      </w:r>
      <w:r w:rsidRPr="00636697">
        <w:rPr>
          <w:rFonts w:ascii="Georgia" w:hAnsi="Georgia" w:cs="Times New Roman"/>
          <w:i/>
          <w:iCs/>
          <w:noProof/>
          <w:sz w:val="16"/>
          <w:szCs w:val="24"/>
        </w:rPr>
        <w:t>January</w:t>
      </w:r>
      <w:r w:rsidRPr="00636697">
        <w:rPr>
          <w:rFonts w:ascii="Georgia" w:hAnsi="Georgia" w:cs="Times New Roman"/>
          <w:noProof/>
          <w:sz w:val="16"/>
          <w:szCs w:val="24"/>
        </w:rPr>
        <w:t>.</w:t>
      </w:r>
    </w:p>
    <w:p w14:paraId="35A9518B"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Megahed, N. A., &amp; Ghoneim, E. M. (2021). Indoor Air Quality: Rethinking rules of building design strategies in post-pandemic architecture. </w:t>
      </w:r>
      <w:r w:rsidRPr="00636697">
        <w:rPr>
          <w:rFonts w:ascii="Georgia" w:hAnsi="Georgia" w:cs="Times New Roman"/>
          <w:i/>
          <w:iCs/>
          <w:noProof/>
          <w:sz w:val="16"/>
          <w:szCs w:val="24"/>
        </w:rPr>
        <w:t>Environmental Research</w:t>
      </w:r>
      <w:r w:rsidRPr="00636697">
        <w:rPr>
          <w:rFonts w:ascii="Georgia" w:hAnsi="Georgia" w:cs="Times New Roman"/>
          <w:noProof/>
          <w:sz w:val="16"/>
          <w:szCs w:val="24"/>
        </w:rPr>
        <w:t xml:space="preserve">, </w:t>
      </w:r>
      <w:r w:rsidRPr="00636697">
        <w:rPr>
          <w:rFonts w:ascii="Georgia" w:hAnsi="Georgia" w:cs="Times New Roman"/>
          <w:i/>
          <w:iCs/>
          <w:noProof/>
          <w:sz w:val="16"/>
          <w:szCs w:val="24"/>
        </w:rPr>
        <w:t>193</w:t>
      </w:r>
      <w:r w:rsidRPr="00636697">
        <w:rPr>
          <w:rFonts w:ascii="Georgia" w:hAnsi="Georgia" w:cs="Times New Roman"/>
          <w:noProof/>
          <w:sz w:val="16"/>
          <w:szCs w:val="24"/>
        </w:rPr>
        <w:t>. https://doi.org/10.1016/j.envres.2020.110471</w:t>
      </w:r>
    </w:p>
    <w:p w14:paraId="3BAA0E00"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Memarzadeh, F., Jiang, Z., &amp; Xu, W. (2004). Analysis of efficacy of UVGI inactivation of airborne organisms using Eulerian and Lagrangian approaches. </w:t>
      </w:r>
      <w:r w:rsidRPr="00636697">
        <w:rPr>
          <w:rFonts w:ascii="Georgia" w:hAnsi="Georgia" w:cs="Times New Roman"/>
          <w:i/>
          <w:iCs/>
          <w:noProof/>
          <w:sz w:val="16"/>
          <w:szCs w:val="24"/>
        </w:rPr>
        <w:t>IAQ Conference</w:t>
      </w:r>
      <w:r w:rsidRPr="00636697">
        <w:rPr>
          <w:rFonts w:ascii="Georgia" w:hAnsi="Georgia" w:cs="Times New Roman"/>
          <w:noProof/>
          <w:sz w:val="16"/>
          <w:szCs w:val="24"/>
        </w:rPr>
        <w:t xml:space="preserve">, </w:t>
      </w:r>
      <w:r w:rsidRPr="00636697">
        <w:rPr>
          <w:rFonts w:ascii="Georgia" w:hAnsi="Georgia" w:cs="Times New Roman"/>
          <w:i/>
          <w:iCs/>
          <w:noProof/>
          <w:sz w:val="16"/>
          <w:szCs w:val="24"/>
        </w:rPr>
        <w:t>2002</w:t>
      </w:r>
      <w:r w:rsidRPr="00636697">
        <w:rPr>
          <w:rFonts w:ascii="Georgia" w:hAnsi="Georgia" w:cs="Times New Roman"/>
          <w:noProof/>
          <w:sz w:val="16"/>
          <w:szCs w:val="24"/>
        </w:rPr>
        <w:t>, 1–6.</w:t>
      </w:r>
    </w:p>
    <w:p w14:paraId="05E7DAF0"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Memarzadeh, F., Olmsted, R. N., &amp; Bartley, J. M. (2010). Applications of ultraviolet germicidal irradiation disinfection in health care facilities: Effective adjunct, but not stand-alone technology. </w:t>
      </w:r>
      <w:r w:rsidRPr="00636697">
        <w:rPr>
          <w:rFonts w:ascii="Georgia" w:hAnsi="Georgia" w:cs="Times New Roman"/>
          <w:i/>
          <w:iCs/>
          <w:noProof/>
          <w:sz w:val="16"/>
          <w:szCs w:val="24"/>
        </w:rPr>
        <w:t>American Journal of Infection Control</w:t>
      </w:r>
      <w:r w:rsidRPr="00636697">
        <w:rPr>
          <w:rFonts w:ascii="Georgia" w:hAnsi="Georgia" w:cs="Times New Roman"/>
          <w:noProof/>
          <w:sz w:val="16"/>
          <w:szCs w:val="24"/>
        </w:rPr>
        <w:t xml:space="preserve">, </w:t>
      </w:r>
      <w:r w:rsidRPr="00636697">
        <w:rPr>
          <w:rFonts w:ascii="Georgia" w:hAnsi="Georgia" w:cs="Times New Roman"/>
          <w:i/>
          <w:iCs/>
          <w:noProof/>
          <w:sz w:val="16"/>
          <w:szCs w:val="24"/>
        </w:rPr>
        <w:t>38</w:t>
      </w:r>
      <w:r w:rsidRPr="00636697">
        <w:rPr>
          <w:rFonts w:ascii="Georgia" w:hAnsi="Georgia" w:cs="Times New Roman"/>
          <w:noProof/>
          <w:sz w:val="16"/>
          <w:szCs w:val="24"/>
        </w:rPr>
        <w:t>(5 SUPPL.). https://doi.org/10.1016/j.ajic.2010.04.208</w:t>
      </w:r>
    </w:p>
    <w:p w14:paraId="2AC6E0DC"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Menon, V., &amp; George, L. (2021). Response of the health system in Nipah outbreak in Ernakulam district: A qualitative analysis. </w:t>
      </w:r>
      <w:r w:rsidRPr="00636697">
        <w:rPr>
          <w:rFonts w:ascii="Georgia" w:hAnsi="Georgia" w:cs="Times New Roman"/>
          <w:i/>
          <w:iCs/>
          <w:noProof/>
          <w:sz w:val="16"/>
          <w:szCs w:val="24"/>
        </w:rPr>
        <w:t>Journal of Family Medicine and Primary Care</w:t>
      </w:r>
      <w:r w:rsidRPr="00636697">
        <w:rPr>
          <w:rFonts w:ascii="Georgia" w:hAnsi="Georgia" w:cs="Times New Roman"/>
          <w:noProof/>
          <w:sz w:val="16"/>
          <w:szCs w:val="24"/>
        </w:rPr>
        <w:t xml:space="preserve">, </w:t>
      </w:r>
      <w:r w:rsidRPr="00636697">
        <w:rPr>
          <w:rFonts w:ascii="Georgia" w:hAnsi="Georgia" w:cs="Times New Roman"/>
          <w:i/>
          <w:iCs/>
          <w:noProof/>
          <w:sz w:val="16"/>
          <w:szCs w:val="24"/>
        </w:rPr>
        <w:t>10</w:t>
      </w:r>
      <w:r w:rsidRPr="00636697">
        <w:rPr>
          <w:rFonts w:ascii="Georgia" w:hAnsi="Georgia" w:cs="Times New Roman"/>
          <w:noProof/>
          <w:sz w:val="16"/>
          <w:szCs w:val="24"/>
        </w:rPr>
        <w:t>(9), 3355. https://doi.org/10.4103/jfmpc.jfmpc_801_21</w:t>
      </w:r>
    </w:p>
    <w:p w14:paraId="2AAD3030"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Meyer, D., Kirk Sell, T., Schoch-Spana, M., Shearer, M. P., Chandler, H., Thomas, E., Rose, D. A., Carbone, E. G., &amp; Toner, E. (2018). Lessons from the domestic Ebola response: Improving health care system resilience to high consequence infectious diseases. </w:t>
      </w:r>
      <w:r w:rsidRPr="00636697">
        <w:rPr>
          <w:rFonts w:ascii="Georgia" w:hAnsi="Georgia" w:cs="Times New Roman"/>
          <w:i/>
          <w:iCs/>
          <w:noProof/>
          <w:sz w:val="16"/>
          <w:szCs w:val="24"/>
        </w:rPr>
        <w:t>American Journal of Infection Control</w:t>
      </w:r>
      <w:r w:rsidRPr="00636697">
        <w:rPr>
          <w:rFonts w:ascii="Georgia" w:hAnsi="Georgia" w:cs="Times New Roman"/>
          <w:noProof/>
          <w:sz w:val="16"/>
          <w:szCs w:val="24"/>
        </w:rPr>
        <w:t xml:space="preserve">, </w:t>
      </w:r>
      <w:r w:rsidRPr="00636697">
        <w:rPr>
          <w:rFonts w:ascii="Georgia" w:hAnsi="Georgia" w:cs="Times New Roman"/>
          <w:i/>
          <w:iCs/>
          <w:noProof/>
          <w:sz w:val="16"/>
          <w:szCs w:val="24"/>
        </w:rPr>
        <w:t>46</w:t>
      </w:r>
      <w:r w:rsidRPr="00636697">
        <w:rPr>
          <w:rFonts w:ascii="Georgia" w:hAnsi="Georgia" w:cs="Times New Roman"/>
          <w:noProof/>
          <w:sz w:val="16"/>
          <w:szCs w:val="24"/>
        </w:rPr>
        <w:t>(5), 533–537. https://doi.org/10.1016/j.ajic.2017.11.001</w:t>
      </w:r>
    </w:p>
    <w:p w14:paraId="511E7A3A"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8C2789">
        <w:rPr>
          <w:rFonts w:ascii="Georgia" w:hAnsi="Georgia" w:cs="Times New Roman"/>
          <w:noProof/>
          <w:sz w:val="16"/>
          <w:szCs w:val="24"/>
          <w:lang w:val="nl-NL"/>
        </w:rPr>
        <w:t xml:space="preserve">Miedema, E., Lindahl, G., &amp; Elf, M. (2019). </w:t>
      </w:r>
      <w:r w:rsidRPr="00636697">
        <w:rPr>
          <w:rFonts w:ascii="Georgia" w:hAnsi="Georgia" w:cs="Times New Roman"/>
          <w:noProof/>
          <w:sz w:val="16"/>
          <w:szCs w:val="24"/>
        </w:rPr>
        <w:t xml:space="preserve">Conceptualizing Health Promotion in Relation to Outpatient Healthcare Building Design: A Scoping Review. </w:t>
      </w:r>
      <w:r w:rsidRPr="00636697">
        <w:rPr>
          <w:rFonts w:ascii="Georgia" w:hAnsi="Georgia" w:cs="Times New Roman"/>
          <w:i/>
          <w:iCs/>
          <w:noProof/>
          <w:sz w:val="16"/>
          <w:szCs w:val="24"/>
        </w:rPr>
        <w:t>Health Environments Research and Design Journal</w:t>
      </w:r>
      <w:r w:rsidRPr="00636697">
        <w:rPr>
          <w:rFonts w:ascii="Georgia" w:hAnsi="Georgia" w:cs="Times New Roman"/>
          <w:noProof/>
          <w:sz w:val="16"/>
          <w:szCs w:val="24"/>
        </w:rPr>
        <w:t xml:space="preserve">, </w:t>
      </w:r>
      <w:r w:rsidRPr="00636697">
        <w:rPr>
          <w:rFonts w:ascii="Georgia" w:hAnsi="Georgia" w:cs="Times New Roman"/>
          <w:i/>
          <w:iCs/>
          <w:noProof/>
          <w:sz w:val="16"/>
          <w:szCs w:val="24"/>
        </w:rPr>
        <w:t>12</w:t>
      </w:r>
      <w:r w:rsidRPr="00636697">
        <w:rPr>
          <w:rFonts w:ascii="Georgia" w:hAnsi="Georgia" w:cs="Times New Roman"/>
          <w:noProof/>
          <w:sz w:val="16"/>
          <w:szCs w:val="24"/>
        </w:rPr>
        <w:t>(1), 69–86. https://doi.org/10.1177/1937586718796651</w:t>
      </w:r>
    </w:p>
    <w:p w14:paraId="1943E647"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Ministry of Health and Family Welfare. (2012). </w:t>
      </w:r>
      <w:r w:rsidRPr="00636697">
        <w:rPr>
          <w:rFonts w:ascii="Georgia" w:hAnsi="Georgia" w:cs="Times New Roman"/>
          <w:i/>
          <w:iCs/>
          <w:noProof/>
          <w:sz w:val="16"/>
          <w:szCs w:val="24"/>
        </w:rPr>
        <w:t xml:space="preserve">Guidelines for District Hospitals (101 to 500 Bedded) </w:t>
      </w:r>
      <w:r w:rsidRPr="00636697">
        <w:rPr>
          <w:rFonts w:ascii="Georgia" w:hAnsi="Georgia" w:cs="Times New Roman"/>
          <w:noProof/>
          <w:sz w:val="16"/>
          <w:szCs w:val="24"/>
        </w:rPr>
        <w:t xml:space="preserve">. </w:t>
      </w:r>
      <w:r w:rsidRPr="00636697">
        <w:rPr>
          <w:rFonts w:ascii="Georgia" w:hAnsi="Georgia" w:cs="Times New Roman"/>
          <w:i/>
          <w:iCs/>
          <w:noProof/>
          <w:sz w:val="16"/>
          <w:szCs w:val="24"/>
        </w:rPr>
        <w:t>2017</w:t>
      </w:r>
      <w:r w:rsidRPr="00636697">
        <w:rPr>
          <w:rFonts w:ascii="Georgia" w:hAnsi="Georgia" w:cs="Times New Roman"/>
          <w:noProof/>
          <w:sz w:val="16"/>
          <w:szCs w:val="24"/>
        </w:rPr>
        <w:t>(25 November). http://nhm.gov.in/images/pdf/guidelines/iphs/iphs-revised-guidlines-2012/district-hospital.pdf</w:t>
      </w:r>
    </w:p>
    <w:p w14:paraId="5CE5F826"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Morawska, L., Tang, J. W., Bahnfleth, W., Bluyssen, P. M., Boerstra, A., Buonanno, G., Cao, J., Dancer, S., Floto, A., Franchimon, F., Haworth, C., Hogeling, J., Isaxon, C., Jimenez, J. L., Kurnitski, J., Li, Y., Loomans, M., Marks, G., Marr, L. C., … Yao, M. (2020). How can airborne transmission of COVID-19 indoors be minimised? </w:t>
      </w:r>
      <w:r w:rsidRPr="00636697">
        <w:rPr>
          <w:rFonts w:ascii="Georgia" w:hAnsi="Georgia" w:cs="Times New Roman"/>
          <w:i/>
          <w:iCs/>
          <w:noProof/>
          <w:sz w:val="16"/>
          <w:szCs w:val="24"/>
        </w:rPr>
        <w:t>Environment International</w:t>
      </w:r>
      <w:r w:rsidRPr="00636697">
        <w:rPr>
          <w:rFonts w:ascii="Georgia" w:hAnsi="Georgia" w:cs="Times New Roman"/>
          <w:noProof/>
          <w:sz w:val="16"/>
          <w:szCs w:val="24"/>
        </w:rPr>
        <w:t xml:space="preserve">, </w:t>
      </w:r>
      <w:r w:rsidRPr="00636697">
        <w:rPr>
          <w:rFonts w:ascii="Georgia" w:hAnsi="Georgia" w:cs="Times New Roman"/>
          <w:i/>
          <w:iCs/>
          <w:noProof/>
          <w:sz w:val="16"/>
          <w:szCs w:val="24"/>
        </w:rPr>
        <w:t>142</w:t>
      </w:r>
      <w:r w:rsidRPr="00636697">
        <w:rPr>
          <w:rFonts w:ascii="Georgia" w:hAnsi="Georgia" w:cs="Times New Roman"/>
          <w:noProof/>
          <w:sz w:val="16"/>
          <w:szCs w:val="24"/>
        </w:rPr>
        <w:t>(May). https://doi.org/10.1016/j.envint.2020.105832</w:t>
      </w:r>
    </w:p>
    <w:p w14:paraId="7D6DB925"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Mousavi, E. S., Kananizadeh, N., Martinello, R. A., &amp; Sherman, J. D. (2021). COVID-19 Outbreak and Hospital Air Quality: A Systematic Review of Evidence on Air Filtration and Recirculation. </w:t>
      </w:r>
      <w:r w:rsidRPr="00636697">
        <w:rPr>
          <w:rFonts w:ascii="Georgia" w:hAnsi="Georgia" w:cs="Times New Roman"/>
          <w:i/>
          <w:iCs/>
          <w:noProof/>
          <w:sz w:val="16"/>
          <w:szCs w:val="24"/>
        </w:rPr>
        <w:t>Environmental Science and Technology</w:t>
      </w:r>
      <w:r w:rsidRPr="00636697">
        <w:rPr>
          <w:rFonts w:ascii="Georgia" w:hAnsi="Georgia" w:cs="Times New Roman"/>
          <w:noProof/>
          <w:sz w:val="16"/>
          <w:szCs w:val="24"/>
        </w:rPr>
        <w:t xml:space="preserve">, </w:t>
      </w:r>
      <w:r w:rsidRPr="00636697">
        <w:rPr>
          <w:rFonts w:ascii="Georgia" w:hAnsi="Georgia" w:cs="Times New Roman"/>
          <w:i/>
          <w:iCs/>
          <w:noProof/>
          <w:sz w:val="16"/>
          <w:szCs w:val="24"/>
        </w:rPr>
        <w:t>55</w:t>
      </w:r>
      <w:r w:rsidRPr="00636697">
        <w:rPr>
          <w:rFonts w:ascii="Georgia" w:hAnsi="Georgia" w:cs="Times New Roman"/>
          <w:noProof/>
          <w:sz w:val="16"/>
          <w:szCs w:val="24"/>
        </w:rPr>
        <w:t>(7), 4134–4147. https://doi.org/10.1021/acs.est.0c03247</w:t>
      </w:r>
    </w:p>
    <w:p w14:paraId="7564BD7E"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Murphy, A., Kirby, A., Lawlor, A., Drummond, F. J., &amp; Heavin, C. (2022). Mitigating the Impact of the COVID-19 Pandemic on Adult Cancer Patients through Telehealth Adoption: A Systematic Review. </w:t>
      </w:r>
      <w:r w:rsidRPr="00636697">
        <w:rPr>
          <w:rFonts w:ascii="Georgia" w:hAnsi="Georgia" w:cs="Times New Roman"/>
          <w:i/>
          <w:iCs/>
          <w:noProof/>
          <w:sz w:val="16"/>
          <w:szCs w:val="24"/>
        </w:rPr>
        <w:t>Sensors (Basel, Switzerland)</w:t>
      </w:r>
      <w:r w:rsidRPr="00636697">
        <w:rPr>
          <w:rFonts w:ascii="Georgia" w:hAnsi="Georgia" w:cs="Times New Roman"/>
          <w:noProof/>
          <w:sz w:val="16"/>
          <w:szCs w:val="24"/>
        </w:rPr>
        <w:t xml:space="preserve">, </w:t>
      </w:r>
      <w:r w:rsidRPr="00636697">
        <w:rPr>
          <w:rFonts w:ascii="Georgia" w:hAnsi="Georgia" w:cs="Times New Roman"/>
          <w:i/>
          <w:iCs/>
          <w:noProof/>
          <w:sz w:val="16"/>
          <w:szCs w:val="24"/>
        </w:rPr>
        <w:t>22</w:t>
      </w:r>
      <w:r w:rsidRPr="00636697">
        <w:rPr>
          <w:rFonts w:ascii="Georgia" w:hAnsi="Georgia" w:cs="Times New Roman"/>
          <w:noProof/>
          <w:sz w:val="16"/>
          <w:szCs w:val="24"/>
        </w:rPr>
        <w:t>(9), 3598. https://doi.org/10.3390/s22093598</w:t>
      </w:r>
    </w:p>
    <w:p w14:paraId="34C6911F"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Navaratnam, S., Nguyen, K., Selvaranjan, K., Zhang, G., Mendis, P., &amp; Aye, L. (2022). Designing Post COVID-19 Buildings: Approaches for Achieving Healthy Buildings. </w:t>
      </w:r>
      <w:r w:rsidRPr="00636697">
        <w:rPr>
          <w:rFonts w:ascii="Georgia" w:hAnsi="Georgia" w:cs="Times New Roman"/>
          <w:i/>
          <w:iCs/>
          <w:noProof/>
          <w:sz w:val="16"/>
          <w:szCs w:val="24"/>
        </w:rPr>
        <w:t>Buildings</w:t>
      </w:r>
      <w:r w:rsidRPr="00636697">
        <w:rPr>
          <w:rFonts w:ascii="Georgia" w:hAnsi="Georgia" w:cs="Times New Roman"/>
          <w:noProof/>
          <w:sz w:val="16"/>
          <w:szCs w:val="24"/>
        </w:rPr>
        <w:t xml:space="preserve">, </w:t>
      </w:r>
      <w:r w:rsidRPr="00636697">
        <w:rPr>
          <w:rFonts w:ascii="Georgia" w:hAnsi="Georgia" w:cs="Times New Roman"/>
          <w:i/>
          <w:iCs/>
          <w:noProof/>
          <w:sz w:val="16"/>
          <w:szCs w:val="24"/>
        </w:rPr>
        <w:t>12</w:t>
      </w:r>
      <w:r w:rsidRPr="00636697">
        <w:rPr>
          <w:rFonts w:ascii="Georgia" w:hAnsi="Georgia" w:cs="Times New Roman"/>
          <w:noProof/>
          <w:sz w:val="16"/>
          <w:szCs w:val="24"/>
        </w:rPr>
        <w:t>(1). https://doi.org/10.3390/buildings12010074</w:t>
      </w:r>
    </w:p>
    <w:p w14:paraId="40BA1FF6"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Nioi, M., Napoli, P. E., Finco, G., Demontis, R., Fossarello, M., &amp; D’aloja, E. (2021). Fear of the covid-19 and medical liability. Insights from a series of 130 consecutives medico-legal claims evaluated in a single institution during sars-cov-2-related pandemic. </w:t>
      </w:r>
      <w:r w:rsidRPr="00636697">
        <w:rPr>
          <w:rFonts w:ascii="Georgia" w:hAnsi="Georgia" w:cs="Times New Roman"/>
          <w:i/>
          <w:iCs/>
          <w:noProof/>
          <w:sz w:val="16"/>
          <w:szCs w:val="24"/>
        </w:rPr>
        <w:t>Signa Vitae</w:t>
      </w:r>
      <w:r w:rsidRPr="00636697">
        <w:rPr>
          <w:rFonts w:ascii="Georgia" w:hAnsi="Georgia" w:cs="Times New Roman"/>
          <w:noProof/>
          <w:sz w:val="16"/>
          <w:szCs w:val="24"/>
        </w:rPr>
        <w:t xml:space="preserve">, </w:t>
      </w:r>
      <w:r w:rsidRPr="00636697">
        <w:rPr>
          <w:rFonts w:ascii="Georgia" w:hAnsi="Georgia" w:cs="Times New Roman"/>
          <w:i/>
          <w:iCs/>
          <w:noProof/>
          <w:sz w:val="16"/>
          <w:szCs w:val="24"/>
        </w:rPr>
        <w:t>17</w:t>
      </w:r>
      <w:r w:rsidRPr="00636697">
        <w:rPr>
          <w:rFonts w:ascii="Georgia" w:hAnsi="Georgia" w:cs="Times New Roman"/>
          <w:noProof/>
          <w:sz w:val="16"/>
          <w:szCs w:val="24"/>
        </w:rPr>
        <w:t>(4), 79–85. https://doi.org/10.22514/sv.2021.098</w:t>
      </w:r>
    </w:p>
    <w:p w14:paraId="3F690811"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Pinheiro, M. D., &amp; Luís, N. C. (2020). COVID-19 could leverage a sustainable built environment. </w:t>
      </w:r>
      <w:r w:rsidRPr="00636697">
        <w:rPr>
          <w:rFonts w:ascii="Georgia" w:hAnsi="Georgia" w:cs="Times New Roman"/>
          <w:i/>
          <w:iCs/>
          <w:noProof/>
          <w:sz w:val="16"/>
          <w:szCs w:val="24"/>
        </w:rPr>
        <w:t>Sustainability (Switzerland)</w:t>
      </w:r>
      <w:r w:rsidRPr="00636697">
        <w:rPr>
          <w:rFonts w:ascii="Georgia" w:hAnsi="Georgia" w:cs="Times New Roman"/>
          <w:noProof/>
          <w:sz w:val="16"/>
          <w:szCs w:val="24"/>
        </w:rPr>
        <w:t xml:space="preserve">, </w:t>
      </w:r>
      <w:r w:rsidRPr="00636697">
        <w:rPr>
          <w:rFonts w:ascii="Georgia" w:hAnsi="Georgia" w:cs="Times New Roman"/>
          <w:i/>
          <w:iCs/>
          <w:noProof/>
          <w:sz w:val="16"/>
          <w:szCs w:val="24"/>
        </w:rPr>
        <w:t>12</w:t>
      </w:r>
      <w:r w:rsidRPr="00636697">
        <w:rPr>
          <w:rFonts w:ascii="Georgia" w:hAnsi="Georgia" w:cs="Times New Roman"/>
          <w:noProof/>
          <w:sz w:val="16"/>
          <w:szCs w:val="24"/>
        </w:rPr>
        <w:t>(14). https://doi.org/10.3390/su12145863</w:t>
      </w:r>
    </w:p>
    <w:p w14:paraId="3B675D00"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Piret, J., &amp; Boivin, G. (2021). Pandemics Throughout History. In </w:t>
      </w:r>
      <w:r w:rsidRPr="00636697">
        <w:rPr>
          <w:rFonts w:ascii="Georgia" w:hAnsi="Georgia" w:cs="Times New Roman"/>
          <w:i/>
          <w:iCs/>
          <w:noProof/>
          <w:sz w:val="16"/>
          <w:szCs w:val="24"/>
        </w:rPr>
        <w:t>Frontiers in Microbiology</w:t>
      </w:r>
      <w:r w:rsidRPr="00636697">
        <w:rPr>
          <w:rFonts w:ascii="Georgia" w:hAnsi="Georgia" w:cs="Times New Roman"/>
          <w:noProof/>
          <w:sz w:val="16"/>
          <w:szCs w:val="24"/>
        </w:rPr>
        <w:t xml:space="preserve"> (Vol. 11). Frontiers Media S.A. https://doi.org/10.3389/fmicb.2020.631736</w:t>
      </w:r>
    </w:p>
    <w:p w14:paraId="0767A743"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Popovich, K. J., Calfee, D. P., Patel, P. K., Lassiter, S., Rolle, A. J., Hung, L., Saint, S., &amp; Chopra, V. (2019). The centers for disease control and prevention strive initiative: Construction of a national program to reduce health care-associated infections at the local level. </w:t>
      </w:r>
      <w:r w:rsidRPr="00636697">
        <w:rPr>
          <w:rFonts w:ascii="Georgia" w:hAnsi="Georgia" w:cs="Times New Roman"/>
          <w:i/>
          <w:iCs/>
          <w:noProof/>
          <w:sz w:val="16"/>
          <w:szCs w:val="24"/>
        </w:rPr>
        <w:t>Annals of Internal Medicine</w:t>
      </w:r>
      <w:r w:rsidRPr="00636697">
        <w:rPr>
          <w:rFonts w:ascii="Georgia" w:hAnsi="Georgia" w:cs="Times New Roman"/>
          <w:noProof/>
          <w:sz w:val="16"/>
          <w:szCs w:val="24"/>
        </w:rPr>
        <w:t xml:space="preserve">, </w:t>
      </w:r>
      <w:r w:rsidRPr="00636697">
        <w:rPr>
          <w:rFonts w:ascii="Georgia" w:hAnsi="Georgia" w:cs="Times New Roman"/>
          <w:i/>
          <w:iCs/>
          <w:noProof/>
          <w:sz w:val="16"/>
          <w:szCs w:val="24"/>
        </w:rPr>
        <w:t>171</w:t>
      </w:r>
      <w:r w:rsidRPr="00636697">
        <w:rPr>
          <w:rFonts w:ascii="Georgia" w:hAnsi="Georgia" w:cs="Times New Roman"/>
          <w:noProof/>
          <w:sz w:val="16"/>
          <w:szCs w:val="24"/>
        </w:rPr>
        <w:t>(7), S2–S6. https://doi.org/10.7326/M18-3529</w:t>
      </w:r>
    </w:p>
    <w:p w14:paraId="2E887C26"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Priyadarsini, S. L., Suresh, M., &amp; Huisingh, D. (2020). What can we learn from previous pandemics to reduce the frequency of emerging infectious diseases like COVID-19</w:t>
      </w:r>
      <w:r w:rsidRPr="00636697">
        <w:rPr>
          <w:rFonts w:ascii="Times New Roman" w:hAnsi="Times New Roman" w:cs="Times New Roman"/>
          <w:noProof/>
          <w:sz w:val="16"/>
          <w:szCs w:val="24"/>
        </w:rPr>
        <w:t> </w:t>
      </w:r>
      <w:r w:rsidRPr="00636697">
        <w:rPr>
          <w:rFonts w:ascii="Georgia" w:hAnsi="Georgia" w:cs="Times New Roman"/>
          <w:noProof/>
          <w:sz w:val="16"/>
          <w:szCs w:val="24"/>
        </w:rPr>
        <w:t xml:space="preserve">? </w:t>
      </w:r>
      <w:r w:rsidRPr="00636697">
        <w:rPr>
          <w:rFonts w:ascii="Georgia" w:hAnsi="Georgia" w:cs="Times New Roman"/>
          <w:i/>
          <w:iCs/>
          <w:noProof/>
          <w:sz w:val="16"/>
          <w:szCs w:val="24"/>
        </w:rPr>
        <w:t>Global Transitions</w:t>
      </w:r>
      <w:r w:rsidRPr="00636697">
        <w:rPr>
          <w:rFonts w:ascii="Georgia" w:hAnsi="Georgia" w:cs="Times New Roman"/>
          <w:noProof/>
          <w:sz w:val="16"/>
          <w:szCs w:val="24"/>
        </w:rPr>
        <w:t xml:space="preserve">, </w:t>
      </w:r>
      <w:r w:rsidRPr="00636697">
        <w:rPr>
          <w:rFonts w:ascii="Georgia" w:hAnsi="Georgia" w:cs="Times New Roman"/>
          <w:i/>
          <w:iCs/>
          <w:noProof/>
          <w:sz w:val="16"/>
          <w:szCs w:val="24"/>
        </w:rPr>
        <w:t>2</w:t>
      </w:r>
      <w:r w:rsidRPr="00636697">
        <w:rPr>
          <w:rFonts w:ascii="Georgia" w:hAnsi="Georgia" w:cs="Times New Roman"/>
          <w:noProof/>
          <w:sz w:val="16"/>
          <w:szCs w:val="24"/>
        </w:rPr>
        <w:t>, 202–220. https://doi.org/10.1016/j.glt.2020.09.003</w:t>
      </w:r>
    </w:p>
    <w:p w14:paraId="450F8A3B"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Qian, H., Li, Y., Seto, W. H., Ching, P., Ching, W. H., &amp; Sun, H. Q. (2010). Natural ventilation for reducing airborne infection in hospitals. </w:t>
      </w:r>
      <w:r w:rsidRPr="00636697">
        <w:rPr>
          <w:rFonts w:ascii="Georgia" w:hAnsi="Georgia" w:cs="Times New Roman"/>
          <w:i/>
          <w:iCs/>
          <w:noProof/>
          <w:sz w:val="16"/>
          <w:szCs w:val="24"/>
        </w:rPr>
        <w:t>Building and Environment</w:t>
      </w:r>
      <w:r w:rsidRPr="00636697">
        <w:rPr>
          <w:rFonts w:ascii="Georgia" w:hAnsi="Georgia" w:cs="Times New Roman"/>
          <w:noProof/>
          <w:sz w:val="16"/>
          <w:szCs w:val="24"/>
        </w:rPr>
        <w:t xml:space="preserve">, </w:t>
      </w:r>
      <w:r w:rsidRPr="00636697">
        <w:rPr>
          <w:rFonts w:ascii="Georgia" w:hAnsi="Georgia" w:cs="Times New Roman"/>
          <w:i/>
          <w:iCs/>
          <w:noProof/>
          <w:sz w:val="16"/>
          <w:szCs w:val="24"/>
        </w:rPr>
        <w:t>45</w:t>
      </w:r>
      <w:r w:rsidRPr="00636697">
        <w:rPr>
          <w:rFonts w:ascii="Georgia" w:hAnsi="Georgia" w:cs="Times New Roman"/>
          <w:noProof/>
          <w:sz w:val="16"/>
          <w:szCs w:val="24"/>
        </w:rPr>
        <w:t>(3), 559–565. https://doi.org/10.1016/j.buildenv.2009.07.011</w:t>
      </w:r>
    </w:p>
    <w:p w14:paraId="0036DDC4"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Smolova, M., &amp; Smolova, D. (2021). Emergency architecture. Modular construction of healthcare facilities as a response to pandemic outbreak. </w:t>
      </w:r>
      <w:r w:rsidRPr="00636697">
        <w:rPr>
          <w:rFonts w:ascii="Georgia" w:hAnsi="Georgia" w:cs="Times New Roman"/>
          <w:i/>
          <w:iCs/>
          <w:noProof/>
          <w:sz w:val="16"/>
          <w:szCs w:val="24"/>
        </w:rPr>
        <w:t>E3S Web of Conferences</w:t>
      </w:r>
      <w:r w:rsidRPr="00636697">
        <w:rPr>
          <w:rFonts w:ascii="Georgia" w:hAnsi="Georgia" w:cs="Times New Roman"/>
          <w:noProof/>
          <w:sz w:val="16"/>
          <w:szCs w:val="24"/>
        </w:rPr>
        <w:t xml:space="preserve">, </w:t>
      </w:r>
      <w:r w:rsidRPr="00636697">
        <w:rPr>
          <w:rFonts w:ascii="Georgia" w:hAnsi="Georgia" w:cs="Times New Roman"/>
          <w:i/>
          <w:iCs/>
          <w:noProof/>
          <w:sz w:val="16"/>
          <w:szCs w:val="24"/>
        </w:rPr>
        <w:t>274</w:t>
      </w:r>
      <w:r w:rsidRPr="00636697">
        <w:rPr>
          <w:rFonts w:ascii="Georgia" w:hAnsi="Georgia" w:cs="Times New Roman"/>
          <w:noProof/>
          <w:sz w:val="16"/>
          <w:szCs w:val="24"/>
        </w:rPr>
        <w:t>. https://doi.org/10.1051/e3sconf/202127401013</w:t>
      </w:r>
    </w:p>
    <w:p w14:paraId="53E663FF"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Tellier, R. (2006). Review of aerosol transmission of influenza A virus. </w:t>
      </w:r>
      <w:r w:rsidRPr="00636697">
        <w:rPr>
          <w:rFonts w:ascii="Georgia" w:hAnsi="Georgia" w:cs="Times New Roman"/>
          <w:i/>
          <w:iCs/>
          <w:noProof/>
          <w:sz w:val="16"/>
          <w:szCs w:val="24"/>
        </w:rPr>
        <w:t>Emerging Infectious Diseases</w:t>
      </w:r>
      <w:r w:rsidRPr="00636697">
        <w:rPr>
          <w:rFonts w:ascii="Georgia" w:hAnsi="Georgia" w:cs="Times New Roman"/>
          <w:noProof/>
          <w:sz w:val="16"/>
          <w:szCs w:val="24"/>
        </w:rPr>
        <w:t xml:space="preserve">, </w:t>
      </w:r>
      <w:r w:rsidRPr="00636697">
        <w:rPr>
          <w:rFonts w:ascii="Georgia" w:hAnsi="Georgia" w:cs="Times New Roman"/>
          <w:i/>
          <w:iCs/>
          <w:noProof/>
          <w:sz w:val="16"/>
          <w:szCs w:val="24"/>
        </w:rPr>
        <w:t>12</w:t>
      </w:r>
      <w:r w:rsidRPr="00636697">
        <w:rPr>
          <w:rFonts w:ascii="Georgia" w:hAnsi="Georgia" w:cs="Times New Roman"/>
          <w:noProof/>
          <w:sz w:val="16"/>
          <w:szCs w:val="24"/>
        </w:rPr>
        <w:t>(11), 1657–1662. https://doi.org/10.3201/eid1211.060426</w:t>
      </w:r>
    </w:p>
    <w:p w14:paraId="48970587"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Tesler, N. (2018). Evolution of medical architecture. </w:t>
      </w:r>
      <w:r w:rsidRPr="00636697">
        <w:rPr>
          <w:rFonts w:ascii="Georgia" w:hAnsi="Georgia" w:cs="Times New Roman"/>
          <w:i/>
          <w:iCs/>
          <w:noProof/>
          <w:sz w:val="16"/>
          <w:szCs w:val="24"/>
        </w:rPr>
        <w:t>MATEC Web of Conferences</w:t>
      </w:r>
      <w:r w:rsidRPr="00636697">
        <w:rPr>
          <w:rFonts w:ascii="Georgia" w:hAnsi="Georgia" w:cs="Times New Roman"/>
          <w:noProof/>
          <w:sz w:val="16"/>
          <w:szCs w:val="24"/>
        </w:rPr>
        <w:t xml:space="preserve">, </w:t>
      </w:r>
      <w:r w:rsidRPr="00636697">
        <w:rPr>
          <w:rFonts w:ascii="Georgia" w:hAnsi="Georgia" w:cs="Times New Roman"/>
          <w:i/>
          <w:iCs/>
          <w:noProof/>
          <w:sz w:val="16"/>
          <w:szCs w:val="24"/>
        </w:rPr>
        <w:t>170</w:t>
      </w:r>
      <w:r w:rsidRPr="00636697">
        <w:rPr>
          <w:rFonts w:ascii="Georgia" w:hAnsi="Georgia" w:cs="Times New Roman"/>
          <w:noProof/>
          <w:sz w:val="16"/>
          <w:szCs w:val="24"/>
        </w:rPr>
        <w:t>. https://doi.org/10.1051/matecconf/201817003015</w:t>
      </w:r>
    </w:p>
    <w:p w14:paraId="64BBF6BD"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van Doremalen, N., Bushmaker, T., Morris, D. H., Holbrook, M. G., Gamble, A., Williamson, B. N., Tamin, A., Harcourt, J. L., Thornburg, N. J., Gerber, S. I., Lloyd-Smith, J. O., de Wit, E., &amp; Munster, V. J. (2020). Aerosol and surface stability of HCoV-19 (SARS-CoV-2) compared to SARS-CoV-1. </w:t>
      </w:r>
      <w:r w:rsidRPr="00636697">
        <w:rPr>
          <w:rFonts w:ascii="Georgia" w:hAnsi="Georgia" w:cs="Times New Roman"/>
          <w:i/>
          <w:iCs/>
          <w:noProof/>
          <w:sz w:val="16"/>
          <w:szCs w:val="24"/>
        </w:rPr>
        <w:t>MedRxiv</w:t>
      </w:r>
      <w:r w:rsidRPr="00636697">
        <w:rPr>
          <w:rFonts w:ascii="Times New Roman" w:hAnsi="Times New Roman" w:cs="Times New Roman"/>
          <w:i/>
          <w:iCs/>
          <w:noProof/>
          <w:sz w:val="16"/>
          <w:szCs w:val="24"/>
        </w:rPr>
        <w:t> </w:t>
      </w:r>
      <w:r w:rsidRPr="00636697">
        <w:rPr>
          <w:rFonts w:ascii="Georgia" w:hAnsi="Georgia" w:cs="Times New Roman"/>
          <w:i/>
          <w:iCs/>
          <w:noProof/>
          <w:sz w:val="16"/>
          <w:szCs w:val="24"/>
        </w:rPr>
        <w:t>: The Preprint Server for Health Sciences</w:t>
      </w:r>
      <w:r w:rsidRPr="00636697">
        <w:rPr>
          <w:rFonts w:ascii="Georgia" w:hAnsi="Georgia" w:cs="Times New Roman"/>
          <w:noProof/>
          <w:sz w:val="16"/>
          <w:szCs w:val="24"/>
        </w:rPr>
        <w:t>. https://doi.org/10.1101/2020.03.09.20033217</w:t>
      </w:r>
    </w:p>
    <w:p w14:paraId="19F5A3AD" w14:textId="77777777" w:rsidR="00A53C05"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WHO. (2020). Severe Acute Respiratory Infections Treatment Centre. </w:t>
      </w:r>
      <w:r w:rsidRPr="00636697">
        <w:rPr>
          <w:rFonts w:ascii="Georgia" w:hAnsi="Georgia" w:cs="Times New Roman"/>
          <w:i/>
          <w:iCs/>
          <w:noProof/>
          <w:sz w:val="16"/>
          <w:szCs w:val="24"/>
        </w:rPr>
        <w:t>World Health Organization Publications</w:t>
      </w:r>
      <w:r w:rsidRPr="00636697">
        <w:rPr>
          <w:rFonts w:ascii="Georgia" w:hAnsi="Georgia" w:cs="Times New Roman"/>
          <w:noProof/>
          <w:sz w:val="16"/>
          <w:szCs w:val="24"/>
        </w:rPr>
        <w:t xml:space="preserve">, </w:t>
      </w:r>
      <w:r w:rsidRPr="00636697">
        <w:rPr>
          <w:rFonts w:ascii="Georgia" w:hAnsi="Georgia" w:cs="Times New Roman"/>
          <w:i/>
          <w:iCs/>
          <w:noProof/>
          <w:sz w:val="16"/>
          <w:szCs w:val="24"/>
        </w:rPr>
        <w:t>March</w:t>
      </w:r>
      <w:r w:rsidRPr="00636697">
        <w:rPr>
          <w:rFonts w:ascii="Georgia" w:hAnsi="Georgia" w:cs="Times New Roman"/>
          <w:noProof/>
          <w:sz w:val="16"/>
          <w:szCs w:val="24"/>
        </w:rPr>
        <w:t>, 120. https://apps.who.int/iris/bitstream/handle/10665/331603/WHO-2019-nCoV-SARI_treatment_center-2020.1-eng.pdf?sequence=1&amp;isAllowed=y</w:t>
      </w:r>
    </w:p>
    <w:p w14:paraId="7F94F6B7" w14:textId="77777777" w:rsidR="00A53C05" w:rsidRPr="00636697" w:rsidRDefault="00A53C05"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eastAsia="Georgia" w:hAnsi="Georgia" w:cs="Georgia"/>
          <w:color w:val="222222"/>
          <w:sz w:val="18"/>
          <w:szCs w:val="18"/>
        </w:rPr>
        <w:t xml:space="preserve">WHO (2022) COVID-19 Weekly Epidemiological Update. Available at: </w:t>
      </w:r>
      <w:hyperlink r:id="rId21">
        <w:r w:rsidRPr="00636697">
          <w:rPr>
            <w:rFonts w:ascii="Georgia" w:eastAsia="Georgia" w:hAnsi="Georgia" w:cs="Georgia"/>
            <w:color w:val="1155CC"/>
            <w:sz w:val="18"/>
            <w:szCs w:val="18"/>
            <w:u w:val="single"/>
          </w:rPr>
          <w:t>https://www.who.int/publications/m/item/weekly-epidemiological-update-on-covid-19---18-may-2022</w:t>
        </w:r>
      </w:hyperlink>
      <w:r w:rsidRPr="00636697">
        <w:rPr>
          <w:rFonts w:ascii="Georgia" w:eastAsia="Georgia" w:hAnsi="Georgia" w:cs="Georgia"/>
          <w:color w:val="222222"/>
          <w:sz w:val="18"/>
          <w:szCs w:val="18"/>
        </w:rPr>
        <w:t xml:space="preserve"> Retrivedon 27th May, 2022.</w:t>
      </w:r>
    </w:p>
    <w:p w14:paraId="10C9C6A4" w14:textId="77777777" w:rsidR="00A53C05" w:rsidRPr="00636697" w:rsidRDefault="00A53C05"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eastAsia="Georgia" w:hAnsi="Georgia" w:cs="Georgia"/>
          <w:sz w:val="18"/>
          <w:szCs w:val="18"/>
        </w:rPr>
        <w:t xml:space="preserve">WHO(2022) Multi-country Monkey pox outbreak in non-endemic countries. Avaailable at: </w:t>
      </w:r>
      <w:hyperlink r:id="rId22">
        <w:r w:rsidRPr="00636697">
          <w:rPr>
            <w:rFonts w:ascii="Georgia" w:eastAsia="Georgia" w:hAnsi="Georgia" w:cs="Georgia"/>
            <w:color w:val="0000FF"/>
            <w:sz w:val="18"/>
            <w:szCs w:val="18"/>
            <w:u w:val="single"/>
          </w:rPr>
          <w:t>https://www.who.int/emergencies/disease-outbreak-news/item/2022-DON385</w:t>
        </w:r>
      </w:hyperlink>
      <w:r w:rsidRPr="00636697">
        <w:rPr>
          <w:rFonts w:ascii="Georgia" w:eastAsia="Georgia" w:hAnsi="Georgia" w:cs="Georgia"/>
          <w:sz w:val="18"/>
          <w:szCs w:val="18"/>
        </w:rPr>
        <w:t xml:space="preserve"> Retrived on 29th May, 2022</w:t>
      </w:r>
    </w:p>
    <w:p w14:paraId="27D6344E"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Wu, X., Lu, Y., Zhou, S., Chen, L., &amp; Xu, B. (2016). Impact of climate change on human infectious diseases</w:t>
      </w:r>
      <w:r w:rsidRPr="00636697">
        <w:rPr>
          <w:rFonts w:ascii="Times New Roman" w:hAnsi="Times New Roman" w:cs="Times New Roman"/>
          <w:noProof/>
          <w:sz w:val="16"/>
          <w:szCs w:val="24"/>
        </w:rPr>
        <w:t> </w:t>
      </w:r>
      <w:r w:rsidRPr="00636697">
        <w:rPr>
          <w:rFonts w:ascii="Georgia" w:hAnsi="Georgia" w:cs="Times New Roman"/>
          <w:noProof/>
          <w:sz w:val="16"/>
          <w:szCs w:val="24"/>
        </w:rPr>
        <w:t xml:space="preserve">: Empirical evidence and human adaptation. </w:t>
      </w:r>
      <w:r w:rsidRPr="00636697">
        <w:rPr>
          <w:rFonts w:ascii="Georgia" w:hAnsi="Georgia" w:cs="Times New Roman"/>
          <w:i/>
          <w:iCs/>
          <w:noProof/>
          <w:sz w:val="16"/>
          <w:szCs w:val="24"/>
        </w:rPr>
        <w:t>Environment International</w:t>
      </w:r>
      <w:r w:rsidRPr="00636697">
        <w:rPr>
          <w:rFonts w:ascii="Georgia" w:hAnsi="Georgia" w:cs="Times New Roman"/>
          <w:noProof/>
          <w:sz w:val="16"/>
          <w:szCs w:val="24"/>
        </w:rPr>
        <w:t xml:space="preserve">, </w:t>
      </w:r>
      <w:r w:rsidRPr="00636697">
        <w:rPr>
          <w:rFonts w:ascii="Georgia" w:hAnsi="Georgia" w:cs="Times New Roman"/>
          <w:i/>
          <w:iCs/>
          <w:noProof/>
          <w:sz w:val="16"/>
          <w:szCs w:val="24"/>
        </w:rPr>
        <w:t>86</w:t>
      </w:r>
      <w:r w:rsidRPr="00636697">
        <w:rPr>
          <w:rFonts w:ascii="Georgia" w:hAnsi="Georgia" w:cs="Times New Roman"/>
          <w:noProof/>
          <w:sz w:val="16"/>
          <w:szCs w:val="24"/>
        </w:rPr>
        <w:t>, 14–23. https://doi.org/10.1016/j.envint.2015.09.007</w:t>
      </w:r>
    </w:p>
    <w:p w14:paraId="5FA16D0D"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cs="Times New Roman"/>
          <w:noProof/>
          <w:sz w:val="16"/>
          <w:szCs w:val="24"/>
        </w:rPr>
      </w:pPr>
      <w:r w:rsidRPr="00636697">
        <w:rPr>
          <w:rFonts w:ascii="Georgia" w:hAnsi="Georgia" w:cs="Times New Roman"/>
          <w:noProof/>
          <w:sz w:val="16"/>
          <w:szCs w:val="24"/>
        </w:rPr>
        <w:t xml:space="preserve">Xu, Z., Shi, L., Wang, Y., Zhang, J., Huang, L., Zhang, C., Liu, S., Zhao, P., Liu, H., Zhu, L., Tai, Y., &amp; Bai, C. (2020). </w:t>
      </w:r>
      <w:r w:rsidRPr="00636697">
        <w:rPr>
          <w:rFonts w:ascii="Georgia" w:hAnsi="Georgia" w:cs="Times New Roman"/>
          <w:i/>
          <w:iCs/>
          <w:noProof/>
          <w:sz w:val="16"/>
          <w:szCs w:val="24"/>
        </w:rPr>
        <w:t>Since January 2020 Elsevier has created a COVID-19 resource centre with free information in English and Mandarin on the novel coronavirus COVID- research that is available on the COVID-19 resource centre - including this for unrestricted research re-use a</w:t>
      </w:r>
      <w:r w:rsidRPr="00636697">
        <w:rPr>
          <w:rFonts w:ascii="Georgia" w:hAnsi="Georgia" w:cs="Times New Roman"/>
          <w:noProof/>
          <w:sz w:val="16"/>
          <w:szCs w:val="24"/>
        </w:rPr>
        <w:t xml:space="preserve">. </w:t>
      </w:r>
      <w:r w:rsidRPr="00636697">
        <w:rPr>
          <w:rFonts w:ascii="Georgia" w:hAnsi="Georgia" w:cs="Times New Roman"/>
          <w:i/>
          <w:iCs/>
          <w:noProof/>
          <w:sz w:val="16"/>
          <w:szCs w:val="24"/>
        </w:rPr>
        <w:t>January</w:t>
      </w:r>
      <w:r w:rsidRPr="00636697">
        <w:rPr>
          <w:rFonts w:ascii="Georgia" w:hAnsi="Georgia" w:cs="Times New Roman"/>
          <w:noProof/>
          <w:sz w:val="16"/>
          <w:szCs w:val="24"/>
        </w:rPr>
        <w:t>.</w:t>
      </w:r>
    </w:p>
    <w:p w14:paraId="4EE167F5" w14:textId="77777777" w:rsidR="00576E92" w:rsidRPr="00636697" w:rsidRDefault="00576E92" w:rsidP="00636697">
      <w:pPr>
        <w:pStyle w:val="Lijstalinea"/>
        <w:widowControl w:val="0"/>
        <w:numPr>
          <w:ilvl w:val="0"/>
          <w:numId w:val="3"/>
        </w:numPr>
        <w:autoSpaceDE w:val="0"/>
        <w:autoSpaceDN w:val="0"/>
        <w:adjustRightInd w:val="0"/>
        <w:spacing w:before="240" w:after="60" w:line="240" w:lineRule="auto"/>
        <w:rPr>
          <w:rFonts w:ascii="Georgia" w:hAnsi="Georgia"/>
          <w:noProof/>
          <w:sz w:val="16"/>
        </w:rPr>
      </w:pPr>
      <w:r w:rsidRPr="00636697">
        <w:rPr>
          <w:rFonts w:ascii="Georgia" w:hAnsi="Georgia" w:cs="Times New Roman"/>
          <w:noProof/>
          <w:sz w:val="16"/>
          <w:szCs w:val="24"/>
        </w:rPr>
        <w:t xml:space="preserve">Zeng, Y., Manwatkar, P., Laguerre, A., Beke, M., Kang, I., Ali, A. S., Farmer, D. K., Gall, E. T., Heidarinejad, M., &amp; Stephens, B. (2021). Evaluating a commercially available in-duct bipolar ionization device for pollutant removal and potential byproduct formation. </w:t>
      </w:r>
      <w:r w:rsidRPr="00636697">
        <w:rPr>
          <w:rFonts w:ascii="Georgia" w:hAnsi="Georgia" w:cs="Times New Roman"/>
          <w:i/>
          <w:iCs/>
          <w:noProof/>
          <w:sz w:val="16"/>
          <w:szCs w:val="24"/>
        </w:rPr>
        <w:t>Building and Environment</w:t>
      </w:r>
      <w:r w:rsidRPr="00636697">
        <w:rPr>
          <w:rFonts w:ascii="Georgia" w:hAnsi="Georgia" w:cs="Times New Roman"/>
          <w:noProof/>
          <w:sz w:val="16"/>
          <w:szCs w:val="24"/>
        </w:rPr>
        <w:t xml:space="preserve">, </w:t>
      </w:r>
      <w:r w:rsidRPr="00636697">
        <w:rPr>
          <w:rFonts w:ascii="Georgia" w:hAnsi="Georgia" w:cs="Times New Roman"/>
          <w:i/>
          <w:iCs/>
          <w:noProof/>
          <w:sz w:val="16"/>
          <w:szCs w:val="24"/>
        </w:rPr>
        <w:t>195</w:t>
      </w:r>
      <w:r w:rsidRPr="00636697">
        <w:rPr>
          <w:rFonts w:ascii="Georgia" w:hAnsi="Georgia" w:cs="Times New Roman"/>
          <w:noProof/>
          <w:sz w:val="16"/>
          <w:szCs w:val="24"/>
        </w:rPr>
        <w:t>. https://doi.org/10.1016/j.buildenv.2021.107750</w:t>
      </w:r>
    </w:p>
    <w:p w14:paraId="385E12D9" w14:textId="77777777" w:rsidR="00695365" w:rsidRPr="00A92FA6" w:rsidRDefault="00E53210" w:rsidP="00576E92">
      <w:pPr>
        <w:widowControl w:val="0"/>
        <w:autoSpaceDE w:val="0"/>
        <w:autoSpaceDN w:val="0"/>
        <w:adjustRightInd w:val="0"/>
        <w:spacing w:before="240" w:after="60" w:line="240" w:lineRule="auto"/>
        <w:ind w:left="480" w:hanging="480"/>
        <w:rPr>
          <w:rFonts w:ascii="Georgia" w:eastAsia="Georgia" w:hAnsi="Georgia" w:cs="Georgia"/>
          <w:b/>
          <w:sz w:val="16"/>
          <w:szCs w:val="16"/>
        </w:rPr>
      </w:pPr>
      <w:r w:rsidRPr="00A92FA6">
        <w:rPr>
          <w:rFonts w:ascii="Georgia" w:eastAsia="Georgia" w:hAnsi="Georgia" w:cs="Georgia"/>
          <w:b/>
          <w:sz w:val="16"/>
          <w:szCs w:val="16"/>
        </w:rPr>
        <w:fldChar w:fldCharType="end"/>
      </w:r>
    </w:p>
    <w:p w14:paraId="0C05D771" w14:textId="77777777" w:rsidR="00695365" w:rsidRPr="00A92FA6" w:rsidRDefault="00695365">
      <w:pPr>
        <w:pBdr>
          <w:top w:val="nil"/>
          <w:left w:val="nil"/>
          <w:bottom w:val="nil"/>
          <w:right w:val="nil"/>
          <w:between w:val="nil"/>
        </w:pBdr>
        <w:spacing w:before="240" w:after="60" w:line="228" w:lineRule="auto"/>
        <w:rPr>
          <w:rFonts w:ascii="Georgia" w:eastAsia="Georgia" w:hAnsi="Georgia" w:cs="Georgia"/>
          <w:b/>
          <w:sz w:val="16"/>
          <w:szCs w:val="16"/>
        </w:rPr>
      </w:pPr>
    </w:p>
    <w:p w14:paraId="5726BDE6" w14:textId="77777777" w:rsidR="00695365" w:rsidRDefault="00695365">
      <w:pPr>
        <w:pBdr>
          <w:top w:val="nil"/>
          <w:left w:val="nil"/>
          <w:bottom w:val="nil"/>
          <w:right w:val="nil"/>
          <w:between w:val="nil"/>
        </w:pBdr>
        <w:spacing w:before="240" w:after="60" w:line="228" w:lineRule="auto"/>
        <w:rPr>
          <w:rFonts w:ascii="Georgia" w:eastAsia="Georgia" w:hAnsi="Georgia" w:cs="Georgia"/>
          <w:b/>
        </w:rPr>
      </w:pPr>
    </w:p>
    <w:p w14:paraId="04501512" w14:textId="77777777" w:rsidR="00062989" w:rsidRPr="00062989" w:rsidRDefault="00062989" w:rsidP="00DA4E10">
      <w:pPr>
        <w:pBdr>
          <w:top w:val="nil"/>
          <w:left w:val="nil"/>
          <w:bottom w:val="nil"/>
          <w:right w:val="nil"/>
          <w:between w:val="nil"/>
        </w:pBdr>
        <w:tabs>
          <w:tab w:val="left" w:pos="425"/>
        </w:tabs>
        <w:spacing w:line="240" w:lineRule="auto"/>
        <w:ind w:left="720"/>
        <w:rPr>
          <w:rFonts w:ascii="Georgia" w:eastAsia="Georgia" w:hAnsi="Georgia" w:cs="Georgia"/>
          <w:highlight w:val="white"/>
        </w:rPr>
      </w:pPr>
    </w:p>
    <w:sectPr w:rsidR="00062989" w:rsidRPr="00062989">
      <w:type w:val="continuous"/>
      <w:pgSz w:w="11906" w:h="16838"/>
      <w:pgMar w:top="1418" w:right="720" w:bottom="1077" w:left="720"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507F3" w14:textId="77777777" w:rsidR="00257263" w:rsidRDefault="00257263">
      <w:pPr>
        <w:spacing w:line="240" w:lineRule="auto"/>
      </w:pPr>
      <w:r>
        <w:separator/>
      </w:r>
    </w:p>
  </w:endnote>
  <w:endnote w:type="continuationSeparator" w:id="0">
    <w:p w14:paraId="5DAB69B4" w14:textId="77777777" w:rsidR="00257263" w:rsidRDefault="002572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rdia New">
    <w:panose1 w:val="020B0304020202020204"/>
    <w:charset w:val="DE"/>
    <w:family w:val="swiss"/>
    <w:pitch w:val="variable"/>
    <w:sig w:usb0="81000003" w:usb1="00000000" w:usb2="00000000" w:usb3="00000000" w:csb0="00010001" w:csb1="00000000"/>
  </w:font>
  <w:font w:name="Bodoni SvtyTwo OS ITC TT-Book">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2C9D9" w14:textId="77777777" w:rsidR="009F264F" w:rsidRDefault="009F264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6F6D7" w14:textId="77777777" w:rsidR="009F264F" w:rsidRDefault="009F264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C59A" w14:textId="77777777" w:rsidR="009F264F" w:rsidRDefault="009F264F">
    <w:pPr>
      <w:pBdr>
        <w:top w:val="single" w:sz="4" w:space="0" w:color="000000"/>
        <w:left w:val="nil"/>
        <w:bottom w:val="nil"/>
        <w:right w:val="nil"/>
        <w:between w:val="nil"/>
      </w:pBdr>
      <w:tabs>
        <w:tab w:val="right" w:pos="8845"/>
      </w:tabs>
      <w:spacing w:before="480" w:line="100" w:lineRule="auto"/>
      <w:jc w:val="left"/>
      <w:rPr>
        <w:i/>
        <w:sz w:val="16"/>
        <w:szCs w:val="16"/>
      </w:rPr>
    </w:pPr>
  </w:p>
  <w:p w14:paraId="6A6670C5" w14:textId="77777777" w:rsidR="009F264F" w:rsidRDefault="009F264F">
    <w:pPr>
      <w:pBdr>
        <w:top w:val="nil"/>
        <w:left w:val="nil"/>
        <w:bottom w:val="nil"/>
        <w:right w:val="nil"/>
        <w:between w:val="nil"/>
      </w:pBdr>
      <w:tabs>
        <w:tab w:val="right" w:pos="8845"/>
        <w:tab w:val="right" w:pos="10466"/>
      </w:tabs>
      <w:spacing w:line="240" w:lineRule="auto"/>
      <w:rPr>
        <w:sz w:val="16"/>
        <w:szCs w:val="16"/>
      </w:rPr>
    </w:pPr>
    <w:r>
      <w:rPr>
        <w:sz w:val="16"/>
        <w:szCs w:val="16"/>
      </w:rPr>
      <w:t>https://doi.org/</w:t>
    </w:r>
    <w:r w:rsidRPr="00AB7F26">
      <w:rPr>
        <w:sz w:val="16"/>
        <w:szCs w:val="16"/>
      </w:rPr>
      <w:t>10.24404/620f68305d583d481a24ddbf</w:t>
    </w: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D818D" w14:textId="77777777" w:rsidR="00257263" w:rsidRDefault="00257263">
      <w:pPr>
        <w:spacing w:line="240" w:lineRule="auto"/>
      </w:pPr>
      <w:r>
        <w:separator/>
      </w:r>
    </w:p>
  </w:footnote>
  <w:footnote w:type="continuationSeparator" w:id="0">
    <w:p w14:paraId="619ADAF0" w14:textId="77777777" w:rsidR="00257263" w:rsidRDefault="002572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DF7F" w14:textId="77777777" w:rsidR="009F264F" w:rsidRDefault="009F264F">
    <w:pPr>
      <w:pBdr>
        <w:top w:val="nil"/>
        <w:left w:val="nil"/>
        <w:bottom w:val="none" w:sz="0" w:space="0" w:color="000000"/>
        <w:right w:val="nil"/>
        <w:between w:val="nil"/>
      </w:pBdr>
      <w:tabs>
        <w:tab w:val="center" w:pos="4153"/>
        <w:tab w:val="right" w:pos="8306"/>
      </w:tabs>
      <w:spacing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0800A" w14:textId="77777777" w:rsidR="009F264F" w:rsidRDefault="009F264F">
    <w:pPr>
      <w:tabs>
        <w:tab w:val="right" w:pos="10466"/>
      </w:tabs>
      <w:spacing w:line="240" w:lineRule="auto"/>
      <w:rPr>
        <w:sz w:val="16"/>
        <w:szCs w:val="16"/>
      </w:rPr>
    </w:pPr>
    <w:r>
      <w:rPr>
        <w:sz w:val="16"/>
        <w:szCs w:val="16"/>
      </w:rPr>
      <w:tab/>
    </w:r>
    <w:r>
      <w:rPr>
        <w:sz w:val="16"/>
        <w:szCs w:val="16"/>
      </w:rPr>
      <w:fldChar w:fldCharType="begin"/>
    </w:r>
    <w:r>
      <w:rPr>
        <w:sz w:val="16"/>
        <w:szCs w:val="16"/>
      </w:rPr>
      <w:instrText>PAGE</w:instrText>
    </w:r>
    <w:r>
      <w:rPr>
        <w:sz w:val="16"/>
        <w:szCs w:val="16"/>
      </w:rPr>
      <w:fldChar w:fldCharType="separate"/>
    </w:r>
    <w:r w:rsidR="006E41EA">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6E41EA">
      <w:rPr>
        <w:noProof/>
        <w:sz w:val="16"/>
        <w:szCs w:val="16"/>
      </w:rPr>
      <w:t>14</w:t>
    </w:r>
    <w:r>
      <w:rPr>
        <w:sz w:val="16"/>
        <w:szCs w:val="16"/>
      </w:rPr>
      <w:fldChar w:fldCharType="end"/>
    </w:r>
  </w:p>
  <w:p w14:paraId="158CE71D" w14:textId="77777777" w:rsidR="009F264F" w:rsidRDefault="009F264F">
    <w:pPr>
      <w:pBdr>
        <w:bottom w:val="single" w:sz="4" w:space="1" w:color="000000"/>
      </w:pBdr>
      <w:tabs>
        <w:tab w:val="right" w:pos="8844"/>
      </w:tabs>
      <w:spacing w:after="480" w:line="100" w:lineRule="auto"/>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33D2" w14:textId="77777777" w:rsidR="009F264F" w:rsidRDefault="009F264F">
    <w:pPr>
      <w:widowControl w:val="0"/>
      <w:pBdr>
        <w:top w:val="nil"/>
        <w:left w:val="nil"/>
        <w:bottom w:val="nil"/>
        <w:right w:val="nil"/>
        <w:between w:val="nil"/>
      </w:pBdr>
      <w:spacing w:line="276" w:lineRule="auto"/>
      <w:jc w:val="left"/>
    </w:pPr>
  </w:p>
  <w:tbl>
    <w:tblPr>
      <w:tblStyle w:val="affffa"/>
      <w:tblW w:w="10507" w:type="dxa"/>
      <w:jc w:val="center"/>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1"/>
      <w:gridCol w:w="5266"/>
      <w:gridCol w:w="250"/>
    </w:tblGrid>
    <w:tr w:rsidR="009F264F" w14:paraId="4E28A2E2" w14:textId="77777777">
      <w:trPr>
        <w:trHeight w:val="686"/>
        <w:jc w:val="center"/>
      </w:trPr>
      <w:tc>
        <w:tcPr>
          <w:tcW w:w="4991" w:type="dxa"/>
          <w:shd w:val="clear" w:color="auto" w:fill="auto"/>
        </w:tcPr>
        <w:p w14:paraId="67E0DF45" w14:textId="77777777" w:rsidR="009F264F" w:rsidRDefault="009F264F">
          <w:pPr>
            <w:pBdr>
              <w:top w:val="nil"/>
              <w:left w:val="nil"/>
              <w:bottom w:val="none" w:sz="0" w:space="0" w:color="000000"/>
              <w:right w:val="nil"/>
              <w:between w:val="nil"/>
            </w:pBdr>
            <w:tabs>
              <w:tab w:val="center" w:pos="4153"/>
              <w:tab w:val="right" w:pos="8306"/>
            </w:tabs>
            <w:spacing w:line="240" w:lineRule="auto"/>
            <w:jc w:val="left"/>
            <w:rPr>
              <w:b/>
            </w:rPr>
          </w:pPr>
          <w:r>
            <w:rPr>
              <w:b/>
              <w:noProof/>
              <w:lang w:val="en-IN" w:eastAsia="en-IN"/>
            </w:rPr>
            <w:drawing>
              <wp:inline distT="0" distB="0" distL="0" distR="0" wp14:anchorId="002727C3" wp14:editId="792D1D88">
                <wp:extent cx="450850" cy="457200"/>
                <wp:effectExtent l="0" t="0" r="0" b="0"/>
                <wp:docPr id="6" name="Afbeelding 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50850" cy="457200"/>
                        </a:xfrm>
                        <a:prstGeom prst="rect">
                          <a:avLst/>
                        </a:prstGeom>
                        <a:ln/>
                      </pic:spPr>
                    </pic:pic>
                  </a:graphicData>
                </a:graphic>
              </wp:inline>
            </w:drawing>
          </w:r>
          <w:r>
            <w:rPr>
              <w:b/>
            </w:rPr>
            <w:t xml:space="preserve"> </w:t>
          </w:r>
          <w:r>
            <w:rPr>
              <w:noProof/>
              <w:lang w:val="en-IN" w:eastAsia="en-IN"/>
            </w:rPr>
            <w:drawing>
              <wp:inline distT="0" distB="0" distL="0" distR="0" wp14:anchorId="52D2E55D" wp14:editId="7FB60BDB">
                <wp:extent cx="1541417" cy="618309"/>
                <wp:effectExtent l="0" t="0" r="0" b="0"/>
                <wp:docPr id="9" name="Afbeelding 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41417" cy="618309"/>
                        </a:xfrm>
                        <a:prstGeom prst="rect">
                          <a:avLst/>
                        </a:prstGeom>
                        <a:ln/>
                      </pic:spPr>
                    </pic:pic>
                  </a:graphicData>
                </a:graphic>
              </wp:inline>
            </w:drawing>
          </w:r>
          <w:r>
            <w:t xml:space="preserve"> </w:t>
          </w:r>
        </w:p>
      </w:tc>
      <w:tc>
        <w:tcPr>
          <w:tcW w:w="5266" w:type="dxa"/>
          <w:shd w:val="clear" w:color="auto" w:fill="auto"/>
        </w:tcPr>
        <w:p w14:paraId="38E24E0E" w14:textId="77777777" w:rsidR="009F264F" w:rsidRDefault="009F264F">
          <w:pPr>
            <w:pBdr>
              <w:top w:val="nil"/>
              <w:left w:val="nil"/>
              <w:bottom w:val="nil"/>
              <w:right w:val="nil"/>
              <w:between w:val="nil"/>
            </w:pBdr>
            <w:spacing w:line="240" w:lineRule="auto"/>
            <w:rPr>
              <w:sz w:val="16"/>
              <w:szCs w:val="16"/>
            </w:rPr>
          </w:pPr>
          <w:r>
            <w:rPr>
              <w:sz w:val="16"/>
              <w:szCs w:val="16"/>
            </w:rPr>
            <w:t xml:space="preserve"> ARCH22 ‘Enabling health, care and well-being through design research'</w:t>
          </w:r>
        </w:p>
        <w:p w14:paraId="5CD94FD1" w14:textId="77777777" w:rsidR="009F264F" w:rsidRDefault="009F264F">
          <w:pPr>
            <w:pBdr>
              <w:top w:val="nil"/>
              <w:left w:val="nil"/>
              <w:bottom w:val="nil"/>
              <w:right w:val="nil"/>
              <w:between w:val="nil"/>
            </w:pBdr>
            <w:spacing w:line="240" w:lineRule="auto"/>
            <w:rPr>
              <w:sz w:val="16"/>
              <w:szCs w:val="16"/>
            </w:rPr>
          </w:pPr>
          <w:r>
            <w:rPr>
              <w:sz w:val="16"/>
              <w:szCs w:val="16"/>
            </w:rPr>
            <w:t xml:space="preserve"> 5th Architecture Research Care and Health conference </w:t>
          </w:r>
        </w:p>
        <w:p w14:paraId="17D7F1E0" w14:textId="77777777" w:rsidR="009F264F" w:rsidRDefault="009F264F">
          <w:pPr>
            <w:pBdr>
              <w:top w:val="nil"/>
              <w:left w:val="nil"/>
              <w:bottom w:val="nil"/>
              <w:right w:val="nil"/>
              <w:between w:val="nil"/>
            </w:pBdr>
            <w:spacing w:line="240" w:lineRule="auto"/>
            <w:rPr>
              <w:sz w:val="16"/>
              <w:szCs w:val="16"/>
            </w:rPr>
          </w:pPr>
          <w:r>
            <w:rPr>
              <w:sz w:val="16"/>
              <w:szCs w:val="16"/>
            </w:rPr>
            <w:t>Delft / Rotterdam – the Netherlands – 22nd until 24th of August 2022.</w:t>
          </w:r>
        </w:p>
      </w:tc>
      <w:tc>
        <w:tcPr>
          <w:tcW w:w="250" w:type="dxa"/>
          <w:shd w:val="clear" w:color="auto" w:fill="auto"/>
        </w:tcPr>
        <w:p w14:paraId="5266D5E5" w14:textId="77777777" w:rsidR="009F264F" w:rsidRDefault="009F264F">
          <w:pPr>
            <w:pBdr>
              <w:top w:val="nil"/>
              <w:left w:val="nil"/>
              <w:bottom w:val="none" w:sz="0" w:space="0" w:color="000000"/>
              <w:right w:val="nil"/>
              <w:between w:val="nil"/>
            </w:pBdr>
            <w:tabs>
              <w:tab w:val="center" w:pos="4153"/>
              <w:tab w:val="right" w:pos="8306"/>
            </w:tabs>
            <w:spacing w:line="240" w:lineRule="auto"/>
            <w:jc w:val="right"/>
            <w:rPr>
              <w:b/>
            </w:rPr>
          </w:pPr>
        </w:p>
      </w:tc>
    </w:tr>
  </w:tbl>
  <w:p w14:paraId="07FD9923" w14:textId="77777777" w:rsidR="009F264F" w:rsidRDefault="009F264F">
    <w:pPr>
      <w:pBdr>
        <w:bottom w:val="single" w:sz="4" w:space="0" w:color="000000"/>
      </w:pBdr>
      <w:spacing w:line="100"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72F1"/>
    <w:multiLevelType w:val="hybridMultilevel"/>
    <w:tmpl w:val="B8FC1894"/>
    <w:lvl w:ilvl="0" w:tplc="2000000F">
      <w:start w:val="1"/>
      <w:numFmt w:val="decimal"/>
      <w:lvlText w:val="%1."/>
      <w:lvlJc w:val="left"/>
      <w:pPr>
        <w:ind w:left="3272" w:hanging="360"/>
      </w:pPr>
    </w:lvl>
    <w:lvl w:ilvl="1" w:tplc="20000019" w:tentative="1">
      <w:start w:val="1"/>
      <w:numFmt w:val="lowerLetter"/>
      <w:lvlText w:val="%2."/>
      <w:lvlJc w:val="left"/>
      <w:pPr>
        <w:ind w:left="3992" w:hanging="360"/>
      </w:pPr>
    </w:lvl>
    <w:lvl w:ilvl="2" w:tplc="2000001B" w:tentative="1">
      <w:start w:val="1"/>
      <w:numFmt w:val="lowerRoman"/>
      <w:lvlText w:val="%3."/>
      <w:lvlJc w:val="right"/>
      <w:pPr>
        <w:ind w:left="4712" w:hanging="180"/>
      </w:pPr>
    </w:lvl>
    <w:lvl w:ilvl="3" w:tplc="2000000F" w:tentative="1">
      <w:start w:val="1"/>
      <w:numFmt w:val="decimal"/>
      <w:lvlText w:val="%4."/>
      <w:lvlJc w:val="left"/>
      <w:pPr>
        <w:ind w:left="5432" w:hanging="360"/>
      </w:pPr>
    </w:lvl>
    <w:lvl w:ilvl="4" w:tplc="20000019" w:tentative="1">
      <w:start w:val="1"/>
      <w:numFmt w:val="lowerLetter"/>
      <w:lvlText w:val="%5."/>
      <w:lvlJc w:val="left"/>
      <w:pPr>
        <w:ind w:left="6152" w:hanging="360"/>
      </w:pPr>
    </w:lvl>
    <w:lvl w:ilvl="5" w:tplc="2000001B" w:tentative="1">
      <w:start w:val="1"/>
      <w:numFmt w:val="lowerRoman"/>
      <w:lvlText w:val="%6."/>
      <w:lvlJc w:val="right"/>
      <w:pPr>
        <w:ind w:left="6872" w:hanging="180"/>
      </w:pPr>
    </w:lvl>
    <w:lvl w:ilvl="6" w:tplc="2000000F" w:tentative="1">
      <w:start w:val="1"/>
      <w:numFmt w:val="decimal"/>
      <w:lvlText w:val="%7."/>
      <w:lvlJc w:val="left"/>
      <w:pPr>
        <w:ind w:left="7592" w:hanging="360"/>
      </w:pPr>
    </w:lvl>
    <w:lvl w:ilvl="7" w:tplc="20000019" w:tentative="1">
      <w:start w:val="1"/>
      <w:numFmt w:val="lowerLetter"/>
      <w:lvlText w:val="%8."/>
      <w:lvlJc w:val="left"/>
      <w:pPr>
        <w:ind w:left="8312" w:hanging="360"/>
      </w:pPr>
    </w:lvl>
    <w:lvl w:ilvl="8" w:tplc="2000001B" w:tentative="1">
      <w:start w:val="1"/>
      <w:numFmt w:val="lowerRoman"/>
      <w:lvlText w:val="%9."/>
      <w:lvlJc w:val="right"/>
      <w:pPr>
        <w:ind w:left="9032" w:hanging="180"/>
      </w:pPr>
    </w:lvl>
  </w:abstractNum>
  <w:abstractNum w:abstractNumId="1" w15:restartNumberingAfterBreak="0">
    <w:nsid w:val="0E0D4B8B"/>
    <w:multiLevelType w:val="multilevel"/>
    <w:tmpl w:val="BC00D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952D47"/>
    <w:multiLevelType w:val="hybridMultilevel"/>
    <w:tmpl w:val="706E90DE"/>
    <w:lvl w:ilvl="0" w:tplc="FFFFFFFF">
      <w:start w:val="1"/>
      <w:numFmt w:val="decimal"/>
      <w:lvlText w:val="%1."/>
      <w:lvlJc w:val="left"/>
      <w:pPr>
        <w:ind w:left="3272" w:hanging="360"/>
      </w:pPr>
    </w:lvl>
    <w:lvl w:ilvl="1" w:tplc="FFFFFFFF" w:tentative="1">
      <w:start w:val="1"/>
      <w:numFmt w:val="lowerLetter"/>
      <w:lvlText w:val="%2."/>
      <w:lvlJc w:val="left"/>
      <w:pPr>
        <w:ind w:left="3992" w:hanging="360"/>
      </w:pPr>
    </w:lvl>
    <w:lvl w:ilvl="2" w:tplc="FFFFFFFF" w:tentative="1">
      <w:start w:val="1"/>
      <w:numFmt w:val="lowerRoman"/>
      <w:lvlText w:val="%3."/>
      <w:lvlJc w:val="right"/>
      <w:pPr>
        <w:ind w:left="4712" w:hanging="180"/>
      </w:pPr>
    </w:lvl>
    <w:lvl w:ilvl="3" w:tplc="FFFFFFFF" w:tentative="1">
      <w:start w:val="1"/>
      <w:numFmt w:val="decimal"/>
      <w:lvlText w:val="%4."/>
      <w:lvlJc w:val="left"/>
      <w:pPr>
        <w:ind w:left="5432" w:hanging="360"/>
      </w:pPr>
    </w:lvl>
    <w:lvl w:ilvl="4" w:tplc="FFFFFFFF" w:tentative="1">
      <w:start w:val="1"/>
      <w:numFmt w:val="lowerLetter"/>
      <w:lvlText w:val="%5."/>
      <w:lvlJc w:val="left"/>
      <w:pPr>
        <w:ind w:left="6152" w:hanging="360"/>
      </w:pPr>
    </w:lvl>
    <w:lvl w:ilvl="5" w:tplc="FFFFFFFF" w:tentative="1">
      <w:start w:val="1"/>
      <w:numFmt w:val="lowerRoman"/>
      <w:lvlText w:val="%6."/>
      <w:lvlJc w:val="right"/>
      <w:pPr>
        <w:ind w:left="6872" w:hanging="180"/>
      </w:pPr>
    </w:lvl>
    <w:lvl w:ilvl="6" w:tplc="FFFFFFFF" w:tentative="1">
      <w:start w:val="1"/>
      <w:numFmt w:val="decimal"/>
      <w:lvlText w:val="%7."/>
      <w:lvlJc w:val="left"/>
      <w:pPr>
        <w:ind w:left="7592" w:hanging="360"/>
      </w:pPr>
    </w:lvl>
    <w:lvl w:ilvl="7" w:tplc="FFFFFFFF" w:tentative="1">
      <w:start w:val="1"/>
      <w:numFmt w:val="lowerLetter"/>
      <w:lvlText w:val="%8."/>
      <w:lvlJc w:val="left"/>
      <w:pPr>
        <w:ind w:left="8312" w:hanging="360"/>
      </w:pPr>
    </w:lvl>
    <w:lvl w:ilvl="8" w:tplc="FFFFFFFF" w:tentative="1">
      <w:start w:val="1"/>
      <w:numFmt w:val="lowerRoman"/>
      <w:lvlText w:val="%9."/>
      <w:lvlJc w:val="right"/>
      <w:pPr>
        <w:ind w:left="9032" w:hanging="180"/>
      </w:pPr>
    </w:lvl>
  </w:abstractNum>
  <w:abstractNum w:abstractNumId="3" w15:restartNumberingAfterBreak="0">
    <w:nsid w:val="3BB00034"/>
    <w:multiLevelType w:val="hybridMultilevel"/>
    <w:tmpl w:val="706E90DE"/>
    <w:lvl w:ilvl="0" w:tplc="2000000F">
      <w:start w:val="1"/>
      <w:numFmt w:val="decimal"/>
      <w:lvlText w:val="%1."/>
      <w:lvlJc w:val="left"/>
      <w:pPr>
        <w:ind w:left="3272" w:hanging="360"/>
      </w:pPr>
    </w:lvl>
    <w:lvl w:ilvl="1" w:tplc="20000019" w:tentative="1">
      <w:start w:val="1"/>
      <w:numFmt w:val="lowerLetter"/>
      <w:lvlText w:val="%2."/>
      <w:lvlJc w:val="left"/>
      <w:pPr>
        <w:ind w:left="3992" w:hanging="360"/>
      </w:pPr>
    </w:lvl>
    <w:lvl w:ilvl="2" w:tplc="2000001B" w:tentative="1">
      <w:start w:val="1"/>
      <w:numFmt w:val="lowerRoman"/>
      <w:lvlText w:val="%3."/>
      <w:lvlJc w:val="right"/>
      <w:pPr>
        <w:ind w:left="4712" w:hanging="180"/>
      </w:pPr>
    </w:lvl>
    <w:lvl w:ilvl="3" w:tplc="2000000F" w:tentative="1">
      <w:start w:val="1"/>
      <w:numFmt w:val="decimal"/>
      <w:lvlText w:val="%4."/>
      <w:lvlJc w:val="left"/>
      <w:pPr>
        <w:ind w:left="5432" w:hanging="360"/>
      </w:pPr>
    </w:lvl>
    <w:lvl w:ilvl="4" w:tplc="20000019" w:tentative="1">
      <w:start w:val="1"/>
      <w:numFmt w:val="lowerLetter"/>
      <w:lvlText w:val="%5."/>
      <w:lvlJc w:val="left"/>
      <w:pPr>
        <w:ind w:left="6152" w:hanging="360"/>
      </w:pPr>
    </w:lvl>
    <w:lvl w:ilvl="5" w:tplc="2000001B" w:tentative="1">
      <w:start w:val="1"/>
      <w:numFmt w:val="lowerRoman"/>
      <w:lvlText w:val="%6."/>
      <w:lvlJc w:val="right"/>
      <w:pPr>
        <w:ind w:left="6872" w:hanging="180"/>
      </w:pPr>
    </w:lvl>
    <w:lvl w:ilvl="6" w:tplc="2000000F" w:tentative="1">
      <w:start w:val="1"/>
      <w:numFmt w:val="decimal"/>
      <w:lvlText w:val="%7."/>
      <w:lvlJc w:val="left"/>
      <w:pPr>
        <w:ind w:left="7592" w:hanging="360"/>
      </w:pPr>
    </w:lvl>
    <w:lvl w:ilvl="7" w:tplc="20000019" w:tentative="1">
      <w:start w:val="1"/>
      <w:numFmt w:val="lowerLetter"/>
      <w:lvlText w:val="%8."/>
      <w:lvlJc w:val="left"/>
      <w:pPr>
        <w:ind w:left="8312" w:hanging="360"/>
      </w:pPr>
    </w:lvl>
    <w:lvl w:ilvl="8" w:tplc="2000001B" w:tentative="1">
      <w:start w:val="1"/>
      <w:numFmt w:val="lowerRoman"/>
      <w:lvlText w:val="%9."/>
      <w:lvlJc w:val="right"/>
      <w:pPr>
        <w:ind w:left="9032" w:hanging="180"/>
      </w:pPr>
    </w:lvl>
  </w:abstractNum>
  <w:abstractNum w:abstractNumId="4" w15:restartNumberingAfterBreak="0">
    <w:nsid w:val="3DC03AB5"/>
    <w:multiLevelType w:val="hybridMultilevel"/>
    <w:tmpl w:val="3B8E0634"/>
    <w:lvl w:ilvl="0" w:tplc="20000001">
      <w:start w:val="1"/>
      <w:numFmt w:val="bullet"/>
      <w:lvlText w:val=""/>
      <w:lvlJc w:val="left"/>
      <w:pPr>
        <w:ind w:left="3272" w:hanging="360"/>
      </w:pPr>
      <w:rPr>
        <w:rFonts w:ascii="Symbol" w:hAnsi="Symbol" w:hint="default"/>
      </w:rPr>
    </w:lvl>
    <w:lvl w:ilvl="1" w:tplc="20000003" w:tentative="1">
      <w:start w:val="1"/>
      <w:numFmt w:val="bullet"/>
      <w:lvlText w:val="o"/>
      <w:lvlJc w:val="left"/>
      <w:pPr>
        <w:ind w:left="3992" w:hanging="360"/>
      </w:pPr>
      <w:rPr>
        <w:rFonts w:ascii="Courier New" w:hAnsi="Courier New" w:cs="Courier New" w:hint="default"/>
      </w:rPr>
    </w:lvl>
    <w:lvl w:ilvl="2" w:tplc="20000005" w:tentative="1">
      <w:start w:val="1"/>
      <w:numFmt w:val="bullet"/>
      <w:lvlText w:val=""/>
      <w:lvlJc w:val="left"/>
      <w:pPr>
        <w:ind w:left="4712" w:hanging="360"/>
      </w:pPr>
      <w:rPr>
        <w:rFonts w:ascii="Wingdings" w:hAnsi="Wingdings" w:hint="default"/>
      </w:rPr>
    </w:lvl>
    <w:lvl w:ilvl="3" w:tplc="20000001" w:tentative="1">
      <w:start w:val="1"/>
      <w:numFmt w:val="bullet"/>
      <w:lvlText w:val=""/>
      <w:lvlJc w:val="left"/>
      <w:pPr>
        <w:ind w:left="5432" w:hanging="360"/>
      </w:pPr>
      <w:rPr>
        <w:rFonts w:ascii="Symbol" w:hAnsi="Symbol" w:hint="default"/>
      </w:rPr>
    </w:lvl>
    <w:lvl w:ilvl="4" w:tplc="20000003" w:tentative="1">
      <w:start w:val="1"/>
      <w:numFmt w:val="bullet"/>
      <w:lvlText w:val="o"/>
      <w:lvlJc w:val="left"/>
      <w:pPr>
        <w:ind w:left="6152" w:hanging="360"/>
      </w:pPr>
      <w:rPr>
        <w:rFonts w:ascii="Courier New" w:hAnsi="Courier New" w:cs="Courier New" w:hint="default"/>
      </w:rPr>
    </w:lvl>
    <w:lvl w:ilvl="5" w:tplc="20000005" w:tentative="1">
      <w:start w:val="1"/>
      <w:numFmt w:val="bullet"/>
      <w:lvlText w:val=""/>
      <w:lvlJc w:val="left"/>
      <w:pPr>
        <w:ind w:left="6872" w:hanging="360"/>
      </w:pPr>
      <w:rPr>
        <w:rFonts w:ascii="Wingdings" w:hAnsi="Wingdings" w:hint="default"/>
      </w:rPr>
    </w:lvl>
    <w:lvl w:ilvl="6" w:tplc="20000001" w:tentative="1">
      <w:start w:val="1"/>
      <w:numFmt w:val="bullet"/>
      <w:lvlText w:val=""/>
      <w:lvlJc w:val="left"/>
      <w:pPr>
        <w:ind w:left="7592" w:hanging="360"/>
      </w:pPr>
      <w:rPr>
        <w:rFonts w:ascii="Symbol" w:hAnsi="Symbol" w:hint="default"/>
      </w:rPr>
    </w:lvl>
    <w:lvl w:ilvl="7" w:tplc="20000003" w:tentative="1">
      <w:start w:val="1"/>
      <w:numFmt w:val="bullet"/>
      <w:lvlText w:val="o"/>
      <w:lvlJc w:val="left"/>
      <w:pPr>
        <w:ind w:left="8312" w:hanging="360"/>
      </w:pPr>
      <w:rPr>
        <w:rFonts w:ascii="Courier New" w:hAnsi="Courier New" w:cs="Courier New" w:hint="default"/>
      </w:rPr>
    </w:lvl>
    <w:lvl w:ilvl="8" w:tplc="20000005" w:tentative="1">
      <w:start w:val="1"/>
      <w:numFmt w:val="bullet"/>
      <w:lvlText w:val=""/>
      <w:lvlJc w:val="left"/>
      <w:pPr>
        <w:ind w:left="9032" w:hanging="360"/>
      </w:pPr>
      <w:rPr>
        <w:rFonts w:ascii="Wingdings" w:hAnsi="Wingdings" w:hint="default"/>
      </w:rPr>
    </w:lvl>
  </w:abstractNum>
  <w:abstractNum w:abstractNumId="5" w15:restartNumberingAfterBreak="0">
    <w:nsid w:val="40066CDE"/>
    <w:multiLevelType w:val="hybridMultilevel"/>
    <w:tmpl w:val="98964ED8"/>
    <w:lvl w:ilvl="0" w:tplc="2000000F">
      <w:start w:val="1"/>
      <w:numFmt w:val="decimal"/>
      <w:lvlText w:val="%1."/>
      <w:lvlJc w:val="left"/>
      <w:pPr>
        <w:ind w:left="3328" w:hanging="360"/>
      </w:pPr>
    </w:lvl>
    <w:lvl w:ilvl="1" w:tplc="20000019" w:tentative="1">
      <w:start w:val="1"/>
      <w:numFmt w:val="lowerLetter"/>
      <w:lvlText w:val="%2."/>
      <w:lvlJc w:val="left"/>
      <w:pPr>
        <w:ind w:left="4048" w:hanging="360"/>
      </w:pPr>
    </w:lvl>
    <w:lvl w:ilvl="2" w:tplc="2000001B" w:tentative="1">
      <w:start w:val="1"/>
      <w:numFmt w:val="lowerRoman"/>
      <w:lvlText w:val="%3."/>
      <w:lvlJc w:val="right"/>
      <w:pPr>
        <w:ind w:left="4768" w:hanging="180"/>
      </w:pPr>
    </w:lvl>
    <w:lvl w:ilvl="3" w:tplc="2000000F" w:tentative="1">
      <w:start w:val="1"/>
      <w:numFmt w:val="decimal"/>
      <w:lvlText w:val="%4."/>
      <w:lvlJc w:val="left"/>
      <w:pPr>
        <w:ind w:left="5488" w:hanging="360"/>
      </w:pPr>
    </w:lvl>
    <w:lvl w:ilvl="4" w:tplc="20000019" w:tentative="1">
      <w:start w:val="1"/>
      <w:numFmt w:val="lowerLetter"/>
      <w:lvlText w:val="%5."/>
      <w:lvlJc w:val="left"/>
      <w:pPr>
        <w:ind w:left="6208" w:hanging="360"/>
      </w:pPr>
    </w:lvl>
    <w:lvl w:ilvl="5" w:tplc="2000001B" w:tentative="1">
      <w:start w:val="1"/>
      <w:numFmt w:val="lowerRoman"/>
      <w:lvlText w:val="%6."/>
      <w:lvlJc w:val="right"/>
      <w:pPr>
        <w:ind w:left="6928" w:hanging="180"/>
      </w:pPr>
    </w:lvl>
    <w:lvl w:ilvl="6" w:tplc="2000000F" w:tentative="1">
      <w:start w:val="1"/>
      <w:numFmt w:val="decimal"/>
      <w:lvlText w:val="%7."/>
      <w:lvlJc w:val="left"/>
      <w:pPr>
        <w:ind w:left="7648" w:hanging="360"/>
      </w:pPr>
    </w:lvl>
    <w:lvl w:ilvl="7" w:tplc="20000019" w:tentative="1">
      <w:start w:val="1"/>
      <w:numFmt w:val="lowerLetter"/>
      <w:lvlText w:val="%8."/>
      <w:lvlJc w:val="left"/>
      <w:pPr>
        <w:ind w:left="8368" w:hanging="360"/>
      </w:pPr>
    </w:lvl>
    <w:lvl w:ilvl="8" w:tplc="2000001B" w:tentative="1">
      <w:start w:val="1"/>
      <w:numFmt w:val="lowerRoman"/>
      <w:lvlText w:val="%9."/>
      <w:lvlJc w:val="right"/>
      <w:pPr>
        <w:ind w:left="9088" w:hanging="180"/>
      </w:pPr>
    </w:lvl>
  </w:abstractNum>
  <w:abstractNum w:abstractNumId="6" w15:restartNumberingAfterBreak="0">
    <w:nsid w:val="423371FD"/>
    <w:multiLevelType w:val="multilevel"/>
    <w:tmpl w:val="6C84A4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501F7892"/>
    <w:multiLevelType w:val="hybridMultilevel"/>
    <w:tmpl w:val="B8FC1894"/>
    <w:lvl w:ilvl="0" w:tplc="FFFFFFFF">
      <w:start w:val="1"/>
      <w:numFmt w:val="decimal"/>
      <w:lvlText w:val="%1."/>
      <w:lvlJc w:val="left"/>
      <w:pPr>
        <w:ind w:left="3272" w:hanging="360"/>
      </w:pPr>
    </w:lvl>
    <w:lvl w:ilvl="1" w:tplc="FFFFFFFF" w:tentative="1">
      <w:start w:val="1"/>
      <w:numFmt w:val="lowerLetter"/>
      <w:lvlText w:val="%2."/>
      <w:lvlJc w:val="left"/>
      <w:pPr>
        <w:ind w:left="3992" w:hanging="360"/>
      </w:pPr>
    </w:lvl>
    <w:lvl w:ilvl="2" w:tplc="FFFFFFFF" w:tentative="1">
      <w:start w:val="1"/>
      <w:numFmt w:val="lowerRoman"/>
      <w:lvlText w:val="%3."/>
      <w:lvlJc w:val="right"/>
      <w:pPr>
        <w:ind w:left="4712" w:hanging="180"/>
      </w:pPr>
    </w:lvl>
    <w:lvl w:ilvl="3" w:tplc="FFFFFFFF" w:tentative="1">
      <w:start w:val="1"/>
      <w:numFmt w:val="decimal"/>
      <w:lvlText w:val="%4."/>
      <w:lvlJc w:val="left"/>
      <w:pPr>
        <w:ind w:left="5432" w:hanging="360"/>
      </w:pPr>
    </w:lvl>
    <w:lvl w:ilvl="4" w:tplc="FFFFFFFF" w:tentative="1">
      <w:start w:val="1"/>
      <w:numFmt w:val="lowerLetter"/>
      <w:lvlText w:val="%5."/>
      <w:lvlJc w:val="left"/>
      <w:pPr>
        <w:ind w:left="6152" w:hanging="360"/>
      </w:pPr>
    </w:lvl>
    <w:lvl w:ilvl="5" w:tplc="FFFFFFFF" w:tentative="1">
      <w:start w:val="1"/>
      <w:numFmt w:val="lowerRoman"/>
      <w:lvlText w:val="%6."/>
      <w:lvlJc w:val="right"/>
      <w:pPr>
        <w:ind w:left="6872" w:hanging="180"/>
      </w:pPr>
    </w:lvl>
    <w:lvl w:ilvl="6" w:tplc="FFFFFFFF" w:tentative="1">
      <w:start w:val="1"/>
      <w:numFmt w:val="decimal"/>
      <w:lvlText w:val="%7."/>
      <w:lvlJc w:val="left"/>
      <w:pPr>
        <w:ind w:left="7592" w:hanging="360"/>
      </w:pPr>
    </w:lvl>
    <w:lvl w:ilvl="7" w:tplc="FFFFFFFF" w:tentative="1">
      <w:start w:val="1"/>
      <w:numFmt w:val="lowerLetter"/>
      <w:lvlText w:val="%8."/>
      <w:lvlJc w:val="left"/>
      <w:pPr>
        <w:ind w:left="8312" w:hanging="360"/>
      </w:pPr>
    </w:lvl>
    <w:lvl w:ilvl="8" w:tplc="FFFFFFFF" w:tentative="1">
      <w:start w:val="1"/>
      <w:numFmt w:val="lowerRoman"/>
      <w:lvlText w:val="%9."/>
      <w:lvlJc w:val="right"/>
      <w:pPr>
        <w:ind w:left="9032" w:hanging="180"/>
      </w:pPr>
    </w:lvl>
  </w:abstractNum>
  <w:abstractNum w:abstractNumId="8" w15:restartNumberingAfterBreak="0">
    <w:nsid w:val="50940F62"/>
    <w:multiLevelType w:val="multilevel"/>
    <w:tmpl w:val="2000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 w15:restartNumberingAfterBreak="0">
    <w:nsid w:val="59653AE9"/>
    <w:multiLevelType w:val="hybridMultilevel"/>
    <w:tmpl w:val="702827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F7A7D3A"/>
    <w:multiLevelType w:val="hybridMultilevel"/>
    <w:tmpl w:val="B8FC1894"/>
    <w:lvl w:ilvl="0" w:tplc="FFFFFFFF">
      <w:start w:val="1"/>
      <w:numFmt w:val="decimal"/>
      <w:lvlText w:val="%1."/>
      <w:lvlJc w:val="left"/>
      <w:pPr>
        <w:ind w:left="3272" w:hanging="360"/>
      </w:pPr>
    </w:lvl>
    <w:lvl w:ilvl="1" w:tplc="FFFFFFFF" w:tentative="1">
      <w:start w:val="1"/>
      <w:numFmt w:val="lowerLetter"/>
      <w:lvlText w:val="%2."/>
      <w:lvlJc w:val="left"/>
      <w:pPr>
        <w:ind w:left="3992" w:hanging="360"/>
      </w:pPr>
    </w:lvl>
    <w:lvl w:ilvl="2" w:tplc="FFFFFFFF" w:tentative="1">
      <w:start w:val="1"/>
      <w:numFmt w:val="lowerRoman"/>
      <w:lvlText w:val="%3."/>
      <w:lvlJc w:val="right"/>
      <w:pPr>
        <w:ind w:left="4712" w:hanging="180"/>
      </w:pPr>
    </w:lvl>
    <w:lvl w:ilvl="3" w:tplc="FFFFFFFF" w:tentative="1">
      <w:start w:val="1"/>
      <w:numFmt w:val="decimal"/>
      <w:lvlText w:val="%4."/>
      <w:lvlJc w:val="left"/>
      <w:pPr>
        <w:ind w:left="5432" w:hanging="360"/>
      </w:pPr>
    </w:lvl>
    <w:lvl w:ilvl="4" w:tplc="FFFFFFFF" w:tentative="1">
      <w:start w:val="1"/>
      <w:numFmt w:val="lowerLetter"/>
      <w:lvlText w:val="%5."/>
      <w:lvlJc w:val="left"/>
      <w:pPr>
        <w:ind w:left="6152" w:hanging="360"/>
      </w:pPr>
    </w:lvl>
    <w:lvl w:ilvl="5" w:tplc="FFFFFFFF" w:tentative="1">
      <w:start w:val="1"/>
      <w:numFmt w:val="lowerRoman"/>
      <w:lvlText w:val="%6."/>
      <w:lvlJc w:val="right"/>
      <w:pPr>
        <w:ind w:left="6872" w:hanging="180"/>
      </w:pPr>
    </w:lvl>
    <w:lvl w:ilvl="6" w:tplc="FFFFFFFF" w:tentative="1">
      <w:start w:val="1"/>
      <w:numFmt w:val="decimal"/>
      <w:lvlText w:val="%7."/>
      <w:lvlJc w:val="left"/>
      <w:pPr>
        <w:ind w:left="7592" w:hanging="360"/>
      </w:pPr>
    </w:lvl>
    <w:lvl w:ilvl="7" w:tplc="FFFFFFFF" w:tentative="1">
      <w:start w:val="1"/>
      <w:numFmt w:val="lowerLetter"/>
      <w:lvlText w:val="%8."/>
      <w:lvlJc w:val="left"/>
      <w:pPr>
        <w:ind w:left="8312" w:hanging="360"/>
      </w:pPr>
    </w:lvl>
    <w:lvl w:ilvl="8" w:tplc="FFFFFFFF" w:tentative="1">
      <w:start w:val="1"/>
      <w:numFmt w:val="lowerRoman"/>
      <w:lvlText w:val="%9."/>
      <w:lvlJc w:val="right"/>
      <w:pPr>
        <w:ind w:left="9032" w:hanging="180"/>
      </w:pPr>
    </w:lvl>
  </w:abstractNum>
  <w:abstractNum w:abstractNumId="11" w15:restartNumberingAfterBreak="0">
    <w:nsid w:val="786343E6"/>
    <w:multiLevelType w:val="hybridMultilevel"/>
    <w:tmpl w:val="3F004B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EEE56EF"/>
    <w:multiLevelType w:val="hybridMultilevel"/>
    <w:tmpl w:val="2864EE38"/>
    <w:lvl w:ilvl="0" w:tplc="FFFFFFFF">
      <w:start w:val="1"/>
      <w:numFmt w:val="decimal"/>
      <w:lvlText w:val="%1."/>
      <w:lvlJc w:val="left"/>
      <w:pPr>
        <w:ind w:left="3272" w:hanging="360"/>
      </w:pPr>
    </w:lvl>
    <w:lvl w:ilvl="1" w:tplc="FFFFFFFF" w:tentative="1">
      <w:start w:val="1"/>
      <w:numFmt w:val="lowerLetter"/>
      <w:lvlText w:val="%2."/>
      <w:lvlJc w:val="left"/>
      <w:pPr>
        <w:ind w:left="3992" w:hanging="360"/>
      </w:pPr>
    </w:lvl>
    <w:lvl w:ilvl="2" w:tplc="FFFFFFFF" w:tentative="1">
      <w:start w:val="1"/>
      <w:numFmt w:val="lowerRoman"/>
      <w:lvlText w:val="%3."/>
      <w:lvlJc w:val="right"/>
      <w:pPr>
        <w:ind w:left="4712" w:hanging="180"/>
      </w:pPr>
    </w:lvl>
    <w:lvl w:ilvl="3" w:tplc="FFFFFFFF" w:tentative="1">
      <w:start w:val="1"/>
      <w:numFmt w:val="decimal"/>
      <w:lvlText w:val="%4."/>
      <w:lvlJc w:val="left"/>
      <w:pPr>
        <w:ind w:left="5432" w:hanging="360"/>
      </w:pPr>
    </w:lvl>
    <w:lvl w:ilvl="4" w:tplc="FFFFFFFF" w:tentative="1">
      <w:start w:val="1"/>
      <w:numFmt w:val="lowerLetter"/>
      <w:lvlText w:val="%5."/>
      <w:lvlJc w:val="left"/>
      <w:pPr>
        <w:ind w:left="6152" w:hanging="360"/>
      </w:pPr>
    </w:lvl>
    <w:lvl w:ilvl="5" w:tplc="FFFFFFFF" w:tentative="1">
      <w:start w:val="1"/>
      <w:numFmt w:val="lowerRoman"/>
      <w:lvlText w:val="%6."/>
      <w:lvlJc w:val="right"/>
      <w:pPr>
        <w:ind w:left="6872" w:hanging="180"/>
      </w:pPr>
    </w:lvl>
    <w:lvl w:ilvl="6" w:tplc="FFFFFFFF" w:tentative="1">
      <w:start w:val="1"/>
      <w:numFmt w:val="decimal"/>
      <w:lvlText w:val="%7."/>
      <w:lvlJc w:val="left"/>
      <w:pPr>
        <w:ind w:left="7592" w:hanging="360"/>
      </w:pPr>
    </w:lvl>
    <w:lvl w:ilvl="7" w:tplc="FFFFFFFF" w:tentative="1">
      <w:start w:val="1"/>
      <w:numFmt w:val="lowerLetter"/>
      <w:lvlText w:val="%8."/>
      <w:lvlJc w:val="left"/>
      <w:pPr>
        <w:ind w:left="8312" w:hanging="360"/>
      </w:pPr>
    </w:lvl>
    <w:lvl w:ilvl="8" w:tplc="FFFFFFFF" w:tentative="1">
      <w:start w:val="1"/>
      <w:numFmt w:val="lowerRoman"/>
      <w:lvlText w:val="%9."/>
      <w:lvlJc w:val="right"/>
      <w:pPr>
        <w:ind w:left="9032" w:hanging="180"/>
      </w:pPr>
    </w:lvl>
  </w:abstractNum>
  <w:num w:numId="1" w16cid:durableId="1853492890">
    <w:abstractNumId w:val="6"/>
  </w:num>
  <w:num w:numId="2" w16cid:durableId="1742949912">
    <w:abstractNumId w:val="1"/>
  </w:num>
  <w:num w:numId="3" w16cid:durableId="1611627527">
    <w:abstractNumId w:val="11"/>
  </w:num>
  <w:num w:numId="4" w16cid:durableId="1177575148">
    <w:abstractNumId w:val="3"/>
  </w:num>
  <w:num w:numId="5" w16cid:durableId="1616866302">
    <w:abstractNumId w:val="5"/>
  </w:num>
  <w:num w:numId="6" w16cid:durableId="1176312556">
    <w:abstractNumId w:val="2"/>
  </w:num>
  <w:num w:numId="7" w16cid:durableId="1115712340">
    <w:abstractNumId w:val="8"/>
  </w:num>
  <w:num w:numId="8" w16cid:durableId="1313830405">
    <w:abstractNumId w:val="12"/>
  </w:num>
  <w:num w:numId="9" w16cid:durableId="879824806">
    <w:abstractNumId w:val="0"/>
  </w:num>
  <w:num w:numId="10" w16cid:durableId="1396468249">
    <w:abstractNumId w:val="7"/>
  </w:num>
  <w:num w:numId="11" w16cid:durableId="1706129329">
    <w:abstractNumId w:val="10"/>
  </w:num>
  <w:num w:numId="12" w16cid:durableId="1806310627">
    <w:abstractNumId w:val="9"/>
  </w:num>
  <w:num w:numId="13" w16cid:durableId="18466317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5365"/>
    <w:rsid w:val="0000528D"/>
    <w:rsid w:val="00015030"/>
    <w:rsid w:val="00062989"/>
    <w:rsid w:val="00062EDE"/>
    <w:rsid w:val="00070C8A"/>
    <w:rsid w:val="000837CF"/>
    <w:rsid w:val="00091BF6"/>
    <w:rsid w:val="000B1398"/>
    <w:rsid w:val="000D319B"/>
    <w:rsid w:val="000D65BB"/>
    <w:rsid w:val="00101749"/>
    <w:rsid w:val="00114917"/>
    <w:rsid w:val="00131758"/>
    <w:rsid w:val="00137698"/>
    <w:rsid w:val="0015579C"/>
    <w:rsid w:val="00167989"/>
    <w:rsid w:val="00172F14"/>
    <w:rsid w:val="00174C30"/>
    <w:rsid w:val="001C2556"/>
    <w:rsid w:val="001C7A07"/>
    <w:rsid w:val="001D2D64"/>
    <w:rsid w:val="001F0382"/>
    <w:rsid w:val="00236CE4"/>
    <w:rsid w:val="002373EE"/>
    <w:rsid w:val="00257263"/>
    <w:rsid w:val="002944F1"/>
    <w:rsid w:val="002B0E58"/>
    <w:rsid w:val="002C28A4"/>
    <w:rsid w:val="002C7C7E"/>
    <w:rsid w:val="002D379F"/>
    <w:rsid w:val="002E10F3"/>
    <w:rsid w:val="00302B53"/>
    <w:rsid w:val="0030637C"/>
    <w:rsid w:val="00324214"/>
    <w:rsid w:val="00366511"/>
    <w:rsid w:val="00373FC2"/>
    <w:rsid w:val="00385904"/>
    <w:rsid w:val="003A0D5E"/>
    <w:rsid w:val="003A2BD0"/>
    <w:rsid w:val="003A646C"/>
    <w:rsid w:val="003C17D9"/>
    <w:rsid w:val="003C1B87"/>
    <w:rsid w:val="004010D9"/>
    <w:rsid w:val="00466E51"/>
    <w:rsid w:val="00474AD5"/>
    <w:rsid w:val="00485247"/>
    <w:rsid w:val="00490634"/>
    <w:rsid w:val="00504561"/>
    <w:rsid w:val="005049D2"/>
    <w:rsid w:val="0052625E"/>
    <w:rsid w:val="00536AFB"/>
    <w:rsid w:val="00576E92"/>
    <w:rsid w:val="00580FF9"/>
    <w:rsid w:val="005B5812"/>
    <w:rsid w:val="005B7488"/>
    <w:rsid w:val="005D0903"/>
    <w:rsid w:val="005D58D5"/>
    <w:rsid w:val="005D68ED"/>
    <w:rsid w:val="005E3AB1"/>
    <w:rsid w:val="005F4D88"/>
    <w:rsid w:val="00621FA9"/>
    <w:rsid w:val="00636697"/>
    <w:rsid w:val="006424A7"/>
    <w:rsid w:val="0069446D"/>
    <w:rsid w:val="00695365"/>
    <w:rsid w:val="006B037B"/>
    <w:rsid w:val="006E224C"/>
    <w:rsid w:val="006E3305"/>
    <w:rsid w:val="006E41EA"/>
    <w:rsid w:val="006E4D6C"/>
    <w:rsid w:val="006E7BFE"/>
    <w:rsid w:val="006F41E4"/>
    <w:rsid w:val="007064E3"/>
    <w:rsid w:val="00715039"/>
    <w:rsid w:val="00737A74"/>
    <w:rsid w:val="00745C2F"/>
    <w:rsid w:val="007C378B"/>
    <w:rsid w:val="007C504F"/>
    <w:rsid w:val="007C52B9"/>
    <w:rsid w:val="007F7199"/>
    <w:rsid w:val="008040B2"/>
    <w:rsid w:val="00813A59"/>
    <w:rsid w:val="0081486B"/>
    <w:rsid w:val="00817C99"/>
    <w:rsid w:val="00844106"/>
    <w:rsid w:val="00860543"/>
    <w:rsid w:val="008826FB"/>
    <w:rsid w:val="008859F5"/>
    <w:rsid w:val="00894F9F"/>
    <w:rsid w:val="008B2EBE"/>
    <w:rsid w:val="008C2789"/>
    <w:rsid w:val="008C2ACA"/>
    <w:rsid w:val="008E4065"/>
    <w:rsid w:val="0090129E"/>
    <w:rsid w:val="00942672"/>
    <w:rsid w:val="00981131"/>
    <w:rsid w:val="009919BB"/>
    <w:rsid w:val="009A366F"/>
    <w:rsid w:val="009B0216"/>
    <w:rsid w:val="009C6CBF"/>
    <w:rsid w:val="009C7B09"/>
    <w:rsid w:val="009D1947"/>
    <w:rsid w:val="009F10AC"/>
    <w:rsid w:val="009F264F"/>
    <w:rsid w:val="00A33642"/>
    <w:rsid w:val="00A40379"/>
    <w:rsid w:val="00A46B7D"/>
    <w:rsid w:val="00A47DBC"/>
    <w:rsid w:val="00A53C05"/>
    <w:rsid w:val="00A56A4D"/>
    <w:rsid w:val="00A8497B"/>
    <w:rsid w:val="00A92FA6"/>
    <w:rsid w:val="00A96588"/>
    <w:rsid w:val="00AA4FA8"/>
    <w:rsid w:val="00AA7ED8"/>
    <w:rsid w:val="00AB7F26"/>
    <w:rsid w:val="00AC5FAB"/>
    <w:rsid w:val="00AD397A"/>
    <w:rsid w:val="00AE73A8"/>
    <w:rsid w:val="00AF1C7C"/>
    <w:rsid w:val="00AF2FA6"/>
    <w:rsid w:val="00AF4AFA"/>
    <w:rsid w:val="00AF5DE5"/>
    <w:rsid w:val="00B1288E"/>
    <w:rsid w:val="00B239ED"/>
    <w:rsid w:val="00B3503C"/>
    <w:rsid w:val="00B56336"/>
    <w:rsid w:val="00B63E96"/>
    <w:rsid w:val="00B66392"/>
    <w:rsid w:val="00B73A2C"/>
    <w:rsid w:val="00B74A88"/>
    <w:rsid w:val="00B75FD8"/>
    <w:rsid w:val="00B95CC7"/>
    <w:rsid w:val="00BF4353"/>
    <w:rsid w:val="00C157C1"/>
    <w:rsid w:val="00C17699"/>
    <w:rsid w:val="00C30B0B"/>
    <w:rsid w:val="00C864AF"/>
    <w:rsid w:val="00C9757B"/>
    <w:rsid w:val="00CD649B"/>
    <w:rsid w:val="00CD6784"/>
    <w:rsid w:val="00CF1026"/>
    <w:rsid w:val="00CF43DB"/>
    <w:rsid w:val="00D41E18"/>
    <w:rsid w:val="00D44103"/>
    <w:rsid w:val="00D53FCB"/>
    <w:rsid w:val="00D744FA"/>
    <w:rsid w:val="00D81368"/>
    <w:rsid w:val="00DA4E10"/>
    <w:rsid w:val="00DA5635"/>
    <w:rsid w:val="00DB58F2"/>
    <w:rsid w:val="00DB6624"/>
    <w:rsid w:val="00DE5765"/>
    <w:rsid w:val="00E00338"/>
    <w:rsid w:val="00E02422"/>
    <w:rsid w:val="00E04BA2"/>
    <w:rsid w:val="00E13E13"/>
    <w:rsid w:val="00E25AD2"/>
    <w:rsid w:val="00E33411"/>
    <w:rsid w:val="00E52B35"/>
    <w:rsid w:val="00E53210"/>
    <w:rsid w:val="00E83DF2"/>
    <w:rsid w:val="00EA55F7"/>
    <w:rsid w:val="00EA6804"/>
    <w:rsid w:val="00EB0898"/>
    <w:rsid w:val="00F10E99"/>
    <w:rsid w:val="00F313FB"/>
    <w:rsid w:val="00F5003A"/>
    <w:rsid w:val="00F66D7F"/>
    <w:rsid w:val="00FB11B3"/>
    <w:rsid w:val="00FD513F"/>
    <w:rsid w:val="00FE0A0E"/>
    <w:rsid w:val="00FE3B2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1975A"/>
  <w15:docId w15:val="{0BBBAA9E-5213-456A-B264-BF7CFDFDB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US" w:eastAsia="en-I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60" w:lineRule="atLeast"/>
    </w:pPr>
    <w:rPr>
      <w:color w:val="000000"/>
      <w:lang w:eastAsia="zh-CN"/>
    </w:rPr>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before="480" w:after="120"/>
    </w:pPr>
    <w:rPr>
      <w:b/>
      <w:sz w:val="72"/>
      <w:szCs w:val="72"/>
    </w:rPr>
  </w:style>
  <w:style w:type="paragraph" w:styleId="Ballontekst">
    <w:name w:val="Balloon Text"/>
    <w:basedOn w:val="Standaard"/>
    <w:link w:val="BallontekstChar"/>
    <w:uiPriority w:val="99"/>
    <w:qFormat/>
    <w:rPr>
      <w:rFonts w:cs="Tahoma"/>
      <w:szCs w:val="18"/>
    </w:rPr>
  </w:style>
  <w:style w:type="paragraph" w:styleId="Plattetekst">
    <w:name w:val="Body Text"/>
    <w:link w:val="PlattetekstChar"/>
    <w:pPr>
      <w:spacing w:after="120" w:line="340" w:lineRule="atLeast"/>
    </w:pPr>
    <w:rPr>
      <w:color w:val="000000"/>
      <w:sz w:val="24"/>
      <w:lang w:eastAsia="de-DE"/>
    </w:rPr>
  </w:style>
  <w:style w:type="paragraph" w:styleId="Bijschrift">
    <w:name w:val="caption"/>
    <w:basedOn w:val="Standaard"/>
    <w:next w:val="Standaard"/>
    <w:uiPriority w:val="35"/>
    <w:semiHidden/>
    <w:unhideWhenUsed/>
    <w:qFormat/>
    <w:rPr>
      <w:rFonts w:ascii="Arial" w:eastAsia="SimHei" w:hAnsi="Arial" w:cs="Arial"/>
    </w:rPr>
  </w:style>
  <w:style w:type="character" w:styleId="Verwijzingopmerking">
    <w:name w:val="annotation reference"/>
    <w:rPr>
      <w:sz w:val="21"/>
      <w:szCs w:val="21"/>
    </w:rPr>
  </w:style>
  <w:style w:type="paragraph" w:styleId="Tekstopmerking">
    <w:name w:val="annotation text"/>
    <w:basedOn w:val="Standaard"/>
    <w:link w:val="TekstopmerkingChar"/>
  </w:style>
  <w:style w:type="paragraph" w:styleId="Onderwerpvanopmerking">
    <w:name w:val="annotation subject"/>
    <w:basedOn w:val="Tekstopmerking"/>
    <w:next w:val="Tekstopmerking"/>
    <w:link w:val="OnderwerpvanopmerkingChar"/>
    <w:qFormat/>
    <w:rPr>
      <w:b/>
      <w:bCs/>
    </w:rPr>
  </w:style>
  <w:style w:type="character" w:styleId="Nadruk">
    <w:name w:val="Emphasis"/>
    <w:basedOn w:val="Standaardalinea-lettertype"/>
    <w:uiPriority w:val="20"/>
    <w:qFormat/>
    <w:rPr>
      <w:i/>
      <w:iCs/>
    </w:rPr>
  </w:style>
  <w:style w:type="character" w:styleId="Eindnootmarkering">
    <w:name w:val="endnote reference"/>
    <w:qFormat/>
    <w:rPr>
      <w:vertAlign w:val="superscript"/>
    </w:rPr>
  </w:style>
  <w:style w:type="paragraph" w:styleId="Eindnoottekst">
    <w:name w:val="endnote text"/>
    <w:basedOn w:val="Standaard"/>
    <w:link w:val="EindnoottekstChar"/>
    <w:semiHidden/>
    <w:unhideWhenUsed/>
    <w:qFormat/>
    <w:pPr>
      <w:spacing w:line="240" w:lineRule="auto"/>
    </w:pPr>
  </w:style>
  <w:style w:type="character" w:styleId="GevolgdeHyperlink">
    <w:name w:val="FollowedHyperlink"/>
    <w:qFormat/>
    <w:rPr>
      <w:color w:val="954F72"/>
      <w:u w:val="single"/>
    </w:rPr>
  </w:style>
  <w:style w:type="paragraph" w:styleId="Voettekst">
    <w:name w:val="footer"/>
    <w:basedOn w:val="Standaard"/>
    <w:link w:val="VoettekstChar"/>
    <w:uiPriority w:val="99"/>
    <w:qFormat/>
    <w:pPr>
      <w:tabs>
        <w:tab w:val="center" w:pos="4153"/>
        <w:tab w:val="right" w:pos="8306"/>
      </w:tabs>
      <w:snapToGrid w:val="0"/>
      <w:spacing w:line="240" w:lineRule="atLeast"/>
    </w:pPr>
    <w:rPr>
      <w:szCs w:val="18"/>
    </w:rPr>
  </w:style>
  <w:style w:type="paragraph" w:styleId="Voetnoottekst">
    <w:name w:val="footnote text"/>
    <w:basedOn w:val="Standaard"/>
    <w:link w:val="VoetnoottekstChar"/>
    <w:semiHidden/>
    <w:unhideWhenUsed/>
    <w:qFormat/>
    <w:pPr>
      <w:spacing w:line="240" w:lineRule="auto"/>
    </w:pPr>
  </w:style>
  <w:style w:type="paragraph" w:styleId="Koptekst">
    <w:name w:val="header"/>
    <w:basedOn w:val="Standaard"/>
    <w:link w:val="KoptekstChar"/>
    <w:uiPriority w:val="99"/>
    <w:qFormat/>
    <w:pPr>
      <w:pBdr>
        <w:bottom w:val="single" w:sz="6" w:space="1" w:color="auto"/>
      </w:pBdr>
      <w:tabs>
        <w:tab w:val="center" w:pos="4153"/>
        <w:tab w:val="right" w:pos="8306"/>
      </w:tabs>
      <w:snapToGrid w:val="0"/>
      <w:spacing w:line="240" w:lineRule="atLeast"/>
      <w:jc w:val="center"/>
    </w:pPr>
    <w:rPr>
      <w:szCs w:val="18"/>
    </w:rPr>
  </w:style>
  <w:style w:type="character" w:styleId="Hyperlink">
    <w:name w:val="Hyperlink"/>
    <w:basedOn w:val="Standaardalinea-lettertype"/>
    <w:qFormat/>
    <w:rPr>
      <w:color w:val="0000FF"/>
      <w:u w:val="single"/>
    </w:rPr>
  </w:style>
  <w:style w:type="character" w:styleId="Regelnummer">
    <w:name w:val="line number"/>
    <w:uiPriority w:val="99"/>
    <w:qFormat/>
    <w:rPr>
      <w:rFonts w:ascii="Palatino Linotype" w:hAnsi="Palatino Linotype"/>
      <w:sz w:val="16"/>
    </w:rPr>
  </w:style>
  <w:style w:type="paragraph" w:styleId="Normaalweb">
    <w:name w:val="Normal (Web)"/>
    <w:basedOn w:val="Standaard"/>
    <w:uiPriority w:val="99"/>
    <w:qFormat/>
    <w:rPr>
      <w:szCs w:val="24"/>
    </w:rPr>
  </w:style>
  <w:style w:type="character" w:styleId="Paginanummer">
    <w:name w:val="page number"/>
  </w:style>
  <w:style w:type="table" w:styleId="Tabelraster">
    <w:name w:val="Table Grid"/>
    <w:basedOn w:val="Standaardtabel"/>
    <w:uiPriority w:val="59"/>
    <w:qFormat/>
    <w:pPr>
      <w:spacing w:line="260" w:lineRule="atLeast"/>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1articletype">
    <w:name w:val="MDPI_1.1_article_type"/>
    <w:next w:val="Standaard"/>
    <w:qFormat/>
    <w:pPr>
      <w:adjustRightInd w:val="0"/>
      <w:snapToGrid w:val="0"/>
      <w:spacing w:before="240"/>
    </w:pPr>
    <w:rPr>
      <w:rFonts w:eastAsia="Times New Roman"/>
      <w:i/>
      <w:snapToGrid w:val="0"/>
      <w:color w:val="000000"/>
      <w:szCs w:val="22"/>
      <w:lang w:eastAsia="de-DE" w:bidi="en-US"/>
    </w:rPr>
  </w:style>
  <w:style w:type="paragraph" w:customStyle="1" w:styleId="MDPI12title">
    <w:name w:val="MDPI_1.2_title"/>
    <w:next w:val="Standaard"/>
    <w:qFormat/>
    <w:pPr>
      <w:adjustRightInd w:val="0"/>
      <w:snapToGrid w:val="0"/>
      <w:spacing w:after="240" w:line="240" w:lineRule="atLeast"/>
    </w:pPr>
    <w:rPr>
      <w:rFonts w:eastAsia="Times New Roman"/>
      <w:b/>
      <w:snapToGrid w:val="0"/>
      <w:color w:val="000000"/>
      <w:sz w:val="36"/>
      <w:lang w:eastAsia="de-DE" w:bidi="en-US"/>
    </w:rPr>
  </w:style>
  <w:style w:type="paragraph" w:customStyle="1" w:styleId="MDPI13authornames">
    <w:name w:val="MDPI_1.3_authornames"/>
    <w:next w:val="Standaard"/>
    <w:qFormat/>
    <w:pPr>
      <w:adjustRightInd w:val="0"/>
      <w:snapToGrid w:val="0"/>
      <w:spacing w:after="360" w:line="260" w:lineRule="atLeast"/>
    </w:pPr>
    <w:rPr>
      <w:rFonts w:eastAsia="Times New Roman"/>
      <w:b/>
      <w:color w:val="000000"/>
      <w:szCs w:val="22"/>
      <w:lang w:eastAsia="de-DE" w:bidi="en-US"/>
    </w:rPr>
  </w:style>
  <w:style w:type="paragraph" w:customStyle="1" w:styleId="MDPI14history">
    <w:name w:val="MDPI_1.4_history"/>
    <w:basedOn w:val="Standaard"/>
    <w:next w:val="Standaard"/>
    <w:qFormat/>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pPr>
      <w:adjustRightInd w:val="0"/>
      <w:snapToGrid w:val="0"/>
      <w:spacing w:line="200" w:lineRule="atLeast"/>
      <w:ind w:left="2806" w:hanging="198"/>
    </w:pPr>
    <w:rPr>
      <w:rFonts w:eastAsia="Times New Roman"/>
      <w:color w:val="000000"/>
      <w:sz w:val="16"/>
      <w:szCs w:val="18"/>
      <w:lang w:eastAsia="de-DE" w:bidi="en-US"/>
    </w:rPr>
  </w:style>
  <w:style w:type="paragraph" w:customStyle="1" w:styleId="MDPI17abstract">
    <w:name w:val="MDPI_1.7_abstract"/>
    <w:next w:val="Standaard"/>
    <w:qFormat/>
    <w:pPr>
      <w:adjustRightInd w:val="0"/>
      <w:snapToGrid w:val="0"/>
      <w:spacing w:before="240" w:line="260" w:lineRule="atLeast"/>
      <w:ind w:left="2608"/>
    </w:pPr>
    <w:rPr>
      <w:rFonts w:eastAsia="Times New Roman"/>
      <w:color w:val="000000"/>
      <w:sz w:val="18"/>
      <w:szCs w:val="22"/>
      <w:lang w:eastAsia="de-DE" w:bidi="en-US"/>
    </w:rPr>
  </w:style>
  <w:style w:type="paragraph" w:customStyle="1" w:styleId="MDPI18keywords">
    <w:name w:val="MDPI_1.8_keywords"/>
    <w:next w:val="Standaard"/>
    <w:qFormat/>
    <w:pPr>
      <w:adjustRightInd w:val="0"/>
      <w:snapToGrid w:val="0"/>
      <w:spacing w:before="240" w:line="260" w:lineRule="atLeast"/>
      <w:ind w:left="2608"/>
    </w:pPr>
    <w:rPr>
      <w:rFonts w:eastAsia="Times New Roman"/>
      <w:snapToGrid w:val="0"/>
      <w:color w:val="000000"/>
      <w:sz w:val="18"/>
      <w:szCs w:val="22"/>
      <w:lang w:eastAsia="de-DE" w:bidi="en-US"/>
    </w:rPr>
  </w:style>
  <w:style w:type="paragraph" w:customStyle="1" w:styleId="MDPI19line">
    <w:name w:val="MDPI_1.9_line"/>
    <w:qFormat/>
    <w:pPr>
      <w:pBdr>
        <w:bottom w:val="single" w:sz="6" w:space="1" w:color="auto"/>
      </w:pBdr>
      <w:adjustRightInd w:val="0"/>
      <w:snapToGrid w:val="0"/>
      <w:spacing w:after="480" w:line="260" w:lineRule="atLeast"/>
      <w:ind w:left="2608"/>
    </w:pPr>
    <w:rPr>
      <w:rFonts w:eastAsia="Times New Roman" w:cs="Cordia New"/>
      <w:color w:val="000000"/>
      <w:szCs w:val="24"/>
      <w:lang w:eastAsia="de-DE" w:bidi="en-US"/>
    </w:rPr>
  </w:style>
  <w:style w:type="table" w:customStyle="1" w:styleId="Mdeck5tablebodythreelines">
    <w:name w:val="M_deck_5_table_body_three_lines"/>
    <w:basedOn w:val="Standaardtabel"/>
    <w:uiPriority w:val="99"/>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KoptekstChar">
    <w:name w:val="Koptekst Char"/>
    <w:link w:val="Koptekst"/>
    <w:uiPriority w:val="99"/>
    <w:rPr>
      <w:rFonts w:ascii="Palatino Linotype" w:hAnsi="Palatino Linotype"/>
      <w:color w:val="000000"/>
      <w:szCs w:val="18"/>
    </w:rPr>
  </w:style>
  <w:style w:type="paragraph" w:customStyle="1" w:styleId="MDPIheaderjournallogo">
    <w:name w:val="MDPI_header_journal_logo"/>
    <w:qFormat/>
    <w:pPr>
      <w:adjustRightInd w:val="0"/>
      <w:snapToGrid w:val="0"/>
      <w:spacing w:line="260" w:lineRule="atLeast"/>
    </w:pPr>
    <w:rPr>
      <w:rFonts w:eastAsia="Times New Roman"/>
      <w:i/>
      <w:color w:val="000000"/>
      <w:sz w:val="24"/>
      <w:szCs w:val="22"/>
      <w:lang w:eastAsia="de-CH"/>
    </w:rPr>
  </w:style>
  <w:style w:type="paragraph" w:customStyle="1" w:styleId="MDPI32textnoindent">
    <w:name w:val="MDPI_3.2_text_no_indent"/>
    <w:basedOn w:val="MDPI31text"/>
    <w:qFormat/>
    <w:pPr>
      <w:ind w:firstLine="0"/>
    </w:pPr>
  </w:style>
  <w:style w:type="paragraph" w:customStyle="1" w:styleId="MDPI31text">
    <w:name w:val="MDPI_3.1_text"/>
    <w:qFormat/>
    <w:pPr>
      <w:adjustRightInd w:val="0"/>
      <w:snapToGrid w:val="0"/>
      <w:spacing w:line="228" w:lineRule="auto"/>
      <w:ind w:left="2608" w:firstLine="425"/>
    </w:pPr>
    <w:rPr>
      <w:rFonts w:eastAsia="Times New Roman"/>
      <w:snapToGrid w:val="0"/>
      <w:color w:val="000000"/>
      <w:szCs w:val="22"/>
      <w:lang w:eastAsia="de-DE" w:bidi="en-US"/>
    </w:rPr>
  </w:style>
  <w:style w:type="paragraph" w:customStyle="1" w:styleId="MDPI33textspaceafter">
    <w:name w:val="MDPI_3.3_text_space_after"/>
    <w:qFormat/>
    <w:pPr>
      <w:adjustRightInd w:val="0"/>
      <w:snapToGrid w:val="0"/>
      <w:spacing w:after="240" w:line="228" w:lineRule="auto"/>
      <w:ind w:left="2608"/>
    </w:pPr>
    <w:rPr>
      <w:rFonts w:eastAsia="Times New Roman"/>
      <w:snapToGrid w:val="0"/>
      <w:color w:val="000000"/>
      <w:szCs w:val="22"/>
      <w:lang w:eastAsia="de-DE" w:bidi="en-US"/>
    </w:rPr>
  </w:style>
  <w:style w:type="paragraph" w:customStyle="1" w:styleId="MDPI35textbeforelist">
    <w:name w:val="MDPI_3.5_text_before_list"/>
    <w:qFormat/>
    <w:pPr>
      <w:adjustRightInd w:val="0"/>
      <w:snapToGrid w:val="0"/>
      <w:spacing w:line="228" w:lineRule="auto"/>
      <w:ind w:left="2608" w:firstLine="425"/>
    </w:pPr>
    <w:rPr>
      <w:rFonts w:eastAsia="Times New Roman"/>
      <w:snapToGrid w:val="0"/>
      <w:color w:val="000000"/>
      <w:szCs w:val="22"/>
      <w:lang w:eastAsia="de-DE" w:bidi="en-US"/>
    </w:rPr>
  </w:style>
  <w:style w:type="paragraph" w:customStyle="1" w:styleId="MDPI36textafterlist">
    <w:name w:val="MDPI_3.6_text_after_list"/>
    <w:qFormat/>
    <w:pPr>
      <w:adjustRightInd w:val="0"/>
      <w:snapToGrid w:val="0"/>
      <w:spacing w:before="120" w:line="228" w:lineRule="auto"/>
      <w:ind w:left="2608"/>
    </w:pPr>
    <w:rPr>
      <w:rFonts w:eastAsia="Times New Roman"/>
      <w:snapToGrid w:val="0"/>
      <w:color w:val="000000"/>
      <w:szCs w:val="22"/>
      <w:lang w:eastAsia="de-DE" w:bidi="en-US"/>
    </w:rPr>
  </w:style>
  <w:style w:type="paragraph" w:customStyle="1" w:styleId="MDPI37itemize">
    <w:name w:val="MDPI_3.7_itemize"/>
    <w:qFormat/>
    <w:pPr>
      <w:adjustRightInd w:val="0"/>
      <w:snapToGrid w:val="0"/>
      <w:spacing w:line="228" w:lineRule="auto"/>
      <w:ind w:left="420" w:hanging="420"/>
    </w:pPr>
    <w:rPr>
      <w:rFonts w:eastAsia="Times New Roman"/>
      <w:color w:val="000000"/>
      <w:szCs w:val="22"/>
      <w:lang w:eastAsia="de-DE" w:bidi="en-US"/>
    </w:rPr>
  </w:style>
  <w:style w:type="paragraph" w:customStyle="1" w:styleId="MDPI38bullet">
    <w:name w:val="MDPI_3.8_bullet"/>
    <w:qFormat/>
    <w:pPr>
      <w:adjustRightInd w:val="0"/>
      <w:snapToGrid w:val="0"/>
      <w:spacing w:line="228" w:lineRule="auto"/>
      <w:ind w:left="720" w:hanging="360"/>
    </w:pPr>
    <w:rPr>
      <w:rFonts w:eastAsia="Times New Roman"/>
      <w:color w:val="000000"/>
      <w:szCs w:val="22"/>
      <w:lang w:eastAsia="de-DE" w:bidi="en-US"/>
    </w:rPr>
  </w:style>
  <w:style w:type="paragraph" w:customStyle="1" w:styleId="MDPI39equation">
    <w:name w:val="MDPI_3.9_equation"/>
    <w:qFormat/>
    <w:pPr>
      <w:adjustRightInd w:val="0"/>
      <w:snapToGrid w:val="0"/>
      <w:spacing w:before="120" w:after="120" w:line="260" w:lineRule="atLeast"/>
      <w:ind w:left="709"/>
      <w:jc w:val="center"/>
    </w:pPr>
    <w:rPr>
      <w:rFonts w:eastAsia="Times New Roman"/>
      <w:snapToGrid w:val="0"/>
      <w:color w:val="000000"/>
      <w:szCs w:val="22"/>
      <w:lang w:eastAsia="de-DE" w:bidi="en-US"/>
    </w:rPr>
  </w:style>
  <w:style w:type="paragraph" w:customStyle="1" w:styleId="MDPI3aequationnumber">
    <w:name w:val="MDPI_3.a_equation_number"/>
    <w:qFormat/>
    <w:pPr>
      <w:spacing w:before="120" w:after="120"/>
      <w:jc w:val="right"/>
    </w:pPr>
    <w:rPr>
      <w:rFonts w:eastAsia="Times New Roman"/>
      <w:snapToGrid w:val="0"/>
      <w:color w:val="000000"/>
      <w:szCs w:val="22"/>
      <w:lang w:eastAsia="de-DE" w:bidi="en-US"/>
    </w:rPr>
  </w:style>
  <w:style w:type="paragraph" w:customStyle="1" w:styleId="MDPI41tablecaption">
    <w:name w:val="MDPI_4.1_table_caption"/>
    <w:qFormat/>
    <w:pPr>
      <w:adjustRightInd w:val="0"/>
      <w:snapToGrid w:val="0"/>
      <w:spacing w:before="240" w:after="120" w:line="228" w:lineRule="auto"/>
      <w:ind w:left="2608"/>
    </w:pPr>
    <w:rPr>
      <w:rFonts w:eastAsia="Times New Roman" w:cs="Cordia New"/>
      <w:color w:val="000000"/>
      <w:sz w:val="18"/>
      <w:szCs w:val="22"/>
      <w:lang w:eastAsia="de-DE" w:bidi="en-US"/>
    </w:rPr>
  </w:style>
  <w:style w:type="paragraph" w:customStyle="1" w:styleId="MDPI42tablebody">
    <w:name w:val="MDPI_4.2_table_body"/>
    <w:qFormat/>
    <w:pPr>
      <w:adjustRightInd w:val="0"/>
      <w:snapToGrid w:val="0"/>
      <w:spacing w:line="260" w:lineRule="atLeast"/>
      <w:jc w:val="center"/>
    </w:pPr>
    <w:rPr>
      <w:rFonts w:eastAsia="Times New Roman"/>
      <w:snapToGrid w:val="0"/>
      <w:color w:val="000000"/>
      <w:lang w:eastAsia="de-DE" w:bidi="en-US"/>
    </w:rPr>
  </w:style>
  <w:style w:type="paragraph" w:customStyle="1" w:styleId="MDPI43tablefooter">
    <w:name w:val="MDPI_4.3_table_footer"/>
    <w:next w:val="MDPI31text"/>
    <w:qFormat/>
    <w:pPr>
      <w:adjustRightInd w:val="0"/>
      <w:snapToGrid w:val="0"/>
      <w:spacing w:line="228" w:lineRule="auto"/>
      <w:ind w:left="2608"/>
    </w:pPr>
    <w:rPr>
      <w:rFonts w:eastAsia="Times New Roman" w:cs="Cordia New"/>
      <w:color w:val="000000"/>
      <w:sz w:val="18"/>
      <w:szCs w:val="22"/>
      <w:lang w:eastAsia="de-DE" w:bidi="en-US"/>
    </w:rPr>
  </w:style>
  <w:style w:type="paragraph" w:customStyle="1" w:styleId="MDPI51figurecaption">
    <w:name w:val="MDPI_5.1_figure_caption"/>
    <w:qFormat/>
    <w:pPr>
      <w:adjustRightInd w:val="0"/>
      <w:snapToGrid w:val="0"/>
      <w:spacing w:before="120" w:after="240" w:line="228" w:lineRule="auto"/>
      <w:ind w:left="2608"/>
    </w:pPr>
    <w:rPr>
      <w:rFonts w:eastAsia="Times New Roman"/>
      <w:color w:val="000000"/>
      <w:sz w:val="18"/>
      <w:lang w:eastAsia="de-DE" w:bidi="en-US"/>
    </w:rPr>
  </w:style>
  <w:style w:type="paragraph" w:customStyle="1" w:styleId="MDPI52figure">
    <w:name w:val="MDPI_5.2_figure"/>
    <w:qFormat/>
    <w:pPr>
      <w:adjustRightInd w:val="0"/>
      <w:snapToGrid w:val="0"/>
      <w:spacing w:before="240" w:after="120"/>
      <w:jc w:val="center"/>
    </w:pPr>
    <w:rPr>
      <w:rFonts w:eastAsia="Times New Roman"/>
      <w:snapToGrid w:val="0"/>
      <w:color w:val="000000"/>
      <w:lang w:eastAsia="de-DE" w:bidi="en-US"/>
    </w:rPr>
  </w:style>
  <w:style w:type="paragraph" w:customStyle="1" w:styleId="MDPIfooterfirstpage">
    <w:name w:val="MDPI_footer_firstpage"/>
    <w:qFormat/>
    <w:pPr>
      <w:tabs>
        <w:tab w:val="right" w:pos="8845"/>
      </w:tabs>
      <w:spacing w:line="160" w:lineRule="exact"/>
    </w:pPr>
    <w:rPr>
      <w:rFonts w:eastAsia="Times New Roman"/>
      <w:color w:val="000000"/>
      <w:sz w:val="16"/>
      <w:lang w:eastAsia="de-DE"/>
    </w:rPr>
  </w:style>
  <w:style w:type="paragraph" w:customStyle="1" w:styleId="MDPI23heading3">
    <w:name w:val="MDPI_2.3_heading3"/>
    <w:qFormat/>
    <w:pPr>
      <w:adjustRightInd w:val="0"/>
      <w:snapToGrid w:val="0"/>
      <w:spacing w:before="60" w:after="60" w:line="228" w:lineRule="auto"/>
      <w:ind w:left="2608"/>
      <w:outlineLvl w:val="2"/>
    </w:pPr>
    <w:rPr>
      <w:rFonts w:eastAsia="Times New Roman"/>
      <w:snapToGrid w:val="0"/>
      <w:color w:val="000000"/>
      <w:szCs w:val="22"/>
      <w:lang w:eastAsia="de-DE" w:bidi="en-US"/>
    </w:rPr>
  </w:style>
  <w:style w:type="paragraph" w:customStyle="1" w:styleId="MDPI21heading1">
    <w:name w:val="MDPI_2.1_heading1"/>
    <w:qFormat/>
    <w:pPr>
      <w:adjustRightInd w:val="0"/>
      <w:snapToGrid w:val="0"/>
      <w:spacing w:before="240" w:after="60" w:line="228" w:lineRule="auto"/>
      <w:ind w:left="2608"/>
      <w:outlineLvl w:val="0"/>
    </w:pPr>
    <w:rPr>
      <w:rFonts w:eastAsia="Times New Roman"/>
      <w:b/>
      <w:snapToGrid w:val="0"/>
      <w:color w:val="000000"/>
      <w:szCs w:val="22"/>
      <w:lang w:eastAsia="de-DE" w:bidi="en-US"/>
    </w:rPr>
  </w:style>
  <w:style w:type="paragraph" w:customStyle="1" w:styleId="MDPI22heading2">
    <w:name w:val="MDPI_2.2_heading2"/>
    <w:qFormat/>
    <w:pPr>
      <w:adjustRightInd w:val="0"/>
      <w:snapToGrid w:val="0"/>
      <w:spacing w:before="60" w:after="60" w:line="228" w:lineRule="auto"/>
      <w:ind w:left="2608"/>
      <w:outlineLvl w:val="1"/>
    </w:pPr>
    <w:rPr>
      <w:rFonts w:eastAsia="Times New Roman"/>
      <w:i/>
      <w:snapToGrid w:val="0"/>
      <w:color w:val="000000"/>
      <w:szCs w:val="22"/>
      <w:lang w:eastAsia="de-DE" w:bidi="en-US"/>
    </w:rPr>
  </w:style>
  <w:style w:type="paragraph" w:customStyle="1" w:styleId="MDPI71References">
    <w:name w:val="MDPI_7.1_References"/>
    <w:qFormat/>
    <w:pPr>
      <w:tabs>
        <w:tab w:val="num" w:pos="720"/>
      </w:tabs>
      <w:adjustRightInd w:val="0"/>
      <w:snapToGrid w:val="0"/>
      <w:spacing w:line="228" w:lineRule="auto"/>
      <w:ind w:left="720" w:hanging="720"/>
    </w:pPr>
    <w:rPr>
      <w:rFonts w:eastAsia="Times New Roman"/>
      <w:color w:val="000000"/>
      <w:sz w:val="18"/>
      <w:lang w:eastAsia="de-DE" w:bidi="en-US"/>
    </w:rPr>
  </w:style>
  <w:style w:type="character" w:customStyle="1" w:styleId="BallontekstChar">
    <w:name w:val="Ballontekst Char"/>
    <w:link w:val="Ballontekst"/>
    <w:uiPriority w:val="99"/>
    <w:rPr>
      <w:rFonts w:ascii="Palatino Linotype" w:hAnsi="Palatino Linotype" w:cs="Tahoma"/>
      <w:color w:val="000000"/>
      <w:szCs w:val="18"/>
    </w:rPr>
  </w:style>
  <w:style w:type="table" w:customStyle="1" w:styleId="MDPI41threelinetable">
    <w:name w:val="MDPI_4.1_three_line_table"/>
    <w:basedOn w:val="Standaardtabel"/>
    <w:uiPriority w:val="99"/>
    <w:qFormat/>
    <w:pPr>
      <w:adjustRightInd w:val="0"/>
      <w:snapToGrid w:val="0"/>
      <w:jc w:val="center"/>
    </w:pPr>
    <w:rPr>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UnresolvedMention1">
    <w:name w:val="Unresolved Mention1"/>
    <w:uiPriority w:val="99"/>
    <w:semiHidden/>
    <w:unhideWhenUsed/>
    <w:rPr>
      <w:color w:val="605E5C"/>
      <w:shd w:val="clear" w:color="auto" w:fill="E1DFDD"/>
    </w:rPr>
  </w:style>
  <w:style w:type="character" w:customStyle="1" w:styleId="VoettekstChar">
    <w:name w:val="Voettekst Char"/>
    <w:link w:val="Voettekst"/>
    <w:uiPriority w:val="99"/>
    <w:rPr>
      <w:rFonts w:ascii="Palatino Linotype" w:hAnsi="Palatino Linotype"/>
      <w:color w:val="000000"/>
      <w:szCs w:val="18"/>
    </w:rPr>
  </w:style>
  <w:style w:type="table" w:customStyle="1" w:styleId="PlainTable41">
    <w:name w:val="Plain Table 41"/>
    <w:basedOn w:val="Standaardtabe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pPr>
      <w:adjustRightInd w:val="0"/>
      <w:snapToGrid w:val="0"/>
      <w:spacing w:before="240" w:line="228" w:lineRule="auto"/>
      <w:ind w:left="2608"/>
    </w:pPr>
    <w:rPr>
      <w:rFonts w:eastAsia="Times New Roman"/>
      <w:snapToGrid w:val="0"/>
      <w:color w:val="000000"/>
      <w:szCs w:val="22"/>
      <w:lang w:eastAsia="de-DE" w:bidi="en-US"/>
    </w:rPr>
  </w:style>
  <w:style w:type="paragraph" w:customStyle="1" w:styleId="MDPI81theorem">
    <w:name w:val="MDPI_8.1_theorem"/>
    <w:qFormat/>
    <w:pPr>
      <w:adjustRightInd w:val="0"/>
      <w:snapToGrid w:val="0"/>
      <w:spacing w:line="228" w:lineRule="auto"/>
      <w:ind w:left="2608"/>
    </w:pPr>
    <w:rPr>
      <w:rFonts w:eastAsia="Times New Roman"/>
      <w:i/>
      <w:snapToGrid w:val="0"/>
      <w:color w:val="000000"/>
      <w:szCs w:val="22"/>
      <w:lang w:eastAsia="de-DE" w:bidi="en-US"/>
    </w:rPr>
  </w:style>
  <w:style w:type="paragraph" w:customStyle="1" w:styleId="MDPI82proof">
    <w:name w:val="MDPI_8.2_proof"/>
    <w:qFormat/>
    <w:pPr>
      <w:adjustRightInd w:val="0"/>
      <w:snapToGrid w:val="0"/>
      <w:spacing w:line="228" w:lineRule="auto"/>
      <w:ind w:left="2608"/>
    </w:pPr>
    <w:rPr>
      <w:rFonts w:eastAsia="Times New Roman"/>
      <w:snapToGrid w:val="0"/>
      <w:color w:val="000000"/>
      <w:szCs w:val="22"/>
      <w:lang w:eastAsia="de-DE" w:bidi="en-US"/>
    </w:rPr>
  </w:style>
  <w:style w:type="paragraph" w:customStyle="1" w:styleId="MDPI61Citation">
    <w:name w:val="MDPI_6.1_Citation"/>
    <w:qFormat/>
    <w:pPr>
      <w:adjustRightInd w:val="0"/>
      <w:snapToGrid w:val="0"/>
      <w:spacing w:line="240" w:lineRule="atLeast"/>
      <w:ind w:right="113"/>
    </w:pPr>
    <w:rPr>
      <w:rFonts w:cs="Cordia New"/>
      <w:sz w:val="14"/>
      <w:szCs w:val="22"/>
      <w:lang w:eastAsia="zh-CN"/>
    </w:rPr>
  </w:style>
  <w:style w:type="paragraph" w:customStyle="1" w:styleId="MDPI62BackMatter">
    <w:name w:val="MDPI_6.2_BackMatter"/>
    <w:qFormat/>
    <w:pPr>
      <w:adjustRightInd w:val="0"/>
      <w:snapToGrid w:val="0"/>
      <w:spacing w:after="120" w:line="228" w:lineRule="auto"/>
      <w:ind w:left="2608"/>
    </w:pPr>
    <w:rPr>
      <w:rFonts w:eastAsia="Times New Roman"/>
      <w:snapToGrid w:val="0"/>
      <w:color w:val="000000"/>
      <w:sz w:val="18"/>
      <w:lang w:eastAsia="en-US" w:bidi="en-US"/>
    </w:rPr>
  </w:style>
  <w:style w:type="paragraph" w:customStyle="1" w:styleId="MDPI63Notes">
    <w:name w:val="MDPI_6.3_Notes"/>
    <w:qFormat/>
    <w:pPr>
      <w:adjustRightInd w:val="0"/>
      <w:snapToGrid w:val="0"/>
      <w:spacing w:after="120" w:line="240" w:lineRule="atLeast"/>
      <w:ind w:right="113"/>
    </w:pPr>
    <w:rPr>
      <w:snapToGrid w:val="0"/>
      <w:color w:val="000000"/>
      <w:sz w:val="14"/>
      <w:lang w:eastAsia="en-US" w:bidi="en-US"/>
    </w:rPr>
  </w:style>
  <w:style w:type="paragraph" w:customStyle="1" w:styleId="MDPI15academiceditor">
    <w:name w:val="MDPI_1.5_academic_editor"/>
    <w:qFormat/>
    <w:pPr>
      <w:adjustRightInd w:val="0"/>
      <w:snapToGrid w:val="0"/>
      <w:spacing w:before="240" w:line="240" w:lineRule="atLeast"/>
      <w:ind w:right="113"/>
    </w:pPr>
    <w:rPr>
      <w:rFonts w:eastAsia="Times New Roman"/>
      <w:color w:val="000000"/>
      <w:sz w:val="14"/>
      <w:szCs w:val="22"/>
      <w:lang w:eastAsia="de-DE" w:bidi="en-US"/>
    </w:rPr>
  </w:style>
  <w:style w:type="paragraph" w:customStyle="1" w:styleId="MDPI19classification">
    <w:name w:val="MDPI_1.9_classification"/>
    <w:qFormat/>
    <w:pPr>
      <w:spacing w:before="240" w:line="260" w:lineRule="atLeast"/>
      <w:ind w:left="113"/>
    </w:pPr>
    <w:rPr>
      <w:rFonts w:eastAsia="Times New Roman"/>
      <w:b/>
      <w:color w:val="000000"/>
      <w:szCs w:val="22"/>
      <w:lang w:eastAsia="de-DE" w:bidi="en-US"/>
    </w:rPr>
  </w:style>
  <w:style w:type="paragraph" w:customStyle="1" w:styleId="MDPI411onetablecaption">
    <w:name w:val="MDPI_4.1.1_one_table_caption"/>
    <w:qFormat/>
    <w:pPr>
      <w:adjustRightInd w:val="0"/>
      <w:snapToGrid w:val="0"/>
      <w:spacing w:before="240" w:after="120" w:line="260" w:lineRule="atLeast"/>
      <w:jc w:val="center"/>
    </w:pPr>
    <w:rPr>
      <w:rFonts w:cs="Cordia New"/>
      <w:color w:val="000000"/>
      <w:sz w:val="18"/>
      <w:szCs w:val="22"/>
      <w:lang w:eastAsia="zh-CN" w:bidi="en-US"/>
    </w:rPr>
  </w:style>
  <w:style w:type="paragraph" w:customStyle="1" w:styleId="MDPI511onefigurecaption">
    <w:name w:val="MDPI_5.1.1_one_figure_caption"/>
    <w:qFormat/>
    <w:pPr>
      <w:adjustRightInd w:val="0"/>
      <w:snapToGrid w:val="0"/>
      <w:spacing w:before="240" w:after="120" w:line="260" w:lineRule="atLeast"/>
      <w:jc w:val="center"/>
    </w:pPr>
    <w:rPr>
      <w:color w:val="000000"/>
      <w:sz w:val="18"/>
      <w:lang w:eastAsia="zh-CN" w:bidi="en-US"/>
    </w:rPr>
  </w:style>
  <w:style w:type="paragraph" w:customStyle="1" w:styleId="MDPI72Copyright">
    <w:name w:val="MDPI_7.2_Copyright"/>
    <w:qFormat/>
    <w:pPr>
      <w:adjustRightInd w:val="0"/>
      <w:snapToGrid w:val="0"/>
      <w:spacing w:before="240" w:line="240" w:lineRule="atLeast"/>
      <w:ind w:right="113"/>
    </w:pPr>
    <w:rPr>
      <w:rFonts w:eastAsia="Times New Roman"/>
      <w:snapToGrid w:val="0"/>
      <w:color w:val="000000"/>
      <w:spacing w:val="-2"/>
      <w:sz w:val="14"/>
      <w:lang w:val="en-GB" w:eastAsia="en-GB"/>
    </w:rPr>
  </w:style>
  <w:style w:type="paragraph" w:customStyle="1" w:styleId="MDPI73CopyrightImage">
    <w:name w:val="MDPI_7.3_CopyrightImage"/>
    <w:pPr>
      <w:adjustRightInd w:val="0"/>
      <w:snapToGrid w:val="0"/>
      <w:spacing w:after="100" w:line="260" w:lineRule="atLeast"/>
      <w:jc w:val="right"/>
    </w:pPr>
    <w:rPr>
      <w:rFonts w:eastAsia="Times New Roman"/>
      <w:color w:val="000000"/>
      <w:lang w:eastAsia="de-CH"/>
    </w:rPr>
  </w:style>
  <w:style w:type="paragraph" w:customStyle="1" w:styleId="MDPIequationFram">
    <w:name w:val="MDPI_equationFram"/>
    <w:qFormat/>
    <w:pPr>
      <w:adjustRightInd w:val="0"/>
      <w:snapToGrid w:val="0"/>
      <w:spacing w:before="120" w:after="120"/>
      <w:jc w:val="center"/>
    </w:pPr>
    <w:rPr>
      <w:rFonts w:eastAsia="Times New Roman"/>
      <w:snapToGrid w:val="0"/>
      <w:color w:val="000000"/>
      <w:szCs w:val="22"/>
      <w:lang w:eastAsia="de-DE" w:bidi="en-US"/>
    </w:rPr>
  </w:style>
  <w:style w:type="paragraph" w:customStyle="1" w:styleId="MDPIfooter">
    <w:name w:val="MDPI_footer"/>
    <w:qFormat/>
    <w:pPr>
      <w:adjustRightInd w:val="0"/>
      <w:snapToGrid w:val="0"/>
      <w:spacing w:before="120" w:line="260" w:lineRule="atLeast"/>
      <w:jc w:val="center"/>
    </w:pPr>
    <w:rPr>
      <w:rFonts w:eastAsia="Times New Roman"/>
      <w:color w:val="000000"/>
      <w:lang w:eastAsia="de-DE"/>
    </w:rPr>
  </w:style>
  <w:style w:type="paragraph" w:customStyle="1" w:styleId="MDPIheader">
    <w:name w:val="MDPI_header"/>
    <w:qFormat/>
    <w:pPr>
      <w:adjustRightInd w:val="0"/>
      <w:snapToGrid w:val="0"/>
      <w:spacing w:after="240" w:line="260" w:lineRule="atLeast"/>
    </w:pPr>
    <w:rPr>
      <w:rFonts w:eastAsia="Times New Roman"/>
      <w:iCs/>
      <w:color w:val="000000"/>
      <w:sz w:val="16"/>
      <w:lang w:eastAsia="de-DE"/>
    </w:rPr>
  </w:style>
  <w:style w:type="paragraph" w:customStyle="1" w:styleId="MDPIheadercitation">
    <w:name w:val="MDPI_header_citation"/>
    <w:qFormat/>
    <w:pPr>
      <w:spacing w:after="240"/>
    </w:pPr>
    <w:rPr>
      <w:rFonts w:eastAsia="Times New Roman"/>
      <w:snapToGrid w:val="0"/>
      <w:color w:val="000000"/>
      <w:sz w:val="18"/>
      <w:lang w:eastAsia="de-DE" w:bidi="en-US"/>
    </w:rPr>
  </w:style>
  <w:style w:type="paragraph" w:customStyle="1" w:styleId="MDPIheadermdpilogo">
    <w:name w:val="MDPI_header_mdpi_logo"/>
    <w:qFormat/>
    <w:pPr>
      <w:adjustRightInd w:val="0"/>
      <w:snapToGrid w:val="0"/>
      <w:spacing w:line="260" w:lineRule="atLeast"/>
      <w:jc w:val="right"/>
    </w:pPr>
    <w:rPr>
      <w:rFonts w:eastAsia="Times New Roman"/>
      <w:color w:val="000000"/>
      <w:sz w:val="24"/>
      <w:szCs w:val="22"/>
      <w:lang w:eastAsia="de-CH"/>
    </w:rPr>
  </w:style>
  <w:style w:type="table" w:customStyle="1" w:styleId="MDPITable">
    <w:name w:val="MDPI_Table"/>
    <w:basedOn w:val="Standaardtabel"/>
    <w:uiPriority w:val="99"/>
    <w:rPr>
      <w:color w:val="000000"/>
      <w:lang w:val="en-CA" w:eastAsia="en-US"/>
    </w:rPr>
    <w:tblPr>
      <w:tblCellMar>
        <w:left w:w="0" w:type="dxa"/>
        <w:right w:w="0" w:type="dxa"/>
      </w:tblCellMar>
    </w:tblPr>
  </w:style>
  <w:style w:type="paragraph" w:customStyle="1" w:styleId="MDPItext">
    <w:name w:val="MDPI_text"/>
    <w:qFormat/>
    <w:pPr>
      <w:spacing w:line="260" w:lineRule="atLeast"/>
      <w:ind w:left="425" w:right="425" w:firstLine="284"/>
    </w:pPr>
    <w:rPr>
      <w:rFonts w:eastAsia="Times New Roman"/>
      <w:snapToGrid w:val="0"/>
      <w:color w:val="000000"/>
      <w:sz w:val="22"/>
      <w:szCs w:val="22"/>
      <w:lang w:eastAsia="de-DE" w:bidi="en-US"/>
    </w:rPr>
  </w:style>
  <w:style w:type="paragraph" w:customStyle="1" w:styleId="MDPItitle">
    <w:name w:val="MDPI_title"/>
    <w:qFormat/>
    <w:pPr>
      <w:adjustRightInd w:val="0"/>
      <w:snapToGrid w:val="0"/>
      <w:spacing w:after="240" w:line="260" w:lineRule="atLeast"/>
    </w:pPr>
    <w:rPr>
      <w:rFonts w:eastAsia="Times New Roman"/>
      <w:b/>
      <w:snapToGrid w:val="0"/>
      <w:color w:val="000000"/>
      <w:sz w:val="36"/>
      <w:lang w:eastAsia="de-DE" w:bidi="en-US"/>
    </w:rPr>
  </w:style>
  <w:style w:type="character" w:customStyle="1" w:styleId="apple-converted-space">
    <w:name w:val="apple-converted-space"/>
  </w:style>
  <w:style w:type="paragraph" w:customStyle="1" w:styleId="Bibliography1">
    <w:name w:val="Bibliography1"/>
    <w:basedOn w:val="Standaard"/>
    <w:next w:val="Standaard"/>
    <w:uiPriority w:val="37"/>
    <w:semiHidden/>
    <w:unhideWhenUsed/>
    <w:qFormat/>
  </w:style>
  <w:style w:type="character" w:customStyle="1" w:styleId="PlattetekstChar">
    <w:name w:val="Platte tekst Char"/>
    <w:link w:val="Plattetekst"/>
    <w:qFormat/>
    <w:rPr>
      <w:rFonts w:ascii="Palatino Linotype" w:hAnsi="Palatino Linotype"/>
      <w:color w:val="000000"/>
      <w:sz w:val="24"/>
      <w:lang w:eastAsia="de-DE"/>
    </w:rPr>
  </w:style>
  <w:style w:type="character" w:customStyle="1" w:styleId="TekstopmerkingChar">
    <w:name w:val="Tekst opmerking Char"/>
    <w:link w:val="Tekstopmerking"/>
    <w:rPr>
      <w:rFonts w:ascii="Palatino Linotype" w:hAnsi="Palatino Linotype"/>
      <w:color w:val="000000"/>
    </w:rPr>
  </w:style>
  <w:style w:type="character" w:customStyle="1" w:styleId="OnderwerpvanopmerkingChar">
    <w:name w:val="Onderwerp van opmerking Char"/>
    <w:link w:val="Onderwerpvanopmerking"/>
    <w:rPr>
      <w:rFonts w:ascii="Palatino Linotype" w:hAnsi="Palatino Linotype"/>
      <w:b/>
      <w:bCs/>
      <w:color w:val="000000"/>
    </w:rPr>
  </w:style>
  <w:style w:type="character" w:customStyle="1" w:styleId="EindnoottekstChar">
    <w:name w:val="Eindnoottekst Char"/>
    <w:link w:val="Eindnoottekst"/>
    <w:semiHidden/>
    <w:qFormat/>
    <w:rPr>
      <w:rFonts w:ascii="Palatino Linotype" w:hAnsi="Palatino Linotype"/>
      <w:color w:val="000000"/>
    </w:rPr>
  </w:style>
  <w:style w:type="character" w:customStyle="1" w:styleId="VoetnoottekstChar">
    <w:name w:val="Voetnoottekst Char"/>
    <w:link w:val="Voetnoottekst"/>
    <w:semiHidden/>
    <w:rPr>
      <w:rFonts w:ascii="Palatino Linotype" w:hAnsi="Palatino Linotype"/>
      <w:color w:val="000000"/>
    </w:rPr>
  </w:style>
  <w:style w:type="paragraph" w:customStyle="1" w:styleId="MsoFootnoteText0">
    <w:name w:val="MsoFootnoteText"/>
    <w:basedOn w:val="Normaalweb"/>
    <w:qFormat/>
    <w:rPr>
      <w:rFonts w:ascii="Times New Roman" w:hAnsi="Times New Roman"/>
    </w:rPr>
  </w:style>
  <w:style w:type="character" w:styleId="Tekstvantijdelijkeaanduiding">
    <w:name w:val="Placeholder Text"/>
    <w:uiPriority w:val="99"/>
    <w:semiHidden/>
    <w:rPr>
      <w:color w:val="808080"/>
    </w:rPr>
  </w:style>
  <w:style w:type="paragraph" w:customStyle="1" w:styleId="MDPI71FootNotes">
    <w:name w:val="MDPI_7.1_FootNotes"/>
    <w:qFormat/>
    <w:pPr>
      <w:tabs>
        <w:tab w:val="num" w:pos="720"/>
      </w:tabs>
      <w:adjustRightInd w:val="0"/>
      <w:snapToGrid w:val="0"/>
      <w:spacing w:line="228" w:lineRule="auto"/>
      <w:ind w:left="720" w:hanging="720"/>
    </w:pPr>
    <w:rPr>
      <w:rFonts w:eastAsiaTheme="minorEastAsia"/>
      <w:color w:val="000000"/>
      <w:sz w:val="18"/>
      <w:lang w:eastAsia="zh-CN"/>
    </w:rPr>
  </w:style>
  <w:style w:type="paragraph" w:customStyle="1" w:styleId="paragraph">
    <w:name w:val="paragraph"/>
    <w:basedOn w:val="Standaard"/>
    <w:pPr>
      <w:spacing w:before="100" w:beforeAutospacing="1" w:after="100" w:afterAutospacing="1" w:line="240" w:lineRule="auto"/>
      <w:jc w:val="left"/>
    </w:pPr>
    <w:rPr>
      <w:rFonts w:ascii="Times New Roman" w:eastAsia="Times New Roman" w:hAnsi="Times New Roman"/>
      <w:color w:val="auto"/>
      <w:sz w:val="24"/>
      <w:szCs w:val="24"/>
    </w:rPr>
  </w:style>
  <w:style w:type="character" w:customStyle="1" w:styleId="normaltextrun">
    <w:name w:val="normaltextrun"/>
    <w:basedOn w:val="Standaardalinea-lettertype"/>
    <w:qFormat/>
  </w:style>
  <w:style w:type="character" w:customStyle="1" w:styleId="eop">
    <w:name w:val="eop"/>
    <w:basedOn w:val="Standaardalinea-lettertype"/>
    <w:qFormat/>
  </w:style>
  <w:style w:type="paragraph" w:customStyle="1" w:styleId="References">
    <w:name w:val="References"/>
    <w:basedOn w:val="Standaard"/>
    <w:qFormat/>
    <w:pPr>
      <w:spacing w:line="240" w:lineRule="auto"/>
      <w:ind w:left="720" w:hanging="720"/>
    </w:pPr>
    <w:rPr>
      <w:rFonts w:ascii="Bodoni SvtyTwo OS ITC TT-Book" w:eastAsia="Times New Roman" w:hAnsi="Bodoni SvtyTwo OS ITC TT-Book"/>
      <w:color w:val="auto"/>
      <w:szCs w:val="24"/>
      <w:lang w:val="en-GB" w:eastAsia="en-US"/>
    </w:rPr>
  </w:style>
  <w:style w:type="paragraph" w:styleId="Lijstalinea">
    <w:name w:val="List Paragraph"/>
    <w:basedOn w:val="Standaard"/>
    <w:uiPriority w:val="34"/>
    <w:qFormat/>
    <w:pPr>
      <w:ind w:left="720"/>
      <w:contextualSpacing/>
    </w:p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Standaardtabel"/>
    <w:tblPr>
      <w:tblStyleRowBandSize w:val="1"/>
      <w:tblStyleColBandSize w:val="1"/>
      <w:tblCellMar>
        <w:left w:w="0" w:type="dxa"/>
        <w:right w:w="0" w:type="dxa"/>
      </w:tblCellMar>
    </w:tblPr>
  </w:style>
  <w:style w:type="table" w:customStyle="1" w:styleId="a0">
    <w:basedOn w:val="Standaardtabel"/>
    <w:pPr>
      <w:spacing w:line="300" w:lineRule="auto"/>
      <w:jc w:val="center"/>
    </w:pPr>
    <w:rPr>
      <w:color w:val="000000"/>
    </w:rPr>
    <w:tblPr>
      <w:tblStyleRowBandSize w:val="1"/>
      <w:tblStyleColBandSize w:val="1"/>
      <w:tblCellMar>
        <w:left w:w="0" w:type="dxa"/>
        <w:right w:w="0" w:type="dxa"/>
      </w:tblCellMar>
    </w:tblPr>
    <w:tcPr>
      <w:vAlign w:val="center"/>
    </w:tcPr>
  </w:style>
  <w:style w:type="table" w:customStyle="1" w:styleId="a1">
    <w:basedOn w:val="Standaardtabel"/>
    <w:pPr>
      <w:spacing w:line="300" w:lineRule="auto"/>
      <w:jc w:val="center"/>
    </w:pPr>
    <w:rPr>
      <w:color w:val="000000"/>
    </w:rPr>
    <w:tblPr>
      <w:tblStyleRowBandSize w:val="1"/>
      <w:tblStyleColBandSize w:val="1"/>
      <w:tblCellMar>
        <w:left w:w="0" w:type="dxa"/>
        <w:right w:w="0" w:type="dxa"/>
      </w:tblCellMar>
    </w:tblPr>
    <w:tcPr>
      <w:vAlign w:val="center"/>
    </w:tcPr>
  </w:style>
  <w:style w:type="table" w:customStyle="1" w:styleId="a2">
    <w:basedOn w:val="Standaardtabel"/>
    <w:pPr>
      <w:spacing w:line="300" w:lineRule="auto"/>
      <w:jc w:val="center"/>
    </w:pPr>
    <w:rPr>
      <w:color w:val="000000"/>
    </w:rPr>
    <w:tblPr>
      <w:tblStyleRowBandSize w:val="1"/>
      <w:tblStyleColBandSize w:val="1"/>
      <w:tblCellMar>
        <w:left w:w="0" w:type="dxa"/>
        <w:right w:w="0" w:type="dxa"/>
      </w:tblCellMar>
    </w:tblPr>
    <w:tcPr>
      <w:vAlign w:val="center"/>
    </w:tcPr>
  </w:style>
  <w:style w:type="table" w:customStyle="1" w:styleId="a3">
    <w:basedOn w:val="Standaardtabel"/>
    <w:tblPr>
      <w:tblStyleRowBandSize w:val="1"/>
      <w:tblStyleColBandSize w:val="1"/>
      <w:tblCellMar>
        <w:left w:w="0" w:type="dxa"/>
        <w:right w:w="0" w:type="dxa"/>
      </w:tblCellMar>
    </w:tblPr>
  </w:style>
  <w:style w:type="table" w:customStyle="1" w:styleId="a4">
    <w:basedOn w:val="Standaardtabel"/>
    <w:pPr>
      <w:spacing w:line="300" w:lineRule="auto"/>
      <w:jc w:val="center"/>
    </w:pPr>
    <w:rPr>
      <w:color w:val="000000"/>
    </w:rPr>
    <w:tblPr>
      <w:tblStyleRowBandSize w:val="1"/>
      <w:tblStyleColBandSize w:val="1"/>
      <w:tblCellMar>
        <w:left w:w="0" w:type="dxa"/>
        <w:right w:w="0" w:type="dxa"/>
      </w:tblCellMar>
    </w:tblPr>
    <w:tcPr>
      <w:vAlign w:val="center"/>
    </w:tcPr>
  </w:style>
  <w:style w:type="table" w:customStyle="1" w:styleId="a5">
    <w:basedOn w:val="Standaardtabel"/>
    <w:pPr>
      <w:spacing w:line="300" w:lineRule="auto"/>
      <w:jc w:val="center"/>
    </w:pPr>
    <w:rPr>
      <w:color w:val="000000"/>
    </w:rPr>
    <w:tblPr>
      <w:tblStyleRowBandSize w:val="1"/>
      <w:tblStyleColBandSize w:val="1"/>
      <w:tblCellMar>
        <w:left w:w="0" w:type="dxa"/>
        <w:right w:w="0" w:type="dxa"/>
      </w:tblCellMar>
    </w:tblPr>
    <w:tcPr>
      <w:vAlign w:val="center"/>
    </w:tcPr>
  </w:style>
  <w:style w:type="table" w:customStyle="1" w:styleId="a6">
    <w:basedOn w:val="Standaardtabel"/>
    <w:pPr>
      <w:spacing w:line="300" w:lineRule="auto"/>
      <w:jc w:val="center"/>
    </w:pPr>
    <w:rPr>
      <w:color w:val="000000"/>
    </w:rPr>
    <w:tblPr>
      <w:tblStyleRowBandSize w:val="1"/>
      <w:tblStyleColBandSize w:val="1"/>
      <w:tblCellMar>
        <w:left w:w="0" w:type="dxa"/>
        <w:right w:w="0" w:type="dxa"/>
      </w:tblCellMar>
    </w:tblPr>
    <w:tcPr>
      <w:vAlign w:val="center"/>
    </w:tcPr>
  </w:style>
  <w:style w:type="table" w:customStyle="1" w:styleId="a7">
    <w:basedOn w:val="Standaardtabel"/>
    <w:pPr>
      <w:spacing w:line="300" w:lineRule="auto"/>
      <w:jc w:val="center"/>
    </w:pPr>
    <w:rPr>
      <w:color w:val="000000"/>
    </w:rPr>
    <w:tblPr>
      <w:tblStyleRowBandSize w:val="1"/>
      <w:tblStyleColBandSize w:val="1"/>
      <w:tblCellMar>
        <w:left w:w="0" w:type="dxa"/>
        <w:right w:w="0" w:type="dxa"/>
      </w:tblCellMar>
    </w:tblPr>
    <w:tcPr>
      <w:vAlign w:val="center"/>
    </w:tcPr>
  </w:style>
  <w:style w:type="table" w:customStyle="1" w:styleId="a8">
    <w:basedOn w:val="Standaardtabel"/>
    <w:pPr>
      <w:spacing w:line="300" w:lineRule="auto"/>
      <w:jc w:val="center"/>
    </w:pPr>
    <w:rPr>
      <w:color w:val="000000"/>
    </w:rPr>
    <w:tblPr>
      <w:tblStyleRowBandSize w:val="1"/>
      <w:tblStyleColBandSize w:val="1"/>
      <w:tblCellMar>
        <w:left w:w="0" w:type="dxa"/>
        <w:right w:w="0" w:type="dxa"/>
      </w:tblCellMar>
    </w:tblPr>
    <w:tcPr>
      <w:vAlign w:val="center"/>
    </w:tcPr>
  </w:style>
  <w:style w:type="table" w:customStyle="1" w:styleId="a9">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a">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b">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c">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d">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e">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0">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1">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2">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3">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4">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5">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6">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7">
    <w:basedOn w:val="Standaardtabel"/>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f8">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9">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a">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b">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c">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d">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fe">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0">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1">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2">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3">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ff4">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5">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6">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7">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8">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9">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ffa">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b">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c">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d">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e">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fff0">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1">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2">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3">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4">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5">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fff6">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7">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8">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9">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a">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fffb">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c">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d">
    <w:basedOn w:val="Standaardtabel"/>
    <w:tblPr>
      <w:tblStyleRowBandSize w:val="1"/>
      <w:tblStyleColBandSize w:val="1"/>
      <w:tblCellMar>
        <w:left w:w="115" w:type="dxa"/>
        <w:right w:w="115" w:type="dxa"/>
      </w:tblCellMar>
    </w:tblPr>
  </w:style>
  <w:style w:type="table" w:customStyle="1" w:styleId="afffe">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f">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ffff0">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f1">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f2">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f3">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f4">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ffff5">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f6">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f7">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f8">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table" w:customStyle="1" w:styleId="affff9">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affffa">
    <w:basedOn w:val="Standaardtabel"/>
    <w:pPr>
      <w:spacing w:line="300" w:lineRule="auto"/>
      <w:jc w:val="center"/>
    </w:pPr>
    <w:rPr>
      <w:color w:val="000000"/>
    </w:rPr>
    <w:tblPr>
      <w:tblStyleRowBandSize w:val="1"/>
      <w:tblStyleColBandSize w:val="1"/>
      <w:tblCellMar>
        <w:left w:w="115" w:type="dxa"/>
        <w:right w:w="115" w:type="dxa"/>
      </w:tblCellMar>
    </w:tblPr>
    <w:tcPr>
      <w:vAlign w:val="center"/>
    </w:tcPr>
  </w:style>
  <w:style w:type="paragraph" w:styleId="Revisie">
    <w:name w:val="Revision"/>
    <w:hidden/>
    <w:uiPriority w:val="99"/>
    <w:semiHidden/>
    <w:rsid w:val="00172F14"/>
    <w:pPr>
      <w:jc w:val="left"/>
    </w:pPr>
    <w:rPr>
      <w:color w:val="000000"/>
      <w:lang w:eastAsia="zh-CN"/>
    </w:rPr>
  </w:style>
  <w:style w:type="paragraph" w:customStyle="1" w:styleId="Heading1">
    <w:name w:val="Heading 1"/>
    <w:basedOn w:val="Standaard"/>
    <w:rsid w:val="008B2EBE"/>
    <w:pPr>
      <w:numPr>
        <w:numId w:val="7"/>
      </w:numPr>
    </w:pPr>
  </w:style>
  <w:style w:type="paragraph" w:customStyle="1" w:styleId="Heading2">
    <w:name w:val="Heading 2"/>
    <w:basedOn w:val="Standaard"/>
    <w:rsid w:val="008B2EBE"/>
    <w:pPr>
      <w:numPr>
        <w:ilvl w:val="1"/>
        <w:numId w:val="7"/>
      </w:numPr>
    </w:pPr>
  </w:style>
  <w:style w:type="paragraph" w:customStyle="1" w:styleId="Heading3">
    <w:name w:val="Heading 3"/>
    <w:basedOn w:val="Standaard"/>
    <w:rsid w:val="008B2EBE"/>
    <w:pPr>
      <w:numPr>
        <w:ilvl w:val="2"/>
        <w:numId w:val="7"/>
      </w:numPr>
    </w:pPr>
  </w:style>
  <w:style w:type="paragraph" w:customStyle="1" w:styleId="Heading4">
    <w:name w:val="Heading 4"/>
    <w:basedOn w:val="Standaard"/>
    <w:rsid w:val="008B2EBE"/>
    <w:pPr>
      <w:numPr>
        <w:ilvl w:val="3"/>
        <w:numId w:val="7"/>
      </w:numPr>
    </w:pPr>
  </w:style>
  <w:style w:type="paragraph" w:customStyle="1" w:styleId="Heading5">
    <w:name w:val="Heading 5"/>
    <w:basedOn w:val="Standaard"/>
    <w:rsid w:val="008B2EBE"/>
    <w:pPr>
      <w:numPr>
        <w:ilvl w:val="4"/>
        <w:numId w:val="7"/>
      </w:numPr>
    </w:pPr>
  </w:style>
  <w:style w:type="paragraph" w:customStyle="1" w:styleId="Heading6">
    <w:name w:val="Heading 6"/>
    <w:basedOn w:val="Standaard"/>
    <w:rsid w:val="008B2EBE"/>
    <w:pPr>
      <w:numPr>
        <w:ilvl w:val="5"/>
        <w:numId w:val="7"/>
      </w:numPr>
    </w:pPr>
  </w:style>
  <w:style w:type="paragraph" w:customStyle="1" w:styleId="Heading7">
    <w:name w:val="Heading 7"/>
    <w:basedOn w:val="Standaard"/>
    <w:rsid w:val="008B2EBE"/>
    <w:pPr>
      <w:numPr>
        <w:ilvl w:val="6"/>
        <w:numId w:val="7"/>
      </w:numPr>
    </w:pPr>
  </w:style>
  <w:style w:type="paragraph" w:customStyle="1" w:styleId="Heading8">
    <w:name w:val="Heading 8"/>
    <w:basedOn w:val="Standaard"/>
    <w:rsid w:val="008B2EBE"/>
    <w:pPr>
      <w:numPr>
        <w:ilvl w:val="7"/>
        <w:numId w:val="7"/>
      </w:numPr>
    </w:pPr>
  </w:style>
  <w:style w:type="paragraph" w:customStyle="1" w:styleId="Heading9">
    <w:name w:val="Heading 9"/>
    <w:basedOn w:val="Standaard"/>
    <w:rsid w:val="008B2EBE"/>
    <w:pPr>
      <w:numPr>
        <w:ilvl w:val="8"/>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ncbi.nlm.nih.gov/pmc/articles/PMC7661949/" TargetMode="External"/><Relationship Id="rId3" Type="http://schemas.openxmlformats.org/officeDocument/2006/relationships/numbering" Target="numbering.xml"/><Relationship Id="rId21" Type="http://schemas.openxmlformats.org/officeDocument/2006/relationships/hyperlink" Target="https://www.who.int/publications/m/item/weekly-epidemiological-update-on-covid-19---18-may-2022"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ncbi.nlm.nih.gov/pmc/articles/PMC7661949/"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who.int/emergencies/disease-outbreak-news/item/2022-DON385"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vOtcRI+/bUriXotWdEJ24mcYg==">AMUW2mUgZCm1EFlv/i/csvcVGr3dY+QTeFPQMmSzUSecINFbV/EtdhPDvYIQT0eTtBHfHnNAptne/HNqCFr+Lb3f/u1HELT7FmHQrN11c4lJGHR89t4T3wndnyNEWEYYMUDeXPjJtraSOovfGib4Ieka/28kvWgk8C3ZryIOvyZ+Jo4UdHFJ1r3Ps9X1QRJXe0gFChi6MkPhn6m94RkRwf0I0N1jSXwe9A==</go:docsCustomData>
</go:gDocsCustomXmlDataStorag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ED87ED-256B-4662-A370-57B461FB8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33208</Words>
  <Characters>189288</Characters>
  <Application>Microsoft Office Word</Application>
  <DocSecurity>0</DocSecurity>
  <Lines>1577</Lines>
  <Paragraphs>444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222052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dc:creator>
  <cp:lastModifiedBy>Clarine van Oel</cp:lastModifiedBy>
  <cp:revision>9</cp:revision>
  <cp:lastPrinted>2023-07-28T11:12:00Z</cp:lastPrinted>
  <dcterms:created xsi:type="dcterms:W3CDTF">2023-07-28T10:47:00Z</dcterms:created>
  <dcterms:modified xsi:type="dcterms:W3CDTF">2023-07-28T11:12:00Z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y fmtid="{D5CDD505-2E9C-101B-9397-08002B2CF9AE}" pid="3" name="KSOProductBuildVer">
    <vt:lpwstr>1033-11.2.0.10307</vt:lpwstr>
  </property>
  <property fmtid="{D5CDD505-2E9C-101B-9397-08002B2CF9AE}" pid="4" name="ICV">
    <vt:lpwstr>0EE0901D2BC646C796DAEE6E3FCF3BC7</vt:lpwstr>
  </property>
  <property fmtid="{D5CDD505-2E9C-101B-9397-08002B2CF9AE}" pid="5" name="Mendeley Document_1">
    <vt:lpwstr>True</vt:lpwstr>
  </property>
  <property fmtid="{D5CDD505-2E9C-101B-9397-08002B2CF9AE}" pid="6" name="Mendeley Unique User Id_1">
    <vt:lpwstr>d68f6773-5524-3d51-a01a-268a9ec76b72</vt:lpwstr>
  </property>
  <property fmtid="{D5CDD505-2E9C-101B-9397-08002B2CF9AE}" pid="7" name="Mendeley Citation Style_1">
    <vt:lpwstr>http://www.zotero.org/styles/apa</vt:lpwstr>
  </property>
  <property fmtid="{D5CDD505-2E9C-101B-9397-08002B2CF9AE}" pid="8" name="Mendeley Recent Style Id 0_1">
    <vt:lpwstr>http://www.zotero.org/styles/american-political-science-association</vt:lpwstr>
  </property>
  <property fmtid="{D5CDD505-2E9C-101B-9397-08002B2CF9AE}" pid="9" name="Mendeley Recent Style Name 0_1">
    <vt:lpwstr>American Political Science Association</vt:lpwstr>
  </property>
  <property fmtid="{D5CDD505-2E9C-101B-9397-08002B2CF9AE}" pid="10" name="Mendeley Recent Style Id 1_1">
    <vt:lpwstr>http://www.zotero.org/styles/apa</vt:lpwstr>
  </property>
  <property fmtid="{D5CDD505-2E9C-101B-9397-08002B2CF9AE}" pid="11" name="Mendeley Recent Style Name 1_1">
    <vt:lpwstr>American Psychological Association 7th edition</vt:lpwstr>
  </property>
  <property fmtid="{D5CDD505-2E9C-101B-9397-08002B2CF9AE}" pid="12" name="Mendeley Recent Style Id 2_1">
    <vt:lpwstr>http://www.zotero.org/styles/american-sociological-association</vt:lpwstr>
  </property>
  <property fmtid="{D5CDD505-2E9C-101B-9397-08002B2CF9AE}" pid="13" name="Mendeley Recent Style Name 2_1">
    <vt:lpwstr>American Sociological Association 6th edition</vt:lpwstr>
  </property>
  <property fmtid="{D5CDD505-2E9C-101B-9397-08002B2CF9AE}" pid="14" name="Mendeley Recent Style Id 3_1">
    <vt:lpwstr>http://www.zotero.org/styles/chicago-author-date</vt:lpwstr>
  </property>
  <property fmtid="{D5CDD505-2E9C-101B-9397-08002B2CF9AE}" pid="15" name="Mendeley Recent Style Name 3_1">
    <vt:lpwstr>Chicago Manual of Style 17th edition (author-date)</vt:lpwstr>
  </property>
  <property fmtid="{D5CDD505-2E9C-101B-9397-08002B2CF9AE}" pid="16" name="Mendeley Recent Style Id 4_1">
    <vt:lpwstr>http://www.zotero.org/styles/harvard-cite-them-right</vt:lpwstr>
  </property>
  <property fmtid="{D5CDD505-2E9C-101B-9397-08002B2CF9AE}" pid="17" name="Mendeley Recent Style Name 4_1">
    <vt:lpwstr>Cite Them Right 10th edition - Harvard</vt:lpwstr>
  </property>
  <property fmtid="{D5CDD505-2E9C-101B-9397-08002B2CF9AE}" pid="18" name="Mendeley Recent Style Id 5_1">
    <vt:lpwstr>http://www.zotero.org/styles/harvard1</vt:lpwstr>
  </property>
  <property fmtid="{D5CDD505-2E9C-101B-9397-08002B2CF9AE}" pid="19" name="Mendeley Recent Style Name 5_1">
    <vt:lpwstr>Harvard reference format 1 (deprecated)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8th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