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210328B9" w:rsidR="004752C1" w:rsidRPr="005C6417" w:rsidRDefault="004752C1" w:rsidP="004752C1">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8B7026">
        <w:rPr>
          <w:rFonts w:ascii="Georgia" w:eastAsiaTheme="minorEastAsia" w:hAnsi="Georgia" w:cs="Arial"/>
          <w:i w:val="0"/>
        </w:rPr>
        <w:t>Classification of (communal) housing typologies for independently living seniors in social housing</w:t>
      </w:r>
    </w:p>
    <w:p w14:paraId="672A6659" w14:textId="77777777" w:rsidR="004752C1" w:rsidRPr="005C6417" w:rsidRDefault="004752C1" w:rsidP="004752C1">
      <w:pPr>
        <w:rPr>
          <w:rFonts w:ascii="Georgia" w:eastAsiaTheme="minorEastAsia" w:hAnsi="Georgia" w:cs="Arial"/>
          <w:lang w:eastAsia="de-DE" w:bidi="en-US"/>
        </w:rPr>
      </w:pPr>
    </w:p>
    <w:p w14:paraId="1A6ED6BA" w14:textId="44D58024" w:rsidR="00A86E9F" w:rsidRPr="005C6417" w:rsidRDefault="008B5F73" w:rsidP="00A86E9F">
      <w:pPr>
        <w:pStyle w:val="MDPI12title"/>
        <w:rPr>
          <w:rFonts w:ascii="Georgia" w:eastAsiaTheme="minorEastAsia" w:hAnsi="Georgia" w:cs="Arial"/>
          <w:b w:val="0"/>
        </w:rPr>
      </w:pPr>
      <w:r>
        <w:rPr>
          <w:rFonts w:ascii="Georgia" w:eastAsiaTheme="minorEastAsia" w:hAnsi="Georgia" w:cs="Arial"/>
          <w:b w:val="0"/>
        </w:rPr>
        <w:t xml:space="preserve">Classification of (communal) housing typologies for independently </w:t>
      </w:r>
      <w:r w:rsidR="00F26D8D">
        <w:rPr>
          <w:rFonts w:ascii="Georgia" w:eastAsiaTheme="minorEastAsia" w:hAnsi="Georgia" w:cs="Arial"/>
          <w:b w:val="0"/>
        </w:rPr>
        <w:t>living seniors in social housing; a TwoStep Cluster analysis</w:t>
      </w:r>
    </w:p>
    <w:p w14:paraId="1E4E8E64" w14:textId="70425764" w:rsidR="00AA684A" w:rsidRPr="005C6417" w:rsidRDefault="007A7560" w:rsidP="00A86E9F">
      <w:pPr>
        <w:pStyle w:val="MDPI13authornames"/>
        <w:rPr>
          <w:rFonts w:ascii="Georgia" w:eastAsiaTheme="minorEastAsia" w:hAnsi="Georgia" w:cs="Arial"/>
          <w:b w:val="0"/>
        </w:rPr>
      </w:pPr>
      <w:r>
        <w:rPr>
          <w:rFonts w:ascii="Georgia" w:eastAsiaTheme="minorEastAsia" w:hAnsi="Georgia" w:cs="Arial"/>
          <w:b w:val="0"/>
        </w:rPr>
        <w:t>Kim Hamers</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00A76488" w:rsidRPr="005C6417">
        <w:rPr>
          <w:rFonts w:ascii="Georgia" w:eastAsiaTheme="minorEastAsia" w:hAnsi="Georgia" w:cs="Arial"/>
          <w:b w:val="0"/>
        </w:rPr>
        <w:t>*</w:t>
      </w:r>
      <w:r w:rsidR="00A86E9F" w:rsidRPr="005C6417">
        <w:rPr>
          <w:rFonts w:ascii="Georgia" w:eastAsiaTheme="minorEastAsia" w:hAnsi="Georgia" w:cs="Arial"/>
          <w:b w:val="0"/>
        </w:rPr>
        <w:t xml:space="preserve">, </w:t>
      </w:r>
      <w:r>
        <w:rPr>
          <w:rFonts w:ascii="Georgia" w:eastAsiaTheme="minorEastAsia" w:hAnsi="Georgia" w:cs="Arial"/>
          <w:b w:val="0"/>
        </w:rPr>
        <w:t>Nienke Moor</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2</w:t>
      </w:r>
      <w:r w:rsidR="00A86E9F" w:rsidRPr="005C6417">
        <w:rPr>
          <w:rFonts w:ascii="Georgia" w:eastAsiaTheme="minorEastAsia" w:hAnsi="Georgia" w:cs="Arial"/>
          <w:b w:val="0"/>
        </w:rPr>
        <w:t xml:space="preserve"> and </w:t>
      </w:r>
      <w:r>
        <w:rPr>
          <w:rFonts w:ascii="Georgia" w:eastAsiaTheme="minorEastAsia" w:hAnsi="Georgia" w:cs="Arial"/>
          <w:b w:val="0"/>
        </w:rPr>
        <w:t>Masi Mohammad</w:t>
      </w:r>
      <w:r w:rsidR="00C95F32">
        <w:rPr>
          <w:rFonts w:ascii="Georgia" w:eastAsiaTheme="minorEastAsia" w:hAnsi="Georgia" w:cs="Arial"/>
          <w:b w:val="0"/>
        </w:rPr>
        <w:t>i</w:t>
      </w:r>
      <w:r w:rsidR="00A86E9F" w:rsidRPr="005C6417">
        <w:rPr>
          <w:rFonts w:ascii="Georgia" w:eastAsiaTheme="minorEastAsia" w:hAnsi="Georgia" w:cs="Arial"/>
          <w:b w:val="0"/>
        </w:rPr>
        <w:t xml:space="preserve"> </w:t>
      </w:r>
      <w:r w:rsidR="001E78B7">
        <w:rPr>
          <w:rFonts w:ascii="Georgia" w:eastAsiaTheme="minorEastAsia" w:hAnsi="Georgia" w:cs="Arial"/>
          <w:b w:val="0"/>
          <w:vertAlign w:val="superscript"/>
        </w:rPr>
        <w:t>3</w:t>
      </w:r>
      <w:r w:rsidR="00A86E9F" w:rsidRPr="005C6417">
        <w:rPr>
          <w:rFonts w:ascii="Georgia" w:eastAsiaTheme="minorEastAsia" w:hAnsi="Georgia" w:cs="Arial"/>
          <w:b w:val="0"/>
          <w:vertAlign w:val="superscript"/>
        </w:rPr>
        <w:t>,</w:t>
      </w:r>
    </w:p>
    <w:p w14:paraId="36B87632" w14:textId="15B4188F"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D86302">
        <w:rPr>
          <w:rFonts w:ascii="Georgia" w:eastAsiaTheme="minorEastAsia" w:hAnsi="Georgia" w:cs="Arial"/>
        </w:rPr>
        <w:t>Architecture in Health</w:t>
      </w:r>
      <w:r w:rsidR="00E009BB">
        <w:rPr>
          <w:rFonts w:ascii="Georgia" w:eastAsiaTheme="minorEastAsia" w:hAnsi="Georgia" w:cs="Arial"/>
        </w:rPr>
        <w:t xml:space="preserve">, </w:t>
      </w:r>
      <w:r w:rsidR="002E204B">
        <w:rPr>
          <w:rFonts w:ascii="Georgia" w:eastAsiaTheme="minorEastAsia" w:hAnsi="Georgia" w:cs="Arial"/>
        </w:rPr>
        <w:t xml:space="preserve">HAN </w:t>
      </w:r>
      <w:r w:rsidR="00E009BB">
        <w:rPr>
          <w:rFonts w:ascii="Georgia" w:eastAsiaTheme="minorEastAsia" w:hAnsi="Georgia" w:cs="Arial"/>
        </w:rPr>
        <w:t>University of Applied Science</w:t>
      </w:r>
      <w:r w:rsidR="00306157">
        <w:rPr>
          <w:rFonts w:ascii="Georgia" w:eastAsiaTheme="minorEastAsia" w:hAnsi="Georgia" w:cs="Arial"/>
        </w:rPr>
        <w:t>s</w:t>
      </w:r>
      <w:r w:rsidR="00A86E9F" w:rsidRPr="005C6417">
        <w:rPr>
          <w:rFonts w:ascii="Georgia" w:eastAsiaTheme="minorEastAsia" w:hAnsi="Georgia" w:cs="Arial"/>
        </w:rPr>
        <w:t xml:space="preserve">; </w:t>
      </w:r>
      <w:r w:rsidR="00306157">
        <w:rPr>
          <w:rFonts w:ascii="Georgia" w:eastAsiaTheme="minorEastAsia" w:hAnsi="Georgia" w:cs="Arial"/>
        </w:rPr>
        <w:t>kim</w:t>
      </w:r>
      <w:r w:rsidR="0033480E">
        <w:rPr>
          <w:rFonts w:ascii="Georgia" w:eastAsiaTheme="minorEastAsia" w:hAnsi="Georgia" w:cs="Arial"/>
        </w:rPr>
        <w:t>.hamers@han.nl</w:t>
      </w:r>
    </w:p>
    <w:p w14:paraId="76E72F97" w14:textId="0BAE0F0B" w:rsidR="001E78B7"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13087A">
        <w:rPr>
          <w:rFonts w:ascii="Georgia" w:eastAsiaTheme="minorEastAsia" w:hAnsi="Georgia" w:cs="Arial"/>
        </w:rPr>
        <w:t xml:space="preserve">Architecture in Health, HAN University of Applied Sciences; </w:t>
      </w:r>
      <w:hyperlink r:id="rId11" w:history="1">
        <w:r w:rsidR="001E78B7" w:rsidRPr="00572271">
          <w:rPr>
            <w:rStyle w:val="Hyperlink"/>
            <w:rFonts w:ascii="Georgia" w:eastAsiaTheme="minorEastAsia" w:hAnsi="Georgia" w:cs="Arial"/>
          </w:rPr>
          <w:t>nienke.moor@han.nl</w:t>
        </w:r>
      </w:hyperlink>
    </w:p>
    <w:p w14:paraId="35986719" w14:textId="188CF882" w:rsidR="00A86E9F" w:rsidRPr="005C6417" w:rsidRDefault="001E78B7" w:rsidP="004752C1">
      <w:pPr>
        <w:pStyle w:val="MDPI16affiliation"/>
        <w:rPr>
          <w:rFonts w:ascii="Georgia" w:eastAsiaTheme="minorEastAsia" w:hAnsi="Georgia" w:cs="Arial"/>
        </w:rPr>
      </w:pPr>
      <w:r>
        <w:rPr>
          <w:rFonts w:ascii="Georgia" w:eastAsiaTheme="minorEastAsia" w:hAnsi="Georgia" w:cs="Arial"/>
          <w:vertAlign w:val="superscript"/>
        </w:rPr>
        <w:t>3</w:t>
      </w:r>
      <w:r w:rsidR="0013087A">
        <w:rPr>
          <w:rFonts w:ascii="Georgia" w:eastAsiaTheme="minorEastAsia" w:hAnsi="Georgia" w:cs="Arial"/>
        </w:rPr>
        <w:t xml:space="preserve"> </w:t>
      </w:r>
      <w:r>
        <w:rPr>
          <w:rFonts w:ascii="Georgia" w:eastAsiaTheme="minorEastAsia" w:hAnsi="Georgia" w:cs="Arial"/>
        </w:rPr>
        <w:tab/>
      </w:r>
      <w:r w:rsidR="00C8554C">
        <w:rPr>
          <w:rFonts w:ascii="Georgia" w:eastAsiaTheme="minorEastAsia" w:hAnsi="Georgia" w:cs="Arial"/>
        </w:rPr>
        <w:t>Eindhoven University of Technology</w:t>
      </w:r>
      <w:r w:rsidR="00A86E9F" w:rsidRPr="005C6417">
        <w:rPr>
          <w:rFonts w:ascii="Georgia" w:eastAsiaTheme="minorEastAsia" w:hAnsi="Georgia" w:cs="Arial"/>
        </w:rPr>
        <w:t>;</w:t>
      </w:r>
      <w:r w:rsidR="00C63945">
        <w:rPr>
          <w:rFonts w:ascii="Georgia" w:eastAsiaTheme="minorEastAsia" w:hAnsi="Georgia" w:cs="Arial"/>
        </w:rPr>
        <w:t xml:space="preserve"> Architecture in Health, HAN University of Applied Sciences; </w:t>
      </w:r>
      <w:r w:rsidR="005E5F3C" w:rsidRPr="005E5F3C">
        <w:rPr>
          <w:rFonts w:ascii="Georgia" w:eastAsiaTheme="minorEastAsia" w:hAnsi="Georgia" w:cs="Arial"/>
        </w:rPr>
        <w:t>m.mohammadi@tue.nl</w:t>
      </w:r>
    </w:p>
    <w:p w14:paraId="122652E0" w14:textId="77777777"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Use * to indicate 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6886"/>
        <w:tblW w:w="2410" w:type="dxa"/>
        <w:tblLayout w:type="fixed"/>
        <w:tblCellMar>
          <w:left w:w="0" w:type="dxa"/>
          <w:right w:w="0" w:type="dxa"/>
        </w:tblCellMar>
        <w:tblLook w:val="04A0" w:firstRow="1" w:lastRow="0" w:firstColumn="1" w:lastColumn="0" w:noHBand="0" w:noVBand="1"/>
      </w:tblPr>
      <w:tblGrid>
        <w:gridCol w:w="2410"/>
      </w:tblGrid>
      <w:tr w:rsidR="00076836" w:rsidRPr="005C6417" w14:paraId="5674BDFC" w14:textId="77777777" w:rsidTr="00076836">
        <w:tc>
          <w:tcPr>
            <w:tcW w:w="2410" w:type="dxa"/>
            <w:shd w:val="clear" w:color="auto" w:fill="auto"/>
          </w:tcPr>
          <w:p w14:paraId="45D1AE56" w14:textId="77777777" w:rsidR="00076836" w:rsidRDefault="00076836" w:rsidP="00076836">
            <w:pPr>
              <w:spacing w:line="240" w:lineRule="auto"/>
              <w:jc w:val="left"/>
              <w:rPr>
                <w:rFonts w:ascii="Georgia" w:eastAsiaTheme="minorEastAsia" w:hAnsi="Georgia" w:cs="Arial"/>
                <w:b/>
                <w:bCs/>
                <w:noProof w:val="0"/>
                <w:color w:val="auto"/>
                <w:sz w:val="14"/>
                <w:szCs w:val="14"/>
              </w:rPr>
            </w:pPr>
          </w:p>
          <w:p w14:paraId="20E08EA4" w14:textId="2C508B48" w:rsidR="00076836" w:rsidRPr="00076836" w:rsidRDefault="00076836" w:rsidP="00076836">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w:t>
            </w:r>
            <w:r>
              <w:rPr>
                <w:rFonts w:ascii="Georgia" w:eastAsiaTheme="minorEastAsia" w:hAnsi="Georgia" w:cs="Arial"/>
                <w:b/>
                <w:bCs/>
                <w:noProof w:val="0"/>
                <w:color w:val="auto"/>
                <w:sz w:val="14"/>
                <w:szCs w:val="14"/>
              </w:rPr>
              <w:br/>
            </w:r>
            <w:r w:rsidRPr="00076836">
              <w:rPr>
                <w:rFonts w:ascii="Georgia" w:eastAsiaTheme="minorEastAsia" w:hAnsi="Georgia" w:cs="Arial"/>
                <w:noProof w:val="0"/>
                <w:color w:val="auto"/>
                <w:sz w:val="14"/>
                <w:szCs w:val="14"/>
              </w:rPr>
              <w:t>Clarine van Oel</w:t>
            </w:r>
            <w:r w:rsidRPr="004C61F7">
              <w:rPr>
                <w:rFonts w:ascii="Georgia" w:eastAsiaTheme="minorEastAsia" w:hAnsi="Georgia" w:cs="Arial"/>
                <w:b/>
                <w:bCs/>
                <w:noProof w:val="0"/>
                <w:color w:val="auto"/>
                <w:sz w:val="14"/>
                <w:szCs w:val="14"/>
              </w:rPr>
              <w:t xml:space="preserve">  </w:t>
            </w:r>
          </w:p>
          <w:p w14:paraId="61CCE2F9" w14:textId="77777777" w:rsidR="00076836" w:rsidRPr="004C61F7" w:rsidRDefault="00076836" w:rsidP="00076836">
            <w:pPr>
              <w:adjustRightInd w:val="0"/>
              <w:snapToGrid w:val="0"/>
              <w:spacing w:line="240" w:lineRule="auto"/>
              <w:jc w:val="left"/>
              <w:rPr>
                <w:rFonts w:ascii="Georgia" w:eastAsiaTheme="minorEastAsia" w:hAnsi="Georgia" w:cs="Arial"/>
                <w:noProof w:val="0"/>
                <w:color w:val="auto"/>
                <w:sz w:val="14"/>
                <w:szCs w:val="22"/>
              </w:rPr>
            </w:pPr>
          </w:p>
          <w:p w14:paraId="0C2C498B" w14:textId="77777777" w:rsidR="00076836" w:rsidRPr="004C61F7" w:rsidRDefault="00076836" w:rsidP="00076836">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1A0E203B" w14:textId="77777777" w:rsidR="00076836" w:rsidRPr="0021700B" w:rsidRDefault="00076836" w:rsidP="00076836">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1A1CD2">
              <w:rPr>
                <w:rFonts w:ascii="Georgia" w:eastAsiaTheme="minorEastAsia" w:hAnsi="Georgia" w:cs="Arial"/>
                <w:lang w:val="en-GB"/>
              </w:rPr>
              <w:t>10.24404/621ced6bb368a4577d493054</w:t>
            </w:r>
            <w:r w:rsidRPr="001A1CD2">
              <w:rPr>
                <w:rFonts w:ascii="Georgia" w:eastAsiaTheme="minorEastAsia" w:hAnsi="Georgia" w:cs="Arial"/>
                <w:b/>
                <w:lang w:val="en-GB"/>
              </w:rPr>
              <w:t xml:space="preserve"> </w:t>
            </w:r>
            <w:r w:rsidRPr="0021700B">
              <w:rPr>
                <w:rFonts w:ascii="Georgia" w:eastAsiaTheme="minorEastAsia" w:hAnsi="Georgia" w:cs="Arial"/>
                <w:lang w:val="en-GB"/>
              </w:rPr>
              <w:t xml:space="preserve"> </w:t>
            </w:r>
          </w:p>
          <w:p w14:paraId="2AF73CE5" w14:textId="77777777" w:rsidR="00076836" w:rsidRDefault="00076836" w:rsidP="00076836">
            <w:pPr>
              <w:pStyle w:val="MDPI14history"/>
              <w:rPr>
                <w:rFonts w:ascii="Georgia" w:eastAsiaTheme="minorEastAsia" w:hAnsi="Georgia" w:cs="Arial"/>
                <w:b/>
                <w:szCs w:val="14"/>
              </w:rPr>
            </w:pPr>
          </w:p>
          <w:p w14:paraId="69E7DF47" w14:textId="5630F612" w:rsidR="00076836" w:rsidRPr="004C61F7" w:rsidRDefault="00076836" w:rsidP="00076836">
            <w:pPr>
              <w:pStyle w:val="MDPI14history"/>
              <w:rPr>
                <w:rFonts w:ascii="Georgia" w:eastAsiaTheme="minorEastAsia" w:hAnsi="Georgia" w:cs="Arial"/>
              </w:rPr>
            </w:pPr>
            <w:r w:rsidRPr="004C61F7">
              <w:rPr>
                <w:rFonts w:ascii="Georgia" w:eastAsiaTheme="minorEastAsia" w:hAnsi="Georgia" w:cs="Arial"/>
                <w:b/>
                <w:szCs w:val="14"/>
              </w:rPr>
              <w:t>Submitted:</w:t>
            </w:r>
            <w:r>
              <w:t xml:space="preserve"> </w:t>
            </w:r>
            <w:r>
              <w:rPr>
                <w:rFonts w:ascii="Georgia" w:eastAsiaTheme="minorEastAsia" w:hAnsi="Georgia" w:cs="Arial"/>
                <w:szCs w:val="14"/>
              </w:rPr>
              <w:t>28 Feb 2022</w:t>
            </w:r>
          </w:p>
          <w:p w14:paraId="7F6D8892" w14:textId="33220AE0" w:rsidR="00076836" w:rsidRPr="004C61F7" w:rsidRDefault="00076836" w:rsidP="00076836">
            <w:pPr>
              <w:pStyle w:val="MDPI14history"/>
              <w:rPr>
                <w:rFonts w:ascii="Georgia" w:eastAsiaTheme="minorEastAsia" w:hAnsi="Georgia" w:cs="Arial"/>
                <w:szCs w:val="14"/>
              </w:rPr>
            </w:pPr>
            <w:r>
              <w:rPr>
                <w:rFonts w:ascii="Georgia" w:eastAsiaTheme="minorEastAsia" w:hAnsi="Georgia" w:cs="Arial"/>
                <w:b/>
                <w:szCs w:val="14"/>
              </w:rPr>
              <w:t>Revised</w:t>
            </w:r>
            <w:r w:rsidRPr="004C61F7">
              <w:rPr>
                <w:rFonts w:ascii="Georgia" w:eastAsiaTheme="minorEastAsia" w:hAnsi="Georgia" w:cs="Arial"/>
                <w:b/>
                <w:szCs w:val="14"/>
              </w:rPr>
              <w:t>:</w:t>
            </w:r>
            <w:r>
              <w:rPr>
                <w:rFonts w:ascii="Georgia" w:eastAsiaTheme="minorEastAsia" w:hAnsi="Georgia" w:cs="Arial"/>
                <w:b/>
                <w:szCs w:val="14"/>
              </w:rPr>
              <w:t xml:space="preserve"> </w:t>
            </w:r>
            <w:r w:rsidRPr="00076836">
              <w:rPr>
                <w:rFonts w:ascii="Georgia" w:eastAsiaTheme="minorEastAsia" w:hAnsi="Georgia" w:cs="Arial"/>
                <w:bCs/>
                <w:szCs w:val="14"/>
              </w:rPr>
              <w:t>10 Jun 2022</w:t>
            </w:r>
          </w:p>
          <w:p w14:paraId="281D4AD1" w14:textId="4AAFB988" w:rsidR="00076836" w:rsidRPr="004C61F7" w:rsidRDefault="00076836" w:rsidP="00076836">
            <w:pPr>
              <w:pStyle w:val="MDPI14history"/>
              <w:spacing w:after="240"/>
              <w:rPr>
                <w:rFonts w:ascii="Georgia" w:eastAsiaTheme="minorEastAsia" w:hAnsi="Georgia" w:cs="Arial"/>
                <w:szCs w:val="14"/>
              </w:rPr>
            </w:pPr>
            <w:r>
              <w:rPr>
                <w:rFonts w:ascii="Georgia" w:eastAsiaTheme="minorEastAsia" w:hAnsi="Georgia" w:cs="Arial"/>
                <w:b/>
                <w:szCs w:val="14"/>
              </w:rPr>
              <w:t>Accepted</w:t>
            </w:r>
            <w:r w:rsidRPr="004C61F7">
              <w:rPr>
                <w:rFonts w:ascii="Georgia" w:eastAsiaTheme="minorEastAsia" w:hAnsi="Georgia" w:cs="Arial"/>
                <w:b/>
                <w:szCs w:val="14"/>
              </w:rPr>
              <w:t>:</w:t>
            </w:r>
            <w:r w:rsidRPr="004C61F7">
              <w:rPr>
                <w:rFonts w:ascii="Georgia" w:eastAsiaTheme="minorEastAsia" w:hAnsi="Georgia" w:cs="Arial"/>
                <w:szCs w:val="14"/>
              </w:rPr>
              <w:t xml:space="preserve"> </w:t>
            </w:r>
            <w:r>
              <w:rPr>
                <w:rFonts w:ascii="Georgia" w:eastAsiaTheme="minorEastAsia" w:hAnsi="Georgia" w:cs="Arial"/>
                <w:szCs w:val="14"/>
              </w:rPr>
              <w:t>12 Jun 2022</w:t>
            </w:r>
          </w:p>
          <w:p w14:paraId="06CBFE7C" w14:textId="2032CCE9" w:rsidR="00076836" w:rsidRPr="004C61F7" w:rsidRDefault="00076836" w:rsidP="0007683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Pr>
                <w:rStyle w:val="normaltextrun"/>
                <w:rFonts w:ascii="Georgia" w:eastAsiaTheme="minorEastAsia" w:hAnsi="Georgia" w:cs="Arial"/>
                <w:b/>
                <w:color w:val="000000" w:themeColor="text1"/>
                <w:sz w:val="14"/>
                <w:szCs w:val="14"/>
              </w:rPr>
              <w:t xml:space="preserve"> </w:t>
            </w:r>
            <w:r w:rsidRPr="001A1CD2">
              <w:rPr>
                <w:rStyle w:val="normaltextrun"/>
                <w:rFonts w:ascii="Georgia" w:eastAsiaTheme="minorEastAsia" w:hAnsi="Georgia" w:cs="Arial"/>
                <w:color w:val="000000" w:themeColor="text1"/>
                <w:sz w:val="14"/>
                <w:szCs w:val="14"/>
              </w:rPr>
              <w:t>Hamers, K., Moor, N. &amp; Mohammadi, M. (2022). Classification of (communal) housing typologies for independently living seniors in social housing; a Two Step Cluster analysis. The Evolving Scholar | ARCH22.</w:t>
            </w:r>
            <w:r w:rsidRPr="001A1CD2">
              <w:rPr>
                <w:rStyle w:val="normaltextrun"/>
                <w:rFonts w:ascii="Georgia" w:eastAsiaTheme="minorEastAsia" w:hAnsi="Georgia" w:cs="Arial"/>
                <w:b/>
                <w:color w:val="000000" w:themeColor="text1"/>
                <w:sz w:val="14"/>
                <w:szCs w:val="14"/>
              </w:rPr>
              <w:t xml:space="preserve"> </w:t>
            </w:r>
            <w:r w:rsidRPr="004C61F7">
              <w:rPr>
                <w:rStyle w:val="normaltextrun"/>
                <w:rFonts w:ascii="Georgia" w:eastAsiaTheme="minorEastAsia" w:hAnsi="Georgia" w:cs="Arial"/>
                <w:color w:val="000000" w:themeColor="text1"/>
                <w:sz w:val="14"/>
                <w:szCs w:val="14"/>
              </w:rPr>
              <w:t xml:space="preserve"> </w:t>
            </w:r>
          </w:p>
          <w:p w14:paraId="5AEE8442" w14:textId="77777777" w:rsidR="00076836" w:rsidRPr="004C61F7" w:rsidRDefault="00076836" w:rsidP="0007683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0B54AE13" w14:textId="77777777" w:rsidR="00076836" w:rsidRDefault="00076836" w:rsidP="00076836">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4AA6B710" w14:textId="53D654A9" w:rsidR="00076836" w:rsidRPr="0058367F" w:rsidRDefault="00076836" w:rsidP="0007683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w:t>
            </w:r>
            <w:r>
              <w:t xml:space="preserve"> </w:t>
            </w:r>
            <w:r w:rsidRPr="001A1CD2">
              <w:rPr>
                <w:rStyle w:val="normaltextrun"/>
                <w:rFonts w:ascii="Georgia" w:eastAsiaTheme="minorEastAsia" w:hAnsi="Georgia" w:cs="Arial"/>
                <w:color w:val="000000" w:themeColor="text1"/>
                <w:sz w:val="14"/>
                <w:szCs w:val="14"/>
              </w:rPr>
              <w:t xml:space="preserve">CC BY </w:t>
            </w:r>
            <w:r w:rsidRPr="004C61F7">
              <w:rPr>
                <w:rStyle w:val="normaltextrun"/>
                <w:rFonts w:ascii="Georgia" w:eastAsiaTheme="minorEastAsia" w:hAnsi="Georgia" w:cs="Arial"/>
                <w:color w:val="000000" w:themeColor="text1"/>
                <w:sz w:val="14"/>
                <w:szCs w:val="14"/>
              </w:rPr>
              <w:t>license</w:t>
            </w:r>
            <w:r>
              <w:rPr>
                <w:rStyle w:val="normaltextrun"/>
                <w:rFonts w:ascii="Georgia" w:eastAsiaTheme="minorEastAsia" w:hAnsi="Georgia" w:cs="Arial"/>
                <w:color w:val="000000" w:themeColor="text1"/>
                <w:sz w:val="14"/>
                <w:szCs w:val="14"/>
              </w:rPr>
              <w:t xml:space="preserve"> (</w:t>
            </w:r>
            <w:r w:rsidRPr="001A1CD2">
              <w:rPr>
                <w:rStyle w:val="normaltextrun"/>
                <w:rFonts w:ascii="Georgia" w:eastAsiaTheme="minorEastAsia" w:hAnsi="Georgia" w:cs="Arial"/>
                <w:color w:val="000000" w:themeColor="text1"/>
                <w:sz w:val="14"/>
                <w:szCs w:val="14"/>
              </w:rPr>
              <w:t>CC BY</w:t>
            </w:r>
            <w:r>
              <w:rPr>
                <w:rStyle w:val="normaltextrun"/>
                <w:rFonts w:ascii="Georgia" w:eastAsiaTheme="minorEastAsia" w:hAnsi="Georgia" w:cs="Arial"/>
                <w:color w:val="000000" w:themeColor="text1"/>
                <w:sz w:val="14"/>
                <w:szCs w:val="14"/>
              </w:rPr>
              <w:t>).</w:t>
            </w:r>
          </w:p>
          <w:p w14:paraId="78C9C86F" w14:textId="77777777" w:rsidR="00076836" w:rsidRPr="004C61F7" w:rsidRDefault="00076836" w:rsidP="0007683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01B528B" w14:textId="0B59053B" w:rsidR="00076836" w:rsidRPr="005C6417" w:rsidRDefault="00076836" w:rsidP="0007683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Pr="001A1CD2">
              <w:rPr>
                <w:rStyle w:val="normaltextrun"/>
                <w:rFonts w:ascii="Georgia" w:eastAsiaTheme="minorEastAsia" w:hAnsi="Georgia" w:cs="Arial"/>
                <w:color w:val="000000" w:themeColor="text1"/>
                <w:sz w:val="14"/>
                <w:szCs w:val="14"/>
              </w:rPr>
              <w:t>Hamers, K., Moor, N. &amp; Mohammadi, M.</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633A8106" w14:textId="77777777" w:rsidR="00076836" w:rsidRPr="005C6417" w:rsidRDefault="00076836" w:rsidP="00076836">
            <w:pPr>
              <w:adjustRightInd w:val="0"/>
              <w:snapToGrid w:val="0"/>
              <w:spacing w:before="60" w:line="240" w:lineRule="atLeast"/>
              <w:ind w:right="113"/>
              <w:rPr>
                <w:rFonts w:ascii="Georgia" w:eastAsiaTheme="minorEastAsia" w:hAnsi="Georgia" w:cs="Arial"/>
                <w:bCs/>
                <w:sz w:val="14"/>
                <w:szCs w:val="14"/>
                <w:lang w:bidi="en-US"/>
              </w:rPr>
            </w:pPr>
          </w:p>
        </w:tc>
      </w:tr>
    </w:tbl>
    <w:p w14:paraId="104B5F79" w14:textId="57A96195" w:rsidR="00CD1016" w:rsidRPr="00CD1016" w:rsidRDefault="00A86E9F" w:rsidP="00CD1016">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CD1016" w:rsidRPr="005337E5">
        <w:t xml:space="preserve">Dutch housing associations focus on communal living with the aim of stimulating social interaction between (older) residents and strengthening cohesion. Although the added value of communal living for social interaction between residents has been discussed in the literature, there is still little known about the broad range of </w:t>
      </w:r>
      <w:r w:rsidR="00984BE1">
        <w:t>type</w:t>
      </w:r>
      <w:r w:rsidR="00CD1016" w:rsidRPr="005337E5">
        <w:t xml:space="preserve">s of communal living for seniors in the social rented sector. Therefore, it seems relevant to explore how socio-spatial factors of communal living that may stimulate social interaction are reflected in different </w:t>
      </w:r>
      <w:r w:rsidR="00984BE1">
        <w:t>type</w:t>
      </w:r>
      <w:r w:rsidR="00CD1016" w:rsidRPr="005337E5">
        <w:t xml:space="preserve">s of communal living in the Netherlands. Based on relevant influencing factors from the scientific literature, we performed an explorative cluster analysis in order to distinguish between </w:t>
      </w:r>
      <w:r w:rsidR="00984BE1">
        <w:t>type</w:t>
      </w:r>
      <w:r w:rsidR="00CD1016" w:rsidRPr="005337E5">
        <w:t xml:space="preserve">s of communal living with quantitative data from national housing association </w:t>
      </w:r>
      <w:proofErr w:type="spellStart"/>
      <w:r w:rsidR="00CD1016" w:rsidRPr="005337E5">
        <w:t>Woonzorg</w:t>
      </w:r>
      <w:proofErr w:type="spellEnd"/>
      <w:r w:rsidR="00CD1016" w:rsidRPr="005337E5">
        <w:t xml:space="preserve"> Nederland. As a result, </w:t>
      </w:r>
      <w:r w:rsidR="00323A3B">
        <w:t>four</w:t>
      </w:r>
      <w:r w:rsidR="00CD1016" w:rsidRPr="005337E5">
        <w:t xml:space="preserve"> </w:t>
      </w:r>
      <w:r w:rsidR="00984BE1">
        <w:t>type</w:t>
      </w:r>
      <w:r w:rsidR="00CD1016" w:rsidRPr="005337E5">
        <w:t xml:space="preserve">s of social communal housing for seniors were identified. Some </w:t>
      </w:r>
      <w:r w:rsidR="00984BE1">
        <w:t>type</w:t>
      </w:r>
      <w:r w:rsidR="00CD1016" w:rsidRPr="005337E5">
        <w:t xml:space="preserve">s distinguish themselves mainly on the basis of spatial factors, while other </w:t>
      </w:r>
      <w:r w:rsidR="00984BE1">
        <w:t>type</w:t>
      </w:r>
      <w:r w:rsidR="00CD1016" w:rsidRPr="005337E5">
        <w:t xml:space="preserve">s mainly differ with regard to social and organizational factors. Strikingly, only two of these </w:t>
      </w:r>
      <w:r w:rsidR="00984BE1">
        <w:t>type</w:t>
      </w:r>
      <w:r w:rsidR="00CD1016" w:rsidRPr="005337E5">
        <w:t xml:space="preserve">s resemble the more intensive forms of communal living as described in the literature. There seems to be a discrepancy between communal living as described in the scientific literature and communal living as it occurs in Dutch social housing. The question of how the different </w:t>
      </w:r>
      <w:r w:rsidR="00984BE1">
        <w:t>type</w:t>
      </w:r>
      <w:r w:rsidR="00CD1016" w:rsidRPr="005337E5">
        <w:t>s of communal living relate to social interaction has yet to be answered.</w:t>
      </w:r>
    </w:p>
    <w:p w14:paraId="2C6F2EDA" w14:textId="369A5789" w:rsidR="00A86E9F" w:rsidRPr="005C6417" w:rsidRDefault="00A86E9F" w:rsidP="005967BC">
      <w:pPr>
        <w:pStyle w:val="MDPI17abstract"/>
        <w:rPr>
          <w:rFonts w:ascii="Georgia" w:eastAsiaTheme="minorEastAsia" w:hAnsi="Georgia" w:cs="Arial"/>
        </w:rPr>
      </w:pPr>
    </w:p>
    <w:p w14:paraId="55CE36C4" w14:textId="6F724B40"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527201" w:rsidRPr="005337E5">
        <w:rPr>
          <w:rFonts w:eastAsiaTheme="minorEastAsia"/>
        </w:rPr>
        <w:t>communal living</w:t>
      </w:r>
      <w:r w:rsidRPr="005337E5">
        <w:rPr>
          <w:rFonts w:eastAsiaTheme="minorEastAsia"/>
        </w:rPr>
        <w:t xml:space="preserve">; </w:t>
      </w:r>
      <w:r w:rsidR="00257E75" w:rsidRPr="005337E5">
        <w:rPr>
          <w:rFonts w:eastAsiaTheme="minorEastAsia"/>
        </w:rPr>
        <w:t>cluster analysis</w:t>
      </w:r>
      <w:r w:rsidRPr="005337E5">
        <w:rPr>
          <w:rFonts w:eastAsiaTheme="minorEastAsia"/>
        </w:rPr>
        <w:t xml:space="preserve">; </w:t>
      </w:r>
      <w:r w:rsidR="00257E75" w:rsidRPr="005337E5">
        <w:rPr>
          <w:rFonts w:eastAsiaTheme="minorEastAsia"/>
        </w:rPr>
        <w:t>typology; seniors; social housing</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5337E5" w:rsidRDefault="00A86E9F" w:rsidP="005337E5">
      <w:pPr>
        <w:pStyle w:val="MDPI21heading1"/>
        <w:rPr>
          <w:rFonts w:eastAsiaTheme="minorEastAsia"/>
        </w:rPr>
      </w:pPr>
      <w:r w:rsidRPr="005337E5">
        <w:rPr>
          <w:rFonts w:eastAsiaTheme="minorEastAsia"/>
        </w:rPr>
        <w:t>1. Introduction</w:t>
      </w:r>
    </w:p>
    <w:p w14:paraId="08575FFD" w14:textId="4FC560E6" w:rsidR="000E7FBE" w:rsidRPr="000E7FBE" w:rsidRDefault="000E7FBE" w:rsidP="000E7FBE">
      <w:pPr>
        <w:pStyle w:val="MDPI31text"/>
      </w:pPr>
      <w:r w:rsidRPr="000E7FBE">
        <w:t xml:space="preserve">Dutch housing associations are investing in </w:t>
      </w:r>
      <w:r w:rsidR="00F94557">
        <w:t>new</w:t>
      </w:r>
      <w:r w:rsidRPr="000E7FBE">
        <w:t xml:space="preserve"> housing</w:t>
      </w:r>
      <w:r w:rsidR="008211A2">
        <w:t xml:space="preserve"> typologies</w:t>
      </w:r>
      <w:r w:rsidRPr="000E7FBE">
        <w:t xml:space="preserve"> for seniors, </w:t>
      </w:r>
      <w:r w:rsidR="00865423">
        <w:t>among which</w:t>
      </w:r>
      <w:r w:rsidRPr="000E7FBE">
        <w:t xml:space="preserve"> communal living, to facilitate ageing in place (Witter, 2018). It is assumed that communal living, due to its strong social component, can stimulate social cohesion and co-reliance among residents, and therefore support ageing in place. Communal living can be described from a social, organizational, and spatial perspective regarding the extent to which residents 'live together'</w:t>
      </w:r>
      <w:r w:rsidR="006E0F58">
        <w:t xml:space="preserve"> (Williams</w:t>
      </w:r>
      <w:r w:rsidR="000A7D80">
        <w:t>, 2005</w:t>
      </w:r>
      <w:r w:rsidR="006E0F58">
        <w:t>)</w:t>
      </w:r>
      <w:r w:rsidRPr="000E7FBE">
        <w:t xml:space="preserve">. For example, in high level communal living, such as cohousing, residents share common space(s), make joint decisions regarding collective life, and are involved in its organization. From literature, there are indications that </w:t>
      </w:r>
      <w:r w:rsidRPr="00ED07BF">
        <w:t>th</w:t>
      </w:r>
      <w:r w:rsidR="00ED07BF" w:rsidRPr="00ED07BF">
        <w:t>is</w:t>
      </w:r>
      <w:r w:rsidRPr="00ED07BF">
        <w:t xml:space="preserve"> high level communal living</w:t>
      </w:r>
      <w:r w:rsidRPr="000E7FBE">
        <w:t xml:space="preserve"> can provide a socio-spatial context that stimulates social interaction</w:t>
      </w:r>
      <w:r w:rsidR="00A777B1">
        <w:t>,</w:t>
      </w:r>
      <w:r w:rsidRPr="000E7FBE">
        <w:t xml:space="preserve"> cohesion, peer support, and possibly provide a buffer against </w:t>
      </w:r>
      <w:r w:rsidRPr="000E7FBE">
        <w:lastRenderedPageBreak/>
        <w:t xml:space="preserve">social loneliness (Choi, 2004; Fromm, 2000; Glass, 2020; Glass &amp; </w:t>
      </w:r>
      <w:proofErr w:type="spellStart"/>
      <w:r w:rsidRPr="000E7FBE">
        <w:t>Plaats</w:t>
      </w:r>
      <w:proofErr w:type="spellEnd"/>
      <w:r w:rsidRPr="000E7FBE">
        <w:t>, 2013; Markle et al., 2015; Pedersen, 2015). Nevertheless, less evidence can be found about the effects</w:t>
      </w:r>
      <w:r w:rsidR="00BE6299">
        <w:t xml:space="preserve"> of different types of communal living</w:t>
      </w:r>
      <w:r w:rsidRPr="000E7FBE">
        <w:t xml:space="preserve"> on</w:t>
      </w:r>
      <w:r w:rsidR="00BE6299">
        <w:t xml:space="preserve"> the</w:t>
      </w:r>
      <w:r w:rsidRPr="000E7FBE">
        <w:t xml:space="preserve"> social wellbeing of seniors in the social rented sector. How </w:t>
      </w:r>
      <w:r w:rsidR="004F1297">
        <w:t xml:space="preserve">spatial, social and organizational </w:t>
      </w:r>
      <w:r w:rsidRPr="000E7FBE">
        <w:t xml:space="preserve">factors of communal living are reflected in Dutch social housing for older residents has been little researched. </w:t>
      </w:r>
    </w:p>
    <w:p w14:paraId="61749BE8" w14:textId="097773CB" w:rsidR="006777A9" w:rsidRDefault="000E7FBE" w:rsidP="00465D96">
      <w:pPr>
        <w:pStyle w:val="MDPI31text"/>
      </w:pPr>
      <w:r w:rsidRPr="000E7FBE">
        <w:t xml:space="preserve">Therefore, this paper addresses the question: how do </w:t>
      </w:r>
      <w:r w:rsidR="00E47264">
        <w:t>spatial, social and organizational</w:t>
      </w:r>
      <w:r w:rsidRPr="000E7FBE">
        <w:t xml:space="preserve"> factors cluster together in </w:t>
      </w:r>
      <w:r w:rsidR="00984BE1">
        <w:t>type</w:t>
      </w:r>
      <w:r w:rsidRPr="000E7FBE">
        <w:t xml:space="preserve">s of communal living for seniors? We first identified from </w:t>
      </w:r>
      <w:r w:rsidR="00853AD5">
        <w:t xml:space="preserve">the </w:t>
      </w:r>
      <w:r w:rsidRPr="000E7FBE">
        <w:t xml:space="preserve">literature, </w:t>
      </w:r>
      <w:r w:rsidR="00853AD5">
        <w:t>relevant s</w:t>
      </w:r>
      <w:r w:rsidR="00B82C01">
        <w:t xml:space="preserve">patial, social and organizational </w:t>
      </w:r>
      <w:r w:rsidRPr="000E7FBE">
        <w:t xml:space="preserve">factors of communal housing in relation to social interaction. Based on </w:t>
      </w:r>
      <w:r w:rsidR="00C26474">
        <w:t>this</w:t>
      </w:r>
      <w:r w:rsidR="00EE0059">
        <w:t xml:space="preserve"> selection of </w:t>
      </w:r>
      <w:r w:rsidR="00527BD0">
        <w:t>influencing</w:t>
      </w:r>
      <w:r w:rsidR="00527BD0" w:rsidRPr="000E7FBE">
        <w:t xml:space="preserve"> </w:t>
      </w:r>
      <w:r w:rsidRPr="000E7FBE">
        <w:t xml:space="preserve">factors, we performed a </w:t>
      </w:r>
      <w:r w:rsidR="0009195E">
        <w:t xml:space="preserve">explorative </w:t>
      </w:r>
      <w:r w:rsidRPr="000E7FBE">
        <w:t>cluster analysis to gain more insight into</w:t>
      </w:r>
      <w:r w:rsidR="00C2013E">
        <w:t xml:space="preserve"> the different types</w:t>
      </w:r>
      <w:r w:rsidRPr="000E7FBE">
        <w:t xml:space="preserve"> of communal housing for seniors</w:t>
      </w:r>
      <w:r w:rsidR="00C2013E">
        <w:t xml:space="preserve"> that can be distinguished</w:t>
      </w:r>
      <w:r w:rsidRPr="000E7FBE">
        <w:t xml:space="preserve"> in the social rented sector. Data has been collected in collaboration with the Dutch housing association </w:t>
      </w:r>
      <w:proofErr w:type="spellStart"/>
      <w:r w:rsidRPr="000E7FBE">
        <w:t>Woonzorg</w:t>
      </w:r>
      <w:proofErr w:type="spellEnd"/>
      <w:r w:rsidRPr="000E7FBE">
        <w:t xml:space="preserve"> Nederland</w:t>
      </w:r>
      <w:r w:rsidR="00867A1A">
        <w:t xml:space="preserve">, which </w:t>
      </w:r>
      <w:r w:rsidR="00774A44">
        <w:t xml:space="preserve">is committed to facilitating pleasant and meaningful living for seniors with the aim of </w:t>
      </w:r>
      <w:r w:rsidR="006D322E">
        <w:t>supporting independent living</w:t>
      </w:r>
      <w:r w:rsidR="00465D96">
        <w:t xml:space="preserve">. </w:t>
      </w:r>
      <w:proofErr w:type="spellStart"/>
      <w:r w:rsidRPr="000E7FBE">
        <w:t>Woonzorg</w:t>
      </w:r>
      <w:proofErr w:type="spellEnd"/>
      <w:r w:rsidRPr="000E7FBE">
        <w:t xml:space="preserve"> offers approximately 30,000 housing units for independently living seniors (+55) with national coverage</w:t>
      </w:r>
      <w:r w:rsidR="007955DC">
        <w:t>.</w:t>
      </w:r>
      <w:r w:rsidRPr="000E7FBE">
        <w:t xml:space="preserve"> </w:t>
      </w:r>
    </w:p>
    <w:p w14:paraId="227E0172" w14:textId="4ACCAE29" w:rsidR="00F35FF0" w:rsidRPr="000E7FBE" w:rsidRDefault="005A32E5" w:rsidP="000E7FBE">
      <w:pPr>
        <w:pStyle w:val="MDPI31text"/>
        <w:rPr>
          <w:rFonts w:eastAsiaTheme="minorEastAsia"/>
        </w:rPr>
      </w:pPr>
      <w:r>
        <w:rPr>
          <w:rFonts w:ascii="Georgia" w:eastAsiaTheme="minorEastAsia" w:hAnsi="Georgia" w:cs="Arial"/>
          <w:noProof/>
          <w:snapToGrid/>
          <w:lang w:val="en-GB" w:eastAsia="en-GB" w:bidi="ar-SA"/>
        </w:rPr>
        <w:drawing>
          <wp:anchor distT="0" distB="0" distL="114300" distR="114300" simplePos="0" relativeHeight="251660288" behindDoc="0" locked="0" layoutInCell="1" allowOverlap="1" wp14:anchorId="63FE976E" wp14:editId="29423EB3">
            <wp:simplePos x="0" y="0"/>
            <wp:positionH relativeFrom="column">
              <wp:posOffset>1669415</wp:posOffset>
            </wp:positionH>
            <wp:positionV relativeFrom="paragraph">
              <wp:posOffset>292100</wp:posOffset>
            </wp:positionV>
            <wp:extent cx="4316095" cy="1673860"/>
            <wp:effectExtent l="0" t="0" r="8255" b="254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6095" cy="1673860"/>
                    </a:xfrm>
                    <a:prstGeom prst="rect">
                      <a:avLst/>
                    </a:prstGeom>
                  </pic:spPr>
                </pic:pic>
              </a:graphicData>
            </a:graphic>
          </wp:anchor>
        </w:drawing>
      </w:r>
    </w:p>
    <w:p w14:paraId="2B6CFE38" w14:textId="77777777" w:rsidR="005337E5" w:rsidRDefault="005337E5" w:rsidP="004215E7">
      <w:pPr>
        <w:pStyle w:val="MDPI31text"/>
        <w:ind w:left="0" w:firstLine="0"/>
        <w:rPr>
          <w:rFonts w:ascii="Georgia" w:eastAsiaTheme="minorEastAsia" w:hAnsi="Georgia" w:cs="Arial"/>
        </w:rPr>
      </w:pPr>
    </w:p>
    <w:p w14:paraId="3C4EACD8" w14:textId="3C98BE63" w:rsidR="00B43474" w:rsidRPr="00127D15" w:rsidRDefault="00B43474" w:rsidP="004D2E51">
      <w:pPr>
        <w:pStyle w:val="MDPI31text"/>
        <w:ind w:left="0" w:firstLine="0"/>
        <w:rPr>
          <w:rFonts w:eastAsiaTheme="minorEastAsia"/>
        </w:rPr>
      </w:pPr>
      <w:r w:rsidRPr="00127D15">
        <w:rPr>
          <w:rFonts w:eastAsiaTheme="minorEastAsia"/>
        </w:rPr>
        <w:t xml:space="preserve">Figure 1. </w:t>
      </w:r>
      <w:r w:rsidR="005F157F" w:rsidRPr="00127D15">
        <w:t>Definition communal living.</w:t>
      </w:r>
    </w:p>
    <w:p w14:paraId="4670FDEE" w14:textId="77777777" w:rsidR="00267814" w:rsidRDefault="00267814" w:rsidP="002837D3">
      <w:pPr>
        <w:pStyle w:val="MDPI21heading1"/>
        <w:rPr>
          <w:rFonts w:eastAsiaTheme="minorEastAsia"/>
        </w:rPr>
      </w:pPr>
    </w:p>
    <w:p w14:paraId="4F0FCEE0" w14:textId="216BFA60" w:rsidR="00A86E9F" w:rsidRPr="002837D3" w:rsidRDefault="00A86E9F" w:rsidP="002837D3">
      <w:pPr>
        <w:pStyle w:val="MDPI21heading1"/>
        <w:rPr>
          <w:rFonts w:eastAsiaTheme="minorEastAsia"/>
        </w:rPr>
      </w:pPr>
      <w:r w:rsidRPr="002837D3">
        <w:rPr>
          <w:rFonts w:eastAsiaTheme="minorEastAsia"/>
        </w:rPr>
        <w:t xml:space="preserve">2. </w:t>
      </w:r>
      <w:r w:rsidR="0040015C" w:rsidRPr="002837D3">
        <w:rPr>
          <w:rFonts w:eastAsiaTheme="minorEastAsia"/>
        </w:rPr>
        <w:t>Theories</w:t>
      </w:r>
      <w:r w:rsidRPr="002837D3">
        <w:rPr>
          <w:rFonts w:eastAsiaTheme="minorEastAsia"/>
        </w:rPr>
        <w:t xml:space="preserve"> and Methods</w:t>
      </w:r>
    </w:p>
    <w:p w14:paraId="5CB60CA5" w14:textId="3FAAFD3C" w:rsidR="00A74438" w:rsidRPr="002837D3" w:rsidRDefault="00563990" w:rsidP="002837D3">
      <w:pPr>
        <w:pStyle w:val="MDPI22heading2"/>
      </w:pPr>
      <w:r w:rsidRPr="002837D3">
        <w:rPr>
          <w:rFonts w:eastAsiaTheme="minorEastAsia"/>
        </w:rPr>
        <w:t xml:space="preserve">2.1 </w:t>
      </w:r>
      <w:r w:rsidR="009B49BC">
        <w:t>Social</w:t>
      </w:r>
      <w:r w:rsidR="00BC7AC3">
        <w:t>,</w:t>
      </w:r>
      <w:r w:rsidR="009B49BC">
        <w:t xml:space="preserve"> organizational</w:t>
      </w:r>
      <w:r w:rsidR="00BC7AC3">
        <w:t>, and spatial</w:t>
      </w:r>
      <w:r w:rsidR="009B49BC">
        <w:t xml:space="preserve"> factors of communal housing </w:t>
      </w:r>
      <w:r w:rsidR="005551AF">
        <w:t>in relation to social interaction</w:t>
      </w:r>
      <w:r w:rsidR="00A74438" w:rsidRPr="002837D3">
        <w:t xml:space="preserve">  </w:t>
      </w:r>
    </w:p>
    <w:p w14:paraId="4F100A01" w14:textId="614B4F64" w:rsidR="00A74438" w:rsidRPr="002837D3" w:rsidRDefault="00A74438" w:rsidP="002837D3">
      <w:pPr>
        <w:pStyle w:val="MDPI31text"/>
      </w:pPr>
      <w:r w:rsidRPr="002837D3">
        <w:t xml:space="preserve">Various studies discuss the social component of communal living in relation to </w:t>
      </w:r>
      <w:r w:rsidR="005551AF">
        <w:t xml:space="preserve">influencing </w:t>
      </w:r>
      <w:r w:rsidRPr="002837D3">
        <w:t>variables, such as the composition of the resident group, the organization of the community, and spatial characteristics of communal housing (e.g. Abu-</w:t>
      </w:r>
      <w:proofErr w:type="spellStart"/>
      <w:r w:rsidRPr="002837D3">
        <w:t>Ghazzeh</w:t>
      </w:r>
      <w:proofErr w:type="spellEnd"/>
      <w:r w:rsidRPr="002837D3">
        <w:t xml:space="preserve">, 1999; McCamant, &amp; </w:t>
      </w:r>
      <w:proofErr w:type="spellStart"/>
      <w:r w:rsidRPr="002837D3">
        <w:t>Durret</w:t>
      </w:r>
      <w:proofErr w:type="spellEnd"/>
      <w:r w:rsidRPr="002837D3">
        <w:t xml:space="preserve">, 1994; Torres-Antonini, 2001). </w:t>
      </w:r>
      <w:r w:rsidR="00EA5CD4">
        <w:t xml:space="preserve">From this perspective, </w:t>
      </w:r>
      <w:r w:rsidRPr="002837D3">
        <w:t>Williams (2005) presents</w:t>
      </w:r>
      <w:r w:rsidR="00EA5CD4">
        <w:t xml:space="preserve"> </w:t>
      </w:r>
      <w:r w:rsidRPr="002837D3">
        <w:t>a framework in which (the potential for) social interaction is related to social, organizational, and spatial factors of communal living</w:t>
      </w:r>
      <w:r w:rsidR="00660DF7">
        <w:t>,</w:t>
      </w:r>
      <w:r w:rsidR="000F3A79">
        <w:t xml:space="preserve"> </w:t>
      </w:r>
      <w:r w:rsidR="00660DF7" w:rsidRPr="00660DF7">
        <w:t>in addition to the personal characteristics of residents</w:t>
      </w:r>
      <w:r w:rsidR="000F3A79">
        <w:t>.</w:t>
      </w:r>
      <w:r w:rsidRPr="002837D3">
        <w:t xml:space="preserve"> Based on this model and additional literature regarding communal housing, we distinguish between these factors of communal living, whereby the combination of these underlying factors results in different </w:t>
      </w:r>
      <w:r w:rsidR="00984BE1">
        <w:t>type</w:t>
      </w:r>
      <w:r w:rsidRPr="002837D3">
        <w:t xml:space="preserve">s of communal housing. </w:t>
      </w:r>
    </w:p>
    <w:p w14:paraId="3FDB3EA3" w14:textId="37780013" w:rsidR="00A74438" w:rsidRPr="002837D3" w:rsidRDefault="00A74438" w:rsidP="007F0C6D">
      <w:pPr>
        <w:pStyle w:val="MDPI31text"/>
        <w:ind w:firstLine="0"/>
      </w:pPr>
      <w:r w:rsidRPr="004C7C80">
        <w:rPr>
          <w:i/>
          <w:iCs/>
        </w:rPr>
        <w:t>Social factors</w:t>
      </w:r>
      <w:r w:rsidRPr="002837D3">
        <w:t xml:space="preserve"> relate to variables </w:t>
      </w:r>
      <w:r w:rsidR="00A5356A">
        <w:t>about the connection between residents</w:t>
      </w:r>
      <w:r w:rsidRPr="002837D3">
        <w:t xml:space="preserve"> and the extent to which the resident group is close-knit, such as </w:t>
      </w:r>
      <w:r w:rsidRPr="004C7C80">
        <w:rPr>
          <w:i/>
          <w:iCs/>
        </w:rPr>
        <w:t>the composition of the resident group, the size of the group, and the lifespan of the community</w:t>
      </w:r>
      <w:r w:rsidRPr="002837D3">
        <w:t xml:space="preserve"> (Williams, 2005). For example a homogeneous composition of the resident group regarding similar values, attitudes, socio-cultural background, or age can create a mutual bond</w:t>
      </w:r>
      <w:r w:rsidR="001D35D4">
        <w:t xml:space="preserve"> </w:t>
      </w:r>
      <w:r w:rsidRPr="002837D3">
        <w:t xml:space="preserve">(Glass &amp; </w:t>
      </w:r>
      <w:proofErr w:type="spellStart"/>
      <w:r w:rsidRPr="002837D3">
        <w:t>Plaats</w:t>
      </w:r>
      <w:proofErr w:type="spellEnd"/>
      <w:r w:rsidRPr="002837D3">
        <w:t>, 2013; Labit, 2015).</w:t>
      </w:r>
      <w:r w:rsidR="00836EB9">
        <w:t xml:space="preserve"> </w:t>
      </w:r>
      <w:r w:rsidR="00F07BC0">
        <w:rPr>
          <w:szCs w:val="20"/>
        </w:rPr>
        <w:t>However</w:t>
      </w:r>
      <w:r w:rsidR="00F07BC0">
        <w:t>, several authors discuss the importance of a healthy mix of (older) ages in order to prevent all</w:t>
      </w:r>
      <w:r w:rsidR="00F07BC0" w:rsidRPr="001E3EF9">
        <w:t xml:space="preserve"> residents from being confronted with vulnerabilities at the same time</w:t>
      </w:r>
      <w:r w:rsidR="00C158A1">
        <w:t xml:space="preserve"> which </w:t>
      </w:r>
      <w:r w:rsidR="00686C79">
        <w:t>m</w:t>
      </w:r>
      <w:r w:rsidR="00686C79" w:rsidRPr="00686C79">
        <w:t>ay affect the extent to which residents can participate</w:t>
      </w:r>
      <w:r w:rsidR="00686C79">
        <w:t xml:space="preserve"> </w:t>
      </w:r>
      <w:r w:rsidR="00C91999">
        <w:t>i</w:t>
      </w:r>
      <w:r w:rsidR="00686C79">
        <w:t xml:space="preserve">n </w:t>
      </w:r>
      <w:r w:rsidR="00C91999">
        <w:t>collective life</w:t>
      </w:r>
      <w:r w:rsidR="00E8779B">
        <w:t xml:space="preserve"> (Fromm, 2012)</w:t>
      </w:r>
      <w:r w:rsidR="00F07BC0" w:rsidRPr="00D92C6A">
        <w:t>.</w:t>
      </w:r>
      <w:r w:rsidR="001073BD">
        <w:t xml:space="preserve"> </w:t>
      </w:r>
    </w:p>
    <w:p w14:paraId="58FED179" w14:textId="08D2FC33" w:rsidR="00A74438" w:rsidRPr="002837D3" w:rsidRDefault="00A74438" w:rsidP="002837D3">
      <w:pPr>
        <w:pStyle w:val="MDPI31text"/>
      </w:pPr>
      <w:r w:rsidRPr="004C7C80">
        <w:rPr>
          <w:i/>
          <w:iCs/>
        </w:rPr>
        <w:t>Organizational factors</w:t>
      </w:r>
      <w:r w:rsidRPr="002837D3">
        <w:t xml:space="preserve"> reflect the (in)formal organization within the community regarding, among other things, </w:t>
      </w:r>
      <w:r w:rsidRPr="004C7C80">
        <w:rPr>
          <w:i/>
          <w:iCs/>
        </w:rPr>
        <w:t xml:space="preserve">the management and maintenance of common areas, participation </w:t>
      </w:r>
      <w:r w:rsidRPr="004C7C80">
        <w:rPr>
          <w:i/>
          <w:iCs/>
        </w:rPr>
        <w:lastRenderedPageBreak/>
        <w:t>in (the organization of) activities</w:t>
      </w:r>
      <w:r w:rsidR="00A8087B">
        <w:rPr>
          <w:i/>
          <w:iCs/>
        </w:rPr>
        <w:t xml:space="preserve"> and tasks</w:t>
      </w:r>
      <w:r w:rsidRPr="004C7C80">
        <w:rPr>
          <w:i/>
          <w:iCs/>
        </w:rPr>
        <w:t>, participation of (future) residents in the developing process, decision making process, and selection of future residents</w:t>
      </w:r>
      <w:r w:rsidRPr="002837D3">
        <w:t xml:space="preserve"> (Williams, 2005). </w:t>
      </w:r>
      <w:r w:rsidR="00767BD2">
        <w:t>For example, i</w:t>
      </w:r>
      <w:r w:rsidRPr="002837D3">
        <w:t xml:space="preserve">nvolvement and responsibility regarding aspects of the collective life ensure residents work together building and maintaining the community, which provides possibilities for social interaction (Jarvis, 2011; Pfaff &amp; Trentham, 2020; Sanguinetti, 2014; </w:t>
      </w:r>
      <w:proofErr w:type="spellStart"/>
      <w:r w:rsidRPr="002837D3">
        <w:t>Tyvimaa</w:t>
      </w:r>
      <w:proofErr w:type="spellEnd"/>
      <w:r w:rsidRPr="002837D3">
        <w:t xml:space="preserve">, 2011). However, </w:t>
      </w:r>
      <w:r w:rsidR="00965138">
        <w:t>involvement</w:t>
      </w:r>
      <w:r w:rsidRPr="002837D3">
        <w:t xml:space="preserve"> can also result in conflict and social </w:t>
      </w:r>
      <w:r w:rsidR="00444F73">
        <w:t>dis</w:t>
      </w:r>
      <w:r w:rsidRPr="002837D3">
        <w:t xml:space="preserve">harmony (Bouma &amp; </w:t>
      </w:r>
      <w:proofErr w:type="spellStart"/>
      <w:r w:rsidRPr="002837D3">
        <w:t>Voorbij</w:t>
      </w:r>
      <w:proofErr w:type="spellEnd"/>
      <w:r w:rsidRPr="002837D3">
        <w:t xml:space="preserve">, 2009; Williams, 2005). Also, residents involvement in the selection process of new residents can offer the opportunity, from both the existing resident group and potential new residents, to explore a mutual (social) connection. In addition, the collaboration between (future) residents and relevant stakeholders, such as the housing associations and welfare organizations, can be relevant for creating opportunities for building </w:t>
      </w:r>
      <w:r w:rsidR="000C1B23">
        <w:t xml:space="preserve">a </w:t>
      </w:r>
      <w:r w:rsidRPr="002837D3">
        <w:t>community (Bresson &amp; Labit, 2019; Glass, 2016).</w:t>
      </w:r>
    </w:p>
    <w:p w14:paraId="42B6FC21" w14:textId="7DF6B097" w:rsidR="00A74438" w:rsidRPr="002837D3" w:rsidRDefault="00A74438" w:rsidP="002837D3">
      <w:pPr>
        <w:pStyle w:val="MDPI31text"/>
      </w:pPr>
      <w:r w:rsidRPr="002837D3">
        <w:t xml:space="preserve">With regard to the </w:t>
      </w:r>
      <w:r w:rsidRPr="00DA7613">
        <w:rPr>
          <w:i/>
          <w:iCs/>
        </w:rPr>
        <w:t>spatial factors</w:t>
      </w:r>
      <w:r w:rsidRPr="002837D3">
        <w:t>, multiple studies refer to the ‘</w:t>
      </w:r>
      <w:r w:rsidRPr="00DA7613">
        <w:rPr>
          <w:i/>
          <w:iCs/>
        </w:rPr>
        <w:t>social contact design principles</w:t>
      </w:r>
      <w:r w:rsidRPr="002837D3">
        <w:t xml:space="preserve">’ which are often applied in cohousing communities to create a context for social interaction. Factors such as proximity of the housing units, the division between private and communal spaces including the existence of buffer zones, parking on the periphery, and shared pathways can facilitate social interaction between residents. </w:t>
      </w:r>
      <w:r w:rsidR="001A3E3B">
        <w:t>A</w:t>
      </w:r>
      <w:r w:rsidRPr="002837D3">
        <w:t>lso central, well-designed, and accessible (indoor and outdoor) communal spaces with opportunity for surveillance can facilitate and stimulate planned or spontaneous encounters between residents (Abu-</w:t>
      </w:r>
      <w:proofErr w:type="spellStart"/>
      <w:r w:rsidRPr="002837D3">
        <w:t>Ghazzeh</w:t>
      </w:r>
      <w:proofErr w:type="spellEnd"/>
      <w:r w:rsidRPr="002837D3">
        <w:t xml:space="preserve">, 1999; Marcus, 2003; McCamant &amp; Durrett, 2011; Torres-Antonini, 2001; Williams, 2005). Although the role of </w:t>
      </w:r>
      <w:r w:rsidRPr="001A3E3B">
        <w:rPr>
          <w:i/>
          <w:iCs/>
        </w:rPr>
        <w:t>technology</w:t>
      </w:r>
      <w:r w:rsidRPr="002837D3">
        <w:t xml:space="preserve"> in communities still seems underexposed, some scholars discuss its (possible) functionalities, such as the application of communication boards or a virtual network within the community, in relation to stimulating social interaction between residents (Bouma et al., 2015; Jarvis, 2011). </w:t>
      </w:r>
    </w:p>
    <w:p w14:paraId="0816E765" w14:textId="3935CED2" w:rsidR="0001620D" w:rsidRDefault="00A74438" w:rsidP="002837D3">
      <w:pPr>
        <w:pStyle w:val="MDPI31text"/>
      </w:pPr>
      <w:r w:rsidRPr="002837D3">
        <w:t xml:space="preserve">Figure 2 shows our modified and more comprehensive model regarding the relationship between personal, social, organizational, and spatial factors of communal living and (the opportunity of) social interaction between residents. </w:t>
      </w:r>
    </w:p>
    <w:p w14:paraId="604C33D1" w14:textId="77777777" w:rsidR="00D4526F" w:rsidRPr="002837D3" w:rsidRDefault="00D4526F" w:rsidP="002837D3">
      <w:pPr>
        <w:pStyle w:val="MDPI31text"/>
        <w:rPr>
          <w:rFonts w:eastAsiaTheme="minorEastAsia"/>
        </w:rPr>
      </w:pPr>
    </w:p>
    <w:p w14:paraId="7B8E00B8" w14:textId="11BE7B4C" w:rsidR="00E72432" w:rsidRDefault="00E72432" w:rsidP="0001620D">
      <w:pPr>
        <w:pStyle w:val="MDPI31text"/>
        <w:rPr>
          <w:rFonts w:ascii="Georgia" w:eastAsiaTheme="minorEastAsia" w:hAnsi="Georgia" w:cs="Arial"/>
        </w:rPr>
      </w:pPr>
    </w:p>
    <w:p w14:paraId="538CCE2D" w14:textId="7919EFF8" w:rsidR="00E72432" w:rsidRDefault="00E72432" w:rsidP="0001620D">
      <w:pPr>
        <w:pStyle w:val="MDPI31text"/>
        <w:rPr>
          <w:rFonts w:ascii="Georgia" w:eastAsiaTheme="minorEastAsia" w:hAnsi="Georgia" w:cs="Arial"/>
        </w:rPr>
      </w:pPr>
      <w:r>
        <w:rPr>
          <w:rFonts w:ascii="Georgia" w:eastAsiaTheme="minorEastAsia" w:hAnsi="Georgia" w:cs="Arial"/>
          <w:noProof/>
          <w:snapToGrid/>
          <w:lang w:val="en-GB" w:eastAsia="en-GB" w:bidi="ar-SA"/>
        </w:rPr>
        <w:drawing>
          <wp:anchor distT="0" distB="0" distL="114300" distR="114300" simplePos="0" relativeHeight="251659264" behindDoc="0" locked="0" layoutInCell="1" allowOverlap="1" wp14:anchorId="23021FEE" wp14:editId="797728B3">
            <wp:simplePos x="0" y="0"/>
            <wp:positionH relativeFrom="column">
              <wp:posOffset>1927860</wp:posOffset>
            </wp:positionH>
            <wp:positionV relativeFrom="paragraph">
              <wp:posOffset>0</wp:posOffset>
            </wp:positionV>
            <wp:extent cx="3943123" cy="3938674"/>
            <wp:effectExtent l="0" t="0" r="635"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3123" cy="3938674"/>
                    </a:xfrm>
                    <a:prstGeom prst="rect">
                      <a:avLst/>
                    </a:prstGeom>
                  </pic:spPr>
                </pic:pic>
              </a:graphicData>
            </a:graphic>
          </wp:anchor>
        </w:drawing>
      </w:r>
    </w:p>
    <w:p w14:paraId="292D41BF" w14:textId="58B5D288" w:rsidR="008E3309" w:rsidRDefault="008E3309" w:rsidP="00127D15">
      <w:pPr>
        <w:pStyle w:val="MDPI51figurecaption"/>
      </w:pPr>
      <w:r w:rsidRPr="00127D15">
        <w:rPr>
          <w:rFonts w:eastAsiaTheme="minorEastAsia"/>
        </w:rPr>
        <w:lastRenderedPageBreak/>
        <w:t xml:space="preserve">Figure </w:t>
      </w:r>
      <w:r w:rsidR="00AC3D0E">
        <w:rPr>
          <w:rFonts w:eastAsiaTheme="minorEastAsia"/>
        </w:rPr>
        <w:t>2</w:t>
      </w:r>
      <w:r w:rsidRPr="00127D15">
        <w:rPr>
          <w:rFonts w:eastAsiaTheme="minorEastAsia"/>
        </w:rPr>
        <w:t xml:space="preserve">. </w:t>
      </w:r>
      <w:r w:rsidR="007123DB" w:rsidRPr="00127D15">
        <w:t xml:space="preserve">The interaction between personal, social, organizational, and spatial factors of communal living and its impact on social interaction (based on Williams, </w:t>
      </w:r>
      <w:r w:rsidR="00CD2A5A">
        <w:t xml:space="preserve">2005, </w:t>
      </w:r>
      <w:r w:rsidR="00107C2E">
        <w:t xml:space="preserve">Fig </w:t>
      </w:r>
      <w:r w:rsidR="00DB1D5C">
        <w:t>8</w:t>
      </w:r>
      <w:r w:rsidR="00852727">
        <w:t>,</w:t>
      </w:r>
      <w:r w:rsidR="00DB1D5C">
        <w:t xml:space="preserve"> p.</w:t>
      </w:r>
      <w:r w:rsidR="00852727">
        <w:t xml:space="preserve"> </w:t>
      </w:r>
      <w:r w:rsidR="00DB1D5C">
        <w:t>221</w:t>
      </w:r>
      <w:r w:rsidR="007123DB" w:rsidRPr="00127D15">
        <w:t>).</w:t>
      </w:r>
    </w:p>
    <w:p w14:paraId="2C628E0D" w14:textId="1BE72E0A" w:rsidR="00267814" w:rsidRPr="00127D15" w:rsidRDefault="00267814" w:rsidP="00127D15">
      <w:pPr>
        <w:pStyle w:val="MDPI51figurecaption"/>
        <w:rPr>
          <w:rFonts w:eastAsiaTheme="minorEastAsia"/>
        </w:rPr>
      </w:pPr>
    </w:p>
    <w:p w14:paraId="75B437FD" w14:textId="0B1B62E5" w:rsidR="00A668C5" w:rsidRPr="00A668C5" w:rsidRDefault="00A668C5" w:rsidP="002837D3">
      <w:pPr>
        <w:pStyle w:val="MDPI22heading2"/>
      </w:pPr>
      <w:r w:rsidRPr="002837D3">
        <w:rPr>
          <w:rFonts w:eastAsiaTheme="minorEastAsia"/>
        </w:rPr>
        <w:t xml:space="preserve">2.2 </w:t>
      </w:r>
      <w:r w:rsidRPr="00A668C5">
        <w:t xml:space="preserve">Method </w:t>
      </w:r>
    </w:p>
    <w:p w14:paraId="1E49143F" w14:textId="14134BC0" w:rsidR="001916A3" w:rsidRDefault="00A668C5" w:rsidP="00A14E79">
      <w:pPr>
        <w:pStyle w:val="MDPI31text"/>
      </w:pPr>
      <w:r w:rsidRPr="00A668C5">
        <w:t>To answer our research question, we performed a</w:t>
      </w:r>
      <w:r w:rsidR="003A7BF6">
        <w:t>n explorative c</w:t>
      </w:r>
      <w:r w:rsidR="009836FB" w:rsidRPr="00A668C5">
        <w:t xml:space="preserve">luster analysis to distinguish between </w:t>
      </w:r>
      <w:r w:rsidR="0084089F">
        <w:t>types</w:t>
      </w:r>
      <w:r w:rsidR="009836FB" w:rsidRPr="00A668C5">
        <w:t xml:space="preserve"> of communal living based on its underlying</w:t>
      </w:r>
      <w:r w:rsidR="009836FB" w:rsidRPr="00F355C3">
        <w:t xml:space="preserve"> </w:t>
      </w:r>
      <w:r w:rsidR="009836FB">
        <w:t>social, organizational, and spatial</w:t>
      </w:r>
      <w:r w:rsidR="009836FB" w:rsidRPr="00A668C5">
        <w:t xml:space="preserve"> factors. </w:t>
      </w:r>
      <w:r w:rsidR="009836FB">
        <w:t xml:space="preserve">The TwoStep Cluster analysis </w:t>
      </w:r>
      <w:r w:rsidR="009836FB" w:rsidRPr="00D3316D">
        <w:t>seems a suitable method to use in the exploratory phase of research in</w:t>
      </w:r>
      <w:r w:rsidR="009836FB">
        <w:t xml:space="preserve"> which, based on relevant factors,</w:t>
      </w:r>
      <w:r w:rsidR="009836FB" w:rsidRPr="00D3316D">
        <w:t xml:space="preserve"> homogeneous </w:t>
      </w:r>
      <w:r w:rsidR="009836FB">
        <w:t>clusters</w:t>
      </w:r>
      <w:r w:rsidR="009836FB" w:rsidRPr="00D3316D">
        <w:t xml:space="preserve"> of cases </w:t>
      </w:r>
      <w:r w:rsidR="009836FB">
        <w:t>within a datafile can be</w:t>
      </w:r>
      <w:r w:rsidR="009836FB" w:rsidRPr="00D3316D">
        <w:t xml:space="preserve"> </w:t>
      </w:r>
      <w:r w:rsidR="009836FB" w:rsidRPr="004605E3">
        <w:t>differentiate</w:t>
      </w:r>
      <w:r w:rsidR="009836FB">
        <w:t xml:space="preserve">d </w:t>
      </w:r>
      <w:r w:rsidR="009836FB">
        <w:fldChar w:fldCharType="begin"/>
      </w:r>
      <w:r w:rsidR="009836FB">
        <w:instrText xml:space="preserve"> ADDIN ZOTERO_ITEM CSL_CITATION {"citationID":"p7C5OQTi","properties":{"formattedCitation":"(Bacher et al., 2004; Chiu et al., 2001)","plainCitation":"(Bacher et al., 2004; Chiu et al., 2001)","noteIndex":0},"citationItems":[{"id":15613,"uris":["http://zotero.org/users/4894758/items/YXXP6EEU"],"itemData":{"id":15613,"type":"book","abstract":"\"SPSS 11.5 and later releases offer a two step clustering method. According to the authors' knowledge the procedure has not been used in the social sciences until now. This situation is surprising: The widely used clustering algorithms, k-means clustering and agglomerative hierarchical techniques, suffer from well known problems, whereas SPSS TwoStep clustering promises to solve at least some of these problems. In particular, mixed type attributes can be handled and the number of clusters is automatically determined. These properties are promising. Therefore, SPSS TwoStep clustering is evaluated in this paper by a simulation study. Summarizing the results of the simulations, SPSS TwoStep performs well if all variables are continuous. The results are less satisfactory, if the variables are of mixed type. One reason for this unsatisfactory finding is the fact that differences in categorical variables are given a higher weight than differences in continuous variables. Different combinations of the categorical variables can dominate the results. In addition, SPSS TwoStep clustering is not able to detect correctly models with no cluster solutions. Latent class models show a better performance. They are able to detect models with no underlying cluster structure, they result more frequently in correct decisions and in less biased estimators.\" (author's abstract)\"SPSS enthält seit Version 11.5 einen Algorithmus zur TwoStep-Clusteranalyse. Dieses Verfahren wurde in den Sozialwissenschaften unseres Wissens nach bisher nicht angewendet. Das ist eigentlich überraschend: Die weit verbreiteten Verfahren der Clusteranalyse, wie k-means und agglomerative hierarchische Verfahren, haben bekannte Schwächen, für die SPSS TwoStep Clustering wenigstens teilweise eine Lösung verspricht: Insbesondere sollen gemischt-skalierte Variablen erlaubt sein und die Anzahl der Cluster automatisch bestimmt werden. Aus diesem Grund wird der neue Algorithmus in diesem Papier mit einer Simulationsstudie evaluiert. SPSS TwoStep ist erfolgreich, wenn die Variabeln quantitativ sind. Für gemischt-skalierte Variablen sind die Ergebnisse jedoch weniger zufrieden stellend. Ein Grund hierfür ist, dass nominalen Variabeln in der Analyse höher gewichtet werden und so verschiedene Variablen-Kombinationen die Ergebnisse dominieren können. Weiterhin findet SPSS TwoStep Cluster, selbst wenn den Daten keine Clusterstruktur zugrunde liegt. Modelle mit latenten Klassen führen hier zu besseren Ergebnissen. Sie erkennen Situationen, in denen keine Clusterstruktur vorliegt, treffen häufiger die richtige Clusterzahl und führen zu weniger verzerrten Schätzern.\" (Autorenreferat)","collection-title":"Arbeits- und Diskussionspapiere / Universität Erlangen-Nürnberg, Sozialwissenschaftliches Institut, Lehrstuhl für Soziologie","event-place":"Nürnberg","language":"en","number-of-pages":"23","publisher":"Universität Erlangen-Nürnberg, Wirtschafts- und Sozialwissenschaftliche Fakultät, Sozialwissenschaftliches Institut Lehrstuhl für Soziologie","publisher-place":"Nürnberg","source":"SSOAR","title":"SPSS TwoStep Cluster - a first evaluation","volume":"2004-2","author":[{"family":"Bacher","given":"Johann"},{"family":"Wenzig","given":"Knut"},{"family":"Vogler","given":"Melanie"}],"issued":{"date-parts":[["2004"]]}}},{"id":15612,"uris":["http://zotero.org/users/4894758/items/B74QEV55"],"itemData":{"id":15612,"type":"paper-conference","abstract":"Clustering is a widely used technique in data mining applications to discover patterns in the underlying data. Most traditional clustering algorithms are limited to handling datasets that contain either continuous or categorical attributes. However, datasets with mixed types of attributes are common in real life data mining problems. In this paper, we propose a distance measure that enables clustering data with both continuous and categorical attributes. This distance measure is derived from a probabilistic model that the distance between two clusters is equivalent to the decrease in log-likelihood function as a result of merging. Calculation of this measure is memory efficient as it depends only on the merging cluster pair and not on all the other clusters. Zhang et al [8] proposed a clustering method named BIRCH that is especially suitable for very large datasets. We develop a clustering algorithm using our distance measure based on the framework of BIRCH. Similar to BIRCH, our algorithm first performs a pre-clustering step by scanning the entire dataset and storing the dense regions of data records in terms of summary statistics. A hierarchical clustering algorithm is then applied to cluster the dense regions. Apart from the ability of handling mixed type of attributes, our algorithm differs from BIRCH in that we add a procedure that enables the algorithm to automatically determine the appropriate number of clusters and a new strategy of assigning cluster membership to noisy data. For data with mixed type of attributes, our experimental results confirm that the algorithm not only generates better quality clusters than the traditional k-means algorithms, but also exhibits good scalability properties and is able to identify the underlying number of clusters in the data correctly. The algorithm is implemented in the commercial data mining tool Clementine 6.0 which supports the PMML standard of data mining model deployment.","container-title":"Proceedings of the seventh ACM SIGKDD international conference on Knowledge discovery and data mining  - KDD '01","DOI":"10.1145/502512.502549","event":"the seventh ACM SIGKDD international conference","event-place":"San Francisco, California","ISBN":"978-1-58113-391-2","language":"en","page":"263-268","publisher":"ACM Press","publisher-place":"San Francisco, California","source":"DOI.org (Crossref)","title":"A robust and scalable clustering algorithm for mixed type attributes in large database environment","URL":"http://portal.acm.org/citation.cfm?doid=502512.502549","author":[{"family":"Chiu","given":"Tom"},{"family":"Fang","given":"DongPing"},{"family":"Chen","given":"John"},{"family":"Wang","given":"Yao"},{"family":"Jeris","given":"Christopher"}],"accessed":{"date-parts":[["2022",5,16]]},"issued":{"date-parts":[["2001"]]}}}],"schema":"https://github.com/citation-style-language/schema/raw/master/csl-citation.json"} </w:instrText>
      </w:r>
      <w:r w:rsidR="009836FB">
        <w:fldChar w:fldCharType="separate"/>
      </w:r>
      <w:r w:rsidR="009836FB" w:rsidRPr="00A5548B">
        <w:t>(Bacher et al., 2004; Chiu et al., 2001)</w:t>
      </w:r>
      <w:r w:rsidR="009836FB">
        <w:fldChar w:fldCharType="end"/>
      </w:r>
      <w:r w:rsidR="009836FB">
        <w:t>. Besides, t</w:t>
      </w:r>
      <w:r w:rsidR="009836FB" w:rsidRPr="00D3316D">
        <w:t xml:space="preserve">he TwoStep Cluster </w:t>
      </w:r>
      <w:r w:rsidR="003A7BF6">
        <w:t>a</w:t>
      </w:r>
      <w:r w:rsidR="009836FB" w:rsidRPr="00D3316D">
        <w:t xml:space="preserve">nalysis </w:t>
      </w:r>
      <w:r w:rsidR="009836FB">
        <w:t xml:space="preserve">allows </w:t>
      </w:r>
      <w:r w:rsidR="009836FB" w:rsidRPr="00D3316D">
        <w:t>using both categorical and continuous variables</w:t>
      </w:r>
      <w:r w:rsidR="009836FB">
        <w:t xml:space="preserve"> </w:t>
      </w:r>
      <w:r w:rsidR="009836FB">
        <w:fldChar w:fldCharType="begin"/>
      </w:r>
      <w:r w:rsidR="009836FB">
        <w:instrText xml:space="preserve"> ADDIN ZOTERO_ITEM CSL_CITATION {"citationID":"v4kiLfCD","properties":{"formattedCitation":"(Bacher et al., 2004)","plainCitation":"(Bacher et al., 2004)","noteIndex":0},"citationItems":[{"id":15613,"uris":["http://zotero.org/users/4894758/items/YXXP6EEU"],"itemData":{"id":15613,"type":"book","abstract":"\"SPSS 11.5 and later releases offer a two step clustering method. According to the authors' knowledge the procedure has not been used in the social sciences until now. This situation is surprising: The widely used clustering algorithms, k-means clustering and agglomerative hierarchical techniques, suffer from well known problems, whereas SPSS TwoStep clustering promises to solve at least some of these problems. In particular, mixed type attributes can be handled and the number of clusters is automatically determined. These properties are promising. Therefore, SPSS TwoStep clustering is evaluated in this paper by a simulation study. Summarizing the results of the simulations, SPSS TwoStep performs well if all variables are continuous. The results are less satisfactory, if the variables are of mixed type. One reason for this unsatisfactory finding is the fact that differences in categorical variables are given a higher weight than differences in continuous variables. Different combinations of the categorical variables can dominate the results. In addition, SPSS TwoStep clustering is not able to detect correctly models with no cluster solutions. Latent class models show a better performance. They are able to detect models with no underlying cluster structure, they result more frequently in correct decisions and in less biased estimators.\" (author's abstract)\"SPSS enthält seit Version 11.5 einen Algorithmus zur TwoStep-Clusteranalyse. Dieses Verfahren wurde in den Sozialwissenschaften unseres Wissens nach bisher nicht angewendet. Das ist eigentlich überraschend: Die weit verbreiteten Verfahren der Clusteranalyse, wie k-means und agglomerative hierarchische Verfahren, haben bekannte Schwächen, für die SPSS TwoStep Clustering wenigstens teilweise eine Lösung verspricht: Insbesondere sollen gemischt-skalierte Variablen erlaubt sein und die Anzahl der Cluster automatisch bestimmt werden. Aus diesem Grund wird der neue Algorithmus in diesem Papier mit einer Simulationsstudie evaluiert. SPSS TwoStep ist erfolgreich, wenn die Variabeln quantitativ sind. Für gemischt-skalierte Variablen sind die Ergebnisse jedoch weniger zufrieden stellend. Ein Grund hierfür ist, dass nominalen Variabeln in der Analyse höher gewichtet werden und so verschiedene Variablen-Kombinationen die Ergebnisse dominieren können. Weiterhin findet SPSS TwoStep Cluster, selbst wenn den Daten keine Clusterstruktur zugrunde liegt. Modelle mit latenten Klassen führen hier zu besseren Ergebnissen. Sie erkennen Situationen, in denen keine Clusterstruktur vorliegt, treffen häufiger die richtige Clusterzahl und führen zu weniger verzerrten Schätzern.\" (Autorenreferat)","collection-title":"Arbeits- und Diskussionspapiere / Universität Erlangen-Nürnberg, Sozialwissenschaftliches Institut, Lehrstuhl für Soziologie","event-place":"Nürnberg","language":"en","number-of-pages":"23","publisher":"Universität Erlangen-Nürnberg, Wirtschafts- und Sozialwissenschaftliche Fakultät, Sozialwissenschaftliches Institut Lehrstuhl für Soziologie","publisher-place":"Nürnberg","source":"SSOAR","title":"SPSS TwoStep Cluster - a first evaluation","volume":"2004-2","author":[{"family":"Bacher","given":"Johann"},{"family":"Wenzig","given":"Knut"},{"family":"Vogler","given":"Melanie"}],"issued":{"date-parts":[["2004"]]}}}],"schema":"https://github.com/citation-style-language/schema/raw/master/csl-citation.json"} </w:instrText>
      </w:r>
      <w:r w:rsidR="009836FB">
        <w:fldChar w:fldCharType="separate"/>
      </w:r>
      <w:r w:rsidR="009836FB" w:rsidRPr="003B3E9E">
        <w:t>(Bacher et al., 2004)</w:t>
      </w:r>
      <w:r w:rsidR="009836FB">
        <w:fldChar w:fldCharType="end"/>
      </w:r>
      <w:r w:rsidR="009836FB" w:rsidRPr="00D3316D">
        <w:t>.</w:t>
      </w:r>
      <w:r w:rsidR="009836FB">
        <w:t xml:space="preserve"> In this study, each case represents a technical complex within the housing stock of </w:t>
      </w:r>
      <w:r w:rsidR="00F5226E">
        <w:t xml:space="preserve">the housing association </w:t>
      </w:r>
      <w:proofErr w:type="spellStart"/>
      <w:r w:rsidR="009836FB">
        <w:t>Woonzorg</w:t>
      </w:r>
      <w:proofErr w:type="spellEnd"/>
      <w:r w:rsidR="009836FB">
        <w:t xml:space="preserve"> Nederland. Cases with (partly) similar</w:t>
      </w:r>
      <w:r w:rsidR="003A7BF6">
        <w:t xml:space="preserve"> social, organizational, and spatial</w:t>
      </w:r>
      <w:r w:rsidR="009836FB">
        <w:t xml:space="preserve"> characteristics will be assigned to a cluster (group of cases) and each cluster will represent a type of (communal) housing. </w:t>
      </w:r>
      <w:r w:rsidR="003F2B0F">
        <w:t xml:space="preserve">Figure 3 </w:t>
      </w:r>
      <w:r w:rsidR="00FA6320">
        <w:t>illustrates the underlying factors of the cluster analysis based on fictious data.</w:t>
      </w:r>
    </w:p>
    <w:p w14:paraId="5884E70C" w14:textId="48389D1C" w:rsidR="00BB2DB8" w:rsidRDefault="00BB2DB8" w:rsidP="00FA6320">
      <w:pPr>
        <w:pStyle w:val="MDPI31text"/>
        <w:ind w:left="0" w:firstLine="0"/>
      </w:pPr>
    </w:p>
    <w:p w14:paraId="3EF02053" w14:textId="77777777" w:rsidR="001F1149" w:rsidRDefault="001F1149" w:rsidP="00FA6320">
      <w:pPr>
        <w:pStyle w:val="MDPI31text"/>
        <w:ind w:left="0" w:firstLine="0"/>
      </w:pPr>
    </w:p>
    <w:p w14:paraId="7505E253" w14:textId="42CED316" w:rsidR="001916A3" w:rsidRDefault="001916A3" w:rsidP="001916A3">
      <w:pPr>
        <w:pStyle w:val="MDPI31text"/>
        <w:rPr>
          <w:rFonts w:ascii="Georgia" w:eastAsiaTheme="minorEastAsia" w:hAnsi="Georgia" w:cs="Arial"/>
        </w:rPr>
      </w:pPr>
    </w:p>
    <w:p w14:paraId="7DC87359" w14:textId="77777777" w:rsidR="001916A3" w:rsidRDefault="001916A3" w:rsidP="001916A3">
      <w:pPr>
        <w:pStyle w:val="MDPI31text"/>
        <w:rPr>
          <w:rFonts w:ascii="Georgia" w:eastAsiaTheme="minorEastAsia" w:hAnsi="Georgia" w:cs="Arial"/>
        </w:rPr>
      </w:pPr>
    </w:p>
    <w:p w14:paraId="2464D5BA" w14:textId="77777777" w:rsidR="001F1149" w:rsidRDefault="001F1149" w:rsidP="001916A3">
      <w:pPr>
        <w:pStyle w:val="MDPI51figurecaption"/>
        <w:rPr>
          <w:rFonts w:eastAsiaTheme="minorEastAsia"/>
        </w:rPr>
      </w:pPr>
    </w:p>
    <w:p w14:paraId="71BBF77B" w14:textId="77777777" w:rsidR="001F1149" w:rsidRDefault="001F1149" w:rsidP="001916A3">
      <w:pPr>
        <w:pStyle w:val="MDPI51figurecaption"/>
        <w:rPr>
          <w:rFonts w:eastAsiaTheme="minorEastAsia"/>
        </w:rPr>
      </w:pPr>
    </w:p>
    <w:p w14:paraId="78D572B1" w14:textId="77777777" w:rsidR="001F1149" w:rsidRDefault="001F1149" w:rsidP="001916A3">
      <w:pPr>
        <w:pStyle w:val="MDPI51figurecaption"/>
        <w:rPr>
          <w:rFonts w:eastAsiaTheme="minorEastAsia"/>
        </w:rPr>
      </w:pPr>
    </w:p>
    <w:p w14:paraId="57F28443" w14:textId="77777777" w:rsidR="001F1149" w:rsidRDefault="001F1149" w:rsidP="001916A3">
      <w:pPr>
        <w:pStyle w:val="MDPI51figurecaption"/>
        <w:rPr>
          <w:rFonts w:eastAsiaTheme="minorEastAsia"/>
        </w:rPr>
      </w:pPr>
    </w:p>
    <w:p w14:paraId="70BAA49C" w14:textId="6E52EF8F" w:rsidR="001F1149" w:rsidRDefault="001F1149" w:rsidP="001916A3">
      <w:pPr>
        <w:pStyle w:val="MDPI51figurecaption"/>
        <w:rPr>
          <w:rFonts w:eastAsiaTheme="minorEastAsia"/>
        </w:rPr>
      </w:pPr>
      <w:r>
        <w:rPr>
          <w:rFonts w:ascii="Georgia" w:eastAsiaTheme="minorEastAsia" w:hAnsi="Georgia" w:cs="Arial"/>
          <w:noProof/>
          <w:lang w:val="en-GB" w:eastAsia="en-GB" w:bidi="ar-SA"/>
        </w:rPr>
        <w:drawing>
          <wp:anchor distT="0" distB="0" distL="114300" distR="114300" simplePos="0" relativeHeight="251657215" behindDoc="0" locked="0" layoutInCell="1" allowOverlap="1" wp14:anchorId="68E260F6" wp14:editId="3CDE0DE6">
            <wp:simplePos x="0" y="0"/>
            <wp:positionH relativeFrom="column">
              <wp:posOffset>1876425</wp:posOffset>
            </wp:positionH>
            <wp:positionV relativeFrom="paragraph">
              <wp:posOffset>241300</wp:posOffset>
            </wp:positionV>
            <wp:extent cx="3771900" cy="352171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1900" cy="3521710"/>
                    </a:xfrm>
                    <a:prstGeom prst="rect">
                      <a:avLst/>
                    </a:prstGeom>
                  </pic:spPr>
                </pic:pic>
              </a:graphicData>
            </a:graphic>
          </wp:anchor>
        </w:drawing>
      </w:r>
    </w:p>
    <w:p w14:paraId="5170792D" w14:textId="77777777" w:rsidR="001F1149" w:rsidRDefault="001F1149" w:rsidP="001916A3">
      <w:pPr>
        <w:pStyle w:val="MDPI51figurecaption"/>
        <w:rPr>
          <w:rFonts w:eastAsiaTheme="minorEastAsia"/>
        </w:rPr>
      </w:pPr>
    </w:p>
    <w:p w14:paraId="0DFE1E70" w14:textId="4EBA0577" w:rsidR="001916A3" w:rsidRDefault="001916A3" w:rsidP="001916A3">
      <w:pPr>
        <w:pStyle w:val="MDPI51figurecaption"/>
        <w:rPr>
          <w:rFonts w:eastAsiaTheme="minorEastAsia"/>
        </w:rPr>
      </w:pPr>
      <w:r w:rsidRPr="00127D15">
        <w:rPr>
          <w:rFonts w:eastAsiaTheme="minorEastAsia"/>
        </w:rPr>
        <w:lastRenderedPageBreak/>
        <w:t xml:space="preserve">Figure </w:t>
      </w:r>
      <w:r w:rsidR="00F50E37">
        <w:rPr>
          <w:rFonts w:eastAsiaTheme="minorEastAsia"/>
        </w:rPr>
        <w:t>3</w:t>
      </w:r>
      <w:r w:rsidRPr="00127D15">
        <w:rPr>
          <w:rFonts w:eastAsiaTheme="minorEastAsia"/>
        </w:rPr>
        <w:t xml:space="preserve">. </w:t>
      </w:r>
      <w:r w:rsidRPr="00AC3D0E">
        <w:rPr>
          <w:rFonts w:eastAsiaTheme="minorEastAsia"/>
        </w:rPr>
        <w:t xml:space="preserve">Graphical illustration of the </w:t>
      </w:r>
      <w:r>
        <w:rPr>
          <w:rFonts w:eastAsiaTheme="minorEastAsia"/>
        </w:rPr>
        <w:t xml:space="preserve">underlying </w:t>
      </w:r>
      <w:r w:rsidRPr="00AC3D0E">
        <w:rPr>
          <w:rFonts w:eastAsiaTheme="minorEastAsia"/>
        </w:rPr>
        <w:t>factors o</w:t>
      </w:r>
      <w:r>
        <w:rPr>
          <w:rFonts w:eastAsiaTheme="minorEastAsia"/>
        </w:rPr>
        <w:t>f</w:t>
      </w:r>
      <w:r w:rsidRPr="00AC3D0E">
        <w:rPr>
          <w:rFonts w:eastAsiaTheme="minorEastAsia"/>
        </w:rPr>
        <w:t xml:space="preserve"> the cluster analysis</w:t>
      </w:r>
      <w:r>
        <w:rPr>
          <w:rFonts w:eastAsiaTheme="minorEastAsia"/>
        </w:rPr>
        <w:t xml:space="preserve"> based on fictious data</w:t>
      </w:r>
      <w:r w:rsidRPr="00AC3D0E">
        <w:rPr>
          <w:rFonts w:eastAsiaTheme="minorEastAsia"/>
        </w:rPr>
        <w:t>.</w:t>
      </w:r>
    </w:p>
    <w:p w14:paraId="6215AFCB" w14:textId="6BFD55AA" w:rsidR="001916A3" w:rsidRDefault="001916A3" w:rsidP="00A14E79">
      <w:pPr>
        <w:pStyle w:val="MDPI31text"/>
      </w:pPr>
    </w:p>
    <w:p w14:paraId="79564D5F" w14:textId="037E5F63" w:rsidR="00C908BA" w:rsidRDefault="00D233BE" w:rsidP="00A14E79">
      <w:pPr>
        <w:pStyle w:val="MDPI31text"/>
      </w:pPr>
      <w:r>
        <w:t xml:space="preserve"> </w:t>
      </w:r>
    </w:p>
    <w:p w14:paraId="7FBDE803" w14:textId="0E968B15" w:rsidR="00660A96" w:rsidRDefault="00A668C5" w:rsidP="00660A96">
      <w:pPr>
        <w:pStyle w:val="MDPI31text"/>
      </w:pPr>
      <w:r w:rsidRPr="00A668C5">
        <w:t xml:space="preserve">To explore these factors within the housing stock of </w:t>
      </w:r>
      <w:proofErr w:type="spellStart"/>
      <w:r w:rsidR="00AF25F0">
        <w:t>Woonzorg</w:t>
      </w:r>
      <w:proofErr w:type="spellEnd"/>
      <w:r w:rsidR="00AF25F0">
        <w:t xml:space="preserve"> Nederland</w:t>
      </w:r>
      <w:r w:rsidRPr="00A668C5">
        <w:t xml:space="preserve">, data was collected through </w:t>
      </w:r>
      <w:r w:rsidR="00247592">
        <w:t xml:space="preserve">1) </w:t>
      </w:r>
      <w:r w:rsidRPr="00A668C5">
        <w:t xml:space="preserve">a survey among </w:t>
      </w:r>
      <w:r w:rsidR="00CA6113">
        <w:t>building managers</w:t>
      </w:r>
      <w:r w:rsidRPr="00A668C5">
        <w:t xml:space="preserve"> (</w:t>
      </w:r>
      <w:r w:rsidR="00461062">
        <w:t xml:space="preserve">employees </w:t>
      </w:r>
      <w:r w:rsidR="00131CAD">
        <w:t xml:space="preserve">of the housing association </w:t>
      </w:r>
      <w:r w:rsidR="00461062">
        <w:t>w</w:t>
      </w:r>
      <w:r w:rsidR="003A7BF6">
        <w:t>ho</w:t>
      </w:r>
      <w:r w:rsidR="00461062">
        <w:t xml:space="preserve"> are </w:t>
      </w:r>
      <w:r w:rsidRPr="00A668C5">
        <w:t xml:space="preserve">familiar with daily practices </w:t>
      </w:r>
      <w:r w:rsidR="00660A96">
        <w:t xml:space="preserve">and residents </w:t>
      </w:r>
      <w:r w:rsidRPr="00A668C5">
        <w:t xml:space="preserve">on location) and </w:t>
      </w:r>
      <w:r w:rsidR="00247592">
        <w:t xml:space="preserve">2) </w:t>
      </w:r>
      <w:r w:rsidRPr="00A668C5">
        <w:t xml:space="preserve">existing real estate data of the housing association. We collected </w:t>
      </w:r>
      <w:r w:rsidR="001A3146">
        <w:t xml:space="preserve">data </w:t>
      </w:r>
      <w:r w:rsidRPr="00A668C5">
        <w:t>on the level of the technical complex, which relates to a unit on which the housing association manages its (real estate) data and, from a spatially point of view, usually consists of a building with apartments or a demarcated area with terraced houses.</w:t>
      </w:r>
      <w:r w:rsidR="00FF36CB">
        <w:t xml:space="preserve"> </w:t>
      </w:r>
      <w:r w:rsidR="005D60E3">
        <w:t>The data</w:t>
      </w:r>
      <w:r w:rsidR="008B45F3">
        <w:t xml:space="preserve"> </w:t>
      </w:r>
      <w:r w:rsidR="005D60E3">
        <w:t>collection</w:t>
      </w:r>
      <w:r w:rsidR="008B45F3">
        <w:t xml:space="preserve"> only included housing for independent living tenants of the housing association.</w:t>
      </w:r>
      <w:r w:rsidR="005D60E3">
        <w:t xml:space="preserve"> </w:t>
      </w:r>
      <w:r w:rsidR="00420ABC" w:rsidRPr="00817947">
        <w:t>The two data files, regarding survey data and real estate data, were merged into one file using a linking variable. Based on this merged file, the</w:t>
      </w:r>
      <w:r w:rsidR="00B41880" w:rsidRPr="00817947">
        <w:t xml:space="preserve"> explorative</w:t>
      </w:r>
      <w:r w:rsidR="00420ABC" w:rsidRPr="00817947">
        <w:t xml:space="preserve"> cluster analysis was performed. The number of clusters can be extracted automatically, but the software also allow for testing alternative solutions</w:t>
      </w:r>
      <w:r w:rsidR="00B33CC3" w:rsidRPr="00817947">
        <w:t>.</w:t>
      </w:r>
      <w:r w:rsidR="00420ABC" w:rsidRPr="00817947">
        <w:t xml:space="preserve"> We selected the best appropriate solution based on the statistical solutions of the cluster analysis combined with our knowledge from influencing factors from the literature regarding communal housing.</w:t>
      </w:r>
      <w:r w:rsidR="002F5F24" w:rsidRPr="00817947">
        <w:t xml:space="preserve"> Figure 4 illustrates the data collection and methods used in this study for distinguishing types of (communal) housing within the housing stock of </w:t>
      </w:r>
      <w:proofErr w:type="spellStart"/>
      <w:r w:rsidR="002F5F24" w:rsidRPr="00817947">
        <w:t>Woonzorg</w:t>
      </w:r>
      <w:proofErr w:type="spellEnd"/>
      <w:r w:rsidR="002F5F24" w:rsidRPr="00817947">
        <w:t xml:space="preserve"> Nederland.</w:t>
      </w:r>
    </w:p>
    <w:p w14:paraId="3D8A5A7B" w14:textId="6AA0EC8C" w:rsidR="00660A96" w:rsidRDefault="00660A96" w:rsidP="00C908BA">
      <w:pPr>
        <w:pStyle w:val="MDPI31text"/>
      </w:pPr>
    </w:p>
    <w:p w14:paraId="6BFDA158" w14:textId="04A132DC" w:rsidR="00C25D76" w:rsidRDefault="00C25D76" w:rsidP="00C908BA">
      <w:pPr>
        <w:pStyle w:val="MDPI31text"/>
      </w:pPr>
    </w:p>
    <w:p w14:paraId="7E65D5B6" w14:textId="26A9A755" w:rsidR="00706966" w:rsidRDefault="00706966" w:rsidP="00C908BA">
      <w:pPr>
        <w:pStyle w:val="MDPI31text"/>
      </w:pPr>
    </w:p>
    <w:p w14:paraId="4C61DA55" w14:textId="77777777" w:rsidR="00706966" w:rsidRDefault="00706966" w:rsidP="00C908BA">
      <w:pPr>
        <w:pStyle w:val="MDPI31text"/>
      </w:pPr>
    </w:p>
    <w:p w14:paraId="7E7DF0E6" w14:textId="44A29284" w:rsidR="00C25D76" w:rsidRDefault="00C25D76" w:rsidP="00C908BA">
      <w:pPr>
        <w:pStyle w:val="MDPI31text"/>
      </w:pPr>
    </w:p>
    <w:p w14:paraId="2BDB9F0E" w14:textId="50DB37B3" w:rsidR="001F1149" w:rsidRDefault="001F1149" w:rsidP="00C908BA">
      <w:pPr>
        <w:pStyle w:val="MDPI31text"/>
      </w:pPr>
    </w:p>
    <w:p w14:paraId="04F4A5D9" w14:textId="388B24D0" w:rsidR="001F1149" w:rsidRDefault="001F1149" w:rsidP="00C908BA">
      <w:pPr>
        <w:pStyle w:val="MDPI31text"/>
      </w:pPr>
    </w:p>
    <w:p w14:paraId="4D101521" w14:textId="7D077D75" w:rsidR="001F1149" w:rsidRDefault="001F1149" w:rsidP="00C908BA">
      <w:pPr>
        <w:pStyle w:val="MDPI31text"/>
      </w:pPr>
    </w:p>
    <w:p w14:paraId="2364F5FB" w14:textId="79243F83" w:rsidR="001F1149" w:rsidRDefault="008701CB" w:rsidP="00C908BA">
      <w:pPr>
        <w:pStyle w:val="MDPI31text"/>
      </w:pPr>
      <w:r>
        <w:rPr>
          <w:noProof/>
          <w:lang w:val="en-GB" w:eastAsia="en-GB" w:bidi="ar-SA"/>
        </w:rPr>
        <w:drawing>
          <wp:anchor distT="0" distB="0" distL="114300" distR="114300" simplePos="0" relativeHeight="251658240" behindDoc="0" locked="0" layoutInCell="1" allowOverlap="1" wp14:anchorId="642604BA" wp14:editId="7EA56ADD">
            <wp:simplePos x="0" y="0"/>
            <wp:positionH relativeFrom="column">
              <wp:posOffset>1752600</wp:posOffset>
            </wp:positionH>
            <wp:positionV relativeFrom="paragraph">
              <wp:posOffset>233045</wp:posOffset>
            </wp:positionV>
            <wp:extent cx="3456940" cy="2996565"/>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56940" cy="2996565"/>
                    </a:xfrm>
                    <a:prstGeom prst="rect">
                      <a:avLst/>
                    </a:prstGeom>
                  </pic:spPr>
                </pic:pic>
              </a:graphicData>
            </a:graphic>
            <wp14:sizeRelH relativeFrom="margin">
              <wp14:pctWidth>0</wp14:pctWidth>
            </wp14:sizeRelH>
            <wp14:sizeRelV relativeFrom="margin">
              <wp14:pctHeight>0</wp14:pctHeight>
            </wp14:sizeRelV>
          </wp:anchor>
        </w:drawing>
      </w:r>
    </w:p>
    <w:p w14:paraId="3A8934CA" w14:textId="25639A54" w:rsidR="001F1149" w:rsidRDefault="001F1149" w:rsidP="00582D5A">
      <w:pPr>
        <w:pStyle w:val="MDPI51figurecaption"/>
        <w:rPr>
          <w:rFonts w:eastAsiaTheme="minorEastAsia"/>
        </w:rPr>
      </w:pPr>
    </w:p>
    <w:p w14:paraId="6A701918" w14:textId="26BAA391" w:rsidR="00582D5A" w:rsidRPr="00127D15" w:rsidRDefault="00582D5A" w:rsidP="00582D5A">
      <w:pPr>
        <w:pStyle w:val="MDPI51figurecaption"/>
        <w:rPr>
          <w:rFonts w:eastAsiaTheme="minorEastAsia"/>
        </w:rPr>
      </w:pPr>
      <w:r w:rsidRPr="00127D15">
        <w:rPr>
          <w:rFonts w:eastAsiaTheme="minorEastAsia"/>
        </w:rPr>
        <w:t xml:space="preserve">Figure </w:t>
      </w:r>
      <w:r w:rsidR="00F50E37">
        <w:rPr>
          <w:rFonts w:eastAsiaTheme="minorEastAsia"/>
        </w:rPr>
        <w:t>4</w:t>
      </w:r>
      <w:r w:rsidRPr="00127D15">
        <w:rPr>
          <w:rFonts w:eastAsiaTheme="minorEastAsia"/>
        </w:rPr>
        <w:t>.</w:t>
      </w:r>
      <w:r w:rsidR="007C439E">
        <w:rPr>
          <w:rFonts w:eastAsiaTheme="minorEastAsia"/>
        </w:rPr>
        <w:t xml:space="preserve"> </w:t>
      </w:r>
      <w:r w:rsidR="00AC1853">
        <w:rPr>
          <w:rFonts w:eastAsiaTheme="minorEastAsia"/>
        </w:rPr>
        <w:t xml:space="preserve">Illustration of the </w:t>
      </w:r>
      <w:r w:rsidR="00AC1853">
        <w:t>data collection and methods used in this study.</w:t>
      </w:r>
    </w:p>
    <w:p w14:paraId="0897A755" w14:textId="544879C2" w:rsidR="00E872A6" w:rsidRDefault="00E872A6" w:rsidP="00A668C5">
      <w:pPr>
        <w:pStyle w:val="MDPI31text"/>
        <w:rPr>
          <w:rFonts w:ascii="Georgia" w:eastAsiaTheme="minorEastAsia" w:hAnsi="Georgia" w:cs="Arial"/>
        </w:rPr>
      </w:pPr>
    </w:p>
    <w:p w14:paraId="74785590" w14:textId="229C87C8" w:rsidR="00706966" w:rsidRPr="00A668C5" w:rsidRDefault="00706966" w:rsidP="00A668C5">
      <w:pPr>
        <w:pStyle w:val="MDPI31text"/>
        <w:rPr>
          <w:rFonts w:ascii="Georgia" w:eastAsiaTheme="minorEastAsia" w:hAnsi="Georgia" w:cs="Arial"/>
        </w:rPr>
      </w:pPr>
    </w:p>
    <w:p w14:paraId="07B1C5F7" w14:textId="4399F907" w:rsidR="00A668C5" w:rsidRPr="00A668C5" w:rsidRDefault="00A668C5" w:rsidP="002837D3">
      <w:pPr>
        <w:pStyle w:val="MDPI22heading2"/>
      </w:pPr>
      <w:r w:rsidRPr="002837D3">
        <w:rPr>
          <w:rFonts w:eastAsiaTheme="minorEastAsia"/>
        </w:rPr>
        <w:t xml:space="preserve">2.3 </w:t>
      </w:r>
      <w:r w:rsidRPr="00A668C5">
        <w:t xml:space="preserve">Data </w:t>
      </w:r>
      <w:r w:rsidR="00146738">
        <w:t>&amp; operationalizaton</w:t>
      </w:r>
    </w:p>
    <w:p w14:paraId="33E307E1" w14:textId="77777777" w:rsidR="000D5E71" w:rsidRDefault="00A668C5" w:rsidP="00745CB8">
      <w:pPr>
        <w:pStyle w:val="MDPI31text"/>
      </w:pPr>
      <w:r w:rsidRPr="00A668C5">
        <w:t>For each technical complex for independent living seniors within the housing stock</w:t>
      </w:r>
      <w:r w:rsidR="003D7A57">
        <w:t xml:space="preserve"> of </w:t>
      </w:r>
      <w:proofErr w:type="spellStart"/>
      <w:r w:rsidR="003D7A57">
        <w:t>Woonzorg</w:t>
      </w:r>
      <w:proofErr w:type="spellEnd"/>
      <w:r w:rsidR="000855E9">
        <w:t xml:space="preserve"> Nederland</w:t>
      </w:r>
      <w:r w:rsidR="003D7A57">
        <w:t>,</w:t>
      </w:r>
      <w:r w:rsidRPr="00A668C5">
        <w:t xml:space="preserve"> social, organizational, and spatial factors were collected. </w:t>
      </w:r>
      <w:r w:rsidR="003E40D8">
        <w:t>R</w:t>
      </w:r>
      <w:r w:rsidR="003E40D8" w:rsidRPr="009F7B85">
        <w:t>eal estate data on the</w:t>
      </w:r>
      <w:r w:rsidR="003E40D8">
        <w:t xml:space="preserve"> technical complex</w:t>
      </w:r>
      <w:r w:rsidR="003E40D8" w:rsidRPr="009F7B85">
        <w:t xml:space="preserve"> level was used for </w:t>
      </w:r>
      <w:r w:rsidR="00DE11CB">
        <w:t>one of the</w:t>
      </w:r>
      <w:r w:rsidR="003E40D8">
        <w:t xml:space="preserve"> </w:t>
      </w:r>
      <w:r w:rsidR="003E40D8" w:rsidRPr="009F7B85">
        <w:t>spatial variable</w:t>
      </w:r>
      <w:r w:rsidR="00DE11CB">
        <w:t>s</w:t>
      </w:r>
      <w:r w:rsidR="003E40D8" w:rsidRPr="009F7B85">
        <w:t xml:space="preserve">, namely the presence of </w:t>
      </w:r>
      <w:r w:rsidR="003E40D8" w:rsidRPr="00A72765">
        <w:rPr>
          <w:i/>
          <w:iCs/>
        </w:rPr>
        <w:t>intramural units</w:t>
      </w:r>
      <w:r w:rsidR="003E40D8" w:rsidRPr="009F7B85">
        <w:t>.</w:t>
      </w:r>
      <w:r w:rsidR="00DE11CB">
        <w:t xml:space="preserve"> In addition, d</w:t>
      </w:r>
      <w:r w:rsidR="00632655">
        <w:t xml:space="preserve">ata regarding a selection of social, organizational, and spatial factors was collected </w:t>
      </w:r>
      <w:r w:rsidR="0059071F">
        <w:t xml:space="preserve">by means of a survey among building managers. </w:t>
      </w:r>
    </w:p>
    <w:p w14:paraId="4A043998" w14:textId="1C423B20" w:rsidR="00A668C5" w:rsidRPr="002837D3" w:rsidRDefault="00A668C5" w:rsidP="00745CB8">
      <w:pPr>
        <w:pStyle w:val="MDPI31text"/>
      </w:pPr>
      <w:r w:rsidRPr="00A668C5">
        <w:t xml:space="preserve">133 </w:t>
      </w:r>
      <w:r w:rsidR="003D7A57">
        <w:t>B</w:t>
      </w:r>
      <w:r w:rsidR="006262F8">
        <w:t>uilding managers</w:t>
      </w:r>
      <w:r w:rsidRPr="00A668C5">
        <w:t xml:space="preserve"> received, from their employer, for each technical complex within his/her portfolio an invitation</w:t>
      </w:r>
      <w:r w:rsidR="00E0307A">
        <w:t xml:space="preserve"> to participate in the survey</w:t>
      </w:r>
      <w:r w:rsidRPr="00A668C5">
        <w:t xml:space="preserve"> by e-mail</w:t>
      </w:r>
      <w:r w:rsidR="009D1508">
        <w:t>.</w:t>
      </w:r>
      <w:r w:rsidRPr="00A668C5">
        <w:t xml:space="preserve"> They were asked to fill in a separate (online) questionnaire </w:t>
      </w:r>
      <w:r w:rsidR="007279A1">
        <w:t>for each</w:t>
      </w:r>
      <w:r w:rsidRPr="00A668C5">
        <w:t xml:space="preserve"> technical complex</w:t>
      </w:r>
      <w:r w:rsidR="00E627CE">
        <w:t xml:space="preserve"> (with an unique login code)</w:t>
      </w:r>
      <w:r w:rsidRPr="00A668C5">
        <w:t>. Ultimately, a questionnaire was completed for 466 technical complexes</w:t>
      </w:r>
      <w:r w:rsidR="00A31DF6">
        <w:t xml:space="preserve"> (table 1</w:t>
      </w:r>
      <w:r w:rsidR="003330AE">
        <w:t>)</w:t>
      </w:r>
      <w:r w:rsidRPr="00A668C5">
        <w:t xml:space="preserve">. </w:t>
      </w:r>
    </w:p>
    <w:p w14:paraId="0B3333C7" w14:textId="55030320" w:rsidR="00A668C5" w:rsidRDefault="00A668C5" w:rsidP="00A668C5">
      <w:pPr>
        <w:pStyle w:val="MDPI31text"/>
        <w:rPr>
          <w:rFonts w:ascii="Georgia" w:hAnsi="Georgia"/>
        </w:rPr>
      </w:pPr>
    </w:p>
    <w:p w14:paraId="177EE67D" w14:textId="291D5C6C" w:rsidR="00706966" w:rsidRPr="00A668C5" w:rsidRDefault="00706966" w:rsidP="00A668C5">
      <w:pPr>
        <w:pStyle w:val="MDPI31text"/>
        <w:rPr>
          <w:rFonts w:ascii="Georgia" w:hAnsi="Georgia"/>
        </w:rPr>
      </w:pPr>
    </w:p>
    <w:p w14:paraId="1F226426" w14:textId="75430058" w:rsidR="00A668C5" w:rsidRDefault="00A668C5" w:rsidP="00127D15">
      <w:pPr>
        <w:pStyle w:val="MDPI41tablecaption"/>
        <w:rPr>
          <w:rFonts w:eastAsiaTheme="minorEastAsia"/>
        </w:rPr>
      </w:pPr>
      <w:r w:rsidRPr="00A668C5">
        <w:rPr>
          <w:rFonts w:eastAsiaTheme="minorEastAsia"/>
        </w:rPr>
        <w:t xml:space="preserve">Table </w:t>
      </w:r>
      <w:r w:rsidRPr="00A668C5">
        <w:rPr>
          <w:rFonts w:eastAsiaTheme="minorEastAsia"/>
        </w:rPr>
        <w:fldChar w:fldCharType="begin"/>
      </w:r>
      <w:r w:rsidRPr="00A668C5">
        <w:rPr>
          <w:rFonts w:eastAsiaTheme="minorEastAsia"/>
        </w:rPr>
        <w:instrText xml:space="preserve"> SEQ Table \* ARABIC </w:instrText>
      </w:r>
      <w:r w:rsidRPr="00A668C5">
        <w:rPr>
          <w:rFonts w:eastAsiaTheme="minorEastAsia"/>
        </w:rPr>
        <w:fldChar w:fldCharType="separate"/>
      </w:r>
      <w:r w:rsidR="00AC538E">
        <w:rPr>
          <w:rFonts w:eastAsiaTheme="minorEastAsia"/>
          <w:noProof/>
        </w:rPr>
        <w:t>1</w:t>
      </w:r>
      <w:r w:rsidRPr="00A668C5">
        <w:rPr>
          <w:rFonts w:eastAsiaTheme="minorEastAsia"/>
        </w:rPr>
        <w:fldChar w:fldCharType="end"/>
      </w:r>
      <w:r w:rsidRPr="00A668C5">
        <w:rPr>
          <w:rFonts w:eastAsiaTheme="minorEastAsia"/>
        </w:rPr>
        <w:t xml:space="preserve">: </w:t>
      </w:r>
      <w:r w:rsidR="003D2B8F">
        <w:rPr>
          <w:rFonts w:eastAsiaTheme="minorEastAsia"/>
        </w:rPr>
        <w:t>S</w:t>
      </w:r>
      <w:r w:rsidR="003330AE">
        <w:rPr>
          <w:rFonts w:eastAsiaTheme="minorEastAsia"/>
        </w:rPr>
        <w:t>urvey amongst building managers</w:t>
      </w:r>
    </w:p>
    <w:tbl>
      <w:tblPr>
        <w:tblW w:w="3139" w:type="pct"/>
        <w:tblInd w:w="2610"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529"/>
        <w:gridCol w:w="1350"/>
        <w:gridCol w:w="3692"/>
      </w:tblGrid>
      <w:tr w:rsidR="001C0CA7" w:rsidRPr="005C6417" w14:paraId="594E08EC" w14:textId="77777777" w:rsidTr="001C0CA7">
        <w:trPr>
          <w:trHeight w:val="227"/>
        </w:trPr>
        <w:tc>
          <w:tcPr>
            <w:tcW w:w="1164" w:type="pct"/>
            <w:tcBorders>
              <w:bottom w:val="single" w:sz="4" w:space="0" w:color="auto"/>
            </w:tcBorders>
            <w:vAlign w:val="bottom"/>
          </w:tcPr>
          <w:p w14:paraId="70D1D353" w14:textId="2490FCD2" w:rsidR="001C0CA7" w:rsidRPr="00D72800" w:rsidRDefault="001C0CA7" w:rsidP="009526E7">
            <w:pPr>
              <w:pStyle w:val="MDPI42tablebody"/>
              <w:rPr>
                <w:b/>
                <w:bCs/>
                <w:sz w:val="18"/>
                <w:szCs w:val="18"/>
              </w:rPr>
            </w:pPr>
            <w:r>
              <w:rPr>
                <w:b/>
                <w:bCs/>
                <w:sz w:val="18"/>
                <w:szCs w:val="18"/>
              </w:rPr>
              <w:t>T</w:t>
            </w:r>
            <w:r w:rsidRPr="00D72800">
              <w:rPr>
                <w:b/>
                <w:bCs/>
                <w:sz w:val="18"/>
                <w:szCs w:val="18"/>
              </w:rPr>
              <w:t>echnical</w:t>
            </w:r>
          </w:p>
          <w:p w14:paraId="3CE62635" w14:textId="693FC686" w:rsidR="001C0CA7" w:rsidRPr="00D72800" w:rsidRDefault="001C0CA7" w:rsidP="009526E7">
            <w:pPr>
              <w:pStyle w:val="MDPI42tablebody"/>
              <w:rPr>
                <w:rFonts w:eastAsiaTheme="minorEastAsia"/>
                <w:b/>
                <w:bCs/>
                <w:sz w:val="18"/>
                <w:szCs w:val="18"/>
              </w:rPr>
            </w:pPr>
            <w:r w:rsidRPr="00D72800">
              <w:rPr>
                <w:b/>
                <w:bCs/>
                <w:sz w:val="18"/>
                <w:szCs w:val="18"/>
              </w:rPr>
              <w:t>complexes</w:t>
            </w:r>
            <w:r>
              <w:rPr>
                <w:b/>
                <w:bCs/>
                <w:sz w:val="18"/>
                <w:szCs w:val="18"/>
              </w:rPr>
              <w:t xml:space="preserve"> (n)</w:t>
            </w:r>
          </w:p>
        </w:tc>
        <w:tc>
          <w:tcPr>
            <w:tcW w:w="1027" w:type="pct"/>
            <w:tcBorders>
              <w:bottom w:val="single" w:sz="4" w:space="0" w:color="auto"/>
            </w:tcBorders>
            <w:shd w:val="clear" w:color="auto" w:fill="auto"/>
            <w:vAlign w:val="bottom"/>
          </w:tcPr>
          <w:p w14:paraId="66EFDE6D" w14:textId="43826236" w:rsidR="001C0CA7" w:rsidRPr="00D72800" w:rsidRDefault="001C0CA7" w:rsidP="009526E7">
            <w:pPr>
              <w:pStyle w:val="MDPI42tablebody"/>
              <w:rPr>
                <w:rFonts w:eastAsiaTheme="minorEastAsia"/>
                <w:b/>
                <w:bCs/>
                <w:sz w:val="18"/>
                <w:szCs w:val="18"/>
              </w:rPr>
            </w:pPr>
            <w:r w:rsidRPr="00D72800">
              <w:rPr>
                <w:b/>
                <w:bCs/>
                <w:sz w:val="18"/>
                <w:szCs w:val="18"/>
              </w:rPr>
              <w:t>Response rate</w:t>
            </w:r>
          </w:p>
        </w:tc>
        <w:tc>
          <w:tcPr>
            <w:tcW w:w="2809" w:type="pct"/>
            <w:tcBorders>
              <w:bottom w:val="single" w:sz="4" w:space="0" w:color="auto"/>
            </w:tcBorders>
            <w:shd w:val="clear" w:color="auto" w:fill="auto"/>
            <w:vAlign w:val="bottom"/>
          </w:tcPr>
          <w:p w14:paraId="1B34F2A9" w14:textId="6EF6BC26" w:rsidR="001C0CA7" w:rsidRPr="00D72800" w:rsidRDefault="001C0CA7" w:rsidP="009526E7">
            <w:pPr>
              <w:pStyle w:val="MDPI42tablebody"/>
              <w:rPr>
                <w:rFonts w:eastAsiaTheme="minorEastAsia"/>
                <w:b/>
                <w:bCs/>
                <w:sz w:val="18"/>
                <w:szCs w:val="18"/>
              </w:rPr>
            </w:pPr>
            <w:r w:rsidRPr="00D72800">
              <w:rPr>
                <w:b/>
                <w:bCs/>
                <w:sz w:val="18"/>
                <w:szCs w:val="18"/>
              </w:rPr>
              <w:t>Period</w:t>
            </w:r>
          </w:p>
        </w:tc>
      </w:tr>
      <w:tr w:rsidR="001C0CA7" w:rsidRPr="005C6417" w14:paraId="27EDBB35" w14:textId="77777777" w:rsidTr="001C0CA7">
        <w:trPr>
          <w:trHeight w:val="227"/>
        </w:trPr>
        <w:tc>
          <w:tcPr>
            <w:tcW w:w="1164" w:type="pct"/>
          </w:tcPr>
          <w:p w14:paraId="0756E670" w14:textId="18697C1F" w:rsidR="001C0CA7" w:rsidRPr="00D72800" w:rsidRDefault="001C0CA7" w:rsidP="00D72800">
            <w:pPr>
              <w:pStyle w:val="MDPI42tablebody"/>
              <w:rPr>
                <w:rFonts w:eastAsiaTheme="minorEastAsia"/>
                <w:sz w:val="18"/>
                <w:szCs w:val="18"/>
              </w:rPr>
            </w:pPr>
            <w:r w:rsidRPr="00D72800">
              <w:rPr>
                <w:rFonts w:eastAsiaTheme="minorEastAsia"/>
                <w:sz w:val="18"/>
                <w:szCs w:val="18"/>
              </w:rPr>
              <w:t>466</w:t>
            </w:r>
          </w:p>
        </w:tc>
        <w:tc>
          <w:tcPr>
            <w:tcW w:w="1027" w:type="pct"/>
            <w:shd w:val="clear" w:color="auto" w:fill="auto"/>
          </w:tcPr>
          <w:p w14:paraId="568715DE" w14:textId="619A6138" w:rsidR="001C0CA7" w:rsidRPr="00D72800" w:rsidRDefault="001C0CA7" w:rsidP="00D72800">
            <w:pPr>
              <w:pStyle w:val="MDPI42tablebody"/>
              <w:rPr>
                <w:rFonts w:eastAsiaTheme="minorEastAsia"/>
                <w:sz w:val="18"/>
                <w:szCs w:val="18"/>
              </w:rPr>
            </w:pPr>
            <w:r w:rsidRPr="00D72800">
              <w:rPr>
                <w:sz w:val="18"/>
                <w:szCs w:val="18"/>
              </w:rPr>
              <w:t>87%</w:t>
            </w:r>
          </w:p>
        </w:tc>
        <w:tc>
          <w:tcPr>
            <w:tcW w:w="2809" w:type="pct"/>
            <w:shd w:val="clear" w:color="auto" w:fill="auto"/>
          </w:tcPr>
          <w:p w14:paraId="175EB90C" w14:textId="18B2139F" w:rsidR="001C0CA7" w:rsidRPr="00D72800" w:rsidRDefault="001C0CA7" w:rsidP="00D72800">
            <w:pPr>
              <w:pStyle w:val="MDPI42tablebody"/>
              <w:rPr>
                <w:rFonts w:eastAsiaTheme="minorEastAsia"/>
                <w:sz w:val="18"/>
                <w:szCs w:val="18"/>
              </w:rPr>
            </w:pPr>
            <w:r w:rsidRPr="00D72800">
              <w:rPr>
                <w:sz w:val="18"/>
                <w:szCs w:val="18"/>
              </w:rPr>
              <w:t>July till medio September 2020</w:t>
            </w:r>
          </w:p>
        </w:tc>
      </w:tr>
    </w:tbl>
    <w:p w14:paraId="304C8DE0" w14:textId="4975D55A" w:rsidR="0001620D" w:rsidRDefault="0001620D" w:rsidP="00D72800">
      <w:pPr>
        <w:pStyle w:val="MDPI31text"/>
        <w:ind w:left="0" w:firstLine="0"/>
        <w:rPr>
          <w:rFonts w:ascii="Georgia" w:eastAsiaTheme="minorEastAsia" w:hAnsi="Georgia" w:cs="Arial"/>
        </w:rPr>
      </w:pPr>
    </w:p>
    <w:p w14:paraId="4886C805" w14:textId="677152DE" w:rsidR="00A668C5" w:rsidRDefault="00A668C5" w:rsidP="0001620D">
      <w:pPr>
        <w:pStyle w:val="MDPI31text"/>
        <w:rPr>
          <w:rFonts w:ascii="Georgia" w:eastAsiaTheme="minorEastAsia" w:hAnsi="Georgia" w:cs="Arial"/>
        </w:rPr>
      </w:pPr>
    </w:p>
    <w:p w14:paraId="22A6E3E4" w14:textId="77777777" w:rsidR="00942533" w:rsidRDefault="00942533" w:rsidP="000E7FBE">
      <w:pPr>
        <w:pStyle w:val="MDPI31text"/>
      </w:pPr>
    </w:p>
    <w:p w14:paraId="39706F06" w14:textId="1E71E62A" w:rsidR="009F7B85" w:rsidRPr="009F7B85" w:rsidRDefault="009F7B85" w:rsidP="00A5345E">
      <w:pPr>
        <w:pStyle w:val="MDPI31text"/>
      </w:pPr>
      <w:r w:rsidRPr="009F7B85">
        <w:t xml:space="preserve">The </w:t>
      </w:r>
      <w:r w:rsidRPr="00B44ADA">
        <w:rPr>
          <w:i/>
          <w:iCs/>
        </w:rPr>
        <w:t>social factors</w:t>
      </w:r>
      <w:r w:rsidRPr="009F7B85">
        <w:t xml:space="preserve"> </w:t>
      </w:r>
      <w:r w:rsidR="00B03636">
        <w:t xml:space="preserve">that we </w:t>
      </w:r>
      <w:r w:rsidR="00CF37A0">
        <w:t xml:space="preserve">include in the </w:t>
      </w:r>
      <w:r w:rsidR="00F602E8">
        <w:t xml:space="preserve">explorative </w:t>
      </w:r>
      <w:r w:rsidR="00CF37A0">
        <w:t xml:space="preserve">cluster analysis </w:t>
      </w:r>
      <w:r w:rsidRPr="009F7B85">
        <w:t xml:space="preserve">relate to the composition of the resident group of the technical complex regarding </w:t>
      </w:r>
      <w:r w:rsidRPr="00B44ADA">
        <w:rPr>
          <w:i/>
          <w:iCs/>
        </w:rPr>
        <w:t>vitality</w:t>
      </w:r>
      <w:r w:rsidRPr="009F7B85">
        <w:t xml:space="preserve"> and </w:t>
      </w:r>
      <w:r w:rsidRPr="00B44ADA">
        <w:rPr>
          <w:i/>
          <w:iCs/>
        </w:rPr>
        <w:t>lifestyle</w:t>
      </w:r>
      <w:r w:rsidRPr="009F7B85">
        <w:t xml:space="preserve">. Vitality was measured by asking </w:t>
      </w:r>
      <w:r w:rsidR="000E5822">
        <w:t>building managers</w:t>
      </w:r>
      <w:r w:rsidR="000E5822" w:rsidRPr="009F7B85">
        <w:t xml:space="preserve"> </w:t>
      </w:r>
      <w:r w:rsidRPr="009F7B85">
        <w:t xml:space="preserve">about </w:t>
      </w:r>
      <w:r w:rsidR="000E5822">
        <w:t xml:space="preserve">their perception of </w:t>
      </w:r>
      <w:r w:rsidRPr="009F7B85">
        <w:t>the degree of vulnerability of the resident group</w:t>
      </w:r>
      <w:r w:rsidR="00E33A81">
        <w:t xml:space="preserve"> (1. mostly vital residents, 2. a mix, with more vital than vulnerable residents, 3. about as many vulnerable as vital residents, 4. a mix, with more vulnerable than vital residents, 5. mostly vulnerable residents)</w:t>
      </w:r>
      <w:r w:rsidRPr="009F7B85">
        <w:t xml:space="preserve">. In addition, we </w:t>
      </w:r>
      <w:r w:rsidR="00DC0B23">
        <w:t xml:space="preserve">asked building managers about the </w:t>
      </w:r>
      <w:r w:rsidR="00461846">
        <w:t>absence or presence</w:t>
      </w:r>
      <w:r w:rsidR="00DC0B23" w:rsidRPr="009F7B85">
        <w:t xml:space="preserve"> </w:t>
      </w:r>
      <w:r w:rsidRPr="009F7B85">
        <w:t>of a s</w:t>
      </w:r>
      <w:r w:rsidRPr="004B2432">
        <w:t xml:space="preserve">hared lifestyle among </w:t>
      </w:r>
      <w:r w:rsidR="00461846">
        <w:t xml:space="preserve">the </w:t>
      </w:r>
      <w:r w:rsidRPr="004B2432">
        <w:t>residents</w:t>
      </w:r>
      <w:r w:rsidR="00732A54">
        <w:t xml:space="preserve"> (</w:t>
      </w:r>
      <w:r w:rsidR="009E4285">
        <w:t xml:space="preserve">0. </w:t>
      </w:r>
      <w:r w:rsidR="0028466A">
        <w:t>n</w:t>
      </w:r>
      <w:r w:rsidR="009E4285">
        <w:t>o shared lifestyle among residents</w:t>
      </w:r>
      <w:r w:rsidR="00983B47">
        <w:t xml:space="preserve">, and 1. </w:t>
      </w:r>
      <w:r w:rsidR="00A5345E">
        <w:t>a</w:t>
      </w:r>
      <w:r w:rsidR="00983B47">
        <w:t xml:space="preserve"> shared lifestyle among</w:t>
      </w:r>
      <w:r w:rsidR="00A5345E">
        <w:t xml:space="preserve"> (some of the)</w:t>
      </w:r>
      <w:r w:rsidR="00983B47">
        <w:t xml:space="preserve"> residents)</w:t>
      </w:r>
      <w:r w:rsidRPr="004B2432">
        <w:t>.</w:t>
      </w:r>
      <w:r w:rsidRPr="009F7B85">
        <w:t xml:space="preserve"> </w:t>
      </w:r>
    </w:p>
    <w:p w14:paraId="29600F80" w14:textId="5A257AC9" w:rsidR="009F7B85" w:rsidRPr="009F7B85" w:rsidRDefault="009F7B85" w:rsidP="000E7FBE">
      <w:pPr>
        <w:pStyle w:val="MDPI31text"/>
      </w:pPr>
      <w:r w:rsidRPr="009F7B85">
        <w:t xml:space="preserve">The </w:t>
      </w:r>
      <w:r w:rsidRPr="00B44ADA">
        <w:rPr>
          <w:i/>
          <w:iCs/>
        </w:rPr>
        <w:t>organizational factors</w:t>
      </w:r>
      <w:r w:rsidRPr="009F7B85">
        <w:t xml:space="preserve"> that we included relate to t</w:t>
      </w:r>
      <w:r w:rsidRPr="004B2432">
        <w:t>he involvement of residents</w:t>
      </w:r>
      <w:r w:rsidRPr="009F7B85">
        <w:t xml:space="preserve"> in the (in)formal community organization. </w:t>
      </w:r>
      <w:r w:rsidR="00E73930" w:rsidRPr="00363F54">
        <w:t xml:space="preserve">The </w:t>
      </w:r>
      <w:r w:rsidR="00E73930" w:rsidRPr="00C85998">
        <w:rPr>
          <w:i/>
          <w:iCs/>
        </w:rPr>
        <w:t>involvement of residents regarding the common areas</w:t>
      </w:r>
      <w:r w:rsidR="00E73930" w:rsidRPr="00363F54">
        <w:t xml:space="preserve"> was measured by asking </w:t>
      </w:r>
      <w:r w:rsidR="00CE32CE">
        <w:t>building managers</w:t>
      </w:r>
      <w:r w:rsidR="00E73930" w:rsidRPr="00363F54">
        <w:t xml:space="preserve"> to indicate to what extent they (dis)agree to the following three statements</w:t>
      </w:r>
      <w:r w:rsidR="000A3BFE">
        <w:t xml:space="preserve"> (1. completely disagree – 5. completely agree)</w:t>
      </w:r>
      <w:r w:rsidR="00E73930" w:rsidRPr="00363F54">
        <w:t>: ‘Residents have a significant influence on the layout of the common areas’, ‘Residents ha</w:t>
      </w:r>
      <w:r w:rsidR="00E73930">
        <w:t>ve a significant influence on the use of the common areas’, and ‘Residents are responsible for the management and maintenance of (part of) the common areas’. The Cronbach’s alpha</w:t>
      </w:r>
      <w:r w:rsidR="00320F82">
        <w:t xml:space="preserve"> of the newly constructed </w:t>
      </w:r>
      <w:r w:rsidR="002756EF">
        <w:t>variable</w:t>
      </w:r>
      <w:r w:rsidR="00E73930">
        <w:t xml:space="preserve"> </w:t>
      </w:r>
      <w:r w:rsidR="00320F82">
        <w:t>based on</w:t>
      </w:r>
      <w:r w:rsidR="00E73930">
        <w:t xml:space="preserve"> the three items is 0.8</w:t>
      </w:r>
      <w:r w:rsidR="00F16DC3">
        <w:t>52</w:t>
      </w:r>
      <w:r w:rsidR="00E73930">
        <w:t>.</w:t>
      </w:r>
      <w:r w:rsidR="00EB5CC0" w:rsidRPr="00EB5CC0">
        <w:t xml:space="preserve"> </w:t>
      </w:r>
      <w:r w:rsidR="00EB5CC0">
        <w:t xml:space="preserve">The </w:t>
      </w:r>
      <w:r w:rsidR="00EB5CC0" w:rsidRPr="00C85998">
        <w:rPr>
          <w:i/>
          <w:iCs/>
        </w:rPr>
        <w:t>involvement of residents regarding the (organization) of activities</w:t>
      </w:r>
      <w:r w:rsidR="00EB5CC0">
        <w:t xml:space="preserve"> was measured by asking </w:t>
      </w:r>
      <w:r w:rsidR="00320F82">
        <w:t>building managers</w:t>
      </w:r>
      <w:r w:rsidR="00EB5CC0">
        <w:t xml:space="preserve"> to indicate to what extent they (dis)agree to the following two statements: ‘Residents have a significant influence on the program of organized activities’ and ‘Residents are responsible for the organization of activities’</w:t>
      </w:r>
      <w:r w:rsidR="000A3BFE">
        <w:t xml:space="preserve"> (1. completely disagree – 5. completely agree)</w:t>
      </w:r>
      <w:r w:rsidR="00EB5CC0">
        <w:t>. The Cronbach’s alpha</w:t>
      </w:r>
      <w:r w:rsidR="00982B79">
        <w:t xml:space="preserve"> of the newly</w:t>
      </w:r>
      <w:r w:rsidR="00B103D8">
        <w:t xml:space="preserve"> constructed </w:t>
      </w:r>
      <w:r w:rsidR="002F27A5">
        <w:t>variable</w:t>
      </w:r>
      <w:r w:rsidR="00B103D8">
        <w:t xml:space="preserve"> based on</w:t>
      </w:r>
      <w:r w:rsidR="00EB5CC0">
        <w:t xml:space="preserve"> the</w:t>
      </w:r>
      <w:r w:rsidR="002F27A5">
        <w:t>se</w:t>
      </w:r>
      <w:r w:rsidR="00EB5CC0">
        <w:t xml:space="preserve"> t</w:t>
      </w:r>
      <w:r w:rsidR="002F27A5">
        <w:t>wo</w:t>
      </w:r>
      <w:r w:rsidR="00EB5CC0">
        <w:t xml:space="preserve"> items is 0.8</w:t>
      </w:r>
      <w:r w:rsidR="00F16DC3">
        <w:t>88</w:t>
      </w:r>
      <w:r w:rsidR="00EB5CC0">
        <w:t xml:space="preserve">. The </w:t>
      </w:r>
      <w:r w:rsidR="00EB5CC0" w:rsidRPr="00547A33">
        <w:rPr>
          <w:i/>
          <w:iCs/>
        </w:rPr>
        <w:t>involvement of residents regarding the selection of future residents</w:t>
      </w:r>
      <w:r w:rsidR="00EB5CC0">
        <w:t xml:space="preserve"> was measured by asking </w:t>
      </w:r>
      <w:r w:rsidR="002F27A5">
        <w:t>building managers</w:t>
      </w:r>
      <w:r w:rsidR="00EB5CC0">
        <w:t xml:space="preserve"> to indicate to what extent</w:t>
      </w:r>
      <w:r w:rsidR="00EB5CC0" w:rsidRPr="00A67C65">
        <w:rPr>
          <w:lang w:val="en-GB"/>
        </w:rPr>
        <w:t xml:space="preserve"> they (dis)agree to the following statement:</w:t>
      </w:r>
      <w:r w:rsidR="007972F0" w:rsidRPr="007972F0">
        <w:rPr>
          <w:lang w:val="en-GB"/>
        </w:rPr>
        <w:t xml:space="preserve"> </w:t>
      </w:r>
      <w:r w:rsidR="007972F0" w:rsidRPr="00A67C65">
        <w:rPr>
          <w:lang w:val="en-GB"/>
        </w:rPr>
        <w:t xml:space="preserve">‘Residents have a significant say in the selection of new residents’. </w:t>
      </w:r>
    </w:p>
    <w:p w14:paraId="653F5E91" w14:textId="4417510B" w:rsidR="009F7B85" w:rsidRPr="009F7B85" w:rsidRDefault="009F7B85" w:rsidP="000E7FBE">
      <w:pPr>
        <w:pStyle w:val="MDPI31text"/>
      </w:pPr>
      <w:r w:rsidRPr="009F7B85">
        <w:t xml:space="preserve">The </w:t>
      </w:r>
      <w:r w:rsidRPr="00B44ADA">
        <w:rPr>
          <w:i/>
          <w:iCs/>
        </w:rPr>
        <w:t>spatial factors</w:t>
      </w:r>
      <w:r w:rsidR="00D11F53">
        <w:t xml:space="preserve"> that we include in our analysis</w:t>
      </w:r>
      <w:r w:rsidRPr="009F7B85">
        <w:t xml:space="preserve"> </w:t>
      </w:r>
      <w:r w:rsidR="00D11F53">
        <w:t>all relate</w:t>
      </w:r>
      <w:r w:rsidRPr="009F7B85">
        <w:t xml:space="preserve"> to the presence of communal spaces. We divided the communal spaces in a technical complex into three categories</w:t>
      </w:r>
      <w:r w:rsidR="00BE43A8">
        <w:t xml:space="preserve">. </w:t>
      </w:r>
      <w:r w:rsidR="003A4BA3">
        <w:t>The first category</w:t>
      </w:r>
      <w:r w:rsidR="00BE3584">
        <w:t xml:space="preserve"> relates to</w:t>
      </w:r>
      <w:r w:rsidR="00BE43A8">
        <w:t xml:space="preserve"> </w:t>
      </w:r>
      <w:r w:rsidRPr="00B44ADA">
        <w:rPr>
          <w:i/>
          <w:iCs/>
        </w:rPr>
        <w:t>spaces aimed at planned encounters and recreation</w:t>
      </w:r>
      <w:r w:rsidRPr="009F7B85">
        <w:t>, such as a common meeting and/or recreation room</w:t>
      </w:r>
      <w:r w:rsidR="00251F0E">
        <w:t xml:space="preserve"> (0-1)</w:t>
      </w:r>
      <w:r w:rsidR="00BE3584">
        <w:t>.</w:t>
      </w:r>
      <w:r w:rsidR="00251F0E">
        <w:t xml:space="preserve"> The second category relates to</w:t>
      </w:r>
      <w:r w:rsidRPr="009F7B85">
        <w:t xml:space="preserve"> </w:t>
      </w:r>
      <w:r w:rsidRPr="00B44ADA">
        <w:rPr>
          <w:i/>
          <w:iCs/>
        </w:rPr>
        <w:t>spaces and facilities aimed at facilitating the daily routine and (household) activities</w:t>
      </w:r>
      <w:r w:rsidRPr="009F7B85">
        <w:t>, such as a common kitchen</w:t>
      </w:r>
      <w:r w:rsidR="00251F0E">
        <w:t xml:space="preserve"> </w:t>
      </w:r>
      <w:r w:rsidR="00251F0E">
        <w:lastRenderedPageBreak/>
        <w:t>and/or</w:t>
      </w:r>
      <w:r w:rsidRPr="009F7B85">
        <w:t xml:space="preserve"> dining area</w:t>
      </w:r>
      <w:r w:rsidR="00251F0E">
        <w:t xml:space="preserve"> (0-1). And the </w:t>
      </w:r>
      <w:r w:rsidR="004F2BF2">
        <w:t xml:space="preserve">third category concerns </w:t>
      </w:r>
      <w:r w:rsidRPr="00B44ADA">
        <w:rPr>
          <w:i/>
          <w:iCs/>
        </w:rPr>
        <w:t xml:space="preserve">functional facilities that can stimulate </w:t>
      </w:r>
      <w:r w:rsidR="001F7351">
        <w:rPr>
          <w:i/>
          <w:iCs/>
        </w:rPr>
        <w:t>spontaneous</w:t>
      </w:r>
      <w:r w:rsidRPr="00B44ADA">
        <w:rPr>
          <w:i/>
          <w:iCs/>
        </w:rPr>
        <w:t xml:space="preserve"> encounters between residents</w:t>
      </w:r>
      <w:r w:rsidRPr="009F7B85">
        <w:t>, such as a common laundry room</w:t>
      </w:r>
      <w:r w:rsidR="009C2689">
        <w:t>, library,</w:t>
      </w:r>
      <w:r w:rsidR="00B019FB">
        <w:t xml:space="preserve"> </w:t>
      </w:r>
      <w:r w:rsidR="004F2BF2">
        <w:t>and/</w:t>
      </w:r>
      <w:r w:rsidRPr="009F7B85">
        <w:t>or gym</w:t>
      </w:r>
      <w:r w:rsidR="004F2BF2">
        <w:t xml:space="preserve"> (0-1)</w:t>
      </w:r>
      <w:r w:rsidRPr="009F7B85">
        <w:t xml:space="preserve">. </w:t>
      </w:r>
      <w:r w:rsidR="00285A80">
        <w:t>These dichotomous variables are newly constructed based on the following variables. Firstly, when they scored 1 on the variable common meeting space(s) and/or recreation room(s), respondents were asked about the facilities within this area (1. library, 2. bar, 3. sitting area, 4. kitchen, and 5. dining area, 6. otherwise, namely…). Secondly, respondents were asked about additional shared facilities, services or common areas within the building(s), such as kitchen, dining room, gym, library, guestroom, and laundry.</w:t>
      </w:r>
      <w:r w:rsidR="00163CEA">
        <w:t xml:space="preserve"> The different categories can be present </w:t>
      </w:r>
      <w:r w:rsidR="00163CEA" w:rsidRPr="00B019FB">
        <w:t>separately or together in a technical complex.</w:t>
      </w:r>
    </w:p>
    <w:p w14:paraId="01850E2E" w14:textId="1B6D380A" w:rsidR="009F7B85" w:rsidRDefault="009F7B85" w:rsidP="0001620D">
      <w:pPr>
        <w:pStyle w:val="MDPI31text"/>
        <w:rPr>
          <w:rFonts w:ascii="Georgia" w:eastAsiaTheme="minorEastAsia" w:hAnsi="Georgia" w:cs="Arial"/>
        </w:rPr>
      </w:pPr>
    </w:p>
    <w:p w14:paraId="656FF3E5" w14:textId="71B7B94C" w:rsidR="00A86E9F" w:rsidRPr="004F2BEA" w:rsidRDefault="00A86E9F" w:rsidP="007845F0">
      <w:pPr>
        <w:pStyle w:val="MDPI21heading1"/>
        <w:rPr>
          <w:rFonts w:eastAsiaTheme="minorEastAsia"/>
        </w:rPr>
      </w:pPr>
      <w:r w:rsidRPr="004F2BEA">
        <w:rPr>
          <w:rFonts w:eastAsiaTheme="minorEastAsia"/>
        </w:rPr>
        <w:t>3. Results</w:t>
      </w:r>
    </w:p>
    <w:p w14:paraId="40233626" w14:textId="340F3A4B" w:rsidR="00711E3A" w:rsidRDefault="00DB3391" w:rsidP="003C7B10">
      <w:pPr>
        <w:pStyle w:val="MDPI31text"/>
      </w:pPr>
      <w:r>
        <w:t xml:space="preserve">In this </w:t>
      </w:r>
      <w:r w:rsidRPr="00FF4AB0">
        <w:t>section, the results of the</w:t>
      </w:r>
      <w:r w:rsidR="00C57E5A">
        <w:t xml:space="preserve"> explorative</w:t>
      </w:r>
      <w:r w:rsidRPr="00FF4AB0">
        <w:t xml:space="preserve"> cluster analysis</w:t>
      </w:r>
      <w:r w:rsidRPr="00F348CE">
        <w:t xml:space="preserve"> </w:t>
      </w:r>
      <w:r>
        <w:t>are described</w:t>
      </w:r>
      <w:r w:rsidR="00483713">
        <w:t xml:space="preserve">. Each type of (communal) </w:t>
      </w:r>
      <w:r w:rsidR="00711E3A">
        <w:t xml:space="preserve">housing </w:t>
      </w:r>
      <w:r w:rsidR="00A256E1">
        <w:t xml:space="preserve">is defined </w:t>
      </w:r>
      <w:r w:rsidR="008A6DB9">
        <w:t>regarding</w:t>
      </w:r>
      <w:r w:rsidR="00B605C3">
        <w:t xml:space="preserve"> </w:t>
      </w:r>
      <w:r w:rsidR="00A77A31">
        <w:t>its</w:t>
      </w:r>
      <w:r w:rsidR="00A256E1">
        <w:t xml:space="preserve"> social, organizational, and spatial characteristics.</w:t>
      </w:r>
    </w:p>
    <w:p w14:paraId="78888C50" w14:textId="77777777" w:rsidR="006D3DD0" w:rsidRPr="003C7B10" w:rsidRDefault="006D3DD0" w:rsidP="003C7B10">
      <w:pPr>
        <w:pStyle w:val="MDPI31text"/>
      </w:pPr>
    </w:p>
    <w:p w14:paraId="30664849" w14:textId="023137C0" w:rsidR="00A36088" w:rsidRPr="00BD6F46" w:rsidRDefault="00A36088" w:rsidP="00A36088">
      <w:pPr>
        <w:pStyle w:val="MDPI22heading2"/>
      </w:pPr>
      <w:r>
        <w:t xml:space="preserve">3.1 </w:t>
      </w:r>
      <w:r w:rsidR="00B643DF">
        <w:t>Types</w:t>
      </w:r>
      <w:r w:rsidRPr="00BD6F46">
        <w:t xml:space="preserve"> of (communal) housing in the social rented sector</w:t>
      </w:r>
    </w:p>
    <w:p w14:paraId="7199BCC8" w14:textId="591AC012" w:rsidR="00D0247B" w:rsidRDefault="00A36088" w:rsidP="00D0247B">
      <w:pPr>
        <w:pStyle w:val="MDPI31text"/>
      </w:pPr>
      <w:r>
        <w:t xml:space="preserve">In almost half of the cases </w:t>
      </w:r>
      <w:r w:rsidR="00D0247B">
        <w:t xml:space="preserve">(47% of the </w:t>
      </w:r>
      <w:r w:rsidR="00D0247B" w:rsidRPr="0000491A">
        <w:t>459</w:t>
      </w:r>
      <w:r w:rsidR="00D0247B">
        <w:t xml:space="preserve"> </w:t>
      </w:r>
      <w:r w:rsidR="00D0247B" w:rsidRPr="00534F3B">
        <w:t>technical complexes</w:t>
      </w:r>
      <w:r w:rsidR="00D0247B">
        <w:t xml:space="preserve">; n=214) </w:t>
      </w:r>
      <w:r>
        <w:t xml:space="preserve">no communal space </w:t>
      </w:r>
      <w:r w:rsidR="00700164">
        <w:t xml:space="preserve">is present </w:t>
      </w:r>
      <w:r w:rsidR="00D0247B">
        <w:t>in its own technical complex</w:t>
      </w:r>
      <w:r>
        <w:t xml:space="preserve">. </w:t>
      </w:r>
      <w:r w:rsidR="00D0247B">
        <w:t>Therefore, t</w:t>
      </w:r>
      <w:r>
        <w:t xml:space="preserve">his group ‘No shared spaces’ </w:t>
      </w:r>
      <w:r w:rsidR="00D0247B">
        <w:t xml:space="preserve">is not labeled as communal living. </w:t>
      </w:r>
      <w:r w:rsidR="00DF7C7C">
        <w:t>However, i</w:t>
      </w:r>
      <w:r w:rsidR="00D0247B">
        <w:t xml:space="preserve">n </w:t>
      </w:r>
      <w:r w:rsidR="00D0247B" w:rsidRPr="00C44D33">
        <w:t>about a quarter of the</w:t>
      </w:r>
      <w:r w:rsidR="00D0247B">
        <w:t>se</w:t>
      </w:r>
      <w:r w:rsidR="00D0247B" w:rsidRPr="00C44D33">
        <w:t xml:space="preserve"> cases</w:t>
      </w:r>
      <w:r w:rsidR="00D0247B">
        <w:t xml:space="preserve"> a meeting room is present in a nearby technical complex for independently living seniors. </w:t>
      </w:r>
    </w:p>
    <w:p w14:paraId="5EEFE2C6" w14:textId="552E774C" w:rsidR="00A36088" w:rsidRDefault="00A36088" w:rsidP="00D0247B">
      <w:pPr>
        <w:pStyle w:val="MDPI31text"/>
      </w:pPr>
      <w:r>
        <w:t xml:space="preserve">The </w:t>
      </w:r>
      <w:r w:rsidR="004F2F17">
        <w:t>types</w:t>
      </w:r>
      <w:r>
        <w:t xml:space="preserve"> of communal housing are formed by means of an explorative cluster analysis. When performing the cluster analysis, a</w:t>
      </w:r>
      <w:r w:rsidRPr="005F2EDB">
        <w:t xml:space="preserve"> total of </w:t>
      </w:r>
      <w:r w:rsidRPr="00880108">
        <w:t>four</w:t>
      </w:r>
      <w:r w:rsidRPr="005F2EDB">
        <w:t xml:space="preserve"> clusters </w:t>
      </w:r>
      <w:r w:rsidR="0027478A">
        <w:t>w</w:t>
      </w:r>
      <w:r w:rsidR="00C74420">
        <w:t>as</w:t>
      </w:r>
      <w:r w:rsidR="0027478A">
        <w:t xml:space="preserve"> </w:t>
      </w:r>
      <w:r w:rsidR="00F34615">
        <w:t>generated</w:t>
      </w:r>
      <w:r w:rsidR="0027478A">
        <w:t xml:space="preserve"> automatically. </w:t>
      </w:r>
      <w:r w:rsidR="00D41F5B">
        <w:t xml:space="preserve">Based on our knowledge from the literature regarding communal living, </w:t>
      </w:r>
      <w:r w:rsidR="00E52B63">
        <w:t>this seemed indeed</w:t>
      </w:r>
      <w:r w:rsidR="00E31A4D">
        <w:t xml:space="preserve"> </w:t>
      </w:r>
      <w:r w:rsidRPr="005F2EDB">
        <w:t>the most optimal number</w:t>
      </w:r>
      <w:r w:rsidR="0047109A">
        <w:t xml:space="preserve"> </w:t>
      </w:r>
      <w:r w:rsidRPr="005F2EDB">
        <w:t xml:space="preserve">in which the </w:t>
      </w:r>
      <w:r w:rsidR="00B71943">
        <w:t>types</w:t>
      </w:r>
      <w:r>
        <w:t xml:space="preserve"> of communal housing</w:t>
      </w:r>
      <w:r w:rsidRPr="005F2EDB">
        <w:t xml:space="preserve"> can be clearly defined. </w:t>
      </w:r>
      <w:r>
        <w:t xml:space="preserve">Figure </w:t>
      </w:r>
      <w:r w:rsidR="00881EF7">
        <w:t>5</w:t>
      </w:r>
      <w:r>
        <w:t xml:space="preserve"> shows the distribution of all four </w:t>
      </w:r>
      <w:r w:rsidR="00B71943">
        <w:t>types</w:t>
      </w:r>
      <w:r>
        <w:t xml:space="preserve"> of communal housing, besides the cases in which residents do not share space. B</w:t>
      </w:r>
      <w:r w:rsidRPr="00E94C15">
        <w:t>elow</w:t>
      </w:r>
      <w:r>
        <w:t>,</w:t>
      </w:r>
      <w:r w:rsidRPr="00E94C15">
        <w:t xml:space="preserve"> the</w:t>
      </w:r>
      <w:r>
        <w:t>se</w:t>
      </w:r>
      <w:r w:rsidRPr="00E94C15">
        <w:t xml:space="preserve"> </w:t>
      </w:r>
      <w:r w:rsidR="00E57650">
        <w:t>types</w:t>
      </w:r>
      <w:r>
        <w:t xml:space="preserve"> </w:t>
      </w:r>
      <w:r w:rsidRPr="00E94C15">
        <w:t xml:space="preserve">are briefly described </w:t>
      </w:r>
      <w:r>
        <w:t>based on t</w:t>
      </w:r>
      <w:r w:rsidRPr="00E94C15">
        <w:t xml:space="preserve">heir characteristics. </w:t>
      </w:r>
    </w:p>
    <w:p w14:paraId="65AA58DF" w14:textId="58EDE892" w:rsidR="004B135E" w:rsidRDefault="00CF39DF" w:rsidP="004B135E">
      <w:pPr>
        <w:pStyle w:val="MDPI31text"/>
        <w:rPr>
          <w:rFonts w:ascii="Georgia" w:eastAsiaTheme="minorEastAsia" w:hAnsi="Georgia" w:cs="Arial"/>
        </w:rPr>
      </w:pPr>
      <w:r>
        <w:rPr>
          <w:rFonts w:ascii="Georgia" w:eastAsiaTheme="minorEastAsia" w:hAnsi="Georgia" w:cs="Arial"/>
          <w:noProof/>
          <w:snapToGrid/>
          <w:lang w:val="en-GB" w:eastAsia="en-GB" w:bidi="ar-SA"/>
        </w:rPr>
        <w:drawing>
          <wp:anchor distT="0" distB="0" distL="114300" distR="114300" simplePos="0" relativeHeight="251662336" behindDoc="0" locked="0" layoutInCell="1" allowOverlap="1" wp14:anchorId="3AC60283" wp14:editId="30230A1F">
            <wp:simplePos x="0" y="0"/>
            <wp:positionH relativeFrom="column">
              <wp:posOffset>1925320</wp:posOffset>
            </wp:positionH>
            <wp:positionV relativeFrom="paragraph">
              <wp:posOffset>128905</wp:posOffset>
            </wp:positionV>
            <wp:extent cx="3982720" cy="328422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2720" cy="3284220"/>
                    </a:xfrm>
                    <a:prstGeom prst="rect">
                      <a:avLst/>
                    </a:prstGeom>
                  </pic:spPr>
                </pic:pic>
              </a:graphicData>
            </a:graphic>
          </wp:anchor>
        </w:drawing>
      </w:r>
    </w:p>
    <w:p w14:paraId="5320477D" w14:textId="7D69A50D" w:rsidR="004B135E" w:rsidRDefault="004B135E" w:rsidP="004B135E">
      <w:pPr>
        <w:pStyle w:val="MDPI31text"/>
        <w:rPr>
          <w:rFonts w:ascii="Georgia" w:eastAsiaTheme="minorEastAsia" w:hAnsi="Georgia" w:cs="Arial"/>
        </w:rPr>
      </w:pPr>
    </w:p>
    <w:p w14:paraId="18637681" w14:textId="77777777" w:rsidR="004B135E" w:rsidRPr="001101D7" w:rsidRDefault="004B135E" w:rsidP="004B135E">
      <w:pPr>
        <w:pStyle w:val="MDPI51figurecaption"/>
        <w:rPr>
          <w:rFonts w:eastAsiaTheme="minorEastAsia"/>
        </w:rPr>
      </w:pPr>
      <w:r w:rsidRPr="00127D15">
        <w:rPr>
          <w:rFonts w:eastAsiaTheme="minorEastAsia"/>
        </w:rPr>
        <w:lastRenderedPageBreak/>
        <w:t xml:space="preserve">Figure </w:t>
      </w:r>
      <w:r>
        <w:rPr>
          <w:rFonts w:eastAsiaTheme="minorEastAsia"/>
        </w:rPr>
        <w:t>5</w:t>
      </w:r>
      <w:r w:rsidRPr="00127D15">
        <w:rPr>
          <w:rFonts w:eastAsiaTheme="minorEastAsia"/>
        </w:rPr>
        <w:t xml:space="preserve">. </w:t>
      </w:r>
      <w:r w:rsidRPr="001101D7">
        <w:rPr>
          <w:rFonts w:eastAsiaTheme="minorEastAsia"/>
        </w:rPr>
        <w:t xml:space="preserve">Distribution of </w:t>
      </w:r>
      <w:r>
        <w:rPr>
          <w:rFonts w:eastAsiaTheme="minorEastAsia"/>
        </w:rPr>
        <w:t>types</w:t>
      </w:r>
      <w:r w:rsidRPr="001101D7">
        <w:rPr>
          <w:rFonts w:eastAsiaTheme="minorEastAsia"/>
        </w:rPr>
        <w:t xml:space="preserve"> of (communal) housing according to the number of technical complexes (n=459).</w:t>
      </w:r>
    </w:p>
    <w:p w14:paraId="178BB4F8" w14:textId="77777777" w:rsidR="004B135E" w:rsidRDefault="004B135E" w:rsidP="00AF19D3">
      <w:pPr>
        <w:pStyle w:val="MDPI22heading2"/>
      </w:pPr>
    </w:p>
    <w:p w14:paraId="2F9336C5" w14:textId="50819DB3" w:rsidR="00AF19D3" w:rsidRPr="0015699D" w:rsidRDefault="00AF19D3" w:rsidP="00AF19D3">
      <w:pPr>
        <w:pStyle w:val="MDPI22heading2"/>
      </w:pPr>
      <w:r w:rsidRPr="0015699D">
        <w:t>3.</w:t>
      </w:r>
      <w:r>
        <w:t>2</w:t>
      </w:r>
      <w:r w:rsidRPr="0015699D">
        <w:t xml:space="preserve"> </w:t>
      </w:r>
      <w:r>
        <w:t>Type</w:t>
      </w:r>
      <w:r w:rsidRPr="0015699D">
        <w:t xml:space="preserve"> ‘</w:t>
      </w:r>
      <w:r w:rsidR="007B46DA">
        <w:t>Space for</w:t>
      </w:r>
      <w:r>
        <w:t xml:space="preserve"> </w:t>
      </w:r>
      <w:r w:rsidRPr="0015699D">
        <w:t>support</w:t>
      </w:r>
      <w:r>
        <w:t>’</w:t>
      </w:r>
    </w:p>
    <w:p w14:paraId="5C937DDB" w14:textId="73F5FFE3" w:rsidR="00706966" w:rsidRDefault="00AF19D3" w:rsidP="00AF19D3">
      <w:pPr>
        <w:pStyle w:val="MDPI31text"/>
      </w:pPr>
      <w:r>
        <w:t>The first type ‘</w:t>
      </w:r>
      <w:r w:rsidR="007B46DA">
        <w:t xml:space="preserve">Space for </w:t>
      </w:r>
      <w:r>
        <w:t xml:space="preserve">support’ </w:t>
      </w:r>
      <w:r w:rsidRPr="00EF544B">
        <w:t xml:space="preserve">relates to </w:t>
      </w:r>
      <w:r w:rsidRPr="00CF0817">
        <w:t>14% of the</w:t>
      </w:r>
      <w:r>
        <w:t xml:space="preserve"> </w:t>
      </w:r>
      <w:r w:rsidRPr="00CF0817">
        <w:t>technical complexes</w:t>
      </w:r>
      <w:r>
        <w:t xml:space="preserve"> (n=62)</w:t>
      </w:r>
      <w:r w:rsidRPr="00EF544B">
        <w:t xml:space="preserve">. This </w:t>
      </w:r>
      <w:r>
        <w:t>variant in particular</w:t>
      </w:r>
      <w:r w:rsidRPr="00EF544B">
        <w:t xml:space="preserve"> </w:t>
      </w:r>
      <w:r w:rsidRPr="006E6C74">
        <w:t xml:space="preserve">is characterized by </w:t>
      </w:r>
      <w:r>
        <w:t xml:space="preserve">its </w:t>
      </w:r>
      <w:r w:rsidRPr="00EF544B">
        <w:t xml:space="preserve">social factors; </w:t>
      </w:r>
      <w:r>
        <w:t xml:space="preserve">building managers perceived </w:t>
      </w:r>
      <w:r w:rsidRPr="00EF544B">
        <w:t>th</w:t>
      </w:r>
      <w:r>
        <w:t>e</w:t>
      </w:r>
      <w:r w:rsidRPr="00EF544B">
        <w:t xml:space="preserve"> resident group as relatively vulnerable</w:t>
      </w:r>
      <w:r>
        <w:t xml:space="preserve"> compared to the other types.</w:t>
      </w:r>
      <w:r w:rsidRPr="00EF544B">
        <w:t xml:space="preserve"> </w:t>
      </w:r>
      <w:r>
        <w:t>Additionally</w:t>
      </w:r>
      <w:r w:rsidRPr="00EF544B">
        <w:t>, the involvement of residents in the (in)formal organization of the shared spaces, activities</w:t>
      </w:r>
      <w:r>
        <w:t>,</w:t>
      </w:r>
      <w:r w:rsidRPr="00EF544B">
        <w:t xml:space="preserve"> and selection of new residents is experienced as (very) low</w:t>
      </w:r>
      <w:r>
        <w:t xml:space="preserve"> by the building managers</w:t>
      </w:r>
      <w:r w:rsidRPr="00EF544B">
        <w:t>.</w:t>
      </w:r>
      <w:r>
        <w:t xml:space="preserve"> </w:t>
      </w:r>
      <w:r w:rsidRPr="00EF544B">
        <w:t>Spatially,</w:t>
      </w:r>
      <w:r>
        <w:t xml:space="preserve"> most of the cases which include intramural units belong to this variant. Moreover, </w:t>
      </w:r>
      <w:r w:rsidRPr="00EF544B">
        <w:t>different types of comm</w:t>
      </w:r>
      <w:r>
        <w:t>u</w:t>
      </w:r>
      <w:r w:rsidRPr="00EF544B">
        <w:t>n</w:t>
      </w:r>
      <w:r>
        <w:t>al</w:t>
      </w:r>
      <w:r w:rsidRPr="00EF544B">
        <w:t xml:space="preserve"> areas</w:t>
      </w:r>
      <w:r>
        <w:t xml:space="preserve"> are present</w:t>
      </w:r>
      <w:r w:rsidRPr="00EF544B">
        <w:t>; spaces aimed at organized encounters</w:t>
      </w:r>
      <w:r>
        <w:t xml:space="preserve">, </w:t>
      </w:r>
      <w:r w:rsidRPr="00EF544B">
        <w:t>the daily routine</w:t>
      </w:r>
      <w:r>
        <w:t>,</w:t>
      </w:r>
      <w:r w:rsidRPr="00EF544B">
        <w:t xml:space="preserve"> and casual encounters between residents. Although it seems that </w:t>
      </w:r>
      <w:r>
        <w:t>the</w:t>
      </w:r>
      <w:r w:rsidRPr="00EF544B">
        <w:t xml:space="preserve"> spatial context provide</w:t>
      </w:r>
      <w:r>
        <w:t>s</w:t>
      </w:r>
      <w:r w:rsidRPr="00EF544B">
        <w:t xml:space="preserve"> different types of social interaction between residents, the involvement of residents in the (in)formal organization seems (very) low. The shared spaces and activities</w:t>
      </w:r>
      <w:r>
        <w:t>, therefore,</w:t>
      </w:r>
      <w:r w:rsidRPr="00EF544B">
        <w:t xml:space="preserve"> seem to be managed and organized m</w:t>
      </w:r>
      <w:r>
        <w:t>ainly</w:t>
      </w:r>
      <w:r w:rsidRPr="00EF544B">
        <w:t xml:space="preserve"> </w:t>
      </w:r>
      <w:r w:rsidRPr="00781F10">
        <w:rPr>
          <w:i/>
          <w:iCs/>
        </w:rPr>
        <w:t>for</w:t>
      </w:r>
      <w:r w:rsidRPr="00EF544B">
        <w:t xml:space="preserve"> than </w:t>
      </w:r>
      <w:r w:rsidRPr="00781F10">
        <w:rPr>
          <w:i/>
          <w:iCs/>
        </w:rPr>
        <w:t>by</w:t>
      </w:r>
      <w:r w:rsidRPr="00EF544B">
        <w:t xml:space="preserve"> residents. </w:t>
      </w:r>
    </w:p>
    <w:p w14:paraId="0D06C4E5" w14:textId="77777777" w:rsidR="00456D3D" w:rsidRDefault="00456D3D" w:rsidP="00DF7C7C">
      <w:pPr>
        <w:pStyle w:val="MDPI31text"/>
        <w:ind w:left="0" w:firstLine="0"/>
      </w:pPr>
    </w:p>
    <w:p w14:paraId="48682F2C" w14:textId="03F9EFC3" w:rsidR="00456D3D" w:rsidRPr="0015699D" w:rsidRDefault="00456D3D" w:rsidP="00456D3D">
      <w:pPr>
        <w:pStyle w:val="MDPI22heading2"/>
      </w:pPr>
      <w:r w:rsidRPr="0015699D">
        <w:t>3.</w:t>
      </w:r>
      <w:r w:rsidR="00DF7C7C">
        <w:t>3</w:t>
      </w:r>
      <w:r w:rsidRPr="0015699D">
        <w:t xml:space="preserve"> </w:t>
      </w:r>
      <w:r w:rsidR="00984BE1">
        <w:t>Type</w:t>
      </w:r>
      <w:r w:rsidRPr="0015699D">
        <w:t xml:space="preserve"> ‘</w:t>
      </w:r>
      <w:r w:rsidR="007B46DA">
        <w:t>Space for r</w:t>
      </w:r>
      <w:r w:rsidR="00E64BB8">
        <w:t>ecreati</w:t>
      </w:r>
      <w:r w:rsidR="007B46DA">
        <w:t>on</w:t>
      </w:r>
      <w:r w:rsidRPr="0015699D">
        <w:t>’</w:t>
      </w:r>
      <w:r>
        <w:t xml:space="preserve"> </w:t>
      </w:r>
    </w:p>
    <w:p w14:paraId="5FE67995" w14:textId="79FA70D0" w:rsidR="00456D3D" w:rsidRDefault="00456D3D" w:rsidP="00456D3D">
      <w:pPr>
        <w:pStyle w:val="MDPI31text"/>
      </w:pPr>
      <w:r w:rsidRPr="00534F3B">
        <w:t xml:space="preserve">The </w:t>
      </w:r>
      <w:r w:rsidR="00984BE1">
        <w:t>type</w:t>
      </w:r>
      <w:r>
        <w:t xml:space="preserve"> </w:t>
      </w:r>
      <w:r w:rsidRPr="00534F3B">
        <w:t>'</w:t>
      </w:r>
      <w:r w:rsidR="007B46DA">
        <w:t>Space for recreation</w:t>
      </w:r>
      <w:r w:rsidRPr="00534F3B">
        <w:t xml:space="preserve">' relates to </w:t>
      </w:r>
      <w:r w:rsidRPr="0000491A">
        <w:t>17% of the 459</w:t>
      </w:r>
      <w:r>
        <w:t xml:space="preserve"> </w:t>
      </w:r>
      <w:r w:rsidRPr="00534F3B">
        <w:t>technical complexes</w:t>
      </w:r>
      <w:r>
        <w:t xml:space="preserve"> (n=76)</w:t>
      </w:r>
      <w:r w:rsidRPr="00534F3B">
        <w:t xml:space="preserve">. All </w:t>
      </w:r>
      <w:r>
        <w:t>cases</w:t>
      </w:r>
      <w:r w:rsidRPr="00534F3B">
        <w:t xml:space="preserve"> have a meeting and/or recreation </w:t>
      </w:r>
      <w:r>
        <w:t>room</w:t>
      </w:r>
      <w:r w:rsidRPr="00534F3B">
        <w:t xml:space="preserve"> and in approximately </w:t>
      </w:r>
      <w:r>
        <w:t>one-third</w:t>
      </w:r>
      <w:r w:rsidRPr="00534F3B">
        <w:t xml:space="preserve"> of the cases</w:t>
      </w:r>
      <w:r>
        <w:t>,</w:t>
      </w:r>
      <w:r w:rsidRPr="00534F3B">
        <w:t xml:space="preserve"> a kitchen and/or dining area is available.</w:t>
      </w:r>
      <w:r>
        <w:t xml:space="preserve"> Compared to the </w:t>
      </w:r>
      <w:r w:rsidR="00984BE1">
        <w:t>type</w:t>
      </w:r>
      <w:r>
        <w:t xml:space="preserve"> ‘</w:t>
      </w:r>
      <w:r w:rsidR="007B46DA">
        <w:t>Space for</w:t>
      </w:r>
      <w:r>
        <w:t xml:space="preserve"> support’, </w:t>
      </w:r>
      <w:r w:rsidR="006A6A15">
        <w:t xml:space="preserve">building managers </w:t>
      </w:r>
      <w:r w:rsidR="00D358EB">
        <w:t xml:space="preserve">indicate </w:t>
      </w:r>
      <w:r>
        <w:t>t</w:t>
      </w:r>
      <w:r w:rsidRPr="00534F3B">
        <w:t xml:space="preserve">he involvement </w:t>
      </w:r>
      <w:r>
        <w:t>of</w:t>
      </w:r>
      <w:r w:rsidRPr="00534F3B">
        <w:t xml:space="preserve"> residents in the (in)formal organization </w:t>
      </w:r>
      <w:r w:rsidR="00D358EB">
        <w:t>as</w:t>
      </w:r>
      <w:r w:rsidRPr="00534F3B">
        <w:t xml:space="preserve"> higher</w:t>
      </w:r>
      <w:r>
        <w:t>, in particular regarding</w:t>
      </w:r>
      <w:r w:rsidRPr="00534F3B">
        <w:t xml:space="preserve"> </w:t>
      </w:r>
      <w:r>
        <w:t>(organized) activities.</w:t>
      </w:r>
      <w:r w:rsidRPr="00534F3B">
        <w:t xml:space="preserve"> In this </w:t>
      </w:r>
      <w:r w:rsidR="00984BE1">
        <w:t>type</w:t>
      </w:r>
      <w:r w:rsidRPr="00534F3B">
        <w:t>, the</w:t>
      </w:r>
      <w:r>
        <w:t>re seems to be a</w:t>
      </w:r>
      <w:r w:rsidRPr="00534F3B">
        <w:t xml:space="preserve"> focus on creating a spatial context that is primarily aimed at stimulating organized encounters </w:t>
      </w:r>
      <w:r>
        <w:t>or</w:t>
      </w:r>
      <w:r w:rsidRPr="00534F3B">
        <w:t xml:space="preserve"> recreation, whereby residents </w:t>
      </w:r>
      <w:r>
        <w:t xml:space="preserve">to a </w:t>
      </w:r>
      <w:r w:rsidRPr="00534F3B">
        <w:t>greater or lesser</w:t>
      </w:r>
      <w:r>
        <w:t xml:space="preserve"> extent are involved in</w:t>
      </w:r>
      <w:r w:rsidRPr="00534F3B">
        <w:t xml:space="preserve"> the program </w:t>
      </w:r>
      <w:r>
        <w:t>and organization</w:t>
      </w:r>
      <w:r w:rsidRPr="00534F3B">
        <w:t xml:space="preserve"> of activities.</w:t>
      </w:r>
    </w:p>
    <w:p w14:paraId="17C6E6A2" w14:textId="448A8D1F" w:rsidR="004B135E" w:rsidRDefault="004B135E" w:rsidP="00456D3D">
      <w:pPr>
        <w:pStyle w:val="MDPI31text"/>
      </w:pPr>
    </w:p>
    <w:p w14:paraId="1254C7EA" w14:textId="77777777" w:rsidR="004B135E" w:rsidRDefault="004B135E" w:rsidP="00456D3D">
      <w:pPr>
        <w:pStyle w:val="MDPI31text"/>
      </w:pPr>
    </w:p>
    <w:p w14:paraId="4997A6CF" w14:textId="77777777" w:rsidR="00456D3D" w:rsidRPr="00C94A7B" w:rsidRDefault="00456D3D" w:rsidP="00456D3D">
      <w:pPr>
        <w:pStyle w:val="MDPI31text"/>
      </w:pPr>
    </w:p>
    <w:p w14:paraId="27D337BA" w14:textId="0B8A9505" w:rsidR="00456D3D" w:rsidRPr="000504AF" w:rsidRDefault="00456D3D" w:rsidP="00456D3D">
      <w:pPr>
        <w:pStyle w:val="MDPI22heading2"/>
      </w:pPr>
      <w:r>
        <w:t>3</w:t>
      </w:r>
      <w:r w:rsidR="00DF7C7C">
        <w:t>.4</w:t>
      </w:r>
      <w:r>
        <w:t xml:space="preserve"> </w:t>
      </w:r>
      <w:r w:rsidR="00984BE1">
        <w:t>Type</w:t>
      </w:r>
      <w:r>
        <w:t xml:space="preserve"> ‘Space for involvement’ &amp; ‘Space for co-living’</w:t>
      </w:r>
    </w:p>
    <w:p w14:paraId="6D0D91F1" w14:textId="4C007FED" w:rsidR="00456D3D" w:rsidRDefault="00456D3D" w:rsidP="00456D3D">
      <w:pPr>
        <w:pStyle w:val="MDPI31text"/>
      </w:pPr>
      <w:r>
        <w:t xml:space="preserve">The </w:t>
      </w:r>
      <w:r w:rsidR="00984BE1">
        <w:t>type</w:t>
      </w:r>
      <w:r>
        <w:t xml:space="preserve">s ‘Space for involvement’ (10% of all technical complexes; n=47) and ‘Space for co-living’ (13% of all technical complexes; n=60) seem more difficult </w:t>
      </w:r>
      <w:r w:rsidRPr="002C0E67">
        <w:t>to distinguish from each other</w:t>
      </w:r>
      <w:r>
        <w:t xml:space="preserve">. These two </w:t>
      </w:r>
      <w:r w:rsidR="00984BE1">
        <w:t>type</w:t>
      </w:r>
      <w:r>
        <w:t xml:space="preserve">s seem to resemble most the concept of communal housing from a social, organizational, and spatial point of view. This is reflected in the </w:t>
      </w:r>
      <w:r w:rsidR="00912DF5">
        <w:t xml:space="preserve">perceived </w:t>
      </w:r>
      <w:r>
        <w:t>involvement of residents</w:t>
      </w:r>
      <w:r w:rsidRPr="009B5855">
        <w:t xml:space="preserve"> in the (in)formal organization of shared spaces and activities</w:t>
      </w:r>
      <w:r>
        <w:t>, which</w:t>
      </w:r>
      <w:r w:rsidRPr="009B5855">
        <w:t xml:space="preserve"> </w:t>
      </w:r>
      <w:r w:rsidR="00912DF5">
        <w:t>seem to be</w:t>
      </w:r>
      <w:r w:rsidRPr="009B5855">
        <w:t xml:space="preserve"> on average (slightly) higher compared to other </w:t>
      </w:r>
      <w:r w:rsidR="00984BE1">
        <w:t>type</w:t>
      </w:r>
      <w:r w:rsidRPr="009B5855">
        <w:t xml:space="preserve">s. Also, </w:t>
      </w:r>
      <w:r w:rsidR="002013C0">
        <w:t>building managers</w:t>
      </w:r>
      <w:r w:rsidRPr="009B5855">
        <w:t xml:space="preserve"> experience the resident group as relatively vital.</w:t>
      </w:r>
      <w:r>
        <w:t xml:space="preserve"> H</w:t>
      </w:r>
      <w:r w:rsidRPr="002C0E67">
        <w:t>owever,</w:t>
      </w:r>
      <w:r>
        <w:t xml:space="preserve"> we do see</w:t>
      </w:r>
      <w:r w:rsidRPr="002C0E67">
        <w:t xml:space="preserve"> that the</w:t>
      </w:r>
      <w:r>
        <w:t xml:space="preserve"> latest</w:t>
      </w:r>
      <w:r w:rsidRPr="002C0E67">
        <w:t xml:space="preserve"> </w:t>
      </w:r>
      <w:r w:rsidR="00984BE1">
        <w:t>type</w:t>
      </w:r>
      <w:r w:rsidRPr="002C0E67">
        <w:t xml:space="preserve"> is mainly characterized</w:t>
      </w:r>
      <w:r>
        <w:t xml:space="preserve"> by </w:t>
      </w:r>
      <w:r w:rsidR="002013C0">
        <w:t xml:space="preserve">its </w:t>
      </w:r>
      <w:r w:rsidRPr="002C0E67">
        <w:t xml:space="preserve">spatial factors; </w:t>
      </w:r>
      <w:r>
        <w:t xml:space="preserve">in all cases at least one of the different categories of communal spaces is present. So the </w:t>
      </w:r>
      <w:r w:rsidR="002E7D67">
        <w:t xml:space="preserve">spatial </w:t>
      </w:r>
      <w:r>
        <w:t>context seems to support</w:t>
      </w:r>
      <w:r w:rsidRPr="002C0E67">
        <w:t xml:space="preserve"> </w:t>
      </w:r>
      <w:r>
        <w:t>organized</w:t>
      </w:r>
      <w:r w:rsidRPr="002C0E67">
        <w:t xml:space="preserve"> </w:t>
      </w:r>
      <w:r>
        <w:t>activities</w:t>
      </w:r>
      <w:r w:rsidRPr="002C0E67">
        <w:t xml:space="preserve"> and recreation, </w:t>
      </w:r>
      <w:r>
        <w:t>facilitate</w:t>
      </w:r>
      <w:r w:rsidRPr="002C0E67">
        <w:t xml:space="preserve"> the daily routine of residents, and stimulat</w:t>
      </w:r>
      <w:r>
        <w:t>e</w:t>
      </w:r>
      <w:r w:rsidRPr="002C0E67">
        <w:t xml:space="preserve"> </w:t>
      </w:r>
      <w:r w:rsidR="00457C6B">
        <w:t>spontaneous</w:t>
      </w:r>
      <w:r w:rsidR="002E7C27" w:rsidRPr="002C0E67">
        <w:t xml:space="preserve"> </w:t>
      </w:r>
      <w:r w:rsidRPr="002C0E67">
        <w:t xml:space="preserve">encounters between residents. The </w:t>
      </w:r>
      <w:r w:rsidR="00984BE1">
        <w:t>type</w:t>
      </w:r>
      <w:r>
        <w:t xml:space="preserve"> </w:t>
      </w:r>
      <w:r w:rsidRPr="002C0E67">
        <w:t>'</w:t>
      </w:r>
      <w:r>
        <w:t>Space for involvement</w:t>
      </w:r>
      <w:r w:rsidRPr="002C0E67">
        <w:t xml:space="preserve">' appears to be somewhat more distinct with regard to the </w:t>
      </w:r>
      <w:r w:rsidR="002E7C27">
        <w:t xml:space="preserve">perceived </w:t>
      </w:r>
      <w:r w:rsidRPr="002C0E67">
        <w:t xml:space="preserve">degree of involvement of residents in the (in)formal organization. </w:t>
      </w:r>
      <w:r>
        <w:t xml:space="preserve">For example, the few cases in which residents </w:t>
      </w:r>
      <w:r w:rsidR="00496598">
        <w:t xml:space="preserve">seem to </w:t>
      </w:r>
      <w:r>
        <w:t xml:space="preserve">have a say in the selection of new residents belong to this </w:t>
      </w:r>
      <w:r w:rsidR="00984BE1">
        <w:t>type</w:t>
      </w:r>
      <w:r>
        <w:t xml:space="preserve">. Additionally, in </w:t>
      </w:r>
      <w:r w:rsidRPr="002C0E67">
        <w:t xml:space="preserve">about a </w:t>
      </w:r>
      <w:r w:rsidRPr="00FA77C5">
        <w:t>quarter of the cases</w:t>
      </w:r>
      <w:r>
        <w:t>,</w:t>
      </w:r>
      <w:r w:rsidRPr="00BB4B4E">
        <w:t xml:space="preserve"> </w:t>
      </w:r>
      <w:r w:rsidR="00496598">
        <w:t xml:space="preserve">building managers indicate that </w:t>
      </w:r>
      <w:r w:rsidR="00457C6B">
        <w:t>(some of) the residents have</w:t>
      </w:r>
      <w:r>
        <w:t xml:space="preserve"> </w:t>
      </w:r>
      <w:r w:rsidRPr="002C0E67">
        <w:t>a shared lifestyle</w:t>
      </w:r>
      <w:r>
        <w:t xml:space="preserve">. </w:t>
      </w:r>
    </w:p>
    <w:p w14:paraId="7B6E2EB9" w14:textId="77777777" w:rsidR="00A86E9F" w:rsidRPr="00D72800" w:rsidRDefault="00A86E9F" w:rsidP="00D72800">
      <w:pPr>
        <w:pStyle w:val="MDPI21heading1"/>
        <w:rPr>
          <w:rFonts w:eastAsiaTheme="minorEastAsia"/>
        </w:rPr>
      </w:pPr>
      <w:r w:rsidRPr="00D72800">
        <w:rPr>
          <w:rFonts w:eastAsiaTheme="minorEastAsia"/>
        </w:rPr>
        <w:t>4. Discussion</w:t>
      </w:r>
    </w:p>
    <w:p w14:paraId="6F1BFB4F" w14:textId="41830868" w:rsidR="008B1C88" w:rsidRDefault="008B1C88" w:rsidP="008B1C88">
      <w:pPr>
        <w:pStyle w:val="MDPI31text"/>
      </w:pPr>
      <w:r>
        <w:t>Previous studies have explored the relationship between communal living and social behavioral aspects. However, these findings often relate to forms of resident-led commu</w:t>
      </w:r>
      <w:r>
        <w:lastRenderedPageBreak/>
        <w:t xml:space="preserve">nal housing, in which residents </w:t>
      </w:r>
      <w:r w:rsidRPr="0030670C">
        <w:t xml:space="preserve">share </w:t>
      </w:r>
      <w:r>
        <w:t>common</w:t>
      </w:r>
      <w:r w:rsidRPr="0030670C">
        <w:t xml:space="preserve"> space</w:t>
      </w:r>
      <w:r>
        <w:t xml:space="preserve">(s) and </w:t>
      </w:r>
      <w:r w:rsidRPr="009362AD">
        <w:t>make joint decisions regarding collective life</w:t>
      </w:r>
      <w:r>
        <w:t xml:space="preserve">. </w:t>
      </w:r>
      <w:r w:rsidRPr="00883F48">
        <w:t xml:space="preserve">The </w:t>
      </w:r>
      <w:r w:rsidR="00984BE1">
        <w:t>type</w:t>
      </w:r>
      <w:r w:rsidRPr="00883F48">
        <w:t xml:space="preserve">s of communal living in </w:t>
      </w:r>
      <w:r>
        <w:t>Dutch social housing</w:t>
      </w:r>
      <w:r w:rsidRPr="00883F48">
        <w:t xml:space="preserve"> show a slightly different picture.</w:t>
      </w:r>
      <w:r>
        <w:t xml:space="preserve"> Our findings demonstrate </w:t>
      </w:r>
      <w:r w:rsidRPr="0065557F">
        <w:t xml:space="preserve">that four </w:t>
      </w:r>
      <w:r w:rsidR="00984BE1">
        <w:t>type</w:t>
      </w:r>
      <w:r w:rsidRPr="0065557F">
        <w:t xml:space="preserve">s of </w:t>
      </w:r>
      <w:r>
        <w:t>communal living</w:t>
      </w:r>
      <w:r w:rsidRPr="0065557F">
        <w:t xml:space="preserve"> can be distinguished, </w:t>
      </w:r>
      <w:r>
        <w:t xml:space="preserve">where residents share </w:t>
      </w:r>
      <w:r w:rsidR="00960EC9">
        <w:t>common</w:t>
      </w:r>
      <w:r>
        <w:t xml:space="preserve"> spaces with each other to a certain extent. Some of these </w:t>
      </w:r>
      <w:r w:rsidR="00984BE1">
        <w:t>type</w:t>
      </w:r>
      <w:r>
        <w:t xml:space="preserve">s are characterized by social or organizational variables, whereas others are characterized more by spatial characteristics. </w:t>
      </w:r>
    </w:p>
    <w:p w14:paraId="1F84EE9A" w14:textId="4E21894F" w:rsidR="008B1C88" w:rsidRDefault="008B1C88" w:rsidP="008B1C88">
      <w:pPr>
        <w:pStyle w:val="MDPI31text"/>
      </w:pPr>
      <w:r>
        <w:t>First, our findings demonstrate</w:t>
      </w:r>
      <w:r w:rsidRPr="00701F94">
        <w:t xml:space="preserve"> that </w:t>
      </w:r>
      <w:r>
        <w:t>almost</w:t>
      </w:r>
      <w:r w:rsidRPr="00701F94">
        <w:t xml:space="preserve"> half of the residential complexes </w:t>
      </w:r>
      <w:r>
        <w:t xml:space="preserve">in our study </w:t>
      </w:r>
      <w:r w:rsidRPr="00701F94">
        <w:t>do</w:t>
      </w:r>
      <w:r>
        <w:t>es</w:t>
      </w:r>
      <w:r w:rsidRPr="00701F94">
        <w:t xml:space="preserve"> not belong to the</w:t>
      </w:r>
      <w:r>
        <w:t xml:space="preserve"> four</w:t>
      </w:r>
      <w:r w:rsidRPr="00701F94">
        <w:t xml:space="preserve"> </w:t>
      </w:r>
      <w:r w:rsidR="00984BE1">
        <w:t>type</w:t>
      </w:r>
      <w:r w:rsidRPr="00701F94">
        <w:t>s of communal living.</w:t>
      </w:r>
      <w:r>
        <w:t xml:space="preserve"> </w:t>
      </w:r>
      <w:r w:rsidRPr="004034DD">
        <w:t xml:space="preserve">In these </w:t>
      </w:r>
      <w:r>
        <w:t>complexes</w:t>
      </w:r>
      <w:r w:rsidRPr="004034DD">
        <w:t xml:space="preserve">, no </w:t>
      </w:r>
      <w:r w:rsidR="00AE101B">
        <w:t>common</w:t>
      </w:r>
      <w:r w:rsidRPr="004034DD">
        <w:t xml:space="preserve"> space is shared between residents</w:t>
      </w:r>
      <w:r>
        <w:t xml:space="preserve">. Secondly, the </w:t>
      </w:r>
      <w:r w:rsidR="00984BE1">
        <w:t>type</w:t>
      </w:r>
      <w:r>
        <w:t xml:space="preserve"> of communal living ‘</w:t>
      </w:r>
      <w:r w:rsidR="00F5782A">
        <w:t>Space for</w:t>
      </w:r>
      <w:r>
        <w:t xml:space="preserve"> support’ is characterized by a </w:t>
      </w:r>
      <w:r w:rsidRPr="00D03006">
        <w:t>relatively vulnerable resident group</w:t>
      </w:r>
      <w:r>
        <w:t xml:space="preserve"> and (very) low involvement of the </w:t>
      </w:r>
      <w:r w:rsidRPr="00D03006">
        <w:t>residents in the (in)formal</w:t>
      </w:r>
      <w:r>
        <w:t xml:space="preserve"> community</w:t>
      </w:r>
      <w:r w:rsidRPr="00D03006">
        <w:t xml:space="preserve"> organization</w:t>
      </w:r>
      <w:r>
        <w:t xml:space="preserve">. Thirdly, the </w:t>
      </w:r>
      <w:r w:rsidR="00984BE1">
        <w:t>type</w:t>
      </w:r>
      <w:r>
        <w:t xml:space="preserve"> ‘</w:t>
      </w:r>
      <w:r w:rsidR="00F5782A">
        <w:t>Space for r</w:t>
      </w:r>
      <w:r w:rsidR="0085063C">
        <w:t>ecreati</w:t>
      </w:r>
      <w:r w:rsidR="00F5782A">
        <w:t>on</w:t>
      </w:r>
      <w:r>
        <w:t>’ refers to residential complexes i</w:t>
      </w:r>
      <w:r w:rsidRPr="006D675F">
        <w:t xml:space="preserve">n which residents </w:t>
      </w:r>
      <w:r>
        <w:t>share</w:t>
      </w:r>
      <w:r w:rsidRPr="006D675F">
        <w:t xml:space="preserve"> space for </w:t>
      </w:r>
      <w:r>
        <w:t xml:space="preserve">(organized) </w:t>
      </w:r>
      <w:r w:rsidRPr="006D675F">
        <w:t>social activities, but not so much for functional activities.</w:t>
      </w:r>
      <w:r>
        <w:t xml:space="preserve"> Fourthly, the third </w:t>
      </w:r>
      <w:r w:rsidR="00984BE1">
        <w:t>type</w:t>
      </w:r>
      <w:r>
        <w:t xml:space="preserve"> ‘Space for involvement’ and fourth </w:t>
      </w:r>
      <w:r w:rsidR="00984BE1">
        <w:t>type</w:t>
      </w:r>
      <w:r>
        <w:t xml:space="preserve"> ‘Space for co-living’, that are somewhat similar, represent more intensive forms of communal living, in which communal spaces are shared, the group of residents is relatively resilient, and residents, to some extent, </w:t>
      </w:r>
      <w:r w:rsidR="003B3E9E">
        <w:t xml:space="preserve">seem to be </w:t>
      </w:r>
      <w:r>
        <w:t xml:space="preserve">involved in the organization. </w:t>
      </w:r>
    </w:p>
    <w:p w14:paraId="49C248CF" w14:textId="7B04377F" w:rsidR="008B1C88" w:rsidRDefault="008B1C88" w:rsidP="008B1C88">
      <w:pPr>
        <w:pStyle w:val="MDPI31text"/>
      </w:pPr>
      <w:r>
        <w:t xml:space="preserve">Although the findings of this exploratory cluster analysis provide a </w:t>
      </w:r>
      <w:r w:rsidRPr="003B2D7E">
        <w:t xml:space="preserve">preliminary </w:t>
      </w:r>
      <w:r>
        <w:t xml:space="preserve">typology of </w:t>
      </w:r>
      <w:r w:rsidR="00E23EC7">
        <w:t xml:space="preserve">social </w:t>
      </w:r>
      <w:r>
        <w:t xml:space="preserve">communal housing for seniors, some relevant data is still missing. </w:t>
      </w:r>
      <w:r w:rsidRPr="00CB732F">
        <w:t xml:space="preserve">First of all, we need more data to determine whether the third and fourth </w:t>
      </w:r>
      <w:r w:rsidR="00984BE1">
        <w:t>type</w:t>
      </w:r>
      <w:r w:rsidRPr="00CB732F">
        <w:t xml:space="preserve"> of communal living differ from each other on essential spatial, social and organizational variables.</w:t>
      </w:r>
      <w:r>
        <w:t xml:space="preserve"> For now, </w:t>
      </w:r>
      <w:r w:rsidR="005008A1">
        <w:t>i</w:t>
      </w:r>
      <w:r w:rsidRPr="000F3763">
        <w:t xml:space="preserve">t is still uncertain whether the distinction between the two </w:t>
      </w:r>
      <w:r w:rsidR="00984BE1">
        <w:t>type</w:t>
      </w:r>
      <w:r w:rsidRPr="000F3763">
        <w:t>s</w:t>
      </w:r>
      <w:r>
        <w:t xml:space="preserve"> of communal living</w:t>
      </w:r>
      <w:r w:rsidRPr="000F3763">
        <w:t xml:space="preserve"> </w:t>
      </w:r>
      <w:r>
        <w:t>is</w:t>
      </w:r>
      <w:r w:rsidRPr="000F3763">
        <w:t xml:space="preserve"> justified.</w:t>
      </w:r>
      <w:r>
        <w:t xml:space="preserve"> Secondly, it would be interesting to refine the typology of communal living </w:t>
      </w:r>
      <w:r w:rsidRPr="00AE359E">
        <w:t xml:space="preserve">based on additional </w:t>
      </w:r>
      <w:r>
        <w:t>data</w:t>
      </w:r>
      <w:r w:rsidRPr="00AE359E">
        <w:t xml:space="preserve"> about the composition of the resident group according to relevant personal characteristics and information about the use of the communal </w:t>
      </w:r>
      <w:r>
        <w:t>spaces</w:t>
      </w:r>
      <w:r w:rsidRPr="00AE359E">
        <w:t xml:space="preserve"> by the residents.</w:t>
      </w:r>
    </w:p>
    <w:p w14:paraId="3D701640" w14:textId="0146BAED" w:rsidR="008B1C88" w:rsidRDefault="008B1C88" w:rsidP="008B1C88">
      <w:pPr>
        <w:pStyle w:val="MDPI31text"/>
      </w:pPr>
      <w:r>
        <w:t xml:space="preserve">Further, our findings show </w:t>
      </w:r>
      <w:r w:rsidRPr="00591E48">
        <w:t xml:space="preserve">that the organizational aspects of </w:t>
      </w:r>
      <w:r>
        <w:t>communality</w:t>
      </w:r>
      <w:r w:rsidRPr="00591E48">
        <w:t xml:space="preserve"> remain underexposed in the four different </w:t>
      </w:r>
      <w:r w:rsidR="00984BE1">
        <w:t>type</w:t>
      </w:r>
      <w:r w:rsidRPr="00591E48">
        <w:t xml:space="preserve">s of </w:t>
      </w:r>
      <w:r>
        <w:t>communal living</w:t>
      </w:r>
      <w:r w:rsidRPr="00591E48">
        <w:t>.</w:t>
      </w:r>
      <w:r>
        <w:t xml:space="preserve"> </w:t>
      </w:r>
      <w:r w:rsidRPr="00E16A72">
        <w:t xml:space="preserve">If residents do play a role in the </w:t>
      </w:r>
      <w:r>
        <w:t>community organization</w:t>
      </w:r>
      <w:r w:rsidRPr="00E16A72">
        <w:t xml:space="preserve">, it turns out that </w:t>
      </w:r>
      <w:r>
        <w:t>self-organization</w:t>
      </w:r>
      <w:r w:rsidRPr="00E16A72">
        <w:t xml:space="preserve"> usually focuses on </w:t>
      </w:r>
      <w:r>
        <w:t>planning and organizing common activities</w:t>
      </w:r>
      <w:r w:rsidRPr="00E16A72">
        <w:t xml:space="preserve">, and not </w:t>
      </w:r>
      <w:r>
        <w:t xml:space="preserve">so much on the design, use, management and maintenance of communal spaces. Involvement in the selection of new residents rarely occurs. </w:t>
      </w:r>
      <w:r w:rsidRPr="008741D3">
        <w:t xml:space="preserve">When we compare </w:t>
      </w:r>
      <w:r>
        <w:t>our findings</w:t>
      </w:r>
      <w:r w:rsidRPr="008741D3">
        <w:t xml:space="preserve"> with the concept of communal living in the scientific literature, we can conclude that only the third and fourth </w:t>
      </w:r>
      <w:r w:rsidR="00984BE1">
        <w:t>type</w:t>
      </w:r>
      <w:r w:rsidRPr="008741D3">
        <w:t xml:space="preserve">s of communal living show </w:t>
      </w:r>
      <w:r>
        <w:t xml:space="preserve">some </w:t>
      </w:r>
      <w:r w:rsidRPr="008741D3">
        <w:t>significant similarities.</w:t>
      </w:r>
      <w:r>
        <w:t xml:space="preserve"> </w:t>
      </w:r>
    </w:p>
    <w:p w14:paraId="1012620E" w14:textId="117DCA7A" w:rsidR="008B1C88" w:rsidRDefault="008B1C88" w:rsidP="008B1C88">
      <w:pPr>
        <w:pStyle w:val="MDPI31text"/>
      </w:pPr>
      <w:r>
        <w:t>Summarized, the findings indicate</w:t>
      </w:r>
      <w:r w:rsidRPr="00E61006">
        <w:t xml:space="preserve"> a discrepancy between</w:t>
      </w:r>
      <w:r w:rsidRPr="001C475A">
        <w:t xml:space="preserve"> expectations about communal housing based on the</w:t>
      </w:r>
      <w:r>
        <w:t xml:space="preserve"> scientific</w:t>
      </w:r>
      <w:r w:rsidRPr="001C475A">
        <w:t xml:space="preserve"> literature and the actual situation in </w:t>
      </w:r>
      <w:r>
        <w:t>Dutch social housing</w:t>
      </w:r>
      <w:r w:rsidRPr="001C475A">
        <w:t>.</w:t>
      </w:r>
      <w:r>
        <w:t xml:space="preserve"> Nonetheless, despite the (e.g. legal, organizational, and financial) limitations that housing associations face when realizing and maintaining housing for seniors, our findings show that encounters between residents are facilitated in several ways. </w:t>
      </w:r>
      <w:r w:rsidRPr="0073151F">
        <w:t xml:space="preserve">How the different </w:t>
      </w:r>
      <w:r w:rsidR="00984BE1">
        <w:t>type</w:t>
      </w:r>
      <w:r w:rsidRPr="0073151F">
        <w:t xml:space="preserve">s of communal living promote social interaction and </w:t>
      </w:r>
      <w:r>
        <w:t>cohesion</w:t>
      </w:r>
      <w:r w:rsidRPr="0073151F">
        <w:t xml:space="preserve"> is a question that still needs to be answered.</w:t>
      </w:r>
      <w:r>
        <w:t xml:space="preserve"> </w:t>
      </w:r>
    </w:p>
    <w:p w14:paraId="61E31110" w14:textId="77777777" w:rsidR="00D72800" w:rsidRDefault="00D72800" w:rsidP="008B1C88">
      <w:pPr>
        <w:pStyle w:val="MDPI31text"/>
        <w:ind w:left="0" w:firstLine="0"/>
        <w:rPr>
          <w:rFonts w:ascii="Georgia" w:eastAsiaTheme="minorEastAsia" w:hAnsi="Georgia" w:cs="Arial"/>
        </w:rPr>
      </w:pPr>
    </w:p>
    <w:p w14:paraId="49BF929A" w14:textId="4C9F98D1" w:rsidR="008B1C88" w:rsidRPr="0098112C" w:rsidRDefault="00A86E9F" w:rsidP="0098112C">
      <w:pPr>
        <w:pStyle w:val="MDPI21heading1"/>
        <w:rPr>
          <w:rFonts w:eastAsiaTheme="minorEastAsia"/>
        </w:rPr>
      </w:pPr>
      <w:r w:rsidRPr="008B1C88">
        <w:rPr>
          <w:rFonts w:eastAsiaTheme="minorEastAsia"/>
        </w:rPr>
        <w:t>5. Conclusions</w:t>
      </w:r>
    </w:p>
    <w:p w14:paraId="25A33D6B" w14:textId="2493020E" w:rsidR="0098112C" w:rsidRDefault="0098112C" w:rsidP="0098112C">
      <w:pPr>
        <w:pStyle w:val="MDPI31text"/>
      </w:pPr>
      <w:r>
        <w:t xml:space="preserve">Based on an explorative cluster analysis, based on combinations of relevant social, organizational, and spatial </w:t>
      </w:r>
      <w:r w:rsidRPr="00B21CED">
        <w:t xml:space="preserve">factors in the current practice of </w:t>
      </w:r>
      <w:r>
        <w:t>social housing</w:t>
      </w:r>
      <w:r w:rsidRPr="00B21CED">
        <w:t xml:space="preserve">, we </w:t>
      </w:r>
      <w:r>
        <w:t xml:space="preserve">propose a </w:t>
      </w:r>
      <w:r w:rsidRPr="009B3FEE">
        <w:t xml:space="preserve">preliminary </w:t>
      </w:r>
      <w:r w:rsidRPr="00B21CED">
        <w:t>typ</w:t>
      </w:r>
      <w:r>
        <w:t>ology</w:t>
      </w:r>
      <w:r w:rsidRPr="00B21CED">
        <w:t xml:space="preserve"> of communal housing</w:t>
      </w:r>
      <w:r>
        <w:t xml:space="preserve">. The findings show that a large part of the sample </w:t>
      </w:r>
      <w:r w:rsidRPr="00DC0FFF">
        <w:t xml:space="preserve">does not </w:t>
      </w:r>
      <w:r>
        <w:t>relate</w:t>
      </w:r>
      <w:r w:rsidRPr="00DC0FFF">
        <w:t xml:space="preserve"> to the concept of communal living, since no </w:t>
      </w:r>
      <w:r>
        <w:t xml:space="preserve">communal </w:t>
      </w:r>
      <w:r w:rsidRPr="00DC0FFF">
        <w:t xml:space="preserve">space is </w:t>
      </w:r>
      <w:r>
        <w:t>present</w:t>
      </w:r>
      <w:r w:rsidRPr="00DC0FFF">
        <w:t>.</w:t>
      </w:r>
      <w:r>
        <w:t xml:space="preserve"> The other part of the sample relates to four</w:t>
      </w:r>
      <w:r w:rsidRPr="00B21CED">
        <w:t xml:space="preserve"> </w:t>
      </w:r>
      <w:r w:rsidR="00984BE1">
        <w:t>type</w:t>
      </w:r>
      <w:r w:rsidRPr="00B21CED">
        <w:t>s of communal</w:t>
      </w:r>
      <w:r>
        <w:t xml:space="preserve"> housing which</w:t>
      </w:r>
      <w:r w:rsidRPr="00B21CED">
        <w:t xml:space="preserve"> vary from each other </w:t>
      </w:r>
      <w:r>
        <w:t>regarding</w:t>
      </w:r>
      <w:r w:rsidRPr="00B21CED">
        <w:t xml:space="preserve"> the </w:t>
      </w:r>
      <w:r>
        <w:t>presence of social and functional communal</w:t>
      </w:r>
      <w:r w:rsidRPr="00B21CED">
        <w:t xml:space="preserve"> spaces, the degree of </w:t>
      </w:r>
      <w:r>
        <w:t xml:space="preserve">residents </w:t>
      </w:r>
      <w:r w:rsidRPr="00B21CED">
        <w:t>involvement, and the composition of the resident group in terms of vitality</w:t>
      </w:r>
      <w:r>
        <w:t xml:space="preserve"> and lifestyle</w:t>
      </w:r>
      <w:r w:rsidRPr="00B21CED">
        <w:t>.</w:t>
      </w:r>
      <w:r>
        <w:t xml:space="preserve"> Only two </w:t>
      </w:r>
      <w:r w:rsidR="00984BE1">
        <w:t>type</w:t>
      </w:r>
      <w:r>
        <w:t xml:space="preserve">s resemble for a significant part the concept of communal living as described in the literature. This seems to indicate a discrepancy between the current situation regarding communal living in Dutch social housing and the </w:t>
      </w:r>
      <w:r>
        <w:lastRenderedPageBreak/>
        <w:t xml:space="preserve">knowledge about the communal living based on scientific studies. For future research, the question remains to what extent these </w:t>
      </w:r>
      <w:r w:rsidR="00984BE1">
        <w:t>type</w:t>
      </w:r>
      <w:r>
        <w:t xml:space="preserve">s are able to support their residents in social interaction and community building. </w:t>
      </w:r>
    </w:p>
    <w:p w14:paraId="0F4C3AB2" w14:textId="77777777" w:rsidR="008B1C88" w:rsidRDefault="008B1C88" w:rsidP="0029420B">
      <w:pPr>
        <w:pStyle w:val="MDPI31text"/>
        <w:rPr>
          <w:rFonts w:ascii="Georgia" w:eastAsiaTheme="minorEastAsia" w:hAnsi="Georgia" w:cs="Arial"/>
        </w:rPr>
      </w:pPr>
    </w:p>
    <w:p w14:paraId="72A3D3EC" w14:textId="77777777" w:rsidR="00114997" w:rsidRPr="005C6417" w:rsidRDefault="00114997" w:rsidP="0029420B">
      <w:pPr>
        <w:pStyle w:val="MDPI31text"/>
        <w:rPr>
          <w:rFonts w:ascii="Georgia" w:eastAsiaTheme="minorEastAsia" w:hAnsi="Georgia" w:cs="Arial"/>
        </w:rPr>
      </w:pPr>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47CA8A5B" w14:textId="77777777" w:rsidR="0098112C" w:rsidRDefault="0098112C" w:rsidP="00A86E9F">
      <w:pPr>
        <w:pStyle w:val="MDPI62BackMatter"/>
        <w:rPr>
          <w:rFonts w:ascii="Georgia" w:eastAsiaTheme="minorEastAsia" w:hAnsi="Georgia" w:cs="Arial"/>
          <w:color w:val="000000" w:themeColor="text1"/>
          <w:szCs w:val="18"/>
          <w:shd w:val="clear" w:color="auto" w:fill="FFFFFF"/>
        </w:rPr>
      </w:pPr>
    </w:p>
    <w:tbl>
      <w:tblPr>
        <w:tblW w:w="3753" w:type="pct"/>
        <w:tblInd w:w="2610"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620"/>
        <w:gridCol w:w="6236"/>
      </w:tblGrid>
      <w:tr w:rsidR="00DE45A3" w:rsidRPr="005C6417" w14:paraId="5A7E9C8B" w14:textId="4C2BBD1D" w:rsidTr="00DE45A3">
        <w:tc>
          <w:tcPr>
            <w:tcW w:w="5000" w:type="pct"/>
            <w:gridSpan w:val="2"/>
            <w:tcBorders>
              <w:bottom w:val="single" w:sz="4" w:space="0" w:color="auto"/>
            </w:tcBorders>
            <w:shd w:val="clear" w:color="auto" w:fill="auto"/>
            <w:vAlign w:val="center"/>
          </w:tcPr>
          <w:p w14:paraId="4502EEC8" w14:textId="2ED3F89C" w:rsidR="00DE45A3" w:rsidRPr="00DE45A3" w:rsidRDefault="00DE45A3" w:rsidP="00DE45A3">
            <w:pPr>
              <w:pStyle w:val="MDPI42tablebody"/>
              <w:jc w:val="left"/>
              <w:rPr>
                <w:rFonts w:eastAsiaTheme="minorHAnsi"/>
                <w:sz w:val="18"/>
                <w:szCs w:val="18"/>
              </w:rPr>
            </w:pPr>
            <w:r w:rsidRPr="00DE45A3">
              <w:rPr>
                <w:rFonts w:eastAsiaTheme="minorHAnsi"/>
                <w:sz w:val="18"/>
                <w:szCs w:val="18"/>
              </w:rPr>
              <w:t>Author Statement</w:t>
            </w:r>
          </w:p>
        </w:tc>
      </w:tr>
      <w:tr w:rsidR="00DE45A3" w:rsidRPr="005C6417" w14:paraId="1FBEE4D0" w14:textId="10F3A8FF" w:rsidTr="00DE45A3">
        <w:tc>
          <w:tcPr>
            <w:tcW w:w="1031" w:type="pct"/>
            <w:shd w:val="clear" w:color="auto" w:fill="auto"/>
            <w:vAlign w:val="center"/>
          </w:tcPr>
          <w:p w14:paraId="46486E1E" w14:textId="16D570A3" w:rsidR="00DE45A3" w:rsidRPr="00DE45A3" w:rsidRDefault="00DE45A3" w:rsidP="00DE45A3">
            <w:pPr>
              <w:pStyle w:val="MDPI42tablebody"/>
              <w:jc w:val="left"/>
              <w:rPr>
                <w:rFonts w:eastAsiaTheme="minorEastAsia"/>
                <w:sz w:val="18"/>
                <w:szCs w:val="18"/>
              </w:rPr>
            </w:pPr>
            <w:r w:rsidRPr="00DE45A3">
              <w:rPr>
                <w:rFonts w:eastAsiaTheme="minorHAnsi"/>
                <w:sz w:val="18"/>
                <w:szCs w:val="18"/>
              </w:rPr>
              <w:t>Author 1</w:t>
            </w:r>
          </w:p>
        </w:tc>
        <w:tc>
          <w:tcPr>
            <w:tcW w:w="3969" w:type="pct"/>
          </w:tcPr>
          <w:p w14:paraId="6EA6ECA4" w14:textId="095E456B" w:rsidR="00DE45A3" w:rsidRPr="00DE45A3" w:rsidRDefault="00DE45A3" w:rsidP="00DE45A3">
            <w:pPr>
              <w:pStyle w:val="MDPI42tablebody"/>
              <w:jc w:val="left"/>
              <w:rPr>
                <w:rFonts w:eastAsiaTheme="minorHAnsi"/>
                <w:sz w:val="18"/>
                <w:szCs w:val="18"/>
              </w:rPr>
            </w:pPr>
            <w:r w:rsidRPr="00DE45A3">
              <w:rPr>
                <w:rFonts w:eastAsiaTheme="minorHAnsi"/>
                <w:sz w:val="18"/>
                <w:szCs w:val="18"/>
              </w:rPr>
              <w:t>Conceptualization; Formal analysis; investigation; project administration; visualization; writing – original draft</w:t>
            </w:r>
          </w:p>
        </w:tc>
      </w:tr>
      <w:tr w:rsidR="00DE45A3" w:rsidRPr="005C6417" w14:paraId="4AF033FA" w14:textId="65BD9F3C" w:rsidTr="00DE45A3">
        <w:tc>
          <w:tcPr>
            <w:tcW w:w="1031" w:type="pct"/>
            <w:shd w:val="clear" w:color="auto" w:fill="auto"/>
            <w:vAlign w:val="center"/>
          </w:tcPr>
          <w:p w14:paraId="795CC252" w14:textId="1C92F1B0" w:rsidR="00DE45A3" w:rsidRPr="00DE45A3" w:rsidRDefault="00DE45A3" w:rsidP="00DE45A3">
            <w:pPr>
              <w:pStyle w:val="MDPI42tablebody"/>
              <w:jc w:val="left"/>
              <w:rPr>
                <w:rFonts w:eastAsiaTheme="minorEastAsia"/>
                <w:sz w:val="18"/>
                <w:szCs w:val="18"/>
              </w:rPr>
            </w:pPr>
            <w:r w:rsidRPr="00DE45A3">
              <w:rPr>
                <w:rFonts w:eastAsiaTheme="minorHAnsi"/>
                <w:sz w:val="18"/>
                <w:szCs w:val="18"/>
              </w:rPr>
              <w:t>Author 2</w:t>
            </w:r>
          </w:p>
        </w:tc>
        <w:tc>
          <w:tcPr>
            <w:tcW w:w="3969" w:type="pct"/>
          </w:tcPr>
          <w:p w14:paraId="3692A354" w14:textId="7ACC5781" w:rsidR="00DE45A3" w:rsidRPr="00DE45A3" w:rsidRDefault="00DE45A3" w:rsidP="00DE45A3">
            <w:pPr>
              <w:pStyle w:val="MDPI42tablebody"/>
              <w:jc w:val="left"/>
              <w:rPr>
                <w:rFonts w:eastAsiaTheme="minorHAnsi"/>
                <w:sz w:val="18"/>
                <w:szCs w:val="18"/>
              </w:rPr>
            </w:pPr>
            <w:r w:rsidRPr="00DE45A3">
              <w:rPr>
                <w:rFonts w:eastAsiaTheme="minorHAnsi"/>
                <w:sz w:val="18"/>
                <w:szCs w:val="18"/>
              </w:rPr>
              <w:t>Conceptualization; Formal analysis; investigation; project administration; supervision; writing – review &amp; editing</w:t>
            </w:r>
          </w:p>
        </w:tc>
      </w:tr>
      <w:tr w:rsidR="00DE45A3" w:rsidRPr="005C6417" w14:paraId="692E821A" w14:textId="06C6F04F" w:rsidTr="00DE45A3">
        <w:tc>
          <w:tcPr>
            <w:tcW w:w="1031" w:type="pct"/>
            <w:shd w:val="clear" w:color="auto" w:fill="auto"/>
            <w:vAlign w:val="center"/>
          </w:tcPr>
          <w:p w14:paraId="6EB9CE5C" w14:textId="1992754D" w:rsidR="00DE45A3" w:rsidRPr="00DE45A3" w:rsidRDefault="00DE45A3" w:rsidP="00DE45A3">
            <w:pPr>
              <w:pStyle w:val="MDPI42tablebody"/>
              <w:jc w:val="left"/>
              <w:rPr>
                <w:rFonts w:eastAsiaTheme="minorHAnsi"/>
                <w:sz w:val="18"/>
                <w:szCs w:val="18"/>
              </w:rPr>
            </w:pPr>
            <w:r w:rsidRPr="00DE45A3">
              <w:rPr>
                <w:rFonts w:eastAsiaTheme="minorHAnsi"/>
                <w:sz w:val="18"/>
                <w:szCs w:val="18"/>
              </w:rPr>
              <w:t>Author 3</w:t>
            </w:r>
          </w:p>
        </w:tc>
        <w:tc>
          <w:tcPr>
            <w:tcW w:w="3969" w:type="pct"/>
          </w:tcPr>
          <w:p w14:paraId="18FDB994" w14:textId="3C70E610" w:rsidR="00DE45A3" w:rsidRPr="00DE45A3" w:rsidRDefault="00DE45A3" w:rsidP="00DE45A3">
            <w:pPr>
              <w:pStyle w:val="MDPI42tablebody"/>
              <w:jc w:val="left"/>
              <w:rPr>
                <w:rFonts w:eastAsiaTheme="minorHAnsi"/>
                <w:sz w:val="18"/>
                <w:szCs w:val="18"/>
              </w:rPr>
            </w:pPr>
            <w:r w:rsidRPr="00DE45A3">
              <w:rPr>
                <w:rFonts w:eastAsiaTheme="minorHAnsi"/>
                <w:sz w:val="18"/>
                <w:szCs w:val="18"/>
              </w:rPr>
              <w:t>Conceptualization; funding acquisition; supervision; writing – review &amp; editing</w:t>
            </w:r>
          </w:p>
        </w:tc>
      </w:tr>
    </w:tbl>
    <w:p w14:paraId="3C1F063F" w14:textId="77777777" w:rsidR="0098112C" w:rsidRDefault="0098112C" w:rsidP="00A86E9F">
      <w:pPr>
        <w:pStyle w:val="MDPI62BackMatter"/>
        <w:rPr>
          <w:rFonts w:ascii="Georgia" w:eastAsiaTheme="minorEastAsia" w:hAnsi="Georgia" w:cs="Arial"/>
          <w:color w:val="000000" w:themeColor="text1"/>
          <w:szCs w:val="18"/>
          <w:shd w:val="clear" w:color="auto" w:fill="FFFFFF"/>
        </w:rPr>
      </w:pPr>
    </w:p>
    <w:p w14:paraId="57A84200" w14:textId="77777777" w:rsidR="0098112C" w:rsidRDefault="0098112C" w:rsidP="00A86E9F">
      <w:pPr>
        <w:pStyle w:val="MDPI62BackMatter"/>
        <w:rPr>
          <w:rFonts w:ascii="Georgia" w:eastAsiaTheme="minorEastAsia" w:hAnsi="Georgia" w:cs="Arial"/>
          <w:color w:val="000000" w:themeColor="text1"/>
          <w:szCs w:val="18"/>
          <w:shd w:val="clear" w:color="auto" w:fill="FFFFFF"/>
        </w:rPr>
      </w:pPr>
    </w:p>
    <w:p w14:paraId="41018529" w14:textId="5DE26589"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p>
    <w:p w14:paraId="4164E81B" w14:textId="77777777" w:rsidR="00641525" w:rsidRDefault="00641525" w:rsidP="00641525">
      <w:pPr>
        <w:pStyle w:val="MDPI62BackMatter"/>
      </w:pPr>
      <w:r w:rsidRPr="00CC4AF2">
        <w:t>This article was written as part of a collaborative resea</w:t>
      </w:r>
      <w:r>
        <w:t>rc</w:t>
      </w:r>
      <w:r w:rsidRPr="00CC4AF2">
        <w:t>h</w:t>
      </w:r>
      <w:r>
        <w:t xml:space="preserve"> </w:t>
      </w:r>
      <w:r w:rsidRPr="00CC4AF2">
        <w:t>project between th</w:t>
      </w:r>
      <w:r>
        <w:t xml:space="preserve">e housing association </w:t>
      </w:r>
      <w:proofErr w:type="spellStart"/>
      <w:r>
        <w:t>Woonzorg</w:t>
      </w:r>
      <w:proofErr w:type="spellEnd"/>
      <w:r>
        <w:t xml:space="preserve"> Nederland, </w:t>
      </w:r>
      <w:r w:rsidRPr="00CC4AF2">
        <w:t xml:space="preserve">HAN University of Applied Sciences </w:t>
      </w:r>
      <w:r>
        <w:t>(</w:t>
      </w:r>
      <w:r w:rsidRPr="00656C40">
        <w:t>Research Group Architecture in Health</w:t>
      </w:r>
      <w:r>
        <w:t xml:space="preserve">), </w:t>
      </w:r>
      <w:r w:rsidRPr="00CC4AF2">
        <w:t>and Eindhoven University of Technology</w:t>
      </w:r>
      <w:r>
        <w:t xml:space="preserve"> (</w:t>
      </w:r>
      <w:r w:rsidRPr="00656C40">
        <w:t>Chair Smart Architectural Technologies</w:t>
      </w:r>
      <w:r>
        <w:t>)</w:t>
      </w:r>
      <w:r w:rsidRPr="00CC4AF2">
        <w:t>.</w:t>
      </w:r>
      <w:r>
        <w:t xml:space="preserve"> Within this project, research is being done into communal living for seniors in the social rental sector. The data presented was collected in collaboration with </w:t>
      </w:r>
      <w:proofErr w:type="spellStart"/>
      <w:r>
        <w:t>Woonzorg</w:t>
      </w:r>
      <w:proofErr w:type="spellEnd"/>
      <w:r>
        <w:t xml:space="preserve"> Nederland. </w:t>
      </w:r>
    </w:p>
    <w:p w14:paraId="30F5B4AE" w14:textId="77777777" w:rsidR="00807D5B" w:rsidRDefault="00807D5B" w:rsidP="000855EA">
      <w:pPr>
        <w:pStyle w:val="MDPI21heading1"/>
        <w:ind w:left="0"/>
        <w:rPr>
          <w:rFonts w:ascii="Georgia" w:eastAsiaTheme="minorEastAsia" w:hAnsi="Georgia" w:cs="Arial"/>
        </w:rPr>
      </w:pPr>
    </w:p>
    <w:p w14:paraId="071E4E01" w14:textId="7D57EB95"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0E27B00A" w14:textId="0070B03E" w:rsidR="00A86E9F" w:rsidRDefault="00A86E9F" w:rsidP="009743B6">
      <w:pPr>
        <w:pStyle w:val="MDPI71References"/>
        <w:numPr>
          <w:ilvl w:val="0"/>
          <w:numId w:val="0"/>
        </w:numPr>
        <w:rPr>
          <w:rFonts w:ascii="Georgia" w:eastAsiaTheme="minorEastAsia" w:hAnsi="Georgia" w:cs="Arial"/>
          <w:highlight w:val="yellow"/>
        </w:rPr>
      </w:pPr>
    </w:p>
    <w:p w14:paraId="67DE6371" w14:textId="34F504E0" w:rsidR="00D33CD3" w:rsidRDefault="00D33CD3" w:rsidP="00D33CD3">
      <w:pPr>
        <w:pStyle w:val="MDPI71References"/>
        <w:rPr>
          <w:rFonts w:ascii="Georgia" w:eastAsiaTheme="minorEastAsia" w:hAnsi="Georgia" w:cs="Arial"/>
        </w:rPr>
      </w:pPr>
      <w:r w:rsidRPr="00D33CD3">
        <w:rPr>
          <w:rFonts w:ascii="Georgia" w:eastAsiaTheme="minorEastAsia" w:hAnsi="Georgia" w:cs="Arial"/>
        </w:rPr>
        <w:t>Abu-</w:t>
      </w:r>
      <w:proofErr w:type="spellStart"/>
      <w:r w:rsidRPr="00D33CD3">
        <w:rPr>
          <w:rFonts w:ascii="Georgia" w:eastAsiaTheme="minorEastAsia" w:hAnsi="Georgia" w:cs="Arial"/>
        </w:rPr>
        <w:t>Ghazzeh</w:t>
      </w:r>
      <w:proofErr w:type="spellEnd"/>
      <w:r w:rsidRPr="00D33CD3">
        <w:rPr>
          <w:rFonts w:ascii="Georgia" w:eastAsiaTheme="minorEastAsia" w:hAnsi="Georgia" w:cs="Arial"/>
        </w:rPr>
        <w:t>, T. M. (1999). Housing layout, social interaction, and the place of contact in Abu-</w:t>
      </w:r>
      <w:proofErr w:type="spellStart"/>
      <w:r w:rsidRPr="00D33CD3">
        <w:rPr>
          <w:rFonts w:ascii="Georgia" w:eastAsiaTheme="minorEastAsia" w:hAnsi="Georgia" w:cs="Arial"/>
        </w:rPr>
        <w:t>Nuseir</w:t>
      </w:r>
      <w:proofErr w:type="spellEnd"/>
      <w:r w:rsidRPr="00D33CD3">
        <w:rPr>
          <w:rFonts w:ascii="Georgia" w:eastAsiaTheme="minorEastAsia" w:hAnsi="Georgia" w:cs="Arial"/>
        </w:rPr>
        <w:t xml:space="preserve">, Jordan. </w:t>
      </w:r>
      <w:r w:rsidRPr="002D3A2F">
        <w:rPr>
          <w:rFonts w:ascii="Georgia" w:eastAsiaTheme="minorEastAsia" w:hAnsi="Georgia" w:cs="Arial"/>
          <w:i/>
          <w:iCs/>
        </w:rPr>
        <w:t>Journal of Environmental Psychology</w:t>
      </w:r>
      <w:r w:rsidRPr="00D33CD3">
        <w:rPr>
          <w:rFonts w:ascii="Georgia" w:eastAsiaTheme="minorEastAsia" w:hAnsi="Georgia" w:cs="Arial"/>
        </w:rPr>
        <w:t>, 19(1), 41–73</w:t>
      </w:r>
      <w:r w:rsidR="0003633B">
        <w:rPr>
          <w:rFonts w:ascii="Georgia" w:eastAsiaTheme="minorEastAsia" w:hAnsi="Georgia" w:cs="Arial"/>
        </w:rPr>
        <w:t xml:space="preserve">. </w:t>
      </w:r>
      <w:hyperlink r:id="rId17" w:history="1">
        <w:r w:rsidR="002A4363" w:rsidRPr="00661A5C">
          <w:rPr>
            <w:rStyle w:val="Hyperlink"/>
            <w:rFonts w:ascii="Georgia" w:eastAsiaTheme="minorEastAsia" w:hAnsi="Georgia" w:cs="Arial"/>
          </w:rPr>
          <w:t>https://doi.org/10.1006/jevp.1998.0106</w:t>
        </w:r>
      </w:hyperlink>
    </w:p>
    <w:p w14:paraId="36C8CF55" w14:textId="77777777" w:rsidR="002A4363" w:rsidRPr="004728EE" w:rsidRDefault="002A4363" w:rsidP="002A4363">
      <w:pPr>
        <w:pStyle w:val="MDPI71References"/>
        <w:rPr>
          <w:rFonts w:ascii="Georgia" w:eastAsiaTheme="minorEastAsia" w:hAnsi="Georgia" w:cs="Arial"/>
          <w:lang w:val="de-DE"/>
        </w:rPr>
      </w:pPr>
      <w:r w:rsidRPr="004728EE">
        <w:rPr>
          <w:rFonts w:ascii="Georgia" w:eastAsiaTheme="minorEastAsia" w:hAnsi="Georgia" w:cs="Arial"/>
          <w:lang w:val="de-DE"/>
        </w:rPr>
        <w:t xml:space="preserve">Bacher, J., </w:t>
      </w:r>
      <w:proofErr w:type="spellStart"/>
      <w:r w:rsidRPr="004728EE">
        <w:rPr>
          <w:rFonts w:ascii="Georgia" w:eastAsiaTheme="minorEastAsia" w:hAnsi="Georgia" w:cs="Arial"/>
          <w:lang w:val="de-DE"/>
        </w:rPr>
        <w:t>Wenzig</w:t>
      </w:r>
      <w:proofErr w:type="spellEnd"/>
      <w:r w:rsidRPr="004728EE">
        <w:rPr>
          <w:rFonts w:ascii="Georgia" w:eastAsiaTheme="minorEastAsia" w:hAnsi="Georgia" w:cs="Arial"/>
          <w:lang w:val="de-DE"/>
        </w:rPr>
        <w:t xml:space="preserve">, K., &amp; Vogler, M. (2004). </w:t>
      </w:r>
      <w:r w:rsidRPr="002A4363">
        <w:rPr>
          <w:rFonts w:ascii="Georgia" w:eastAsiaTheme="minorEastAsia" w:hAnsi="Georgia" w:cs="Arial"/>
        </w:rPr>
        <w:t xml:space="preserve">SPSS TwoStep Cluster—A first evaluation (Vols. 2004–2). </w:t>
      </w:r>
      <w:r w:rsidRPr="004728EE">
        <w:rPr>
          <w:rFonts w:ascii="Georgia" w:eastAsiaTheme="minorEastAsia" w:hAnsi="Georgia" w:cs="Arial"/>
          <w:lang w:val="de-DE"/>
        </w:rPr>
        <w:t>Universität Erlangen-Nürnberg, Wirtschafts- und Sozialwissenschaftliche Fakultät, Sozialwissenschaftliches Institut Lehrstuhl für Soziologie.</w:t>
      </w:r>
    </w:p>
    <w:p w14:paraId="2D59EE39" w14:textId="77777777" w:rsidR="00AB0B55" w:rsidRPr="001134B3" w:rsidRDefault="00AB0B55" w:rsidP="00AB0B55">
      <w:pPr>
        <w:pStyle w:val="MDPI71References"/>
        <w:rPr>
          <w:rFonts w:ascii="Georgia" w:eastAsiaTheme="minorEastAsia" w:hAnsi="Georgia" w:cs="Arial"/>
        </w:rPr>
      </w:pPr>
      <w:r w:rsidRPr="00AB0B55">
        <w:rPr>
          <w:rFonts w:ascii="Georgia" w:eastAsiaTheme="minorEastAsia" w:hAnsi="Georgia" w:cs="Arial"/>
          <w:lang w:val="nl-NL"/>
        </w:rPr>
        <w:t xml:space="preserve">Bouma, J., and Voorbij, L. 2009. </w:t>
      </w:r>
      <w:r w:rsidRPr="00680F3F">
        <w:rPr>
          <w:rFonts w:ascii="Georgia" w:eastAsiaTheme="minorEastAsia" w:hAnsi="Georgia" w:cs="Arial"/>
        </w:rPr>
        <w:t>Factors in social interaction in co-housing communities. Retrieved from https://research.hanze.nl/ws/files/15924123/119.FactorsInSocialInteractionInCohousingCommunities_1_.pdf</w:t>
      </w:r>
    </w:p>
    <w:p w14:paraId="5999DE9C" w14:textId="7AEB9A77" w:rsidR="00D33CD3" w:rsidRPr="00323A3B" w:rsidRDefault="00D33CD3" w:rsidP="00D33CD3">
      <w:pPr>
        <w:pStyle w:val="MDPI71References"/>
        <w:rPr>
          <w:rFonts w:ascii="Georgia" w:eastAsiaTheme="minorEastAsia" w:hAnsi="Georgia" w:cs="Arial"/>
        </w:rPr>
      </w:pPr>
      <w:r w:rsidRPr="00D33CD3">
        <w:rPr>
          <w:rFonts w:ascii="Georgia" w:eastAsiaTheme="minorEastAsia" w:hAnsi="Georgia" w:cs="Arial"/>
          <w:lang w:val="nl-NL"/>
        </w:rPr>
        <w:t xml:space="preserve">Bouma, J. T., Poelman, W. A., &amp; Voorbij, A. I. M. (2015). </w:t>
      </w:r>
      <w:r w:rsidRPr="00D33CD3">
        <w:rPr>
          <w:rFonts w:ascii="Georgia" w:eastAsiaTheme="minorEastAsia" w:hAnsi="Georgia" w:cs="Arial"/>
        </w:rPr>
        <w:t xml:space="preserve">Supporting social contact design principles in common areas of </w:t>
      </w:r>
      <w:r w:rsidRPr="00323A3B">
        <w:rPr>
          <w:rFonts w:ascii="Georgia" w:eastAsiaTheme="minorEastAsia" w:hAnsi="Georgia" w:cs="Arial"/>
        </w:rPr>
        <w:t>cohousing communities.</w:t>
      </w:r>
    </w:p>
    <w:p w14:paraId="6E19220F" w14:textId="4428F2D9" w:rsidR="00D33CD3" w:rsidRPr="00E90869" w:rsidRDefault="00D33CD3" w:rsidP="00E90869">
      <w:pPr>
        <w:pStyle w:val="MDPI71References"/>
        <w:rPr>
          <w:rFonts w:ascii="Georgia" w:eastAsiaTheme="minorEastAsia" w:hAnsi="Georgia" w:cs="Arial"/>
        </w:rPr>
      </w:pPr>
      <w:r w:rsidRPr="00E90869">
        <w:rPr>
          <w:rFonts w:ascii="Georgia" w:eastAsiaTheme="minorEastAsia" w:hAnsi="Georgia" w:cs="Arial"/>
        </w:rPr>
        <w:t xml:space="preserve">Bresson, S., &amp; Labit, A. (2019). How Does Collaborative Housing Address the Issue of Social Inclusion? A French Perspective. </w:t>
      </w:r>
      <w:r w:rsidRPr="002D3A2F">
        <w:rPr>
          <w:rFonts w:ascii="Georgia" w:eastAsiaTheme="minorEastAsia" w:hAnsi="Georgia" w:cs="Arial"/>
          <w:i/>
          <w:iCs/>
        </w:rPr>
        <w:t>Housing, Theory and Society</w:t>
      </w:r>
      <w:r w:rsidRPr="00E90869">
        <w:rPr>
          <w:rFonts w:ascii="Georgia" w:eastAsiaTheme="minorEastAsia" w:hAnsi="Georgia" w:cs="Arial"/>
        </w:rPr>
        <w:t xml:space="preserve">. </w:t>
      </w:r>
      <w:r w:rsidR="00A7070F" w:rsidRPr="005C6417">
        <w:rPr>
          <w:rFonts w:ascii="Georgia" w:eastAsiaTheme="minorEastAsia" w:hAnsi="Georgia" w:cs="Arial"/>
        </w:rPr>
        <w:t>Retrieved fro</w:t>
      </w:r>
      <w:r w:rsidR="00A7070F">
        <w:rPr>
          <w:rFonts w:ascii="Georgia" w:eastAsiaTheme="minorEastAsia" w:hAnsi="Georgia" w:cs="Arial"/>
        </w:rPr>
        <w:t xml:space="preserve">m </w:t>
      </w:r>
      <w:r w:rsidRPr="00E90869">
        <w:rPr>
          <w:rFonts w:ascii="Georgia" w:eastAsiaTheme="minorEastAsia" w:hAnsi="Georgia" w:cs="Arial"/>
        </w:rPr>
        <w:t>https://www.tandfonline.com/doi/abs/10.1080/14036096.2019.1671488</w:t>
      </w:r>
    </w:p>
    <w:p w14:paraId="0F2A8113"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Choi, J. S. (2004). Evaluation of community planning and life of senior cohousing projects in northern European countries. </w:t>
      </w:r>
      <w:r w:rsidRPr="002D3A2F">
        <w:rPr>
          <w:rFonts w:ascii="Georgia" w:eastAsiaTheme="minorEastAsia" w:hAnsi="Georgia" w:cs="Arial"/>
          <w:i/>
          <w:iCs/>
        </w:rPr>
        <w:t>European Planning Studies</w:t>
      </w:r>
      <w:r w:rsidRPr="00D33CD3">
        <w:rPr>
          <w:rFonts w:ascii="Georgia" w:eastAsiaTheme="minorEastAsia" w:hAnsi="Georgia" w:cs="Arial"/>
        </w:rPr>
        <w:t>, 12(8), 1189–1216. https://doi.org/10.1080/0965431042000289296</w:t>
      </w:r>
    </w:p>
    <w:p w14:paraId="4053A5BF" w14:textId="394C90EC" w:rsidR="002A4363" w:rsidRPr="002A4363" w:rsidRDefault="002A4363" w:rsidP="002A4363">
      <w:pPr>
        <w:pStyle w:val="MDPI71References"/>
        <w:rPr>
          <w:rFonts w:ascii="Georgia" w:eastAsiaTheme="minorEastAsia" w:hAnsi="Georgia" w:cs="Arial"/>
        </w:rPr>
      </w:pPr>
      <w:r w:rsidRPr="004728EE">
        <w:rPr>
          <w:rFonts w:ascii="Georgia" w:eastAsiaTheme="minorEastAsia" w:hAnsi="Georgia" w:cs="Arial"/>
          <w:lang w:val="de-DE"/>
        </w:rPr>
        <w:t xml:space="preserve">Chiu, T., Fang, D., Chen, J., Wang, Y., &amp; Jeris, C. (2001). </w:t>
      </w:r>
      <w:r w:rsidRPr="002A4363">
        <w:rPr>
          <w:rFonts w:ascii="Georgia" w:eastAsiaTheme="minorEastAsia" w:hAnsi="Georgia" w:cs="Arial"/>
        </w:rPr>
        <w:t>A robust and scalable clustering algorithm for mixed type attributes in large database environment. Proceedings of the Seventh ACM SIGKDD International Conference on Knowledge Discovery and Data Mining  - KDD ’01, 263–268. https://doi.org/10.1145/502512.502549</w:t>
      </w:r>
    </w:p>
    <w:p w14:paraId="6CA67C7B" w14:textId="74E640DF"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Fromm, D. (2000). American cohousing: The first five years. </w:t>
      </w:r>
      <w:r w:rsidRPr="002D3A2F">
        <w:rPr>
          <w:rFonts w:ascii="Georgia" w:eastAsiaTheme="minorEastAsia" w:hAnsi="Georgia" w:cs="Arial"/>
          <w:i/>
          <w:iCs/>
        </w:rPr>
        <w:t>Journal of Architectural and Planning Research</w:t>
      </w:r>
      <w:r w:rsidRPr="00D33CD3">
        <w:rPr>
          <w:rFonts w:ascii="Georgia" w:eastAsiaTheme="minorEastAsia" w:hAnsi="Georgia" w:cs="Arial"/>
        </w:rPr>
        <w:t>, 17(2), 94–109</w:t>
      </w:r>
    </w:p>
    <w:p w14:paraId="4A027EEF"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Fromm, D. (2012). Seeding Community: Collaborative Housing as a Strategy for Social and </w:t>
      </w:r>
      <w:proofErr w:type="spellStart"/>
      <w:r w:rsidRPr="00D33CD3">
        <w:rPr>
          <w:rFonts w:ascii="Georgia" w:eastAsiaTheme="minorEastAsia" w:hAnsi="Georgia" w:cs="Arial"/>
        </w:rPr>
        <w:t>Neighbourhood</w:t>
      </w:r>
      <w:proofErr w:type="spellEnd"/>
      <w:r w:rsidRPr="00D33CD3">
        <w:rPr>
          <w:rFonts w:ascii="Georgia" w:eastAsiaTheme="minorEastAsia" w:hAnsi="Georgia" w:cs="Arial"/>
        </w:rPr>
        <w:t xml:space="preserve"> Repair. </w:t>
      </w:r>
      <w:r w:rsidRPr="002D3A2F">
        <w:rPr>
          <w:rFonts w:ascii="Georgia" w:eastAsiaTheme="minorEastAsia" w:hAnsi="Georgia" w:cs="Arial"/>
          <w:i/>
          <w:iCs/>
        </w:rPr>
        <w:t>Built Environment</w:t>
      </w:r>
      <w:r w:rsidRPr="00D33CD3">
        <w:rPr>
          <w:rFonts w:ascii="Georgia" w:eastAsiaTheme="minorEastAsia" w:hAnsi="Georgia" w:cs="Arial"/>
        </w:rPr>
        <w:t>, 38(3), 364–394. https://doi-org.dianus.libr.tue.nl/10.2148/benv.38.3.364</w:t>
      </w:r>
    </w:p>
    <w:p w14:paraId="5CCC613A"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Glass, A. P. (2016). Resident-Managed Elder Intentional Neighborhoods: Do They Promote Social Resources for Older Adults? </w:t>
      </w:r>
      <w:r w:rsidRPr="002D3A2F">
        <w:rPr>
          <w:rFonts w:ascii="Georgia" w:eastAsiaTheme="minorEastAsia" w:hAnsi="Georgia" w:cs="Arial"/>
          <w:i/>
          <w:iCs/>
        </w:rPr>
        <w:t>Journal of Gerontological Social Work</w:t>
      </w:r>
      <w:r w:rsidRPr="00D33CD3">
        <w:rPr>
          <w:rFonts w:ascii="Georgia" w:eastAsiaTheme="minorEastAsia" w:hAnsi="Georgia" w:cs="Arial"/>
        </w:rPr>
        <w:t>, 59(7–8), 554–571. https://doi.org/10.1080/01634372.2016.1246501</w:t>
      </w:r>
    </w:p>
    <w:p w14:paraId="27BAD613" w14:textId="17200E7A"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Glass, A. P. (2020). Sense of community, loneliness, and satisfaction in five elder cohousing neighborhoods. </w:t>
      </w:r>
      <w:r w:rsidRPr="002D3A2F">
        <w:rPr>
          <w:rFonts w:ascii="Georgia" w:eastAsiaTheme="minorEastAsia" w:hAnsi="Georgia" w:cs="Arial"/>
          <w:i/>
          <w:iCs/>
        </w:rPr>
        <w:t>Journal of Women &amp; Aging</w:t>
      </w:r>
      <w:r w:rsidRPr="00D33CD3">
        <w:rPr>
          <w:rFonts w:ascii="Georgia" w:eastAsiaTheme="minorEastAsia" w:hAnsi="Georgia" w:cs="Arial"/>
        </w:rPr>
        <w:t xml:space="preserve">. </w:t>
      </w:r>
      <w:r w:rsidR="002D3A2F">
        <w:rPr>
          <w:rFonts w:ascii="Georgia" w:eastAsiaTheme="minorEastAsia" w:hAnsi="Georgia" w:cs="Arial"/>
        </w:rPr>
        <w:t xml:space="preserve">Retrieved from </w:t>
      </w:r>
      <w:r w:rsidRPr="00D33CD3">
        <w:rPr>
          <w:rFonts w:ascii="Georgia" w:eastAsiaTheme="minorEastAsia" w:hAnsi="Georgia" w:cs="Arial"/>
        </w:rPr>
        <w:t>https://www.tandfonline.com/doi/abs/10.1080/08952841.2019.1681888</w:t>
      </w:r>
    </w:p>
    <w:p w14:paraId="45B34EE0"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Glass, A. P., &amp; </w:t>
      </w:r>
      <w:proofErr w:type="spellStart"/>
      <w:r w:rsidRPr="00D33CD3">
        <w:rPr>
          <w:rFonts w:ascii="Georgia" w:eastAsiaTheme="minorEastAsia" w:hAnsi="Georgia" w:cs="Arial"/>
        </w:rPr>
        <w:t>Plaats</w:t>
      </w:r>
      <w:proofErr w:type="spellEnd"/>
      <w:r w:rsidRPr="00D33CD3">
        <w:rPr>
          <w:rFonts w:ascii="Georgia" w:eastAsiaTheme="minorEastAsia" w:hAnsi="Georgia" w:cs="Arial"/>
        </w:rPr>
        <w:t xml:space="preserve">, R. S. V. (2013). A conceptual model for aging better together intentionally. </w:t>
      </w:r>
      <w:r w:rsidRPr="002D3A2F">
        <w:rPr>
          <w:rFonts w:ascii="Georgia" w:eastAsiaTheme="minorEastAsia" w:hAnsi="Georgia" w:cs="Arial"/>
          <w:i/>
          <w:iCs/>
        </w:rPr>
        <w:t>Journal Of Aging Studies</w:t>
      </w:r>
      <w:r w:rsidRPr="00D33CD3">
        <w:rPr>
          <w:rFonts w:ascii="Georgia" w:eastAsiaTheme="minorEastAsia" w:hAnsi="Georgia" w:cs="Arial"/>
        </w:rPr>
        <w:t>, 27(4), 428–442. https://doi.org/10.1016/j.jaging.2013.10.001</w:t>
      </w:r>
    </w:p>
    <w:p w14:paraId="0AE5B527" w14:textId="0DD91329"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Jarvis, H. (2011). Saving Space, Sharing Time: Integrated Infrastructures of Daily Life in Cohousing. </w:t>
      </w:r>
      <w:r w:rsidRPr="002D3A2F">
        <w:rPr>
          <w:rFonts w:ascii="Georgia" w:eastAsiaTheme="minorEastAsia" w:hAnsi="Georgia" w:cs="Arial"/>
          <w:i/>
          <w:iCs/>
        </w:rPr>
        <w:t>Environment and Planning</w:t>
      </w:r>
      <w:r w:rsidRPr="00D33CD3">
        <w:rPr>
          <w:rFonts w:ascii="Georgia" w:eastAsiaTheme="minorEastAsia" w:hAnsi="Georgia" w:cs="Arial"/>
        </w:rPr>
        <w:t xml:space="preserve"> A, 43(3), 560–577.</w:t>
      </w:r>
      <w:r w:rsidR="00276866" w:rsidRPr="00276866">
        <w:rPr>
          <w:rFonts w:ascii="Georgia" w:eastAsiaTheme="minorEastAsia" w:hAnsi="Georgia" w:cs="Arial"/>
        </w:rPr>
        <w:t xml:space="preserve"> </w:t>
      </w:r>
      <w:hyperlink r:id="rId18" w:history="1">
        <w:r w:rsidR="00276866" w:rsidRPr="00276866">
          <w:rPr>
            <w:rFonts w:ascii="Georgia" w:eastAsiaTheme="minorEastAsia" w:hAnsi="Georgia"/>
          </w:rPr>
          <w:t>https://doi.org/10.1068/a43296</w:t>
        </w:r>
      </w:hyperlink>
    </w:p>
    <w:p w14:paraId="3A84EB04" w14:textId="49638EEB" w:rsidR="00ED1AB8" w:rsidRPr="009E41BC" w:rsidRDefault="00ED1AB8" w:rsidP="009E41BC">
      <w:pPr>
        <w:pStyle w:val="MDPI71References"/>
      </w:pPr>
      <w:proofErr w:type="spellStart"/>
      <w:r w:rsidRPr="00ED1AB8">
        <w:rPr>
          <w:lang w:val="nl-NL"/>
        </w:rPr>
        <w:t>Kesler</w:t>
      </w:r>
      <w:proofErr w:type="spellEnd"/>
      <w:r w:rsidRPr="00ED1AB8">
        <w:rPr>
          <w:lang w:val="nl-NL"/>
        </w:rPr>
        <w:t xml:space="preserve">, B. (1991). </w:t>
      </w:r>
      <w:r w:rsidRPr="00ED1AB8">
        <w:rPr>
          <w:i/>
          <w:iCs/>
          <w:lang w:val="nl-NL"/>
        </w:rPr>
        <w:t>Centraal Wonen in Nederland</w:t>
      </w:r>
      <w:r w:rsidR="009E41BC">
        <w:rPr>
          <w:i/>
          <w:iCs/>
          <w:lang w:val="nl-NL"/>
        </w:rPr>
        <w:t xml:space="preserve">. </w:t>
      </w:r>
      <w:r w:rsidR="009E41BC" w:rsidRPr="009E41BC">
        <w:rPr>
          <w:rFonts w:ascii="Georgia" w:eastAsiaTheme="minorEastAsia" w:hAnsi="Georgia" w:cs="Arial"/>
        </w:rPr>
        <w:t>Retrieved from</w:t>
      </w:r>
      <w:r w:rsidRPr="009E41BC">
        <w:rPr>
          <w:rFonts w:ascii="Georgia" w:eastAsiaTheme="minorEastAsia" w:hAnsi="Georgia" w:cs="Arial"/>
        </w:rPr>
        <w:t xml:space="preserve"> http://repository.cohousing.nl:8080/jspui/handle/20.500.12011/342</w:t>
      </w:r>
    </w:p>
    <w:p w14:paraId="2963617A" w14:textId="772DFE62"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Labit, A. (2015). Self-managed co-housing in the context of an ageing population in Europe. </w:t>
      </w:r>
      <w:r w:rsidRPr="002D3A2F">
        <w:rPr>
          <w:rFonts w:ascii="Georgia" w:eastAsiaTheme="minorEastAsia" w:hAnsi="Georgia" w:cs="Arial"/>
          <w:i/>
          <w:iCs/>
        </w:rPr>
        <w:t>Urban Research &amp; Practice</w:t>
      </w:r>
      <w:r w:rsidRPr="00D33CD3">
        <w:rPr>
          <w:rFonts w:ascii="Georgia" w:eastAsiaTheme="minorEastAsia" w:hAnsi="Georgia" w:cs="Arial"/>
        </w:rPr>
        <w:t>, 8(1), 32–45. https://doi.org/10.1080/17535069.2015.1011425</w:t>
      </w:r>
    </w:p>
    <w:p w14:paraId="649F43A9" w14:textId="6C65DD1B" w:rsidR="00D33CD3" w:rsidRDefault="00D33CD3" w:rsidP="00D33CD3">
      <w:pPr>
        <w:pStyle w:val="MDPI71References"/>
        <w:rPr>
          <w:rFonts w:ascii="Georgia" w:eastAsiaTheme="minorEastAsia" w:hAnsi="Georgia" w:cs="Arial"/>
        </w:rPr>
      </w:pPr>
      <w:r w:rsidRPr="00D33CD3">
        <w:rPr>
          <w:rFonts w:ascii="Georgia" w:eastAsiaTheme="minorEastAsia" w:hAnsi="Georgia" w:cs="Arial"/>
        </w:rPr>
        <w:t>Marcus, C. C. (2003). Shared outdoor space and community life.</w:t>
      </w:r>
      <w:r w:rsidR="00A20C29">
        <w:rPr>
          <w:rFonts w:ascii="Georgia" w:eastAsiaTheme="minorEastAsia" w:hAnsi="Georgia" w:cs="Arial"/>
        </w:rPr>
        <w:t xml:space="preserve"> </w:t>
      </w:r>
      <w:r w:rsidRPr="007F5427">
        <w:rPr>
          <w:rFonts w:ascii="Georgia" w:eastAsiaTheme="minorEastAsia" w:hAnsi="Georgia" w:cs="Arial"/>
          <w:i/>
          <w:iCs/>
        </w:rPr>
        <w:t>Places</w:t>
      </w:r>
      <w:r w:rsidRPr="00D33CD3">
        <w:rPr>
          <w:rFonts w:ascii="Georgia" w:eastAsiaTheme="minorEastAsia" w:hAnsi="Georgia" w:cs="Arial"/>
        </w:rPr>
        <w:t>, 15</w:t>
      </w:r>
      <w:r w:rsidR="00A20C29">
        <w:rPr>
          <w:rFonts w:ascii="Georgia" w:eastAsiaTheme="minorEastAsia" w:hAnsi="Georgia" w:cs="Arial"/>
        </w:rPr>
        <w:t>(2)</w:t>
      </w:r>
      <w:r w:rsidR="007F5427" w:rsidRPr="007F5427">
        <w:rPr>
          <w:rFonts w:ascii="Georgia" w:eastAsiaTheme="minorEastAsia" w:hAnsi="Georgia" w:cs="Arial"/>
        </w:rPr>
        <w:t>, pp. 32–41</w:t>
      </w:r>
      <w:r w:rsidR="007F5427">
        <w:t>.</w:t>
      </w:r>
      <w:r w:rsidR="00A20C29">
        <w:rPr>
          <w:rFonts w:ascii="Georgia" w:eastAsiaTheme="minorEastAsia" w:hAnsi="Georgia" w:cs="Arial"/>
        </w:rPr>
        <w:t xml:space="preserve"> Retrieved from </w:t>
      </w:r>
      <w:r w:rsidR="00A20C29" w:rsidRPr="00A20C29">
        <w:rPr>
          <w:rFonts w:ascii="Georgia" w:eastAsiaTheme="minorEastAsia" w:hAnsi="Georgia" w:cs="Arial"/>
        </w:rPr>
        <w:t>https://escholarship.org/uc/item/5jz7d921</w:t>
      </w:r>
    </w:p>
    <w:p w14:paraId="4CF38907"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Markle, E. A., Rodgers, R., Sanchez, W., &amp; Ballou, M. (2015). Social support in the cohousing model of community: A mixed-methods analysis. </w:t>
      </w:r>
      <w:r w:rsidRPr="002D3A2F">
        <w:rPr>
          <w:rFonts w:ascii="Georgia" w:eastAsiaTheme="minorEastAsia" w:hAnsi="Georgia" w:cs="Arial"/>
          <w:i/>
          <w:iCs/>
        </w:rPr>
        <w:t>Community Development</w:t>
      </w:r>
      <w:r w:rsidRPr="00D33CD3">
        <w:rPr>
          <w:rFonts w:ascii="Georgia" w:eastAsiaTheme="minorEastAsia" w:hAnsi="Georgia" w:cs="Arial"/>
        </w:rPr>
        <w:t>, 46(5), 616–631. https://doi.org/10.1080/15575330.2015.1086400</w:t>
      </w:r>
    </w:p>
    <w:p w14:paraId="4458CE52" w14:textId="61C2AA92" w:rsidR="00E477FC" w:rsidRPr="00BC2EDF" w:rsidRDefault="00D33CD3" w:rsidP="00BC2EDF">
      <w:pPr>
        <w:pStyle w:val="MDPI71References"/>
        <w:rPr>
          <w:rFonts w:ascii="Georgia" w:eastAsiaTheme="minorEastAsia" w:hAnsi="Georgia" w:cs="Arial"/>
        </w:rPr>
      </w:pPr>
      <w:r w:rsidRPr="00D33CD3">
        <w:rPr>
          <w:rFonts w:ascii="Georgia" w:eastAsiaTheme="minorEastAsia" w:hAnsi="Georgia" w:cs="Arial"/>
        </w:rPr>
        <w:t xml:space="preserve">McCamant, K., &amp; Durrett, C. (2011). </w:t>
      </w:r>
      <w:r w:rsidRPr="00150CB2">
        <w:rPr>
          <w:rFonts w:ascii="Georgia" w:eastAsiaTheme="minorEastAsia" w:hAnsi="Georgia" w:cs="Arial"/>
          <w:i/>
          <w:iCs/>
        </w:rPr>
        <w:t>Creating cohousing: Building sustainable communities</w:t>
      </w:r>
      <w:r w:rsidRPr="00D33CD3">
        <w:rPr>
          <w:rFonts w:ascii="Georgia" w:eastAsiaTheme="minorEastAsia" w:hAnsi="Georgia" w:cs="Arial"/>
        </w:rPr>
        <w:t>.</w:t>
      </w:r>
      <w:r w:rsidR="00E477FC">
        <w:rPr>
          <w:rFonts w:ascii="Georgia" w:eastAsiaTheme="minorEastAsia" w:hAnsi="Georgia" w:cs="Arial"/>
        </w:rPr>
        <w:t xml:space="preserve"> </w:t>
      </w:r>
      <w:r w:rsidR="00E477FC" w:rsidRPr="00E477FC">
        <w:rPr>
          <w:rFonts w:ascii="Georgia" w:eastAsiaTheme="minorEastAsia" w:hAnsi="Georgia" w:cs="Arial"/>
        </w:rPr>
        <w:t>New Society Publishers.</w:t>
      </w:r>
      <w:r w:rsidRPr="00D33CD3">
        <w:rPr>
          <w:rFonts w:ascii="Georgia" w:eastAsiaTheme="minorEastAsia" w:hAnsi="Georgia" w:cs="Arial"/>
        </w:rPr>
        <w:t xml:space="preserve"> </w:t>
      </w:r>
    </w:p>
    <w:p w14:paraId="700624FC" w14:textId="21319FDF"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lastRenderedPageBreak/>
        <w:t xml:space="preserve">McCamant, K., &amp; </w:t>
      </w:r>
      <w:proofErr w:type="spellStart"/>
      <w:r w:rsidRPr="00D33CD3">
        <w:rPr>
          <w:rFonts w:ascii="Georgia" w:eastAsiaTheme="minorEastAsia" w:hAnsi="Georgia" w:cs="Arial"/>
        </w:rPr>
        <w:t>Durret</w:t>
      </w:r>
      <w:proofErr w:type="spellEnd"/>
      <w:r w:rsidRPr="00D33CD3">
        <w:rPr>
          <w:rFonts w:ascii="Georgia" w:eastAsiaTheme="minorEastAsia" w:hAnsi="Georgia" w:cs="Arial"/>
        </w:rPr>
        <w:t xml:space="preserve">, C. (1994). </w:t>
      </w:r>
      <w:r w:rsidRPr="00BC2EDF">
        <w:rPr>
          <w:rFonts w:ascii="Georgia" w:eastAsiaTheme="minorEastAsia" w:hAnsi="Georgia" w:cs="Arial"/>
          <w:i/>
          <w:iCs/>
        </w:rPr>
        <w:t>Cohousing: A contemporary approach to housing ourselves.</w:t>
      </w:r>
      <w:r w:rsidR="00BC2EDF" w:rsidRPr="00BC2EDF">
        <w:rPr>
          <w:rFonts w:ascii="Georgia" w:eastAsiaTheme="minorEastAsia" w:hAnsi="Georgia" w:cs="Arial"/>
          <w:i/>
          <w:iCs/>
        </w:rPr>
        <w:t xml:space="preserve"> </w:t>
      </w:r>
      <w:r w:rsidR="00BC2EDF" w:rsidRPr="00BC2EDF">
        <w:rPr>
          <w:rFonts w:ascii="Georgia" w:eastAsiaTheme="minorEastAsia" w:hAnsi="Georgia" w:cs="Arial"/>
        </w:rPr>
        <w:t>Ten Speed Press.</w:t>
      </w:r>
    </w:p>
    <w:p w14:paraId="36C5BDC0"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Pedersen, M. (2015). Senior Co-Housing Communities in Denmark. </w:t>
      </w:r>
      <w:r w:rsidRPr="00BC2EDF">
        <w:rPr>
          <w:rFonts w:ascii="Georgia" w:eastAsiaTheme="minorEastAsia" w:hAnsi="Georgia" w:cs="Arial"/>
          <w:i/>
          <w:iCs/>
        </w:rPr>
        <w:t>Journal of Housing For the Elderly</w:t>
      </w:r>
      <w:r w:rsidRPr="00D33CD3">
        <w:rPr>
          <w:rFonts w:ascii="Georgia" w:eastAsiaTheme="minorEastAsia" w:hAnsi="Georgia" w:cs="Arial"/>
        </w:rPr>
        <w:t>, 29(1–2), 126–145. https://doi.org/10.1080/02763893.2015.989770</w:t>
      </w:r>
    </w:p>
    <w:p w14:paraId="5B0D3F4C"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Pfaff, R., &amp; Trentham, B. (2020). Rethinking home: Exploring older adults’ occupational engagement in senior cohousing. </w:t>
      </w:r>
      <w:r w:rsidRPr="00BC2EDF">
        <w:rPr>
          <w:rFonts w:ascii="Georgia" w:eastAsiaTheme="minorEastAsia" w:hAnsi="Georgia" w:cs="Arial"/>
          <w:i/>
          <w:iCs/>
        </w:rPr>
        <w:t>Journal of Occupational Science</w:t>
      </w:r>
      <w:r w:rsidRPr="00D33CD3">
        <w:rPr>
          <w:rFonts w:ascii="Georgia" w:eastAsiaTheme="minorEastAsia" w:hAnsi="Georgia" w:cs="Arial"/>
        </w:rPr>
        <w:t>. https://www.tandfonline.com/doi/abs/10.1080/14427591.2020.1821755</w:t>
      </w:r>
    </w:p>
    <w:p w14:paraId="5367BBFD"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Sanguinetti, A. (2014). Transformational practices in cohousing: Enhancing residents’ connection to community and nature. </w:t>
      </w:r>
      <w:r w:rsidRPr="00847326">
        <w:rPr>
          <w:rFonts w:ascii="Georgia" w:eastAsiaTheme="minorEastAsia" w:hAnsi="Georgia" w:cs="Arial"/>
          <w:i/>
          <w:iCs/>
        </w:rPr>
        <w:t>Journal of Environmental Psychology</w:t>
      </w:r>
      <w:r w:rsidRPr="00D33CD3">
        <w:rPr>
          <w:rFonts w:ascii="Georgia" w:eastAsiaTheme="minorEastAsia" w:hAnsi="Georgia" w:cs="Arial"/>
        </w:rPr>
        <w:t>, 40, 86–96. https://doi.org/10.1016/j.jenvp.2014.05.003</w:t>
      </w:r>
    </w:p>
    <w:p w14:paraId="4DA3C568" w14:textId="5AA0DDBA"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Torres-Antonini, M. (2001). Our common house: Using the buil</w:t>
      </w:r>
      <w:r w:rsidR="00847326">
        <w:rPr>
          <w:rFonts w:ascii="Georgia" w:eastAsiaTheme="minorEastAsia" w:hAnsi="Georgia" w:cs="Arial"/>
        </w:rPr>
        <w:t>t</w:t>
      </w:r>
      <w:r w:rsidRPr="00D33CD3">
        <w:rPr>
          <w:rFonts w:ascii="Georgia" w:eastAsiaTheme="minorEastAsia" w:hAnsi="Georgia" w:cs="Arial"/>
        </w:rPr>
        <w:t xml:space="preserve"> environment to develop supportive communities</w:t>
      </w:r>
      <w:r w:rsidR="00384B9D">
        <w:rPr>
          <w:rFonts w:ascii="Georgia" w:eastAsiaTheme="minorEastAsia" w:hAnsi="Georgia" w:cs="Arial"/>
        </w:rPr>
        <w:t xml:space="preserve">. </w:t>
      </w:r>
      <w:r w:rsidR="00384B9D" w:rsidRPr="000C57FB">
        <w:rPr>
          <w:rFonts w:ascii="Georgia" w:eastAsiaTheme="minorEastAsia" w:hAnsi="Georgia" w:cs="Arial"/>
        </w:rPr>
        <w:t>PhD diss., Graduate School of the University of Florida</w:t>
      </w:r>
      <w:r w:rsidRPr="00D33CD3">
        <w:rPr>
          <w:rFonts w:ascii="Georgia" w:eastAsiaTheme="minorEastAsia" w:hAnsi="Georgia" w:cs="Arial"/>
        </w:rPr>
        <w:t>.</w:t>
      </w:r>
    </w:p>
    <w:p w14:paraId="1ED90139" w14:textId="0A010A13" w:rsidR="00D33CD3" w:rsidRDefault="00D33CD3" w:rsidP="00D33CD3">
      <w:pPr>
        <w:pStyle w:val="MDPI71References"/>
        <w:rPr>
          <w:rFonts w:ascii="Georgia" w:eastAsiaTheme="minorEastAsia" w:hAnsi="Georgia" w:cs="Arial"/>
        </w:rPr>
      </w:pPr>
      <w:proofErr w:type="spellStart"/>
      <w:r w:rsidRPr="00D33CD3">
        <w:rPr>
          <w:rFonts w:ascii="Georgia" w:eastAsiaTheme="minorEastAsia" w:hAnsi="Georgia" w:cs="Arial"/>
        </w:rPr>
        <w:t>Tyvimaa</w:t>
      </w:r>
      <w:proofErr w:type="spellEnd"/>
      <w:r w:rsidRPr="00D33CD3">
        <w:rPr>
          <w:rFonts w:ascii="Georgia" w:eastAsiaTheme="minorEastAsia" w:hAnsi="Georgia" w:cs="Arial"/>
        </w:rPr>
        <w:t xml:space="preserve">, T. (2011). Social and physical environments in senior communities: The Finnish experience. </w:t>
      </w:r>
      <w:r w:rsidRPr="000C57FB">
        <w:rPr>
          <w:rFonts w:ascii="Georgia" w:eastAsiaTheme="minorEastAsia" w:hAnsi="Georgia" w:cs="Arial"/>
          <w:i/>
          <w:iCs/>
        </w:rPr>
        <w:t>International Journal of Housing Markets and Analysis</w:t>
      </w:r>
      <w:r w:rsidRPr="00D33CD3">
        <w:rPr>
          <w:rFonts w:ascii="Georgia" w:eastAsiaTheme="minorEastAsia" w:hAnsi="Georgia" w:cs="Arial"/>
        </w:rPr>
        <w:t xml:space="preserve">, 4(3), 197–209. </w:t>
      </w:r>
      <w:hyperlink r:id="rId19" w:history="1">
        <w:r w:rsidR="00CF760E" w:rsidRPr="008928EA">
          <w:rPr>
            <w:rStyle w:val="Hyperlink"/>
            <w:rFonts w:ascii="Georgia" w:eastAsiaTheme="minorEastAsia" w:hAnsi="Georgia" w:cs="Arial"/>
          </w:rPr>
          <w:t>https://doi.org/10.1108/17538271111152997</w:t>
        </w:r>
      </w:hyperlink>
    </w:p>
    <w:p w14:paraId="56691605" w14:textId="7C94E54F" w:rsidR="00CF760E" w:rsidRPr="00ED1AB8" w:rsidRDefault="00CF760E" w:rsidP="00ED1AB8">
      <w:pPr>
        <w:pStyle w:val="MDPI71References"/>
        <w:rPr>
          <w:rFonts w:ascii="Georgia" w:eastAsiaTheme="minorEastAsia" w:hAnsi="Georgia" w:cs="Arial"/>
          <w:lang w:val="nl-NL"/>
        </w:rPr>
      </w:pPr>
      <w:r w:rsidRPr="00323A3B">
        <w:rPr>
          <w:rFonts w:ascii="Georgia" w:eastAsiaTheme="minorEastAsia" w:hAnsi="Georgia" w:cs="Arial"/>
          <w:lang w:val="nl-NL"/>
        </w:rPr>
        <w:t xml:space="preserve">Van der </w:t>
      </w:r>
      <w:proofErr w:type="spellStart"/>
      <w:r w:rsidRPr="00323A3B">
        <w:rPr>
          <w:rFonts w:ascii="Georgia" w:eastAsiaTheme="minorEastAsia" w:hAnsi="Georgia" w:cs="Arial"/>
          <w:lang w:val="nl-NL"/>
        </w:rPr>
        <w:t>Houte</w:t>
      </w:r>
      <w:proofErr w:type="spellEnd"/>
      <w:r w:rsidRPr="00323A3B">
        <w:rPr>
          <w:rFonts w:ascii="Georgia" w:eastAsiaTheme="minorEastAsia" w:hAnsi="Georgia" w:cs="Arial"/>
          <w:lang w:val="nl-NL"/>
        </w:rPr>
        <w:t xml:space="preserve">, K., </w:t>
      </w:r>
      <w:proofErr w:type="spellStart"/>
      <w:r w:rsidRPr="00323A3B">
        <w:rPr>
          <w:rFonts w:ascii="Georgia" w:eastAsiaTheme="minorEastAsia" w:hAnsi="Georgia" w:cs="Arial"/>
          <w:lang w:val="nl-NL"/>
        </w:rPr>
        <w:t>Ryckewaert</w:t>
      </w:r>
      <w:proofErr w:type="spellEnd"/>
      <w:r w:rsidRPr="00323A3B">
        <w:rPr>
          <w:rFonts w:ascii="Georgia" w:eastAsiaTheme="minorEastAsia" w:hAnsi="Georgia" w:cs="Arial"/>
          <w:lang w:val="nl-NL"/>
        </w:rPr>
        <w:t xml:space="preserve">, M., </w:t>
      </w:r>
      <w:proofErr w:type="spellStart"/>
      <w:r w:rsidRPr="00323A3B">
        <w:rPr>
          <w:rFonts w:ascii="Georgia" w:eastAsiaTheme="minorEastAsia" w:hAnsi="Georgia" w:cs="Arial"/>
          <w:lang w:val="nl-NL"/>
        </w:rPr>
        <w:t>Delbeke</w:t>
      </w:r>
      <w:proofErr w:type="spellEnd"/>
      <w:r w:rsidRPr="00323A3B">
        <w:rPr>
          <w:rFonts w:ascii="Georgia" w:eastAsiaTheme="minorEastAsia" w:hAnsi="Georgia" w:cs="Arial"/>
          <w:lang w:val="nl-NL"/>
        </w:rPr>
        <w:t xml:space="preserve">, B., &amp; </w:t>
      </w:r>
      <w:proofErr w:type="spellStart"/>
      <w:r w:rsidRPr="00323A3B">
        <w:rPr>
          <w:rFonts w:ascii="Georgia" w:eastAsiaTheme="minorEastAsia" w:hAnsi="Georgia" w:cs="Arial"/>
          <w:lang w:val="nl-NL"/>
        </w:rPr>
        <w:t>Oosterlynck</w:t>
      </w:r>
      <w:proofErr w:type="spellEnd"/>
      <w:r w:rsidRPr="00323A3B">
        <w:rPr>
          <w:rFonts w:ascii="Georgia" w:eastAsiaTheme="minorEastAsia" w:hAnsi="Georgia" w:cs="Arial"/>
          <w:lang w:val="nl-NL"/>
        </w:rPr>
        <w:t xml:space="preserve">, S. (2015). </w:t>
      </w:r>
      <w:r w:rsidRPr="008A31EB">
        <w:rPr>
          <w:rFonts w:ascii="Georgia" w:eastAsiaTheme="minorEastAsia" w:hAnsi="Georgia" w:cs="Arial"/>
          <w:i/>
          <w:iCs/>
          <w:lang w:val="nl-NL"/>
        </w:rPr>
        <w:t>Gemeenschappelijk wonen.</w:t>
      </w:r>
      <w:r w:rsidRPr="008A31EB">
        <w:rPr>
          <w:rFonts w:ascii="Georgia" w:eastAsiaTheme="minorEastAsia" w:hAnsi="Georgia" w:cs="Arial"/>
          <w:lang w:val="nl-NL"/>
        </w:rPr>
        <w:t xml:space="preserve"> </w:t>
      </w:r>
      <w:r w:rsidR="006F2146" w:rsidRPr="008A31EB">
        <w:rPr>
          <w:rFonts w:ascii="Georgia" w:eastAsiaTheme="minorEastAsia" w:hAnsi="Georgia" w:cs="Arial"/>
          <w:lang w:val="nl-NL"/>
        </w:rPr>
        <w:t xml:space="preserve">Leuven: </w:t>
      </w:r>
      <w:r w:rsidRPr="008A31EB">
        <w:rPr>
          <w:rFonts w:ascii="Georgia" w:eastAsiaTheme="minorEastAsia" w:hAnsi="Georgia" w:cs="Arial"/>
          <w:lang w:val="nl-NL"/>
        </w:rPr>
        <w:t>Steunpunt Wonen.</w:t>
      </w:r>
      <w:r w:rsidR="008A31EB" w:rsidRPr="008A31EB">
        <w:rPr>
          <w:rFonts w:ascii="Georgia" w:eastAsiaTheme="minorEastAsia" w:hAnsi="Georgia" w:cs="Arial"/>
          <w:lang w:val="nl-NL"/>
        </w:rPr>
        <w:t xml:space="preserve"> </w:t>
      </w:r>
      <w:proofErr w:type="spellStart"/>
      <w:r w:rsidR="008A31EB" w:rsidRPr="00323A3B">
        <w:rPr>
          <w:rFonts w:ascii="Georgia" w:eastAsiaTheme="minorEastAsia" w:hAnsi="Georgia" w:cs="Arial"/>
          <w:lang w:val="nl-NL"/>
        </w:rPr>
        <w:t>Retrieved</w:t>
      </w:r>
      <w:proofErr w:type="spellEnd"/>
      <w:r w:rsidR="008A31EB" w:rsidRPr="00323A3B">
        <w:rPr>
          <w:rFonts w:ascii="Georgia" w:eastAsiaTheme="minorEastAsia" w:hAnsi="Georgia" w:cs="Arial"/>
          <w:lang w:val="nl-NL"/>
        </w:rPr>
        <w:t xml:space="preserve"> </w:t>
      </w:r>
      <w:proofErr w:type="spellStart"/>
      <w:r w:rsidR="008A31EB" w:rsidRPr="00323A3B">
        <w:rPr>
          <w:rFonts w:ascii="Georgia" w:eastAsiaTheme="minorEastAsia" w:hAnsi="Georgia" w:cs="Arial"/>
          <w:lang w:val="nl-NL"/>
        </w:rPr>
        <w:t>from</w:t>
      </w:r>
      <w:proofErr w:type="spellEnd"/>
      <w:r w:rsidR="008A31EB" w:rsidRPr="00323A3B">
        <w:rPr>
          <w:rFonts w:ascii="Georgia" w:eastAsiaTheme="minorEastAsia" w:hAnsi="Georgia" w:cs="Arial"/>
          <w:lang w:val="nl-NL"/>
        </w:rPr>
        <w:t xml:space="preserve"> https://archief.steunpuntwonen.be/Documenten_2012-2015/Onderzoek_Ad-hoc-opdrachten/Ad_hoc_13_Gemeenschappelijk_wonen.pdf</w:t>
      </w:r>
    </w:p>
    <w:p w14:paraId="0610A467"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rPr>
        <w:t xml:space="preserve">Williams, J. (2005). Designing </w:t>
      </w:r>
      <w:proofErr w:type="spellStart"/>
      <w:r w:rsidRPr="00D33CD3">
        <w:rPr>
          <w:rFonts w:ascii="Georgia" w:eastAsiaTheme="minorEastAsia" w:hAnsi="Georgia" w:cs="Arial"/>
        </w:rPr>
        <w:t>Neighbourhoods</w:t>
      </w:r>
      <w:proofErr w:type="spellEnd"/>
      <w:r w:rsidRPr="00D33CD3">
        <w:rPr>
          <w:rFonts w:ascii="Georgia" w:eastAsiaTheme="minorEastAsia" w:hAnsi="Georgia" w:cs="Arial"/>
        </w:rPr>
        <w:t xml:space="preserve"> for Social Interaction: The Case of Cohousing. </w:t>
      </w:r>
      <w:r w:rsidRPr="000C57FB">
        <w:rPr>
          <w:rFonts w:ascii="Georgia" w:eastAsiaTheme="minorEastAsia" w:hAnsi="Georgia" w:cs="Arial"/>
          <w:i/>
          <w:iCs/>
        </w:rPr>
        <w:t>Journal of Urban Design</w:t>
      </w:r>
      <w:r w:rsidRPr="00D33CD3">
        <w:rPr>
          <w:rFonts w:ascii="Georgia" w:eastAsiaTheme="minorEastAsia" w:hAnsi="Georgia" w:cs="Arial"/>
        </w:rPr>
        <w:t>, 10(2), 195–227. https://doi.org/10.1080/13574800500086998</w:t>
      </w:r>
    </w:p>
    <w:p w14:paraId="477FBBD7" w14:textId="77777777" w:rsidR="00D33CD3" w:rsidRPr="00D33CD3" w:rsidRDefault="00D33CD3" w:rsidP="00D33CD3">
      <w:pPr>
        <w:pStyle w:val="MDPI71References"/>
        <w:rPr>
          <w:rFonts w:ascii="Georgia" w:eastAsiaTheme="minorEastAsia" w:hAnsi="Georgia" w:cs="Arial"/>
        </w:rPr>
      </w:pPr>
      <w:r w:rsidRPr="00D33CD3">
        <w:rPr>
          <w:rFonts w:ascii="Georgia" w:eastAsiaTheme="minorEastAsia" w:hAnsi="Georgia" w:cs="Arial"/>
          <w:lang w:val="nl-NL"/>
        </w:rPr>
        <w:t xml:space="preserve">Witter, Y. (2018). Zijn woningcorporaties klaar voor de vergrijzing? </w:t>
      </w:r>
      <w:r w:rsidRPr="000C57FB">
        <w:rPr>
          <w:rFonts w:ascii="Georgia" w:eastAsiaTheme="minorEastAsia" w:hAnsi="Georgia" w:cs="Arial"/>
          <w:i/>
          <w:iCs/>
        </w:rPr>
        <w:t>Geron</w:t>
      </w:r>
      <w:r w:rsidRPr="00D33CD3">
        <w:rPr>
          <w:rFonts w:ascii="Georgia" w:eastAsiaTheme="minorEastAsia" w:hAnsi="Georgia" w:cs="Arial"/>
        </w:rPr>
        <w:t>, 20(1), 48–51.</w:t>
      </w:r>
    </w:p>
    <w:p w14:paraId="7E25EEBF" w14:textId="77777777" w:rsidR="00D33CD3" w:rsidRPr="005C6417" w:rsidRDefault="00D33CD3" w:rsidP="003E61CD">
      <w:pPr>
        <w:pStyle w:val="MDPI71References"/>
        <w:numPr>
          <w:ilvl w:val="0"/>
          <w:numId w:val="0"/>
        </w:numPr>
        <w:ind w:left="425"/>
        <w:rPr>
          <w:rFonts w:ascii="Georgia" w:eastAsiaTheme="minorEastAsia" w:hAnsi="Georgia" w:cs="Arial"/>
          <w:highlight w:val="yellow"/>
        </w:rPr>
      </w:pPr>
    </w:p>
    <w:sectPr w:rsidR="00D33CD3" w:rsidRPr="005C6417" w:rsidSect="00CA0EA6">
      <w:headerReference w:type="even" r:id="rId20"/>
      <w:headerReference w:type="default" r:id="rId21"/>
      <w:headerReference w:type="first" r:id="rId22"/>
      <w:footerReference w:type="first" r:id="rId23"/>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8E2" w14:textId="77777777" w:rsidR="00CA0EA6" w:rsidRDefault="00CA0EA6">
      <w:pPr>
        <w:spacing w:line="240" w:lineRule="auto"/>
      </w:pPr>
      <w:r>
        <w:separator/>
      </w:r>
    </w:p>
  </w:endnote>
  <w:endnote w:type="continuationSeparator" w:id="0">
    <w:p w14:paraId="10DC625F" w14:textId="77777777" w:rsidR="00CA0EA6" w:rsidRDefault="00CA0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1C909CAD" w:rsidR="00C45F1E" w:rsidRPr="0021700B" w:rsidRDefault="00076836" w:rsidP="00BA570C">
    <w:pPr>
      <w:pStyle w:val="MDPIfooterfirstpage"/>
      <w:tabs>
        <w:tab w:val="clear" w:pos="8845"/>
        <w:tab w:val="right" w:pos="10466"/>
      </w:tabs>
      <w:spacing w:line="240" w:lineRule="auto"/>
      <w:jc w:val="both"/>
    </w:pPr>
    <w:hyperlink r:id="rId1" w:history="1">
      <w:r w:rsidRPr="00753E92">
        <w:rPr>
          <w:rStyle w:val="Hyperlink"/>
          <w:bCs/>
          <w:iCs/>
          <w:szCs w:val="16"/>
        </w:rPr>
        <w:t>https://doi.org/10.24404/621ced6bb368a4577d493054</w:t>
      </w:r>
    </w:hyperlink>
    <w:r>
      <w:rPr>
        <w:bCs/>
        <w:iCs/>
        <w:szCs w:val="16"/>
      </w:rPr>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5BBE" w14:textId="77777777" w:rsidR="00CA0EA6" w:rsidRDefault="00CA0EA6">
      <w:pPr>
        <w:spacing w:line="240" w:lineRule="auto"/>
      </w:pPr>
      <w:r>
        <w:separator/>
      </w:r>
    </w:p>
  </w:footnote>
  <w:footnote w:type="continuationSeparator" w:id="0">
    <w:p w14:paraId="020EC555" w14:textId="77777777" w:rsidR="00CA0EA6" w:rsidRDefault="00CA0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19923C88"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B875F7">
      <w:rPr>
        <w:sz w:val="16"/>
      </w:rPr>
      <w:t>11</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B875F7">
      <w:rPr>
        <w:sz w:val="16"/>
      </w:rPr>
      <w:t>11</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6D2"/>
    <w:multiLevelType w:val="hybridMultilevel"/>
    <w:tmpl w:val="4D8A0776"/>
    <w:lvl w:ilvl="0" w:tplc="2AD8F87A">
      <w:start w:val="1"/>
      <w:numFmt w:val="decimal"/>
      <w:lvlText w:val="2.%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F2E57BA"/>
    <w:multiLevelType w:val="hybridMultilevel"/>
    <w:tmpl w:val="8E76D41E"/>
    <w:lvl w:ilvl="0" w:tplc="C684725C">
      <w:start w:val="3"/>
      <w:numFmt w:val="decimal"/>
      <w:lvlText w:val="2.%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DFF58EB"/>
    <w:multiLevelType w:val="multilevel"/>
    <w:tmpl w:val="3C1699A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081636937">
    <w:abstractNumId w:val="4"/>
  </w:num>
  <w:num w:numId="2" w16cid:durableId="86393154">
    <w:abstractNumId w:val="6"/>
  </w:num>
  <w:num w:numId="3" w16cid:durableId="1209149113">
    <w:abstractNumId w:val="2"/>
  </w:num>
  <w:num w:numId="4" w16cid:durableId="2031446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323635">
    <w:abstractNumId w:val="5"/>
  </w:num>
  <w:num w:numId="6" w16cid:durableId="411002374">
    <w:abstractNumId w:val="9"/>
  </w:num>
  <w:num w:numId="7" w16cid:durableId="113906172">
    <w:abstractNumId w:val="1"/>
  </w:num>
  <w:num w:numId="8" w16cid:durableId="2094815091">
    <w:abstractNumId w:val="9"/>
  </w:num>
  <w:num w:numId="9" w16cid:durableId="1522086007">
    <w:abstractNumId w:val="1"/>
  </w:num>
  <w:num w:numId="10" w16cid:durableId="1630162759">
    <w:abstractNumId w:val="9"/>
  </w:num>
  <w:num w:numId="11" w16cid:durableId="885604955">
    <w:abstractNumId w:val="1"/>
  </w:num>
  <w:num w:numId="12" w16cid:durableId="1084304389">
    <w:abstractNumId w:val="12"/>
  </w:num>
  <w:num w:numId="13" w16cid:durableId="167908787">
    <w:abstractNumId w:val="9"/>
  </w:num>
  <w:num w:numId="14" w16cid:durableId="386802667">
    <w:abstractNumId w:val="1"/>
  </w:num>
  <w:num w:numId="15" w16cid:durableId="2083747417">
    <w:abstractNumId w:val="0"/>
  </w:num>
  <w:num w:numId="16" w16cid:durableId="2119838144">
    <w:abstractNumId w:val="8"/>
  </w:num>
  <w:num w:numId="17" w16cid:durableId="624851048">
    <w:abstractNumId w:val="11"/>
  </w:num>
  <w:num w:numId="18" w16cid:durableId="1071196558">
    <w:abstractNumId w:val="0"/>
  </w:num>
  <w:num w:numId="19" w16cid:durableId="851459225">
    <w:abstractNumId w:val="0"/>
  </w:num>
  <w:num w:numId="20" w16cid:durableId="974263742">
    <w:abstractNumId w:val="0"/>
  </w:num>
  <w:num w:numId="21" w16cid:durableId="1284144177">
    <w:abstractNumId w:val="0"/>
  </w:num>
  <w:num w:numId="22" w16cid:durableId="1153595388">
    <w:abstractNumId w:val="0"/>
  </w:num>
  <w:num w:numId="23" w16cid:durableId="322241563">
    <w:abstractNumId w:val="0"/>
  </w:num>
  <w:num w:numId="24" w16cid:durableId="57440690">
    <w:abstractNumId w:val="7"/>
  </w:num>
  <w:num w:numId="25" w16cid:durableId="1939411106">
    <w:abstractNumId w:val="3"/>
  </w:num>
  <w:num w:numId="26" w16cid:durableId="520242111">
    <w:abstractNumId w:val="10"/>
  </w:num>
  <w:num w:numId="27" w16cid:durableId="2043746507">
    <w:abstractNumId w:val="0"/>
  </w:num>
  <w:num w:numId="28" w16cid:durableId="1026441045">
    <w:abstractNumId w:val="0"/>
  </w:num>
  <w:num w:numId="29" w16cid:durableId="1929801400">
    <w:abstractNumId w:val="0"/>
  </w:num>
  <w:num w:numId="30" w16cid:durableId="1762945569">
    <w:abstractNumId w:val="0"/>
  </w:num>
  <w:num w:numId="31" w16cid:durableId="1075933176">
    <w:abstractNumId w:val="0"/>
  </w:num>
  <w:num w:numId="32" w16cid:durableId="193613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21EE"/>
    <w:rsid w:val="0000587A"/>
    <w:rsid w:val="000065C8"/>
    <w:rsid w:val="0001385A"/>
    <w:rsid w:val="000142CA"/>
    <w:rsid w:val="0001620D"/>
    <w:rsid w:val="00020CE2"/>
    <w:rsid w:val="000231B3"/>
    <w:rsid w:val="00032834"/>
    <w:rsid w:val="00035F6A"/>
    <w:rsid w:val="0003633B"/>
    <w:rsid w:val="00037AE6"/>
    <w:rsid w:val="00043D3E"/>
    <w:rsid w:val="00051876"/>
    <w:rsid w:val="000547D8"/>
    <w:rsid w:val="00056957"/>
    <w:rsid w:val="0005772F"/>
    <w:rsid w:val="00064772"/>
    <w:rsid w:val="00064C01"/>
    <w:rsid w:val="0006742A"/>
    <w:rsid w:val="0006751D"/>
    <w:rsid w:val="00071218"/>
    <w:rsid w:val="00076836"/>
    <w:rsid w:val="00080EFC"/>
    <w:rsid w:val="000855E9"/>
    <w:rsid w:val="000855EA"/>
    <w:rsid w:val="00087900"/>
    <w:rsid w:val="0009171D"/>
    <w:rsid w:val="0009195E"/>
    <w:rsid w:val="000925CA"/>
    <w:rsid w:val="00093E7F"/>
    <w:rsid w:val="000978F3"/>
    <w:rsid w:val="000A01B4"/>
    <w:rsid w:val="000A0393"/>
    <w:rsid w:val="000A3BFE"/>
    <w:rsid w:val="000A7D80"/>
    <w:rsid w:val="000C0082"/>
    <w:rsid w:val="000C1B23"/>
    <w:rsid w:val="000C1BF3"/>
    <w:rsid w:val="000C57FB"/>
    <w:rsid w:val="000D234F"/>
    <w:rsid w:val="000D5E71"/>
    <w:rsid w:val="000E33C3"/>
    <w:rsid w:val="000E5349"/>
    <w:rsid w:val="000E5822"/>
    <w:rsid w:val="000E68A3"/>
    <w:rsid w:val="000E7FBE"/>
    <w:rsid w:val="000F3A79"/>
    <w:rsid w:val="001008C4"/>
    <w:rsid w:val="00100921"/>
    <w:rsid w:val="00104D24"/>
    <w:rsid w:val="00106F05"/>
    <w:rsid w:val="001073BD"/>
    <w:rsid w:val="00107C2E"/>
    <w:rsid w:val="001101D7"/>
    <w:rsid w:val="001134B3"/>
    <w:rsid w:val="0011414B"/>
    <w:rsid w:val="00114997"/>
    <w:rsid w:val="00115E5C"/>
    <w:rsid w:val="0012029A"/>
    <w:rsid w:val="001204E2"/>
    <w:rsid w:val="00120E2E"/>
    <w:rsid w:val="00123E13"/>
    <w:rsid w:val="001268CA"/>
    <w:rsid w:val="001269CD"/>
    <w:rsid w:val="00127D15"/>
    <w:rsid w:val="0013087A"/>
    <w:rsid w:val="00131CAD"/>
    <w:rsid w:val="00132B9A"/>
    <w:rsid w:val="0014459E"/>
    <w:rsid w:val="001449CA"/>
    <w:rsid w:val="001452B9"/>
    <w:rsid w:val="00146738"/>
    <w:rsid w:val="001509CA"/>
    <w:rsid w:val="00150CB2"/>
    <w:rsid w:val="00150D06"/>
    <w:rsid w:val="001579F0"/>
    <w:rsid w:val="00163CEA"/>
    <w:rsid w:val="00165C16"/>
    <w:rsid w:val="00166331"/>
    <w:rsid w:val="001664C3"/>
    <w:rsid w:val="0017078E"/>
    <w:rsid w:val="00173D3A"/>
    <w:rsid w:val="00174FB3"/>
    <w:rsid w:val="0017625A"/>
    <w:rsid w:val="00177630"/>
    <w:rsid w:val="001831EE"/>
    <w:rsid w:val="00185412"/>
    <w:rsid w:val="00185980"/>
    <w:rsid w:val="001916A3"/>
    <w:rsid w:val="00192D8D"/>
    <w:rsid w:val="001A1BB3"/>
    <w:rsid w:val="001A1CD2"/>
    <w:rsid w:val="001A27B2"/>
    <w:rsid w:val="001A3146"/>
    <w:rsid w:val="001A3E3B"/>
    <w:rsid w:val="001A57BF"/>
    <w:rsid w:val="001B38D4"/>
    <w:rsid w:val="001C0CA7"/>
    <w:rsid w:val="001C7DC1"/>
    <w:rsid w:val="001D057B"/>
    <w:rsid w:val="001D35D4"/>
    <w:rsid w:val="001E2AEB"/>
    <w:rsid w:val="001E78B7"/>
    <w:rsid w:val="001F1149"/>
    <w:rsid w:val="001F429A"/>
    <w:rsid w:val="001F4B48"/>
    <w:rsid w:val="001F5DF0"/>
    <w:rsid w:val="001F7351"/>
    <w:rsid w:val="002013C0"/>
    <w:rsid w:val="002014F8"/>
    <w:rsid w:val="00204327"/>
    <w:rsid w:val="00206552"/>
    <w:rsid w:val="00210F66"/>
    <w:rsid w:val="0021700B"/>
    <w:rsid w:val="002175AE"/>
    <w:rsid w:val="0022113E"/>
    <w:rsid w:val="00226180"/>
    <w:rsid w:val="0022638C"/>
    <w:rsid w:val="002266AA"/>
    <w:rsid w:val="002316BB"/>
    <w:rsid w:val="0023607F"/>
    <w:rsid w:val="002429CB"/>
    <w:rsid w:val="00247592"/>
    <w:rsid w:val="00247D4E"/>
    <w:rsid w:val="00251F0E"/>
    <w:rsid w:val="00253CA3"/>
    <w:rsid w:val="00254C04"/>
    <w:rsid w:val="00254EA1"/>
    <w:rsid w:val="00255551"/>
    <w:rsid w:val="00256E65"/>
    <w:rsid w:val="00257E75"/>
    <w:rsid w:val="00265F28"/>
    <w:rsid w:val="0026621A"/>
    <w:rsid w:val="00267814"/>
    <w:rsid w:val="002740F6"/>
    <w:rsid w:val="0027478A"/>
    <w:rsid w:val="00274B3F"/>
    <w:rsid w:val="002756EF"/>
    <w:rsid w:val="002763DC"/>
    <w:rsid w:val="00276866"/>
    <w:rsid w:val="00281E5B"/>
    <w:rsid w:val="002837D3"/>
    <w:rsid w:val="00283C4B"/>
    <w:rsid w:val="0028466A"/>
    <w:rsid w:val="00285A80"/>
    <w:rsid w:val="00285DC0"/>
    <w:rsid w:val="00290057"/>
    <w:rsid w:val="00290F63"/>
    <w:rsid w:val="00291EF1"/>
    <w:rsid w:val="0029420B"/>
    <w:rsid w:val="00296BEC"/>
    <w:rsid w:val="002A1066"/>
    <w:rsid w:val="002A377A"/>
    <w:rsid w:val="002A42F2"/>
    <w:rsid w:val="002A4363"/>
    <w:rsid w:val="002C6871"/>
    <w:rsid w:val="002C7ED7"/>
    <w:rsid w:val="002D3A2F"/>
    <w:rsid w:val="002D650D"/>
    <w:rsid w:val="002D6E09"/>
    <w:rsid w:val="002E204B"/>
    <w:rsid w:val="002E5775"/>
    <w:rsid w:val="002E57DB"/>
    <w:rsid w:val="002E5B86"/>
    <w:rsid w:val="002E7C27"/>
    <w:rsid w:val="002E7D67"/>
    <w:rsid w:val="002F1BFE"/>
    <w:rsid w:val="002F27A5"/>
    <w:rsid w:val="002F5660"/>
    <w:rsid w:val="002F5F24"/>
    <w:rsid w:val="002F648C"/>
    <w:rsid w:val="00300967"/>
    <w:rsid w:val="00303C5F"/>
    <w:rsid w:val="00306157"/>
    <w:rsid w:val="003154C0"/>
    <w:rsid w:val="00316C89"/>
    <w:rsid w:val="00320F82"/>
    <w:rsid w:val="00323A3B"/>
    <w:rsid w:val="00326141"/>
    <w:rsid w:val="00330A75"/>
    <w:rsid w:val="003330AE"/>
    <w:rsid w:val="003337EA"/>
    <w:rsid w:val="00334369"/>
    <w:rsid w:val="0033480E"/>
    <w:rsid w:val="003350E9"/>
    <w:rsid w:val="003363A2"/>
    <w:rsid w:val="00337833"/>
    <w:rsid w:val="00352240"/>
    <w:rsid w:val="00354A5A"/>
    <w:rsid w:val="00381ADD"/>
    <w:rsid w:val="00384B9D"/>
    <w:rsid w:val="003869F1"/>
    <w:rsid w:val="003A1D78"/>
    <w:rsid w:val="003A4BA3"/>
    <w:rsid w:val="003A7BF6"/>
    <w:rsid w:val="003B3E9E"/>
    <w:rsid w:val="003B66ED"/>
    <w:rsid w:val="003C083B"/>
    <w:rsid w:val="003C2277"/>
    <w:rsid w:val="003C2C49"/>
    <w:rsid w:val="003C7B10"/>
    <w:rsid w:val="003D06E8"/>
    <w:rsid w:val="003D1D40"/>
    <w:rsid w:val="003D2B8F"/>
    <w:rsid w:val="003D41D1"/>
    <w:rsid w:val="003D60EE"/>
    <w:rsid w:val="003D7A57"/>
    <w:rsid w:val="003E01EB"/>
    <w:rsid w:val="003E07AF"/>
    <w:rsid w:val="003E40D8"/>
    <w:rsid w:val="003E61CD"/>
    <w:rsid w:val="003E7640"/>
    <w:rsid w:val="003E7ACC"/>
    <w:rsid w:val="003F0B89"/>
    <w:rsid w:val="003F2B0F"/>
    <w:rsid w:val="003F48AC"/>
    <w:rsid w:val="003F49DE"/>
    <w:rsid w:val="003F4EFE"/>
    <w:rsid w:val="003F6C3A"/>
    <w:rsid w:val="0040015C"/>
    <w:rsid w:val="00401235"/>
    <w:rsid w:val="00401D30"/>
    <w:rsid w:val="00401E81"/>
    <w:rsid w:val="0041133D"/>
    <w:rsid w:val="004134D0"/>
    <w:rsid w:val="00414008"/>
    <w:rsid w:val="00416452"/>
    <w:rsid w:val="00420ABC"/>
    <w:rsid w:val="004215E7"/>
    <w:rsid w:val="00424F5F"/>
    <w:rsid w:val="00425263"/>
    <w:rsid w:val="00425371"/>
    <w:rsid w:val="00431D81"/>
    <w:rsid w:val="00434B13"/>
    <w:rsid w:val="004350A3"/>
    <w:rsid w:val="004434ED"/>
    <w:rsid w:val="00444F73"/>
    <w:rsid w:val="00445783"/>
    <w:rsid w:val="00456D3D"/>
    <w:rsid w:val="00457C6B"/>
    <w:rsid w:val="004605E3"/>
    <w:rsid w:val="00461062"/>
    <w:rsid w:val="0046143A"/>
    <w:rsid w:val="00461846"/>
    <w:rsid w:val="00462CD8"/>
    <w:rsid w:val="00462D4D"/>
    <w:rsid w:val="00465659"/>
    <w:rsid w:val="00465D96"/>
    <w:rsid w:val="0047109A"/>
    <w:rsid w:val="00471EDF"/>
    <w:rsid w:val="004728EE"/>
    <w:rsid w:val="004752C1"/>
    <w:rsid w:val="0048108F"/>
    <w:rsid w:val="00483713"/>
    <w:rsid w:val="0048485C"/>
    <w:rsid w:val="004858C4"/>
    <w:rsid w:val="004877D0"/>
    <w:rsid w:val="00496598"/>
    <w:rsid w:val="004A22E9"/>
    <w:rsid w:val="004A27DF"/>
    <w:rsid w:val="004A4A85"/>
    <w:rsid w:val="004B0B17"/>
    <w:rsid w:val="004B0EB5"/>
    <w:rsid w:val="004B135E"/>
    <w:rsid w:val="004B2432"/>
    <w:rsid w:val="004B4287"/>
    <w:rsid w:val="004C1284"/>
    <w:rsid w:val="004C3B50"/>
    <w:rsid w:val="004C3F57"/>
    <w:rsid w:val="004C46B1"/>
    <w:rsid w:val="004C47AB"/>
    <w:rsid w:val="004C7C80"/>
    <w:rsid w:val="004D2E51"/>
    <w:rsid w:val="004E0F98"/>
    <w:rsid w:val="004E21A1"/>
    <w:rsid w:val="004E2C47"/>
    <w:rsid w:val="004F0E02"/>
    <w:rsid w:val="004F1297"/>
    <w:rsid w:val="004F2BEA"/>
    <w:rsid w:val="004F2BF2"/>
    <w:rsid w:val="004F2F17"/>
    <w:rsid w:val="005008A1"/>
    <w:rsid w:val="005028E5"/>
    <w:rsid w:val="00502EEE"/>
    <w:rsid w:val="0051104F"/>
    <w:rsid w:val="0051123E"/>
    <w:rsid w:val="00511E44"/>
    <w:rsid w:val="005127A0"/>
    <w:rsid w:val="005267B2"/>
    <w:rsid w:val="00527201"/>
    <w:rsid w:val="00527BD0"/>
    <w:rsid w:val="005327C9"/>
    <w:rsid w:val="005337E5"/>
    <w:rsid w:val="0053633A"/>
    <w:rsid w:val="00547A33"/>
    <w:rsid w:val="005539D4"/>
    <w:rsid w:val="005551AF"/>
    <w:rsid w:val="00561B02"/>
    <w:rsid w:val="00563990"/>
    <w:rsid w:val="005641E3"/>
    <w:rsid w:val="005660F6"/>
    <w:rsid w:val="00582D5A"/>
    <w:rsid w:val="00583714"/>
    <w:rsid w:val="005849AC"/>
    <w:rsid w:val="0058552C"/>
    <w:rsid w:val="00585FF1"/>
    <w:rsid w:val="0059071F"/>
    <w:rsid w:val="00594432"/>
    <w:rsid w:val="005967BC"/>
    <w:rsid w:val="005A32E5"/>
    <w:rsid w:val="005A7875"/>
    <w:rsid w:val="005B4A02"/>
    <w:rsid w:val="005C1723"/>
    <w:rsid w:val="005C6417"/>
    <w:rsid w:val="005D13A9"/>
    <w:rsid w:val="005D3043"/>
    <w:rsid w:val="005D4CCF"/>
    <w:rsid w:val="005D60E3"/>
    <w:rsid w:val="005E0240"/>
    <w:rsid w:val="005E14E8"/>
    <w:rsid w:val="005E1CAB"/>
    <w:rsid w:val="005E5F3C"/>
    <w:rsid w:val="005F044B"/>
    <w:rsid w:val="005F157F"/>
    <w:rsid w:val="005F241C"/>
    <w:rsid w:val="00601A6F"/>
    <w:rsid w:val="00602E63"/>
    <w:rsid w:val="00604EDE"/>
    <w:rsid w:val="00607F24"/>
    <w:rsid w:val="006116CC"/>
    <w:rsid w:val="006204BC"/>
    <w:rsid w:val="00620727"/>
    <w:rsid w:val="006262F8"/>
    <w:rsid w:val="0062784F"/>
    <w:rsid w:val="00632077"/>
    <w:rsid w:val="00632655"/>
    <w:rsid w:val="00632AA3"/>
    <w:rsid w:val="0063523F"/>
    <w:rsid w:val="00635EE8"/>
    <w:rsid w:val="00641525"/>
    <w:rsid w:val="006429BB"/>
    <w:rsid w:val="00652971"/>
    <w:rsid w:val="00660A96"/>
    <w:rsid w:val="00660DF7"/>
    <w:rsid w:val="0066370A"/>
    <w:rsid w:val="006744FB"/>
    <w:rsid w:val="006777A9"/>
    <w:rsid w:val="00680F3F"/>
    <w:rsid w:val="00686C79"/>
    <w:rsid w:val="00692393"/>
    <w:rsid w:val="006A6A15"/>
    <w:rsid w:val="006A7FF4"/>
    <w:rsid w:val="006B171A"/>
    <w:rsid w:val="006B59DC"/>
    <w:rsid w:val="006C65B6"/>
    <w:rsid w:val="006D322E"/>
    <w:rsid w:val="006D3DD0"/>
    <w:rsid w:val="006D56E4"/>
    <w:rsid w:val="006E0B87"/>
    <w:rsid w:val="006E0F58"/>
    <w:rsid w:val="006E142A"/>
    <w:rsid w:val="006E1618"/>
    <w:rsid w:val="006F099F"/>
    <w:rsid w:val="006F17F3"/>
    <w:rsid w:val="006F2146"/>
    <w:rsid w:val="006F6F58"/>
    <w:rsid w:val="006F7BAA"/>
    <w:rsid w:val="006F7E7B"/>
    <w:rsid w:val="00700164"/>
    <w:rsid w:val="00706966"/>
    <w:rsid w:val="00707802"/>
    <w:rsid w:val="00711E3A"/>
    <w:rsid w:val="007123DB"/>
    <w:rsid w:val="007201BC"/>
    <w:rsid w:val="007211B7"/>
    <w:rsid w:val="00723D05"/>
    <w:rsid w:val="00726439"/>
    <w:rsid w:val="007279A1"/>
    <w:rsid w:val="00732A54"/>
    <w:rsid w:val="00740B6F"/>
    <w:rsid w:val="007413C0"/>
    <w:rsid w:val="007417BB"/>
    <w:rsid w:val="00742CCB"/>
    <w:rsid w:val="00745CB8"/>
    <w:rsid w:val="0075794E"/>
    <w:rsid w:val="007606EF"/>
    <w:rsid w:val="007628E6"/>
    <w:rsid w:val="00763159"/>
    <w:rsid w:val="00764E89"/>
    <w:rsid w:val="0076686D"/>
    <w:rsid w:val="007674BF"/>
    <w:rsid w:val="00767BD2"/>
    <w:rsid w:val="00770948"/>
    <w:rsid w:val="00772B09"/>
    <w:rsid w:val="0077402B"/>
    <w:rsid w:val="00774A44"/>
    <w:rsid w:val="00775EFB"/>
    <w:rsid w:val="007779EC"/>
    <w:rsid w:val="007845F0"/>
    <w:rsid w:val="00786597"/>
    <w:rsid w:val="00793D9F"/>
    <w:rsid w:val="007955DC"/>
    <w:rsid w:val="007972F0"/>
    <w:rsid w:val="007A108C"/>
    <w:rsid w:val="007A283C"/>
    <w:rsid w:val="007A2999"/>
    <w:rsid w:val="007A7560"/>
    <w:rsid w:val="007B46DA"/>
    <w:rsid w:val="007B62FC"/>
    <w:rsid w:val="007C439E"/>
    <w:rsid w:val="007D003E"/>
    <w:rsid w:val="007D1E73"/>
    <w:rsid w:val="007D25BD"/>
    <w:rsid w:val="007D2775"/>
    <w:rsid w:val="007D45AC"/>
    <w:rsid w:val="007D7F7B"/>
    <w:rsid w:val="007E1AD0"/>
    <w:rsid w:val="007E5740"/>
    <w:rsid w:val="007F0C6D"/>
    <w:rsid w:val="007F5427"/>
    <w:rsid w:val="008032EE"/>
    <w:rsid w:val="00806412"/>
    <w:rsid w:val="00807D5B"/>
    <w:rsid w:val="00812B73"/>
    <w:rsid w:val="00817947"/>
    <w:rsid w:val="008211A2"/>
    <w:rsid w:val="00822B3D"/>
    <w:rsid w:val="00832857"/>
    <w:rsid w:val="008365C3"/>
    <w:rsid w:val="00836EB9"/>
    <w:rsid w:val="0084089F"/>
    <w:rsid w:val="00840934"/>
    <w:rsid w:val="008409E1"/>
    <w:rsid w:val="00841933"/>
    <w:rsid w:val="00842707"/>
    <w:rsid w:val="00847326"/>
    <w:rsid w:val="008473BB"/>
    <w:rsid w:val="0085063C"/>
    <w:rsid w:val="008523BB"/>
    <w:rsid w:val="00852727"/>
    <w:rsid w:val="00853AD5"/>
    <w:rsid w:val="00854ACD"/>
    <w:rsid w:val="00857A0B"/>
    <w:rsid w:val="00862C73"/>
    <w:rsid w:val="00865423"/>
    <w:rsid w:val="00867A1A"/>
    <w:rsid w:val="008701CB"/>
    <w:rsid w:val="00870FD7"/>
    <w:rsid w:val="00871BA9"/>
    <w:rsid w:val="00880483"/>
    <w:rsid w:val="00881EF7"/>
    <w:rsid w:val="008838CF"/>
    <w:rsid w:val="00884E8A"/>
    <w:rsid w:val="0089344C"/>
    <w:rsid w:val="00897439"/>
    <w:rsid w:val="008979E0"/>
    <w:rsid w:val="008A31EB"/>
    <w:rsid w:val="008A6DB9"/>
    <w:rsid w:val="008B1C88"/>
    <w:rsid w:val="008B45F3"/>
    <w:rsid w:val="008B5125"/>
    <w:rsid w:val="008B5F73"/>
    <w:rsid w:val="008B6FFB"/>
    <w:rsid w:val="008B7026"/>
    <w:rsid w:val="008C1BBC"/>
    <w:rsid w:val="008C2C59"/>
    <w:rsid w:val="008E27F5"/>
    <w:rsid w:val="008E3309"/>
    <w:rsid w:val="008F351A"/>
    <w:rsid w:val="008F446B"/>
    <w:rsid w:val="00912DF5"/>
    <w:rsid w:val="00921D1F"/>
    <w:rsid w:val="00923D2C"/>
    <w:rsid w:val="0092541D"/>
    <w:rsid w:val="00925C53"/>
    <w:rsid w:val="00927722"/>
    <w:rsid w:val="00933E2C"/>
    <w:rsid w:val="009340E1"/>
    <w:rsid w:val="00940946"/>
    <w:rsid w:val="00942533"/>
    <w:rsid w:val="009526E7"/>
    <w:rsid w:val="00956613"/>
    <w:rsid w:val="00960EC9"/>
    <w:rsid w:val="009631BD"/>
    <w:rsid w:val="00964321"/>
    <w:rsid w:val="00964A28"/>
    <w:rsid w:val="00965138"/>
    <w:rsid w:val="009743B6"/>
    <w:rsid w:val="00975772"/>
    <w:rsid w:val="0098112C"/>
    <w:rsid w:val="00982453"/>
    <w:rsid w:val="00982B79"/>
    <w:rsid w:val="009836FB"/>
    <w:rsid w:val="00983B47"/>
    <w:rsid w:val="009845D4"/>
    <w:rsid w:val="00984BE1"/>
    <w:rsid w:val="00993A21"/>
    <w:rsid w:val="009958A9"/>
    <w:rsid w:val="00996BC8"/>
    <w:rsid w:val="009A2A1D"/>
    <w:rsid w:val="009B16DB"/>
    <w:rsid w:val="009B49BC"/>
    <w:rsid w:val="009B7A35"/>
    <w:rsid w:val="009C2689"/>
    <w:rsid w:val="009C3BFB"/>
    <w:rsid w:val="009C63C3"/>
    <w:rsid w:val="009C7EB9"/>
    <w:rsid w:val="009D0DA8"/>
    <w:rsid w:val="009D1508"/>
    <w:rsid w:val="009D2B30"/>
    <w:rsid w:val="009D5560"/>
    <w:rsid w:val="009E0526"/>
    <w:rsid w:val="009E41BC"/>
    <w:rsid w:val="009E4285"/>
    <w:rsid w:val="009E5C54"/>
    <w:rsid w:val="009E7E90"/>
    <w:rsid w:val="009F19AF"/>
    <w:rsid w:val="009F1A53"/>
    <w:rsid w:val="009F584C"/>
    <w:rsid w:val="009F6482"/>
    <w:rsid w:val="009F70E6"/>
    <w:rsid w:val="009F713C"/>
    <w:rsid w:val="009F7B85"/>
    <w:rsid w:val="00A01CC0"/>
    <w:rsid w:val="00A04C5C"/>
    <w:rsid w:val="00A04FD6"/>
    <w:rsid w:val="00A06969"/>
    <w:rsid w:val="00A0751C"/>
    <w:rsid w:val="00A14E79"/>
    <w:rsid w:val="00A162C4"/>
    <w:rsid w:val="00A20C29"/>
    <w:rsid w:val="00A256E1"/>
    <w:rsid w:val="00A27F6B"/>
    <w:rsid w:val="00A31DF6"/>
    <w:rsid w:val="00A36088"/>
    <w:rsid w:val="00A36565"/>
    <w:rsid w:val="00A3697C"/>
    <w:rsid w:val="00A40235"/>
    <w:rsid w:val="00A42E11"/>
    <w:rsid w:val="00A52DE0"/>
    <w:rsid w:val="00A5345E"/>
    <w:rsid w:val="00A5356A"/>
    <w:rsid w:val="00A5548B"/>
    <w:rsid w:val="00A62310"/>
    <w:rsid w:val="00A65307"/>
    <w:rsid w:val="00A668C5"/>
    <w:rsid w:val="00A7070F"/>
    <w:rsid w:val="00A70B08"/>
    <w:rsid w:val="00A72765"/>
    <w:rsid w:val="00A74438"/>
    <w:rsid w:val="00A76488"/>
    <w:rsid w:val="00A7669F"/>
    <w:rsid w:val="00A777B1"/>
    <w:rsid w:val="00A77A31"/>
    <w:rsid w:val="00A8087B"/>
    <w:rsid w:val="00A80D0E"/>
    <w:rsid w:val="00A836F9"/>
    <w:rsid w:val="00A85511"/>
    <w:rsid w:val="00A86E9F"/>
    <w:rsid w:val="00A926CC"/>
    <w:rsid w:val="00AA684A"/>
    <w:rsid w:val="00AA7758"/>
    <w:rsid w:val="00AB0B55"/>
    <w:rsid w:val="00AC0EBE"/>
    <w:rsid w:val="00AC1853"/>
    <w:rsid w:val="00AC3D0E"/>
    <w:rsid w:val="00AC538E"/>
    <w:rsid w:val="00AE101B"/>
    <w:rsid w:val="00AE752A"/>
    <w:rsid w:val="00AF0644"/>
    <w:rsid w:val="00AF19D3"/>
    <w:rsid w:val="00AF25F0"/>
    <w:rsid w:val="00AF5A91"/>
    <w:rsid w:val="00B00AFB"/>
    <w:rsid w:val="00B01727"/>
    <w:rsid w:val="00B019FB"/>
    <w:rsid w:val="00B03636"/>
    <w:rsid w:val="00B103D8"/>
    <w:rsid w:val="00B14477"/>
    <w:rsid w:val="00B1642F"/>
    <w:rsid w:val="00B20951"/>
    <w:rsid w:val="00B21347"/>
    <w:rsid w:val="00B2226C"/>
    <w:rsid w:val="00B2267F"/>
    <w:rsid w:val="00B25022"/>
    <w:rsid w:val="00B33CC3"/>
    <w:rsid w:val="00B35F95"/>
    <w:rsid w:val="00B41880"/>
    <w:rsid w:val="00B43474"/>
    <w:rsid w:val="00B44A3A"/>
    <w:rsid w:val="00B44ADA"/>
    <w:rsid w:val="00B471AF"/>
    <w:rsid w:val="00B4734C"/>
    <w:rsid w:val="00B55C79"/>
    <w:rsid w:val="00B5767E"/>
    <w:rsid w:val="00B605C3"/>
    <w:rsid w:val="00B643DF"/>
    <w:rsid w:val="00B67F10"/>
    <w:rsid w:val="00B71943"/>
    <w:rsid w:val="00B82C01"/>
    <w:rsid w:val="00B835C9"/>
    <w:rsid w:val="00B84F5A"/>
    <w:rsid w:val="00B850EB"/>
    <w:rsid w:val="00B875F7"/>
    <w:rsid w:val="00B90291"/>
    <w:rsid w:val="00B9459C"/>
    <w:rsid w:val="00B96FAD"/>
    <w:rsid w:val="00BA570C"/>
    <w:rsid w:val="00BB2DB8"/>
    <w:rsid w:val="00BB5981"/>
    <w:rsid w:val="00BC2EDF"/>
    <w:rsid w:val="00BC5801"/>
    <w:rsid w:val="00BC5E12"/>
    <w:rsid w:val="00BC7AC3"/>
    <w:rsid w:val="00BD2405"/>
    <w:rsid w:val="00BD5735"/>
    <w:rsid w:val="00BD5BEB"/>
    <w:rsid w:val="00BE0791"/>
    <w:rsid w:val="00BE3584"/>
    <w:rsid w:val="00BE3AE0"/>
    <w:rsid w:val="00BE43A8"/>
    <w:rsid w:val="00BE6299"/>
    <w:rsid w:val="00BF0D3E"/>
    <w:rsid w:val="00C00F18"/>
    <w:rsid w:val="00C01866"/>
    <w:rsid w:val="00C02887"/>
    <w:rsid w:val="00C02A07"/>
    <w:rsid w:val="00C036E8"/>
    <w:rsid w:val="00C0462B"/>
    <w:rsid w:val="00C04C89"/>
    <w:rsid w:val="00C138D0"/>
    <w:rsid w:val="00C158A1"/>
    <w:rsid w:val="00C2013E"/>
    <w:rsid w:val="00C223E0"/>
    <w:rsid w:val="00C25D76"/>
    <w:rsid w:val="00C26474"/>
    <w:rsid w:val="00C32480"/>
    <w:rsid w:val="00C34D12"/>
    <w:rsid w:val="00C410DB"/>
    <w:rsid w:val="00C43018"/>
    <w:rsid w:val="00C43255"/>
    <w:rsid w:val="00C43FE0"/>
    <w:rsid w:val="00C45A8D"/>
    <w:rsid w:val="00C45F1E"/>
    <w:rsid w:val="00C46A5F"/>
    <w:rsid w:val="00C5321A"/>
    <w:rsid w:val="00C57E5A"/>
    <w:rsid w:val="00C600B5"/>
    <w:rsid w:val="00C62D7A"/>
    <w:rsid w:val="00C63945"/>
    <w:rsid w:val="00C65BB7"/>
    <w:rsid w:val="00C7261F"/>
    <w:rsid w:val="00C7373A"/>
    <w:rsid w:val="00C74420"/>
    <w:rsid w:val="00C74C48"/>
    <w:rsid w:val="00C76E2A"/>
    <w:rsid w:val="00C7753A"/>
    <w:rsid w:val="00C821D8"/>
    <w:rsid w:val="00C8316E"/>
    <w:rsid w:val="00C8554C"/>
    <w:rsid w:val="00C85998"/>
    <w:rsid w:val="00C908BA"/>
    <w:rsid w:val="00C90EAB"/>
    <w:rsid w:val="00C90F92"/>
    <w:rsid w:val="00C91999"/>
    <w:rsid w:val="00C951C9"/>
    <w:rsid w:val="00C95F32"/>
    <w:rsid w:val="00C9601A"/>
    <w:rsid w:val="00C96BB8"/>
    <w:rsid w:val="00CA0EA6"/>
    <w:rsid w:val="00CA6113"/>
    <w:rsid w:val="00CA6896"/>
    <w:rsid w:val="00CB546B"/>
    <w:rsid w:val="00CB69BB"/>
    <w:rsid w:val="00CB776E"/>
    <w:rsid w:val="00CD0E52"/>
    <w:rsid w:val="00CD1016"/>
    <w:rsid w:val="00CD2A5A"/>
    <w:rsid w:val="00CD3203"/>
    <w:rsid w:val="00CD5A8F"/>
    <w:rsid w:val="00CE1104"/>
    <w:rsid w:val="00CE32CE"/>
    <w:rsid w:val="00CE3A47"/>
    <w:rsid w:val="00CE420C"/>
    <w:rsid w:val="00CE7302"/>
    <w:rsid w:val="00CF37A0"/>
    <w:rsid w:val="00CF39DF"/>
    <w:rsid w:val="00CF641F"/>
    <w:rsid w:val="00CF760E"/>
    <w:rsid w:val="00D0247B"/>
    <w:rsid w:val="00D07230"/>
    <w:rsid w:val="00D11F53"/>
    <w:rsid w:val="00D13E08"/>
    <w:rsid w:val="00D223A8"/>
    <w:rsid w:val="00D233BE"/>
    <w:rsid w:val="00D2684C"/>
    <w:rsid w:val="00D26E27"/>
    <w:rsid w:val="00D27783"/>
    <w:rsid w:val="00D32E9B"/>
    <w:rsid w:val="00D3316D"/>
    <w:rsid w:val="00D33CD3"/>
    <w:rsid w:val="00D358EB"/>
    <w:rsid w:val="00D35D71"/>
    <w:rsid w:val="00D40B89"/>
    <w:rsid w:val="00D41F5B"/>
    <w:rsid w:val="00D4526F"/>
    <w:rsid w:val="00D45B62"/>
    <w:rsid w:val="00D4605B"/>
    <w:rsid w:val="00D567F0"/>
    <w:rsid w:val="00D6431A"/>
    <w:rsid w:val="00D72800"/>
    <w:rsid w:val="00D75F94"/>
    <w:rsid w:val="00D84F7F"/>
    <w:rsid w:val="00D86302"/>
    <w:rsid w:val="00D92691"/>
    <w:rsid w:val="00D94F8A"/>
    <w:rsid w:val="00DA5EAD"/>
    <w:rsid w:val="00DA6AB6"/>
    <w:rsid w:val="00DA7613"/>
    <w:rsid w:val="00DB04E8"/>
    <w:rsid w:val="00DB122A"/>
    <w:rsid w:val="00DB1D5C"/>
    <w:rsid w:val="00DB3391"/>
    <w:rsid w:val="00DB34E3"/>
    <w:rsid w:val="00DB51C0"/>
    <w:rsid w:val="00DC0733"/>
    <w:rsid w:val="00DC0B23"/>
    <w:rsid w:val="00DC1B34"/>
    <w:rsid w:val="00DC426C"/>
    <w:rsid w:val="00DC5535"/>
    <w:rsid w:val="00DC67FE"/>
    <w:rsid w:val="00DD26C5"/>
    <w:rsid w:val="00DE11CB"/>
    <w:rsid w:val="00DE315F"/>
    <w:rsid w:val="00DE45A3"/>
    <w:rsid w:val="00DF7883"/>
    <w:rsid w:val="00DF78AA"/>
    <w:rsid w:val="00DF7C7C"/>
    <w:rsid w:val="00E009BB"/>
    <w:rsid w:val="00E0307A"/>
    <w:rsid w:val="00E034CE"/>
    <w:rsid w:val="00E11356"/>
    <w:rsid w:val="00E15611"/>
    <w:rsid w:val="00E16B0D"/>
    <w:rsid w:val="00E22508"/>
    <w:rsid w:val="00E230B5"/>
    <w:rsid w:val="00E23EC7"/>
    <w:rsid w:val="00E30E54"/>
    <w:rsid w:val="00E31A4D"/>
    <w:rsid w:val="00E33A81"/>
    <w:rsid w:val="00E417D9"/>
    <w:rsid w:val="00E47264"/>
    <w:rsid w:val="00E477FC"/>
    <w:rsid w:val="00E52B63"/>
    <w:rsid w:val="00E57650"/>
    <w:rsid w:val="00E627CE"/>
    <w:rsid w:val="00E64BB8"/>
    <w:rsid w:val="00E667F7"/>
    <w:rsid w:val="00E70428"/>
    <w:rsid w:val="00E70628"/>
    <w:rsid w:val="00E72432"/>
    <w:rsid w:val="00E73930"/>
    <w:rsid w:val="00E74948"/>
    <w:rsid w:val="00E75505"/>
    <w:rsid w:val="00E7707C"/>
    <w:rsid w:val="00E85C8F"/>
    <w:rsid w:val="00E872A6"/>
    <w:rsid w:val="00E8779B"/>
    <w:rsid w:val="00E90869"/>
    <w:rsid w:val="00E93ECF"/>
    <w:rsid w:val="00E943BD"/>
    <w:rsid w:val="00E94AAD"/>
    <w:rsid w:val="00E94E85"/>
    <w:rsid w:val="00EA35F8"/>
    <w:rsid w:val="00EA4D55"/>
    <w:rsid w:val="00EA5CD4"/>
    <w:rsid w:val="00EA77BB"/>
    <w:rsid w:val="00EB56A9"/>
    <w:rsid w:val="00EB5CC0"/>
    <w:rsid w:val="00EB6E16"/>
    <w:rsid w:val="00ED07BF"/>
    <w:rsid w:val="00ED1AB8"/>
    <w:rsid w:val="00ED1DF3"/>
    <w:rsid w:val="00EE0059"/>
    <w:rsid w:val="00EE1741"/>
    <w:rsid w:val="00EF47FB"/>
    <w:rsid w:val="00EF7C2A"/>
    <w:rsid w:val="00F029CA"/>
    <w:rsid w:val="00F06FA4"/>
    <w:rsid w:val="00F07BC0"/>
    <w:rsid w:val="00F1338E"/>
    <w:rsid w:val="00F16C2B"/>
    <w:rsid w:val="00F16DC3"/>
    <w:rsid w:val="00F25D88"/>
    <w:rsid w:val="00F26D8D"/>
    <w:rsid w:val="00F34258"/>
    <w:rsid w:val="00F34615"/>
    <w:rsid w:val="00F35FF0"/>
    <w:rsid w:val="00F36A9E"/>
    <w:rsid w:val="00F42C78"/>
    <w:rsid w:val="00F50E37"/>
    <w:rsid w:val="00F5226E"/>
    <w:rsid w:val="00F528DD"/>
    <w:rsid w:val="00F544AD"/>
    <w:rsid w:val="00F577FD"/>
    <w:rsid w:val="00F5782A"/>
    <w:rsid w:val="00F57906"/>
    <w:rsid w:val="00F602E8"/>
    <w:rsid w:val="00F60A99"/>
    <w:rsid w:val="00F61608"/>
    <w:rsid w:val="00F658F9"/>
    <w:rsid w:val="00F667C6"/>
    <w:rsid w:val="00F80B94"/>
    <w:rsid w:val="00F822A1"/>
    <w:rsid w:val="00F82A00"/>
    <w:rsid w:val="00F9176B"/>
    <w:rsid w:val="00F94557"/>
    <w:rsid w:val="00F9599C"/>
    <w:rsid w:val="00FA6320"/>
    <w:rsid w:val="00FB4895"/>
    <w:rsid w:val="00FB582A"/>
    <w:rsid w:val="00FB5870"/>
    <w:rsid w:val="00FB5EB6"/>
    <w:rsid w:val="00FB6FC1"/>
    <w:rsid w:val="00FD00D8"/>
    <w:rsid w:val="00FD2C4A"/>
    <w:rsid w:val="00FE5C95"/>
    <w:rsid w:val="00FE6213"/>
    <w:rsid w:val="00FE701E"/>
    <w:rsid w:val="00FF00B3"/>
    <w:rsid w:val="00FF36CB"/>
    <w:rsid w:val="00FF3D87"/>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paragraph" w:styleId="Kop2">
    <w:name w:val="heading 2"/>
    <w:basedOn w:val="Standaard"/>
    <w:next w:val="Standaard"/>
    <w:link w:val="Kop2Char"/>
    <w:uiPriority w:val="9"/>
    <w:unhideWhenUsed/>
    <w:qFormat/>
    <w:rsid w:val="00A36088"/>
    <w:pPr>
      <w:keepNext/>
      <w:keepLines/>
      <w:spacing w:before="40" w:line="360" w:lineRule="auto"/>
      <w:outlineLvl w:val="1"/>
    </w:pPr>
    <w:rPr>
      <w:rFonts w:asciiTheme="majorHAnsi" w:eastAsiaTheme="majorEastAsia" w:hAnsiTheme="majorHAnsi" w:cstheme="majorBidi"/>
      <w:i/>
      <w:noProof w:val="0"/>
      <w:color w:val="auto"/>
      <w:sz w:val="24"/>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Onopgelostemelding1">
    <w:name w:val="Onopgeloste melding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uiPriority w:val="99"/>
    <w:rsid w:val="00A86E9F"/>
    <w:rPr>
      <w:sz w:val="21"/>
      <w:szCs w:val="21"/>
    </w:rPr>
  </w:style>
  <w:style w:type="paragraph" w:styleId="Tekstopmerking">
    <w:name w:val="annotation text"/>
    <w:basedOn w:val="Standaard"/>
    <w:link w:val="TekstopmerkingChar"/>
    <w:uiPriority w:val="99"/>
    <w:rsid w:val="00A86E9F"/>
  </w:style>
  <w:style w:type="character" w:customStyle="1" w:styleId="TekstopmerkingChar">
    <w:name w:val="Tekst opmerking Char"/>
    <w:link w:val="Tekstopmerking"/>
    <w:uiPriority w:val="99"/>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customStyle="1" w:styleId="Onopgelostemelding2">
    <w:name w:val="Onopgeloste melding2"/>
    <w:basedOn w:val="Standaardalinea-lettertype"/>
    <w:uiPriority w:val="99"/>
    <w:semiHidden/>
    <w:unhideWhenUsed/>
    <w:rsid w:val="001E78B7"/>
    <w:rPr>
      <w:color w:val="605E5C"/>
      <w:shd w:val="clear" w:color="auto" w:fill="E1DFDD"/>
    </w:rPr>
  </w:style>
  <w:style w:type="table" w:styleId="Tabelrasterlicht">
    <w:name w:val="Grid Table Light"/>
    <w:basedOn w:val="Standaardtabel"/>
    <w:uiPriority w:val="40"/>
    <w:rsid w:val="00EF47F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2Char">
    <w:name w:val="Kop 2 Char"/>
    <w:basedOn w:val="Standaardalinea-lettertype"/>
    <w:link w:val="Kop2"/>
    <w:uiPriority w:val="9"/>
    <w:rsid w:val="00A36088"/>
    <w:rPr>
      <w:rFonts w:asciiTheme="majorHAnsi" w:eastAsiaTheme="majorEastAsia" w:hAnsiTheme="majorHAnsi" w:cstheme="majorBidi"/>
      <w:i/>
      <w:sz w:val="24"/>
      <w:szCs w:val="26"/>
      <w:lang w:eastAsia="en-US"/>
    </w:rPr>
  </w:style>
  <w:style w:type="paragraph" w:styleId="Revisie">
    <w:name w:val="Revision"/>
    <w:hidden/>
    <w:uiPriority w:val="99"/>
    <w:semiHidden/>
    <w:rsid w:val="008C1BBC"/>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semiHidden/>
    <w:unhideWhenUsed/>
    <w:rsid w:val="0007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oi.org/10.1068%2Fa4329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006/jevp.1998.010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enke.moor@han.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108/175382711111529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doi.org/10.24404/621ced6bb368a4577d49305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4.xml><?xml version="1.0" encoding="utf-8"?>
<ds:datastoreItem xmlns:ds="http://schemas.openxmlformats.org/officeDocument/2006/customXml" ds:itemID="{E07971C5-B5F1-4778-8A42-9DF51F86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6446</Words>
  <Characters>35455</Characters>
  <Application>Microsoft Office Word</Application>
  <DocSecurity>0</DocSecurity>
  <Lines>295</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3</cp:revision>
  <cp:lastPrinted>2024-04-16T08:44:00Z</cp:lastPrinted>
  <dcterms:created xsi:type="dcterms:W3CDTF">2024-04-16T08:44:00Z</dcterms:created>
  <dcterms:modified xsi:type="dcterms:W3CDTF">2024-04-16T08:51:00Z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ZOTERO_PREF_1">
    <vt:lpwstr>&lt;data data-version="3" zotero-version="6.0.4"&gt;&lt;session id="vIdy0TK5"/&gt;&lt;style id="http://www.zotero.org/styles/apa" locale="en-US" hasBibliography="1" bibliographyStyleHasBeenSet="0"/&gt;&lt;prefs&gt;&lt;pref name="fieldType" value="Field"/&gt;&lt;pref name="automaticJourna</vt:lpwstr>
  </property>
  <property fmtid="{D5CDD505-2E9C-101B-9397-08002B2CF9AE}" pid="4" name="ZOTERO_PREF_2">
    <vt:lpwstr>lAbbreviations" value="true"/&gt;&lt;/prefs&gt;&lt;/data&gt;</vt:lpwstr>
  </property>
</Properties>
</file>