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959BE" w14:textId="2CA7316A" w:rsidR="00B40059" w:rsidRPr="00D35C14" w:rsidRDefault="00B40059" w:rsidP="00B40059">
      <w:pPr>
        <w:pStyle w:val="MDPI11articletype"/>
        <w:rPr>
          <w:rFonts w:ascii="Georgia" w:eastAsiaTheme="minorEastAsia" w:hAnsi="Georgia" w:cs="Arial"/>
          <w:i w:val="0"/>
          <w:color w:val="000000" w:themeColor="text1"/>
          <w:sz w:val="18"/>
          <w:szCs w:val="18"/>
        </w:rPr>
      </w:pPr>
      <w:r w:rsidRPr="00D35C14">
        <w:rPr>
          <w:rFonts w:ascii="Georgia" w:eastAsiaTheme="minorEastAsia" w:hAnsi="Georgia" w:cs="Arial"/>
          <w:i w:val="0"/>
          <w:color w:val="000000" w:themeColor="text1"/>
          <w:sz w:val="18"/>
          <w:szCs w:val="18"/>
        </w:rPr>
        <w:t>Type of the Paper: Peer-reviewed Conference Paper / Full Paper</w:t>
      </w:r>
    </w:p>
    <w:p w14:paraId="0BF49E33" w14:textId="12600952" w:rsidR="00B40059" w:rsidRPr="00D35C14" w:rsidRDefault="00B40059" w:rsidP="00B40059">
      <w:pPr>
        <w:pStyle w:val="MDPI11articletype"/>
        <w:rPr>
          <w:rFonts w:ascii="Georgia" w:eastAsiaTheme="minorEastAsia" w:hAnsi="Georgia" w:cs="Arial"/>
          <w:i w:val="0"/>
          <w:color w:val="000000" w:themeColor="text1"/>
        </w:rPr>
      </w:pPr>
      <w:r w:rsidRPr="00D35C14">
        <w:rPr>
          <w:rFonts w:ascii="Georgia" w:eastAsiaTheme="minorEastAsia" w:hAnsi="Georgia" w:cs="Arial"/>
          <w:i w:val="0"/>
          <w:color w:val="000000" w:themeColor="text1"/>
        </w:rPr>
        <w:t>Track title: please fill in you track title here</w:t>
      </w:r>
    </w:p>
    <w:p w14:paraId="4265CBA4" w14:textId="77777777" w:rsidR="00B40059" w:rsidRPr="00D35C14" w:rsidRDefault="00B40059" w:rsidP="00B40059">
      <w:pPr>
        <w:rPr>
          <w:rFonts w:ascii="Georgia" w:eastAsiaTheme="minorEastAsia" w:hAnsi="Georgia" w:cs="Arial"/>
          <w:color w:val="000000" w:themeColor="text1"/>
          <w:lang w:eastAsia="de-DE" w:bidi="en-US"/>
        </w:rPr>
      </w:pPr>
    </w:p>
    <w:p w14:paraId="5642267F" w14:textId="77777777" w:rsidR="00B40059" w:rsidRPr="00D35C14" w:rsidRDefault="00B0046C" w:rsidP="00B0046C">
      <w:pPr>
        <w:pStyle w:val="MDPI12title"/>
        <w:spacing w:line="360" w:lineRule="auto"/>
        <w:rPr>
          <w:rFonts w:ascii="Georgia" w:eastAsiaTheme="minorEastAsia" w:hAnsi="Georgia" w:cs="Arial"/>
          <w:b w:val="0"/>
          <w:color w:val="000000" w:themeColor="text1"/>
          <w:szCs w:val="36"/>
        </w:rPr>
      </w:pPr>
      <w:r w:rsidRPr="00B0046C">
        <w:rPr>
          <w:rFonts w:ascii="Georgia" w:eastAsiaTheme="minorEastAsia" w:hAnsi="Georgia" w:cs="Arial"/>
          <w:b w:val="0"/>
          <w:color w:val="000000" w:themeColor="text1"/>
          <w:szCs w:val="36"/>
        </w:rPr>
        <w:t>The association between the shape of Long-Term Care Units and residents’ wellbeing</w:t>
      </w:r>
      <w:r w:rsidR="00B40059" w:rsidRPr="00D35C14">
        <w:rPr>
          <w:rFonts w:ascii="Georgia" w:eastAsiaTheme="minorEastAsia" w:hAnsi="Georgia" w:cs="Arial"/>
          <w:b w:val="0"/>
          <w:color w:val="000000" w:themeColor="text1"/>
          <w:szCs w:val="36"/>
        </w:rPr>
        <w:t xml:space="preserve"> </w:t>
      </w:r>
    </w:p>
    <w:p w14:paraId="42CBC0C3" w14:textId="77777777" w:rsidR="00B40059" w:rsidRPr="00D35C14" w:rsidRDefault="00B40059" w:rsidP="00B40059">
      <w:pPr>
        <w:pStyle w:val="MDPI13authornames"/>
        <w:rPr>
          <w:rFonts w:ascii="Georgia" w:eastAsiaTheme="minorEastAsia" w:hAnsi="Georgia" w:cs="Arial"/>
          <w:b w:val="0"/>
          <w:color w:val="000000" w:themeColor="text1"/>
          <w:szCs w:val="20"/>
        </w:rPr>
      </w:pPr>
      <w:r w:rsidRPr="00D35C14">
        <w:rPr>
          <w:rFonts w:ascii="Georgia" w:eastAsiaTheme="minorEastAsia" w:hAnsi="Georgia" w:cs="Arial"/>
          <w:b w:val="0"/>
          <w:color w:val="000000" w:themeColor="text1"/>
          <w:szCs w:val="20"/>
        </w:rPr>
        <w:t>*Yifat Rom</w:t>
      </w:r>
      <w:r w:rsidRPr="00D35C14">
        <w:rPr>
          <w:rFonts w:ascii="Georgia" w:eastAsiaTheme="minorEastAsia" w:hAnsi="Georgia" w:cs="Arial"/>
          <w:b w:val="0"/>
          <w:color w:val="000000" w:themeColor="text1"/>
          <w:szCs w:val="20"/>
          <w:vertAlign w:val="superscript"/>
        </w:rPr>
        <w:t>1</w:t>
      </w:r>
      <w:r w:rsidRPr="00D35C14">
        <w:rPr>
          <w:rFonts w:ascii="Georgia" w:eastAsiaTheme="minorEastAsia" w:hAnsi="Georgia" w:cs="Arial"/>
          <w:b w:val="0"/>
          <w:color w:val="000000" w:themeColor="text1"/>
          <w:szCs w:val="20"/>
        </w:rPr>
        <w:t>, Yuval Palgi</w:t>
      </w:r>
      <w:r w:rsidRPr="00D35C14">
        <w:rPr>
          <w:rFonts w:ascii="Georgia" w:eastAsiaTheme="minorEastAsia" w:hAnsi="Georgia" w:cs="Arial"/>
          <w:b w:val="0"/>
          <w:color w:val="000000" w:themeColor="text1"/>
          <w:szCs w:val="20"/>
          <w:vertAlign w:val="superscript"/>
        </w:rPr>
        <w:t>2</w:t>
      </w:r>
      <w:r w:rsidRPr="00D35C14">
        <w:rPr>
          <w:rFonts w:ascii="Georgia" w:eastAsiaTheme="minorEastAsia" w:hAnsi="Georgia" w:cs="Arial"/>
          <w:b w:val="0"/>
          <w:color w:val="000000" w:themeColor="text1"/>
          <w:szCs w:val="20"/>
        </w:rPr>
        <w:t>, Eliyahu Greenberg</w:t>
      </w:r>
      <w:r w:rsidRPr="00D35C14">
        <w:rPr>
          <w:rFonts w:ascii="Georgia" w:eastAsiaTheme="minorEastAsia" w:hAnsi="Georgia" w:cs="Arial"/>
          <w:b w:val="0"/>
          <w:color w:val="000000" w:themeColor="text1"/>
          <w:szCs w:val="20"/>
          <w:vertAlign w:val="superscript"/>
        </w:rPr>
        <w:t>3</w:t>
      </w:r>
      <w:r w:rsidRPr="00D35C14">
        <w:rPr>
          <w:rFonts w:ascii="Georgia" w:eastAsiaTheme="minorEastAsia" w:hAnsi="Georgia" w:cs="Arial"/>
          <w:b w:val="0"/>
          <w:color w:val="000000" w:themeColor="text1"/>
          <w:szCs w:val="20"/>
        </w:rPr>
        <w:t>, *Michal Isaacson</w:t>
      </w:r>
      <w:r w:rsidRPr="00D35C14">
        <w:rPr>
          <w:rFonts w:ascii="Georgia" w:eastAsiaTheme="minorEastAsia" w:hAnsi="Georgia" w:cs="Arial"/>
          <w:b w:val="0"/>
          <w:color w:val="000000" w:themeColor="text1"/>
          <w:szCs w:val="20"/>
          <w:vertAlign w:val="superscript"/>
        </w:rPr>
        <w:t>4</w:t>
      </w:r>
    </w:p>
    <w:tbl>
      <w:tblPr>
        <w:tblpPr w:leftFromText="198" w:rightFromText="198" w:vertAnchor="page" w:horzAnchor="margin" w:tblpY="9286"/>
        <w:tblW w:w="2410" w:type="dxa"/>
        <w:tblLayout w:type="fixed"/>
        <w:tblCellMar>
          <w:left w:w="0" w:type="dxa"/>
          <w:right w:w="0" w:type="dxa"/>
        </w:tblCellMar>
        <w:tblLook w:val="04A0" w:firstRow="1" w:lastRow="0" w:firstColumn="1" w:lastColumn="0" w:noHBand="0" w:noVBand="1"/>
      </w:tblPr>
      <w:tblGrid>
        <w:gridCol w:w="2410"/>
      </w:tblGrid>
      <w:tr w:rsidR="00B40059" w:rsidRPr="00D35C14" w14:paraId="644C7779" w14:textId="77777777" w:rsidTr="00D87A3F">
        <w:tc>
          <w:tcPr>
            <w:tcW w:w="2410" w:type="dxa"/>
            <w:shd w:val="clear" w:color="auto" w:fill="auto"/>
          </w:tcPr>
          <w:p w14:paraId="1DAEBE87" w14:textId="77777777" w:rsidR="00B40059" w:rsidRPr="00D35C14" w:rsidRDefault="00B40059" w:rsidP="00D87A3F">
            <w:pPr>
              <w:spacing w:line="240" w:lineRule="auto"/>
              <w:jc w:val="left"/>
              <w:rPr>
                <w:rFonts w:ascii="Georgia" w:eastAsiaTheme="minorEastAsia" w:hAnsi="Georgia" w:cs="Arial"/>
                <w:b/>
                <w:bCs/>
                <w:noProof w:val="0"/>
                <w:color w:val="000000" w:themeColor="text1"/>
                <w:sz w:val="14"/>
                <w:szCs w:val="14"/>
              </w:rPr>
            </w:pPr>
            <w:r w:rsidRPr="00D35C14">
              <w:rPr>
                <w:rFonts w:ascii="Georgia" w:eastAsiaTheme="minorEastAsia" w:hAnsi="Georgia" w:cs="Arial"/>
                <w:b/>
                <w:bCs/>
                <w:noProof w:val="0"/>
                <w:color w:val="000000" w:themeColor="text1"/>
                <w:sz w:val="14"/>
                <w:szCs w:val="14"/>
              </w:rPr>
              <w:t xml:space="preserve">Names of the track editors: </w:t>
            </w:r>
          </w:p>
          <w:p w14:paraId="6B7728E6" w14:textId="4DB0C34D" w:rsidR="00B40059" w:rsidRPr="00D35C14" w:rsidRDefault="00075D77" w:rsidP="00D87A3F">
            <w:pPr>
              <w:adjustRightInd w:val="0"/>
              <w:snapToGrid w:val="0"/>
              <w:spacing w:line="240" w:lineRule="auto"/>
              <w:jc w:val="left"/>
              <w:rPr>
                <w:rFonts w:ascii="Georgia" w:eastAsiaTheme="minorEastAsia" w:hAnsi="Georgia" w:cs="Arial"/>
                <w:noProof w:val="0"/>
                <w:color w:val="000000" w:themeColor="text1"/>
                <w:sz w:val="14"/>
                <w:szCs w:val="22"/>
              </w:rPr>
            </w:pPr>
            <w:r>
              <w:rPr>
                <w:rFonts w:ascii="Georgia" w:eastAsiaTheme="minorEastAsia" w:hAnsi="Georgia" w:cs="Arial"/>
                <w:noProof w:val="0"/>
                <w:color w:val="000000" w:themeColor="text1"/>
                <w:sz w:val="14"/>
                <w:szCs w:val="22"/>
              </w:rPr>
              <w:t>Clarine van Oel</w:t>
            </w:r>
          </w:p>
          <w:p w14:paraId="55690274" w14:textId="77777777" w:rsidR="00B40059" w:rsidRPr="00D35C14" w:rsidRDefault="00B40059" w:rsidP="00D87A3F">
            <w:pPr>
              <w:spacing w:line="240" w:lineRule="auto"/>
              <w:jc w:val="left"/>
              <w:rPr>
                <w:rFonts w:ascii="Georgia" w:eastAsiaTheme="minorEastAsia" w:hAnsi="Georgia" w:cs="Arial"/>
                <w:b/>
                <w:bCs/>
                <w:noProof w:val="0"/>
                <w:color w:val="000000" w:themeColor="text1"/>
                <w:sz w:val="14"/>
                <w:szCs w:val="14"/>
              </w:rPr>
            </w:pPr>
            <w:r w:rsidRPr="00D35C14">
              <w:rPr>
                <w:rFonts w:ascii="Georgia" w:eastAsiaTheme="minorEastAsia" w:hAnsi="Georgia" w:cs="Arial"/>
                <w:b/>
                <w:bCs/>
                <w:noProof w:val="0"/>
                <w:color w:val="000000" w:themeColor="text1"/>
                <w:sz w:val="14"/>
                <w:szCs w:val="14"/>
              </w:rPr>
              <w:t xml:space="preserve">Names of the reviewers: </w:t>
            </w:r>
          </w:p>
          <w:p w14:paraId="38900292" w14:textId="24EA655D" w:rsidR="00B40059" w:rsidRPr="00D35C14" w:rsidRDefault="00075D77" w:rsidP="00D87A3F">
            <w:pPr>
              <w:adjustRightInd w:val="0"/>
              <w:snapToGrid w:val="0"/>
              <w:spacing w:line="240" w:lineRule="auto"/>
              <w:jc w:val="left"/>
              <w:rPr>
                <w:rFonts w:ascii="Georgia" w:eastAsiaTheme="minorEastAsia" w:hAnsi="Georgia" w:cs="Arial"/>
                <w:noProof w:val="0"/>
                <w:color w:val="000000" w:themeColor="text1"/>
                <w:sz w:val="14"/>
                <w:szCs w:val="22"/>
              </w:rPr>
            </w:pPr>
            <w:r>
              <w:rPr>
                <w:rFonts w:ascii="Georgia" w:eastAsiaTheme="minorEastAsia" w:hAnsi="Georgia" w:cs="Arial"/>
                <w:noProof w:val="0"/>
                <w:color w:val="000000" w:themeColor="text1"/>
                <w:sz w:val="14"/>
                <w:szCs w:val="22"/>
              </w:rPr>
              <w:t>Malavika Nair</w:t>
            </w:r>
          </w:p>
          <w:p w14:paraId="07BF5A22" w14:textId="0F6257D7" w:rsidR="00B40059" w:rsidRPr="00D35C14" w:rsidRDefault="00075D77" w:rsidP="00D87A3F">
            <w:pPr>
              <w:adjustRightInd w:val="0"/>
              <w:snapToGrid w:val="0"/>
              <w:spacing w:line="240" w:lineRule="auto"/>
              <w:jc w:val="left"/>
              <w:rPr>
                <w:rFonts w:ascii="Georgia" w:eastAsiaTheme="minorEastAsia" w:hAnsi="Georgia" w:cs="Arial"/>
                <w:noProof w:val="0"/>
                <w:color w:val="000000" w:themeColor="text1"/>
                <w:sz w:val="14"/>
                <w:szCs w:val="22"/>
              </w:rPr>
            </w:pPr>
            <w:r>
              <w:rPr>
                <w:rFonts w:ascii="Georgia" w:eastAsiaTheme="minorEastAsia" w:hAnsi="Georgia" w:cs="Arial"/>
                <w:noProof w:val="0"/>
                <w:color w:val="000000" w:themeColor="text1"/>
                <w:sz w:val="14"/>
                <w:szCs w:val="22"/>
              </w:rPr>
              <w:t>Ira Verma</w:t>
            </w:r>
          </w:p>
          <w:p w14:paraId="52F17B94" w14:textId="77777777" w:rsidR="00B40059" w:rsidRPr="00D35C14" w:rsidRDefault="00B40059" w:rsidP="00D87A3F">
            <w:pPr>
              <w:spacing w:line="240" w:lineRule="auto"/>
              <w:jc w:val="left"/>
              <w:rPr>
                <w:rFonts w:ascii="Georgia" w:eastAsiaTheme="minorEastAsia" w:hAnsi="Georgia" w:cs="Arial"/>
                <w:noProof w:val="0"/>
                <w:color w:val="000000" w:themeColor="text1"/>
                <w:sz w:val="14"/>
                <w:szCs w:val="22"/>
              </w:rPr>
            </w:pPr>
            <w:r w:rsidRPr="00D35C14">
              <w:rPr>
                <w:rFonts w:ascii="Georgia" w:eastAsiaTheme="minorEastAsia" w:hAnsi="Georgia" w:cs="Arial"/>
                <w:b/>
                <w:noProof w:val="0"/>
                <w:color w:val="000000" w:themeColor="text1"/>
                <w:sz w:val="14"/>
                <w:szCs w:val="22"/>
              </w:rPr>
              <w:t>Journal:</w:t>
            </w:r>
            <w:r w:rsidRPr="00D35C14">
              <w:rPr>
                <w:rFonts w:ascii="Georgia" w:eastAsiaTheme="minorEastAsia" w:hAnsi="Georgia" w:cs="Arial"/>
                <w:noProof w:val="0"/>
                <w:color w:val="000000" w:themeColor="text1"/>
                <w:sz w:val="14"/>
                <w:szCs w:val="22"/>
              </w:rPr>
              <w:t xml:space="preserve"> </w:t>
            </w:r>
            <w:r w:rsidRPr="00D35C14">
              <w:rPr>
                <w:rFonts w:ascii="Georgia" w:eastAsiaTheme="minorEastAsia" w:hAnsi="Georgia" w:cs="Arial"/>
                <w:color w:val="000000" w:themeColor="text1"/>
                <w:sz w:val="14"/>
                <w:szCs w:val="22"/>
              </w:rPr>
              <w:t>The Evolving Scholar </w:t>
            </w:r>
          </w:p>
          <w:p w14:paraId="5841739B" w14:textId="554F01D5" w:rsidR="00B40059" w:rsidRDefault="00B40059" w:rsidP="00D87A3F">
            <w:pPr>
              <w:pStyle w:val="MDPI14history"/>
              <w:rPr>
                <w:rFonts w:ascii="Georgia" w:eastAsiaTheme="minorEastAsia" w:hAnsi="Georgia" w:cs="Arial"/>
                <w:color w:val="000000" w:themeColor="text1"/>
                <w:szCs w:val="22"/>
                <w:lang w:eastAsia="zh-CN" w:bidi="ar-SA"/>
              </w:rPr>
            </w:pPr>
            <w:r w:rsidRPr="00D35C14">
              <w:rPr>
                <w:rFonts w:ascii="Georgia" w:eastAsiaTheme="minorEastAsia" w:hAnsi="Georgia" w:cs="Arial"/>
                <w:b/>
                <w:color w:val="000000" w:themeColor="text1"/>
              </w:rPr>
              <w:t>DOI:</w:t>
            </w:r>
            <w:r w:rsidRPr="00D35C14">
              <w:rPr>
                <w:rFonts w:ascii="Georgia" w:eastAsiaTheme="minorEastAsia" w:hAnsi="Georgia" w:cs="Arial"/>
                <w:color w:val="000000" w:themeColor="text1"/>
              </w:rPr>
              <w:t xml:space="preserve"> </w:t>
            </w:r>
            <w:r w:rsidR="00075D77">
              <w:t xml:space="preserve"> </w:t>
            </w:r>
            <w:hyperlink r:id="rId11" w:history="1">
              <w:r w:rsidR="00075D77" w:rsidRPr="007E5B61">
                <w:rPr>
                  <w:rStyle w:val="Hyperlink"/>
                  <w:rFonts w:ascii="Georgia" w:eastAsiaTheme="minorEastAsia" w:hAnsi="Georgia" w:cs="Arial"/>
                  <w:szCs w:val="22"/>
                  <w:lang w:eastAsia="zh-CN" w:bidi="ar-SA"/>
                </w:rPr>
                <w:t>https://doi.org/10.24404/62257f1976cff8c5d2559df3</w:t>
              </w:r>
            </w:hyperlink>
          </w:p>
          <w:p w14:paraId="61FCEAA8" w14:textId="379076A7" w:rsidR="00B40059" w:rsidRPr="00D35C14" w:rsidRDefault="00B40059" w:rsidP="00D87A3F">
            <w:pPr>
              <w:pStyle w:val="MDPI14history"/>
              <w:rPr>
                <w:rFonts w:ascii="Georgia" w:eastAsiaTheme="minorEastAsia" w:hAnsi="Georgia" w:cs="Arial"/>
                <w:color w:val="000000" w:themeColor="text1"/>
              </w:rPr>
            </w:pPr>
            <w:r w:rsidRPr="00D35C14">
              <w:rPr>
                <w:rFonts w:ascii="Georgia" w:eastAsiaTheme="minorEastAsia" w:hAnsi="Georgia" w:cs="Arial"/>
                <w:color w:val="000000" w:themeColor="text1"/>
                <w:szCs w:val="14"/>
              </w:rPr>
              <w:t>Submitted: 0</w:t>
            </w:r>
            <w:r w:rsidR="00075D77">
              <w:rPr>
                <w:rFonts w:ascii="Georgia" w:eastAsiaTheme="minorEastAsia" w:hAnsi="Georgia" w:cs="Arial"/>
                <w:color w:val="000000" w:themeColor="text1"/>
                <w:szCs w:val="14"/>
              </w:rPr>
              <w:t>7</w:t>
            </w:r>
            <w:r w:rsidRPr="00D35C14">
              <w:rPr>
                <w:rFonts w:ascii="Georgia" w:eastAsiaTheme="minorEastAsia" w:hAnsi="Georgia" w:cs="Arial"/>
                <w:color w:val="000000" w:themeColor="text1"/>
                <w:szCs w:val="14"/>
              </w:rPr>
              <w:t xml:space="preserve"> </w:t>
            </w:r>
            <w:r w:rsidR="00075D77">
              <w:rPr>
                <w:rFonts w:ascii="Georgia" w:eastAsiaTheme="minorEastAsia" w:hAnsi="Georgia" w:cs="Arial"/>
                <w:color w:val="000000" w:themeColor="text1"/>
                <w:szCs w:val="14"/>
              </w:rPr>
              <w:t xml:space="preserve">March </w:t>
            </w:r>
            <w:r w:rsidRPr="00D35C14">
              <w:rPr>
                <w:rFonts w:ascii="Georgia" w:eastAsiaTheme="minorEastAsia" w:hAnsi="Georgia" w:cs="Arial"/>
                <w:color w:val="000000" w:themeColor="text1"/>
                <w:szCs w:val="14"/>
              </w:rPr>
              <w:t>202</w:t>
            </w:r>
            <w:r w:rsidR="00075D77">
              <w:rPr>
                <w:rFonts w:ascii="Georgia" w:eastAsiaTheme="minorEastAsia" w:hAnsi="Georgia" w:cs="Arial"/>
                <w:color w:val="000000" w:themeColor="text1"/>
                <w:szCs w:val="14"/>
              </w:rPr>
              <w:t>2</w:t>
            </w:r>
            <w:r w:rsidRPr="00D35C14">
              <w:rPr>
                <w:rFonts w:ascii="Georgia" w:eastAsiaTheme="minorEastAsia" w:hAnsi="Georgia" w:cs="Arial"/>
                <w:color w:val="000000" w:themeColor="text1"/>
                <w:szCs w:val="14"/>
              </w:rPr>
              <w:t xml:space="preserve"> </w:t>
            </w:r>
          </w:p>
          <w:p w14:paraId="3EC317B5" w14:textId="7A33F7EE" w:rsidR="00B40059" w:rsidRPr="00D35C14" w:rsidRDefault="00B40059" w:rsidP="00D87A3F">
            <w:pPr>
              <w:pStyle w:val="MDPI14history"/>
              <w:rPr>
                <w:rFonts w:ascii="Georgia" w:eastAsiaTheme="minorEastAsia" w:hAnsi="Georgia" w:cs="Arial"/>
                <w:color w:val="000000" w:themeColor="text1"/>
                <w:szCs w:val="14"/>
              </w:rPr>
            </w:pPr>
            <w:r w:rsidRPr="00D35C14">
              <w:rPr>
                <w:rFonts w:ascii="Georgia" w:eastAsiaTheme="minorEastAsia" w:hAnsi="Georgia" w:cs="Arial"/>
                <w:color w:val="000000" w:themeColor="text1"/>
                <w:szCs w:val="14"/>
              </w:rPr>
              <w:t xml:space="preserve">Accepted: </w:t>
            </w:r>
            <w:r w:rsidR="00075D77">
              <w:rPr>
                <w:rFonts w:ascii="Georgia" w:eastAsiaTheme="minorEastAsia" w:hAnsi="Georgia" w:cs="Arial"/>
                <w:color w:val="000000" w:themeColor="text1"/>
                <w:szCs w:val="14"/>
              </w:rPr>
              <w:t>22</w:t>
            </w:r>
            <w:r w:rsidRPr="00D35C14">
              <w:rPr>
                <w:rFonts w:ascii="Georgia" w:eastAsiaTheme="minorEastAsia" w:hAnsi="Georgia" w:cs="Arial"/>
                <w:color w:val="000000" w:themeColor="text1"/>
                <w:szCs w:val="14"/>
              </w:rPr>
              <w:t xml:space="preserve"> </w:t>
            </w:r>
            <w:r w:rsidR="00075D77">
              <w:rPr>
                <w:rFonts w:ascii="Georgia" w:eastAsiaTheme="minorEastAsia" w:hAnsi="Georgia" w:cs="Arial"/>
                <w:color w:val="000000" w:themeColor="text1"/>
                <w:szCs w:val="14"/>
              </w:rPr>
              <w:t xml:space="preserve">August </w:t>
            </w:r>
            <w:r w:rsidRPr="00D35C14">
              <w:rPr>
                <w:rFonts w:ascii="Georgia" w:eastAsiaTheme="minorEastAsia" w:hAnsi="Georgia" w:cs="Arial"/>
                <w:color w:val="000000" w:themeColor="text1"/>
                <w:szCs w:val="14"/>
              </w:rPr>
              <w:t>202</w:t>
            </w:r>
            <w:r w:rsidR="00075D77">
              <w:rPr>
                <w:rFonts w:ascii="Georgia" w:eastAsiaTheme="minorEastAsia" w:hAnsi="Georgia" w:cs="Arial"/>
                <w:color w:val="000000" w:themeColor="text1"/>
                <w:szCs w:val="14"/>
              </w:rPr>
              <w:t>2</w:t>
            </w:r>
          </w:p>
          <w:p w14:paraId="5D714B13" w14:textId="00DD82B9" w:rsidR="00B40059" w:rsidRPr="00D35C14" w:rsidRDefault="00B40059" w:rsidP="00D87A3F">
            <w:pPr>
              <w:pStyle w:val="MDPI14history"/>
              <w:spacing w:after="240"/>
              <w:rPr>
                <w:rFonts w:ascii="Georgia" w:eastAsiaTheme="minorEastAsia" w:hAnsi="Georgia" w:cs="Arial"/>
                <w:color w:val="000000" w:themeColor="text1"/>
                <w:szCs w:val="14"/>
              </w:rPr>
            </w:pPr>
            <w:r w:rsidRPr="00D35C14">
              <w:rPr>
                <w:rFonts w:ascii="Georgia" w:eastAsiaTheme="minorEastAsia" w:hAnsi="Georgia" w:cs="Arial"/>
                <w:color w:val="000000" w:themeColor="text1"/>
                <w:szCs w:val="14"/>
              </w:rPr>
              <w:t xml:space="preserve">Published: </w:t>
            </w:r>
            <w:r w:rsidR="00075D77">
              <w:rPr>
                <w:rFonts w:ascii="Georgia" w:eastAsiaTheme="minorEastAsia" w:hAnsi="Georgia" w:cs="Arial"/>
                <w:color w:val="000000" w:themeColor="text1"/>
                <w:szCs w:val="14"/>
              </w:rPr>
              <w:t>20</w:t>
            </w:r>
            <w:r w:rsidRPr="00D35C14">
              <w:rPr>
                <w:rFonts w:ascii="Georgia" w:eastAsiaTheme="minorEastAsia" w:hAnsi="Georgia" w:cs="Arial"/>
                <w:color w:val="000000" w:themeColor="text1"/>
                <w:szCs w:val="14"/>
              </w:rPr>
              <w:t xml:space="preserve"> </w:t>
            </w:r>
            <w:r w:rsidR="00075D77">
              <w:rPr>
                <w:rFonts w:ascii="Georgia" w:eastAsiaTheme="minorEastAsia" w:hAnsi="Georgia" w:cs="Arial"/>
                <w:color w:val="000000" w:themeColor="text1"/>
                <w:szCs w:val="14"/>
              </w:rPr>
              <w:t xml:space="preserve">November </w:t>
            </w:r>
            <w:r w:rsidRPr="00D35C14">
              <w:rPr>
                <w:rFonts w:ascii="Georgia" w:eastAsiaTheme="minorEastAsia" w:hAnsi="Georgia" w:cs="Arial"/>
                <w:color w:val="000000" w:themeColor="text1"/>
                <w:szCs w:val="14"/>
              </w:rPr>
              <w:t>202</w:t>
            </w:r>
            <w:r w:rsidR="00075D77">
              <w:rPr>
                <w:rFonts w:ascii="Georgia" w:eastAsiaTheme="minorEastAsia" w:hAnsi="Georgia" w:cs="Arial"/>
                <w:color w:val="000000" w:themeColor="text1"/>
                <w:szCs w:val="14"/>
              </w:rPr>
              <w:t>3</w:t>
            </w:r>
          </w:p>
          <w:p w14:paraId="5E5A0D50" w14:textId="5AFCCE6F" w:rsidR="00B40059" w:rsidRPr="00C125CF" w:rsidRDefault="00B40059" w:rsidP="00D87A3F">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rPr>
            </w:pPr>
            <w:r w:rsidRPr="00C125CF">
              <w:rPr>
                <w:rStyle w:val="normaltextrun"/>
                <w:rFonts w:ascii="Georgia" w:eastAsiaTheme="minorEastAsia" w:hAnsi="Georgia" w:cs="Arial"/>
                <w:color w:val="000000" w:themeColor="text1"/>
                <w:sz w:val="14"/>
                <w:szCs w:val="14"/>
              </w:rPr>
              <w:t>Citation</w:t>
            </w:r>
            <w:r w:rsidR="00075D77" w:rsidRPr="00C125CF">
              <w:rPr>
                <w:rStyle w:val="normaltextrun"/>
                <w:rFonts w:ascii="Georgia" w:eastAsiaTheme="minorEastAsia" w:hAnsi="Georgia" w:cs="Arial"/>
                <w:color w:val="000000" w:themeColor="text1"/>
                <w:sz w:val="14"/>
                <w:szCs w:val="14"/>
              </w:rPr>
              <w:t xml:space="preserve">: </w:t>
            </w:r>
            <w:r w:rsidR="00075D77" w:rsidRPr="00C125CF">
              <w:t xml:space="preserve"> </w:t>
            </w:r>
            <w:r w:rsidR="00075D77" w:rsidRPr="00C125CF">
              <w:rPr>
                <w:rStyle w:val="normaltextrun"/>
                <w:rFonts w:ascii="Georgia" w:eastAsiaTheme="minorEastAsia" w:hAnsi="Georgia" w:cs="Arial"/>
                <w:color w:val="000000" w:themeColor="text1"/>
                <w:sz w:val="14"/>
                <w:szCs w:val="14"/>
              </w:rPr>
              <w:t xml:space="preserve">Rom, Y., </w:t>
            </w:r>
            <w:proofErr w:type="spellStart"/>
            <w:r w:rsidR="00075D77" w:rsidRPr="00C125CF">
              <w:rPr>
                <w:rStyle w:val="normaltextrun"/>
                <w:rFonts w:ascii="Georgia" w:eastAsiaTheme="minorEastAsia" w:hAnsi="Georgia" w:cs="Arial"/>
                <w:color w:val="000000" w:themeColor="text1"/>
                <w:sz w:val="14"/>
                <w:szCs w:val="14"/>
              </w:rPr>
              <w:t>Plagi</w:t>
            </w:r>
            <w:proofErr w:type="spellEnd"/>
            <w:r w:rsidR="00075D77" w:rsidRPr="00C125CF">
              <w:rPr>
                <w:rStyle w:val="normaltextrun"/>
                <w:rFonts w:ascii="Georgia" w:eastAsiaTheme="minorEastAsia" w:hAnsi="Georgia" w:cs="Arial"/>
                <w:color w:val="000000" w:themeColor="text1"/>
                <w:sz w:val="14"/>
                <w:szCs w:val="14"/>
              </w:rPr>
              <w:t>, Y., Greenberg, E. &amp; Isaacson, M. (2022). The association between the shape of Long-Term Care Units and residents’ wellbeing [preprint]. The Evolving Scholar | ARCH22. https://doi.org/10.24404/62257f1976cff8c5d2559df3</w:t>
            </w:r>
          </w:p>
          <w:p w14:paraId="419A460D" w14:textId="77777777" w:rsidR="00C125CF" w:rsidRPr="00C125CF" w:rsidRDefault="00C125CF" w:rsidP="00C125CF">
            <w:pPr>
              <w:pStyle w:val="paragraph"/>
              <w:adjustRightInd w:val="0"/>
              <w:snapToGrid w:val="0"/>
              <w:textAlignment w:val="baseline"/>
              <w:rPr>
                <w:rFonts w:ascii="Georgia" w:eastAsiaTheme="minorEastAsia" w:hAnsi="Georgia" w:cs="Arial"/>
                <w:color w:val="000000" w:themeColor="text1"/>
                <w:sz w:val="14"/>
                <w:szCs w:val="14"/>
                <w:lang w:bidi="en-US"/>
              </w:rPr>
            </w:pPr>
            <w:r w:rsidRPr="00C125CF">
              <w:rPr>
                <w:rFonts w:ascii="Georgia" w:eastAsiaTheme="minorEastAsia" w:hAnsi="Georgia" w:cs="Arial"/>
                <w:color w:val="000000" w:themeColor="text1"/>
                <w:sz w:val="14"/>
                <w:szCs w:val="14"/>
                <w:lang w:bidi="en-US"/>
              </w:rPr>
              <w:t>This work is licensed under a Creative Commons Attribution BY license (CC BY).</w:t>
            </w:r>
          </w:p>
          <w:p w14:paraId="45FBB49B" w14:textId="6A35646E" w:rsidR="00B40059" w:rsidRPr="00D35C14" w:rsidRDefault="00C125CF" w:rsidP="00C125CF">
            <w:pPr>
              <w:pStyle w:val="paragraph"/>
              <w:adjustRightInd w:val="0"/>
              <w:snapToGrid w:val="0"/>
              <w:spacing w:before="0" w:beforeAutospacing="0" w:after="0" w:afterAutospacing="0"/>
              <w:textAlignment w:val="baseline"/>
              <w:rPr>
                <w:rFonts w:ascii="Georgia" w:eastAsiaTheme="minorEastAsia" w:hAnsi="Georgia" w:cs="Arial"/>
                <w:bCs/>
                <w:color w:val="000000" w:themeColor="text1"/>
                <w:sz w:val="14"/>
                <w:szCs w:val="14"/>
                <w:lang w:bidi="en-US"/>
              </w:rPr>
            </w:pPr>
            <w:r w:rsidRPr="00C125CF">
              <w:rPr>
                <w:rFonts w:ascii="Georgia" w:eastAsiaTheme="minorEastAsia" w:hAnsi="Georgia" w:cs="Arial"/>
                <w:color w:val="000000" w:themeColor="text1"/>
                <w:sz w:val="14"/>
                <w:szCs w:val="14"/>
                <w:lang w:bidi="en-US"/>
              </w:rPr>
              <w:t xml:space="preserve">© 2022 </w:t>
            </w:r>
            <w:r w:rsidRPr="00C125CF">
              <w:rPr>
                <w:rFonts w:ascii="Georgia" w:eastAsiaTheme="minorEastAsia" w:hAnsi="Georgia" w:cs="Arial"/>
                <w:color w:val="000000" w:themeColor="text1"/>
                <w:sz w:val="14"/>
                <w:szCs w:val="14"/>
              </w:rPr>
              <w:t xml:space="preserve"> </w:t>
            </w:r>
            <w:r w:rsidRPr="00C125CF">
              <w:rPr>
                <w:rStyle w:val="normaltextrun"/>
                <w:rFonts w:ascii="Georgia" w:eastAsiaTheme="minorEastAsia" w:hAnsi="Georgia" w:cs="Arial"/>
                <w:color w:val="000000" w:themeColor="text1"/>
                <w:sz w:val="14"/>
                <w:szCs w:val="14"/>
              </w:rPr>
              <w:t xml:space="preserve">Rom, Y., </w:t>
            </w:r>
            <w:proofErr w:type="spellStart"/>
            <w:r w:rsidRPr="00C125CF">
              <w:rPr>
                <w:rStyle w:val="normaltextrun"/>
                <w:rFonts w:ascii="Georgia" w:eastAsiaTheme="minorEastAsia" w:hAnsi="Georgia" w:cs="Arial"/>
                <w:color w:val="000000" w:themeColor="text1"/>
                <w:sz w:val="14"/>
                <w:szCs w:val="14"/>
              </w:rPr>
              <w:t>Plagi</w:t>
            </w:r>
            <w:proofErr w:type="spellEnd"/>
            <w:r w:rsidRPr="00C125CF">
              <w:rPr>
                <w:rStyle w:val="normaltextrun"/>
                <w:rFonts w:ascii="Georgia" w:eastAsiaTheme="minorEastAsia" w:hAnsi="Georgia" w:cs="Arial"/>
                <w:color w:val="000000" w:themeColor="text1"/>
                <w:sz w:val="14"/>
                <w:szCs w:val="14"/>
              </w:rPr>
              <w:t xml:space="preserve">, Y., Greenberg, E. &amp; Isaacson, M. </w:t>
            </w:r>
            <w:r w:rsidRPr="00C125CF">
              <w:rPr>
                <w:rFonts w:ascii="Georgia" w:eastAsiaTheme="minorEastAsia" w:hAnsi="Georgia" w:cs="Arial"/>
                <w:color w:val="000000" w:themeColor="text1"/>
                <w:sz w:val="14"/>
                <w:szCs w:val="14"/>
                <w:lang w:bidi="en-US"/>
              </w:rPr>
              <w:t xml:space="preserve"> published by TU Delft OPEN on behalf of the authors.</w:t>
            </w:r>
          </w:p>
        </w:tc>
      </w:tr>
    </w:tbl>
    <w:p w14:paraId="64903CA3" w14:textId="77777777" w:rsidR="00B40059" w:rsidRPr="00D35C14" w:rsidRDefault="00B40059" w:rsidP="00B40059">
      <w:pPr>
        <w:pStyle w:val="MDPI16affiliation"/>
        <w:rPr>
          <w:rFonts w:ascii="Georgia" w:eastAsiaTheme="minorEastAsia" w:hAnsi="Georgia" w:cs="Arial"/>
          <w:color w:val="000000" w:themeColor="text1"/>
          <w:sz w:val="14"/>
          <w:szCs w:val="14"/>
        </w:rPr>
      </w:pPr>
      <w:r w:rsidRPr="00D35C14">
        <w:rPr>
          <w:rFonts w:ascii="Georgia" w:eastAsiaTheme="minorEastAsia" w:hAnsi="Georgia" w:cs="Arial"/>
          <w:color w:val="000000" w:themeColor="text1"/>
          <w:sz w:val="14"/>
          <w:szCs w:val="14"/>
        </w:rPr>
        <w:t>*1</w:t>
      </w:r>
      <w:hyperlink r:id="rId12" w:history="1">
        <w:r w:rsidRPr="00D35C14">
          <w:rPr>
            <w:rStyle w:val="Hyperlink"/>
            <w:rFonts w:ascii="Georgia" w:eastAsiaTheme="minorEastAsia" w:hAnsi="Georgia" w:cs="Arial"/>
            <w:color w:val="000000" w:themeColor="text1"/>
            <w:sz w:val="14"/>
            <w:szCs w:val="14"/>
            <w:u w:val="none"/>
          </w:rPr>
          <w:t>yifatrom@gmail.com</w:t>
        </w:r>
      </w:hyperlink>
      <w:r w:rsidRPr="00D35C14">
        <w:rPr>
          <w:rFonts w:ascii="Georgia" w:eastAsiaTheme="minorEastAsia" w:hAnsi="Georgia" w:cs="Arial"/>
          <w:color w:val="000000" w:themeColor="text1"/>
          <w:sz w:val="14"/>
          <w:szCs w:val="14"/>
        </w:rPr>
        <w:t xml:space="preserve"> ; ORCID ID </w:t>
      </w:r>
      <w:r w:rsidRPr="00D35C14">
        <w:rPr>
          <w:rFonts w:ascii="Georgia" w:eastAsiaTheme="minorEastAsia" w:hAnsi="Georgia"/>
          <w:color w:val="000000" w:themeColor="text1"/>
          <w:sz w:val="14"/>
          <w:szCs w:val="14"/>
        </w:rPr>
        <w:t>0000-0002-5498-8777</w:t>
      </w:r>
    </w:p>
    <w:p w14:paraId="0C7337B3" w14:textId="77777777" w:rsidR="00B40059" w:rsidRPr="00D35C14" w:rsidRDefault="00B40059" w:rsidP="00B40059">
      <w:pPr>
        <w:pStyle w:val="MDPI16affiliation"/>
        <w:rPr>
          <w:rFonts w:ascii="Georgia" w:eastAsiaTheme="minorEastAsia" w:hAnsi="Georgia" w:cs="Arial"/>
          <w:color w:val="000000" w:themeColor="text1"/>
          <w:sz w:val="14"/>
          <w:szCs w:val="14"/>
        </w:rPr>
      </w:pPr>
      <w:r w:rsidRPr="00D35C14">
        <w:rPr>
          <w:rFonts w:ascii="Georgia" w:eastAsiaTheme="minorEastAsia" w:hAnsi="Georgia" w:cs="Arial"/>
          <w:color w:val="000000" w:themeColor="text1"/>
          <w:sz w:val="14"/>
          <w:szCs w:val="14"/>
          <w:vertAlign w:val="superscript"/>
        </w:rPr>
        <w:t>2</w:t>
      </w:r>
      <w:r w:rsidRPr="00D35C14">
        <w:rPr>
          <w:rFonts w:ascii="Georgia" w:eastAsiaTheme="minorEastAsia" w:hAnsi="Georgia" w:cs="Arial"/>
          <w:color w:val="000000" w:themeColor="text1"/>
          <w:sz w:val="14"/>
          <w:szCs w:val="14"/>
        </w:rPr>
        <w:t xml:space="preserve"> </w:t>
      </w:r>
      <w:hyperlink r:id="rId13" w:history="1">
        <w:r w:rsidRPr="00D35C14">
          <w:rPr>
            <w:rStyle w:val="Hyperlink"/>
            <w:rFonts w:ascii="Georgia" w:eastAsiaTheme="minorEastAsia" w:hAnsi="Georgia" w:cs="Arial"/>
            <w:color w:val="000000" w:themeColor="text1"/>
            <w:sz w:val="14"/>
            <w:szCs w:val="14"/>
            <w:u w:val="none"/>
          </w:rPr>
          <w:t>yuvalpalgi@gmail.com</w:t>
        </w:r>
      </w:hyperlink>
    </w:p>
    <w:p w14:paraId="3B2C7285" w14:textId="77777777" w:rsidR="00B40059" w:rsidRPr="00D35C14" w:rsidRDefault="00B40059" w:rsidP="00B40059">
      <w:pPr>
        <w:pStyle w:val="MDPI16affiliation"/>
        <w:rPr>
          <w:rFonts w:ascii="Georgia" w:eastAsiaTheme="minorEastAsia" w:hAnsi="Georgia" w:cs="Arial"/>
          <w:color w:val="000000" w:themeColor="text1"/>
          <w:sz w:val="14"/>
          <w:szCs w:val="14"/>
        </w:rPr>
      </w:pPr>
      <w:r w:rsidRPr="00D35C14">
        <w:rPr>
          <w:rFonts w:ascii="Georgia" w:eastAsiaTheme="minorEastAsia" w:hAnsi="Georgia" w:cs="Arial"/>
          <w:color w:val="000000" w:themeColor="text1"/>
          <w:sz w:val="14"/>
          <w:szCs w:val="14"/>
          <w:vertAlign w:val="superscript"/>
        </w:rPr>
        <w:t>3</w:t>
      </w:r>
      <w:r w:rsidRPr="00D35C14">
        <w:rPr>
          <w:rFonts w:ascii="Georgia" w:eastAsiaTheme="minorEastAsia" w:hAnsi="Georgia" w:cs="Arial"/>
          <w:color w:val="000000" w:themeColor="text1"/>
          <w:sz w:val="14"/>
          <w:szCs w:val="14"/>
        </w:rPr>
        <w:t xml:space="preserve"> </w:t>
      </w:r>
      <w:hyperlink r:id="rId14" w:history="1">
        <w:r w:rsidRPr="00D35C14">
          <w:rPr>
            <w:rStyle w:val="Hyperlink"/>
            <w:rFonts w:ascii="Georgia" w:eastAsiaTheme="minorEastAsia" w:hAnsi="Georgia" w:cs="Arial"/>
            <w:color w:val="000000" w:themeColor="text1"/>
            <w:sz w:val="14"/>
            <w:szCs w:val="14"/>
            <w:u w:val="none"/>
          </w:rPr>
          <w:t>e.greenberg86@gmail.com</w:t>
        </w:r>
      </w:hyperlink>
    </w:p>
    <w:p w14:paraId="33321D67" w14:textId="77777777" w:rsidR="00B40059" w:rsidRPr="00D35C14" w:rsidRDefault="00B40059" w:rsidP="00B40059">
      <w:pPr>
        <w:pStyle w:val="MDPI16affiliation"/>
        <w:rPr>
          <w:rFonts w:ascii="Georgia" w:eastAsiaTheme="minorEastAsia" w:hAnsi="Georgia" w:cs="Arial"/>
          <w:color w:val="000000" w:themeColor="text1"/>
          <w:sz w:val="14"/>
          <w:szCs w:val="14"/>
          <w:lang w:bidi="he-IL"/>
        </w:rPr>
      </w:pPr>
      <w:r w:rsidRPr="00D35C14">
        <w:rPr>
          <w:rFonts w:ascii="Georgia" w:eastAsiaTheme="minorEastAsia" w:hAnsi="Georgia" w:cs="Arial"/>
          <w:color w:val="000000" w:themeColor="text1"/>
          <w:sz w:val="14"/>
          <w:szCs w:val="14"/>
          <w:lang w:bidi="he-IL"/>
        </w:rPr>
        <w:t>*</w:t>
      </w:r>
      <w:r w:rsidRPr="00D35C14">
        <w:rPr>
          <w:rFonts w:ascii="Georgia" w:eastAsiaTheme="minorEastAsia" w:hAnsi="Georgia" w:cs="Arial"/>
          <w:color w:val="000000" w:themeColor="text1"/>
          <w:sz w:val="14"/>
          <w:szCs w:val="14"/>
          <w:vertAlign w:val="superscript"/>
          <w:lang w:bidi="he-IL"/>
        </w:rPr>
        <w:t>4</w:t>
      </w:r>
      <w:r w:rsidRPr="00D35C14">
        <w:rPr>
          <w:rFonts w:ascii="Georgia" w:eastAsiaTheme="minorEastAsia" w:hAnsi="Georgia" w:cs="Arial"/>
          <w:color w:val="000000" w:themeColor="text1"/>
          <w:sz w:val="14"/>
          <w:szCs w:val="14"/>
          <w:lang w:bidi="he-IL"/>
        </w:rPr>
        <w:t xml:space="preserve"> </w:t>
      </w:r>
      <w:hyperlink r:id="rId15" w:history="1">
        <w:r w:rsidRPr="00D35C14">
          <w:rPr>
            <w:rStyle w:val="Hyperlink"/>
            <w:rFonts w:ascii="Georgia" w:eastAsiaTheme="minorEastAsia" w:hAnsi="Georgia" w:cs="Arial"/>
            <w:color w:val="000000" w:themeColor="text1"/>
            <w:sz w:val="14"/>
            <w:szCs w:val="14"/>
            <w:u w:val="none"/>
            <w:lang w:bidi="he-IL"/>
          </w:rPr>
          <w:t>misaacson@univ.haifa.ac.il</w:t>
        </w:r>
      </w:hyperlink>
    </w:p>
    <w:p w14:paraId="249EBE07" w14:textId="77777777" w:rsidR="00B40059" w:rsidRPr="00D35C14" w:rsidRDefault="00B40059" w:rsidP="00B40059">
      <w:pPr>
        <w:pStyle w:val="MDPI16affiliation"/>
        <w:rPr>
          <w:rFonts w:ascii="Georgia" w:eastAsiaTheme="minorEastAsia" w:hAnsi="Georgia" w:cs="Arial"/>
          <w:color w:val="000000" w:themeColor="text1"/>
          <w:sz w:val="24"/>
          <w:szCs w:val="24"/>
          <w:lang w:bidi="he-IL"/>
        </w:rPr>
      </w:pPr>
    </w:p>
    <w:p w14:paraId="78ECE290" w14:textId="71FF1F16" w:rsidR="00B40059" w:rsidRPr="003E0671" w:rsidRDefault="00B40059" w:rsidP="001019A4">
      <w:pPr>
        <w:pStyle w:val="MDPI31text"/>
        <w:spacing w:line="240" w:lineRule="auto"/>
        <w:rPr>
          <w:rFonts w:ascii="Georgia" w:eastAsiaTheme="minorEastAsia" w:hAnsi="Georgia" w:cs="Arial"/>
          <w:color w:val="000000" w:themeColor="text1"/>
          <w:sz w:val="18"/>
          <w:szCs w:val="18"/>
        </w:rPr>
      </w:pPr>
      <w:r w:rsidRPr="00D35C14">
        <w:rPr>
          <w:rFonts w:ascii="Georgia" w:eastAsiaTheme="minorEastAsia" w:hAnsi="Georgia" w:cs="Arial"/>
          <w:b/>
          <w:bCs/>
          <w:color w:val="000000" w:themeColor="text1"/>
        </w:rPr>
        <w:t>Abstract:</w:t>
      </w:r>
      <w:r w:rsidRPr="00D35C14">
        <w:rPr>
          <w:rFonts w:ascii="Georgia" w:eastAsiaTheme="minorEastAsia" w:hAnsi="Georgia" w:cs="Arial"/>
          <w:color w:val="000000" w:themeColor="text1"/>
        </w:rPr>
        <w:t xml:space="preserve"> </w:t>
      </w:r>
      <w:r w:rsidRPr="00D35C14">
        <w:rPr>
          <w:rFonts w:ascii="Georgia" w:eastAsiaTheme="minorEastAsia" w:hAnsi="Georgia" w:cs="Arial"/>
          <w:color w:val="000000" w:themeColor="text1"/>
          <w:sz w:val="18"/>
          <w:szCs w:val="18"/>
        </w:rPr>
        <w:t xml:space="preserve">The </w:t>
      </w:r>
      <w:r w:rsidRPr="003E0671">
        <w:rPr>
          <w:rFonts w:ascii="Georgia" w:eastAsiaTheme="minorEastAsia" w:hAnsi="Georgia" w:cs="Arial"/>
          <w:color w:val="000000" w:themeColor="text1"/>
          <w:sz w:val="18"/>
          <w:szCs w:val="18"/>
        </w:rPr>
        <w:t xml:space="preserve">increasing number of </w:t>
      </w:r>
      <w:r w:rsidR="001019A4">
        <w:rPr>
          <w:rFonts w:ascii="Georgia" w:eastAsiaTheme="minorEastAsia" w:hAnsi="Georgia" w:cs="Arial"/>
          <w:color w:val="000000" w:themeColor="text1"/>
          <w:sz w:val="18"/>
          <w:szCs w:val="18"/>
        </w:rPr>
        <w:t xml:space="preserve">older </w:t>
      </w:r>
      <w:r w:rsidRPr="003E0671">
        <w:rPr>
          <w:rFonts w:ascii="Georgia" w:eastAsiaTheme="minorEastAsia" w:hAnsi="Georgia" w:cs="Arial"/>
          <w:color w:val="000000" w:themeColor="text1"/>
          <w:sz w:val="18"/>
          <w:szCs w:val="18"/>
        </w:rPr>
        <w:t xml:space="preserve">adults and the ones needing 24-hour assistance and </w:t>
      </w:r>
      <w:r w:rsidR="001019A4">
        <w:rPr>
          <w:rFonts w:ascii="Georgia" w:eastAsiaTheme="minorEastAsia" w:hAnsi="Georgia" w:cs="Arial"/>
          <w:color w:val="000000" w:themeColor="text1"/>
          <w:sz w:val="18"/>
          <w:szCs w:val="18"/>
        </w:rPr>
        <w:t>hence living in</w:t>
      </w:r>
      <w:r w:rsidR="001019A4" w:rsidRPr="003E0671">
        <w:rPr>
          <w:rFonts w:ascii="Georgia" w:eastAsiaTheme="minorEastAsia" w:hAnsi="Georgia" w:cs="Arial"/>
          <w:color w:val="000000" w:themeColor="text1"/>
          <w:sz w:val="18"/>
          <w:szCs w:val="18"/>
        </w:rPr>
        <w:t xml:space="preserve"> </w:t>
      </w:r>
      <w:r w:rsidRPr="003E0671">
        <w:rPr>
          <w:rFonts w:ascii="Georgia" w:eastAsiaTheme="minorEastAsia" w:hAnsi="Georgia" w:cs="Arial"/>
          <w:color w:val="000000" w:themeColor="text1"/>
          <w:sz w:val="18"/>
          <w:szCs w:val="18"/>
        </w:rPr>
        <w:t xml:space="preserve">long-term care facilities (LTCFs) has led to the development of well-being models that acknowledge the environment as </w:t>
      </w:r>
      <w:r w:rsidR="001019A4">
        <w:rPr>
          <w:rFonts w:ascii="Georgia" w:eastAsiaTheme="minorEastAsia" w:hAnsi="Georgia" w:cs="Arial"/>
          <w:color w:val="000000" w:themeColor="text1"/>
          <w:sz w:val="18"/>
          <w:szCs w:val="18"/>
        </w:rPr>
        <w:t>an important factor the influences well-being</w:t>
      </w:r>
      <w:r w:rsidRPr="003E0671">
        <w:rPr>
          <w:rFonts w:ascii="Georgia" w:eastAsiaTheme="minorEastAsia" w:hAnsi="Georgia" w:cs="Arial"/>
          <w:color w:val="000000" w:themeColor="text1"/>
          <w:sz w:val="18"/>
          <w:szCs w:val="18"/>
        </w:rPr>
        <w:t xml:space="preserve">. </w:t>
      </w:r>
      <w:r w:rsidR="001019A4">
        <w:rPr>
          <w:rFonts w:ascii="Georgia" w:eastAsiaTheme="minorEastAsia" w:hAnsi="Georgia" w:cs="Arial"/>
          <w:color w:val="000000" w:themeColor="text1"/>
          <w:sz w:val="18"/>
          <w:szCs w:val="18"/>
        </w:rPr>
        <w:t>Acknowledging this importance,</w:t>
      </w:r>
      <w:r w:rsidRPr="003E0671">
        <w:rPr>
          <w:rFonts w:ascii="Georgia" w:eastAsiaTheme="minorEastAsia" w:hAnsi="Georgia" w:cs="Arial"/>
          <w:color w:val="000000" w:themeColor="text1"/>
          <w:sz w:val="18"/>
          <w:szCs w:val="18"/>
        </w:rPr>
        <w:t xml:space="preserve"> numerous studies on the effects of </w:t>
      </w:r>
      <w:r w:rsidR="001019A4">
        <w:rPr>
          <w:rFonts w:ascii="Georgia" w:eastAsiaTheme="minorEastAsia" w:hAnsi="Georgia" w:cs="Arial"/>
          <w:color w:val="000000" w:themeColor="text1"/>
          <w:sz w:val="18"/>
          <w:szCs w:val="18"/>
        </w:rPr>
        <w:t>the</w:t>
      </w:r>
      <w:r w:rsidR="001019A4" w:rsidRPr="003E0671">
        <w:rPr>
          <w:rFonts w:ascii="Georgia" w:eastAsiaTheme="minorEastAsia" w:hAnsi="Georgia" w:cs="Arial"/>
          <w:color w:val="000000" w:themeColor="text1"/>
          <w:sz w:val="18"/>
          <w:szCs w:val="18"/>
        </w:rPr>
        <w:t xml:space="preserve"> environment</w:t>
      </w:r>
      <w:r w:rsidR="001019A4">
        <w:rPr>
          <w:rFonts w:ascii="Georgia" w:eastAsiaTheme="minorEastAsia" w:hAnsi="Georgia" w:cs="Arial"/>
          <w:color w:val="000000" w:themeColor="text1"/>
          <w:sz w:val="18"/>
          <w:szCs w:val="18"/>
        </w:rPr>
        <w:t xml:space="preserve"> in LTCFs</w:t>
      </w:r>
      <w:r w:rsidR="001019A4" w:rsidRPr="003E0671">
        <w:rPr>
          <w:rFonts w:ascii="Georgia" w:eastAsiaTheme="minorEastAsia" w:hAnsi="Georgia" w:cs="Arial"/>
          <w:color w:val="000000" w:themeColor="text1"/>
          <w:sz w:val="18"/>
          <w:szCs w:val="18"/>
        </w:rPr>
        <w:t xml:space="preserve"> </w:t>
      </w:r>
      <w:r w:rsidRPr="003E0671">
        <w:rPr>
          <w:rFonts w:ascii="Georgia" w:eastAsiaTheme="minorEastAsia" w:hAnsi="Georgia" w:cs="Arial"/>
          <w:color w:val="000000" w:themeColor="text1"/>
          <w:sz w:val="18"/>
          <w:szCs w:val="18"/>
        </w:rPr>
        <w:t>on</w:t>
      </w:r>
      <w:r w:rsidR="001019A4">
        <w:rPr>
          <w:rFonts w:ascii="Georgia" w:eastAsiaTheme="minorEastAsia" w:hAnsi="Georgia" w:cs="Arial"/>
          <w:color w:val="000000" w:themeColor="text1"/>
          <w:sz w:val="18"/>
          <w:szCs w:val="18"/>
        </w:rPr>
        <w:t xml:space="preserve"> </w:t>
      </w:r>
      <w:r w:rsidRPr="003E0671">
        <w:rPr>
          <w:rFonts w:ascii="Georgia" w:eastAsiaTheme="minorEastAsia" w:hAnsi="Georgia" w:cs="Arial"/>
          <w:color w:val="000000" w:themeColor="text1"/>
          <w:sz w:val="18"/>
          <w:szCs w:val="18"/>
        </w:rPr>
        <w:t xml:space="preserve">well-being among </w:t>
      </w:r>
      <w:r w:rsidR="001019A4">
        <w:rPr>
          <w:rFonts w:ascii="Georgia" w:eastAsiaTheme="minorEastAsia" w:hAnsi="Georgia" w:cs="Arial"/>
          <w:color w:val="000000" w:themeColor="text1"/>
          <w:sz w:val="18"/>
          <w:szCs w:val="18"/>
        </w:rPr>
        <w:t>older</w:t>
      </w:r>
      <w:r w:rsidR="001019A4" w:rsidRPr="003E0671">
        <w:rPr>
          <w:rFonts w:ascii="Georgia" w:eastAsiaTheme="minorEastAsia" w:hAnsi="Georgia" w:cs="Arial"/>
          <w:color w:val="000000" w:themeColor="text1"/>
          <w:sz w:val="18"/>
          <w:szCs w:val="18"/>
        </w:rPr>
        <w:t xml:space="preserve"> </w:t>
      </w:r>
      <w:r w:rsidRPr="003E0671">
        <w:rPr>
          <w:rFonts w:ascii="Georgia" w:eastAsiaTheme="minorEastAsia" w:hAnsi="Georgia" w:cs="Arial"/>
          <w:color w:val="000000" w:themeColor="text1"/>
          <w:sz w:val="18"/>
          <w:szCs w:val="18"/>
        </w:rPr>
        <w:t>residents have enriched the knowledge on environmental variables affecting well-being</w:t>
      </w:r>
      <w:r w:rsidR="001019A4">
        <w:rPr>
          <w:rFonts w:ascii="Georgia" w:eastAsiaTheme="minorEastAsia" w:hAnsi="Georgia" w:cs="Arial"/>
          <w:color w:val="000000" w:themeColor="text1"/>
          <w:sz w:val="18"/>
          <w:szCs w:val="18"/>
        </w:rPr>
        <w:t>. These studies</w:t>
      </w:r>
      <w:r w:rsidRPr="003E0671">
        <w:rPr>
          <w:rFonts w:ascii="Georgia" w:eastAsiaTheme="minorEastAsia" w:hAnsi="Georgia" w:cs="Arial"/>
          <w:color w:val="000000" w:themeColor="text1"/>
          <w:sz w:val="18"/>
          <w:szCs w:val="18"/>
        </w:rPr>
        <w:t xml:space="preserve"> have yielded conflicting results </w:t>
      </w:r>
      <w:r w:rsidR="001019A4">
        <w:rPr>
          <w:rFonts w:ascii="Georgia" w:eastAsiaTheme="minorEastAsia" w:hAnsi="Georgia" w:cs="Arial"/>
          <w:color w:val="000000" w:themeColor="text1"/>
          <w:sz w:val="18"/>
          <w:szCs w:val="18"/>
        </w:rPr>
        <w:t>on topics such as the</w:t>
      </w:r>
      <w:r w:rsidRPr="003E0671">
        <w:rPr>
          <w:rFonts w:ascii="Georgia" w:eastAsiaTheme="minorEastAsia" w:hAnsi="Georgia" w:cs="Arial"/>
          <w:color w:val="000000" w:themeColor="text1"/>
          <w:sz w:val="18"/>
          <w:szCs w:val="18"/>
        </w:rPr>
        <w:t xml:space="preserve"> recommended hallway shape</w:t>
      </w:r>
      <w:r w:rsidR="001019A4">
        <w:rPr>
          <w:rFonts w:ascii="Georgia" w:eastAsiaTheme="minorEastAsia" w:hAnsi="Georgia" w:cs="Arial"/>
          <w:color w:val="000000" w:themeColor="text1"/>
          <w:sz w:val="18"/>
          <w:szCs w:val="18"/>
        </w:rPr>
        <w:t xml:space="preserve"> and</w:t>
      </w:r>
      <w:r w:rsidR="001019A4" w:rsidRPr="003E0671">
        <w:rPr>
          <w:rFonts w:ascii="Georgia" w:eastAsiaTheme="minorEastAsia" w:hAnsi="Georgia" w:cs="Arial"/>
          <w:color w:val="000000" w:themeColor="text1"/>
          <w:sz w:val="18"/>
          <w:szCs w:val="18"/>
        </w:rPr>
        <w:t xml:space="preserve"> </w:t>
      </w:r>
      <w:r w:rsidRPr="003E0671">
        <w:rPr>
          <w:rFonts w:ascii="Georgia" w:eastAsiaTheme="minorEastAsia" w:hAnsi="Georgia" w:cs="Arial"/>
          <w:color w:val="000000" w:themeColor="text1"/>
          <w:sz w:val="18"/>
          <w:szCs w:val="18"/>
        </w:rPr>
        <w:t>optimal nursing</w:t>
      </w:r>
      <w:r>
        <w:rPr>
          <w:rFonts w:ascii="Georgia" w:eastAsiaTheme="minorEastAsia" w:hAnsi="Georgia" w:cs="Arial"/>
          <w:color w:val="000000" w:themeColor="text1"/>
          <w:sz w:val="18"/>
          <w:szCs w:val="18"/>
        </w:rPr>
        <w:t>-</w:t>
      </w:r>
      <w:r w:rsidRPr="003E0671">
        <w:rPr>
          <w:rFonts w:ascii="Georgia" w:eastAsiaTheme="minorEastAsia" w:hAnsi="Georgia" w:cs="Arial"/>
          <w:color w:val="000000" w:themeColor="text1"/>
          <w:sz w:val="18"/>
          <w:szCs w:val="18"/>
        </w:rPr>
        <w:t xml:space="preserve">station position. Moreover, complying environmental assessment tools that rely on different amounts and combinations of the researched variables were formed. Most of these tools assess the variables in a dichotomous manner (either the variable is present or not); thus, the significance and weight of each variable are overlooked. A need for an additional quantitative measurement tool led to the development of the Psycho-Social Evaluation Tool (PSET) (Rom et al., 2022), which measures the effect of the units’ physical layout on well-being. By analyzing architectural plans from 40 long-term care units with the PSET, the current </w:t>
      </w:r>
      <w:r w:rsidR="00A50421">
        <w:rPr>
          <w:rFonts w:ascii="Georgia" w:eastAsiaTheme="minorEastAsia" w:hAnsi="Georgia" w:cs="Arial"/>
          <w:color w:val="000000" w:themeColor="text1"/>
          <w:sz w:val="18"/>
          <w:szCs w:val="18"/>
        </w:rPr>
        <w:t>study</w:t>
      </w:r>
      <w:r w:rsidR="00A50421" w:rsidRPr="003E0671">
        <w:rPr>
          <w:rFonts w:ascii="Georgia" w:eastAsiaTheme="minorEastAsia" w:hAnsi="Georgia" w:cs="Arial"/>
          <w:color w:val="000000" w:themeColor="text1"/>
          <w:sz w:val="18"/>
          <w:szCs w:val="18"/>
        </w:rPr>
        <w:t xml:space="preserve"> </w:t>
      </w:r>
      <w:r w:rsidR="00A50421">
        <w:rPr>
          <w:rFonts w:ascii="Georgia" w:eastAsiaTheme="minorEastAsia" w:hAnsi="Georgia" w:cs="Arial"/>
          <w:color w:val="000000" w:themeColor="text1"/>
          <w:sz w:val="18"/>
          <w:szCs w:val="18"/>
        </w:rPr>
        <w:t>demonstrates</w:t>
      </w:r>
      <w:r w:rsidR="00A50421" w:rsidRPr="003E0671">
        <w:rPr>
          <w:rFonts w:ascii="Georgia" w:eastAsiaTheme="minorEastAsia" w:hAnsi="Georgia" w:cs="Arial"/>
          <w:color w:val="000000" w:themeColor="text1"/>
          <w:sz w:val="18"/>
          <w:szCs w:val="18"/>
        </w:rPr>
        <w:t xml:space="preserve"> </w:t>
      </w:r>
      <w:r w:rsidRPr="003E0671">
        <w:rPr>
          <w:rFonts w:ascii="Georgia" w:eastAsiaTheme="minorEastAsia" w:hAnsi="Georgia" w:cs="Arial"/>
          <w:color w:val="000000" w:themeColor="text1"/>
          <w:sz w:val="18"/>
          <w:szCs w:val="18"/>
        </w:rPr>
        <w:t xml:space="preserve">how the effect of physical layout on well-being is related to various variables in different domains. To demonstrate this, </w:t>
      </w:r>
      <w:r w:rsidR="00A50421">
        <w:rPr>
          <w:rFonts w:ascii="Georgia" w:eastAsiaTheme="minorEastAsia" w:hAnsi="Georgia" w:cs="Arial"/>
          <w:color w:val="000000" w:themeColor="text1"/>
          <w:sz w:val="18"/>
          <w:szCs w:val="18"/>
        </w:rPr>
        <w:t>this paper</w:t>
      </w:r>
      <w:r w:rsidR="00A50421" w:rsidRPr="003E0671">
        <w:rPr>
          <w:rFonts w:ascii="Georgia" w:eastAsiaTheme="minorEastAsia" w:hAnsi="Georgia" w:cs="Arial"/>
          <w:color w:val="000000" w:themeColor="text1"/>
          <w:sz w:val="18"/>
          <w:szCs w:val="18"/>
        </w:rPr>
        <w:t xml:space="preserve"> </w:t>
      </w:r>
      <w:r w:rsidRPr="003E0671">
        <w:rPr>
          <w:rFonts w:ascii="Georgia" w:eastAsiaTheme="minorEastAsia" w:hAnsi="Georgia" w:cs="Arial"/>
          <w:color w:val="000000" w:themeColor="text1"/>
          <w:sz w:val="18"/>
          <w:szCs w:val="18"/>
        </w:rPr>
        <w:t xml:space="preserve">focuses on conflicting recommendations regarding hallway shape, which affects the overall unit layout during the design process. </w:t>
      </w:r>
      <w:r w:rsidR="00A50421">
        <w:rPr>
          <w:rFonts w:ascii="Georgia" w:eastAsiaTheme="minorEastAsia" w:hAnsi="Georgia" w:cs="Arial"/>
          <w:color w:val="000000" w:themeColor="text1"/>
          <w:sz w:val="18"/>
          <w:szCs w:val="18"/>
        </w:rPr>
        <w:t>We</w:t>
      </w:r>
      <w:r w:rsidR="00A50421" w:rsidRPr="003E0671">
        <w:rPr>
          <w:rFonts w:ascii="Georgia" w:eastAsiaTheme="minorEastAsia" w:hAnsi="Georgia" w:cs="Arial"/>
          <w:color w:val="000000" w:themeColor="text1"/>
          <w:sz w:val="18"/>
          <w:szCs w:val="18"/>
        </w:rPr>
        <w:t xml:space="preserve"> </w:t>
      </w:r>
      <w:r w:rsidRPr="003E0671">
        <w:rPr>
          <w:rFonts w:ascii="Georgia" w:eastAsiaTheme="minorEastAsia" w:hAnsi="Georgia" w:cs="Arial"/>
          <w:color w:val="000000" w:themeColor="text1"/>
          <w:sz w:val="18"/>
          <w:szCs w:val="18"/>
        </w:rPr>
        <w:t>argue that all physical layout variables related to well-being should be measured during the design process and viewed as a part of the bank of resources since one variable (like hallway shape) is not sufficient to predict how LTCF units support residents’ well-being.</w:t>
      </w:r>
      <w:bookmarkStart w:id="0" w:name="_Hlk95915893"/>
      <w:r w:rsidRPr="003E0671">
        <w:rPr>
          <w:rFonts w:ascii="Georgia" w:eastAsiaTheme="minorEastAsia" w:hAnsi="Georgia" w:cs="Arial"/>
          <w:color w:val="000000" w:themeColor="text1"/>
          <w:sz w:val="18"/>
          <w:szCs w:val="18"/>
        </w:rPr>
        <w:t xml:space="preserve"> </w:t>
      </w:r>
    </w:p>
    <w:bookmarkEnd w:id="0"/>
    <w:p w14:paraId="32BCAE37" w14:textId="77777777" w:rsidR="00B40059" w:rsidRPr="003E0671" w:rsidRDefault="00B40059" w:rsidP="00B40059">
      <w:pPr>
        <w:pStyle w:val="MDPI17abstract"/>
        <w:rPr>
          <w:rFonts w:ascii="Georgia" w:eastAsiaTheme="minorEastAsia" w:hAnsi="Georgia" w:cs="Arial"/>
          <w:color w:val="000000" w:themeColor="text1"/>
          <w:szCs w:val="18"/>
        </w:rPr>
      </w:pPr>
    </w:p>
    <w:p w14:paraId="0B745039" w14:textId="77777777" w:rsidR="00B40059" w:rsidRPr="003E0671" w:rsidRDefault="00B40059" w:rsidP="00B40059">
      <w:pPr>
        <w:pStyle w:val="MDPI18keywords"/>
        <w:rPr>
          <w:rFonts w:ascii="Georgia" w:eastAsiaTheme="minorEastAsia" w:hAnsi="Georgia" w:cs="Arial"/>
          <w:color w:val="000000" w:themeColor="text1"/>
          <w:szCs w:val="18"/>
        </w:rPr>
      </w:pPr>
      <w:r w:rsidRPr="003E0671">
        <w:rPr>
          <w:rFonts w:ascii="Georgia" w:eastAsiaTheme="minorEastAsia" w:hAnsi="Georgia" w:cs="Arial"/>
          <w:b/>
          <w:color w:val="000000" w:themeColor="text1"/>
          <w:szCs w:val="18"/>
        </w:rPr>
        <w:t>Keywords:</w:t>
      </w:r>
      <w:r w:rsidRPr="003E0671">
        <w:rPr>
          <w:rFonts w:ascii="Georgia" w:eastAsiaTheme="minorEastAsia" w:hAnsi="Georgia" w:cs="Arial"/>
          <w:color w:val="000000" w:themeColor="text1"/>
          <w:szCs w:val="18"/>
        </w:rPr>
        <w:t xml:space="preserve"> Long-term care units; well-being; assessment tools; the Social Production Function</w:t>
      </w:r>
    </w:p>
    <w:p w14:paraId="08363ED4" w14:textId="77777777" w:rsidR="00B40059" w:rsidRPr="003E0671" w:rsidRDefault="00B40059" w:rsidP="00B40059">
      <w:pPr>
        <w:pStyle w:val="MDPI19line"/>
        <w:rPr>
          <w:rFonts w:ascii="Georgia" w:eastAsiaTheme="minorEastAsia" w:hAnsi="Georgia" w:cs="Arial"/>
          <w:color w:val="000000" w:themeColor="text1"/>
        </w:rPr>
      </w:pPr>
    </w:p>
    <w:p w14:paraId="2414ED43" w14:textId="77777777" w:rsidR="00B40059" w:rsidRPr="003E0671" w:rsidRDefault="00B40059" w:rsidP="00B40059">
      <w:pPr>
        <w:pStyle w:val="MDPI21heading1"/>
        <w:numPr>
          <w:ilvl w:val="0"/>
          <w:numId w:val="25"/>
        </w:numPr>
        <w:rPr>
          <w:rFonts w:ascii="Georgia" w:eastAsiaTheme="minorEastAsia" w:hAnsi="Georgia" w:cs="Arial"/>
          <w:color w:val="000000" w:themeColor="text1"/>
          <w:lang w:eastAsia="zh-CN"/>
        </w:rPr>
      </w:pPr>
      <w:r w:rsidRPr="003E0671">
        <w:rPr>
          <w:rFonts w:ascii="Georgia" w:eastAsiaTheme="minorEastAsia" w:hAnsi="Georgia" w:cs="Arial"/>
          <w:color w:val="000000" w:themeColor="text1"/>
          <w:lang w:eastAsia="zh-CN"/>
        </w:rPr>
        <w:t>Introduction</w:t>
      </w:r>
    </w:p>
    <w:p w14:paraId="51DED731" w14:textId="77777777" w:rsidR="00B40059" w:rsidRPr="003E0671" w:rsidRDefault="00B40059" w:rsidP="00D20063">
      <w:pPr>
        <w:pStyle w:val="MDPI31text"/>
        <w:rPr>
          <w:rFonts w:ascii="Georgia" w:eastAsiaTheme="minorEastAsia" w:hAnsi="Georgia" w:cs="Arial"/>
          <w:color w:val="000000" w:themeColor="text1"/>
          <w:szCs w:val="20"/>
        </w:rPr>
      </w:pPr>
      <w:r w:rsidRPr="003E0671">
        <w:rPr>
          <w:rFonts w:ascii="Georgia" w:eastAsiaTheme="minorEastAsia" w:hAnsi="Georgia" w:cs="Arial"/>
          <w:color w:val="000000" w:themeColor="text1"/>
          <w:szCs w:val="20"/>
        </w:rPr>
        <w:t>When planning long-term care facilities (LTCF), architects strive to design buildings that support the well-being of those who live and work there. They base this work on their subjective impressions of similar institutions, personal experience, subjective assumptions about what residents and caregivers may consider desirable, as well as guidelines based on published research, which often present conflicting results (regarding, e.g., the recommended shape for hallways or the optimal position of the nursing station). Hence, to properly produce a design that supports well-being in LTCFs, architects need an assessment tool that will help them improve the physical</w:t>
      </w:r>
      <w:r w:rsidR="00D20063">
        <w:rPr>
          <w:rFonts w:ascii="Georgia" w:eastAsiaTheme="minorEastAsia" w:hAnsi="Georgia" w:cs="Arial"/>
          <w:color w:val="000000" w:themeColor="text1"/>
          <w:szCs w:val="20"/>
        </w:rPr>
        <w:t xml:space="preserve"> </w:t>
      </w:r>
      <w:r w:rsidRPr="003E0671">
        <w:rPr>
          <w:rFonts w:ascii="Georgia" w:eastAsiaTheme="minorEastAsia" w:hAnsi="Georgia" w:cs="Arial"/>
          <w:color w:val="000000" w:themeColor="text1"/>
          <w:szCs w:val="20"/>
        </w:rPr>
        <w:t xml:space="preserve">layout optimally throughout the design process. </w:t>
      </w:r>
    </w:p>
    <w:p w14:paraId="6CF240F3" w14:textId="77777777" w:rsidR="00B40059" w:rsidRPr="003E0671" w:rsidRDefault="00B40059" w:rsidP="00D20063">
      <w:pPr>
        <w:pStyle w:val="MDPI31text"/>
        <w:rPr>
          <w:rFonts w:ascii="Georgia" w:eastAsiaTheme="minorEastAsia" w:hAnsi="Georgia" w:cs="Arial"/>
          <w:color w:val="000000" w:themeColor="text1"/>
          <w:szCs w:val="20"/>
        </w:rPr>
      </w:pPr>
      <w:r w:rsidRPr="003E0671">
        <w:rPr>
          <w:rFonts w:ascii="Georgia" w:eastAsiaTheme="minorEastAsia" w:hAnsi="Georgia" w:cs="Arial"/>
          <w:color w:val="000000" w:themeColor="text1"/>
          <w:szCs w:val="20"/>
        </w:rPr>
        <w:t xml:space="preserve">Most existing tools that measure the </w:t>
      </w:r>
      <w:r w:rsidR="00E22CE5">
        <w:rPr>
          <w:rFonts w:ascii="Georgia" w:eastAsiaTheme="minorEastAsia" w:hAnsi="Georgia" w:cs="Arial"/>
          <w:color w:val="000000" w:themeColor="text1"/>
          <w:szCs w:val="20"/>
        </w:rPr>
        <w:t>physical layout</w:t>
      </w:r>
      <w:r w:rsidR="00E22CE5" w:rsidRPr="003E0671">
        <w:rPr>
          <w:rFonts w:ascii="Georgia" w:eastAsiaTheme="minorEastAsia" w:hAnsi="Georgia" w:cs="Arial"/>
          <w:color w:val="000000" w:themeColor="text1"/>
          <w:szCs w:val="20"/>
        </w:rPr>
        <w:t xml:space="preserve">’s </w:t>
      </w:r>
      <w:r w:rsidRPr="003E0671">
        <w:rPr>
          <w:rFonts w:ascii="Georgia" w:eastAsiaTheme="minorEastAsia" w:hAnsi="Georgia" w:cs="Arial"/>
          <w:color w:val="000000" w:themeColor="text1"/>
          <w:szCs w:val="20"/>
        </w:rPr>
        <w:t xml:space="preserve">support of well-being address different amounts of variables in a wide variety of combinations, assuming that each variable has a dichotomous (yes/no) effect on a single domain of well-being. Thus, the significance and weight of each variable </w:t>
      </w:r>
      <w:r w:rsidR="00D20063">
        <w:rPr>
          <w:rFonts w:ascii="Georgia" w:eastAsiaTheme="minorEastAsia" w:hAnsi="Georgia" w:cs="Arial"/>
          <w:color w:val="000000" w:themeColor="text1"/>
          <w:szCs w:val="20"/>
        </w:rPr>
        <w:t>are</w:t>
      </w:r>
      <w:r w:rsidRPr="003E0671">
        <w:rPr>
          <w:rFonts w:ascii="Georgia" w:eastAsiaTheme="minorEastAsia" w:hAnsi="Georgia" w:cs="Arial"/>
          <w:color w:val="000000" w:themeColor="text1"/>
          <w:szCs w:val="20"/>
        </w:rPr>
        <w:t xml:space="preserve"> overlooked. Furthermore, the tools are not based on an accepted model but are chosen based on the preferences and assumptions of the </w:t>
      </w:r>
      <w:r w:rsidRPr="003E0671">
        <w:rPr>
          <w:rFonts w:ascii="Georgia" w:eastAsiaTheme="minorEastAsia" w:hAnsi="Georgia" w:cs="Arial"/>
          <w:color w:val="000000" w:themeColor="text1"/>
          <w:szCs w:val="20"/>
        </w:rPr>
        <w:lastRenderedPageBreak/>
        <w:t xml:space="preserve">researchers. The Psycho-Social Evaluation Tool (PSET) (Rom et al., 2022) is a quantitative assessment tool based on the social production function (SPF) model (Lindenberg, 1996). </w:t>
      </w:r>
    </w:p>
    <w:p w14:paraId="24B2956D" w14:textId="77777777" w:rsidR="00B40059" w:rsidRPr="003E0671" w:rsidRDefault="00B40059" w:rsidP="00D20063">
      <w:pPr>
        <w:pStyle w:val="MDPI31text"/>
        <w:rPr>
          <w:rFonts w:ascii="Georgia" w:eastAsiaTheme="minorEastAsia" w:hAnsi="Georgia" w:cs="Arial"/>
          <w:color w:val="000000" w:themeColor="text1"/>
          <w:szCs w:val="20"/>
        </w:rPr>
      </w:pPr>
      <w:r w:rsidRPr="003E0671">
        <w:rPr>
          <w:rFonts w:ascii="Georgia" w:eastAsiaTheme="minorEastAsia" w:hAnsi="Georgia" w:cs="Arial"/>
          <w:color w:val="000000" w:themeColor="text1"/>
          <w:szCs w:val="20"/>
        </w:rPr>
        <w:t>The SPF, unlike other well-being models, asserts that age-related deterioration in terms of health, cognition, and functionality do</w:t>
      </w:r>
      <w:r w:rsidR="00D20063">
        <w:rPr>
          <w:rFonts w:ascii="Georgia" w:eastAsiaTheme="minorEastAsia" w:hAnsi="Georgia" w:cs="Arial"/>
          <w:color w:val="000000" w:themeColor="text1"/>
          <w:szCs w:val="20"/>
        </w:rPr>
        <w:t>es</w:t>
      </w:r>
      <w:r w:rsidRPr="003E0671">
        <w:rPr>
          <w:rFonts w:ascii="Georgia" w:eastAsiaTheme="minorEastAsia" w:hAnsi="Georgia" w:cs="Arial"/>
          <w:color w:val="000000" w:themeColor="text1"/>
          <w:szCs w:val="20"/>
        </w:rPr>
        <w:t xml:space="preserve"> not affect everyone’s well-being in the same way. Therefore, people use different available resources in diverse ways to improve and achieve their well-being and living conditions. The SPF model refers to five well-being goals (domains) achieved through a symbiotic relationship between a bank of resources, where one resource compensates for the lack of others. </w:t>
      </w:r>
    </w:p>
    <w:p w14:paraId="721B46D8" w14:textId="77777777" w:rsidR="00B40059" w:rsidRPr="003E0671" w:rsidRDefault="00B40059" w:rsidP="00D20063">
      <w:pPr>
        <w:pStyle w:val="MDPI31text"/>
        <w:rPr>
          <w:rFonts w:ascii="Georgia" w:eastAsiaTheme="minorEastAsia" w:hAnsi="Georgia" w:cs="Arial"/>
          <w:color w:val="000000" w:themeColor="text1"/>
          <w:szCs w:val="20"/>
        </w:rPr>
      </w:pPr>
      <w:r w:rsidRPr="003E0671">
        <w:rPr>
          <w:rFonts w:ascii="Georgia" w:eastAsiaTheme="minorEastAsia" w:hAnsi="Georgia" w:cs="Arial"/>
          <w:color w:val="000000" w:themeColor="text1"/>
          <w:szCs w:val="20"/>
        </w:rPr>
        <w:t xml:space="preserve">By analyzing plans from 40 long-term care units using the PSET, the current research demonstrates that the </w:t>
      </w:r>
      <w:r w:rsidR="00D20063">
        <w:rPr>
          <w:rFonts w:ascii="Georgia" w:eastAsiaTheme="minorEastAsia" w:hAnsi="Georgia" w:cs="Arial"/>
          <w:color w:val="000000" w:themeColor="text1"/>
          <w:szCs w:val="20"/>
        </w:rPr>
        <w:t>physical layouts'</w:t>
      </w:r>
      <w:r w:rsidRPr="003E0671">
        <w:rPr>
          <w:rFonts w:ascii="Georgia" w:eastAsiaTheme="minorEastAsia" w:hAnsi="Georgia" w:cs="Arial"/>
          <w:color w:val="000000" w:themeColor="text1"/>
          <w:szCs w:val="20"/>
        </w:rPr>
        <w:t xml:space="preserve"> support of well-being is related to a combination of variables. Focusing on the conflicting recommendations regarding hallway shape, which affects the overall unit layout during the design process, the current research demonstrates that a single variable cannot predict the </w:t>
      </w:r>
      <w:r w:rsidR="00D20063">
        <w:rPr>
          <w:rFonts w:ascii="Georgia" w:eastAsiaTheme="minorEastAsia" w:hAnsi="Georgia" w:cs="Arial"/>
          <w:color w:val="000000" w:themeColor="text1"/>
          <w:szCs w:val="20"/>
        </w:rPr>
        <w:t>physical layouts'</w:t>
      </w:r>
      <w:r w:rsidRPr="003E0671">
        <w:rPr>
          <w:rFonts w:ascii="Georgia" w:eastAsiaTheme="minorEastAsia" w:hAnsi="Georgia" w:cs="Arial"/>
          <w:color w:val="000000" w:themeColor="text1"/>
          <w:szCs w:val="20"/>
        </w:rPr>
        <w:t xml:space="preserve"> support of well-being. It is therefore recommended to view the variables contributing to well-being as a bank of resources, with each one measured and assessed during the design process. The present research contributes to improving the quality of planning </w:t>
      </w:r>
      <w:r w:rsidR="00D87A3F" w:rsidRPr="003E0671">
        <w:rPr>
          <w:rFonts w:ascii="Georgia" w:eastAsiaTheme="minorEastAsia" w:hAnsi="Georgia" w:cs="Arial"/>
          <w:color w:val="000000" w:themeColor="text1"/>
          <w:szCs w:val="20"/>
        </w:rPr>
        <w:t>long-term care units</w:t>
      </w:r>
      <w:r w:rsidRPr="003E0671">
        <w:rPr>
          <w:rFonts w:ascii="Georgia" w:eastAsiaTheme="minorEastAsia" w:hAnsi="Georgia" w:cs="Arial"/>
          <w:color w:val="000000" w:themeColor="text1"/>
          <w:szCs w:val="20"/>
        </w:rPr>
        <w:t>, benefiting residents and caregivers alike.</w:t>
      </w:r>
    </w:p>
    <w:p w14:paraId="1B79BAEA" w14:textId="77777777" w:rsidR="00B40059" w:rsidRPr="003E0671" w:rsidRDefault="00B40059" w:rsidP="00B40059">
      <w:pPr>
        <w:pStyle w:val="MDPI31text"/>
        <w:ind w:left="0" w:firstLine="0"/>
        <w:rPr>
          <w:rFonts w:ascii="Georgia" w:eastAsiaTheme="minorEastAsia" w:hAnsi="Georgia" w:cs="Arial"/>
          <w:color w:val="000000" w:themeColor="text1"/>
        </w:rPr>
      </w:pPr>
    </w:p>
    <w:p w14:paraId="280472F5" w14:textId="77777777" w:rsidR="00B40059" w:rsidRPr="003E0671" w:rsidRDefault="00B40059" w:rsidP="00B40059">
      <w:pPr>
        <w:pStyle w:val="MDPI21heading1"/>
        <w:rPr>
          <w:rFonts w:ascii="Georgia" w:eastAsiaTheme="minorEastAsia" w:hAnsi="Georgia" w:cs="Arial"/>
          <w:color w:val="000000" w:themeColor="text1"/>
        </w:rPr>
      </w:pPr>
      <w:r w:rsidRPr="003E0671">
        <w:rPr>
          <w:rFonts w:ascii="Georgia" w:eastAsiaTheme="minorEastAsia" w:hAnsi="Georgia" w:cs="Arial"/>
          <w:color w:val="000000" w:themeColor="text1"/>
          <w:lang w:eastAsia="zh-CN"/>
        </w:rPr>
        <w:t xml:space="preserve">2. </w:t>
      </w:r>
      <w:r w:rsidRPr="003E0671">
        <w:rPr>
          <w:rFonts w:ascii="Georgia" w:eastAsiaTheme="minorEastAsia" w:hAnsi="Georgia" w:cs="Arial"/>
          <w:color w:val="000000" w:themeColor="text1"/>
        </w:rPr>
        <w:t>Theories and Methods</w:t>
      </w:r>
    </w:p>
    <w:p w14:paraId="4DBAF393" w14:textId="77777777" w:rsidR="00B40059" w:rsidRPr="003E0671" w:rsidRDefault="00B40059" w:rsidP="00B40059">
      <w:pPr>
        <w:pStyle w:val="MDPI31text"/>
        <w:rPr>
          <w:rFonts w:ascii="Georgia" w:eastAsiaTheme="minorEastAsia" w:hAnsi="Georgia" w:cs="Arial"/>
          <w:color w:val="000000" w:themeColor="text1"/>
          <w:szCs w:val="20"/>
        </w:rPr>
      </w:pPr>
      <w:r w:rsidRPr="003E0671">
        <w:rPr>
          <w:rFonts w:ascii="Georgia" w:eastAsiaTheme="minorEastAsia" w:hAnsi="Georgia" w:cs="Arial"/>
          <w:color w:val="000000" w:themeColor="text1"/>
          <w:szCs w:val="20"/>
        </w:rPr>
        <w:t xml:space="preserve">The increasing average age of the population is accompanied by a growing number of adults needing 24-hour assistance and being admitted into LTCFs, which has led to </w:t>
      </w:r>
      <w:proofErr w:type="spellStart"/>
      <w:r w:rsidR="00F97570">
        <w:rPr>
          <w:rFonts w:ascii="Georgia" w:eastAsiaTheme="minorEastAsia" w:hAnsi="Georgia" w:cs="Arial"/>
          <w:color w:val="000000" w:themeColor="text1"/>
          <w:szCs w:val="20"/>
        </w:rPr>
        <w:t>the</w:t>
      </w:r>
      <w:r w:rsidRPr="003E0671">
        <w:rPr>
          <w:rFonts w:ascii="Georgia" w:eastAsiaTheme="minorEastAsia" w:hAnsi="Georgia" w:cs="Arial"/>
          <w:color w:val="000000" w:themeColor="text1"/>
          <w:szCs w:val="20"/>
        </w:rPr>
        <w:t>adaptation</w:t>
      </w:r>
      <w:proofErr w:type="spellEnd"/>
      <w:r w:rsidRPr="003E0671">
        <w:rPr>
          <w:rFonts w:ascii="Georgia" w:eastAsiaTheme="minorEastAsia" w:hAnsi="Georgia" w:cs="Arial"/>
          <w:color w:val="000000" w:themeColor="text1"/>
          <w:szCs w:val="20"/>
        </w:rPr>
        <w:t xml:space="preserve"> of well-being models (Alborz, 2017). Lawton (1983) was the first to create a new model of the “good life” in old age. This unique model embedded new ideas centered on the importance of the environment in supporting well-being of older adults.</w:t>
      </w:r>
    </w:p>
    <w:p w14:paraId="181F2EB0" w14:textId="77777777" w:rsidR="00B40059" w:rsidRPr="003E0671" w:rsidRDefault="00B40059" w:rsidP="00F97570">
      <w:pPr>
        <w:pStyle w:val="MDPI31text"/>
        <w:rPr>
          <w:rFonts w:ascii="Georgia" w:eastAsiaTheme="minorEastAsia" w:hAnsi="Georgia" w:cs="Arial"/>
          <w:color w:val="000000" w:themeColor="text1"/>
          <w:szCs w:val="20"/>
        </w:rPr>
      </w:pPr>
      <w:r w:rsidRPr="003E0671">
        <w:rPr>
          <w:rFonts w:ascii="Georgia" w:eastAsiaTheme="minorEastAsia" w:hAnsi="Georgia" w:cs="Arial"/>
          <w:color w:val="000000" w:themeColor="text1"/>
          <w:szCs w:val="20"/>
        </w:rPr>
        <w:t xml:space="preserve"> Since then, research has examined the effects of environmental variables on the subjective well-being of older adults, particularly among LTCF residents (e.g., privacy, autonomy, institutional versus home-like atmosphere, and orientation). These important studies have enriched the field but have also yielded inconsistent results, highlighting the need for uniform measurement tools.</w:t>
      </w:r>
      <w:r w:rsidR="005313EC" w:rsidRPr="005313EC">
        <w:t xml:space="preserve"> </w:t>
      </w:r>
      <w:r w:rsidR="005313EC" w:rsidRPr="005313EC">
        <w:rPr>
          <w:rFonts w:ascii="Georgia" w:eastAsiaTheme="minorEastAsia" w:hAnsi="Georgia" w:cs="Arial"/>
          <w:color w:val="000000" w:themeColor="text1"/>
          <w:szCs w:val="20"/>
        </w:rPr>
        <w:t>The impact of hallway shape on residents’ well-being has been a subject of conflicting research(</w:t>
      </w:r>
      <w:r w:rsidR="005313EC" w:rsidRPr="006A424E">
        <w:rPr>
          <w:rFonts w:ascii="Georgia" w:eastAsiaTheme="minorEastAsia" w:hAnsi="Georgia" w:cs="Arial"/>
          <w:color w:val="auto"/>
          <w:szCs w:val="20"/>
        </w:rPr>
        <w:t xml:space="preserve">Ferdous, 2020; </w:t>
      </w:r>
      <w:proofErr w:type="spellStart"/>
      <w:r w:rsidR="005313EC" w:rsidRPr="006A424E">
        <w:rPr>
          <w:rFonts w:ascii="Georgia" w:eastAsiaTheme="minorEastAsia" w:hAnsi="Georgia" w:cs="Arial"/>
          <w:color w:val="auto"/>
          <w:szCs w:val="20"/>
        </w:rPr>
        <w:t>Kleibusch</w:t>
      </w:r>
      <w:proofErr w:type="spellEnd"/>
      <w:r w:rsidR="005313EC" w:rsidRPr="006A424E">
        <w:rPr>
          <w:rFonts w:ascii="Georgia" w:eastAsiaTheme="minorEastAsia" w:hAnsi="Georgia" w:cs="Arial"/>
          <w:color w:val="auto"/>
          <w:szCs w:val="20"/>
        </w:rPr>
        <w:t>, 2018; Lee et al., 2016; O'malley et al., 2017; van Buuren &amp; Mohammadi, 2022; Van Hecke et al., 2019)</w:t>
      </w:r>
      <w:r w:rsidRPr="006A424E">
        <w:rPr>
          <w:rFonts w:ascii="Georgia" w:eastAsiaTheme="minorEastAsia" w:hAnsi="Georgia" w:cs="Arial"/>
          <w:color w:val="auto"/>
          <w:szCs w:val="20"/>
        </w:rPr>
        <w:t xml:space="preserve">. Elmståhl and Annerstedt (1997) concluded that L-shaped hallways positively affected </w:t>
      </w:r>
      <w:r w:rsidR="00F97570" w:rsidRPr="006A424E">
        <w:rPr>
          <w:rFonts w:ascii="Georgia" w:eastAsiaTheme="minorEastAsia" w:hAnsi="Georgia" w:cs="Arial"/>
          <w:color w:val="auto"/>
          <w:szCs w:val="20"/>
        </w:rPr>
        <w:t xml:space="preserve">the </w:t>
      </w:r>
      <w:r w:rsidRPr="006A424E">
        <w:rPr>
          <w:rFonts w:ascii="Georgia" w:eastAsiaTheme="minorEastAsia" w:hAnsi="Georgia" w:cs="Arial"/>
          <w:color w:val="auto"/>
          <w:szCs w:val="20"/>
        </w:rPr>
        <w:t>psychiatr</w:t>
      </w:r>
      <w:r w:rsidRPr="003E0671">
        <w:rPr>
          <w:rFonts w:ascii="Georgia" w:eastAsiaTheme="minorEastAsia" w:hAnsi="Georgia" w:cs="Arial"/>
          <w:color w:val="000000" w:themeColor="text1"/>
          <w:szCs w:val="20"/>
        </w:rPr>
        <w:t>ic symptoms of residents, while I-shaped hallways provided the worst results. In contrast, Marquardt and Schmieg (2009) concluded that I-shaped hallways allow better orientation and are preferable for residents with dementia. Still</w:t>
      </w:r>
      <w:r w:rsidR="00F97570">
        <w:rPr>
          <w:rFonts w:ascii="Georgia" w:eastAsiaTheme="minorEastAsia" w:hAnsi="Georgia" w:cs="Arial"/>
          <w:color w:val="000000" w:themeColor="text1"/>
          <w:szCs w:val="20"/>
        </w:rPr>
        <w:t>,</w:t>
      </w:r>
      <w:r w:rsidRPr="003E0671">
        <w:rPr>
          <w:rFonts w:ascii="Georgia" w:eastAsiaTheme="minorEastAsia" w:hAnsi="Georgia" w:cs="Arial"/>
          <w:color w:val="000000" w:themeColor="text1"/>
          <w:szCs w:val="20"/>
        </w:rPr>
        <w:t xml:space="preserve"> other studies have argued that I-shaped hallways increase the residents’ negative experience of living in an institution (Bowes, A., Dawson, 2019). </w:t>
      </w:r>
    </w:p>
    <w:p w14:paraId="7F4ED912" w14:textId="77777777" w:rsidR="00B40059" w:rsidRPr="003E0671" w:rsidRDefault="00B40059" w:rsidP="00F97570">
      <w:pPr>
        <w:pStyle w:val="MDPI31text"/>
        <w:rPr>
          <w:rFonts w:ascii="Georgia" w:eastAsiaTheme="minorEastAsia" w:hAnsi="Georgia" w:cs="Arial"/>
          <w:color w:val="000000" w:themeColor="text1"/>
          <w:szCs w:val="20"/>
        </w:rPr>
      </w:pPr>
      <w:r w:rsidRPr="003E0671">
        <w:rPr>
          <w:rFonts w:ascii="Georgia" w:eastAsiaTheme="minorEastAsia" w:hAnsi="Georgia" w:cs="Arial"/>
          <w:color w:val="000000" w:themeColor="text1"/>
          <w:szCs w:val="20"/>
        </w:rPr>
        <w:t>Additional studies have focused on the effects of different</w:t>
      </w:r>
      <w:r w:rsidR="00E22CE5">
        <w:rPr>
          <w:rFonts w:ascii="Georgia" w:eastAsiaTheme="minorEastAsia" w:hAnsi="Georgia" w:cs="Arial"/>
          <w:color w:val="000000" w:themeColor="text1"/>
          <w:szCs w:val="20"/>
        </w:rPr>
        <w:t xml:space="preserve"> physical layout </w:t>
      </w:r>
      <w:r w:rsidRPr="003E0671">
        <w:rPr>
          <w:rFonts w:ascii="Georgia" w:eastAsiaTheme="minorEastAsia" w:hAnsi="Georgia" w:cs="Arial"/>
          <w:color w:val="000000" w:themeColor="text1"/>
          <w:szCs w:val="20"/>
        </w:rPr>
        <w:t xml:space="preserve">components on cognition, analyzing the architectural plans of existing </w:t>
      </w:r>
      <w:r w:rsidR="00D87A3F" w:rsidRPr="003E0671">
        <w:rPr>
          <w:rFonts w:ascii="Georgia" w:eastAsiaTheme="minorEastAsia" w:hAnsi="Georgia" w:cs="Arial"/>
          <w:color w:val="000000" w:themeColor="text1"/>
          <w:szCs w:val="20"/>
        </w:rPr>
        <w:t>long-term care units</w:t>
      </w:r>
      <w:r w:rsidRPr="003E0671">
        <w:rPr>
          <w:rFonts w:ascii="Georgia" w:eastAsiaTheme="minorEastAsia" w:hAnsi="Georgia" w:cs="Arial"/>
          <w:color w:val="000000" w:themeColor="text1"/>
          <w:szCs w:val="20"/>
        </w:rPr>
        <w:t xml:space="preserve">. </w:t>
      </w:r>
      <w:r w:rsidR="00F97570" w:rsidRPr="00F97570">
        <w:rPr>
          <w:rFonts w:ascii="Georgia" w:eastAsiaTheme="minorEastAsia" w:hAnsi="Georgia" w:cs="Arial"/>
          <w:color w:val="000000" w:themeColor="text1"/>
          <w:szCs w:val="20"/>
        </w:rPr>
        <w:t>Using Space Syntax (Bafna, 2003), the analysis compared quantitative levels of visuality, orientation, and movement in space</w:t>
      </w:r>
      <w:r w:rsidRPr="003E0671">
        <w:rPr>
          <w:rFonts w:ascii="Georgia" w:eastAsiaTheme="minorEastAsia" w:hAnsi="Georgia" w:cs="Arial"/>
          <w:color w:val="000000" w:themeColor="text1"/>
          <w:szCs w:val="20"/>
        </w:rPr>
        <w:t xml:space="preserve">. Despite the importance of these measurements, it has been argued that Space Syntax cannot be used as an individual assessment tool to examine the </w:t>
      </w:r>
      <w:r w:rsidR="00D20063">
        <w:rPr>
          <w:rFonts w:ascii="Georgia" w:eastAsiaTheme="minorEastAsia" w:hAnsi="Georgia" w:cs="Arial"/>
          <w:color w:val="000000" w:themeColor="text1"/>
          <w:szCs w:val="20"/>
        </w:rPr>
        <w:t>physical layouts'</w:t>
      </w:r>
      <w:r w:rsidRPr="003E0671">
        <w:rPr>
          <w:rFonts w:ascii="Georgia" w:eastAsiaTheme="minorEastAsia" w:hAnsi="Georgia" w:cs="Arial"/>
          <w:color w:val="000000" w:themeColor="text1"/>
          <w:szCs w:val="20"/>
        </w:rPr>
        <w:t xml:space="preserve"> support of well-being in these units. The attempt to cross-reference </w:t>
      </w:r>
      <w:r w:rsidR="00D20063" w:rsidRPr="003E0671">
        <w:rPr>
          <w:rFonts w:ascii="Georgia" w:eastAsiaTheme="minorEastAsia" w:hAnsi="Georgia" w:cs="Arial"/>
          <w:color w:val="000000" w:themeColor="text1"/>
          <w:szCs w:val="20"/>
        </w:rPr>
        <w:t>Space Syntax</w:t>
      </w:r>
      <w:r w:rsidRPr="003E0671">
        <w:rPr>
          <w:rFonts w:ascii="Georgia" w:eastAsiaTheme="minorEastAsia" w:hAnsi="Georgia" w:cs="Arial"/>
          <w:color w:val="000000" w:themeColor="text1"/>
          <w:szCs w:val="20"/>
        </w:rPr>
        <w:t xml:space="preserve"> with other assessment tools (Quirke et al., 2021) has again led to the conclusion that a combined methodological tool is needed.</w:t>
      </w:r>
    </w:p>
    <w:p w14:paraId="0EEA7E27" w14:textId="77777777" w:rsidR="00B40059" w:rsidRPr="003E0671" w:rsidRDefault="00B40059" w:rsidP="00F97570">
      <w:pPr>
        <w:pStyle w:val="MDPI31text"/>
        <w:rPr>
          <w:rFonts w:ascii="Georgia" w:eastAsiaTheme="minorEastAsia" w:hAnsi="Georgia" w:cs="Arial"/>
          <w:color w:val="000000" w:themeColor="text1"/>
          <w:szCs w:val="20"/>
        </w:rPr>
      </w:pPr>
      <w:r w:rsidRPr="003E0671">
        <w:rPr>
          <w:rFonts w:ascii="Georgia" w:eastAsiaTheme="minorEastAsia" w:hAnsi="Georgia" w:cs="Arial"/>
          <w:color w:val="000000" w:themeColor="text1"/>
          <w:szCs w:val="20"/>
        </w:rPr>
        <w:t>The vast knowledge accumulated from these studies has led to new assessment tools addressing the environmental variables that support well-being. Many are based on observations and dichotomously examine the existence of hundreds of environmental variables that include, in addition to the</w:t>
      </w:r>
      <w:r w:rsidR="00E22CE5">
        <w:rPr>
          <w:rFonts w:ascii="Georgia" w:eastAsiaTheme="minorEastAsia" w:hAnsi="Georgia" w:cs="Arial"/>
          <w:color w:val="000000" w:themeColor="text1"/>
          <w:szCs w:val="20"/>
        </w:rPr>
        <w:t xml:space="preserve"> physical layout </w:t>
      </w:r>
      <w:r w:rsidRPr="003E0671">
        <w:rPr>
          <w:rFonts w:ascii="Georgia" w:eastAsiaTheme="minorEastAsia" w:hAnsi="Georgia" w:cs="Arial"/>
          <w:color w:val="000000" w:themeColor="text1"/>
          <w:szCs w:val="20"/>
        </w:rPr>
        <w:t>variables, general environmental variables (e.g., odors, garden, home-like environment). As a part of the assessment procedure, the observed variables in each tool (e.g., 181 variables measured in the DDAT, 337 in the SCEAM) (Elf et al., 2017)) are grouped into different well-being domains (presumed to affect only a single domain). However, the amount and nature of these domains vary from tool to tool. </w:t>
      </w:r>
    </w:p>
    <w:p w14:paraId="54F66653" w14:textId="77777777" w:rsidR="00B40059" w:rsidRPr="00D35C14" w:rsidRDefault="00B40059" w:rsidP="00F97570">
      <w:pPr>
        <w:pStyle w:val="MDPI31text"/>
        <w:rPr>
          <w:rFonts w:ascii="Georgia" w:eastAsiaTheme="minorEastAsia" w:hAnsi="Georgia" w:cs="Arial"/>
          <w:color w:val="000000" w:themeColor="text1"/>
          <w:szCs w:val="20"/>
          <w:rtl/>
          <w:lang w:bidi="he-IL"/>
        </w:rPr>
      </w:pPr>
      <w:r w:rsidRPr="003E0671">
        <w:rPr>
          <w:rFonts w:ascii="Georgia" w:eastAsiaTheme="minorEastAsia" w:hAnsi="Georgia" w:cs="Arial"/>
          <w:color w:val="000000" w:themeColor="text1"/>
          <w:szCs w:val="20"/>
        </w:rPr>
        <w:t>Furthermore, the tools do not examine absolute quantitative variables of the physical environment (such as walking distances,</w:t>
      </w:r>
      <w:r w:rsidR="00F97570">
        <w:rPr>
          <w:rFonts w:ascii="Georgia" w:eastAsiaTheme="minorEastAsia" w:hAnsi="Georgia" w:cs="Arial"/>
          <w:color w:val="000000" w:themeColor="text1"/>
          <w:szCs w:val="20"/>
        </w:rPr>
        <w:t xml:space="preserve"> the</w:t>
      </w:r>
      <w:r w:rsidRPr="003E0671">
        <w:rPr>
          <w:rFonts w:ascii="Georgia" w:eastAsiaTheme="minorEastAsia" w:hAnsi="Georgia" w:cs="Arial"/>
          <w:color w:val="000000" w:themeColor="text1"/>
          <w:szCs w:val="20"/>
        </w:rPr>
        <w:t xml:space="preserve"> density of specific areas, </w:t>
      </w:r>
      <w:r w:rsidR="00F97570">
        <w:rPr>
          <w:rFonts w:ascii="Georgia" w:eastAsiaTheme="minorEastAsia" w:hAnsi="Georgia" w:cs="Arial"/>
          <w:color w:val="000000" w:themeColor="text1"/>
          <w:szCs w:val="20"/>
        </w:rPr>
        <w:t xml:space="preserve">and </w:t>
      </w:r>
      <w:r w:rsidRPr="003E0671">
        <w:rPr>
          <w:rFonts w:ascii="Georgia" w:eastAsiaTheme="minorEastAsia" w:hAnsi="Georgia" w:cs="Arial"/>
          <w:color w:val="000000" w:themeColor="text1"/>
          <w:szCs w:val="20"/>
        </w:rPr>
        <w:t>visibility related to autonomy and privacy)</w:t>
      </w:r>
      <w:r w:rsidR="00F97570">
        <w:rPr>
          <w:rFonts w:ascii="Georgia" w:eastAsiaTheme="minorEastAsia" w:hAnsi="Georgia" w:cs="Arial"/>
          <w:color w:val="000000" w:themeColor="text1"/>
          <w:szCs w:val="20"/>
        </w:rPr>
        <w:t>,</w:t>
      </w:r>
      <w:r w:rsidRPr="003E0671">
        <w:rPr>
          <w:rFonts w:ascii="Georgia" w:eastAsiaTheme="minorEastAsia" w:hAnsi="Georgia" w:cs="Arial"/>
          <w:color w:val="000000" w:themeColor="text1"/>
          <w:szCs w:val="20"/>
        </w:rPr>
        <w:t xml:space="preserve"> nor do they analyze the architectural plans quantitatively. Therefore, insight is limited regarding the contribution of each variable and to efficient possible improvements. The importance of quantifying the</w:t>
      </w:r>
      <w:r w:rsidR="00E22CE5">
        <w:rPr>
          <w:rFonts w:ascii="Georgia" w:eastAsiaTheme="minorEastAsia" w:hAnsi="Georgia" w:cs="Arial"/>
          <w:color w:val="000000" w:themeColor="text1"/>
          <w:szCs w:val="20"/>
        </w:rPr>
        <w:t xml:space="preserve"> physical layout </w:t>
      </w:r>
      <w:r w:rsidRPr="003E0671">
        <w:rPr>
          <w:rFonts w:ascii="Georgia" w:eastAsiaTheme="minorEastAsia" w:hAnsi="Georgia" w:cs="Arial"/>
          <w:color w:val="000000" w:themeColor="text1"/>
          <w:szCs w:val="20"/>
        </w:rPr>
        <w:t xml:space="preserve">lies in the fact that although certain environmental factors can be improved (e.g., interior design to improve </w:t>
      </w:r>
      <w:r w:rsidR="00F97570">
        <w:rPr>
          <w:rFonts w:ascii="Georgia" w:eastAsiaTheme="minorEastAsia" w:hAnsi="Georgia" w:cs="Arial"/>
          <w:color w:val="000000" w:themeColor="text1"/>
          <w:szCs w:val="20"/>
        </w:rPr>
        <w:t xml:space="preserve">the </w:t>
      </w:r>
      <w:r w:rsidRPr="003E0671">
        <w:rPr>
          <w:rFonts w:ascii="Georgia" w:eastAsiaTheme="minorEastAsia" w:hAnsi="Georgia" w:cs="Arial"/>
          <w:color w:val="000000" w:themeColor="text1"/>
          <w:szCs w:val="20"/>
        </w:rPr>
        <w:t xml:space="preserve">atmosphere, improve lighting by replacing lighting fixtures), </w:t>
      </w:r>
      <w:r w:rsidRPr="00E22CE5">
        <w:rPr>
          <w:rFonts w:ascii="Georgia" w:eastAsiaTheme="minorEastAsia" w:hAnsi="Georgia" w:cs="Arial"/>
          <w:color w:val="000000" w:themeColor="text1"/>
          <w:szCs w:val="20"/>
        </w:rPr>
        <w:t>changing the</w:t>
      </w:r>
      <w:r w:rsidR="00E22CE5" w:rsidRPr="00E22CE5">
        <w:rPr>
          <w:rFonts w:ascii="Georgia" w:eastAsiaTheme="minorEastAsia" w:hAnsi="Georgia" w:cs="Arial"/>
          <w:color w:val="000000" w:themeColor="text1"/>
          <w:szCs w:val="20"/>
        </w:rPr>
        <w:t xml:space="preserve"> physical layout</w:t>
      </w:r>
      <w:r w:rsidR="00E22CE5" w:rsidRPr="00CD7F97">
        <w:rPr>
          <w:rFonts w:ascii="Georgia" w:eastAsiaTheme="minorEastAsia" w:hAnsi="Georgia" w:cs="Arial"/>
          <w:color w:val="000000" w:themeColor="text1"/>
          <w:szCs w:val="20"/>
        </w:rPr>
        <w:t xml:space="preserve"> </w:t>
      </w:r>
      <w:r w:rsidRPr="00E22CE5">
        <w:rPr>
          <w:rFonts w:ascii="Georgia" w:eastAsiaTheme="minorEastAsia" w:hAnsi="Georgia" w:cs="Arial"/>
          <w:color w:val="000000" w:themeColor="text1"/>
          <w:szCs w:val="20"/>
        </w:rPr>
        <w:t xml:space="preserve">itself (i.e., the walls) of the </w:t>
      </w:r>
      <w:r w:rsidR="00D87A3F" w:rsidRPr="003E0671">
        <w:rPr>
          <w:rFonts w:ascii="Georgia" w:eastAsiaTheme="minorEastAsia" w:hAnsi="Georgia" w:cs="Arial"/>
          <w:color w:val="000000" w:themeColor="text1"/>
          <w:szCs w:val="20"/>
        </w:rPr>
        <w:t xml:space="preserve">long-term care unit </w:t>
      </w:r>
      <w:r w:rsidRPr="00E22CE5">
        <w:rPr>
          <w:rFonts w:ascii="Georgia" w:eastAsiaTheme="minorEastAsia" w:hAnsi="Georgia" w:cs="Arial"/>
          <w:color w:val="000000" w:themeColor="text1"/>
          <w:szCs w:val="20"/>
        </w:rPr>
        <w:t>is costly</w:t>
      </w:r>
      <w:r w:rsidRPr="003E0671">
        <w:rPr>
          <w:rFonts w:ascii="Georgia" w:eastAsiaTheme="minorEastAsia" w:hAnsi="Georgia" w:cs="Arial"/>
          <w:color w:val="000000" w:themeColor="text1"/>
          <w:szCs w:val="20"/>
        </w:rPr>
        <w:t xml:space="preserve">. It is therefore essential to assess plans during the design process. And for existing </w:t>
      </w:r>
      <w:r w:rsidR="00D87A3F" w:rsidRPr="003E0671">
        <w:rPr>
          <w:rFonts w:ascii="Georgia" w:eastAsiaTheme="minorEastAsia" w:hAnsi="Georgia" w:cs="Arial"/>
          <w:color w:val="000000" w:themeColor="text1"/>
          <w:szCs w:val="20"/>
        </w:rPr>
        <w:t>long-term care units</w:t>
      </w:r>
      <w:r w:rsidRPr="003E0671">
        <w:rPr>
          <w:rFonts w:ascii="Georgia" w:eastAsiaTheme="minorEastAsia" w:hAnsi="Georgia" w:cs="Arial"/>
          <w:color w:val="000000" w:themeColor="text1"/>
          <w:szCs w:val="20"/>
        </w:rPr>
        <w:t xml:space="preserve">, the units' </w:t>
      </w:r>
      <w:r w:rsidRPr="003E0671">
        <w:rPr>
          <w:rFonts w:ascii="Georgia" w:eastAsiaTheme="minorEastAsia" w:hAnsi="Georgia" w:cs="Arial"/>
          <w:color w:val="000000" w:themeColor="text1"/>
          <w:szCs w:val="20"/>
        </w:rPr>
        <w:lastRenderedPageBreak/>
        <w:t>benefits and disadvantages must be considered when aiming to improve</w:t>
      </w:r>
      <w:r w:rsidR="00F97570">
        <w:rPr>
          <w:rFonts w:ascii="Georgia" w:eastAsiaTheme="minorEastAsia" w:hAnsi="Georgia" w:cs="Arial"/>
          <w:color w:val="000000" w:themeColor="text1"/>
          <w:szCs w:val="20"/>
        </w:rPr>
        <w:t xml:space="preserve"> the</w:t>
      </w:r>
      <w:r w:rsidRPr="003E0671">
        <w:rPr>
          <w:rFonts w:ascii="Georgia" w:eastAsiaTheme="minorEastAsia" w:hAnsi="Georgia" w:cs="Arial"/>
          <w:color w:val="000000" w:themeColor="text1"/>
          <w:szCs w:val="20"/>
        </w:rPr>
        <w:t xml:space="preserve"> well-being </w:t>
      </w:r>
      <w:r w:rsidR="00F97570">
        <w:rPr>
          <w:rFonts w:ascii="Georgia" w:eastAsiaTheme="minorEastAsia" w:hAnsi="Georgia" w:cs="Arial"/>
          <w:color w:val="000000" w:themeColor="text1"/>
          <w:szCs w:val="20"/>
        </w:rPr>
        <w:t>of</w:t>
      </w:r>
      <w:r w:rsidRPr="003E0671">
        <w:rPr>
          <w:rFonts w:ascii="Georgia" w:eastAsiaTheme="minorEastAsia" w:hAnsi="Georgia" w:cs="Arial"/>
          <w:color w:val="000000" w:themeColor="text1"/>
          <w:szCs w:val="20"/>
        </w:rPr>
        <w:t xml:space="preserve"> residents.</w:t>
      </w:r>
    </w:p>
    <w:p w14:paraId="0BC054EC" w14:textId="77777777" w:rsidR="00B40059" w:rsidRPr="003E0671" w:rsidRDefault="00B40059" w:rsidP="00D20063">
      <w:pPr>
        <w:pStyle w:val="MDPI31text"/>
        <w:rPr>
          <w:rFonts w:ascii="Georgia" w:eastAsiaTheme="minorEastAsia" w:hAnsi="Georgia" w:cs="Arial"/>
          <w:color w:val="000000" w:themeColor="text1"/>
          <w:szCs w:val="20"/>
        </w:rPr>
      </w:pPr>
      <w:r w:rsidRPr="003E0671">
        <w:rPr>
          <w:rFonts w:ascii="Georgia" w:eastAsiaTheme="minorEastAsia" w:hAnsi="Georgia" w:cs="Arial"/>
          <w:color w:val="000000" w:themeColor="text1"/>
          <w:szCs w:val="20"/>
        </w:rPr>
        <w:t>To our knowledge, the only quantitative methodological assessment tool is the PSET (Rom et al., 2022). The PSET is based on the SPF model (Lindenberg, 1996; Ormel et al., 1997) that provides tools for optimizing well-being in LTCF (D. L. Gerritsen, N. Steverink, 2004).</w:t>
      </w:r>
      <w:r w:rsidRPr="003E0671">
        <w:rPr>
          <w:rFonts w:ascii="Georgia" w:eastAsiaTheme="minorEastAsia" w:hAnsi="Georgia" w:cs="Arial"/>
          <w:color w:val="000000" w:themeColor="text1"/>
        </w:rPr>
        <w:t xml:space="preserve"> </w:t>
      </w:r>
      <w:r w:rsidRPr="003E0671">
        <w:rPr>
          <w:rFonts w:ascii="Georgia" w:eastAsiaTheme="minorEastAsia" w:hAnsi="Georgia" w:cs="Arial"/>
          <w:color w:val="000000" w:themeColor="text1"/>
          <w:szCs w:val="20"/>
        </w:rPr>
        <w:t xml:space="preserve">The SPF addresses well-being as a universal goal achieved by five domains (“instrumental goals”): comfort, stimulation, status, behavioral confirmation, and affection. According to the theory, diverse resources (“means of production” that include the </w:t>
      </w:r>
      <w:r w:rsidR="00D20063">
        <w:rPr>
          <w:rFonts w:ascii="Georgia" w:eastAsiaTheme="minorEastAsia" w:hAnsi="Georgia" w:cs="Arial"/>
          <w:color w:val="000000" w:themeColor="text1"/>
          <w:szCs w:val="20"/>
        </w:rPr>
        <w:t>physical layouts</w:t>
      </w:r>
      <w:r w:rsidRPr="003E0671">
        <w:rPr>
          <w:rFonts w:ascii="Georgia" w:eastAsiaTheme="minorEastAsia" w:hAnsi="Georgia" w:cs="Arial"/>
          <w:color w:val="000000" w:themeColor="text1"/>
          <w:szCs w:val="20"/>
        </w:rPr>
        <w:t>) comprise these five domains. Thus, contrary to other frameworks, the SPF treats these five domains as a bank of resources. The resources are characterized by a symbiotic relationship that supports physical well-being (</w:t>
      </w:r>
      <w:r w:rsidR="00DA5238">
        <w:rPr>
          <w:rFonts w:ascii="Georgia" w:eastAsiaTheme="minorEastAsia" w:hAnsi="Georgia" w:cs="Arial"/>
          <w:color w:val="000000" w:themeColor="text1"/>
          <w:szCs w:val="20"/>
        </w:rPr>
        <w:t>physical-</w:t>
      </w:r>
      <w:r w:rsidR="00DA5238" w:rsidRPr="003E0671">
        <w:rPr>
          <w:rFonts w:ascii="Georgia" w:eastAsiaTheme="minorEastAsia" w:hAnsi="Georgia" w:cs="Arial"/>
          <w:color w:val="000000" w:themeColor="text1"/>
          <w:szCs w:val="20"/>
        </w:rPr>
        <w:t>wb</w:t>
      </w:r>
      <w:r w:rsidRPr="003E0671">
        <w:rPr>
          <w:rFonts w:ascii="Georgia" w:eastAsiaTheme="minorEastAsia" w:hAnsi="Georgia" w:cs="Arial"/>
          <w:color w:val="000000" w:themeColor="text1"/>
          <w:szCs w:val="20"/>
        </w:rPr>
        <w:t>) and social well-being (</w:t>
      </w:r>
      <w:r w:rsidR="00DA5238">
        <w:rPr>
          <w:rFonts w:ascii="Georgia" w:eastAsiaTheme="minorEastAsia" w:hAnsi="Georgia" w:cs="Arial"/>
          <w:color w:val="000000" w:themeColor="text1"/>
          <w:szCs w:val="20"/>
        </w:rPr>
        <w:t>social-wb</w:t>
      </w:r>
      <w:r w:rsidRPr="003E0671">
        <w:rPr>
          <w:rFonts w:ascii="Georgia" w:eastAsiaTheme="minorEastAsia" w:hAnsi="Georgia" w:cs="Arial"/>
          <w:color w:val="000000" w:themeColor="text1"/>
          <w:szCs w:val="20"/>
        </w:rPr>
        <w:t>), where one resource (or one of the domain’s variables) may compensate for the lack of others. </w:t>
      </w:r>
    </w:p>
    <w:p w14:paraId="6C86A23F" w14:textId="77777777" w:rsidR="001761B3" w:rsidRPr="006A424E" w:rsidRDefault="001761B3" w:rsidP="009F1165">
      <w:pPr>
        <w:pStyle w:val="MDPI21heading1"/>
        <w:spacing w:before="0" w:after="0"/>
        <w:ind w:left="2625" w:firstLine="408"/>
        <w:jc w:val="both"/>
        <w:outlineLvl w:val="9"/>
        <w:rPr>
          <w:rFonts w:ascii="Georgia" w:eastAsiaTheme="minorEastAsia" w:hAnsi="Georgia" w:cs="Arial"/>
          <w:b w:val="0"/>
          <w:bCs/>
          <w:color w:val="auto"/>
          <w:szCs w:val="20"/>
        </w:rPr>
      </w:pPr>
      <w:r w:rsidRPr="006A424E">
        <w:rPr>
          <w:rFonts w:ascii="Georgia" w:eastAsiaTheme="minorEastAsia" w:hAnsi="Georgia" w:cs="Arial"/>
          <w:b w:val="0"/>
          <w:bCs/>
          <w:color w:val="auto"/>
          <w:szCs w:val="20"/>
        </w:rPr>
        <w:t xml:space="preserve">The current study aimed to address the contradicting </w:t>
      </w:r>
      <w:r w:rsidR="009F1165" w:rsidRPr="006A424E">
        <w:rPr>
          <w:rFonts w:ascii="Georgia" w:eastAsiaTheme="minorEastAsia" w:hAnsi="Georgia" w:cs="Arial"/>
          <w:b w:val="0"/>
          <w:bCs/>
          <w:color w:val="auto"/>
          <w:szCs w:val="20"/>
        </w:rPr>
        <w:t>finding</w:t>
      </w:r>
      <w:r w:rsidRPr="006A424E">
        <w:rPr>
          <w:rFonts w:ascii="Georgia" w:eastAsiaTheme="minorEastAsia" w:hAnsi="Georgia" w:cs="Arial"/>
          <w:b w:val="0"/>
          <w:bCs/>
          <w:color w:val="auto"/>
          <w:szCs w:val="20"/>
        </w:rPr>
        <w:t xml:space="preserve"> of studies regarding the relationship between the shape of the corridor and well</w:t>
      </w:r>
      <w:r w:rsidR="00D20063" w:rsidRPr="006A424E">
        <w:rPr>
          <w:rFonts w:ascii="Georgia" w:eastAsiaTheme="minorEastAsia" w:hAnsi="Georgia" w:cs="Arial"/>
          <w:b w:val="0"/>
          <w:bCs/>
          <w:color w:val="auto"/>
          <w:szCs w:val="20"/>
        </w:rPr>
        <w:t>-</w:t>
      </w:r>
      <w:r w:rsidRPr="006A424E">
        <w:rPr>
          <w:rFonts w:ascii="Georgia" w:eastAsiaTheme="minorEastAsia" w:hAnsi="Georgia" w:cs="Arial"/>
          <w:b w:val="0"/>
          <w:bCs/>
          <w:color w:val="auto"/>
          <w:szCs w:val="20"/>
        </w:rPr>
        <w:t xml:space="preserve">being. </w:t>
      </w:r>
      <w:r w:rsidR="009F1165" w:rsidRPr="006A424E">
        <w:rPr>
          <w:rFonts w:ascii="Georgia" w:eastAsiaTheme="minorEastAsia" w:hAnsi="Georgia" w:cs="Arial"/>
          <w:b w:val="0"/>
          <w:bCs/>
          <w:color w:val="auto"/>
          <w:szCs w:val="20"/>
        </w:rPr>
        <w:t>F</w:t>
      </w:r>
      <w:r w:rsidRPr="006A424E">
        <w:rPr>
          <w:rFonts w:ascii="Georgia" w:eastAsiaTheme="minorEastAsia" w:hAnsi="Georgia" w:cs="Arial"/>
          <w:b w:val="0"/>
          <w:bCs/>
          <w:color w:val="auto"/>
          <w:szCs w:val="20"/>
        </w:rPr>
        <w:t>irst, the forty long</w:t>
      </w:r>
      <w:r w:rsidR="009F1165" w:rsidRPr="006A424E">
        <w:rPr>
          <w:rFonts w:ascii="Georgia" w:eastAsiaTheme="minorEastAsia" w:hAnsi="Georgia" w:cs="Arial"/>
          <w:b w:val="0"/>
          <w:bCs/>
          <w:color w:val="auto"/>
          <w:szCs w:val="20"/>
        </w:rPr>
        <w:t>-</w:t>
      </w:r>
      <w:r w:rsidRPr="006A424E">
        <w:rPr>
          <w:rFonts w:ascii="Georgia" w:eastAsiaTheme="minorEastAsia" w:hAnsi="Georgia" w:cs="Arial"/>
          <w:b w:val="0"/>
          <w:bCs/>
          <w:color w:val="auto"/>
          <w:szCs w:val="20"/>
        </w:rPr>
        <w:t>term c</w:t>
      </w:r>
      <w:r w:rsidR="009F1165" w:rsidRPr="006A424E">
        <w:rPr>
          <w:rFonts w:ascii="Georgia" w:eastAsiaTheme="minorEastAsia" w:hAnsi="Georgia" w:cs="Arial"/>
          <w:b w:val="0"/>
          <w:bCs/>
          <w:color w:val="auto"/>
          <w:szCs w:val="20"/>
        </w:rPr>
        <w:t>are units' plans were analyzed using the</w:t>
      </w:r>
      <w:r w:rsidRPr="006A424E">
        <w:rPr>
          <w:rFonts w:ascii="Georgia" w:eastAsiaTheme="minorEastAsia" w:hAnsi="Georgia" w:cs="Arial"/>
          <w:b w:val="0"/>
          <w:bCs/>
          <w:color w:val="auto"/>
          <w:szCs w:val="20"/>
        </w:rPr>
        <w:t xml:space="preserve"> PSET</w:t>
      </w:r>
      <w:r w:rsidR="009F1165" w:rsidRPr="006A424E">
        <w:rPr>
          <w:rFonts w:ascii="Georgia" w:eastAsiaTheme="minorEastAsia" w:hAnsi="Georgia" w:cs="Arial"/>
          <w:b w:val="0"/>
          <w:bCs/>
          <w:color w:val="auto"/>
          <w:szCs w:val="20"/>
        </w:rPr>
        <w:t xml:space="preserve"> evaluation tool.</w:t>
      </w:r>
      <w:r w:rsidRPr="006A424E">
        <w:rPr>
          <w:rFonts w:ascii="Georgia" w:eastAsiaTheme="minorEastAsia" w:hAnsi="Georgia" w:cs="Arial"/>
          <w:b w:val="0"/>
          <w:bCs/>
          <w:color w:val="auto"/>
          <w:szCs w:val="20"/>
        </w:rPr>
        <w:t xml:space="preserve"> </w:t>
      </w:r>
      <w:r w:rsidR="009F1165" w:rsidRPr="006A424E">
        <w:rPr>
          <w:rFonts w:ascii="Georgia" w:eastAsiaTheme="minorEastAsia" w:hAnsi="Georgia" w:cs="Arial"/>
          <w:b w:val="0"/>
          <w:bCs/>
          <w:color w:val="auto"/>
          <w:szCs w:val="20"/>
        </w:rPr>
        <w:t>T</w:t>
      </w:r>
      <w:r w:rsidRPr="006A424E">
        <w:rPr>
          <w:rFonts w:ascii="Georgia" w:eastAsiaTheme="minorEastAsia" w:hAnsi="Georgia" w:cs="Arial"/>
          <w:b w:val="0"/>
          <w:bCs/>
          <w:color w:val="auto"/>
          <w:szCs w:val="20"/>
        </w:rPr>
        <w:t xml:space="preserve">he results of the "L" shaped long-term care facility corridors were compared to the </w:t>
      </w:r>
      <w:r w:rsidR="009F1165" w:rsidRPr="006A424E">
        <w:rPr>
          <w:rFonts w:ascii="Georgia" w:eastAsiaTheme="minorEastAsia" w:hAnsi="Georgia" w:cs="Arial"/>
          <w:b w:val="0"/>
          <w:bCs/>
          <w:color w:val="auto"/>
          <w:szCs w:val="20"/>
        </w:rPr>
        <w:t>effects</w:t>
      </w:r>
      <w:r w:rsidRPr="006A424E">
        <w:rPr>
          <w:rFonts w:ascii="Georgia" w:eastAsiaTheme="minorEastAsia" w:hAnsi="Georgia" w:cs="Arial"/>
          <w:b w:val="0"/>
          <w:bCs/>
          <w:color w:val="auto"/>
          <w:szCs w:val="20"/>
        </w:rPr>
        <w:t xml:space="preserve"> of other shapes of corridors. Secondly, the variance between all L-shaped corridors was compared.</w:t>
      </w:r>
    </w:p>
    <w:p w14:paraId="040B33CA" w14:textId="77777777" w:rsidR="00B40059" w:rsidRPr="006A424E" w:rsidRDefault="001761B3" w:rsidP="009F1165">
      <w:pPr>
        <w:pStyle w:val="MDPI21heading1"/>
        <w:spacing w:before="0" w:after="0"/>
        <w:ind w:left="2625" w:firstLine="408"/>
        <w:jc w:val="both"/>
        <w:outlineLvl w:val="9"/>
        <w:rPr>
          <w:rFonts w:ascii="Georgia" w:eastAsiaTheme="minorEastAsia" w:hAnsi="Georgia" w:cs="Arial"/>
          <w:b w:val="0"/>
          <w:bCs/>
          <w:color w:val="auto"/>
          <w:szCs w:val="20"/>
          <w:lang w:eastAsia="zh-CN"/>
        </w:rPr>
      </w:pPr>
      <w:r w:rsidRPr="006A424E">
        <w:rPr>
          <w:rFonts w:ascii="Georgia" w:eastAsiaTheme="minorEastAsia" w:hAnsi="Georgia" w:cs="Arial"/>
          <w:b w:val="0"/>
          <w:bCs/>
          <w:color w:val="auto"/>
          <w:szCs w:val="20"/>
        </w:rPr>
        <w:t xml:space="preserve">The results demonstrated that the physical layout’s support of well-being is related to a combination of variables, and </w:t>
      </w:r>
      <w:r w:rsidR="00B40059" w:rsidRPr="006A424E">
        <w:rPr>
          <w:rFonts w:ascii="Georgia" w:eastAsiaTheme="minorEastAsia" w:hAnsi="Georgia" w:cs="Arial"/>
          <w:b w:val="0"/>
          <w:bCs/>
          <w:color w:val="auto"/>
          <w:szCs w:val="20"/>
        </w:rPr>
        <w:t>highlight</w:t>
      </w:r>
      <w:r w:rsidRPr="006A424E">
        <w:rPr>
          <w:rFonts w:ascii="Georgia" w:eastAsiaTheme="minorEastAsia" w:hAnsi="Georgia" w:cs="Arial"/>
          <w:b w:val="0"/>
          <w:bCs/>
          <w:color w:val="auto"/>
          <w:szCs w:val="20"/>
        </w:rPr>
        <w:t>ed</w:t>
      </w:r>
      <w:r w:rsidR="00B40059" w:rsidRPr="006A424E">
        <w:rPr>
          <w:rFonts w:ascii="Georgia" w:eastAsiaTheme="minorEastAsia" w:hAnsi="Georgia" w:cs="Arial"/>
          <w:b w:val="0"/>
          <w:bCs/>
          <w:color w:val="auto"/>
          <w:szCs w:val="20"/>
        </w:rPr>
        <w:t xml:space="preserve"> the need to view the variables contributing to well-being as a bank of resources to be assessed during the design process since a single variable is not sufficient to predict how LTCF units support residents’ well-being. </w:t>
      </w:r>
    </w:p>
    <w:p w14:paraId="3CCE8B40" w14:textId="77777777" w:rsidR="00B40059" w:rsidRPr="003E0671" w:rsidRDefault="00B40059">
      <w:pPr>
        <w:pStyle w:val="MDPI21heading1"/>
        <w:spacing w:before="0" w:after="0"/>
        <w:ind w:left="2625" w:firstLine="408"/>
        <w:jc w:val="both"/>
        <w:outlineLvl w:val="9"/>
        <w:rPr>
          <w:rFonts w:ascii="Georgia" w:eastAsiaTheme="minorEastAsia" w:hAnsi="Georgia" w:cs="Arial"/>
          <w:b w:val="0"/>
          <w:bCs/>
          <w:color w:val="000000" w:themeColor="text1"/>
          <w:szCs w:val="20"/>
        </w:rPr>
      </w:pPr>
      <w:r w:rsidRPr="006A424E">
        <w:rPr>
          <w:rFonts w:ascii="Georgia" w:eastAsiaTheme="minorEastAsia" w:hAnsi="Georgia" w:cs="Arial"/>
          <w:color w:val="auto"/>
          <w:szCs w:val="20"/>
          <w:lang w:eastAsia="zh-CN"/>
        </w:rPr>
        <w:t>Participants</w:t>
      </w:r>
      <w:r w:rsidRPr="006A424E">
        <w:rPr>
          <w:rFonts w:ascii="Georgia" w:eastAsiaTheme="minorEastAsia" w:hAnsi="Georgia" w:cs="Arial"/>
          <w:b w:val="0"/>
          <w:bCs/>
          <w:color w:val="auto"/>
          <w:szCs w:val="20"/>
          <w:lang w:eastAsia="zh-CN"/>
        </w:rPr>
        <w:t>:</w:t>
      </w:r>
      <w:r w:rsidRPr="006A424E">
        <w:rPr>
          <w:rFonts w:ascii="Georgia" w:eastAsiaTheme="minorEastAsia" w:hAnsi="Georgia" w:cs="Arial"/>
          <w:color w:val="auto"/>
          <w:szCs w:val="20"/>
        </w:rPr>
        <w:t xml:space="preserve"> </w:t>
      </w:r>
      <w:r w:rsidRPr="006A424E">
        <w:rPr>
          <w:rFonts w:ascii="Georgia" w:eastAsiaTheme="minorEastAsia" w:hAnsi="Georgia" w:cs="Arial"/>
          <w:b w:val="0"/>
          <w:bCs/>
          <w:color w:val="auto"/>
          <w:szCs w:val="20"/>
        </w:rPr>
        <w:t xml:space="preserve">Forty randomly chosen architectural </w:t>
      </w:r>
      <w:r w:rsidR="00D87A3F" w:rsidRPr="006A424E">
        <w:rPr>
          <w:rFonts w:ascii="Georgia" w:eastAsiaTheme="minorEastAsia" w:hAnsi="Georgia" w:cs="Arial"/>
          <w:b w:val="0"/>
          <w:bCs/>
          <w:color w:val="auto"/>
          <w:szCs w:val="20"/>
        </w:rPr>
        <w:t>long-term care units</w:t>
      </w:r>
      <w:r w:rsidRPr="006A424E">
        <w:rPr>
          <w:rFonts w:ascii="Georgia" w:eastAsiaTheme="minorEastAsia" w:hAnsi="Georgia" w:cs="Arial"/>
          <w:b w:val="0"/>
          <w:bCs/>
          <w:color w:val="auto"/>
          <w:szCs w:val="20"/>
        </w:rPr>
        <w:t>, either already built or in the building process</w:t>
      </w:r>
      <w:r w:rsidR="00985C42" w:rsidRPr="006A424E">
        <w:rPr>
          <w:rFonts w:ascii="Georgia" w:eastAsiaTheme="minorEastAsia" w:hAnsi="Georgia" w:cs="Arial"/>
          <w:b w:val="0"/>
          <w:bCs/>
          <w:color w:val="auto"/>
          <w:szCs w:val="20"/>
        </w:rPr>
        <w:t xml:space="preserve">, with different shapes of corridors </w:t>
      </w:r>
      <w:r w:rsidR="00985C42" w:rsidRPr="006A424E">
        <w:rPr>
          <w:b w:val="0"/>
          <w:bCs/>
          <w:color w:val="auto"/>
          <w:sz w:val="18"/>
          <w:szCs w:val="18"/>
        </w:rPr>
        <w:t>("L" n=1</w:t>
      </w:r>
      <w:r w:rsidR="00AA2500" w:rsidRPr="006A424E">
        <w:rPr>
          <w:b w:val="0"/>
          <w:bCs/>
          <w:color w:val="auto"/>
          <w:sz w:val="18"/>
          <w:szCs w:val="18"/>
        </w:rPr>
        <w:t>4</w:t>
      </w:r>
      <w:r w:rsidR="00985C42" w:rsidRPr="006A424E">
        <w:rPr>
          <w:b w:val="0"/>
          <w:bCs/>
          <w:color w:val="auto"/>
          <w:sz w:val="18"/>
          <w:szCs w:val="18"/>
        </w:rPr>
        <w:t>, "I" n=</w:t>
      </w:r>
      <w:r w:rsidR="00506487" w:rsidRPr="006A424E">
        <w:rPr>
          <w:b w:val="0"/>
          <w:bCs/>
          <w:color w:val="auto"/>
          <w:sz w:val="18"/>
          <w:szCs w:val="18"/>
        </w:rPr>
        <w:t>5</w:t>
      </w:r>
      <w:r w:rsidR="00985C42" w:rsidRPr="006A424E">
        <w:rPr>
          <w:b w:val="0"/>
          <w:bCs/>
          <w:color w:val="auto"/>
          <w:sz w:val="18"/>
          <w:szCs w:val="18"/>
        </w:rPr>
        <w:t>, "O" n=</w:t>
      </w:r>
      <w:r w:rsidR="00506487" w:rsidRPr="006A424E">
        <w:rPr>
          <w:b w:val="0"/>
          <w:bCs/>
          <w:color w:val="auto"/>
          <w:sz w:val="18"/>
          <w:szCs w:val="18"/>
        </w:rPr>
        <w:t>7</w:t>
      </w:r>
      <w:r w:rsidR="00985C42" w:rsidRPr="006A424E">
        <w:rPr>
          <w:b w:val="0"/>
          <w:bCs/>
          <w:color w:val="auto"/>
          <w:sz w:val="18"/>
          <w:szCs w:val="18"/>
        </w:rPr>
        <w:t xml:space="preserve">, </w:t>
      </w:r>
      <w:r w:rsidR="00AA2500" w:rsidRPr="006A424E">
        <w:rPr>
          <w:b w:val="0"/>
          <w:bCs/>
          <w:color w:val="auto"/>
          <w:sz w:val="18"/>
          <w:szCs w:val="18"/>
        </w:rPr>
        <w:t xml:space="preserve">"T" N=7, </w:t>
      </w:r>
      <w:r w:rsidR="00985C42" w:rsidRPr="006A424E">
        <w:rPr>
          <w:b w:val="0"/>
          <w:bCs/>
          <w:color w:val="auto"/>
          <w:sz w:val="18"/>
          <w:szCs w:val="18"/>
        </w:rPr>
        <w:t>other shapes of corridors n=</w:t>
      </w:r>
      <w:r w:rsidR="00AA2500" w:rsidRPr="006A424E">
        <w:rPr>
          <w:b w:val="0"/>
          <w:bCs/>
          <w:color w:val="auto"/>
          <w:sz w:val="18"/>
          <w:szCs w:val="18"/>
        </w:rPr>
        <w:t>7</w:t>
      </w:r>
      <w:r w:rsidR="00985C42" w:rsidRPr="006A424E">
        <w:rPr>
          <w:b w:val="0"/>
          <w:bCs/>
          <w:color w:val="auto"/>
          <w:sz w:val="18"/>
          <w:szCs w:val="18"/>
        </w:rPr>
        <w:t>)</w:t>
      </w:r>
      <w:r w:rsidRPr="006A424E">
        <w:rPr>
          <w:rFonts w:ascii="Georgia" w:eastAsiaTheme="minorEastAsia" w:hAnsi="Georgia" w:cs="Arial"/>
          <w:b w:val="0"/>
          <w:bCs/>
          <w:color w:val="auto"/>
          <w:szCs w:val="20"/>
        </w:rPr>
        <w:t xml:space="preserve">. Inclusion criteria: 1) housing between 20-36 </w:t>
      </w:r>
      <w:r w:rsidRPr="003E0671">
        <w:rPr>
          <w:rFonts w:ascii="Georgia" w:eastAsiaTheme="minorEastAsia" w:hAnsi="Georgia" w:cs="Arial"/>
          <w:b w:val="0"/>
          <w:bCs/>
          <w:color w:val="000000" w:themeColor="text1"/>
          <w:szCs w:val="20"/>
        </w:rPr>
        <w:t>residents; 2) designed according to the Israeli Ministry of Health guidelines and regulations. </w:t>
      </w:r>
    </w:p>
    <w:p w14:paraId="5AC0D8EF" w14:textId="77777777" w:rsidR="00B40059" w:rsidRPr="003E0671" w:rsidRDefault="00B40059" w:rsidP="00D20063">
      <w:pPr>
        <w:pStyle w:val="MDPI21heading1"/>
        <w:spacing w:before="0" w:after="0"/>
        <w:ind w:left="2625" w:firstLine="408"/>
        <w:jc w:val="both"/>
        <w:outlineLvl w:val="9"/>
        <w:rPr>
          <w:rFonts w:ascii="Georgia" w:eastAsiaTheme="minorEastAsia" w:hAnsi="Georgia" w:cs="Arial"/>
          <w:b w:val="0"/>
          <w:bCs/>
          <w:color w:val="000000" w:themeColor="text1"/>
          <w:szCs w:val="20"/>
        </w:rPr>
      </w:pPr>
      <w:r w:rsidRPr="003E0671">
        <w:rPr>
          <w:rFonts w:ascii="Georgia" w:eastAsiaTheme="minorEastAsia" w:hAnsi="Georgia" w:cs="Arial"/>
          <w:color w:val="000000" w:themeColor="text1"/>
          <w:szCs w:val="20"/>
          <w:lang w:eastAsia="zh-CN"/>
        </w:rPr>
        <w:t>Tool(s)</w:t>
      </w:r>
      <w:r w:rsidRPr="003E0671">
        <w:rPr>
          <w:rFonts w:ascii="Georgia" w:eastAsiaTheme="minorEastAsia" w:hAnsi="Georgia" w:cs="Arial"/>
          <w:b w:val="0"/>
          <w:bCs/>
          <w:color w:val="000000" w:themeColor="text1"/>
          <w:szCs w:val="20"/>
          <w:lang w:eastAsia="zh-CN"/>
        </w:rPr>
        <w:t>: </w:t>
      </w:r>
      <w:r w:rsidRPr="003E0671">
        <w:rPr>
          <w:rFonts w:ascii="Georgia" w:eastAsiaTheme="minorEastAsia" w:hAnsi="Georgia" w:cs="Arial"/>
          <w:b w:val="0"/>
          <w:bCs/>
          <w:color w:val="000000" w:themeColor="text1"/>
          <w:szCs w:val="20"/>
        </w:rPr>
        <w:t>PSET is a methodological assessment tool based on the SPF model (see above) (Rom et al., 2022). The tool evaluates twenty-eight quantitative variables of the</w:t>
      </w:r>
      <w:r w:rsidR="00E22CE5">
        <w:rPr>
          <w:rFonts w:ascii="Georgia" w:eastAsiaTheme="minorEastAsia" w:hAnsi="Georgia" w:cs="Arial"/>
          <w:b w:val="0"/>
          <w:bCs/>
          <w:color w:val="000000" w:themeColor="text1"/>
          <w:szCs w:val="20"/>
        </w:rPr>
        <w:t xml:space="preserve"> physical layout </w:t>
      </w:r>
      <w:r w:rsidRPr="003E0671">
        <w:rPr>
          <w:rFonts w:ascii="Georgia" w:eastAsiaTheme="minorEastAsia" w:hAnsi="Georgia" w:cs="Arial"/>
          <w:b w:val="0"/>
          <w:bCs/>
          <w:color w:val="000000" w:themeColor="text1"/>
          <w:szCs w:val="20"/>
        </w:rPr>
        <w:t xml:space="preserve">(using CAD files and </w:t>
      </w:r>
      <w:r w:rsidR="00D20063" w:rsidRPr="00D20063">
        <w:rPr>
          <w:rFonts w:ascii="Georgia" w:eastAsiaTheme="minorEastAsia" w:hAnsi="Georgia" w:cs="Arial"/>
          <w:b w:val="0"/>
          <w:bCs/>
          <w:color w:val="000000" w:themeColor="text1"/>
          <w:szCs w:val="20"/>
        </w:rPr>
        <w:t>Space Syntax</w:t>
      </w:r>
      <w:r w:rsidRPr="003E0671">
        <w:rPr>
          <w:rFonts w:ascii="Georgia" w:eastAsiaTheme="minorEastAsia" w:hAnsi="Georgia" w:cs="Arial"/>
          <w:b w:val="0"/>
          <w:bCs/>
          <w:color w:val="000000" w:themeColor="text1"/>
          <w:szCs w:val="20"/>
        </w:rPr>
        <w:t>). The variables are measured according to their support of the five domains:</w:t>
      </w:r>
    </w:p>
    <w:p w14:paraId="334F3BFD" w14:textId="77777777" w:rsidR="00B40059" w:rsidRPr="003E0671" w:rsidRDefault="00B40059">
      <w:pPr>
        <w:pStyle w:val="MDPI31text"/>
        <w:rPr>
          <w:rFonts w:ascii="Georgia" w:eastAsiaTheme="minorEastAsia" w:hAnsi="Georgia" w:cs="Arial"/>
          <w:color w:val="000000" w:themeColor="text1"/>
          <w:szCs w:val="20"/>
        </w:rPr>
      </w:pPr>
      <w:r w:rsidRPr="003E0671">
        <w:rPr>
          <w:rFonts w:ascii="Georgia" w:eastAsiaTheme="minorEastAsia" w:hAnsi="Georgia" w:cs="Arial"/>
          <w:color w:val="000000" w:themeColor="text1"/>
          <w:szCs w:val="20"/>
        </w:rPr>
        <w:t>Comfort (</w:t>
      </w:r>
      <w:r w:rsidR="00DA5238">
        <w:rPr>
          <w:rFonts w:ascii="Georgia" w:eastAsiaTheme="minorEastAsia" w:hAnsi="Georgia" w:cs="Arial"/>
          <w:color w:val="000000" w:themeColor="text1"/>
          <w:szCs w:val="20"/>
        </w:rPr>
        <w:t>physical-wb</w:t>
      </w:r>
      <w:r w:rsidRPr="003E0671">
        <w:rPr>
          <w:rFonts w:ascii="Georgia" w:eastAsiaTheme="minorEastAsia" w:hAnsi="Georgia" w:cs="Arial"/>
          <w:color w:val="000000" w:themeColor="text1"/>
          <w:szCs w:val="20"/>
        </w:rPr>
        <w:t xml:space="preserve">) is measured by computing nine physical aspects: 1) area per person (1); 2) distance from </w:t>
      </w:r>
      <w:r w:rsidR="00C10006">
        <w:rPr>
          <w:rFonts w:ascii="Georgia" w:eastAsiaTheme="minorEastAsia" w:hAnsi="Georgia" w:cs="Arial"/>
          <w:color w:val="000000" w:themeColor="text1"/>
          <w:szCs w:val="20"/>
        </w:rPr>
        <w:t xml:space="preserve">the </w:t>
      </w:r>
      <w:r w:rsidRPr="003E0671">
        <w:rPr>
          <w:rFonts w:ascii="Georgia" w:eastAsiaTheme="minorEastAsia" w:hAnsi="Georgia" w:cs="Arial"/>
          <w:color w:val="000000" w:themeColor="text1"/>
          <w:szCs w:val="20"/>
        </w:rPr>
        <w:t xml:space="preserve">bedrooms to the formal public rooms such as day room and dining room (1); 3) distance from </w:t>
      </w:r>
      <w:r w:rsidR="00C10006">
        <w:rPr>
          <w:rFonts w:ascii="Georgia" w:eastAsiaTheme="minorEastAsia" w:hAnsi="Georgia" w:cs="Arial"/>
          <w:color w:val="000000" w:themeColor="text1"/>
          <w:szCs w:val="20"/>
        </w:rPr>
        <w:t xml:space="preserve">the bedrooms </w:t>
      </w:r>
      <w:r w:rsidRPr="003E0671">
        <w:rPr>
          <w:rFonts w:ascii="Georgia" w:eastAsiaTheme="minorEastAsia" w:hAnsi="Georgia" w:cs="Arial"/>
          <w:color w:val="000000" w:themeColor="text1"/>
          <w:szCs w:val="20"/>
        </w:rPr>
        <w:t xml:space="preserve">to the nursing station (NS) (-1); 4) distance from </w:t>
      </w:r>
      <w:r w:rsidR="00C10006">
        <w:rPr>
          <w:rFonts w:ascii="Georgia" w:eastAsiaTheme="minorEastAsia" w:hAnsi="Georgia" w:cs="Arial"/>
          <w:color w:val="000000" w:themeColor="text1"/>
          <w:szCs w:val="20"/>
        </w:rPr>
        <w:t xml:space="preserve">the bedrooms </w:t>
      </w:r>
      <w:r w:rsidRPr="003E0671">
        <w:rPr>
          <w:rFonts w:ascii="Georgia" w:eastAsiaTheme="minorEastAsia" w:hAnsi="Georgia" w:cs="Arial"/>
          <w:color w:val="000000" w:themeColor="text1"/>
          <w:szCs w:val="20"/>
        </w:rPr>
        <w:t xml:space="preserve">to the kitchen (1); 5) distance from the doors of smell hazard rooms (e.g., diaper disposal or garbage rooms) to the main public hallway (1); 6) percent of parallel </w:t>
      </w:r>
      <w:r w:rsidR="00C10006">
        <w:rPr>
          <w:rFonts w:ascii="Georgia" w:eastAsiaTheme="minorEastAsia" w:hAnsi="Georgia" w:cs="Arial"/>
          <w:color w:val="000000" w:themeColor="text1"/>
          <w:szCs w:val="20"/>
        </w:rPr>
        <w:t xml:space="preserve">bedrooms' </w:t>
      </w:r>
      <w:r w:rsidRPr="003E0671">
        <w:rPr>
          <w:rFonts w:ascii="Georgia" w:eastAsiaTheme="minorEastAsia" w:hAnsi="Georgia" w:cs="Arial"/>
          <w:color w:val="000000" w:themeColor="text1"/>
          <w:szCs w:val="20"/>
        </w:rPr>
        <w:t>doors (-1); 7) visibility from</w:t>
      </w:r>
      <w:r w:rsidR="00C10006" w:rsidRPr="00C10006">
        <w:rPr>
          <w:rFonts w:ascii="Georgia" w:eastAsiaTheme="minorEastAsia" w:hAnsi="Georgia" w:cs="Arial"/>
          <w:color w:val="000000" w:themeColor="text1"/>
          <w:szCs w:val="20"/>
        </w:rPr>
        <w:t xml:space="preserve"> </w:t>
      </w:r>
      <w:r w:rsidR="00C10006">
        <w:rPr>
          <w:rFonts w:ascii="Georgia" w:eastAsiaTheme="minorEastAsia" w:hAnsi="Georgia" w:cs="Arial"/>
          <w:color w:val="000000" w:themeColor="text1"/>
          <w:szCs w:val="20"/>
        </w:rPr>
        <w:t>nursing-station</w:t>
      </w:r>
      <w:r w:rsidR="00C10006" w:rsidRPr="00D35C14">
        <w:rPr>
          <w:rFonts w:ascii="Georgia" w:eastAsiaTheme="minorEastAsia" w:hAnsi="Georgia" w:cs="Arial"/>
          <w:color w:val="000000" w:themeColor="text1"/>
          <w:szCs w:val="20"/>
        </w:rPr>
        <w:t xml:space="preserve"> </w:t>
      </w:r>
      <w:r w:rsidRPr="003E0671">
        <w:rPr>
          <w:rFonts w:ascii="Georgia" w:eastAsiaTheme="minorEastAsia" w:hAnsi="Georgia" w:cs="Arial"/>
          <w:color w:val="000000" w:themeColor="text1"/>
          <w:szCs w:val="20"/>
        </w:rPr>
        <w:t xml:space="preserve">(1); 8) visibility from </w:t>
      </w:r>
      <w:r w:rsidR="00C10006">
        <w:rPr>
          <w:rFonts w:ascii="Georgia" w:eastAsiaTheme="minorEastAsia" w:hAnsi="Georgia" w:cs="Arial"/>
          <w:color w:val="000000" w:themeColor="text1"/>
          <w:szCs w:val="20"/>
        </w:rPr>
        <w:t xml:space="preserve">the bedrooms' </w:t>
      </w:r>
      <w:r w:rsidRPr="003E0671">
        <w:rPr>
          <w:rFonts w:ascii="Georgia" w:eastAsiaTheme="minorEastAsia" w:hAnsi="Georgia" w:cs="Arial"/>
          <w:color w:val="000000" w:themeColor="text1"/>
          <w:szCs w:val="20"/>
        </w:rPr>
        <w:t xml:space="preserve">entrance (-1);9) visibility from the main entrance into </w:t>
      </w:r>
      <w:r w:rsidR="00C10006">
        <w:rPr>
          <w:rFonts w:ascii="Georgia" w:eastAsiaTheme="minorEastAsia" w:hAnsi="Georgia" w:cs="Arial"/>
          <w:color w:val="000000" w:themeColor="text1"/>
          <w:szCs w:val="20"/>
        </w:rPr>
        <w:t xml:space="preserve">the bedrooms </w:t>
      </w:r>
      <w:r w:rsidRPr="003E0671">
        <w:rPr>
          <w:rFonts w:ascii="Georgia" w:eastAsiaTheme="minorEastAsia" w:hAnsi="Georgia" w:cs="Arial"/>
          <w:color w:val="000000" w:themeColor="text1"/>
          <w:szCs w:val="20"/>
        </w:rPr>
        <w:t>(-1).</w:t>
      </w:r>
    </w:p>
    <w:p w14:paraId="01BD39B9" w14:textId="77777777" w:rsidR="00B40059" w:rsidRPr="003E0671" w:rsidRDefault="00B40059" w:rsidP="00DA5238">
      <w:pPr>
        <w:pStyle w:val="MDPI31text"/>
        <w:rPr>
          <w:rFonts w:ascii="Georgia" w:eastAsiaTheme="minorEastAsia" w:hAnsi="Georgia" w:cs="Arial"/>
          <w:color w:val="000000" w:themeColor="text1"/>
          <w:szCs w:val="20"/>
        </w:rPr>
      </w:pPr>
      <w:r w:rsidRPr="003E0671">
        <w:rPr>
          <w:rFonts w:ascii="Georgia" w:eastAsiaTheme="minorEastAsia" w:hAnsi="Georgia" w:cs="Arial"/>
          <w:color w:val="000000" w:themeColor="text1"/>
          <w:szCs w:val="20"/>
        </w:rPr>
        <w:t>Stimulation (</w:t>
      </w:r>
      <w:r w:rsidR="00DA5238">
        <w:rPr>
          <w:rFonts w:ascii="Georgia" w:eastAsiaTheme="minorEastAsia" w:hAnsi="Georgia" w:cs="Arial"/>
          <w:color w:val="000000" w:themeColor="text1"/>
          <w:szCs w:val="20"/>
        </w:rPr>
        <w:t>physical-wb</w:t>
      </w:r>
      <w:r w:rsidRPr="003E0671">
        <w:rPr>
          <w:rFonts w:ascii="Georgia" w:eastAsiaTheme="minorEastAsia" w:hAnsi="Georgia" w:cs="Arial"/>
          <w:color w:val="000000" w:themeColor="text1"/>
          <w:szCs w:val="20"/>
        </w:rPr>
        <w:t xml:space="preserve">) is measured by computing twelve physical aspects: 1) number of </w:t>
      </w:r>
      <w:r w:rsidR="001314F9">
        <w:rPr>
          <w:rFonts w:ascii="Georgia" w:eastAsiaTheme="minorEastAsia" w:hAnsi="Georgia" w:cs="Arial"/>
          <w:color w:val="000000" w:themeColor="text1"/>
          <w:szCs w:val="20"/>
        </w:rPr>
        <w:t>formal public-rooms</w:t>
      </w:r>
      <w:r w:rsidR="001314F9" w:rsidRPr="003E0671">
        <w:rPr>
          <w:rFonts w:ascii="Georgia" w:eastAsiaTheme="minorEastAsia" w:hAnsi="Georgia" w:cs="Arial"/>
          <w:color w:val="000000" w:themeColor="text1"/>
          <w:szCs w:val="20"/>
        </w:rPr>
        <w:t xml:space="preserve"> </w:t>
      </w:r>
      <w:r w:rsidRPr="003E0671">
        <w:rPr>
          <w:rFonts w:ascii="Georgia" w:eastAsiaTheme="minorEastAsia" w:hAnsi="Georgia" w:cs="Arial"/>
          <w:color w:val="000000" w:themeColor="text1"/>
          <w:szCs w:val="20"/>
        </w:rPr>
        <w:t xml:space="preserve">(1); 2) total perceived area of </w:t>
      </w:r>
      <w:r w:rsidR="001314F9">
        <w:rPr>
          <w:rFonts w:ascii="Georgia" w:eastAsiaTheme="minorEastAsia" w:hAnsi="Georgia" w:cs="Arial"/>
          <w:color w:val="000000" w:themeColor="text1"/>
          <w:szCs w:val="20"/>
        </w:rPr>
        <w:t>the formal public-rooms</w:t>
      </w:r>
      <w:r w:rsidR="001314F9" w:rsidRPr="003E0671">
        <w:rPr>
          <w:rFonts w:ascii="Georgia" w:eastAsiaTheme="minorEastAsia" w:hAnsi="Georgia" w:cs="Arial"/>
          <w:color w:val="000000" w:themeColor="text1"/>
          <w:szCs w:val="20"/>
        </w:rPr>
        <w:t xml:space="preserve"> </w:t>
      </w:r>
      <w:r w:rsidRPr="003E0671">
        <w:rPr>
          <w:rFonts w:ascii="Georgia" w:eastAsiaTheme="minorEastAsia" w:hAnsi="Georgia" w:cs="Arial"/>
          <w:color w:val="000000" w:themeColor="text1"/>
          <w:szCs w:val="20"/>
        </w:rPr>
        <w:t xml:space="preserve">per person (-1); 3) distance from </w:t>
      </w:r>
      <w:r w:rsidR="00C10006">
        <w:rPr>
          <w:rFonts w:ascii="Georgia" w:eastAsiaTheme="minorEastAsia" w:hAnsi="Georgia" w:cs="Arial"/>
          <w:color w:val="000000" w:themeColor="text1"/>
          <w:szCs w:val="20"/>
        </w:rPr>
        <w:t xml:space="preserve">the bedrooms </w:t>
      </w:r>
      <w:r w:rsidRPr="003E0671">
        <w:rPr>
          <w:rFonts w:ascii="Georgia" w:eastAsiaTheme="minorEastAsia" w:hAnsi="Georgia" w:cs="Arial"/>
          <w:color w:val="000000" w:themeColor="text1"/>
          <w:szCs w:val="20"/>
        </w:rPr>
        <w:t xml:space="preserve">to the </w:t>
      </w:r>
      <w:r w:rsidR="001314F9">
        <w:rPr>
          <w:rFonts w:ascii="Georgia" w:eastAsiaTheme="minorEastAsia" w:hAnsi="Georgia" w:cs="Arial"/>
          <w:color w:val="000000" w:themeColor="text1"/>
          <w:szCs w:val="20"/>
        </w:rPr>
        <w:t>formal public-room</w:t>
      </w:r>
      <w:r w:rsidR="001314F9" w:rsidRPr="003E0671">
        <w:rPr>
          <w:rFonts w:ascii="Georgia" w:eastAsiaTheme="minorEastAsia" w:hAnsi="Georgia" w:cs="Arial"/>
          <w:color w:val="000000" w:themeColor="text1"/>
          <w:szCs w:val="20"/>
        </w:rPr>
        <w:t xml:space="preserve"> </w:t>
      </w:r>
      <w:r w:rsidRPr="003E0671">
        <w:rPr>
          <w:rFonts w:ascii="Georgia" w:eastAsiaTheme="minorEastAsia" w:hAnsi="Georgia" w:cs="Arial"/>
          <w:color w:val="000000" w:themeColor="text1"/>
          <w:szCs w:val="20"/>
        </w:rPr>
        <w:t>(-1) ;4) distance from bedroom to kitchen (-1); 5) maximum visual distance (-1); 6) type of</w:t>
      </w:r>
      <w:r w:rsidR="00C10006" w:rsidRPr="00C10006">
        <w:rPr>
          <w:rFonts w:ascii="Georgia" w:eastAsiaTheme="minorEastAsia" w:hAnsi="Georgia" w:cs="Arial"/>
          <w:color w:val="000000" w:themeColor="text1"/>
          <w:szCs w:val="20"/>
        </w:rPr>
        <w:t xml:space="preserve"> </w:t>
      </w:r>
      <w:r w:rsidR="00C10006">
        <w:rPr>
          <w:rFonts w:ascii="Georgia" w:eastAsiaTheme="minorEastAsia" w:hAnsi="Georgia" w:cs="Arial"/>
          <w:color w:val="000000" w:themeColor="text1"/>
          <w:szCs w:val="20"/>
        </w:rPr>
        <w:t>nursing-station</w:t>
      </w:r>
      <w:r w:rsidR="00C10006" w:rsidRPr="00D35C14">
        <w:rPr>
          <w:rFonts w:ascii="Georgia" w:eastAsiaTheme="minorEastAsia" w:hAnsi="Georgia" w:cs="Arial"/>
          <w:color w:val="000000" w:themeColor="text1"/>
          <w:szCs w:val="20"/>
        </w:rPr>
        <w:t xml:space="preserve"> </w:t>
      </w:r>
      <w:r w:rsidRPr="003E0671">
        <w:rPr>
          <w:rFonts w:ascii="Georgia" w:eastAsiaTheme="minorEastAsia" w:hAnsi="Georgia" w:cs="Arial"/>
          <w:color w:val="000000" w:themeColor="text1"/>
          <w:szCs w:val="20"/>
        </w:rPr>
        <w:t xml:space="preserve">(1); 7) integration of public spaces (1); 8) choice of </w:t>
      </w:r>
      <w:r w:rsidR="001314F9">
        <w:rPr>
          <w:rFonts w:ascii="Georgia" w:eastAsiaTheme="minorEastAsia" w:hAnsi="Georgia" w:cs="Arial"/>
          <w:color w:val="000000" w:themeColor="text1"/>
          <w:szCs w:val="20"/>
        </w:rPr>
        <w:t>formal public-rooms</w:t>
      </w:r>
      <w:r w:rsidR="001314F9" w:rsidRPr="003E0671">
        <w:rPr>
          <w:rFonts w:ascii="Georgia" w:eastAsiaTheme="minorEastAsia" w:hAnsi="Georgia" w:cs="Arial"/>
          <w:color w:val="000000" w:themeColor="text1"/>
          <w:szCs w:val="20"/>
        </w:rPr>
        <w:t xml:space="preserve"> </w:t>
      </w:r>
      <w:r w:rsidRPr="003E0671">
        <w:rPr>
          <w:rFonts w:ascii="Georgia" w:eastAsiaTheme="minorEastAsia" w:hAnsi="Georgia" w:cs="Arial"/>
          <w:color w:val="000000" w:themeColor="text1"/>
          <w:szCs w:val="20"/>
        </w:rPr>
        <w:t xml:space="preserve">(-1); 9) choice of spaces adjacent to </w:t>
      </w:r>
      <w:r w:rsidR="001314F9">
        <w:rPr>
          <w:rFonts w:ascii="Georgia" w:eastAsiaTheme="minorEastAsia" w:hAnsi="Georgia" w:cs="Arial"/>
          <w:color w:val="000000" w:themeColor="text1"/>
          <w:szCs w:val="20"/>
        </w:rPr>
        <w:t>formal public-rooms</w:t>
      </w:r>
      <w:r w:rsidR="001314F9" w:rsidRPr="003E0671">
        <w:rPr>
          <w:rFonts w:ascii="Georgia" w:eastAsiaTheme="minorEastAsia" w:hAnsi="Georgia" w:cs="Arial"/>
          <w:color w:val="000000" w:themeColor="text1"/>
          <w:szCs w:val="20"/>
        </w:rPr>
        <w:t xml:space="preserve"> </w:t>
      </w:r>
      <w:r w:rsidRPr="003E0671">
        <w:rPr>
          <w:rFonts w:ascii="Georgia" w:eastAsiaTheme="minorEastAsia" w:hAnsi="Georgia" w:cs="Arial"/>
          <w:color w:val="000000" w:themeColor="text1"/>
          <w:szCs w:val="20"/>
        </w:rPr>
        <w:t>(-1); 10) intelligibility (1); 11) visibility from</w:t>
      </w:r>
      <w:r w:rsidR="00C10006" w:rsidRPr="00C10006">
        <w:rPr>
          <w:rFonts w:ascii="Georgia" w:eastAsiaTheme="minorEastAsia" w:hAnsi="Georgia" w:cs="Arial"/>
          <w:color w:val="000000" w:themeColor="text1"/>
          <w:szCs w:val="20"/>
        </w:rPr>
        <w:t xml:space="preserve"> </w:t>
      </w:r>
      <w:r w:rsidR="00C10006">
        <w:rPr>
          <w:rFonts w:ascii="Georgia" w:eastAsiaTheme="minorEastAsia" w:hAnsi="Georgia" w:cs="Arial"/>
          <w:color w:val="000000" w:themeColor="text1"/>
          <w:szCs w:val="20"/>
        </w:rPr>
        <w:t>nursing-station</w:t>
      </w:r>
      <w:r w:rsidR="00DA5238">
        <w:rPr>
          <w:rFonts w:ascii="Georgia" w:eastAsiaTheme="minorEastAsia" w:hAnsi="Georgia" w:cs="Arial"/>
          <w:color w:val="000000" w:themeColor="text1"/>
          <w:szCs w:val="20"/>
        </w:rPr>
        <w:t xml:space="preserve"> to the</w:t>
      </w:r>
      <w:r w:rsidR="00C10006" w:rsidRPr="00D35C14">
        <w:rPr>
          <w:rFonts w:ascii="Georgia" w:eastAsiaTheme="minorEastAsia" w:hAnsi="Georgia" w:cs="Arial"/>
          <w:color w:val="000000" w:themeColor="text1"/>
          <w:szCs w:val="20"/>
        </w:rPr>
        <w:t xml:space="preserve"> </w:t>
      </w:r>
      <w:r w:rsidR="00DA5238">
        <w:rPr>
          <w:rFonts w:ascii="Georgia" w:eastAsiaTheme="minorEastAsia" w:hAnsi="Georgia" w:cs="Arial"/>
          <w:color w:val="000000" w:themeColor="text1"/>
          <w:szCs w:val="20"/>
        </w:rPr>
        <w:t>formal public-rooms</w:t>
      </w:r>
      <w:r w:rsidR="00DA5238" w:rsidRPr="003E0671">
        <w:rPr>
          <w:rFonts w:ascii="Georgia" w:eastAsiaTheme="minorEastAsia" w:hAnsi="Georgia" w:cs="Arial"/>
          <w:color w:val="000000" w:themeColor="text1"/>
          <w:szCs w:val="20"/>
        </w:rPr>
        <w:t xml:space="preserve"> </w:t>
      </w:r>
      <w:r w:rsidRPr="003E0671">
        <w:rPr>
          <w:rFonts w:ascii="Georgia" w:eastAsiaTheme="minorEastAsia" w:hAnsi="Georgia" w:cs="Arial"/>
          <w:color w:val="000000" w:themeColor="text1"/>
          <w:szCs w:val="20"/>
        </w:rPr>
        <w:t xml:space="preserve">(1); 12) visibility from </w:t>
      </w:r>
      <w:r w:rsidR="001314F9">
        <w:rPr>
          <w:rFonts w:ascii="Georgia" w:eastAsiaTheme="minorEastAsia" w:hAnsi="Georgia" w:cs="Arial"/>
          <w:color w:val="000000" w:themeColor="text1"/>
          <w:szCs w:val="20"/>
        </w:rPr>
        <w:t>formal public-rooms</w:t>
      </w:r>
      <w:r w:rsidR="001314F9" w:rsidRPr="003E0671">
        <w:rPr>
          <w:rFonts w:ascii="Georgia" w:eastAsiaTheme="minorEastAsia" w:hAnsi="Georgia" w:cs="Arial"/>
          <w:color w:val="000000" w:themeColor="text1"/>
          <w:szCs w:val="20"/>
        </w:rPr>
        <w:t xml:space="preserve"> </w:t>
      </w:r>
      <w:r w:rsidRPr="003E0671">
        <w:rPr>
          <w:rFonts w:ascii="Georgia" w:eastAsiaTheme="minorEastAsia" w:hAnsi="Georgia" w:cs="Arial"/>
          <w:color w:val="000000" w:themeColor="text1"/>
          <w:szCs w:val="20"/>
        </w:rPr>
        <w:t xml:space="preserve">(-1). </w:t>
      </w:r>
    </w:p>
    <w:p w14:paraId="535C1565" w14:textId="77777777" w:rsidR="00B40059" w:rsidRPr="003E0671" w:rsidRDefault="00B40059">
      <w:pPr>
        <w:pStyle w:val="MDPI31text"/>
        <w:rPr>
          <w:rFonts w:ascii="Georgia" w:eastAsiaTheme="minorEastAsia" w:hAnsi="Georgia" w:cs="Arial"/>
          <w:color w:val="000000" w:themeColor="text1"/>
          <w:szCs w:val="20"/>
        </w:rPr>
      </w:pPr>
      <w:r w:rsidRPr="003E0671">
        <w:rPr>
          <w:rFonts w:ascii="Georgia" w:eastAsiaTheme="minorEastAsia" w:hAnsi="Georgia" w:cs="Arial"/>
          <w:color w:val="000000" w:themeColor="text1"/>
          <w:szCs w:val="20"/>
        </w:rPr>
        <w:t>Status (</w:t>
      </w:r>
      <w:r w:rsidR="00DA5238">
        <w:rPr>
          <w:rFonts w:ascii="Georgia" w:eastAsiaTheme="minorEastAsia" w:hAnsi="Georgia" w:cs="Arial"/>
          <w:color w:val="000000" w:themeColor="text1"/>
          <w:szCs w:val="20"/>
        </w:rPr>
        <w:t>social-wb</w:t>
      </w:r>
      <w:r w:rsidRPr="003E0671">
        <w:rPr>
          <w:rFonts w:ascii="Georgia" w:eastAsiaTheme="minorEastAsia" w:hAnsi="Georgia" w:cs="Arial"/>
          <w:color w:val="000000" w:themeColor="text1"/>
          <w:szCs w:val="20"/>
        </w:rPr>
        <w:t xml:space="preserve">) is measured by computing four physical aspects: 1) distance to </w:t>
      </w:r>
      <w:r w:rsidR="001314F9">
        <w:rPr>
          <w:rFonts w:ascii="Georgia" w:eastAsiaTheme="minorEastAsia" w:hAnsi="Georgia" w:cs="Arial"/>
          <w:color w:val="000000" w:themeColor="text1"/>
          <w:szCs w:val="20"/>
        </w:rPr>
        <w:t>the formal public-rooms</w:t>
      </w:r>
      <w:r w:rsidRPr="003E0671">
        <w:rPr>
          <w:rFonts w:ascii="Georgia" w:eastAsiaTheme="minorEastAsia" w:hAnsi="Georgia" w:cs="Arial"/>
          <w:color w:val="000000" w:themeColor="text1"/>
          <w:szCs w:val="20"/>
        </w:rPr>
        <w:t xml:space="preserve"> (1); 2) maximum visual distance (1); 3) visibility from the bedroom entrance (1); 4) visibility from the main entrance into </w:t>
      </w:r>
      <w:r w:rsidR="00C10006">
        <w:rPr>
          <w:rFonts w:ascii="Georgia" w:eastAsiaTheme="minorEastAsia" w:hAnsi="Georgia" w:cs="Arial"/>
          <w:color w:val="000000" w:themeColor="text1"/>
          <w:szCs w:val="20"/>
        </w:rPr>
        <w:t xml:space="preserve">the bedrooms </w:t>
      </w:r>
      <w:r w:rsidRPr="003E0671">
        <w:rPr>
          <w:rFonts w:ascii="Georgia" w:eastAsiaTheme="minorEastAsia" w:hAnsi="Georgia" w:cs="Arial"/>
          <w:color w:val="000000" w:themeColor="text1"/>
          <w:szCs w:val="20"/>
        </w:rPr>
        <w:t>(-1).</w:t>
      </w:r>
    </w:p>
    <w:p w14:paraId="0EAD9D76" w14:textId="77777777" w:rsidR="00B40059" w:rsidRPr="003E0671" w:rsidRDefault="00B40059" w:rsidP="00DA5238">
      <w:pPr>
        <w:pStyle w:val="MDPI31text"/>
        <w:rPr>
          <w:rFonts w:ascii="Georgia" w:eastAsiaTheme="minorEastAsia" w:hAnsi="Georgia" w:cs="Arial"/>
          <w:color w:val="000000" w:themeColor="text1"/>
          <w:szCs w:val="20"/>
        </w:rPr>
      </w:pPr>
      <w:r w:rsidRPr="003E0671">
        <w:rPr>
          <w:rFonts w:ascii="Georgia" w:eastAsiaTheme="minorEastAsia" w:hAnsi="Georgia" w:cs="Arial"/>
          <w:color w:val="000000" w:themeColor="text1"/>
          <w:szCs w:val="20"/>
        </w:rPr>
        <w:t>Behavioral confirmation (</w:t>
      </w:r>
      <w:r w:rsidR="00DA5238">
        <w:rPr>
          <w:rFonts w:ascii="Georgia" w:eastAsiaTheme="minorEastAsia" w:hAnsi="Georgia" w:cs="Arial"/>
          <w:color w:val="000000" w:themeColor="text1"/>
          <w:szCs w:val="20"/>
        </w:rPr>
        <w:t>social-wb</w:t>
      </w:r>
      <w:r w:rsidRPr="003E0671">
        <w:rPr>
          <w:rFonts w:ascii="Georgia" w:eastAsiaTheme="minorEastAsia" w:hAnsi="Georgia" w:cs="Arial"/>
          <w:color w:val="000000" w:themeColor="text1"/>
          <w:szCs w:val="20"/>
        </w:rPr>
        <w:t>) is measured by computing seven physical aspects: 1) distance from bedroom to</w:t>
      </w:r>
      <w:r w:rsidR="00C10006" w:rsidRPr="00C10006">
        <w:rPr>
          <w:rFonts w:ascii="Georgia" w:eastAsiaTheme="minorEastAsia" w:hAnsi="Georgia" w:cs="Arial"/>
          <w:color w:val="000000" w:themeColor="text1"/>
          <w:szCs w:val="20"/>
        </w:rPr>
        <w:t xml:space="preserve"> </w:t>
      </w:r>
      <w:r w:rsidR="00C10006">
        <w:rPr>
          <w:rFonts w:ascii="Georgia" w:eastAsiaTheme="minorEastAsia" w:hAnsi="Georgia" w:cs="Arial"/>
          <w:color w:val="000000" w:themeColor="text1"/>
          <w:szCs w:val="20"/>
        </w:rPr>
        <w:t>nursing-station</w:t>
      </w:r>
      <w:r w:rsidR="00C10006" w:rsidRPr="00D35C14">
        <w:rPr>
          <w:rFonts w:ascii="Georgia" w:eastAsiaTheme="minorEastAsia" w:hAnsi="Georgia" w:cs="Arial"/>
          <w:color w:val="000000" w:themeColor="text1"/>
          <w:szCs w:val="20"/>
        </w:rPr>
        <w:t xml:space="preserve"> </w:t>
      </w:r>
      <w:r w:rsidRPr="003E0671">
        <w:rPr>
          <w:rFonts w:ascii="Georgia" w:eastAsiaTheme="minorEastAsia" w:hAnsi="Georgia" w:cs="Arial"/>
          <w:color w:val="000000" w:themeColor="text1"/>
          <w:szCs w:val="20"/>
        </w:rPr>
        <w:t>(-1); 2) distance from</w:t>
      </w:r>
      <w:r w:rsidR="00C10006" w:rsidRPr="00C10006">
        <w:rPr>
          <w:rFonts w:ascii="Georgia" w:eastAsiaTheme="minorEastAsia" w:hAnsi="Georgia" w:cs="Arial"/>
          <w:color w:val="000000" w:themeColor="text1"/>
          <w:szCs w:val="20"/>
        </w:rPr>
        <w:t xml:space="preserve"> </w:t>
      </w:r>
      <w:r w:rsidR="00C10006">
        <w:rPr>
          <w:rFonts w:ascii="Georgia" w:eastAsiaTheme="minorEastAsia" w:hAnsi="Georgia" w:cs="Arial"/>
          <w:color w:val="000000" w:themeColor="text1"/>
          <w:szCs w:val="20"/>
        </w:rPr>
        <w:t>nursing-station</w:t>
      </w:r>
      <w:r w:rsidR="00C10006" w:rsidRPr="00D35C14">
        <w:rPr>
          <w:rFonts w:ascii="Georgia" w:eastAsiaTheme="minorEastAsia" w:hAnsi="Georgia" w:cs="Arial"/>
          <w:color w:val="000000" w:themeColor="text1"/>
          <w:szCs w:val="20"/>
        </w:rPr>
        <w:t xml:space="preserve"> </w:t>
      </w:r>
      <w:r w:rsidRPr="003E0671">
        <w:rPr>
          <w:rFonts w:ascii="Georgia" w:eastAsiaTheme="minorEastAsia" w:hAnsi="Georgia" w:cs="Arial"/>
          <w:color w:val="000000" w:themeColor="text1"/>
          <w:szCs w:val="20"/>
        </w:rPr>
        <w:t>to all support rooms (-1); 3) type of</w:t>
      </w:r>
      <w:r w:rsidR="00C10006" w:rsidRPr="00C10006">
        <w:rPr>
          <w:rFonts w:ascii="Georgia" w:eastAsiaTheme="minorEastAsia" w:hAnsi="Georgia" w:cs="Arial"/>
          <w:color w:val="000000" w:themeColor="text1"/>
          <w:szCs w:val="20"/>
        </w:rPr>
        <w:t xml:space="preserve"> </w:t>
      </w:r>
      <w:r w:rsidR="00C10006">
        <w:rPr>
          <w:rFonts w:ascii="Georgia" w:eastAsiaTheme="minorEastAsia" w:hAnsi="Georgia" w:cs="Arial"/>
          <w:color w:val="000000" w:themeColor="text1"/>
          <w:szCs w:val="20"/>
        </w:rPr>
        <w:t>nursing-station</w:t>
      </w:r>
      <w:r w:rsidR="00C10006" w:rsidRPr="00D35C14">
        <w:rPr>
          <w:rFonts w:ascii="Georgia" w:eastAsiaTheme="minorEastAsia" w:hAnsi="Georgia" w:cs="Arial"/>
          <w:color w:val="000000" w:themeColor="text1"/>
          <w:szCs w:val="20"/>
        </w:rPr>
        <w:t xml:space="preserve"> </w:t>
      </w:r>
      <w:r w:rsidRPr="003E0671">
        <w:rPr>
          <w:rFonts w:ascii="Georgia" w:eastAsiaTheme="minorEastAsia" w:hAnsi="Georgia" w:cs="Arial"/>
          <w:color w:val="000000" w:themeColor="text1"/>
          <w:szCs w:val="20"/>
        </w:rPr>
        <w:t xml:space="preserve">(-1); 4) integration of </w:t>
      </w:r>
      <w:r w:rsidR="00DA5238">
        <w:rPr>
          <w:rFonts w:ascii="Georgia" w:eastAsiaTheme="minorEastAsia" w:hAnsi="Georgia" w:cs="Arial"/>
          <w:color w:val="000000" w:themeColor="text1"/>
          <w:szCs w:val="20"/>
        </w:rPr>
        <w:t>formal public-rooms</w:t>
      </w:r>
      <w:r w:rsidR="00DA5238" w:rsidRPr="003E0671">
        <w:rPr>
          <w:rFonts w:ascii="Georgia" w:eastAsiaTheme="minorEastAsia" w:hAnsi="Georgia" w:cs="Arial"/>
          <w:color w:val="000000" w:themeColor="text1"/>
          <w:szCs w:val="20"/>
        </w:rPr>
        <w:t xml:space="preserve"> </w:t>
      </w:r>
      <w:r w:rsidRPr="003E0671">
        <w:rPr>
          <w:rFonts w:ascii="Georgia" w:eastAsiaTheme="minorEastAsia" w:hAnsi="Georgia" w:cs="Arial"/>
          <w:color w:val="000000" w:themeColor="text1"/>
          <w:szCs w:val="20"/>
        </w:rPr>
        <w:t>(1); 5) integration of</w:t>
      </w:r>
      <w:r w:rsidR="00C10006" w:rsidRPr="00C10006">
        <w:rPr>
          <w:rFonts w:ascii="Georgia" w:eastAsiaTheme="minorEastAsia" w:hAnsi="Georgia" w:cs="Arial"/>
          <w:color w:val="000000" w:themeColor="text1"/>
          <w:szCs w:val="20"/>
        </w:rPr>
        <w:t xml:space="preserve"> </w:t>
      </w:r>
      <w:r w:rsidR="00C10006">
        <w:rPr>
          <w:rFonts w:ascii="Georgia" w:eastAsiaTheme="minorEastAsia" w:hAnsi="Georgia" w:cs="Arial"/>
          <w:color w:val="000000" w:themeColor="text1"/>
          <w:szCs w:val="20"/>
        </w:rPr>
        <w:t>nursing-station</w:t>
      </w:r>
      <w:r w:rsidR="00C10006" w:rsidRPr="00D35C14">
        <w:rPr>
          <w:rFonts w:ascii="Georgia" w:eastAsiaTheme="minorEastAsia" w:hAnsi="Georgia" w:cs="Arial"/>
          <w:color w:val="000000" w:themeColor="text1"/>
          <w:szCs w:val="20"/>
        </w:rPr>
        <w:t xml:space="preserve"> </w:t>
      </w:r>
      <w:r w:rsidRPr="003E0671">
        <w:rPr>
          <w:rFonts w:ascii="Georgia" w:eastAsiaTheme="minorEastAsia" w:hAnsi="Georgia" w:cs="Arial"/>
          <w:color w:val="000000" w:themeColor="text1"/>
          <w:szCs w:val="20"/>
        </w:rPr>
        <w:t>(1); 6) visibility from</w:t>
      </w:r>
      <w:r w:rsidR="00C10006" w:rsidRPr="00C10006">
        <w:rPr>
          <w:rFonts w:ascii="Georgia" w:eastAsiaTheme="minorEastAsia" w:hAnsi="Georgia" w:cs="Arial"/>
          <w:color w:val="000000" w:themeColor="text1"/>
          <w:szCs w:val="20"/>
        </w:rPr>
        <w:t xml:space="preserve"> </w:t>
      </w:r>
      <w:r w:rsidR="00C10006">
        <w:rPr>
          <w:rFonts w:ascii="Georgia" w:eastAsiaTheme="minorEastAsia" w:hAnsi="Georgia" w:cs="Arial"/>
          <w:color w:val="000000" w:themeColor="text1"/>
          <w:szCs w:val="20"/>
        </w:rPr>
        <w:t>nursing-station</w:t>
      </w:r>
      <w:r w:rsidR="00C10006" w:rsidRPr="00D35C14">
        <w:rPr>
          <w:rFonts w:ascii="Georgia" w:eastAsiaTheme="minorEastAsia" w:hAnsi="Georgia" w:cs="Arial"/>
          <w:color w:val="000000" w:themeColor="text1"/>
          <w:szCs w:val="20"/>
        </w:rPr>
        <w:t xml:space="preserve"> </w:t>
      </w:r>
      <w:r w:rsidRPr="003E0671">
        <w:rPr>
          <w:rFonts w:ascii="Georgia" w:eastAsiaTheme="minorEastAsia" w:hAnsi="Georgia" w:cs="Arial"/>
          <w:color w:val="000000" w:themeColor="text1"/>
          <w:szCs w:val="20"/>
        </w:rPr>
        <w:t xml:space="preserve">(1); 7) visibility from </w:t>
      </w:r>
      <w:r w:rsidR="001314F9">
        <w:rPr>
          <w:rFonts w:ascii="Georgia" w:eastAsiaTheme="minorEastAsia" w:hAnsi="Georgia" w:cs="Arial"/>
          <w:color w:val="000000" w:themeColor="text1"/>
          <w:szCs w:val="20"/>
        </w:rPr>
        <w:t>formal public-rooms</w:t>
      </w:r>
      <w:r w:rsidR="001314F9" w:rsidRPr="003E0671">
        <w:rPr>
          <w:rFonts w:ascii="Georgia" w:eastAsiaTheme="minorEastAsia" w:hAnsi="Georgia" w:cs="Arial"/>
          <w:color w:val="000000" w:themeColor="text1"/>
          <w:szCs w:val="20"/>
        </w:rPr>
        <w:t xml:space="preserve"> </w:t>
      </w:r>
      <w:r w:rsidRPr="003E0671">
        <w:rPr>
          <w:rFonts w:ascii="Georgia" w:eastAsiaTheme="minorEastAsia" w:hAnsi="Georgia" w:cs="Arial"/>
          <w:color w:val="000000" w:themeColor="text1"/>
          <w:szCs w:val="20"/>
        </w:rPr>
        <w:t>to</w:t>
      </w:r>
      <w:r w:rsidR="00C10006" w:rsidRPr="00C10006">
        <w:rPr>
          <w:rFonts w:ascii="Georgia" w:eastAsiaTheme="minorEastAsia" w:hAnsi="Georgia" w:cs="Arial"/>
          <w:color w:val="000000" w:themeColor="text1"/>
          <w:szCs w:val="20"/>
        </w:rPr>
        <w:t xml:space="preserve"> </w:t>
      </w:r>
      <w:r w:rsidR="00C10006">
        <w:rPr>
          <w:rFonts w:ascii="Georgia" w:eastAsiaTheme="minorEastAsia" w:hAnsi="Georgia" w:cs="Arial"/>
          <w:color w:val="000000" w:themeColor="text1"/>
          <w:szCs w:val="20"/>
        </w:rPr>
        <w:t>nursing-station</w:t>
      </w:r>
      <w:r w:rsidR="00C10006" w:rsidRPr="00D35C14">
        <w:rPr>
          <w:rFonts w:ascii="Georgia" w:eastAsiaTheme="minorEastAsia" w:hAnsi="Georgia" w:cs="Arial"/>
          <w:color w:val="000000" w:themeColor="text1"/>
          <w:szCs w:val="20"/>
        </w:rPr>
        <w:t xml:space="preserve"> </w:t>
      </w:r>
      <w:r w:rsidRPr="003E0671">
        <w:rPr>
          <w:rFonts w:ascii="Georgia" w:eastAsiaTheme="minorEastAsia" w:hAnsi="Georgia" w:cs="Arial"/>
          <w:color w:val="000000" w:themeColor="text1"/>
          <w:szCs w:val="20"/>
        </w:rPr>
        <w:t>(1).</w:t>
      </w:r>
    </w:p>
    <w:p w14:paraId="357E7336" w14:textId="77777777" w:rsidR="00B40059" w:rsidRPr="00D35C14" w:rsidRDefault="00B40059" w:rsidP="00F97570">
      <w:pPr>
        <w:pStyle w:val="MDPI31text"/>
        <w:rPr>
          <w:rFonts w:ascii="Georgia" w:eastAsiaTheme="minorEastAsia" w:hAnsi="Georgia" w:cs="Arial"/>
          <w:color w:val="000000" w:themeColor="text1"/>
          <w:szCs w:val="20"/>
        </w:rPr>
      </w:pPr>
      <w:r w:rsidRPr="003E0671">
        <w:rPr>
          <w:rFonts w:ascii="Georgia" w:eastAsiaTheme="minorEastAsia" w:hAnsi="Georgia" w:cs="Arial"/>
          <w:color w:val="000000" w:themeColor="text1"/>
          <w:szCs w:val="20"/>
        </w:rPr>
        <w:t>Affection (</w:t>
      </w:r>
      <w:r w:rsidR="00DA5238">
        <w:rPr>
          <w:rFonts w:ascii="Georgia" w:eastAsiaTheme="minorEastAsia" w:hAnsi="Georgia" w:cs="Arial"/>
          <w:color w:val="000000" w:themeColor="text1"/>
          <w:szCs w:val="20"/>
        </w:rPr>
        <w:t>social-wb</w:t>
      </w:r>
      <w:r w:rsidRPr="003E0671">
        <w:rPr>
          <w:rFonts w:ascii="Georgia" w:eastAsiaTheme="minorEastAsia" w:hAnsi="Georgia" w:cs="Arial"/>
          <w:color w:val="000000" w:themeColor="text1"/>
          <w:szCs w:val="20"/>
        </w:rPr>
        <w:t>) is measured by computing twelve physical aspects: 1) number of internal formal social interaction spaces (1); 2) number of internal informal social interaction spaces (1); 3) number of external social interaction spaces (1);); 4) distance</w:t>
      </w:r>
      <w:r w:rsidRPr="00D35C14">
        <w:rPr>
          <w:rFonts w:ascii="Georgia" w:eastAsiaTheme="minorEastAsia" w:hAnsi="Georgia" w:cs="Arial"/>
          <w:color w:val="000000" w:themeColor="text1"/>
          <w:szCs w:val="20"/>
        </w:rPr>
        <w:t xml:space="preserve"> from </w:t>
      </w:r>
      <w:r w:rsidR="00C10006">
        <w:rPr>
          <w:rFonts w:ascii="Georgia" w:eastAsiaTheme="minorEastAsia" w:hAnsi="Georgia" w:cs="Arial"/>
          <w:color w:val="000000" w:themeColor="text1"/>
          <w:szCs w:val="20"/>
        </w:rPr>
        <w:t xml:space="preserve">the bedrooms </w:t>
      </w:r>
      <w:r w:rsidRPr="00D35C14">
        <w:rPr>
          <w:rFonts w:ascii="Georgia" w:eastAsiaTheme="minorEastAsia" w:hAnsi="Georgia" w:cs="Arial"/>
          <w:color w:val="000000" w:themeColor="text1"/>
          <w:szCs w:val="20"/>
        </w:rPr>
        <w:t>to</w:t>
      </w:r>
      <w:r w:rsidR="00C10006" w:rsidRPr="00C10006">
        <w:rPr>
          <w:rFonts w:ascii="Georgia" w:eastAsiaTheme="minorEastAsia" w:hAnsi="Georgia" w:cs="Arial"/>
          <w:color w:val="000000" w:themeColor="text1"/>
          <w:szCs w:val="20"/>
        </w:rPr>
        <w:t xml:space="preserve"> </w:t>
      </w:r>
      <w:r w:rsidR="00C10006">
        <w:rPr>
          <w:rFonts w:ascii="Georgia" w:eastAsiaTheme="minorEastAsia" w:hAnsi="Georgia" w:cs="Arial"/>
          <w:color w:val="000000" w:themeColor="text1"/>
          <w:szCs w:val="20"/>
        </w:rPr>
        <w:t>nursing-station</w:t>
      </w:r>
      <w:r w:rsidR="00C10006" w:rsidRPr="00D35C14">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(-1); 5) distance from</w:t>
      </w:r>
      <w:r w:rsidR="00C10006" w:rsidRPr="00C10006">
        <w:rPr>
          <w:rFonts w:ascii="Georgia" w:eastAsiaTheme="minorEastAsia" w:hAnsi="Georgia" w:cs="Arial"/>
          <w:color w:val="000000" w:themeColor="text1"/>
          <w:szCs w:val="20"/>
        </w:rPr>
        <w:t xml:space="preserve"> </w:t>
      </w:r>
      <w:r w:rsidR="00C10006">
        <w:rPr>
          <w:rFonts w:ascii="Georgia" w:eastAsiaTheme="minorEastAsia" w:hAnsi="Georgia" w:cs="Arial"/>
          <w:color w:val="000000" w:themeColor="text1"/>
          <w:szCs w:val="20"/>
        </w:rPr>
        <w:t>nursing-station</w:t>
      </w:r>
      <w:r w:rsidR="00C10006" w:rsidRPr="00D35C14">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 xml:space="preserve">to </w:t>
      </w:r>
      <w:r w:rsidR="00DA5238">
        <w:rPr>
          <w:rFonts w:ascii="Georgia" w:eastAsiaTheme="minorEastAsia" w:hAnsi="Georgia" w:cs="Arial"/>
          <w:color w:val="000000" w:themeColor="text1"/>
          <w:szCs w:val="20"/>
        </w:rPr>
        <w:t>formal public-rooms</w:t>
      </w:r>
      <w:r w:rsidR="00DA5238" w:rsidRPr="00D35C14">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(-1); 6) distance from</w:t>
      </w:r>
      <w:r w:rsidR="00C10006" w:rsidRPr="00C10006">
        <w:rPr>
          <w:rFonts w:ascii="Georgia" w:eastAsiaTheme="minorEastAsia" w:hAnsi="Georgia" w:cs="Arial"/>
          <w:color w:val="000000" w:themeColor="text1"/>
          <w:szCs w:val="20"/>
        </w:rPr>
        <w:t xml:space="preserve"> </w:t>
      </w:r>
      <w:r w:rsidR="00C10006">
        <w:rPr>
          <w:rFonts w:ascii="Georgia" w:eastAsiaTheme="minorEastAsia" w:hAnsi="Georgia" w:cs="Arial"/>
          <w:color w:val="000000" w:themeColor="text1"/>
          <w:szCs w:val="20"/>
        </w:rPr>
        <w:t>nursing-station</w:t>
      </w:r>
      <w:r w:rsidR="00C10006" w:rsidRPr="00D35C14">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to all support rooms (-1); 7) distance between the door of the closest smell hazard room and main entrance (1); 8) integration of</w:t>
      </w:r>
      <w:r w:rsidR="00C10006" w:rsidRPr="00C10006">
        <w:rPr>
          <w:rFonts w:ascii="Georgia" w:eastAsiaTheme="minorEastAsia" w:hAnsi="Georgia" w:cs="Arial"/>
          <w:color w:val="000000" w:themeColor="text1"/>
          <w:szCs w:val="20"/>
        </w:rPr>
        <w:t xml:space="preserve"> </w:t>
      </w:r>
      <w:r w:rsidR="00C10006">
        <w:rPr>
          <w:rFonts w:ascii="Georgia" w:eastAsiaTheme="minorEastAsia" w:hAnsi="Georgia" w:cs="Arial"/>
          <w:color w:val="000000" w:themeColor="text1"/>
          <w:szCs w:val="20"/>
        </w:rPr>
        <w:t>nursing-station</w:t>
      </w:r>
      <w:r w:rsidR="00C10006" w:rsidRPr="00D35C14">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(1); 9) visibility from</w:t>
      </w:r>
      <w:r w:rsidR="00C10006" w:rsidRPr="00C10006">
        <w:rPr>
          <w:rFonts w:ascii="Georgia" w:eastAsiaTheme="minorEastAsia" w:hAnsi="Georgia" w:cs="Arial"/>
          <w:color w:val="000000" w:themeColor="text1"/>
          <w:szCs w:val="20"/>
        </w:rPr>
        <w:t xml:space="preserve"> </w:t>
      </w:r>
      <w:r w:rsidR="00C10006">
        <w:rPr>
          <w:rFonts w:ascii="Georgia" w:eastAsiaTheme="minorEastAsia" w:hAnsi="Georgia" w:cs="Arial"/>
          <w:color w:val="000000" w:themeColor="text1"/>
          <w:szCs w:val="20"/>
        </w:rPr>
        <w:t>nursing-station</w:t>
      </w:r>
      <w:r w:rsidR="00C10006" w:rsidRPr="00D35C14">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 xml:space="preserve">(1); 10) visibility from main entrance to </w:t>
      </w:r>
      <w:r w:rsidR="00F97570">
        <w:rPr>
          <w:rFonts w:ascii="Georgia" w:eastAsiaTheme="minorEastAsia" w:hAnsi="Georgia" w:cs="Arial"/>
          <w:color w:val="000000" w:themeColor="text1"/>
          <w:szCs w:val="20"/>
        </w:rPr>
        <w:t>the formal public room</w:t>
      </w:r>
      <w:r w:rsidRPr="00D35C14">
        <w:rPr>
          <w:rFonts w:ascii="Georgia" w:eastAsiaTheme="minorEastAsia" w:hAnsi="Georgia" w:cs="Arial"/>
          <w:color w:val="000000" w:themeColor="text1"/>
          <w:szCs w:val="20"/>
        </w:rPr>
        <w:t xml:space="preserve"> (-1); 11) penetration experience (-1); 12) distance from closest</w:t>
      </w:r>
      <w:r w:rsidR="00C10006" w:rsidRPr="00C10006">
        <w:rPr>
          <w:rFonts w:ascii="Georgia" w:eastAsiaTheme="minorEastAsia" w:hAnsi="Georgia" w:cs="Arial"/>
          <w:color w:val="000000" w:themeColor="text1"/>
          <w:szCs w:val="20"/>
        </w:rPr>
        <w:t xml:space="preserve"> </w:t>
      </w:r>
      <w:r w:rsidR="00C10006">
        <w:rPr>
          <w:rFonts w:ascii="Georgia" w:eastAsiaTheme="minorEastAsia" w:hAnsi="Georgia" w:cs="Arial"/>
          <w:color w:val="000000" w:themeColor="text1"/>
          <w:szCs w:val="20"/>
        </w:rPr>
        <w:t>nursing-station</w:t>
      </w:r>
      <w:r w:rsidR="00C10006" w:rsidRPr="00D35C14">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to the main entrance (-1).</w:t>
      </w:r>
    </w:p>
    <w:p w14:paraId="4F16B310" w14:textId="77777777" w:rsidR="00B40059" w:rsidRPr="00D35C14" w:rsidRDefault="00B40059" w:rsidP="009F1165">
      <w:pPr>
        <w:pStyle w:val="MDPI31text"/>
        <w:rPr>
          <w:rFonts w:ascii="Georgia" w:eastAsiaTheme="minorEastAsia" w:hAnsi="Georgia" w:cs="Arial"/>
          <w:color w:val="000000" w:themeColor="text1"/>
          <w:szCs w:val="20"/>
        </w:rPr>
      </w:pPr>
      <w:r w:rsidRPr="00D35C14">
        <w:rPr>
          <w:rFonts w:ascii="Georgia" w:eastAsiaTheme="minorEastAsia" w:hAnsi="Georgia" w:cs="Arial"/>
          <w:color w:val="000000" w:themeColor="text1"/>
          <w:szCs w:val="20"/>
        </w:rPr>
        <w:t>The tool yields two complementary outcomes. The first outcome is a division of the</w:t>
      </w:r>
      <w:r w:rsidR="00E22CE5">
        <w:rPr>
          <w:rFonts w:ascii="Georgia" w:eastAsiaTheme="minorEastAsia" w:hAnsi="Georgia" w:cs="Arial"/>
          <w:color w:val="000000" w:themeColor="text1"/>
          <w:szCs w:val="20"/>
        </w:rPr>
        <w:t xml:space="preserve"> physical layout </w:t>
      </w:r>
      <w:r w:rsidRPr="00D35C14">
        <w:rPr>
          <w:rFonts w:ascii="Georgia" w:eastAsiaTheme="minorEastAsia" w:hAnsi="Georgia" w:cs="Arial"/>
          <w:color w:val="000000" w:themeColor="text1"/>
          <w:szCs w:val="20"/>
        </w:rPr>
        <w:t xml:space="preserve">into four typologies according to their support of </w:t>
      </w:r>
      <w:r w:rsidR="00DA5238">
        <w:rPr>
          <w:rFonts w:ascii="Georgia" w:eastAsiaTheme="minorEastAsia" w:hAnsi="Georgia" w:cs="Arial"/>
          <w:color w:val="000000" w:themeColor="text1"/>
          <w:szCs w:val="20"/>
        </w:rPr>
        <w:t>physical-</w:t>
      </w:r>
      <w:r w:rsidR="00DA5238" w:rsidRPr="00D35C14">
        <w:rPr>
          <w:rFonts w:ascii="Georgia" w:eastAsiaTheme="minorEastAsia" w:hAnsi="Georgia" w:cs="Arial"/>
          <w:color w:val="000000" w:themeColor="text1"/>
          <w:szCs w:val="20"/>
        </w:rPr>
        <w:t xml:space="preserve">WB </w:t>
      </w:r>
      <w:r w:rsidRPr="00D35C14">
        <w:rPr>
          <w:rFonts w:ascii="Georgia" w:eastAsiaTheme="minorEastAsia" w:hAnsi="Georgia" w:cs="Arial"/>
          <w:color w:val="000000" w:themeColor="text1"/>
          <w:szCs w:val="20"/>
        </w:rPr>
        <w:t xml:space="preserve">and </w:t>
      </w:r>
      <w:r w:rsidR="00DA5238">
        <w:rPr>
          <w:rFonts w:ascii="Georgia" w:eastAsiaTheme="minorEastAsia" w:hAnsi="Georgia" w:cs="Arial"/>
          <w:color w:val="000000" w:themeColor="text1"/>
          <w:szCs w:val="20"/>
        </w:rPr>
        <w:t>social-</w:t>
      </w:r>
      <w:r w:rsidR="00DA5238" w:rsidRPr="00D35C14">
        <w:rPr>
          <w:rFonts w:ascii="Georgia" w:eastAsiaTheme="minorEastAsia" w:hAnsi="Georgia" w:cs="Arial"/>
          <w:color w:val="000000" w:themeColor="text1"/>
          <w:szCs w:val="20"/>
        </w:rPr>
        <w:lastRenderedPageBreak/>
        <w:t>WB</w:t>
      </w:r>
      <w:r w:rsidRPr="00D35C14">
        <w:rPr>
          <w:rFonts w:ascii="Georgia" w:eastAsiaTheme="minorEastAsia" w:hAnsi="Georgia" w:cs="Arial"/>
          <w:color w:val="000000" w:themeColor="text1"/>
          <w:szCs w:val="20"/>
        </w:rPr>
        <w:t>. The second outcome, used in this paper, quantifies each plan’s attributes in the five domains and gives information (presented as a unique footprint) about their deficiencies and reserves (copies of the PSET are available upon request from the corresponding author).</w:t>
      </w:r>
    </w:p>
    <w:p w14:paraId="34E03B7D" w14:textId="77777777" w:rsidR="00B40059" w:rsidRPr="00D35C14" w:rsidRDefault="00B40059" w:rsidP="00B40059">
      <w:pPr>
        <w:pStyle w:val="MDPI31text"/>
        <w:rPr>
          <w:rFonts w:ascii="Georgia" w:eastAsiaTheme="minorEastAsia" w:hAnsi="Georgia" w:cs="Arial"/>
          <w:b/>
          <w:bCs/>
          <w:color w:val="000000" w:themeColor="text1"/>
          <w:szCs w:val="20"/>
        </w:rPr>
      </w:pPr>
      <w:r w:rsidRPr="00D35C14">
        <w:rPr>
          <w:rFonts w:ascii="Georgia" w:eastAsiaTheme="minorEastAsia" w:hAnsi="Georgia" w:cs="Arial"/>
          <w:b/>
          <w:bCs/>
          <w:color w:val="000000" w:themeColor="text1"/>
          <w:szCs w:val="20"/>
        </w:rPr>
        <w:t>Procedure:</w:t>
      </w:r>
    </w:p>
    <w:p w14:paraId="1956F99D" w14:textId="77777777" w:rsidR="00B40059" w:rsidRPr="00D35C14" w:rsidRDefault="00B40059">
      <w:pPr>
        <w:pStyle w:val="MDPI31text"/>
        <w:rPr>
          <w:rFonts w:ascii="Georgia" w:eastAsiaTheme="minorEastAsia" w:hAnsi="Georgia" w:cs="Arial"/>
          <w:color w:val="000000" w:themeColor="text1"/>
          <w:szCs w:val="20"/>
        </w:rPr>
      </w:pPr>
      <w:r w:rsidRPr="00D35C14">
        <w:rPr>
          <w:rFonts w:ascii="Georgia" w:eastAsiaTheme="minorEastAsia" w:hAnsi="Georgia" w:cs="Arial"/>
          <w:b/>
          <w:bCs/>
          <w:color w:val="000000" w:themeColor="text1"/>
          <w:szCs w:val="20"/>
        </w:rPr>
        <w:t>A: analyzing unit shape</w:t>
      </w:r>
      <w:r w:rsidRPr="00D35C14">
        <w:rPr>
          <w:rFonts w:ascii="Georgia" w:eastAsiaTheme="minorEastAsia" w:hAnsi="Georgia" w:cs="Arial"/>
          <w:color w:val="000000" w:themeColor="text1"/>
          <w:szCs w:val="20"/>
        </w:rPr>
        <w:t xml:space="preserve"> (the independent value): The forty plans were divided into five groups by shape of the main hallway (</w:t>
      </w:r>
      <w:r w:rsidR="00506487">
        <w:rPr>
          <w:rFonts w:ascii="Georgia" w:eastAsiaTheme="minorEastAsia" w:hAnsi="Georgia" w:cs="Arial"/>
          <w:color w:val="000000" w:themeColor="text1"/>
          <w:szCs w:val="20"/>
        </w:rPr>
        <w:t>"</w:t>
      </w:r>
      <w:r w:rsidRPr="00D35C14">
        <w:rPr>
          <w:rFonts w:ascii="Georgia" w:eastAsiaTheme="minorEastAsia" w:hAnsi="Georgia" w:cs="Arial"/>
          <w:color w:val="000000" w:themeColor="text1"/>
          <w:szCs w:val="20"/>
        </w:rPr>
        <w:t>L</w:t>
      </w:r>
      <w:r w:rsidR="00506487">
        <w:rPr>
          <w:rFonts w:ascii="Georgia" w:eastAsiaTheme="minorEastAsia" w:hAnsi="Georgia" w:cs="Arial"/>
          <w:color w:val="000000" w:themeColor="text1"/>
          <w:szCs w:val="20"/>
        </w:rPr>
        <w:t>", '</w:t>
      </w:r>
      <w:r w:rsidRPr="00D35C14">
        <w:rPr>
          <w:rFonts w:ascii="Georgia" w:eastAsiaTheme="minorEastAsia" w:hAnsi="Georgia" w:cs="Arial"/>
          <w:color w:val="000000" w:themeColor="text1"/>
          <w:szCs w:val="20"/>
        </w:rPr>
        <w:t>I</w:t>
      </w:r>
      <w:r w:rsidR="00506487">
        <w:rPr>
          <w:rFonts w:ascii="Georgia" w:eastAsiaTheme="minorEastAsia" w:hAnsi="Georgia" w:cs="Arial"/>
          <w:color w:val="000000" w:themeColor="text1"/>
          <w:szCs w:val="20"/>
        </w:rPr>
        <w:t>"</w:t>
      </w:r>
      <w:r w:rsidRPr="00D35C14">
        <w:rPr>
          <w:rFonts w:ascii="Georgia" w:eastAsiaTheme="minorEastAsia" w:hAnsi="Georgia" w:cs="Arial"/>
          <w:color w:val="000000" w:themeColor="text1"/>
          <w:szCs w:val="20"/>
        </w:rPr>
        <w:t xml:space="preserve">, </w:t>
      </w:r>
      <w:r w:rsidR="00506487">
        <w:rPr>
          <w:rFonts w:ascii="Georgia" w:eastAsiaTheme="minorEastAsia" w:hAnsi="Georgia" w:cs="Arial"/>
          <w:color w:val="000000" w:themeColor="text1"/>
          <w:szCs w:val="20"/>
        </w:rPr>
        <w:t>"</w:t>
      </w:r>
      <w:r w:rsidRPr="00D35C14">
        <w:rPr>
          <w:rFonts w:ascii="Georgia" w:eastAsiaTheme="minorEastAsia" w:hAnsi="Georgia" w:cs="Arial"/>
          <w:color w:val="000000" w:themeColor="text1"/>
          <w:szCs w:val="20"/>
        </w:rPr>
        <w:t>O</w:t>
      </w:r>
      <w:r w:rsidR="00506487">
        <w:rPr>
          <w:rFonts w:ascii="Georgia" w:eastAsiaTheme="minorEastAsia" w:hAnsi="Georgia" w:cs="Arial"/>
          <w:color w:val="000000" w:themeColor="text1"/>
          <w:szCs w:val="20"/>
        </w:rPr>
        <w:t>"</w:t>
      </w:r>
      <w:r w:rsidRPr="00D35C14">
        <w:rPr>
          <w:rFonts w:ascii="Georgia" w:eastAsiaTheme="minorEastAsia" w:hAnsi="Georgia" w:cs="Arial"/>
          <w:color w:val="000000" w:themeColor="text1"/>
          <w:szCs w:val="20"/>
        </w:rPr>
        <w:t xml:space="preserve">, </w:t>
      </w:r>
      <w:r w:rsidR="00506487">
        <w:rPr>
          <w:rFonts w:ascii="Georgia" w:eastAsiaTheme="minorEastAsia" w:hAnsi="Georgia" w:cs="Arial"/>
          <w:color w:val="000000" w:themeColor="text1"/>
          <w:szCs w:val="20"/>
        </w:rPr>
        <w:t>"T"</w:t>
      </w:r>
      <w:r w:rsidR="009F1165">
        <w:rPr>
          <w:rFonts w:ascii="Georgia" w:eastAsiaTheme="minorEastAsia" w:hAnsi="Georgia" w:cs="Arial"/>
          <w:color w:val="000000" w:themeColor="text1"/>
          <w:szCs w:val="20"/>
        </w:rPr>
        <w:t>,</w:t>
      </w:r>
      <w:r w:rsidR="00506487">
        <w:rPr>
          <w:rFonts w:ascii="Georgia" w:eastAsiaTheme="minorEastAsia" w:hAnsi="Georgia" w:cs="Arial"/>
          <w:color w:val="000000" w:themeColor="text1"/>
          <w:szCs w:val="20"/>
        </w:rPr>
        <w:t xml:space="preserve"> and "</w:t>
      </w:r>
      <w:r w:rsidR="001761B3">
        <w:rPr>
          <w:rFonts w:ascii="Georgia" w:eastAsiaTheme="minorEastAsia" w:hAnsi="Georgia" w:cs="Arial"/>
          <w:color w:val="000000" w:themeColor="text1"/>
          <w:szCs w:val="20"/>
        </w:rPr>
        <w:t>other</w:t>
      </w:r>
      <w:r w:rsidR="00506487">
        <w:rPr>
          <w:rFonts w:ascii="Georgia" w:eastAsiaTheme="minorEastAsia" w:hAnsi="Georgia" w:cs="Arial"/>
          <w:color w:val="000000" w:themeColor="text1"/>
          <w:szCs w:val="20"/>
        </w:rPr>
        <w:t>"</w:t>
      </w:r>
      <w:r w:rsidRPr="00D35C14">
        <w:rPr>
          <w:rFonts w:ascii="Georgia" w:eastAsiaTheme="minorEastAsia" w:hAnsi="Georgia" w:cs="Arial"/>
          <w:color w:val="000000" w:themeColor="text1"/>
          <w:szCs w:val="20"/>
        </w:rPr>
        <w:t xml:space="preserve">). L-shaped plans include a double-winged hallway connected to a </w:t>
      </w:r>
      <w:r w:rsidR="001314F9">
        <w:rPr>
          <w:rFonts w:ascii="Georgia" w:eastAsiaTheme="minorEastAsia" w:hAnsi="Georgia" w:cs="Arial"/>
          <w:color w:val="000000" w:themeColor="text1"/>
          <w:szCs w:val="20"/>
        </w:rPr>
        <w:t>formal public-room</w:t>
      </w:r>
      <w:r w:rsidRPr="00D35C14">
        <w:rPr>
          <w:rFonts w:ascii="Georgia" w:eastAsiaTheme="minorEastAsia" w:hAnsi="Georgia" w:cs="Arial"/>
          <w:color w:val="000000" w:themeColor="text1"/>
          <w:szCs w:val="20"/>
        </w:rPr>
        <w:t xml:space="preserve">. The angle between the wings must be over 30-degrees, and the shortest wing should include a minimum of four rooms. I-shaped plans include a single or double-winged hallway with an angle up to 30-degrees. The </w:t>
      </w:r>
      <w:r w:rsidR="001314F9">
        <w:rPr>
          <w:rFonts w:ascii="Georgia" w:eastAsiaTheme="minorEastAsia" w:hAnsi="Georgia" w:cs="Arial"/>
          <w:color w:val="000000" w:themeColor="text1"/>
          <w:szCs w:val="20"/>
        </w:rPr>
        <w:t>formal public-rooms</w:t>
      </w:r>
      <w:r w:rsidR="001314F9" w:rsidRPr="00D35C14">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 xml:space="preserve">are positioned anywhere along the hallway. O-shaped plans include a single hallway that allows residents to walk in circles. T-shaped plans include a three-winged hallway. The three wings are connected to a </w:t>
      </w:r>
      <w:r w:rsidR="001761B3">
        <w:rPr>
          <w:rFonts w:ascii="Georgia" w:eastAsiaTheme="minorEastAsia" w:hAnsi="Georgia" w:cs="Arial"/>
          <w:color w:val="000000" w:themeColor="text1"/>
          <w:szCs w:val="20"/>
        </w:rPr>
        <w:t>formal public room</w:t>
      </w:r>
      <w:r w:rsidRPr="00D35C14">
        <w:rPr>
          <w:rFonts w:ascii="Georgia" w:eastAsiaTheme="minorEastAsia" w:hAnsi="Georgia" w:cs="Arial"/>
          <w:color w:val="000000" w:themeColor="text1"/>
          <w:szCs w:val="20"/>
        </w:rPr>
        <w:t>. Only two of the wings are used for bedrooms; the third wing is used for service or paramedical rooms. Designated as “Other” are all plans with hallways that do not follow the above.</w:t>
      </w:r>
    </w:p>
    <w:p w14:paraId="38B2AF49" w14:textId="77777777" w:rsidR="00B40059" w:rsidRPr="00D35C14" w:rsidRDefault="00B40059" w:rsidP="00D87A3F">
      <w:pPr>
        <w:pStyle w:val="MDPI31text"/>
        <w:rPr>
          <w:rFonts w:ascii="Georgia" w:eastAsiaTheme="minorEastAsia" w:hAnsi="Georgia" w:cs="Arial"/>
          <w:color w:val="000000" w:themeColor="text1"/>
          <w:szCs w:val="20"/>
        </w:rPr>
      </w:pPr>
      <w:r w:rsidRPr="00D35C14">
        <w:rPr>
          <w:rFonts w:ascii="Georgia" w:eastAsiaTheme="minorEastAsia" w:hAnsi="Georgia" w:cs="Arial"/>
          <w:b/>
          <w:bCs/>
          <w:color w:val="000000" w:themeColor="text1"/>
          <w:szCs w:val="20"/>
        </w:rPr>
        <w:t xml:space="preserve">B: analyzing the </w:t>
      </w:r>
      <w:r w:rsidR="00D87A3F">
        <w:rPr>
          <w:rFonts w:ascii="Georgia" w:eastAsiaTheme="minorEastAsia" w:hAnsi="Georgia" w:cs="Arial"/>
          <w:b/>
          <w:bCs/>
          <w:color w:val="000000" w:themeColor="text1"/>
          <w:szCs w:val="20"/>
        </w:rPr>
        <w:t>long-term care units</w:t>
      </w:r>
      <w:r w:rsidRPr="00D35C14">
        <w:rPr>
          <w:rFonts w:ascii="Georgia" w:eastAsiaTheme="minorEastAsia" w:hAnsi="Georgia" w:cs="Arial"/>
          <w:b/>
          <w:bCs/>
          <w:color w:val="000000" w:themeColor="text1"/>
          <w:szCs w:val="20"/>
        </w:rPr>
        <w:t xml:space="preserve"> using the PSET</w:t>
      </w:r>
      <w:r w:rsidRPr="00D35C14">
        <w:rPr>
          <w:rFonts w:ascii="Georgia" w:eastAsiaTheme="minorEastAsia" w:hAnsi="Georgia" w:cs="Arial"/>
          <w:color w:val="000000" w:themeColor="text1"/>
          <w:szCs w:val="20"/>
        </w:rPr>
        <w:t xml:space="preserve"> (the dependent value): The forty randomly chosen </w:t>
      </w:r>
      <w:r w:rsidR="00D87A3F">
        <w:rPr>
          <w:rFonts w:ascii="Georgia" w:eastAsiaTheme="minorEastAsia" w:hAnsi="Georgia" w:cs="Arial"/>
          <w:color w:val="000000" w:themeColor="text1"/>
          <w:szCs w:val="20"/>
        </w:rPr>
        <w:t>long-term care units</w:t>
      </w:r>
      <w:r w:rsidR="009F1165">
        <w:rPr>
          <w:rFonts w:ascii="Georgia" w:eastAsiaTheme="minorEastAsia" w:hAnsi="Georgia" w:cs="Arial"/>
          <w:color w:val="000000" w:themeColor="text1"/>
          <w:szCs w:val="20"/>
        </w:rPr>
        <w:t>'</w:t>
      </w:r>
      <w:r w:rsidR="00D87A3F">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plans received an identification number used throughout the research. The CAD architectural plans (provided to the researcher by the LTCF management) were analyzed according to their support of five well-being domains using the PSET (detailed above). </w:t>
      </w:r>
    </w:p>
    <w:p w14:paraId="39FB66A6" w14:textId="77777777" w:rsidR="00B40059" w:rsidRPr="00D35C14" w:rsidRDefault="00B40059" w:rsidP="00D87A3F">
      <w:pPr>
        <w:pStyle w:val="MDPI31text"/>
        <w:rPr>
          <w:rFonts w:ascii="Georgia" w:eastAsiaTheme="minorEastAsia" w:hAnsi="Georgia" w:cs="Arial"/>
          <w:color w:val="000000" w:themeColor="text1"/>
          <w:szCs w:val="20"/>
        </w:rPr>
      </w:pPr>
      <w:r w:rsidRPr="00D35C14">
        <w:rPr>
          <w:rFonts w:ascii="Georgia" w:eastAsiaTheme="minorEastAsia" w:hAnsi="Georgia" w:cs="Arial"/>
          <w:b/>
          <w:bCs/>
          <w:color w:val="000000" w:themeColor="text1"/>
          <w:szCs w:val="20"/>
        </w:rPr>
        <w:t>C: Data analysis</w:t>
      </w:r>
      <w:r w:rsidRPr="00D35C14">
        <w:rPr>
          <w:rFonts w:ascii="Georgia" w:eastAsiaTheme="minorEastAsia" w:hAnsi="Georgia" w:cs="Arial"/>
          <w:color w:val="000000" w:themeColor="text1"/>
          <w:szCs w:val="20"/>
        </w:rPr>
        <w:t xml:space="preserve">: A one-way ANOVA was performed to determine whether there were differences in the scores for the five domains of well-being according to </w:t>
      </w:r>
      <w:r w:rsidR="00D87A3F">
        <w:rPr>
          <w:rFonts w:ascii="Georgia" w:eastAsiaTheme="minorEastAsia" w:hAnsi="Georgia" w:cs="Arial"/>
          <w:color w:val="000000" w:themeColor="text1"/>
          <w:szCs w:val="20"/>
        </w:rPr>
        <w:t>long</w:t>
      </w:r>
      <w:r w:rsidR="001761B3">
        <w:rPr>
          <w:rFonts w:ascii="Georgia" w:eastAsiaTheme="minorEastAsia" w:hAnsi="Georgia" w:cs="Arial"/>
          <w:color w:val="000000" w:themeColor="text1"/>
          <w:szCs w:val="20"/>
        </w:rPr>
        <w:t>-</w:t>
      </w:r>
      <w:r w:rsidR="00D87A3F">
        <w:rPr>
          <w:rFonts w:ascii="Georgia" w:eastAsiaTheme="minorEastAsia" w:hAnsi="Georgia" w:cs="Arial"/>
          <w:color w:val="000000" w:themeColor="text1"/>
          <w:szCs w:val="20"/>
        </w:rPr>
        <w:t>term care units'</w:t>
      </w:r>
      <w:r w:rsidRPr="00D35C14">
        <w:rPr>
          <w:rFonts w:ascii="Georgia" w:eastAsiaTheme="minorEastAsia" w:hAnsi="Georgia" w:cs="Arial"/>
          <w:color w:val="000000" w:themeColor="text1"/>
          <w:szCs w:val="20"/>
        </w:rPr>
        <w:t xml:space="preserve"> hallway shape.</w:t>
      </w:r>
    </w:p>
    <w:p w14:paraId="7C9DD40E" w14:textId="77777777" w:rsidR="00B40059" w:rsidRPr="00D35C14" w:rsidRDefault="00B40059" w:rsidP="00B40059">
      <w:pPr>
        <w:pStyle w:val="MDPI21heading1"/>
        <w:rPr>
          <w:rFonts w:ascii="Georgia" w:eastAsiaTheme="minorEastAsia" w:hAnsi="Georgia" w:cs="Arial"/>
          <w:color w:val="000000" w:themeColor="text1"/>
        </w:rPr>
      </w:pPr>
      <w:r w:rsidRPr="00D35C14">
        <w:rPr>
          <w:rFonts w:ascii="Georgia" w:eastAsiaTheme="minorEastAsia" w:hAnsi="Georgia" w:cs="Arial"/>
          <w:color w:val="000000" w:themeColor="text1"/>
        </w:rPr>
        <w:t>3. Results</w:t>
      </w:r>
    </w:p>
    <w:p w14:paraId="4DDD108D" w14:textId="77777777" w:rsidR="00856549" w:rsidRDefault="00856549" w:rsidP="009F1165">
      <w:pPr>
        <w:pStyle w:val="MDPI31text"/>
        <w:rPr>
          <w:rFonts w:ascii="Georgia" w:eastAsiaTheme="minorEastAsia" w:hAnsi="Georgia" w:cs="Arial"/>
          <w:b/>
          <w:bCs/>
          <w:color w:val="000000" w:themeColor="text1"/>
          <w:szCs w:val="20"/>
          <w:lang w:eastAsia="zh-CN"/>
        </w:rPr>
      </w:pPr>
      <w:r w:rsidRPr="006A424E">
        <w:rPr>
          <w:rFonts w:ascii="Georgia" w:eastAsiaTheme="minorEastAsia" w:hAnsi="Georgia" w:cs="Arial"/>
          <w:bCs/>
          <w:color w:val="auto"/>
        </w:rPr>
        <w:t xml:space="preserve">A one-way ANOVA was conducted to determine if the shape of the corridors </w:t>
      </w:r>
      <w:r w:rsidR="009F1165" w:rsidRPr="006A424E">
        <w:rPr>
          <w:rFonts w:ascii="Georgia" w:eastAsiaTheme="minorEastAsia" w:hAnsi="Georgia" w:cs="Arial"/>
          <w:bCs/>
          <w:color w:val="auto"/>
        </w:rPr>
        <w:t>is</w:t>
      </w:r>
      <w:r w:rsidRPr="006A424E">
        <w:rPr>
          <w:rFonts w:ascii="Georgia" w:eastAsiaTheme="minorEastAsia" w:hAnsi="Georgia" w:cs="Arial"/>
          <w:bCs/>
          <w:color w:val="auto"/>
        </w:rPr>
        <w:t xml:space="preserve"> related </w:t>
      </w:r>
      <w:r w:rsidR="009F1165" w:rsidRPr="006A424E">
        <w:rPr>
          <w:rFonts w:ascii="Georgia" w:eastAsiaTheme="minorEastAsia" w:hAnsi="Georgia" w:cs="Arial"/>
          <w:bCs/>
          <w:color w:val="auto"/>
        </w:rPr>
        <w:t xml:space="preserve">to </w:t>
      </w:r>
      <w:r w:rsidRPr="006A424E">
        <w:rPr>
          <w:rFonts w:ascii="Georgia" w:eastAsiaTheme="minorEastAsia" w:hAnsi="Georgia" w:cs="Arial"/>
          <w:bCs/>
          <w:color w:val="auto"/>
        </w:rPr>
        <w:t>each one of the five social and physical wb SPET outcomes (comfort, stimulation, status, behavioral confirmation</w:t>
      </w:r>
      <w:r w:rsidR="00865CE2" w:rsidRPr="006A424E">
        <w:rPr>
          <w:rFonts w:ascii="Georgia" w:eastAsiaTheme="minorEastAsia" w:hAnsi="Georgia" w:cs="Arial"/>
          <w:bCs/>
          <w:color w:val="auto"/>
        </w:rPr>
        <w:t>,</w:t>
      </w:r>
      <w:r w:rsidRPr="006A424E">
        <w:rPr>
          <w:rFonts w:ascii="Georgia" w:eastAsiaTheme="minorEastAsia" w:hAnsi="Georgia" w:cs="Arial"/>
          <w:bCs/>
          <w:color w:val="auto"/>
        </w:rPr>
        <w:t xml:space="preserve"> and affection). The current study has referred to five shapes of corridors ("L" (n=14), "I" (n=5), "O" (n=7), "T" (N=7), other shapes of corridors (n=7)). Data is presented as means ± standard deviation. The five social and physical wb SPET outcomes were not significantly different between the five shapes of corridors.  (p&gt;0.05). </w:t>
      </w:r>
      <w:r w:rsidRPr="00D35C14">
        <w:rPr>
          <w:rFonts w:ascii="Georgia" w:eastAsiaTheme="minorEastAsia" w:hAnsi="Georgia" w:cs="Arial"/>
          <w:color w:val="000000" w:themeColor="text1"/>
          <w:szCs w:val="20"/>
        </w:rPr>
        <w:t>As predicted based on the SPF model, the results found no significant correlation between hallway shape and the scores for the five well-being domains. These results confirm the PSET tool’s claim that a single</w:t>
      </w:r>
      <w:r>
        <w:rPr>
          <w:rFonts w:ascii="Georgia" w:eastAsiaTheme="minorEastAsia" w:hAnsi="Georgia" w:cs="Arial"/>
          <w:color w:val="000000" w:themeColor="text1"/>
          <w:szCs w:val="20"/>
        </w:rPr>
        <w:t xml:space="preserve"> physical layout </w:t>
      </w:r>
      <w:r w:rsidRPr="00D35C14">
        <w:rPr>
          <w:rFonts w:ascii="Georgia" w:eastAsiaTheme="minorEastAsia" w:hAnsi="Georgia" w:cs="Arial"/>
          <w:color w:val="000000" w:themeColor="text1"/>
          <w:szCs w:val="20"/>
        </w:rPr>
        <w:t xml:space="preserve">variable cannot predict its support of well-being. The results also highlight the importance of quantifying these variables in order to be able to focus on each domain’s footprint as the </w:t>
      </w:r>
      <w:r>
        <w:rPr>
          <w:rFonts w:ascii="Georgia" w:eastAsiaTheme="minorEastAsia" w:hAnsi="Georgia" w:cs="Arial"/>
          <w:color w:val="000000" w:themeColor="text1"/>
          <w:szCs w:val="20"/>
        </w:rPr>
        <w:t>long-term care units'</w:t>
      </w:r>
      <w:r w:rsidRPr="00D35C14">
        <w:rPr>
          <w:rFonts w:ascii="Georgia" w:eastAsiaTheme="minorEastAsia" w:hAnsi="Georgia" w:cs="Arial"/>
          <w:color w:val="000000" w:themeColor="text1"/>
          <w:szCs w:val="20"/>
        </w:rPr>
        <w:t xml:space="preserve"> bank of resources and deficiencies.</w:t>
      </w:r>
    </w:p>
    <w:p w14:paraId="34D0C79E" w14:textId="77777777" w:rsidR="00B40059" w:rsidRPr="00D35C14" w:rsidRDefault="00B40059" w:rsidP="00B40059">
      <w:pPr>
        <w:pStyle w:val="MDPI22heading2"/>
        <w:spacing w:before="0"/>
        <w:rPr>
          <w:rFonts w:ascii="Georgia" w:eastAsiaTheme="minorEastAsia" w:hAnsi="Georgia" w:cs="Arial"/>
          <w:i w:val="0"/>
          <w:color w:val="000000" w:themeColor="text1"/>
          <w:szCs w:val="20"/>
        </w:rPr>
      </w:pPr>
      <w:r w:rsidRPr="00D35C14">
        <w:rPr>
          <w:rFonts w:ascii="Georgia" w:eastAsiaTheme="minorEastAsia" w:hAnsi="Georgia" w:cs="Arial"/>
          <w:i w:val="0"/>
          <w:color w:val="000000" w:themeColor="text1"/>
          <w:szCs w:val="20"/>
        </w:rPr>
        <w:t>3.1. Comparison of L-Shaped Plans</w:t>
      </w:r>
    </w:p>
    <w:p w14:paraId="4886BC6F" w14:textId="77777777" w:rsidR="00B40059" w:rsidRDefault="00865CE2" w:rsidP="00865CE2">
      <w:pPr>
        <w:pStyle w:val="MDPI31text"/>
        <w:rPr>
          <w:rFonts w:ascii="Georgia" w:eastAsiaTheme="minorEastAsia" w:hAnsi="Georgia" w:cs="Arial"/>
          <w:color w:val="000000" w:themeColor="text1"/>
          <w:szCs w:val="20"/>
        </w:rPr>
      </w:pPr>
      <w:r w:rsidRPr="00865CE2">
        <w:rPr>
          <w:rFonts w:ascii="Georgia" w:eastAsiaTheme="minorEastAsia" w:hAnsi="Georgia" w:cs="Arial"/>
          <w:color w:val="000000" w:themeColor="text1"/>
          <w:szCs w:val="20"/>
        </w:rPr>
        <w:t>A detailed comparison is presented between different pairs of L-shaped plans to demonstrate the lack of correlation between hallway shape and well-being scores in the five domains</w:t>
      </w:r>
      <w:r>
        <w:rPr>
          <w:rFonts w:ascii="Georgia" w:eastAsiaTheme="minorEastAsia" w:hAnsi="Georgia" w:cs="Arial"/>
          <w:color w:val="000000" w:themeColor="text1"/>
          <w:szCs w:val="20"/>
        </w:rPr>
        <w:t>,</w:t>
      </w:r>
      <w:r w:rsidR="00B40059" w:rsidRPr="00D35C14">
        <w:rPr>
          <w:rFonts w:ascii="Georgia" w:eastAsiaTheme="minorEastAsia" w:hAnsi="Georgia" w:cs="Arial"/>
          <w:color w:val="000000" w:themeColor="text1"/>
          <w:szCs w:val="20"/>
        </w:rPr>
        <w:t xml:space="preserve"> </w:t>
      </w:r>
      <w:r>
        <w:rPr>
          <w:rFonts w:ascii="Georgia" w:eastAsiaTheme="minorEastAsia" w:hAnsi="Georgia" w:cs="Arial"/>
          <w:color w:val="000000" w:themeColor="text1"/>
          <w:szCs w:val="20"/>
        </w:rPr>
        <w:t>d</w:t>
      </w:r>
      <w:r w:rsidR="00B40059" w:rsidRPr="00D35C14">
        <w:rPr>
          <w:rFonts w:ascii="Georgia" w:eastAsiaTheme="minorEastAsia" w:hAnsi="Georgia" w:cs="Arial"/>
          <w:color w:val="000000" w:themeColor="text1"/>
          <w:szCs w:val="20"/>
        </w:rPr>
        <w:t>emonstrating how they differ from one another. We have chosen two L-shaped plans that scored very differently for each domain. By examining these pairs of plans below, we demonstrate the nuances that differentiate them.</w:t>
      </w:r>
    </w:p>
    <w:p w14:paraId="73F7C577" w14:textId="77777777" w:rsidR="000A05C6" w:rsidRDefault="000A05C6" w:rsidP="00B40059">
      <w:pPr>
        <w:pStyle w:val="MDPI31text"/>
        <w:rPr>
          <w:rFonts w:ascii="Georgia" w:eastAsiaTheme="minorEastAsia" w:hAnsi="Georgia" w:cs="Arial"/>
          <w:color w:val="000000" w:themeColor="text1"/>
          <w:szCs w:val="20"/>
        </w:rPr>
      </w:pPr>
    </w:p>
    <w:p w14:paraId="035F4997" w14:textId="77777777" w:rsidR="00B40059" w:rsidRDefault="00862D38" w:rsidP="00B40059">
      <w:pPr>
        <w:pStyle w:val="MDPI31text"/>
        <w:rPr>
          <w:rFonts w:ascii="Georgia" w:eastAsiaTheme="minorEastAsia" w:hAnsi="Georgia" w:cs="Arial"/>
          <w:color w:val="000000" w:themeColor="text1"/>
          <w:szCs w:val="20"/>
        </w:rPr>
      </w:pPr>
      <w:r>
        <w:rPr>
          <w:rFonts w:ascii="Georgia" w:eastAsiaTheme="minorEastAsia" w:hAnsi="Georgia" w:cs="Arial"/>
          <w:noProof/>
          <w:color w:val="000000" w:themeColor="text1"/>
          <w:szCs w:val="20"/>
          <w:lang w:eastAsia="en-US" w:bidi="he-IL"/>
        </w:rPr>
        <w:lastRenderedPageBreak/>
        <w:drawing>
          <wp:anchor distT="0" distB="0" distL="114300" distR="114300" simplePos="0" relativeHeight="251664384" behindDoc="0" locked="0" layoutInCell="1" allowOverlap="1" wp14:anchorId="60AA6ED3" wp14:editId="0C417792">
            <wp:simplePos x="0" y="0"/>
            <wp:positionH relativeFrom="column">
              <wp:posOffset>1634490</wp:posOffset>
            </wp:positionH>
            <wp:positionV relativeFrom="paragraph">
              <wp:posOffset>177165</wp:posOffset>
            </wp:positionV>
            <wp:extent cx="3134995" cy="3315335"/>
            <wp:effectExtent l="0" t="0" r="8255" b="0"/>
            <wp:wrapTopAndBottom/>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34995" cy="3315335"/>
                    </a:xfrm>
                    <a:prstGeom prst="rect">
                      <a:avLst/>
                    </a:prstGeom>
                    <a:noFill/>
                  </pic:spPr>
                </pic:pic>
              </a:graphicData>
            </a:graphic>
            <wp14:sizeRelH relativeFrom="page">
              <wp14:pctWidth>0</wp14:pctWidth>
            </wp14:sizeRelH>
            <wp14:sizeRelV relativeFrom="page">
              <wp14:pctHeight>0</wp14:pctHeight>
            </wp14:sizeRelV>
          </wp:anchor>
        </w:drawing>
      </w:r>
    </w:p>
    <w:p w14:paraId="7996D3EF" w14:textId="77777777" w:rsidR="00B40059" w:rsidRDefault="00B40059" w:rsidP="00B40059">
      <w:pPr>
        <w:pStyle w:val="MDPI31text"/>
        <w:jc w:val="left"/>
        <w:rPr>
          <w:rFonts w:ascii="Georgia" w:eastAsiaTheme="minorEastAsia" w:hAnsi="Georgia" w:cs="Arial"/>
          <w:color w:val="000000" w:themeColor="text1"/>
          <w:szCs w:val="20"/>
        </w:rPr>
      </w:pPr>
    </w:p>
    <w:p w14:paraId="2A4D6CDD" w14:textId="77777777" w:rsidR="00B40059" w:rsidRPr="00D35C14" w:rsidRDefault="00B40059" w:rsidP="00B40059">
      <w:pPr>
        <w:pStyle w:val="MDPI31text"/>
        <w:jc w:val="left"/>
        <w:rPr>
          <w:rFonts w:ascii="Georgia" w:eastAsiaTheme="minorEastAsia" w:hAnsi="Georgia" w:cs="Arial"/>
          <w:color w:val="000000" w:themeColor="text1"/>
          <w:szCs w:val="20"/>
        </w:rPr>
      </w:pPr>
      <w:r w:rsidRPr="00D35C14">
        <w:rPr>
          <w:rFonts w:ascii="Georgia" w:eastAsiaTheme="minorEastAsia" w:hAnsi="Georgia" w:cs="Arial"/>
          <w:color w:val="000000" w:themeColor="text1"/>
          <w:szCs w:val="20"/>
        </w:rPr>
        <w:t>Figure 1–Comparing plan#19 and plan#20</w:t>
      </w:r>
    </w:p>
    <w:p w14:paraId="775629A2" w14:textId="77777777" w:rsidR="00B40059" w:rsidRPr="00D35C14" w:rsidRDefault="00B40059" w:rsidP="00B40059">
      <w:pPr>
        <w:pStyle w:val="MDPI31text"/>
        <w:rPr>
          <w:rFonts w:ascii="Georgia" w:eastAsiaTheme="minorEastAsia" w:hAnsi="Georgia" w:cs="Arial"/>
          <w:color w:val="000000" w:themeColor="text1"/>
          <w:szCs w:val="20"/>
        </w:rPr>
      </w:pPr>
    </w:p>
    <w:p w14:paraId="3F881367" w14:textId="77777777" w:rsidR="00B40059" w:rsidRPr="00D35C14" w:rsidRDefault="00B40059" w:rsidP="00C10006">
      <w:pPr>
        <w:pStyle w:val="MDPI31text"/>
        <w:rPr>
          <w:rFonts w:ascii="Georgia" w:eastAsiaTheme="minorEastAsia" w:hAnsi="Georgia" w:cs="Arial"/>
          <w:color w:val="000000" w:themeColor="text1"/>
          <w:szCs w:val="20"/>
        </w:rPr>
      </w:pPr>
      <w:r w:rsidRPr="00D35C14">
        <w:rPr>
          <w:rFonts w:ascii="Georgia" w:eastAsiaTheme="minorEastAsia" w:hAnsi="Georgia" w:cs="Arial"/>
          <w:b/>
          <w:bCs/>
          <w:color w:val="000000" w:themeColor="text1"/>
          <w:szCs w:val="20"/>
        </w:rPr>
        <w:t>Support of Comfort</w:t>
      </w:r>
      <w:r w:rsidRPr="00D35C14">
        <w:rPr>
          <w:rFonts w:ascii="Georgia" w:eastAsiaTheme="minorEastAsia" w:hAnsi="Georgia" w:cs="Arial"/>
          <w:color w:val="000000" w:themeColor="text1"/>
          <w:szCs w:val="20"/>
        </w:rPr>
        <w:t>: The</w:t>
      </w:r>
      <w:r w:rsidR="00E22CE5">
        <w:rPr>
          <w:rFonts w:ascii="Georgia" w:eastAsiaTheme="minorEastAsia" w:hAnsi="Georgia" w:cs="Arial"/>
          <w:color w:val="000000" w:themeColor="text1"/>
          <w:szCs w:val="20"/>
        </w:rPr>
        <w:t xml:space="preserve"> physical layout </w:t>
      </w:r>
      <w:r w:rsidRPr="00D35C14">
        <w:rPr>
          <w:rFonts w:ascii="Georgia" w:eastAsiaTheme="minorEastAsia" w:hAnsi="Georgia" w:cs="Arial"/>
          <w:color w:val="000000" w:themeColor="text1"/>
          <w:szCs w:val="20"/>
        </w:rPr>
        <w:t xml:space="preserve">of </w:t>
      </w:r>
      <w:r w:rsidR="00D87A3F">
        <w:rPr>
          <w:rFonts w:ascii="Georgia" w:eastAsiaTheme="minorEastAsia" w:hAnsi="Georgia" w:cs="Arial"/>
          <w:color w:val="000000" w:themeColor="text1"/>
          <w:szCs w:val="20"/>
        </w:rPr>
        <w:t>long-term care units</w:t>
      </w:r>
      <w:r w:rsidRPr="00D35C14">
        <w:rPr>
          <w:rFonts w:ascii="Georgia" w:eastAsiaTheme="minorEastAsia" w:hAnsi="Georgia" w:cs="Arial"/>
          <w:color w:val="000000" w:themeColor="text1"/>
          <w:szCs w:val="20"/>
        </w:rPr>
        <w:t xml:space="preserve"> can support comfort by controlling visual, noise, and smell intrusions in bedrooms. Plans #19 and #20 scored very differently in their support of comfort (Figure 1). The cause of this difference lies in the location of the unit’s main entrances and the visual intrusion created by this choice. In plan</w:t>
      </w:r>
      <w:r w:rsidR="00BE3D00">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w:t>
      </w:r>
      <w:r w:rsidR="00BE3D00" w:rsidRPr="00D35C14">
        <w:rPr>
          <w:rFonts w:ascii="Georgia" w:eastAsiaTheme="minorEastAsia" w:hAnsi="Georgia" w:cs="Arial"/>
          <w:color w:val="000000" w:themeColor="text1"/>
          <w:szCs w:val="20"/>
        </w:rPr>
        <w:t>19,</w:t>
      </w:r>
      <w:r w:rsidRPr="00D35C14">
        <w:rPr>
          <w:rFonts w:ascii="Georgia" w:eastAsiaTheme="minorEastAsia" w:hAnsi="Georgia" w:cs="Arial"/>
          <w:color w:val="000000" w:themeColor="text1"/>
          <w:szCs w:val="20"/>
        </w:rPr>
        <w:t xml:space="preserve"> the main entrance directly overlooks some of the bedrooms, while in plan #20, this is not the case. The sight from the</w:t>
      </w:r>
      <w:r w:rsidR="00C10006" w:rsidRPr="00C10006">
        <w:rPr>
          <w:rFonts w:ascii="Georgia" w:eastAsiaTheme="minorEastAsia" w:hAnsi="Georgia" w:cs="Arial"/>
          <w:color w:val="000000" w:themeColor="text1"/>
          <w:szCs w:val="20"/>
        </w:rPr>
        <w:t xml:space="preserve"> </w:t>
      </w:r>
      <w:r w:rsidR="00C10006">
        <w:rPr>
          <w:rFonts w:ascii="Georgia" w:eastAsiaTheme="minorEastAsia" w:hAnsi="Georgia" w:cs="Arial"/>
          <w:color w:val="000000" w:themeColor="text1"/>
          <w:szCs w:val="20"/>
        </w:rPr>
        <w:t>nursing-station</w:t>
      </w:r>
      <w:r w:rsidR="00C10006" w:rsidRPr="00D35C14">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to the bedroom doors may support a feeling of safety and security. Thus, plan #19 has lower visibility from the</w:t>
      </w:r>
      <w:r w:rsidR="00C10006" w:rsidRPr="00C10006">
        <w:rPr>
          <w:rFonts w:ascii="Georgia" w:eastAsiaTheme="minorEastAsia" w:hAnsi="Georgia" w:cs="Arial"/>
          <w:color w:val="000000" w:themeColor="text1"/>
          <w:szCs w:val="20"/>
        </w:rPr>
        <w:t xml:space="preserve"> </w:t>
      </w:r>
      <w:r w:rsidR="00C10006">
        <w:rPr>
          <w:rFonts w:ascii="Georgia" w:eastAsiaTheme="minorEastAsia" w:hAnsi="Georgia" w:cs="Arial"/>
          <w:color w:val="000000" w:themeColor="text1"/>
          <w:szCs w:val="20"/>
        </w:rPr>
        <w:t>nursing-station</w:t>
      </w:r>
      <w:r w:rsidR="00C10006" w:rsidRPr="00D35C14">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(#19=20.11 %&lt;#20=26.51%), and provides lower visual control from the bedroom doors (#19=3.76 %&lt;#20=12.16%). Privacy also differs between the two plans, expressed in the percent of parallel bedroom doors, which allow for visual penetration which allows individuals to see into other bedrooms (#19=50%&gt;#20=11%). </w:t>
      </w:r>
    </w:p>
    <w:p w14:paraId="625D3174" w14:textId="77777777" w:rsidR="00B40059" w:rsidRDefault="00B40059" w:rsidP="00C10006">
      <w:pPr>
        <w:pStyle w:val="MDPI31text"/>
        <w:rPr>
          <w:rFonts w:ascii="Georgia" w:eastAsiaTheme="minorEastAsia" w:hAnsi="Georgia" w:cs="Arial"/>
          <w:color w:val="000000" w:themeColor="text1"/>
          <w:szCs w:val="20"/>
        </w:rPr>
      </w:pPr>
      <w:r w:rsidRPr="00D35C14">
        <w:rPr>
          <w:rFonts w:ascii="Georgia" w:eastAsiaTheme="minorEastAsia" w:hAnsi="Georgia" w:cs="Arial"/>
          <w:color w:val="000000" w:themeColor="text1"/>
          <w:szCs w:val="20"/>
        </w:rPr>
        <w:t>Noise intrusion and foul smells also affect comfort. Noise is measured by the proximity of bedrooms to the</w:t>
      </w:r>
      <w:r w:rsidR="00C10006" w:rsidRPr="00C10006">
        <w:rPr>
          <w:rFonts w:ascii="Georgia" w:eastAsiaTheme="minorEastAsia" w:hAnsi="Georgia" w:cs="Arial"/>
          <w:color w:val="000000" w:themeColor="text1"/>
          <w:szCs w:val="20"/>
        </w:rPr>
        <w:t xml:space="preserve"> </w:t>
      </w:r>
      <w:r w:rsidR="00C10006">
        <w:rPr>
          <w:rFonts w:ascii="Georgia" w:eastAsiaTheme="minorEastAsia" w:hAnsi="Georgia" w:cs="Arial"/>
          <w:color w:val="000000" w:themeColor="text1"/>
          <w:szCs w:val="20"/>
        </w:rPr>
        <w:t>nursing-station</w:t>
      </w:r>
      <w:r w:rsidR="00C10006" w:rsidRPr="00D35C14">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 xml:space="preserve">and </w:t>
      </w:r>
      <w:r w:rsidR="001314F9">
        <w:rPr>
          <w:rFonts w:ascii="Georgia" w:eastAsiaTheme="minorEastAsia" w:hAnsi="Georgia" w:cs="Arial"/>
          <w:color w:val="000000" w:themeColor="text1"/>
          <w:szCs w:val="20"/>
        </w:rPr>
        <w:t>the formal public-rooms</w:t>
      </w:r>
      <w:r w:rsidRPr="00D35C14">
        <w:rPr>
          <w:rFonts w:ascii="Georgia" w:eastAsiaTheme="minorEastAsia" w:hAnsi="Georgia" w:cs="Arial"/>
          <w:color w:val="000000" w:themeColor="text1"/>
          <w:szCs w:val="20"/>
        </w:rPr>
        <w:t>, both sources of noise. The bedrooms in plan#19 are closer to the</w:t>
      </w:r>
      <w:r w:rsidR="00C10006" w:rsidRPr="00C10006">
        <w:rPr>
          <w:rFonts w:ascii="Georgia" w:eastAsiaTheme="minorEastAsia" w:hAnsi="Georgia" w:cs="Arial"/>
          <w:color w:val="000000" w:themeColor="text1"/>
          <w:szCs w:val="20"/>
        </w:rPr>
        <w:t xml:space="preserve"> </w:t>
      </w:r>
      <w:r w:rsidR="00C10006">
        <w:rPr>
          <w:rFonts w:ascii="Georgia" w:eastAsiaTheme="minorEastAsia" w:hAnsi="Georgia" w:cs="Arial"/>
          <w:color w:val="000000" w:themeColor="text1"/>
          <w:szCs w:val="20"/>
        </w:rPr>
        <w:t>nursing-station</w:t>
      </w:r>
      <w:r w:rsidR="00C10006" w:rsidRPr="00D35C14">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 xml:space="preserve">and are distant to the </w:t>
      </w:r>
      <w:r w:rsidR="001314F9">
        <w:rPr>
          <w:rFonts w:ascii="Georgia" w:eastAsiaTheme="minorEastAsia" w:hAnsi="Georgia" w:cs="Arial"/>
          <w:color w:val="000000" w:themeColor="text1"/>
          <w:szCs w:val="20"/>
        </w:rPr>
        <w:t>formal public-rooms</w:t>
      </w:r>
      <w:r w:rsidRPr="00D35C14">
        <w:rPr>
          <w:rFonts w:ascii="Georgia" w:eastAsiaTheme="minorEastAsia" w:hAnsi="Georgia" w:cs="Arial"/>
          <w:color w:val="000000" w:themeColor="text1"/>
          <w:szCs w:val="20"/>
        </w:rPr>
        <w:t xml:space="preserve">. The intrusion of foul smells is represented by the proximity of bedrooms and other public spaces to foul smell sources. The bedrooms in plan#19 are closer to the kitchen, and rooms with smell hazards (e.g., diaper disposal or garbage rooms) are close to public spaces. The area per person may moderate the feeling of crowdedness in the </w:t>
      </w:r>
      <w:r w:rsidR="001314F9">
        <w:rPr>
          <w:rFonts w:ascii="Georgia" w:eastAsiaTheme="minorEastAsia" w:hAnsi="Georgia" w:cs="Arial"/>
          <w:color w:val="000000" w:themeColor="text1"/>
          <w:szCs w:val="20"/>
        </w:rPr>
        <w:t>formal public-rooms</w:t>
      </w:r>
      <w:r w:rsidR="001314F9" w:rsidRPr="00D35C14">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and promote privacy in double bedrooms, offering more options for spacious sitting arrangements. Although guidelines limit the minimum area per room according to activity, each unit’s total area differs (#19=30.9 sqm/person&lt;#20=36.6 sqm/person). In conclusion, plan #20 provides better support for comfort.</w:t>
      </w:r>
    </w:p>
    <w:p w14:paraId="2C3F2395" w14:textId="77777777" w:rsidR="000A05C6" w:rsidRDefault="000A05C6" w:rsidP="00B40059">
      <w:pPr>
        <w:pStyle w:val="MDPI31text"/>
        <w:rPr>
          <w:rFonts w:ascii="Georgia" w:eastAsiaTheme="minorEastAsia" w:hAnsi="Georgia" w:cs="Arial"/>
          <w:color w:val="000000" w:themeColor="text1"/>
          <w:szCs w:val="20"/>
        </w:rPr>
      </w:pPr>
      <w:r>
        <w:rPr>
          <w:rFonts w:ascii="Georgia" w:eastAsiaTheme="minorEastAsia" w:hAnsi="Georgia" w:cs="Arial"/>
          <w:noProof/>
          <w:color w:val="000000" w:themeColor="text1"/>
          <w:szCs w:val="20"/>
          <w:lang w:eastAsia="en-US" w:bidi="he-IL"/>
        </w:rPr>
        <w:lastRenderedPageBreak/>
        <w:drawing>
          <wp:anchor distT="0" distB="0" distL="114300" distR="114300" simplePos="0" relativeHeight="251665408" behindDoc="0" locked="0" layoutInCell="1" allowOverlap="1" wp14:anchorId="5F5446FD" wp14:editId="3F342FBA">
            <wp:simplePos x="0" y="0"/>
            <wp:positionH relativeFrom="column">
              <wp:posOffset>1596390</wp:posOffset>
            </wp:positionH>
            <wp:positionV relativeFrom="paragraph">
              <wp:posOffset>167659</wp:posOffset>
            </wp:positionV>
            <wp:extent cx="3085411" cy="3474720"/>
            <wp:effectExtent l="0" t="0" r="1270" b="0"/>
            <wp:wrapTopAndBottom/>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85411" cy="3474720"/>
                    </a:xfrm>
                    <a:prstGeom prst="rect">
                      <a:avLst/>
                    </a:prstGeom>
                    <a:noFill/>
                  </pic:spPr>
                </pic:pic>
              </a:graphicData>
            </a:graphic>
            <wp14:sizeRelH relativeFrom="page">
              <wp14:pctWidth>0</wp14:pctWidth>
            </wp14:sizeRelH>
            <wp14:sizeRelV relativeFrom="page">
              <wp14:pctHeight>0</wp14:pctHeight>
            </wp14:sizeRelV>
          </wp:anchor>
        </w:drawing>
      </w:r>
    </w:p>
    <w:p w14:paraId="0D44C8F3" w14:textId="77777777" w:rsidR="00B40059" w:rsidRDefault="00B40059" w:rsidP="00B40059">
      <w:pPr>
        <w:pStyle w:val="MDPI31text"/>
        <w:rPr>
          <w:rFonts w:ascii="Georgia" w:eastAsiaTheme="minorEastAsia" w:hAnsi="Georgia" w:cs="Arial"/>
          <w:color w:val="000000" w:themeColor="text1"/>
          <w:szCs w:val="20"/>
        </w:rPr>
      </w:pPr>
    </w:p>
    <w:p w14:paraId="22DDC023" w14:textId="77777777" w:rsidR="00B40059" w:rsidRDefault="00B40059" w:rsidP="00B40059">
      <w:pPr>
        <w:pStyle w:val="MDPI31text"/>
        <w:jc w:val="left"/>
        <w:rPr>
          <w:rFonts w:ascii="Georgia" w:eastAsiaTheme="minorEastAsia" w:hAnsi="Georgia" w:cs="Arial"/>
          <w:color w:val="000000" w:themeColor="text1"/>
          <w:szCs w:val="20"/>
        </w:rPr>
      </w:pPr>
      <w:r w:rsidRPr="00D35C14">
        <w:rPr>
          <w:rFonts w:ascii="Georgia" w:eastAsiaTheme="minorEastAsia" w:hAnsi="Georgia" w:cs="Arial"/>
          <w:color w:val="000000" w:themeColor="text1"/>
          <w:szCs w:val="20"/>
        </w:rPr>
        <w:t>Figure 2–Comparing plan#34 and plan#35</w:t>
      </w:r>
    </w:p>
    <w:p w14:paraId="3020B87C" w14:textId="77777777" w:rsidR="00B40059" w:rsidRPr="00D35C14" w:rsidRDefault="00B40059" w:rsidP="00B40059">
      <w:pPr>
        <w:pStyle w:val="MDPI31text"/>
        <w:rPr>
          <w:rFonts w:ascii="Georgia" w:eastAsiaTheme="minorEastAsia" w:hAnsi="Georgia" w:cs="Arial"/>
          <w:color w:val="000000" w:themeColor="text1"/>
          <w:szCs w:val="20"/>
        </w:rPr>
      </w:pPr>
    </w:p>
    <w:p w14:paraId="7252489B" w14:textId="77777777" w:rsidR="00B40059" w:rsidRPr="00D35C14" w:rsidRDefault="00B40059" w:rsidP="00B40059">
      <w:pPr>
        <w:pStyle w:val="MDPI31text"/>
        <w:rPr>
          <w:rFonts w:ascii="Georgia" w:eastAsiaTheme="minorEastAsia" w:hAnsi="Georgia" w:cs="Arial"/>
          <w:color w:val="000000" w:themeColor="text1"/>
          <w:szCs w:val="20"/>
        </w:rPr>
      </w:pPr>
      <w:r w:rsidRPr="00D35C14">
        <w:rPr>
          <w:rFonts w:ascii="Georgia" w:eastAsiaTheme="minorEastAsia" w:hAnsi="Georgia" w:cs="Arial"/>
          <w:b/>
          <w:bCs/>
          <w:color w:val="000000" w:themeColor="text1"/>
          <w:szCs w:val="20"/>
        </w:rPr>
        <w:t>Support of Stimulation:</w:t>
      </w:r>
      <w:r w:rsidRPr="00D35C14">
        <w:rPr>
          <w:rFonts w:ascii="Georgia" w:eastAsiaTheme="minorEastAsia" w:hAnsi="Georgia" w:cs="Arial"/>
          <w:color w:val="000000" w:themeColor="text1"/>
          <w:szCs w:val="20"/>
        </w:rPr>
        <w:t xml:space="preserve"> Stimulation optimally supports well-being both negatively and positively: Over-stimulation may affect residents’ concentration, leading to frustration and agitation, while lack of stimulation creates stagnation. However, the right amount of stimulation can encourage growth and thriving. Plans #34 and #35 represent polarity in their support of stimulation (Figure 2). </w:t>
      </w:r>
    </w:p>
    <w:p w14:paraId="59B86129" w14:textId="77777777" w:rsidR="00B40059" w:rsidRPr="00D35C14" w:rsidRDefault="00B40059" w:rsidP="005B61A9">
      <w:pPr>
        <w:pStyle w:val="MDPI31text"/>
        <w:rPr>
          <w:rFonts w:ascii="Georgia" w:eastAsiaTheme="minorEastAsia" w:hAnsi="Georgia" w:cs="Arial"/>
          <w:color w:val="000000" w:themeColor="text1"/>
          <w:szCs w:val="20"/>
        </w:rPr>
      </w:pPr>
      <w:r w:rsidRPr="00D35C14">
        <w:rPr>
          <w:rFonts w:ascii="Georgia" w:eastAsiaTheme="minorEastAsia" w:hAnsi="Georgia" w:cs="Arial"/>
          <w:color w:val="000000" w:themeColor="text1"/>
          <w:szCs w:val="20"/>
        </w:rPr>
        <w:t xml:space="preserve">Visual over-stimulation is mainly related to the areas visible from the </w:t>
      </w:r>
      <w:r w:rsidR="001314F9">
        <w:rPr>
          <w:rFonts w:ascii="Georgia" w:eastAsiaTheme="minorEastAsia" w:hAnsi="Georgia" w:cs="Arial"/>
          <w:color w:val="000000" w:themeColor="text1"/>
          <w:szCs w:val="20"/>
        </w:rPr>
        <w:t>formal public-rooms</w:t>
      </w:r>
      <w:r w:rsidRPr="00D35C14">
        <w:rPr>
          <w:rFonts w:ascii="Georgia" w:eastAsiaTheme="minorEastAsia" w:hAnsi="Georgia" w:cs="Arial"/>
          <w:color w:val="000000" w:themeColor="text1"/>
          <w:szCs w:val="20"/>
        </w:rPr>
        <w:t xml:space="preserve">, including adjacent hallways and other spaces with long overlapping edges, and to the overall visibility of the entire unit. The outcomes present a difference between the perceived </w:t>
      </w:r>
      <w:r w:rsidR="001314F9">
        <w:rPr>
          <w:rFonts w:ascii="Georgia" w:eastAsiaTheme="minorEastAsia" w:hAnsi="Georgia" w:cs="Arial"/>
          <w:color w:val="000000" w:themeColor="text1"/>
          <w:szCs w:val="20"/>
        </w:rPr>
        <w:t>formal public-room</w:t>
      </w:r>
      <w:r w:rsidR="001314F9" w:rsidRPr="00D35C14">
        <w:rPr>
          <w:rFonts w:ascii="Georgia" w:eastAsiaTheme="minorEastAsia" w:hAnsi="Georgia" w:cs="Arial"/>
          <w:color w:val="000000" w:themeColor="text1"/>
          <w:szCs w:val="20"/>
        </w:rPr>
        <w:t>’s</w:t>
      </w:r>
      <w:r w:rsidRPr="00D35C14">
        <w:rPr>
          <w:rFonts w:ascii="Georgia" w:eastAsiaTheme="minorEastAsia" w:hAnsi="Georgia" w:cs="Arial"/>
          <w:color w:val="000000" w:themeColor="text1"/>
          <w:szCs w:val="20"/>
        </w:rPr>
        <w:t xml:space="preserve"> area per person (#35=7.5</w:t>
      </w:r>
      <w:r w:rsidR="005B61A9">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sqm/person&gt;#34=4.16</w:t>
      </w:r>
      <w:r w:rsidR="005B61A9">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 xml:space="preserve">sqm/person), and the visibility (#35=35.4%&gt;#34=26%), which measures the percentage of the unit’s floor area visible from the </w:t>
      </w:r>
      <w:r w:rsidR="001314F9">
        <w:rPr>
          <w:rFonts w:ascii="Georgia" w:eastAsiaTheme="minorEastAsia" w:hAnsi="Georgia" w:cs="Arial"/>
          <w:color w:val="000000" w:themeColor="text1"/>
          <w:szCs w:val="20"/>
        </w:rPr>
        <w:t>formal public-room</w:t>
      </w:r>
      <w:r w:rsidRPr="00D35C14">
        <w:rPr>
          <w:rFonts w:ascii="Georgia" w:eastAsiaTheme="minorEastAsia" w:hAnsi="Georgia" w:cs="Arial"/>
          <w:color w:val="000000" w:themeColor="text1"/>
          <w:szCs w:val="20"/>
        </w:rPr>
        <w:t>; a higher percentage of visible space can be overstimulating. </w:t>
      </w:r>
    </w:p>
    <w:p w14:paraId="11744FAB" w14:textId="77777777" w:rsidR="00B40059" w:rsidRDefault="00B40059" w:rsidP="00D20063">
      <w:pPr>
        <w:pStyle w:val="MDPI31text"/>
        <w:rPr>
          <w:rFonts w:ascii="Georgia" w:eastAsiaTheme="minorEastAsia" w:hAnsi="Georgia" w:cs="Arial"/>
          <w:color w:val="000000" w:themeColor="text1"/>
          <w:szCs w:val="20"/>
        </w:rPr>
      </w:pPr>
      <w:r w:rsidRPr="00D35C14">
        <w:rPr>
          <w:rFonts w:ascii="Georgia" w:eastAsiaTheme="minorEastAsia" w:hAnsi="Georgia" w:cs="Arial"/>
          <w:color w:val="000000" w:themeColor="text1"/>
          <w:szCs w:val="20"/>
        </w:rPr>
        <w:t xml:space="preserve">Two additional "choice" variables associated with overstimulation are measured with </w:t>
      </w:r>
      <w:r w:rsidR="00D20063" w:rsidRPr="003E0671">
        <w:rPr>
          <w:rFonts w:ascii="Georgia" w:eastAsiaTheme="minorEastAsia" w:hAnsi="Georgia" w:cs="Arial"/>
          <w:color w:val="000000" w:themeColor="text1"/>
          <w:szCs w:val="20"/>
        </w:rPr>
        <w:t>Space Syntax</w:t>
      </w:r>
      <w:r w:rsidRPr="00D35C14">
        <w:rPr>
          <w:rFonts w:ascii="Georgia" w:eastAsiaTheme="minorEastAsia" w:hAnsi="Georgia" w:cs="Arial"/>
          <w:color w:val="000000" w:themeColor="text1"/>
          <w:szCs w:val="20"/>
        </w:rPr>
        <w:t xml:space="preserve">. The first </w:t>
      </w:r>
      <w:r w:rsidR="00D20063" w:rsidRPr="003E0671">
        <w:rPr>
          <w:rFonts w:ascii="Georgia" w:eastAsiaTheme="minorEastAsia" w:hAnsi="Georgia" w:cs="Arial"/>
          <w:color w:val="000000" w:themeColor="text1"/>
          <w:szCs w:val="20"/>
        </w:rPr>
        <w:t>Space Syntax</w:t>
      </w:r>
      <w:r w:rsidRPr="00D35C14">
        <w:rPr>
          <w:rFonts w:ascii="Georgia" w:eastAsiaTheme="minorEastAsia" w:hAnsi="Georgia" w:cs="Arial"/>
          <w:color w:val="000000" w:themeColor="text1"/>
          <w:szCs w:val="20"/>
        </w:rPr>
        <w:t xml:space="preserve"> choice variable represents the amount of exposure to the </w:t>
      </w:r>
      <w:r w:rsidR="001314F9">
        <w:rPr>
          <w:rFonts w:ascii="Georgia" w:eastAsiaTheme="minorEastAsia" w:hAnsi="Georgia" w:cs="Arial"/>
          <w:color w:val="000000" w:themeColor="text1"/>
          <w:szCs w:val="20"/>
        </w:rPr>
        <w:t>formal public-room</w:t>
      </w:r>
      <w:r w:rsidR="001314F9" w:rsidRPr="00D35C14">
        <w:rPr>
          <w:rFonts w:ascii="Georgia" w:eastAsiaTheme="minorEastAsia" w:hAnsi="Georgia" w:cs="Arial"/>
          <w:color w:val="000000" w:themeColor="text1"/>
          <w:szCs w:val="20"/>
        </w:rPr>
        <w:t>’s</w:t>
      </w:r>
      <w:r w:rsidRPr="00D35C14">
        <w:rPr>
          <w:rFonts w:ascii="Georgia" w:eastAsiaTheme="minorEastAsia" w:hAnsi="Georgia" w:cs="Arial"/>
          <w:color w:val="000000" w:themeColor="text1"/>
          <w:szCs w:val="20"/>
        </w:rPr>
        <w:t xml:space="preserve"> adjacent hallway and the heavier movement probability through that part of the hallway. Plan #35’s </w:t>
      </w:r>
      <w:r w:rsidR="001314F9">
        <w:rPr>
          <w:rFonts w:ascii="Georgia" w:eastAsiaTheme="minorEastAsia" w:hAnsi="Georgia" w:cs="Arial"/>
          <w:color w:val="000000" w:themeColor="text1"/>
          <w:szCs w:val="20"/>
        </w:rPr>
        <w:t>formal public-room</w:t>
      </w:r>
      <w:r w:rsidR="001314F9" w:rsidRPr="00D35C14">
        <w:rPr>
          <w:rFonts w:ascii="Georgia" w:eastAsiaTheme="minorEastAsia" w:hAnsi="Georgia" w:cs="Arial"/>
          <w:color w:val="000000" w:themeColor="text1"/>
          <w:szCs w:val="20"/>
        </w:rPr>
        <w:t xml:space="preserve"> </w:t>
      </w:r>
      <w:r w:rsidR="00DA5238">
        <w:rPr>
          <w:rFonts w:ascii="Georgia" w:eastAsiaTheme="minorEastAsia" w:hAnsi="Georgia" w:cs="Arial"/>
          <w:color w:val="000000" w:themeColor="text1"/>
          <w:szCs w:val="20"/>
        </w:rPr>
        <w:t>is</w:t>
      </w:r>
      <w:r w:rsidR="00DA5238" w:rsidRPr="00D35C14">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 xml:space="preserve">significantly more exposed to the hallways (#35=41,788&gt;#34=15,452). The second </w:t>
      </w:r>
      <w:r w:rsidR="00D20063" w:rsidRPr="003E0671">
        <w:rPr>
          <w:rFonts w:ascii="Georgia" w:eastAsiaTheme="minorEastAsia" w:hAnsi="Georgia" w:cs="Arial"/>
          <w:color w:val="000000" w:themeColor="text1"/>
          <w:szCs w:val="20"/>
        </w:rPr>
        <w:t>Space Syntax</w:t>
      </w:r>
      <w:r w:rsidRPr="00D35C14">
        <w:rPr>
          <w:rFonts w:ascii="Georgia" w:eastAsiaTheme="minorEastAsia" w:hAnsi="Georgia" w:cs="Arial"/>
          <w:color w:val="000000" w:themeColor="text1"/>
          <w:szCs w:val="20"/>
        </w:rPr>
        <w:t xml:space="preserve"> choice variable represents the probability of people walking through the </w:t>
      </w:r>
      <w:r w:rsidR="00DA5238">
        <w:rPr>
          <w:rFonts w:ascii="Georgia" w:eastAsiaTheme="minorEastAsia" w:hAnsi="Georgia" w:cs="Arial"/>
          <w:color w:val="000000" w:themeColor="text1"/>
          <w:szCs w:val="20"/>
        </w:rPr>
        <w:t>formal public-room</w:t>
      </w:r>
      <w:r w:rsidR="00DA5238" w:rsidRPr="00D35C14">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as a shortcut or to reach a specific room (#35=11218&gt;#34=16,169).</w:t>
      </w:r>
      <w:r w:rsidRPr="00D35C14" w:rsidDel="00DD0426">
        <w:rPr>
          <w:rFonts w:ascii="Georgia" w:eastAsiaTheme="minorEastAsia" w:hAnsi="Georgia" w:cs="Arial"/>
          <w:color w:val="000000" w:themeColor="text1"/>
          <w:szCs w:val="20"/>
        </w:rPr>
        <w:t xml:space="preserve"> </w:t>
      </w:r>
    </w:p>
    <w:p w14:paraId="36210A92" w14:textId="77777777" w:rsidR="00B40059" w:rsidRPr="00D35C14" w:rsidRDefault="00B40059" w:rsidP="00D20063">
      <w:pPr>
        <w:pStyle w:val="MDPI31text"/>
        <w:rPr>
          <w:rFonts w:ascii="Georgia" w:eastAsiaTheme="minorEastAsia" w:hAnsi="Georgia" w:cs="Arial"/>
          <w:color w:val="000000" w:themeColor="text1"/>
          <w:szCs w:val="20"/>
        </w:rPr>
      </w:pPr>
      <w:r w:rsidRPr="00D35C14">
        <w:rPr>
          <w:rFonts w:ascii="Georgia" w:eastAsiaTheme="minorEastAsia" w:hAnsi="Georgia" w:cs="Arial"/>
          <w:color w:val="000000" w:themeColor="text1"/>
          <w:szCs w:val="20"/>
        </w:rPr>
        <w:t xml:space="preserve">Positive stimulation relates to the support of autonomy by improved wayfinding, orientation, shorter walking distances, and other stimuli like proximity to food smells or noises from exciting activity. Wayfinding and orientation are measured by the presence of landmarks (such as a prominent NS), and the intelligibility of the </w:t>
      </w:r>
      <w:r w:rsidR="00D20063">
        <w:rPr>
          <w:rFonts w:ascii="Georgia" w:eastAsiaTheme="minorEastAsia" w:hAnsi="Georgia" w:cs="Arial"/>
          <w:color w:val="000000" w:themeColor="text1"/>
          <w:szCs w:val="20"/>
        </w:rPr>
        <w:t>physical layout</w:t>
      </w:r>
      <w:r w:rsidRPr="00D35C14">
        <w:rPr>
          <w:rFonts w:ascii="Georgia" w:eastAsiaTheme="minorEastAsia" w:hAnsi="Georgia" w:cs="Arial"/>
          <w:color w:val="000000" w:themeColor="text1"/>
          <w:szCs w:val="20"/>
        </w:rPr>
        <w:t xml:space="preserve">, which is correlated with hallway shape (calculated using </w:t>
      </w:r>
      <w:r w:rsidR="00D20063" w:rsidRPr="003E0671">
        <w:rPr>
          <w:rFonts w:ascii="Georgia" w:eastAsiaTheme="minorEastAsia" w:hAnsi="Georgia" w:cs="Arial"/>
          <w:color w:val="000000" w:themeColor="text1"/>
          <w:szCs w:val="20"/>
        </w:rPr>
        <w:t>Space Syntax</w:t>
      </w:r>
      <w:r w:rsidRPr="00D35C14">
        <w:rPr>
          <w:rFonts w:ascii="Georgia" w:eastAsiaTheme="minorEastAsia" w:hAnsi="Georgia" w:cs="Arial"/>
          <w:color w:val="000000" w:themeColor="text1"/>
          <w:szCs w:val="20"/>
        </w:rPr>
        <w:t>). The</w:t>
      </w:r>
      <w:r w:rsidR="00C10006" w:rsidRPr="00C10006">
        <w:rPr>
          <w:rFonts w:ascii="Georgia" w:eastAsiaTheme="minorEastAsia" w:hAnsi="Georgia" w:cs="Arial"/>
          <w:color w:val="000000" w:themeColor="text1"/>
          <w:szCs w:val="20"/>
        </w:rPr>
        <w:t xml:space="preserve"> </w:t>
      </w:r>
      <w:r w:rsidR="00C10006">
        <w:rPr>
          <w:rFonts w:ascii="Georgia" w:eastAsiaTheme="minorEastAsia" w:hAnsi="Georgia" w:cs="Arial"/>
          <w:color w:val="000000" w:themeColor="text1"/>
          <w:szCs w:val="20"/>
        </w:rPr>
        <w:t>nursing-station</w:t>
      </w:r>
      <w:r w:rsidR="00C10006" w:rsidRPr="00D35C14">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is emphasized as a landmark by its overall visibility and visual characteristics (protrusive, i.e. Surrounded by three walls/intrusive, i.e. Surrounded by one or two walls) (#34=13.5%</w:t>
      </w:r>
      <w:r w:rsidR="005B61A9">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&lt;</w:t>
      </w:r>
      <w:r w:rsidR="005B61A9">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#35=39.9%). The added distance per room from the kitchen refers to food smells as a positive stimulus (#34=21.55m/</w:t>
      </w:r>
      <w:r w:rsidR="00C10006">
        <w:rPr>
          <w:rFonts w:ascii="Georgia" w:eastAsiaTheme="minorEastAsia" w:hAnsi="Georgia" w:cs="Arial"/>
          <w:color w:val="000000" w:themeColor="text1"/>
          <w:szCs w:val="20"/>
        </w:rPr>
        <w:t>bedroo</w:t>
      </w:r>
      <w:r w:rsidR="00DA5238">
        <w:rPr>
          <w:rFonts w:ascii="Georgia" w:eastAsiaTheme="minorEastAsia" w:hAnsi="Georgia" w:cs="Arial"/>
          <w:color w:val="000000" w:themeColor="text1"/>
          <w:szCs w:val="20"/>
        </w:rPr>
        <w:t>m</w:t>
      </w:r>
      <w:r w:rsidRPr="00D35C14">
        <w:rPr>
          <w:rFonts w:ascii="Georgia" w:eastAsiaTheme="minorEastAsia" w:hAnsi="Georgia" w:cs="Arial"/>
          <w:color w:val="000000" w:themeColor="text1"/>
          <w:szCs w:val="20"/>
        </w:rPr>
        <w:t>&lt;#35=31.87m/BR). </w:t>
      </w:r>
    </w:p>
    <w:p w14:paraId="2C9F4667" w14:textId="77777777" w:rsidR="00B40059" w:rsidRDefault="00B40059" w:rsidP="00D20063">
      <w:pPr>
        <w:pStyle w:val="MDPI31text"/>
        <w:jc w:val="left"/>
        <w:rPr>
          <w:rFonts w:ascii="Georgia" w:eastAsiaTheme="minorEastAsia" w:hAnsi="Georgia" w:cs="Arial"/>
          <w:color w:val="000000" w:themeColor="text1"/>
          <w:szCs w:val="20"/>
        </w:rPr>
      </w:pPr>
      <w:r w:rsidRPr="00D35C14">
        <w:rPr>
          <w:rFonts w:ascii="Georgia" w:eastAsiaTheme="minorEastAsia" w:hAnsi="Georgia" w:cs="Arial"/>
          <w:color w:val="000000" w:themeColor="text1"/>
          <w:szCs w:val="20"/>
        </w:rPr>
        <w:t xml:space="preserve">Encouraging autonomous behavior is associated with the </w:t>
      </w:r>
      <w:r w:rsidR="00DA5238">
        <w:rPr>
          <w:rFonts w:ascii="Georgia" w:eastAsiaTheme="minorEastAsia" w:hAnsi="Georgia" w:cs="Arial"/>
          <w:color w:val="000000" w:themeColor="text1"/>
          <w:szCs w:val="20"/>
        </w:rPr>
        <w:t>formal public-room</w:t>
      </w:r>
      <w:r w:rsidR="00DA5238" w:rsidRPr="00D35C14">
        <w:rPr>
          <w:rFonts w:ascii="Georgia" w:eastAsiaTheme="minorEastAsia" w:hAnsi="Georgia" w:cs="Arial"/>
          <w:color w:val="000000" w:themeColor="text1"/>
          <w:szCs w:val="20"/>
        </w:rPr>
        <w:t xml:space="preserve">s’ </w:t>
      </w:r>
      <w:r w:rsidRPr="00D35C14">
        <w:rPr>
          <w:rFonts w:ascii="Georgia" w:eastAsiaTheme="minorEastAsia" w:hAnsi="Georgia" w:cs="Arial"/>
          <w:color w:val="000000" w:themeColor="text1"/>
          <w:szCs w:val="20"/>
        </w:rPr>
        <w:t xml:space="preserve">integration level (calculated using </w:t>
      </w:r>
      <w:r w:rsidR="00D20063" w:rsidRPr="003E0671">
        <w:rPr>
          <w:rFonts w:ascii="Georgia" w:eastAsiaTheme="minorEastAsia" w:hAnsi="Georgia" w:cs="Arial"/>
          <w:color w:val="000000" w:themeColor="text1"/>
          <w:szCs w:val="20"/>
        </w:rPr>
        <w:t>Space Syntax</w:t>
      </w:r>
      <w:r w:rsidRPr="00D35C14">
        <w:rPr>
          <w:rFonts w:ascii="Georgia" w:eastAsiaTheme="minorEastAsia" w:hAnsi="Georgia" w:cs="Arial"/>
          <w:color w:val="000000" w:themeColor="text1"/>
          <w:szCs w:val="20"/>
        </w:rPr>
        <w:t xml:space="preserve">). Positioning the </w:t>
      </w:r>
      <w:r w:rsidR="00DA5238">
        <w:rPr>
          <w:rFonts w:ascii="Georgia" w:eastAsiaTheme="minorEastAsia" w:hAnsi="Georgia" w:cs="Arial"/>
          <w:color w:val="000000" w:themeColor="text1"/>
          <w:szCs w:val="20"/>
        </w:rPr>
        <w:t>formal public-rooms</w:t>
      </w:r>
      <w:r w:rsidR="00DA5238" w:rsidRPr="00D35C14">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at the center of the unit creates positive stimulation, which may lead to a willingness to participate in activities and a feeling of being part of the unit’s community (#34=1.08</w:t>
      </w:r>
      <w:r w:rsidR="005B61A9">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&gt;#35=0.88). In conclusion, plan#</w:t>
      </w:r>
      <w:r w:rsidR="00DA5238">
        <w:rPr>
          <w:rFonts w:ascii="Georgia" w:eastAsiaTheme="minorEastAsia" w:hAnsi="Georgia" w:cs="Arial"/>
          <w:color w:val="000000" w:themeColor="text1"/>
          <w:szCs w:val="20"/>
        </w:rPr>
        <w:t>34</w:t>
      </w:r>
      <w:r w:rsidR="00DA5238" w:rsidRPr="00D35C14">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provides better support for Stimulation, while Plan#35 Scores Exceptionally Low.</w:t>
      </w:r>
    </w:p>
    <w:p w14:paraId="755C9C34" w14:textId="77777777" w:rsidR="006616EB" w:rsidRDefault="00DF1968" w:rsidP="00B40059">
      <w:pPr>
        <w:pStyle w:val="MDPI31text"/>
        <w:jc w:val="left"/>
        <w:rPr>
          <w:rFonts w:ascii="Georgia" w:eastAsiaTheme="minorEastAsia" w:hAnsi="Georgia" w:cs="Arial"/>
          <w:color w:val="000000" w:themeColor="text1"/>
          <w:szCs w:val="20"/>
        </w:rPr>
      </w:pPr>
      <w:r>
        <w:rPr>
          <w:rFonts w:ascii="Georgia" w:eastAsiaTheme="minorEastAsia" w:hAnsi="Georgia" w:cs="Arial"/>
          <w:noProof/>
          <w:color w:val="000000" w:themeColor="text1"/>
          <w:szCs w:val="20"/>
          <w:lang w:eastAsia="en-US" w:bidi="he-IL"/>
        </w:rPr>
        <w:lastRenderedPageBreak/>
        <w:drawing>
          <wp:anchor distT="0" distB="0" distL="114300" distR="114300" simplePos="0" relativeHeight="251666432" behindDoc="0" locked="0" layoutInCell="1" allowOverlap="1" wp14:anchorId="5017C7EA" wp14:editId="3B5D3194">
            <wp:simplePos x="0" y="0"/>
            <wp:positionH relativeFrom="column">
              <wp:posOffset>1786890</wp:posOffset>
            </wp:positionH>
            <wp:positionV relativeFrom="paragraph">
              <wp:posOffset>172720</wp:posOffset>
            </wp:positionV>
            <wp:extent cx="3279775" cy="4132580"/>
            <wp:effectExtent l="0" t="0" r="0" b="1270"/>
            <wp:wrapTopAndBottom/>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9775" cy="4132580"/>
                    </a:xfrm>
                    <a:prstGeom prst="rect">
                      <a:avLst/>
                    </a:prstGeom>
                    <a:noFill/>
                  </pic:spPr>
                </pic:pic>
              </a:graphicData>
            </a:graphic>
            <wp14:sizeRelH relativeFrom="page">
              <wp14:pctWidth>0</wp14:pctWidth>
            </wp14:sizeRelH>
            <wp14:sizeRelV relativeFrom="page">
              <wp14:pctHeight>0</wp14:pctHeight>
            </wp14:sizeRelV>
          </wp:anchor>
        </w:drawing>
      </w:r>
    </w:p>
    <w:p w14:paraId="7CE17F55" w14:textId="77777777" w:rsidR="006616EB" w:rsidRDefault="006616EB" w:rsidP="00B40059">
      <w:pPr>
        <w:pStyle w:val="MDPI31text"/>
        <w:jc w:val="left"/>
        <w:rPr>
          <w:rFonts w:ascii="Georgia" w:eastAsiaTheme="minorEastAsia" w:hAnsi="Georgia" w:cs="Arial"/>
          <w:color w:val="000000" w:themeColor="text1"/>
          <w:szCs w:val="20"/>
        </w:rPr>
      </w:pPr>
    </w:p>
    <w:p w14:paraId="71DED73D" w14:textId="77777777" w:rsidR="000A05C6" w:rsidRDefault="000A05C6" w:rsidP="00B40059">
      <w:pPr>
        <w:pStyle w:val="MDPI31text"/>
        <w:jc w:val="left"/>
        <w:rPr>
          <w:rFonts w:ascii="Georgia" w:eastAsiaTheme="minorEastAsia" w:hAnsi="Georgia" w:cs="Arial"/>
          <w:color w:val="000000" w:themeColor="text1"/>
          <w:szCs w:val="20"/>
        </w:rPr>
      </w:pPr>
    </w:p>
    <w:p w14:paraId="0CF426A4" w14:textId="77777777" w:rsidR="00B40059" w:rsidRPr="00D35C14" w:rsidRDefault="00B40059" w:rsidP="00B40059">
      <w:pPr>
        <w:pStyle w:val="MDPI31text"/>
        <w:jc w:val="left"/>
        <w:rPr>
          <w:rFonts w:ascii="Georgia" w:eastAsiaTheme="minorEastAsia" w:hAnsi="Georgia" w:cs="Arial"/>
          <w:color w:val="000000" w:themeColor="text1"/>
          <w:szCs w:val="20"/>
        </w:rPr>
      </w:pPr>
      <w:r w:rsidRPr="00FD0FCB">
        <w:rPr>
          <w:rFonts w:ascii="Georgia" w:eastAsiaTheme="minorEastAsia" w:hAnsi="Georgia" w:cs="Arial"/>
          <w:color w:val="000000" w:themeColor="text1"/>
          <w:szCs w:val="20"/>
        </w:rPr>
        <w:t>Figure 3–Comparing plan#18 and plan#19</w:t>
      </w:r>
    </w:p>
    <w:p w14:paraId="0D7B0F36" w14:textId="77777777" w:rsidR="00B40059" w:rsidRPr="00D35C14" w:rsidRDefault="00B40059" w:rsidP="00B40059">
      <w:pPr>
        <w:pStyle w:val="MDPI31text"/>
        <w:rPr>
          <w:rFonts w:ascii="Georgia" w:eastAsiaTheme="minorEastAsia" w:hAnsi="Georgia" w:cs="Arial"/>
          <w:color w:val="000000" w:themeColor="text1"/>
          <w:szCs w:val="20"/>
        </w:rPr>
      </w:pPr>
    </w:p>
    <w:p w14:paraId="450355D8" w14:textId="77777777" w:rsidR="00B40059" w:rsidRDefault="00B40059" w:rsidP="00D20063">
      <w:pPr>
        <w:pStyle w:val="MDPI31text"/>
        <w:rPr>
          <w:rFonts w:ascii="Georgia" w:eastAsiaTheme="minorEastAsia" w:hAnsi="Georgia" w:cs="Arial"/>
          <w:color w:val="000000" w:themeColor="text1"/>
          <w:szCs w:val="20"/>
        </w:rPr>
      </w:pPr>
      <w:r w:rsidRPr="00B538D1">
        <w:rPr>
          <w:rFonts w:ascii="Georgia" w:eastAsiaTheme="minorEastAsia" w:hAnsi="Georgia" w:cs="Arial"/>
          <w:b/>
          <w:bCs/>
          <w:color w:val="000000" w:themeColor="text1"/>
          <w:szCs w:val="20"/>
        </w:rPr>
        <w:t>Support of Status:</w:t>
      </w:r>
      <w:r w:rsidRPr="00B538D1">
        <w:rPr>
          <w:rFonts w:ascii="Georgia" w:eastAsiaTheme="minorEastAsia" w:hAnsi="Georgia" w:cs="Arial"/>
          <w:color w:val="000000" w:themeColor="text1"/>
          <w:szCs w:val="20"/>
        </w:rPr>
        <w:t> The</w:t>
      </w:r>
      <w:r w:rsidR="00E22CE5">
        <w:rPr>
          <w:rFonts w:ascii="Georgia" w:eastAsiaTheme="minorEastAsia" w:hAnsi="Georgia" w:cs="Arial"/>
          <w:color w:val="000000" w:themeColor="text1"/>
          <w:szCs w:val="20"/>
        </w:rPr>
        <w:t xml:space="preserve"> physical layout </w:t>
      </w:r>
      <w:r w:rsidRPr="00B538D1">
        <w:rPr>
          <w:rFonts w:ascii="Georgia" w:eastAsiaTheme="minorEastAsia" w:hAnsi="Georgia" w:cs="Arial"/>
          <w:color w:val="000000" w:themeColor="text1"/>
          <w:szCs w:val="20"/>
        </w:rPr>
        <w:t>creates</w:t>
      </w:r>
      <w:r w:rsidRPr="004456E3">
        <w:rPr>
          <w:rFonts w:ascii="Georgia" w:eastAsiaTheme="minorEastAsia" w:hAnsi="Georgia" w:cs="Arial"/>
          <w:color w:val="000000" w:themeColor="text1"/>
          <w:szCs w:val="20"/>
        </w:rPr>
        <w:t xml:space="preserve"> hierarchies (close/far, front/rear) within the unit. For example, the bedrooms’ relative location in the unit may be perceived by visibility to/from bedrooms, or by walking distance to/from landmarks. The causes for these differentiations were examined through plans #18 and #19, representing polarity in their support of status (figure 3). The added distance from the bedroom doors</w:t>
      </w:r>
      <w:r>
        <w:rPr>
          <w:rFonts w:ascii="Georgia" w:eastAsiaTheme="minorEastAsia" w:hAnsi="Georgia" w:cs="Arial"/>
          <w:color w:val="000000" w:themeColor="text1"/>
          <w:szCs w:val="20"/>
        </w:rPr>
        <w:t xml:space="preserve"> (per bedroom) to the </w:t>
      </w:r>
      <w:r w:rsidR="00D20063">
        <w:rPr>
          <w:rFonts w:ascii="Georgia" w:eastAsiaTheme="minorEastAsia" w:hAnsi="Georgia" w:cs="Arial"/>
          <w:color w:val="000000" w:themeColor="text1"/>
          <w:szCs w:val="20"/>
        </w:rPr>
        <w:t>formal public room</w:t>
      </w:r>
      <w:r>
        <w:rPr>
          <w:rFonts w:ascii="Georgia" w:eastAsiaTheme="minorEastAsia" w:hAnsi="Georgia" w:cs="Arial"/>
          <w:color w:val="000000" w:themeColor="text1"/>
          <w:szCs w:val="20"/>
        </w:rPr>
        <w:t xml:space="preserve"> is</w:t>
      </w:r>
      <w:r w:rsidRPr="004456E3">
        <w:rPr>
          <w:rFonts w:ascii="Georgia" w:eastAsiaTheme="minorEastAsia" w:hAnsi="Georgia" w:cs="Arial"/>
          <w:color w:val="000000" w:themeColor="text1"/>
          <w:szCs w:val="20"/>
        </w:rPr>
        <w:t xml:space="preserve"> larger</w:t>
      </w:r>
      <w:r>
        <w:rPr>
          <w:rFonts w:ascii="Georgia" w:eastAsiaTheme="minorEastAsia" w:hAnsi="Georgia" w:cs="Arial"/>
          <w:color w:val="000000" w:themeColor="text1"/>
          <w:szCs w:val="20"/>
        </w:rPr>
        <w:t xml:space="preserve"> in plan 18</w:t>
      </w:r>
      <w:r w:rsidRPr="004456E3">
        <w:rPr>
          <w:rFonts w:ascii="Georgia" w:eastAsiaTheme="minorEastAsia" w:hAnsi="Georgia" w:cs="Arial"/>
          <w:color w:val="000000" w:themeColor="text1"/>
          <w:szCs w:val="20"/>
        </w:rPr>
        <w:t xml:space="preserve"> (#1</w:t>
      </w:r>
      <w:r>
        <w:rPr>
          <w:rFonts w:ascii="Georgia" w:eastAsiaTheme="minorEastAsia" w:hAnsi="Georgia" w:cs="Arial"/>
          <w:color w:val="000000" w:themeColor="text1"/>
          <w:szCs w:val="20"/>
        </w:rPr>
        <w:t>8</w:t>
      </w:r>
      <w:r w:rsidRPr="004456E3">
        <w:rPr>
          <w:rFonts w:ascii="Georgia" w:eastAsiaTheme="minorEastAsia" w:hAnsi="Georgia" w:cs="Arial"/>
          <w:color w:val="000000" w:themeColor="text1"/>
          <w:szCs w:val="20"/>
        </w:rPr>
        <w:t>=</w:t>
      </w:r>
      <w:r>
        <w:rPr>
          <w:rFonts w:ascii="Georgia" w:eastAsiaTheme="minorEastAsia" w:hAnsi="Georgia" w:cs="Arial"/>
          <w:color w:val="000000" w:themeColor="text1"/>
          <w:szCs w:val="20"/>
        </w:rPr>
        <w:t>22.5</w:t>
      </w:r>
      <w:r w:rsidRPr="00937914">
        <w:rPr>
          <w:rFonts w:ascii="Georgia" w:eastAsiaTheme="minorEastAsia" w:hAnsi="Georgia" w:cs="Arial"/>
          <w:color w:val="000000" w:themeColor="text1"/>
          <w:szCs w:val="20"/>
        </w:rPr>
        <w:t>&gt;#1</w:t>
      </w:r>
      <w:r>
        <w:rPr>
          <w:rFonts w:ascii="Georgia" w:eastAsiaTheme="minorEastAsia" w:hAnsi="Georgia" w:cs="Arial"/>
          <w:color w:val="000000" w:themeColor="text1"/>
          <w:szCs w:val="20"/>
        </w:rPr>
        <w:t>9</w:t>
      </w:r>
      <w:r w:rsidRPr="00937914">
        <w:rPr>
          <w:rFonts w:ascii="Georgia" w:eastAsiaTheme="minorEastAsia" w:hAnsi="Georgia" w:cs="Arial"/>
          <w:color w:val="000000" w:themeColor="text1"/>
          <w:szCs w:val="20"/>
        </w:rPr>
        <w:t>=</w:t>
      </w:r>
      <w:r>
        <w:rPr>
          <w:rFonts w:ascii="Georgia" w:eastAsiaTheme="minorEastAsia" w:hAnsi="Georgia" w:cs="Arial"/>
          <w:color w:val="000000" w:themeColor="text1"/>
          <w:szCs w:val="20"/>
        </w:rPr>
        <w:t>21.38</w:t>
      </w:r>
      <w:r w:rsidRPr="00937914">
        <w:rPr>
          <w:rFonts w:ascii="Georgia" w:eastAsiaTheme="minorEastAsia" w:hAnsi="Georgia" w:cs="Arial"/>
          <w:color w:val="000000" w:themeColor="text1"/>
          <w:szCs w:val="20"/>
        </w:rPr>
        <w:t>)</w:t>
      </w:r>
      <w:r>
        <w:rPr>
          <w:rFonts w:ascii="Georgia" w:eastAsiaTheme="minorEastAsia" w:hAnsi="Georgia" w:cs="Arial"/>
          <w:color w:val="000000" w:themeColor="text1"/>
          <w:szCs w:val="20"/>
        </w:rPr>
        <w:t xml:space="preserve">. Despite the longer </w:t>
      </w:r>
      <w:r w:rsidRPr="00B538D1">
        <w:rPr>
          <w:rFonts w:ascii="Georgia" w:eastAsiaTheme="minorEastAsia" w:hAnsi="Georgia" w:cs="Arial"/>
          <w:color w:val="000000" w:themeColor="text1"/>
          <w:szCs w:val="20"/>
        </w:rPr>
        <w:t>maximum visual distance</w:t>
      </w:r>
      <w:r>
        <w:rPr>
          <w:rFonts w:ascii="Georgia" w:eastAsiaTheme="minorEastAsia" w:hAnsi="Georgia" w:cs="Arial"/>
          <w:color w:val="000000" w:themeColor="text1"/>
          <w:szCs w:val="20"/>
        </w:rPr>
        <w:t xml:space="preserve"> r in plan 19 </w:t>
      </w:r>
      <w:r w:rsidRPr="004456E3">
        <w:rPr>
          <w:rFonts w:ascii="Georgia" w:eastAsiaTheme="minorEastAsia" w:hAnsi="Georgia" w:cs="Arial"/>
          <w:color w:val="000000" w:themeColor="text1"/>
          <w:szCs w:val="20"/>
        </w:rPr>
        <w:t>(#1</w:t>
      </w:r>
      <w:r>
        <w:rPr>
          <w:rFonts w:ascii="Georgia" w:eastAsiaTheme="minorEastAsia" w:hAnsi="Georgia" w:cs="Arial"/>
          <w:color w:val="000000" w:themeColor="text1"/>
          <w:szCs w:val="20"/>
        </w:rPr>
        <w:t>9</w:t>
      </w:r>
      <w:r w:rsidRPr="004456E3">
        <w:rPr>
          <w:rFonts w:ascii="Georgia" w:eastAsiaTheme="minorEastAsia" w:hAnsi="Georgia" w:cs="Arial"/>
          <w:color w:val="000000" w:themeColor="text1"/>
          <w:szCs w:val="20"/>
        </w:rPr>
        <w:t>=</w:t>
      </w:r>
      <w:r>
        <w:rPr>
          <w:rFonts w:ascii="Georgia" w:eastAsiaTheme="minorEastAsia" w:hAnsi="Georgia" w:cs="Arial"/>
          <w:color w:val="000000" w:themeColor="text1"/>
          <w:szCs w:val="20"/>
        </w:rPr>
        <w:t>42m</w:t>
      </w:r>
      <w:r w:rsidRPr="00937914">
        <w:rPr>
          <w:rFonts w:ascii="Georgia" w:eastAsiaTheme="minorEastAsia" w:hAnsi="Georgia" w:cs="Arial"/>
          <w:color w:val="000000" w:themeColor="text1"/>
          <w:szCs w:val="20"/>
        </w:rPr>
        <w:t>&gt;#18=</w:t>
      </w:r>
      <w:r>
        <w:rPr>
          <w:rFonts w:ascii="Georgia" w:eastAsiaTheme="minorEastAsia" w:hAnsi="Georgia" w:cs="Arial"/>
          <w:color w:val="000000" w:themeColor="text1"/>
          <w:szCs w:val="20"/>
        </w:rPr>
        <w:t>37m</w:t>
      </w:r>
      <w:r w:rsidRPr="00937914">
        <w:rPr>
          <w:rFonts w:ascii="Georgia" w:eastAsiaTheme="minorEastAsia" w:hAnsi="Georgia" w:cs="Arial"/>
          <w:color w:val="000000" w:themeColor="text1"/>
          <w:szCs w:val="20"/>
        </w:rPr>
        <w:t>)</w:t>
      </w:r>
      <w:r>
        <w:rPr>
          <w:rFonts w:ascii="Georgia" w:eastAsiaTheme="minorEastAsia" w:hAnsi="Georgia" w:cs="Arial"/>
          <w:color w:val="000000" w:themeColor="text1"/>
          <w:szCs w:val="20"/>
        </w:rPr>
        <w:t xml:space="preserve"> </w:t>
      </w:r>
      <w:r w:rsidRPr="004456E3">
        <w:rPr>
          <w:rFonts w:ascii="Georgia" w:eastAsiaTheme="minorEastAsia" w:hAnsi="Georgia" w:cs="Arial"/>
          <w:color w:val="000000" w:themeColor="text1"/>
          <w:szCs w:val="20"/>
        </w:rPr>
        <w:t xml:space="preserve">the visibility from </w:t>
      </w:r>
      <w:r>
        <w:rPr>
          <w:rFonts w:ascii="Georgia" w:eastAsiaTheme="minorEastAsia" w:hAnsi="Georgia" w:cs="Arial"/>
          <w:color w:val="000000" w:themeColor="text1"/>
          <w:szCs w:val="20"/>
        </w:rPr>
        <w:t xml:space="preserve">the bedrooms </w:t>
      </w:r>
      <w:r w:rsidRPr="004456E3">
        <w:rPr>
          <w:rFonts w:ascii="Georgia" w:eastAsiaTheme="minorEastAsia" w:hAnsi="Georgia" w:cs="Arial"/>
          <w:color w:val="000000" w:themeColor="text1"/>
          <w:szCs w:val="20"/>
        </w:rPr>
        <w:t xml:space="preserve">(measured with </w:t>
      </w:r>
      <w:r w:rsidR="00D20063" w:rsidRPr="003E0671">
        <w:rPr>
          <w:rFonts w:ascii="Georgia" w:eastAsiaTheme="minorEastAsia" w:hAnsi="Georgia" w:cs="Arial"/>
          <w:color w:val="000000" w:themeColor="text1"/>
          <w:szCs w:val="20"/>
        </w:rPr>
        <w:t>Space Syntax</w:t>
      </w:r>
      <w:r w:rsidRPr="004456E3">
        <w:rPr>
          <w:rFonts w:ascii="Georgia" w:eastAsiaTheme="minorEastAsia" w:hAnsi="Georgia" w:cs="Arial"/>
          <w:color w:val="000000" w:themeColor="text1"/>
          <w:szCs w:val="20"/>
        </w:rPr>
        <w:t>) in plan #1</w:t>
      </w:r>
      <w:r>
        <w:rPr>
          <w:rFonts w:ascii="Georgia" w:eastAsiaTheme="minorEastAsia" w:hAnsi="Georgia" w:cs="Arial"/>
          <w:color w:val="000000" w:themeColor="text1"/>
          <w:szCs w:val="20"/>
        </w:rPr>
        <w:t>8</w:t>
      </w:r>
      <w:r w:rsidRPr="004456E3">
        <w:rPr>
          <w:rFonts w:ascii="Georgia" w:eastAsiaTheme="minorEastAsia" w:hAnsi="Georgia" w:cs="Arial"/>
          <w:color w:val="000000" w:themeColor="text1"/>
          <w:szCs w:val="20"/>
        </w:rPr>
        <w:t xml:space="preserve"> is higher (measured with</w:t>
      </w:r>
      <w:r w:rsidR="00D20063" w:rsidRPr="00D20063">
        <w:rPr>
          <w:rFonts w:ascii="Georgia" w:eastAsiaTheme="minorEastAsia" w:hAnsi="Georgia" w:cs="Arial"/>
          <w:color w:val="000000" w:themeColor="text1"/>
          <w:szCs w:val="20"/>
        </w:rPr>
        <w:t xml:space="preserve"> </w:t>
      </w:r>
      <w:r w:rsidR="00D20063" w:rsidRPr="003E0671">
        <w:rPr>
          <w:rFonts w:ascii="Georgia" w:eastAsiaTheme="minorEastAsia" w:hAnsi="Georgia" w:cs="Arial"/>
          <w:color w:val="000000" w:themeColor="text1"/>
          <w:szCs w:val="20"/>
        </w:rPr>
        <w:t>Space Syntax</w:t>
      </w:r>
      <w:r w:rsidRPr="004456E3">
        <w:rPr>
          <w:rFonts w:ascii="Georgia" w:eastAsiaTheme="minorEastAsia" w:hAnsi="Georgia" w:cs="Arial"/>
          <w:color w:val="000000" w:themeColor="text1"/>
          <w:szCs w:val="20"/>
        </w:rPr>
        <w:t>) (#1</w:t>
      </w:r>
      <w:r>
        <w:rPr>
          <w:rFonts w:ascii="Georgia" w:eastAsiaTheme="minorEastAsia" w:hAnsi="Georgia" w:cs="Arial"/>
          <w:color w:val="000000" w:themeColor="text1"/>
          <w:szCs w:val="20"/>
        </w:rPr>
        <w:t>8</w:t>
      </w:r>
      <w:r w:rsidRPr="004456E3">
        <w:rPr>
          <w:rFonts w:ascii="Georgia" w:eastAsiaTheme="minorEastAsia" w:hAnsi="Georgia" w:cs="Arial"/>
          <w:color w:val="000000" w:themeColor="text1"/>
          <w:szCs w:val="20"/>
        </w:rPr>
        <w:t>=</w:t>
      </w:r>
      <w:r>
        <w:rPr>
          <w:rFonts w:ascii="Georgia" w:eastAsiaTheme="minorEastAsia" w:hAnsi="Georgia" w:cs="Arial"/>
          <w:color w:val="000000" w:themeColor="text1"/>
          <w:szCs w:val="20"/>
        </w:rPr>
        <w:t>8.13</w:t>
      </w:r>
      <w:r w:rsidRPr="004456E3">
        <w:rPr>
          <w:rFonts w:ascii="Georgia" w:eastAsiaTheme="minorEastAsia" w:hAnsi="Georgia" w:cs="Arial"/>
          <w:color w:val="000000" w:themeColor="text1"/>
          <w:szCs w:val="20"/>
        </w:rPr>
        <w:t>&gt;#1</w:t>
      </w:r>
      <w:r>
        <w:rPr>
          <w:rFonts w:ascii="Georgia" w:eastAsiaTheme="minorEastAsia" w:hAnsi="Georgia" w:cs="Arial"/>
          <w:color w:val="000000" w:themeColor="text1"/>
          <w:szCs w:val="20"/>
        </w:rPr>
        <w:t>9</w:t>
      </w:r>
      <w:r w:rsidRPr="004456E3">
        <w:rPr>
          <w:rFonts w:ascii="Georgia" w:eastAsiaTheme="minorEastAsia" w:hAnsi="Georgia" w:cs="Arial"/>
          <w:color w:val="000000" w:themeColor="text1"/>
          <w:szCs w:val="20"/>
        </w:rPr>
        <w:t>=</w:t>
      </w:r>
      <w:r>
        <w:rPr>
          <w:rFonts w:ascii="Georgia" w:eastAsiaTheme="minorEastAsia" w:hAnsi="Georgia" w:cs="Arial"/>
          <w:color w:val="000000" w:themeColor="text1"/>
          <w:szCs w:val="20"/>
        </w:rPr>
        <w:t>3.79</w:t>
      </w:r>
      <w:r w:rsidRPr="004456E3">
        <w:rPr>
          <w:rFonts w:ascii="Georgia" w:eastAsiaTheme="minorEastAsia" w:hAnsi="Georgia" w:cs="Arial"/>
          <w:color w:val="000000" w:themeColor="text1"/>
          <w:szCs w:val="20"/>
        </w:rPr>
        <w:t>)</w:t>
      </w:r>
      <w:r>
        <w:rPr>
          <w:rFonts w:ascii="Georgia" w:eastAsiaTheme="minorEastAsia" w:hAnsi="Georgia" w:cs="Arial"/>
          <w:color w:val="000000" w:themeColor="text1"/>
          <w:szCs w:val="20"/>
        </w:rPr>
        <w:t>.</w:t>
      </w:r>
      <w:r w:rsidRPr="004456E3">
        <w:rPr>
          <w:rFonts w:ascii="Georgia" w:eastAsiaTheme="minorEastAsia" w:hAnsi="Georgia" w:cs="Arial"/>
          <w:color w:val="000000" w:themeColor="text1"/>
          <w:szCs w:val="20"/>
        </w:rPr>
        <w:t xml:space="preserve"> </w:t>
      </w:r>
      <w:r>
        <w:rPr>
          <w:rFonts w:ascii="Georgia" w:eastAsiaTheme="minorEastAsia" w:hAnsi="Georgia" w:cs="Arial"/>
          <w:color w:val="000000" w:themeColor="text1"/>
          <w:szCs w:val="20"/>
        </w:rPr>
        <w:t xml:space="preserve">In addition, the </w:t>
      </w:r>
      <w:r w:rsidRPr="004456E3">
        <w:rPr>
          <w:rFonts w:ascii="Georgia" w:eastAsiaTheme="minorEastAsia" w:hAnsi="Georgia" w:cs="Arial"/>
          <w:color w:val="000000" w:themeColor="text1"/>
          <w:szCs w:val="20"/>
        </w:rPr>
        <w:t>visi</w:t>
      </w:r>
      <w:r w:rsidRPr="00FD0FCB">
        <w:rPr>
          <w:rFonts w:ascii="Georgia" w:eastAsiaTheme="minorEastAsia" w:hAnsi="Georgia" w:cs="Arial"/>
          <w:color w:val="000000" w:themeColor="text1"/>
          <w:szCs w:val="20"/>
        </w:rPr>
        <w:t>bility from the main entrance to bedroom doors which is measured as a negative status symbol is higher in plan 19. (#19=-5.11&gt;#18=-0.07). In conclusion, plan #18 provides better support for status (Figure 3).</w:t>
      </w:r>
    </w:p>
    <w:p w14:paraId="2C012765" w14:textId="77777777" w:rsidR="00B40059" w:rsidRPr="00FD0FCB" w:rsidRDefault="00B40059" w:rsidP="00B40059">
      <w:pPr>
        <w:pStyle w:val="MDPI31text"/>
        <w:rPr>
          <w:rFonts w:ascii="Georgia" w:eastAsiaTheme="minorEastAsia" w:hAnsi="Georgia" w:cs="Arial"/>
          <w:color w:val="000000" w:themeColor="text1"/>
          <w:szCs w:val="20"/>
        </w:rPr>
      </w:pPr>
    </w:p>
    <w:p w14:paraId="4351250F" w14:textId="77777777" w:rsidR="00B40059" w:rsidRDefault="00B40059" w:rsidP="00CD7F97">
      <w:pPr>
        <w:pStyle w:val="MDPI31text"/>
        <w:rPr>
          <w:rFonts w:ascii="Georgia" w:eastAsiaTheme="minorEastAsia" w:hAnsi="Georgia" w:cs="Arial"/>
          <w:color w:val="000000" w:themeColor="text1"/>
          <w:szCs w:val="20"/>
        </w:rPr>
      </w:pPr>
      <w:r w:rsidRPr="00D35C14">
        <w:rPr>
          <w:rFonts w:ascii="Georgia" w:eastAsiaTheme="minorEastAsia" w:hAnsi="Georgia" w:cs="Arial"/>
          <w:b/>
          <w:bCs/>
          <w:color w:val="000000" w:themeColor="text1"/>
          <w:szCs w:val="20"/>
        </w:rPr>
        <w:t>Support of Behavioral Confirmation:</w:t>
      </w:r>
      <w:r w:rsidRPr="00D35C14">
        <w:rPr>
          <w:rFonts w:ascii="Georgia" w:eastAsiaTheme="minorEastAsia" w:hAnsi="Georgia" w:cs="Arial"/>
          <w:color w:val="000000" w:themeColor="text1"/>
          <w:szCs w:val="20"/>
        </w:rPr>
        <w:t xml:space="preserve"> Behavioral confirmation refers to residents being able and likely to establish eye contact with staff members, to get non-verbal confirmation of one’s actions. To demonstrate how this manifests in a plan, we examined plans #18 and #19 (figure 3). The research refers to eye-contact with staff members at a clear, noticeable </w:t>
      </w:r>
      <w:r w:rsidR="00C10006">
        <w:rPr>
          <w:rFonts w:ascii="Georgia" w:eastAsiaTheme="minorEastAsia" w:hAnsi="Georgia" w:cs="Arial"/>
          <w:color w:val="000000" w:themeColor="text1"/>
          <w:szCs w:val="20"/>
        </w:rPr>
        <w:t>nursing-station</w:t>
      </w:r>
      <w:r w:rsidR="00C10006" w:rsidRPr="00D35C14">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 xml:space="preserve">as informal communication, a positive attribute that benefits the residents </w:t>
      </w:r>
      <w:r w:rsidRPr="00D35C14">
        <w:rPr>
          <w:rFonts w:ascii="Georgia" w:eastAsiaTheme="minorEastAsia" w:hAnsi="Georgia" w:cs="Arial"/>
          <w:color w:val="000000" w:themeColor="text1"/>
          <w:szCs w:val="20"/>
        </w:rPr>
        <w:fldChar w:fldCharType="begin" w:fldLock="1"/>
      </w:r>
      <w:r w:rsidRPr="00D35C14">
        <w:rPr>
          <w:rFonts w:ascii="Georgia" w:eastAsiaTheme="minorEastAsia" w:hAnsi="Georgia" w:cs="Arial"/>
          <w:color w:val="000000" w:themeColor="text1"/>
          <w:szCs w:val="20"/>
        </w:rPr>
        <w:instrText>ADDIN CSL_CITATION {"citationItems":[{"id":"ITEM-1","itemData":{"DOI":"10.1177/1471301211421189","ISBN":"1471-3012","ISSN":"14713012","abstract":"Despite a continued recognition of the importance of relational aspects of quality of life for people with dementia, little research has examined environmental influences on informal social interaction in dementia care settings. The purpose of this ethnographic study was to identify and explore key elements of the physical and social environments that act as facilitators or barriers for social interaction among people with dementia living in special care units. We conducted in-depth interviews with staff members and completed a series of resident observations. Findings suggest that social factors such as staff work roles and resident group size, and physical factors such as a non-institutional character, the nursing station location, and adequate seating and sightlines are influential for prompting or supporting informal social interactions. Design recommendations are provided with the intent to create physical environments that foster informal social interactions among people in dementia care environments. ","author":[{"dropping-particle":"","family":"Campo","given":"Michael","non-dropping-particle":"","parse-names":false,"suffix":""},{"dropping-particle":"","family":"Chaudhury","given":"Habib","non-dropping-particle":"","parse-names":false,"suffix":""}],"container-title":"Dementia","id":"ITEM-1","issue":"3","issued":{"date-parts":[["2012"]]},"page":"401-423","title":"Informal social interaction among residents with dementia in special care units: Exploring the role of the physical and social environments","type":"article-journal","volume":"11"},"uris":["http://www.mendeley.com/documents/?uuid=f0bdd9e3-d1e6-4771-9681-f03ede297472"]},{"id":"ITEM-2","itemData":{"DOI":"10.1016/j.ijnurstu.2016.11.017","ISSN":"00207489","PMID":"27951433","abstract":"Background To provide adequate nursing care it is important for nursing staff to communicate effectively with people with dementia. Due to their limited communication skills, people with dementia have difficulties in understanding communication and expressing themselves verbally. Nursing staff members often report communication difficulties with people with dementia, which emphasises the urgent need for interventions to improve their communication with people in this specific target group. Objectives To provide an up-to-date overview of communication interventions that are applicable during daily nursing care activities, irrespective of care setting, and to describe the effects on communication outcomes in people with dementia and nursing staff. Design Systematic literature review Data sources The Cochrane Library, CINAHL, PsycINFO, and Pubmed databases were searched for all articles published until the 23rd of February 2016. Review methods Papers were included, if: (1) interventions focused on communication between nursing staff and people with dementia and were applicable during daily nursing care; (2) studies were (randomised) controlled trials; (3) papers were written in English, Dutch, or German. Data were extracted on content and communication outcomes of interventions, and on methodological quality of the studies. The data extraction form and methodological quality checklist were based on the Method Guidelines for Systematic Reviews for the Cochrane Back Review Group. Results Six studies on communication interventions were included. All of the studies incorporated a communication skills training for nursing staff with a broad range in frequency, duration and content. In addition, there was wide variation in the communication outcome measures used. Four studies measured non-verbal communication, all found positive effects on at least some of the communication outcomes. Four studies measured verbal communication, of which three found positive effects on at least one of the measured outcomes. Methodological quality assessment demonstrated a high risk of bias in five of the six studies. Conclusions Few studies have been identified with wide variation in interventions and outcome measures. In addition, the methodological shortcomings make it difficult, to draw conclusions about the effectiveness. More research is needed to develop and evaluate communication interventions. Additionally, it is useful to reach consensus on defining and measuring communic…","author":[{"dropping-particle":"","family":"Machiels","given":"Mariska","non-dropping-particle":"","parse-names":false,"suffix":""},{"dropping-particle":"","family":"Metzelthin","given":"Silke F.","non-dropping-particle":"","parse-names":false,"suffix":""},{"dropping-particle":"","family":"Hamers","given":"Jan P.H.","non-dropping-particle":"","parse-names":false,"suffix":""},{"dropping-particle":"","family":"Zwakhalen","given":"Sandra M.G.","non-dropping-particle":"","parse-names":false,"suffix":""}],"container-title":"International Journal of Nursing Studies","id":"ITEM-2","issued":{"date-parts":[["2017"]]},"page":"37-46","title":"Interventions to improve communication between people with dementia and nursing staff during daily nursing care: A systematic review","type":"article-journal","volume":"66"},"uris":["http://www.mendeley.com/documents/?uuid=79b0baf3-65c3-4f3e-97c5-6a1a6c52422c"]},{"id":"ITEM-3","itemData":{"DOI":"10.1080/10410236.2018.1536940","ISSN":"15327027","abstract":"This pre-post multi-method study explored how nurses made sense of changes in nurse station design and how they characterized communication processes within a hospital unit before and after it moved from an existing hospital into a newly designed trauma-1 level hospital. Quantitative observations (116 h) of real-time communication were gathered in both hospitals. Additionally, 41 nursing staff (nurses, nursing care technicians, nurse managers) participated in a qualitative study. Three months before moving, four focus groups were conducted with 16 nursing professionals working in traditional centralized nurse station units. One year later, four additional focus groups were conducted with 25 nursing staff in new decentralized units. The observational data resulted in two key findings: first, nursing staff participated in about 70 percent of interactions with nurses, techs, doctors, and families. Second, nursing communication decreased in decentralized units. In-depth qualitative analysis revealed that nursing communication was more frequent, relational and supportive in centralized spaces while distinguished by fragmentation and information exchange in decentralized units. Drawing upon theories of supportive design and healthcare systems, these findings illustrate how nurses in centralized units characterized communication as proximity, teamwork and relationships. Nurses in decentralized units described communication in terms of distance, fragmentation, and information exchange. Implications of this study suggest that centralized spaces may facilitate nursing communication while decentralized units are supportive of proximity to patients. Exploring how communication and design together constitute the logic of healthcare delivery contributes to our understanding of how communication processes comprise the social organization of nursing care.","author":[{"dropping-particle":"","family":"Real","given":"Kevin","non-dropping-particle":"","parse-names":false,"suffix":""},{"dropping-particle":"","family":"Santiago","given":"Joshua","non-dropping-particle":"","parse-names":false,"suffix":""},{"dropping-particle":"","family":"Fay","given":"Lindsey","non-dropping-particle":"","parse-names":false,"suffix":""},{"dropping-particle":"","family":"Isaacs","given":"Kathy","non-dropping-particle":"","parse-names":false,"suffix":""},{"dropping-particle":"","family":"Carll-White","given":"Allison","non-dropping-particle":"","parse-names":false,"suffix":""}],"container-title":"Health Communication","id":"ITEM-3","issued":{"date-parts":[["2018"]]},"title":"The Social Logic of Nursing Communication and Team Processes in Centralized and Decentralized Work Spaces","type":"article-journal","volume":"0236"},"uris":["http://www.mendeley.com/documents/?uuid=eba1df80-2cfd-4f4b-a84f-3a71ed8f89f3"]},{"id":"ITEM-4","itemData":{"DOI":"10.1186/s12913-015-0875-3","ISSN":"14726963","PMID":"26017697","abstract":"Background: Informal carers of persons with dementia are in contact with numerous healthcare professionals (HCP) in a complex healthcare system. Successful collaboration between the parties involved appears to be essential for good dementia care. Thus, we investigated the perceptions of both HCP and informal carers regarding successful collaboration and sought to describe obstacles and facilitators. Methods: As part of the 7&lt;sup&gt;th&lt;/sup&gt; framework EU project RightTimePlaceCare, five focus groups were conducted with HCP and informal carers of persons with dementia in Germany (n</w:instrText>
      </w:r>
      <w:r w:rsidRPr="00D35C14">
        <w:rPr>
          <w:rFonts w:ascii="Cambria Math" w:eastAsiaTheme="minorEastAsia" w:hAnsi="Cambria Math" w:cs="Cambria Math"/>
          <w:color w:val="000000" w:themeColor="text1"/>
          <w:szCs w:val="20"/>
        </w:rPr>
        <w:instrText>∈</w:instrText>
      </w:r>
      <w:r w:rsidRPr="00D35C14">
        <w:rPr>
          <w:rFonts w:ascii="Georgia" w:eastAsiaTheme="minorEastAsia" w:hAnsi="Georgia" w:cs="Arial"/>
          <w:color w:val="000000" w:themeColor="text1"/>
          <w:szCs w:val="20"/>
        </w:rPr>
        <w:instrText>=</w:instrText>
      </w:r>
      <w:r w:rsidRPr="00D35C14">
        <w:rPr>
          <w:rFonts w:ascii="Cambria Math" w:eastAsiaTheme="minorEastAsia" w:hAnsi="Cambria Math" w:cs="Cambria Math"/>
          <w:color w:val="000000" w:themeColor="text1"/>
          <w:szCs w:val="20"/>
        </w:rPr>
        <w:instrText>∈</w:instrText>
      </w:r>
      <w:r w:rsidRPr="00D35C14">
        <w:rPr>
          <w:rFonts w:ascii="Georgia" w:eastAsiaTheme="minorEastAsia" w:hAnsi="Georgia" w:cs="Arial"/>
          <w:color w:val="000000" w:themeColor="text1"/>
          <w:szCs w:val="20"/>
        </w:rPr>
        <w:instrText>30 participants/ time: Oct/Nov 2011). A supplementary secondary data analysis was performed, applying qualitative content analysis with open coding. Results: The derived categories were sorted into three overarching themes: collaboration between HCP and informal carers, collaboration among HCP and the impact of resources and healthcare system. HCP and informal carers largely agree on what facilitates or impedes successful collaboration between them. Making the initial contact appears to be a major challenge. While HCP expect to be contacted, informal carers hesitate to seek assistance, primarily due to inner barriers. Permanent contact person/institution, well-trained, empathetic HCP who can establish a trustful relationship are regarded as facilitating collaboration. The relational perspective is more clearly emphasised by HCP than by informal carers. This may be attributed to the absence of a permanent contact person in Germany. Sufficient information relay, clear responsibilities, motivation and defined aims, and a personal relationship between professionals are mentioned as facilitators. External factors, such as rapid staff turnover, insufficient time resources and conditions specified by the health and long-term care system causing financial competition between providers, are described as general barriers to successful collaboration. Conclusions: HCP and informal carers had comparable perceptions of successful collaboration among them. The initial contact seems to be particularly challenging. Better strategies are urgently needed to facilitate the access to professional support. A permanent contact person (e.g., a case manager) might improve collaboration among all the parties involved, but this is not available regularly. Constraints created by the healthcare system may considerably hinder successful collaboration.","author":[{"dropping-particle":"","family":"Stephan","given":"Astrid","non-dropping-particle":"","parse-names":false,"suffix":""},{"dropping-particle":"","family":"Möhler","given":"Ralph","non-dropping-particle":"","parse-names":false,"suffix":""},{"dropping-particle":"","family":"Renom-Guiteras","given":"Anna","non-dropping-particle":"","parse-names":false,"suffix":""},{"dropping-particle":"","family":"Meyer","given":"Gabriele","non-dropping-particle":"","parse-names":false,"suffix":""}],"container-title":"BMC Health Services Research","id":"ITEM-4","issue":"1","issued":{"date-parts":[["2015"]]},"page":"1-13","title":"Successful collaboration in dementia care from the perspectives of healthcare professionals and informal carers in Germany: Results from a focus group study","type":"article-journal","volume":"15"},"uris":["http://www.mendeley.com/documents/?uuid=5f516fc9-697b-47d0-9b36-fdd3f02947f5"]}],"mendeley":{"formattedCitation":"(Campo &amp; Chaudhury, 2012; Machiels et al., 2017; Real et al., 2018; Stephan et al., 2015)","plainTextFormattedCitation":"(Campo &amp; Chaudhury, 2012; Machiels et al., 2017; Real et al., 2018; Stephan et al., 2015)","previouslyFormattedCitation":"(Campo &amp; Chaudhury, 2012; Machiels et al., 2017; Real et al., 2018; Stephan et al., 2015)"},"properties":{"noteIndex":0},"schema":"https://github.com/citation-style-language/schema/raw/master/csl-citation.json"}</w:instrText>
      </w:r>
      <w:r w:rsidRPr="00D35C14">
        <w:rPr>
          <w:rFonts w:ascii="Georgia" w:eastAsiaTheme="minorEastAsia" w:hAnsi="Georgia" w:cs="Arial"/>
          <w:color w:val="000000" w:themeColor="text1"/>
          <w:szCs w:val="20"/>
        </w:rPr>
        <w:fldChar w:fldCharType="separate"/>
      </w:r>
      <w:r w:rsidRPr="00D35C14">
        <w:rPr>
          <w:rFonts w:ascii="Georgia" w:eastAsiaTheme="minorEastAsia" w:hAnsi="Georgia" w:cs="Arial"/>
          <w:noProof/>
          <w:color w:val="000000" w:themeColor="text1"/>
          <w:szCs w:val="20"/>
        </w:rPr>
        <w:t>(Campo &amp; Chaudhury, 2012; Machiels et al., 2017; Real et al., 2018; Stephan et al., 2015)</w:t>
      </w:r>
      <w:r w:rsidRPr="00D35C14">
        <w:rPr>
          <w:rFonts w:ascii="Georgia" w:eastAsiaTheme="minorEastAsia" w:hAnsi="Georgia" w:cs="Arial"/>
          <w:color w:val="000000" w:themeColor="text1"/>
          <w:szCs w:val="20"/>
        </w:rPr>
        <w:fldChar w:fldCharType="end"/>
      </w:r>
      <w:r w:rsidRPr="00D35C14">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rPr>
        <w:t>Plan#19 has a protrusive</w:t>
      </w:r>
      <w:r w:rsidR="00C10006" w:rsidRPr="00C10006">
        <w:rPr>
          <w:rFonts w:ascii="Georgia" w:eastAsiaTheme="minorEastAsia" w:hAnsi="Georgia" w:cs="Arial"/>
          <w:color w:val="000000" w:themeColor="text1"/>
          <w:szCs w:val="20"/>
        </w:rPr>
        <w:t xml:space="preserve"> </w:t>
      </w:r>
      <w:r w:rsidR="00C10006">
        <w:rPr>
          <w:rFonts w:ascii="Georgia" w:eastAsiaTheme="minorEastAsia" w:hAnsi="Georgia" w:cs="Arial"/>
          <w:color w:val="000000" w:themeColor="text1"/>
          <w:szCs w:val="20"/>
        </w:rPr>
        <w:t>nursing-station</w:t>
      </w:r>
      <w:r w:rsidR="00C10006" w:rsidRPr="00D35C14">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rPr>
        <w:t xml:space="preserve">that is directly visible from a large area of the unit </w:t>
      </w:r>
      <w:r w:rsidRPr="00D35C14">
        <w:rPr>
          <w:rFonts w:ascii="Georgia" w:eastAsiaTheme="minorEastAsia" w:hAnsi="Georgia" w:cs="Arial"/>
          <w:color w:val="000000" w:themeColor="text1"/>
          <w:szCs w:val="20"/>
        </w:rPr>
        <w:t>whereas plan #18 has a semi-intrusive</w:t>
      </w:r>
      <w:r w:rsidR="00C10006" w:rsidRPr="00C10006">
        <w:rPr>
          <w:rFonts w:ascii="Georgia" w:eastAsiaTheme="minorEastAsia" w:hAnsi="Georgia" w:cs="Arial"/>
          <w:color w:val="000000" w:themeColor="text1"/>
          <w:szCs w:val="20"/>
        </w:rPr>
        <w:t xml:space="preserve"> </w:t>
      </w:r>
      <w:r w:rsidR="00C10006">
        <w:rPr>
          <w:rFonts w:ascii="Georgia" w:eastAsiaTheme="minorEastAsia" w:hAnsi="Georgia" w:cs="Arial"/>
          <w:color w:val="000000" w:themeColor="text1"/>
          <w:szCs w:val="20"/>
        </w:rPr>
        <w:t>nursing-station</w:t>
      </w:r>
      <w:r w:rsidR="00C10006" w:rsidRPr="00D35C14">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and thus lower visibility (#18=8.64&lt;#19=20.11). In addition, plan #19 has much higher visibility</w:t>
      </w:r>
      <w:r w:rsidRPr="00D35C14" w:rsidDel="00C67AD5">
        <w:rPr>
          <w:color w:val="000000" w:themeColor="text1"/>
        </w:rPr>
        <w:t xml:space="preserve"> </w:t>
      </w:r>
      <w:r w:rsidRPr="00D35C14">
        <w:rPr>
          <w:color w:val="000000" w:themeColor="text1"/>
        </w:rPr>
        <w:t xml:space="preserve">to the </w:t>
      </w:r>
      <w:r w:rsidR="00CD7F97">
        <w:rPr>
          <w:color w:val="000000" w:themeColor="text1"/>
        </w:rPr>
        <w:t>formal public room</w:t>
      </w:r>
      <w:r w:rsidRPr="00D35C14">
        <w:rPr>
          <w:rFonts w:ascii="Georgia" w:eastAsiaTheme="minorEastAsia" w:hAnsi="Georgia" w:cs="Arial"/>
          <w:color w:val="000000" w:themeColor="text1"/>
          <w:szCs w:val="20"/>
        </w:rPr>
        <w:t xml:space="preserve"> (#18 =2.46&lt;#19=78.9). When routine walking distances between bedrooms and support rooms is greater, random eye contact with staff members (as they pass by bedrooms or </w:t>
      </w:r>
      <w:r w:rsidR="00DA5238">
        <w:rPr>
          <w:rFonts w:ascii="Georgia" w:eastAsiaTheme="minorEastAsia" w:hAnsi="Georgia" w:cs="Arial"/>
          <w:color w:val="000000" w:themeColor="text1"/>
          <w:szCs w:val="20"/>
        </w:rPr>
        <w:t>formal public-rooms</w:t>
      </w:r>
      <w:r w:rsidRPr="00D35C14">
        <w:rPr>
          <w:rFonts w:ascii="Georgia" w:eastAsiaTheme="minorEastAsia" w:hAnsi="Georgia" w:cs="Arial"/>
          <w:color w:val="000000" w:themeColor="text1"/>
          <w:szCs w:val="20"/>
        </w:rPr>
        <w:t>) decreases. Plan #19 has a shorter added distance from the</w:t>
      </w:r>
      <w:r w:rsidR="00C10006" w:rsidRPr="00C10006">
        <w:rPr>
          <w:rFonts w:ascii="Georgia" w:eastAsiaTheme="minorEastAsia" w:hAnsi="Georgia" w:cs="Arial"/>
          <w:color w:val="000000" w:themeColor="text1"/>
          <w:szCs w:val="20"/>
        </w:rPr>
        <w:t xml:space="preserve"> </w:t>
      </w:r>
      <w:r w:rsidR="00C10006">
        <w:rPr>
          <w:rFonts w:ascii="Georgia" w:eastAsiaTheme="minorEastAsia" w:hAnsi="Georgia" w:cs="Arial"/>
          <w:color w:val="000000" w:themeColor="text1"/>
          <w:szCs w:val="20"/>
        </w:rPr>
        <w:t>nursing-station</w:t>
      </w:r>
      <w:r w:rsidR="00C10006" w:rsidRPr="00D35C14">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 xml:space="preserve">to bedrooms per bedroom (#18=20.43m&gt;#19=15.06m) and a shorter added distance to the support rooms (Plan#18=78m&lt;Plan#19=47m). The </w:t>
      </w:r>
      <w:r w:rsidRPr="00D35C14">
        <w:rPr>
          <w:rFonts w:ascii="Georgia" w:eastAsiaTheme="minorEastAsia" w:hAnsi="Georgia" w:cs="Arial"/>
          <w:color w:val="000000" w:themeColor="text1"/>
          <w:szCs w:val="20"/>
        </w:rPr>
        <w:lastRenderedPageBreak/>
        <w:t>integration level of the</w:t>
      </w:r>
      <w:r w:rsidR="00C10006" w:rsidRPr="00C10006">
        <w:rPr>
          <w:rFonts w:ascii="Georgia" w:eastAsiaTheme="minorEastAsia" w:hAnsi="Georgia" w:cs="Arial"/>
          <w:color w:val="000000" w:themeColor="text1"/>
          <w:szCs w:val="20"/>
        </w:rPr>
        <w:t xml:space="preserve"> </w:t>
      </w:r>
      <w:r w:rsidR="00C10006">
        <w:rPr>
          <w:rFonts w:ascii="Georgia" w:eastAsiaTheme="minorEastAsia" w:hAnsi="Georgia" w:cs="Arial"/>
          <w:color w:val="000000" w:themeColor="text1"/>
          <w:szCs w:val="20"/>
        </w:rPr>
        <w:t>nursing-station</w:t>
      </w:r>
      <w:r w:rsidR="00C10006" w:rsidRPr="00D35C14">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 xml:space="preserve">and </w:t>
      </w:r>
      <w:r w:rsidR="00DA5238">
        <w:rPr>
          <w:rFonts w:ascii="Georgia" w:eastAsiaTheme="minorEastAsia" w:hAnsi="Georgia" w:cs="Arial"/>
          <w:color w:val="000000" w:themeColor="text1"/>
          <w:szCs w:val="20"/>
        </w:rPr>
        <w:t>formal public-rooms</w:t>
      </w:r>
      <w:r w:rsidRPr="00D35C14">
        <w:rPr>
          <w:rFonts w:ascii="Georgia" w:eastAsiaTheme="minorEastAsia" w:hAnsi="Georgia" w:cs="Arial"/>
          <w:color w:val="000000" w:themeColor="text1"/>
          <w:szCs w:val="20"/>
        </w:rPr>
        <w:t>, representing their centrality within the unit and, therefore, the probability of eye contact, is slightly higher in plan#19. In conclusion, plan #19 provides better support for behavioral confirmation. </w:t>
      </w:r>
    </w:p>
    <w:p w14:paraId="1B078259" w14:textId="77777777" w:rsidR="006616EB" w:rsidRDefault="00BE3D00" w:rsidP="00B40059">
      <w:pPr>
        <w:pStyle w:val="MDPI31text"/>
        <w:rPr>
          <w:rFonts w:ascii="Georgia" w:eastAsiaTheme="minorEastAsia" w:hAnsi="Georgia" w:cs="Arial"/>
          <w:color w:val="000000" w:themeColor="text1"/>
          <w:szCs w:val="20"/>
        </w:rPr>
      </w:pPr>
      <w:r>
        <w:rPr>
          <w:rFonts w:ascii="Georgia" w:eastAsiaTheme="minorEastAsia" w:hAnsi="Georgia" w:cs="Arial"/>
          <w:noProof/>
          <w:color w:val="000000" w:themeColor="text1"/>
          <w:szCs w:val="20"/>
          <w:lang w:eastAsia="en-US" w:bidi="he-IL"/>
        </w:rPr>
        <w:drawing>
          <wp:anchor distT="0" distB="0" distL="114300" distR="114300" simplePos="0" relativeHeight="251667456" behindDoc="0" locked="0" layoutInCell="1" allowOverlap="1" wp14:anchorId="0143BEE1" wp14:editId="1EFE757D">
            <wp:simplePos x="0" y="0"/>
            <wp:positionH relativeFrom="column">
              <wp:posOffset>1668780</wp:posOffset>
            </wp:positionH>
            <wp:positionV relativeFrom="paragraph">
              <wp:posOffset>165735</wp:posOffset>
            </wp:positionV>
            <wp:extent cx="3341370" cy="3296285"/>
            <wp:effectExtent l="0" t="0" r="0" b="0"/>
            <wp:wrapTopAndBottom/>
            <wp:docPr id="2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41370" cy="3296285"/>
                    </a:xfrm>
                    <a:prstGeom prst="rect">
                      <a:avLst/>
                    </a:prstGeom>
                    <a:noFill/>
                  </pic:spPr>
                </pic:pic>
              </a:graphicData>
            </a:graphic>
            <wp14:sizeRelH relativeFrom="page">
              <wp14:pctWidth>0</wp14:pctWidth>
            </wp14:sizeRelH>
            <wp14:sizeRelV relativeFrom="page">
              <wp14:pctHeight>0</wp14:pctHeight>
            </wp14:sizeRelV>
          </wp:anchor>
        </w:drawing>
      </w:r>
    </w:p>
    <w:p w14:paraId="0A205844" w14:textId="77777777" w:rsidR="00BE3D00" w:rsidRDefault="00BE3D00" w:rsidP="00B40059">
      <w:pPr>
        <w:pStyle w:val="MDPI31text"/>
        <w:jc w:val="left"/>
        <w:rPr>
          <w:rFonts w:ascii="Georgia" w:eastAsiaTheme="minorEastAsia" w:hAnsi="Georgia" w:cs="Arial"/>
          <w:color w:val="000000" w:themeColor="text1"/>
          <w:szCs w:val="20"/>
        </w:rPr>
      </w:pPr>
    </w:p>
    <w:p w14:paraId="15E6EA91" w14:textId="77777777" w:rsidR="00B40059" w:rsidRPr="00D35C14" w:rsidRDefault="00B40059" w:rsidP="00B40059">
      <w:pPr>
        <w:pStyle w:val="MDPI31text"/>
        <w:jc w:val="left"/>
        <w:rPr>
          <w:rFonts w:ascii="Georgia" w:eastAsiaTheme="minorEastAsia" w:hAnsi="Georgia" w:cs="Arial"/>
          <w:color w:val="000000" w:themeColor="text1"/>
          <w:szCs w:val="20"/>
        </w:rPr>
      </w:pPr>
      <w:r w:rsidRPr="00D35C14">
        <w:rPr>
          <w:rFonts w:ascii="Georgia" w:eastAsiaTheme="minorEastAsia" w:hAnsi="Georgia" w:cs="Arial"/>
          <w:color w:val="000000" w:themeColor="text1"/>
          <w:szCs w:val="20"/>
        </w:rPr>
        <w:t>Figure 4–comparing plan#41 and plan#34</w:t>
      </w:r>
    </w:p>
    <w:p w14:paraId="56C1898D" w14:textId="77777777" w:rsidR="00B40059" w:rsidRPr="00D35C14" w:rsidRDefault="00B40059" w:rsidP="00B40059">
      <w:pPr>
        <w:pStyle w:val="MDPI31text"/>
        <w:jc w:val="left"/>
        <w:rPr>
          <w:rFonts w:ascii="Georgia" w:eastAsiaTheme="minorEastAsia" w:hAnsi="Georgia" w:cs="Arial"/>
          <w:color w:val="000000" w:themeColor="text1"/>
          <w:szCs w:val="20"/>
        </w:rPr>
      </w:pPr>
    </w:p>
    <w:p w14:paraId="59C6CDFF" w14:textId="77777777" w:rsidR="00B40059" w:rsidRPr="00D35C14" w:rsidRDefault="00B40059" w:rsidP="00C10006">
      <w:pPr>
        <w:pStyle w:val="MDPI31text"/>
        <w:rPr>
          <w:rFonts w:ascii="Georgia" w:eastAsiaTheme="minorEastAsia" w:hAnsi="Georgia" w:cs="Arial"/>
          <w:color w:val="000000" w:themeColor="text1"/>
          <w:szCs w:val="20"/>
        </w:rPr>
      </w:pPr>
      <w:r w:rsidRPr="006A424E">
        <w:rPr>
          <w:rFonts w:ascii="Georgia" w:eastAsiaTheme="minorEastAsia" w:hAnsi="Georgia" w:cs="Arial"/>
          <w:b/>
          <w:bCs/>
          <w:color w:val="auto"/>
          <w:szCs w:val="20"/>
        </w:rPr>
        <w:t>Support of Affection:</w:t>
      </w:r>
      <w:r w:rsidRPr="006A424E">
        <w:rPr>
          <w:rFonts w:ascii="Georgia" w:eastAsiaTheme="minorEastAsia" w:hAnsi="Georgia" w:cs="Arial"/>
          <w:color w:val="auto"/>
          <w:szCs w:val="20"/>
        </w:rPr>
        <w:t> The</w:t>
      </w:r>
      <w:r w:rsidR="00E22CE5" w:rsidRPr="006A424E">
        <w:rPr>
          <w:rFonts w:ascii="Georgia" w:eastAsiaTheme="minorEastAsia" w:hAnsi="Georgia" w:cs="Arial"/>
          <w:color w:val="auto"/>
          <w:szCs w:val="20"/>
        </w:rPr>
        <w:t xml:space="preserve"> physical layout </w:t>
      </w:r>
      <w:r w:rsidRPr="006A424E">
        <w:rPr>
          <w:rFonts w:ascii="Georgia" w:eastAsiaTheme="minorEastAsia" w:hAnsi="Georgia" w:cs="Arial"/>
          <w:color w:val="auto"/>
          <w:szCs w:val="20"/>
        </w:rPr>
        <w:t xml:space="preserve">supports affection by supporting residents’ ability to spend “quality time” with staff members and guests. </w:t>
      </w:r>
      <w:r w:rsidR="007D26BE" w:rsidRPr="006A424E">
        <w:rPr>
          <w:rFonts w:ascii="Georgia" w:eastAsiaTheme="minorEastAsia" w:hAnsi="Georgia" w:cs="Arial"/>
          <w:color w:val="auto"/>
          <w:szCs w:val="20"/>
        </w:rPr>
        <w:t>The caregivers' mental and physical condition, which will allow them to offer the residents personal support, attention, and affection by careful placement of the nursing station and eliminating long walking distances that can lead to fatigue (Lee et al., 2016) was measured as part of the PSET evaluation of affection</w:t>
      </w:r>
      <w:r w:rsidR="003110B3" w:rsidRPr="006A424E">
        <w:rPr>
          <w:rFonts w:ascii="Georgia" w:eastAsiaTheme="minorEastAsia" w:hAnsi="Georgia" w:cs="Arial"/>
          <w:color w:val="auto"/>
          <w:szCs w:val="20"/>
        </w:rPr>
        <w:t xml:space="preserve"> (</w:t>
      </w:r>
      <w:r w:rsidR="003110B3" w:rsidRPr="006A424E">
        <w:rPr>
          <w:rFonts w:ascii="Georgia" w:eastAsiaTheme="minorEastAsia" w:hAnsi="Georgia" w:cs="Arial"/>
          <w:color w:val="auto"/>
          <w:sz w:val="18"/>
          <w:szCs w:val="18"/>
        </w:rPr>
        <w:t>Rom et al., 2022)</w:t>
      </w:r>
      <w:r w:rsidR="007D26BE" w:rsidRPr="006A424E">
        <w:rPr>
          <w:rFonts w:ascii="Georgia" w:eastAsiaTheme="minorEastAsia" w:hAnsi="Georgia" w:cs="Arial"/>
          <w:color w:val="auto"/>
          <w:szCs w:val="20"/>
        </w:rPr>
        <w:t xml:space="preserve"> . </w:t>
      </w:r>
      <w:r w:rsidRPr="006A424E">
        <w:rPr>
          <w:rFonts w:ascii="Georgia" w:eastAsiaTheme="minorEastAsia" w:hAnsi="Georgia" w:cs="Arial"/>
          <w:color w:val="auto"/>
          <w:szCs w:val="20"/>
        </w:rPr>
        <w:t>To demonstrate aspects of plans that support this dimension, we examined plans #</w:t>
      </w:r>
      <w:r w:rsidR="005B61A9" w:rsidRPr="006A424E">
        <w:rPr>
          <w:rFonts w:ascii="Georgia" w:eastAsiaTheme="minorEastAsia" w:hAnsi="Georgia" w:cs="Arial"/>
          <w:color w:val="auto"/>
          <w:szCs w:val="20"/>
        </w:rPr>
        <w:t>34</w:t>
      </w:r>
      <w:r w:rsidRPr="006A424E">
        <w:rPr>
          <w:rFonts w:ascii="Georgia" w:eastAsiaTheme="minorEastAsia" w:hAnsi="Georgia" w:cs="Arial"/>
          <w:color w:val="auto"/>
          <w:szCs w:val="20"/>
        </w:rPr>
        <w:t xml:space="preserve"> and #</w:t>
      </w:r>
      <w:r w:rsidR="005B61A9" w:rsidRPr="006A424E">
        <w:rPr>
          <w:rFonts w:ascii="Georgia" w:eastAsiaTheme="minorEastAsia" w:hAnsi="Georgia" w:cs="Arial"/>
          <w:color w:val="auto"/>
          <w:szCs w:val="20"/>
        </w:rPr>
        <w:t>41</w:t>
      </w:r>
      <w:r w:rsidRPr="006A424E">
        <w:rPr>
          <w:rFonts w:ascii="Georgia" w:eastAsiaTheme="minorEastAsia" w:hAnsi="Georgia" w:cs="Arial"/>
          <w:color w:val="auto"/>
          <w:szCs w:val="20"/>
        </w:rPr>
        <w:t>, representing polarity in their support of affection (figure 4). In plan #3</w:t>
      </w:r>
      <w:r w:rsidR="005B61A9" w:rsidRPr="006A424E">
        <w:rPr>
          <w:rFonts w:ascii="Georgia" w:eastAsiaTheme="minorEastAsia" w:hAnsi="Georgia" w:cs="Arial"/>
          <w:color w:val="auto"/>
          <w:szCs w:val="20"/>
        </w:rPr>
        <w:t>4</w:t>
      </w:r>
      <w:r w:rsidRPr="006A424E">
        <w:rPr>
          <w:rFonts w:ascii="Georgia" w:eastAsiaTheme="minorEastAsia" w:hAnsi="Georgia" w:cs="Arial"/>
          <w:color w:val="auto"/>
          <w:szCs w:val="20"/>
        </w:rPr>
        <w:t xml:space="preserve">, the staff's insufficient quality time with residents may result from long, time-consuming walking </w:t>
      </w:r>
      <w:r w:rsidRPr="00D35C14">
        <w:rPr>
          <w:rFonts w:ascii="Georgia" w:eastAsiaTheme="minorEastAsia" w:hAnsi="Georgia" w:cs="Arial"/>
          <w:color w:val="000000" w:themeColor="text1"/>
          <w:szCs w:val="20"/>
        </w:rPr>
        <w:t>distances within the unit</w:t>
      </w:r>
      <w:r w:rsidR="005B61A9">
        <w:rPr>
          <w:rFonts w:ascii="Georgia" w:eastAsiaTheme="minorEastAsia" w:hAnsi="Georgia" w:cs="Arial"/>
          <w:color w:val="000000" w:themeColor="text1"/>
          <w:szCs w:val="20"/>
        </w:rPr>
        <w:t>.</w:t>
      </w:r>
      <w:r w:rsidRPr="00D35C14">
        <w:rPr>
          <w:rFonts w:ascii="Georgia" w:eastAsiaTheme="minorEastAsia" w:hAnsi="Georgia" w:cs="Arial"/>
          <w:color w:val="000000" w:themeColor="text1"/>
          <w:szCs w:val="20"/>
        </w:rPr>
        <w:t xml:space="preserve"> Plan#</w:t>
      </w:r>
      <w:r w:rsidR="00E058FB">
        <w:rPr>
          <w:rFonts w:ascii="Georgia" w:eastAsiaTheme="minorEastAsia" w:hAnsi="Georgia" w:cs="Arial"/>
          <w:color w:val="000000" w:themeColor="text1"/>
          <w:szCs w:val="20"/>
        </w:rPr>
        <w:t xml:space="preserve">34 </w:t>
      </w:r>
      <w:r w:rsidRPr="00D35C14">
        <w:rPr>
          <w:rFonts w:ascii="Georgia" w:eastAsiaTheme="minorEastAsia" w:hAnsi="Georgia" w:cs="Arial"/>
          <w:color w:val="000000" w:themeColor="text1"/>
          <w:szCs w:val="20"/>
        </w:rPr>
        <w:t>presents a shorter added distance per room from</w:t>
      </w:r>
      <w:r w:rsidR="00C10006" w:rsidRPr="00C10006">
        <w:rPr>
          <w:rFonts w:ascii="Georgia" w:eastAsiaTheme="minorEastAsia" w:hAnsi="Georgia" w:cs="Arial"/>
          <w:color w:val="000000" w:themeColor="text1"/>
          <w:szCs w:val="20"/>
        </w:rPr>
        <w:t xml:space="preserve"> </w:t>
      </w:r>
      <w:r w:rsidR="00C10006">
        <w:rPr>
          <w:rFonts w:ascii="Georgia" w:eastAsiaTheme="minorEastAsia" w:hAnsi="Georgia" w:cs="Arial"/>
          <w:color w:val="000000" w:themeColor="text1"/>
          <w:szCs w:val="20"/>
        </w:rPr>
        <w:t>nursing-station</w:t>
      </w:r>
      <w:r w:rsidR="00C10006" w:rsidRPr="00D35C14">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to bedrooms (#</w:t>
      </w:r>
      <w:r w:rsidR="00E058FB">
        <w:rPr>
          <w:rFonts w:ascii="Georgia" w:eastAsiaTheme="minorEastAsia" w:hAnsi="Georgia" w:cs="Arial"/>
          <w:color w:val="000000" w:themeColor="text1"/>
          <w:szCs w:val="20"/>
        </w:rPr>
        <w:t>34</w:t>
      </w:r>
      <w:r w:rsidRPr="00D35C14">
        <w:rPr>
          <w:rFonts w:ascii="Georgia" w:eastAsiaTheme="minorEastAsia" w:hAnsi="Georgia" w:cs="Arial"/>
          <w:color w:val="000000" w:themeColor="text1"/>
          <w:szCs w:val="20"/>
        </w:rPr>
        <w:t>=</w:t>
      </w:r>
      <w:r w:rsidR="00E058FB">
        <w:rPr>
          <w:rFonts w:ascii="Georgia" w:eastAsiaTheme="minorEastAsia" w:hAnsi="Georgia" w:cs="Arial"/>
          <w:color w:val="000000" w:themeColor="text1"/>
          <w:szCs w:val="20"/>
        </w:rPr>
        <w:t>19.7</w:t>
      </w:r>
      <w:r w:rsidRPr="00D35C14">
        <w:rPr>
          <w:rFonts w:ascii="Georgia" w:eastAsiaTheme="minorEastAsia" w:hAnsi="Georgia" w:cs="Arial"/>
          <w:color w:val="000000" w:themeColor="text1"/>
          <w:szCs w:val="20"/>
        </w:rPr>
        <w:t>m</w:t>
      </w:r>
      <w:r w:rsidR="00E058FB">
        <w:rPr>
          <w:rFonts w:ascii="Georgia" w:eastAsiaTheme="minorEastAsia" w:hAnsi="Georgia" w:cs="Arial"/>
          <w:color w:val="000000" w:themeColor="text1"/>
          <w:szCs w:val="20"/>
        </w:rPr>
        <w:t>/b</w:t>
      </w:r>
      <w:r w:rsidRPr="00D35C14">
        <w:rPr>
          <w:rFonts w:ascii="Georgia" w:eastAsiaTheme="minorEastAsia" w:hAnsi="Georgia" w:cs="Arial"/>
          <w:color w:val="000000" w:themeColor="text1"/>
          <w:szCs w:val="20"/>
        </w:rPr>
        <w:t>&lt;#</w:t>
      </w:r>
      <w:r w:rsidR="00E058FB">
        <w:rPr>
          <w:rFonts w:ascii="Georgia" w:eastAsiaTheme="minorEastAsia" w:hAnsi="Georgia" w:cs="Arial"/>
          <w:color w:val="000000" w:themeColor="text1"/>
          <w:szCs w:val="20"/>
        </w:rPr>
        <w:t>41</w:t>
      </w:r>
      <w:r w:rsidRPr="00D35C14">
        <w:rPr>
          <w:rFonts w:ascii="Georgia" w:eastAsiaTheme="minorEastAsia" w:hAnsi="Georgia" w:cs="Arial"/>
          <w:color w:val="000000" w:themeColor="text1"/>
          <w:szCs w:val="20"/>
        </w:rPr>
        <w:t>=</w:t>
      </w:r>
      <w:r w:rsidR="00E058FB">
        <w:rPr>
          <w:rFonts w:ascii="Georgia" w:eastAsiaTheme="minorEastAsia" w:hAnsi="Georgia" w:cs="Arial"/>
          <w:color w:val="000000" w:themeColor="text1"/>
          <w:szCs w:val="20"/>
        </w:rPr>
        <w:t>26m/b</w:t>
      </w:r>
      <w:r w:rsidRPr="00D35C14">
        <w:rPr>
          <w:rFonts w:ascii="Georgia" w:eastAsiaTheme="minorEastAsia" w:hAnsi="Georgia" w:cs="Arial"/>
          <w:color w:val="000000" w:themeColor="text1"/>
          <w:szCs w:val="20"/>
        </w:rPr>
        <w:t>) and longer added distance from</w:t>
      </w:r>
      <w:r w:rsidR="00C10006" w:rsidRPr="00C10006">
        <w:rPr>
          <w:rFonts w:ascii="Georgia" w:eastAsiaTheme="minorEastAsia" w:hAnsi="Georgia" w:cs="Arial"/>
          <w:color w:val="000000" w:themeColor="text1"/>
          <w:szCs w:val="20"/>
        </w:rPr>
        <w:t xml:space="preserve"> </w:t>
      </w:r>
      <w:r w:rsidR="00C10006">
        <w:rPr>
          <w:rFonts w:ascii="Georgia" w:eastAsiaTheme="minorEastAsia" w:hAnsi="Georgia" w:cs="Arial"/>
          <w:color w:val="000000" w:themeColor="text1"/>
          <w:szCs w:val="20"/>
        </w:rPr>
        <w:t>nursing-station</w:t>
      </w:r>
      <w:r w:rsidR="00C10006" w:rsidRPr="00D35C14">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to the support room (#</w:t>
      </w:r>
      <w:r w:rsidR="00E058FB">
        <w:rPr>
          <w:rFonts w:ascii="Georgia" w:eastAsiaTheme="minorEastAsia" w:hAnsi="Georgia" w:cs="Arial"/>
          <w:color w:val="000000" w:themeColor="text1"/>
          <w:szCs w:val="20"/>
        </w:rPr>
        <w:t>34</w:t>
      </w:r>
      <w:r w:rsidRPr="00D35C14">
        <w:rPr>
          <w:rFonts w:ascii="Georgia" w:eastAsiaTheme="minorEastAsia" w:hAnsi="Georgia" w:cs="Arial"/>
          <w:color w:val="000000" w:themeColor="text1"/>
          <w:szCs w:val="20"/>
        </w:rPr>
        <w:t>=</w:t>
      </w:r>
      <w:r w:rsidR="00E058FB">
        <w:rPr>
          <w:rFonts w:ascii="Georgia" w:eastAsiaTheme="minorEastAsia" w:hAnsi="Georgia" w:cs="Arial"/>
          <w:color w:val="000000" w:themeColor="text1"/>
          <w:szCs w:val="20"/>
        </w:rPr>
        <w:t>60m</w:t>
      </w:r>
      <w:r w:rsidRPr="00D35C14">
        <w:rPr>
          <w:rFonts w:ascii="Georgia" w:eastAsiaTheme="minorEastAsia" w:hAnsi="Georgia" w:cs="Arial"/>
          <w:color w:val="000000" w:themeColor="text1"/>
          <w:szCs w:val="20"/>
        </w:rPr>
        <w:t xml:space="preserve">&lt;# </w:t>
      </w:r>
      <w:r w:rsidR="00E058FB">
        <w:rPr>
          <w:rFonts w:ascii="Georgia" w:eastAsiaTheme="minorEastAsia" w:hAnsi="Georgia" w:cs="Arial"/>
          <w:color w:val="000000" w:themeColor="text1"/>
          <w:szCs w:val="20"/>
        </w:rPr>
        <w:t>41</w:t>
      </w:r>
      <w:r w:rsidRPr="00D35C14">
        <w:rPr>
          <w:rFonts w:ascii="Georgia" w:eastAsiaTheme="minorEastAsia" w:hAnsi="Georgia" w:cs="Arial"/>
          <w:color w:val="000000" w:themeColor="text1"/>
          <w:szCs w:val="20"/>
        </w:rPr>
        <w:t>=</w:t>
      </w:r>
      <w:r w:rsidR="00E058FB">
        <w:rPr>
          <w:rFonts w:ascii="Georgia" w:eastAsiaTheme="minorEastAsia" w:hAnsi="Georgia" w:cs="Arial"/>
          <w:color w:val="000000" w:themeColor="text1"/>
          <w:szCs w:val="20"/>
        </w:rPr>
        <w:t>86</w:t>
      </w:r>
      <w:r w:rsidRPr="00D35C14">
        <w:rPr>
          <w:rFonts w:ascii="Georgia" w:eastAsiaTheme="minorEastAsia" w:hAnsi="Georgia" w:cs="Arial"/>
          <w:color w:val="000000" w:themeColor="text1"/>
          <w:szCs w:val="20"/>
        </w:rPr>
        <w:t>m). Lack of visual control from the</w:t>
      </w:r>
      <w:r w:rsidR="00C10006" w:rsidRPr="00C10006">
        <w:rPr>
          <w:rFonts w:ascii="Georgia" w:eastAsiaTheme="minorEastAsia" w:hAnsi="Georgia" w:cs="Arial"/>
          <w:color w:val="000000" w:themeColor="text1"/>
          <w:szCs w:val="20"/>
        </w:rPr>
        <w:t xml:space="preserve"> </w:t>
      </w:r>
      <w:r w:rsidR="00C10006">
        <w:rPr>
          <w:rFonts w:ascii="Georgia" w:eastAsiaTheme="minorEastAsia" w:hAnsi="Georgia" w:cs="Arial"/>
          <w:color w:val="000000" w:themeColor="text1"/>
          <w:szCs w:val="20"/>
        </w:rPr>
        <w:t>nursing-station</w:t>
      </w:r>
      <w:r w:rsidR="00C10006" w:rsidRPr="00D35C14">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 xml:space="preserve">(integration and visual abilities) may cause excessive movement by the staff, requiring greater vigilance and possibly causing fatigue, which may affect their ability to behave affectionately </w:t>
      </w:r>
      <w:r w:rsidRPr="00D35C14">
        <w:rPr>
          <w:rFonts w:ascii="Georgia" w:eastAsiaTheme="minorEastAsia" w:hAnsi="Georgia" w:cs="Arial"/>
          <w:color w:val="000000" w:themeColor="text1"/>
          <w:szCs w:val="20"/>
        </w:rPr>
        <w:fldChar w:fldCharType="begin" w:fldLock="1"/>
      </w:r>
      <w:r w:rsidRPr="00D35C14">
        <w:rPr>
          <w:rFonts w:ascii="Georgia" w:eastAsiaTheme="minorEastAsia" w:hAnsi="Georgia" w:cs="Arial"/>
          <w:color w:val="000000" w:themeColor="text1"/>
          <w:szCs w:val="20"/>
        </w:rPr>
        <w:instrText>ADDIN CSL_CITATION {"citationItems":[{"id":"ITEM-1","itemData":{"ISSN":"19375867","abstract":"While considerable attention has been paid to how the design of nursing units can help reduce nurse fatigue, improve safety, and reduce nosocomial infection rates, much less attention has been paid to how nursing unit design influences informal communication patterns, on-the-job learning, and job stress and satisfaction. Yet the literature consistently cites communication among diverse caregivers as a critical component for improving quality of care. This paper reviews relevant literature related to nursing unit design and communication patterns, and suggests an evidence-based design research agenda grounded in the concept of \"organizational ecology\" for increasing our understanding of how hospital design can contribute to improved quality of care.Key Words Evidence-based design, physical design, communication, job stress, nurses.","author":[{"dropping-particle":"","family":"Becker","given":"F","non-dropping-particle":"","parse-names":false,"suffix":""}],"container-title":"HERD : Health Environments Research &amp; Design Journal","id":"ITEM-1","issue":"1","issued":{"date-parts":[["2007"]]},"page":"58-62","title":"Nursing Unit Design and Communication Patterns: What Is \"Real\" Work?","type":"article-journal","volume":"1"},"uris":["http://www.mendeley.com/documents/?uuid=4e179207-0aac-4c30-8aab-7514c9a752e7"]},{"id":"ITEM-2","itemData":{"DOI":"10.1177/193758670900200202","ISSN":"19375867","PMID":"21161927","abstract":"The primary goal of this study was to test the hypothesis that nurses adopt distinct movement strategies based on features of unit topology and nurse assignments. The secondary goal was to identify aspects of unit layout or organization that influence the amount of time nurses spend in the patient room. Previous research has demonstrated a link between nursing hours and patient outcomes. Unit layout may affect direct patient care time by determining aspects of nurse behavior, such as the amount of time nurses spend walking. The recent nurses' Time and Motion study employed multiple technologies to track the movements and activities of 767 medical-surgical nurses. With regard to unit layout, initial analysis of the data set did not detect differences between types of units and time spent in the patient room. The analysis reported here applies novel techniques to this data set to examine the relationship between unit layout and nurse behavior. Techniques of spatial analysis, borrowed from the architectural theory of spatial syntax, were applied to the Time and Motion data set. Motion data from radio-frequency identification tracking of nurses was combined with architectural drawings of the study units and clinical information such as nurse-patient assignment. Spatial analytic techniques were used to determine the average integration or centrality of nurse assignments for each shift. Nurse assignments with greater average centrality to all assigned rooms were associated with a higher number of entries to patient rooms, as well as to the nurse station. Number of entries to patient rooms was negatively correlated with average time per visit, but positively correlated with total time spent in patient rooms. The data describe two overall strategies of nurse mobility patterns: fewer, longer visits versus more frequent, shorter visits. Results suggest that the spatial qualities of nurse assignments and unit layout affect nurse strategies for moving through units and affect how frequently nurses enter patient rooms and the nurse station.","author":[{"dropping-particle":"","family":"Hendrich","given":"Ann","non-dropping-particle":"","parse-names":false,"suffix":""},{"dropping-particle":"","family":"Chow","given":"Marilyn P.","non-dropping-particle":"","parse-names":false,"suffix":""},{"dropping-particle":"","family":"Bafna","given":"Sonit","non-dropping-particle":"","parse-names":false,"suffix":""},{"dropping-particle":"","family":"Choudhary","given":"Ruchi","non-dropping-particle":"","parse-names":false,"suffix":""},{"dropping-particle":"","family":"Heo","given":"Yeonsook","non-dropping-particle":"","parse-names":false,"suffix":""},{"dropping-particle":"","family":"Skierczynski","given":"Boguslaw A.","non-dropping-particle":"","parse-names":false,"suffix":""}],"container-title":"Herd","id":"ITEM-2","issue":"2","issued":{"date-parts":[["2009"]]},"page":"5-20","title":"Unit-related factors that affect nursing time with patients: spatial analysis of the time and motion study.","type":"article-journal","volume":"2"},"uris":["http://www.mendeley.com/documents/?uuid=43132895-7006-43cc-b01f-e5a9161326c2"]}],"mendeley":{"formattedCitation":"(Becker, 2007; Hendrich et al., 2009)","plainTextFormattedCitation":"(Becker, 2007; Hendrich et al., 2009)","previouslyFormattedCitation":"(Becker, 2007; Hendrich et al., 2009)"},"properties":{"noteIndex":0},"schema":"https://github.com/citation-style-language/schema/raw/master/csl-citation.json"}</w:instrText>
      </w:r>
      <w:r w:rsidRPr="00D35C14">
        <w:rPr>
          <w:rFonts w:ascii="Georgia" w:eastAsiaTheme="minorEastAsia" w:hAnsi="Georgia" w:cs="Arial"/>
          <w:color w:val="000000" w:themeColor="text1"/>
          <w:szCs w:val="20"/>
        </w:rPr>
        <w:fldChar w:fldCharType="separate"/>
      </w:r>
      <w:r w:rsidRPr="00D35C14">
        <w:rPr>
          <w:rFonts w:ascii="Georgia" w:eastAsiaTheme="minorEastAsia" w:hAnsi="Georgia" w:cs="Arial"/>
          <w:noProof/>
          <w:color w:val="000000" w:themeColor="text1"/>
          <w:szCs w:val="20"/>
        </w:rPr>
        <w:t>(Becker, 2007; Hendrich et al., 2009)</w:t>
      </w:r>
      <w:r w:rsidRPr="00D35C14">
        <w:rPr>
          <w:rFonts w:ascii="Georgia" w:eastAsiaTheme="minorEastAsia" w:hAnsi="Georgia" w:cs="Arial"/>
          <w:color w:val="000000" w:themeColor="text1"/>
          <w:szCs w:val="20"/>
        </w:rPr>
        <w:fldChar w:fldCharType="end"/>
      </w:r>
      <w:r w:rsidRPr="00D35C14">
        <w:rPr>
          <w:rFonts w:ascii="Georgia" w:eastAsiaTheme="minorEastAsia" w:hAnsi="Georgia" w:cs="Arial"/>
          <w:color w:val="000000" w:themeColor="text1"/>
          <w:szCs w:val="20"/>
        </w:rPr>
        <w:t>.</w:t>
      </w:r>
      <w:r w:rsidR="005B61A9">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In addition, the</w:t>
      </w:r>
      <w:r w:rsidR="00C10006" w:rsidRPr="00C10006">
        <w:rPr>
          <w:rFonts w:ascii="Georgia" w:eastAsiaTheme="minorEastAsia" w:hAnsi="Georgia" w:cs="Arial"/>
          <w:color w:val="000000" w:themeColor="text1"/>
          <w:szCs w:val="20"/>
        </w:rPr>
        <w:t xml:space="preserve"> </w:t>
      </w:r>
      <w:r w:rsidR="00C10006">
        <w:rPr>
          <w:rFonts w:ascii="Georgia" w:eastAsiaTheme="minorEastAsia" w:hAnsi="Georgia" w:cs="Arial"/>
          <w:color w:val="000000" w:themeColor="text1"/>
          <w:szCs w:val="20"/>
        </w:rPr>
        <w:t>nursing-station</w:t>
      </w:r>
      <w:r w:rsidR="00C10006" w:rsidRPr="00D35C14">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in plan#</w:t>
      </w:r>
      <w:r w:rsidR="005B61A9">
        <w:rPr>
          <w:rFonts w:ascii="Georgia" w:eastAsiaTheme="minorEastAsia" w:hAnsi="Georgia" w:cs="Arial"/>
          <w:color w:val="000000" w:themeColor="text1"/>
          <w:szCs w:val="20"/>
        </w:rPr>
        <w:t xml:space="preserve"> 34</w:t>
      </w:r>
      <w:r w:rsidRPr="00D35C14">
        <w:rPr>
          <w:rFonts w:ascii="Georgia" w:eastAsiaTheme="minorEastAsia" w:hAnsi="Georgia" w:cs="Arial"/>
          <w:color w:val="000000" w:themeColor="text1"/>
          <w:szCs w:val="20"/>
        </w:rPr>
        <w:t xml:space="preserve"> has a lower level of integration (#</w:t>
      </w:r>
      <w:r w:rsidR="005B61A9">
        <w:rPr>
          <w:rFonts w:ascii="Georgia" w:eastAsiaTheme="minorEastAsia" w:hAnsi="Georgia" w:cs="Arial"/>
          <w:color w:val="000000" w:themeColor="text1"/>
          <w:szCs w:val="20"/>
        </w:rPr>
        <w:t>34</w:t>
      </w:r>
      <w:r w:rsidRPr="00D35C14">
        <w:rPr>
          <w:rFonts w:ascii="Georgia" w:eastAsiaTheme="minorEastAsia" w:hAnsi="Georgia" w:cs="Arial"/>
          <w:color w:val="000000" w:themeColor="text1"/>
          <w:szCs w:val="20"/>
        </w:rPr>
        <w:t>=0.</w:t>
      </w:r>
      <w:r w:rsidR="00E058FB">
        <w:rPr>
          <w:rFonts w:ascii="Georgia" w:eastAsiaTheme="minorEastAsia" w:hAnsi="Georgia" w:cs="Arial"/>
          <w:color w:val="000000" w:themeColor="text1"/>
          <w:szCs w:val="20"/>
        </w:rPr>
        <w:t>72</w:t>
      </w:r>
      <w:r w:rsidRPr="00D35C14">
        <w:rPr>
          <w:rFonts w:ascii="Georgia" w:eastAsiaTheme="minorEastAsia" w:hAnsi="Georgia" w:cs="Arial"/>
          <w:color w:val="000000" w:themeColor="text1"/>
          <w:szCs w:val="20"/>
        </w:rPr>
        <w:t>&lt;#</w:t>
      </w:r>
      <w:r w:rsidR="005B61A9">
        <w:rPr>
          <w:rFonts w:ascii="Georgia" w:eastAsiaTheme="minorEastAsia" w:hAnsi="Georgia" w:cs="Arial"/>
          <w:color w:val="000000" w:themeColor="text1"/>
          <w:szCs w:val="20"/>
        </w:rPr>
        <w:t>4</w:t>
      </w:r>
      <w:r w:rsidRPr="00D35C14">
        <w:rPr>
          <w:rFonts w:ascii="Georgia" w:eastAsiaTheme="minorEastAsia" w:hAnsi="Georgia" w:cs="Arial"/>
          <w:color w:val="000000" w:themeColor="text1"/>
          <w:szCs w:val="20"/>
        </w:rPr>
        <w:t>1=1.</w:t>
      </w:r>
      <w:r w:rsidR="00E058FB">
        <w:rPr>
          <w:rFonts w:ascii="Georgia" w:eastAsiaTheme="minorEastAsia" w:hAnsi="Georgia" w:cs="Arial"/>
          <w:color w:val="000000" w:themeColor="text1"/>
          <w:szCs w:val="20"/>
        </w:rPr>
        <w:t>2</w:t>
      </w:r>
      <w:r w:rsidRPr="00D35C14">
        <w:rPr>
          <w:rFonts w:ascii="Georgia" w:eastAsiaTheme="minorEastAsia" w:hAnsi="Georgia" w:cs="Arial"/>
          <w:color w:val="000000" w:themeColor="text1"/>
          <w:szCs w:val="20"/>
        </w:rPr>
        <w:t xml:space="preserve">) but </w:t>
      </w:r>
      <w:r w:rsidR="00E058FB">
        <w:rPr>
          <w:rFonts w:ascii="Georgia" w:eastAsiaTheme="minorEastAsia" w:hAnsi="Georgia" w:cs="Arial"/>
          <w:color w:val="000000" w:themeColor="text1"/>
          <w:szCs w:val="20"/>
        </w:rPr>
        <w:t>lower</w:t>
      </w:r>
      <w:r w:rsidRPr="00D35C14">
        <w:rPr>
          <w:rFonts w:ascii="Georgia" w:eastAsiaTheme="minorEastAsia" w:hAnsi="Georgia" w:cs="Arial"/>
          <w:color w:val="000000" w:themeColor="text1"/>
          <w:szCs w:val="20"/>
        </w:rPr>
        <w:t xml:space="preserve"> visibility throughout the unit (#</w:t>
      </w:r>
      <w:r w:rsidR="005B61A9">
        <w:rPr>
          <w:rFonts w:ascii="Georgia" w:eastAsiaTheme="minorEastAsia" w:hAnsi="Georgia" w:cs="Arial"/>
          <w:color w:val="000000" w:themeColor="text1"/>
          <w:szCs w:val="20"/>
        </w:rPr>
        <w:t>34</w:t>
      </w:r>
      <w:r w:rsidRPr="00D35C14">
        <w:rPr>
          <w:rFonts w:ascii="Georgia" w:eastAsiaTheme="minorEastAsia" w:hAnsi="Georgia" w:cs="Arial"/>
          <w:color w:val="000000" w:themeColor="text1"/>
          <w:szCs w:val="20"/>
        </w:rPr>
        <w:t>=</w:t>
      </w:r>
      <w:r w:rsidR="00E058FB">
        <w:rPr>
          <w:rFonts w:ascii="Georgia" w:eastAsiaTheme="minorEastAsia" w:hAnsi="Georgia" w:cs="Arial"/>
          <w:color w:val="000000" w:themeColor="text1"/>
          <w:szCs w:val="20"/>
        </w:rPr>
        <w:t>19.83&lt;</w:t>
      </w:r>
      <w:r w:rsidRPr="00D35C14">
        <w:rPr>
          <w:rFonts w:ascii="Georgia" w:eastAsiaTheme="minorEastAsia" w:hAnsi="Georgia" w:cs="Arial"/>
          <w:color w:val="000000" w:themeColor="text1"/>
          <w:szCs w:val="20"/>
        </w:rPr>
        <w:t xml:space="preserve"># </w:t>
      </w:r>
      <w:r w:rsidR="005B61A9">
        <w:rPr>
          <w:rFonts w:ascii="Georgia" w:eastAsiaTheme="minorEastAsia" w:hAnsi="Georgia" w:cs="Arial"/>
          <w:color w:val="000000" w:themeColor="text1"/>
          <w:szCs w:val="20"/>
        </w:rPr>
        <w:t>4</w:t>
      </w:r>
      <w:r w:rsidRPr="00D35C14">
        <w:rPr>
          <w:rFonts w:ascii="Georgia" w:eastAsiaTheme="minorEastAsia" w:hAnsi="Georgia" w:cs="Arial"/>
          <w:color w:val="000000" w:themeColor="text1"/>
          <w:szCs w:val="20"/>
        </w:rPr>
        <w:t>1=</w:t>
      </w:r>
      <w:r w:rsidR="00E058FB">
        <w:rPr>
          <w:rFonts w:ascii="Georgia" w:eastAsiaTheme="minorEastAsia" w:hAnsi="Georgia" w:cs="Arial"/>
          <w:color w:val="000000" w:themeColor="text1"/>
          <w:szCs w:val="20"/>
        </w:rPr>
        <w:t>85.67</w:t>
      </w:r>
      <w:r w:rsidRPr="00D35C14">
        <w:rPr>
          <w:rFonts w:ascii="Georgia" w:eastAsiaTheme="minorEastAsia" w:hAnsi="Georgia" w:cs="Arial"/>
          <w:color w:val="000000" w:themeColor="text1"/>
          <w:szCs w:val="20"/>
        </w:rPr>
        <w:t>).</w:t>
      </w:r>
    </w:p>
    <w:p w14:paraId="3AD99F6E" w14:textId="77777777" w:rsidR="00B40059" w:rsidRDefault="00B40059">
      <w:pPr>
        <w:pStyle w:val="MDPI31text"/>
        <w:rPr>
          <w:rFonts w:ascii="Georgia" w:eastAsiaTheme="minorEastAsia" w:hAnsi="Georgia" w:cs="Arial"/>
          <w:color w:val="000000" w:themeColor="text1"/>
          <w:szCs w:val="20"/>
        </w:rPr>
      </w:pPr>
      <w:r w:rsidRPr="00D35C14">
        <w:rPr>
          <w:rFonts w:ascii="Georgia" w:eastAsiaTheme="minorEastAsia" w:hAnsi="Georgia" w:cs="Arial"/>
          <w:color w:val="000000" w:themeColor="text1"/>
          <w:szCs w:val="20"/>
        </w:rPr>
        <w:t xml:space="preserve">Quality time spent with guests may be affected by guests’ visitation experience, which likely depends on their impressions upon entering the unit, including visibility from the main entrance to the </w:t>
      </w:r>
      <w:r w:rsidR="00DA5238">
        <w:rPr>
          <w:rFonts w:ascii="Georgia" w:eastAsiaTheme="minorEastAsia" w:hAnsi="Georgia" w:cs="Arial"/>
          <w:color w:val="000000" w:themeColor="text1"/>
          <w:szCs w:val="20"/>
        </w:rPr>
        <w:t>formal public-rooms</w:t>
      </w:r>
      <w:r w:rsidR="00DA5238" w:rsidRPr="00D35C14">
        <w:rPr>
          <w:rFonts w:ascii="Georgia" w:eastAsiaTheme="minorEastAsia" w:hAnsi="Georgia" w:cs="Arial"/>
          <w:color w:val="000000" w:themeColor="text1"/>
          <w:szCs w:val="20"/>
        </w:rPr>
        <w:t xml:space="preserve"> </w:t>
      </w:r>
      <w:r w:rsidRPr="00D35C14">
        <w:rPr>
          <w:rFonts w:ascii="Georgia" w:eastAsiaTheme="minorEastAsia" w:hAnsi="Georgia" w:cs="Arial"/>
          <w:color w:val="000000" w:themeColor="text1"/>
          <w:szCs w:val="20"/>
        </w:rPr>
        <w:t>(plan#</w:t>
      </w:r>
      <w:r w:rsidR="00E22CE5">
        <w:rPr>
          <w:rFonts w:ascii="Georgia" w:eastAsiaTheme="minorEastAsia" w:hAnsi="Georgia" w:cs="Arial"/>
          <w:color w:val="000000" w:themeColor="text1"/>
          <w:szCs w:val="20"/>
        </w:rPr>
        <w:t>34</w:t>
      </w:r>
      <w:r w:rsidRPr="00D35C14">
        <w:rPr>
          <w:rFonts w:ascii="Georgia" w:eastAsiaTheme="minorEastAsia" w:hAnsi="Georgia" w:cs="Arial"/>
          <w:color w:val="000000" w:themeColor="text1"/>
          <w:szCs w:val="20"/>
        </w:rPr>
        <w:t>=0.</w:t>
      </w:r>
      <w:r w:rsidR="00E22CE5">
        <w:rPr>
          <w:rFonts w:ascii="Georgia" w:eastAsiaTheme="minorEastAsia" w:hAnsi="Georgia" w:cs="Arial"/>
          <w:color w:val="000000" w:themeColor="text1"/>
          <w:szCs w:val="20"/>
        </w:rPr>
        <w:t>62</w:t>
      </w:r>
      <w:r w:rsidRPr="00D35C14">
        <w:rPr>
          <w:rFonts w:ascii="Georgia" w:eastAsiaTheme="minorEastAsia" w:hAnsi="Georgia" w:cs="Arial"/>
          <w:color w:val="000000" w:themeColor="text1"/>
          <w:szCs w:val="20"/>
        </w:rPr>
        <w:t>&lt;plan#</w:t>
      </w:r>
      <w:r w:rsidR="00E22CE5">
        <w:rPr>
          <w:rFonts w:ascii="Georgia" w:eastAsiaTheme="minorEastAsia" w:hAnsi="Georgia" w:cs="Arial"/>
          <w:color w:val="000000" w:themeColor="text1"/>
          <w:szCs w:val="20"/>
        </w:rPr>
        <w:t>4</w:t>
      </w:r>
      <w:r w:rsidRPr="00D35C14">
        <w:rPr>
          <w:rFonts w:ascii="Georgia" w:eastAsiaTheme="minorEastAsia" w:hAnsi="Georgia" w:cs="Arial"/>
          <w:color w:val="000000" w:themeColor="text1"/>
          <w:szCs w:val="20"/>
        </w:rPr>
        <w:t>1=</w:t>
      </w:r>
      <w:r w:rsidR="00E22CE5">
        <w:rPr>
          <w:rFonts w:ascii="Georgia" w:eastAsiaTheme="minorEastAsia" w:hAnsi="Georgia" w:cs="Arial"/>
          <w:color w:val="000000" w:themeColor="text1"/>
          <w:szCs w:val="20"/>
        </w:rPr>
        <w:t>41.1</w:t>
      </w:r>
      <w:r w:rsidRPr="00D35C14">
        <w:rPr>
          <w:rFonts w:ascii="Georgia" w:eastAsiaTheme="minorEastAsia" w:hAnsi="Georgia" w:cs="Arial"/>
          <w:color w:val="000000" w:themeColor="text1"/>
          <w:szCs w:val="20"/>
        </w:rPr>
        <w:t>) and smell hazards next to the main entrance (both plan's garbage room is far from the main entrance). Visitation experience may also be affected by the availability to choose between different kinds of meeting places. Plan #</w:t>
      </w:r>
      <w:r w:rsidR="00E22CE5">
        <w:rPr>
          <w:rFonts w:ascii="Georgia" w:eastAsiaTheme="minorEastAsia" w:hAnsi="Georgia" w:cs="Arial"/>
          <w:color w:val="000000" w:themeColor="text1"/>
          <w:szCs w:val="20"/>
        </w:rPr>
        <w:t>41</w:t>
      </w:r>
      <w:r w:rsidRPr="00D35C14">
        <w:rPr>
          <w:rFonts w:ascii="Georgia" w:eastAsiaTheme="minorEastAsia" w:hAnsi="Georgia" w:cs="Arial"/>
          <w:color w:val="000000" w:themeColor="text1"/>
          <w:szCs w:val="20"/>
        </w:rPr>
        <w:t xml:space="preserve"> has</w:t>
      </w:r>
      <w:r w:rsidR="00E22CE5">
        <w:rPr>
          <w:rFonts w:ascii="Georgia" w:eastAsiaTheme="minorEastAsia" w:hAnsi="Georgia" w:cs="Arial"/>
          <w:color w:val="000000" w:themeColor="text1"/>
          <w:szCs w:val="20"/>
        </w:rPr>
        <w:t xml:space="preserve"> three</w:t>
      </w:r>
      <w:r w:rsidRPr="00D35C14">
        <w:rPr>
          <w:rFonts w:ascii="Georgia" w:eastAsiaTheme="minorEastAsia" w:hAnsi="Georgia" w:cs="Arial"/>
          <w:color w:val="000000" w:themeColor="text1"/>
          <w:szCs w:val="20"/>
        </w:rPr>
        <w:t xml:space="preserve"> balconies (plan#3</w:t>
      </w:r>
      <w:r w:rsidR="00E22CE5">
        <w:rPr>
          <w:rFonts w:ascii="Georgia" w:eastAsiaTheme="minorEastAsia" w:hAnsi="Georgia" w:cs="Arial"/>
          <w:color w:val="000000" w:themeColor="text1"/>
          <w:szCs w:val="20"/>
        </w:rPr>
        <w:t>4</w:t>
      </w:r>
      <w:r w:rsidRPr="00D35C14">
        <w:rPr>
          <w:rFonts w:ascii="Georgia" w:eastAsiaTheme="minorEastAsia" w:hAnsi="Georgia" w:cs="Arial"/>
          <w:color w:val="000000" w:themeColor="text1"/>
          <w:szCs w:val="20"/>
        </w:rPr>
        <w:t xml:space="preserve"> has </w:t>
      </w:r>
      <w:r w:rsidR="00E22CE5">
        <w:rPr>
          <w:rFonts w:ascii="Georgia" w:eastAsiaTheme="minorEastAsia" w:hAnsi="Georgia" w:cs="Arial"/>
          <w:color w:val="000000" w:themeColor="text1"/>
          <w:szCs w:val="20"/>
        </w:rPr>
        <w:t>no</w:t>
      </w:r>
      <w:r w:rsidRPr="00D35C14">
        <w:rPr>
          <w:rFonts w:ascii="Georgia" w:eastAsiaTheme="minorEastAsia" w:hAnsi="Georgia" w:cs="Arial"/>
          <w:color w:val="000000" w:themeColor="text1"/>
          <w:szCs w:val="20"/>
        </w:rPr>
        <w:t xml:space="preserve">ne) and one </w:t>
      </w:r>
      <w:r w:rsidR="00DA5238">
        <w:rPr>
          <w:rFonts w:ascii="Georgia" w:eastAsiaTheme="minorEastAsia" w:hAnsi="Georgia" w:cs="Arial"/>
          <w:color w:val="000000" w:themeColor="text1"/>
          <w:szCs w:val="20"/>
        </w:rPr>
        <w:t>formal public-room</w:t>
      </w:r>
      <w:r w:rsidRPr="00D35C14">
        <w:rPr>
          <w:rFonts w:ascii="Georgia" w:eastAsiaTheme="minorEastAsia" w:hAnsi="Georgia" w:cs="Arial"/>
          <w:color w:val="000000" w:themeColor="text1"/>
          <w:szCs w:val="20"/>
        </w:rPr>
        <w:t xml:space="preserve"> (plan #</w:t>
      </w:r>
      <w:r w:rsidR="00E22CE5">
        <w:rPr>
          <w:rFonts w:ascii="Georgia" w:eastAsiaTheme="minorEastAsia" w:hAnsi="Georgia" w:cs="Arial"/>
          <w:color w:val="000000" w:themeColor="text1"/>
          <w:szCs w:val="20"/>
        </w:rPr>
        <w:t>4</w:t>
      </w:r>
      <w:r w:rsidRPr="00D35C14">
        <w:rPr>
          <w:rFonts w:ascii="Georgia" w:eastAsiaTheme="minorEastAsia" w:hAnsi="Georgia" w:cs="Arial"/>
          <w:color w:val="000000" w:themeColor="text1"/>
          <w:szCs w:val="20"/>
        </w:rPr>
        <w:t>1 has two). In conclusion, plan #</w:t>
      </w:r>
      <w:r w:rsidR="00E22CE5">
        <w:rPr>
          <w:rFonts w:ascii="Georgia" w:eastAsiaTheme="minorEastAsia" w:hAnsi="Georgia" w:cs="Arial"/>
          <w:color w:val="000000" w:themeColor="text1"/>
          <w:szCs w:val="20"/>
        </w:rPr>
        <w:t>41</w:t>
      </w:r>
      <w:r w:rsidRPr="00D35C14">
        <w:rPr>
          <w:rFonts w:ascii="Georgia" w:eastAsiaTheme="minorEastAsia" w:hAnsi="Georgia" w:cs="Arial"/>
          <w:color w:val="000000" w:themeColor="text1"/>
          <w:szCs w:val="20"/>
        </w:rPr>
        <w:t xml:space="preserve"> provides better support for affection.</w:t>
      </w:r>
    </w:p>
    <w:p w14:paraId="49C61919" w14:textId="77777777" w:rsidR="00B40059" w:rsidRPr="00D35C14" w:rsidRDefault="00B40059" w:rsidP="00B40059">
      <w:pPr>
        <w:pStyle w:val="MDPI21heading1"/>
        <w:rPr>
          <w:rFonts w:ascii="Georgia" w:eastAsiaTheme="minorEastAsia" w:hAnsi="Georgia" w:cs="Arial"/>
          <w:color w:val="000000" w:themeColor="text1"/>
        </w:rPr>
      </w:pPr>
      <w:r w:rsidRPr="00D35C14">
        <w:rPr>
          <w:rFonts w:ascii="Georgia" w:eastAsiaTheme="minorEastAsia" w:hAnsi="Georgia" w:cs="Arial"/>
          <w:color w:val="000000" w:themeColor="text1"/>
        </w:rPr>
        <w:t>4. Discussion</w:t>
      </w:r>
    </w:p>
    <w:p w14:paraId="4FBDC1A0" w14:textId="77777777" w:rsidR="00B40059" w:rsidRPr="00D35C14" w:rsidRDefault="00B40059" w:rsidP="00B40059">
      <w:pPr>
        <w:pStyle w:val="MDPI21heading1"/>
        <w:spacing w:before="0" w:after="0"/>
        <w:ind w:firstLine="397"/>
        <w:jc w:val="both"/>
        <w:outlineLvl w:val="9"/>
        <w:rPr>
          <w:rFonts w:ascii="Georgia" w:eastAsiaTheme="minorEastAsia" w:hAnsi="Georgia" w:cs="Arial"/>
          <w:b w:val="0"/>
          <w:bCs/>
          <w:color w:val="000000" w:themeColor="text1"/>
          <w:szCs w:val="20"/>
          <w:lang w:eastAsia="zh-CN"/>
        </w:rPr>
      </w:pPr>
      <w:r w:rsidRPr="00D35C14">
        <w:rPr>
          <w:rFonts w:ascii="Georgia" w:eastAsiaTheme="minorEastAsia" w:hAnsi="Georgia" w:cs="Arial"/>
          <w:b w:val="0"/>
          <w:color w:val="000000" w:themeColor="text1"/>
          <w:szCs w:val="20"/>
        </w:rPr>
        <w:t>Building on the traditions established by environmental gerontologists, who see the</w:t>
      </w:r>
      <w:r w:rsidRPr="00D35C14">
        <w:rPr>
          <w:rFonts w:ascii="Georgia" w:eastAsiaTheme="minorEastAsia" w:hAnsi="Georgia" w:cs="Arial"/>
          <w:b w:val="0"/>
          <w:bCs/>
          <w:color w:val="000000" w:themeColor="text1"/>
          <w:szCs w:val="20"/>
          <w:lang w:eastAsia="zh-CN"/>
        </w:rPr>
        <w:t xml:space="preserve"> environment as a silent partner in supporting well-being in older adults, the current study sought to add to the existing knowledge. With a methodological analysis of 40 LTCF plans using the PSET tool, this study presented the ways in which plans that seem similar in shape and size actually can be quite different from one another, as in the L-shaped plans </w:t>
      </w:r>
      <w:r w:rsidRPr="00D35C14">
        <w:rPr>
          <w:rFonts w:ascii="Georgia" w:eastAsiaTheme="minorEastAsia" w:hAnsi="Georgia" w:cs="Arial"/>
          <w:b w:val="0"/>
          <w:bCs/>
          <w:color w:val="000000" w:themeColor="text1"/>
          <w:szCs w:val="20"/>
          <w:lang w:eastAsia="zh-CN"/>
        </w:rPr>
        <w:lastRenderedPageBreak/>
        <w:t>described above. The research demonstrated that, when planning LTCFs, a single</w:t>
      </w:r>
      <w:r w:rsidR="00E22CE5">
        <w:rPr>
          <w:rFonts w:ascii="Georgia" w:eastAsiaTheme="minorEastAsia" w:hAnsi="Georgia" w:cs="Arial"/>
          <w:b w:val="0"/>
          <w:bCs/>
          <w:color w:val="000000" w:themeColor="text1"/>
          <w:szCs w:val="20"/>
          <w:lang w:eastAsia="zh-CN"/>
        </w:rPr>
        <w:t xml:space="preserve"> physical layout </w:t>
      </w:r>
      <w:r w:rsidRPr="00D35C14">
        <w:rPr>
          <w:rFonts w:ascii="Georgia" w:eastAsiaTheme="minorEastAsia" w:hAnsi="Georgia" w:cs="Arial"/>
          <w:b w:val="0"/>
          <w:bCs/>
          <w:color w:val="000000" w:themeColor="text1"/>
          <w:szCs w:val="20"/>
          <w:lang w:eastAsia="zh-CN"/>
        </w:rPr>
        <w:t>variable cannot predict the environment’s support of well-being. In order to maximize the ways in which a</w:t>
      </w:r>
      <w:r w:rsidR="00E22CE5">
        <w:rPr>
          <w:rFonts w:ascii="Georgia" w:eastAsiaTheme="minorEastAsia" w:hAnsi="Georgia" w:cs="Arial"/>
          <w:b w:val="0"/>
          <w:bCs/>
          <w:color w:val="000000" w:themeColor="text1"/>
          <w:szCs w:val="20"/>
          <w:lang w:eastAsia="zh-CN"/>
        </w:rPr>
        <w:t xml:space="preserve"> physical layout </w:t>
      </w:r>
      <w:r w:rsidRPr="00D35C14">
        <w:rPr>
          <w:rFonts w:ascii="Georgia" w:eastAsiaTheme="minorEastAsia" w:hAnsi="Georgia" w:cs="Arial"/>
          <w:b w:val="0"/>
          <w:bCs/>
          <w:color w:val="000000" w:themeColor="text1"/>
          <w:szCs w:val="20"/>
          <w:lang w:eastAsia="zh-CN"/>
        </w:rPr>
        <w:t>can support residents in achieving the desired well-being, there is a need to evaluate all variables as a symbiotic bank of well-being resources. The current research brings empirical evidence into an area that has been predominantly ruled by architects’ intuition combined with institutional or governmental codes.</w:t>
      </w:r>
    </w:p>
    <w:p w14:paraId="3DBA0665" w14:textId="77777777" w:rsidR="00B40059" w:rsidRPr="00D35C14" w:rsidRDefault="00B40059" w:rsidP="00B40059">
      <w:pPr>
        <w:pStyle w:val="MDPI21heading1"/>
        <w:rPr>
          <w:rFonts w:ascii="Georgia" w:eastAsiaTheme="minorEastAsia" w:hAnsi="Georgia" w:cs="Arial"/>
          <w:color w:val="000000" w:themeColor="text1"/>
        </w:rPr>
      </w:pPr>
      <w:r w:rsidRPr="00D35C14">
        <w:rPr>
          <w:rFonts w:ascii="Georgia" w:eastAsiaTheme="minorEastAsia" w:hAnsi="Georgia" w:cs="Arial"/>
          <w:color w:val="000000" w:themeColor="text1"/>
        </w:rPr>
        <w:t>5. Conclusions</w:t>
      </w:r>
    </w:p>
    <w:p w14:paraId="2494206B" w14:textId="34170D60" w:rsidR="00B40059" w:rsidRPr="00D35C14" w:rsidRDefault="00B40059" w:rsidP="00D20063">
      <w:pPr>
        <w:pStyle w:val="MDPI21heading1"/>
        <w:spacing w:before="0" w:after="0"/>
        <w:ind w:firstLine="425"/>
        <w:jc w:val="both"/>
        <w:outlineLvl w:val="9"/>
        <w:rPr>
          <w:rFonts w:ascii="Georgia" w:eastAsiaTheme="minorEastAsia" w:hAnsi="Georgia" w:cs="Arial"/>
          <w:b w:val="0"/>
          <w:bCs/>
          <w:color w:val="000000" w:themeColor="text1"/>
          <w:szCs w:val="20"/>
          <w:lang w:eastAsia="zh-CN"/>
        </w:rPr>
      </w:pPr>
      <w:r w:rsidRPr="00D35C14">
        <w:rPr>
          <w:rFonts w:ascii="Georgia" w:eastAsiaTheme="minorEastAsia" w:hAnsi="Georgia" w:cs="Arial"/>
          <w:b w:val="0"/>
          <w:color w:val="000000" w:themeColor="text1"/>
          <w:szCs w:val="20"/>
        </w:rPr>
        <w:t>The fact that individual</w:t>
      </w:r>
      <w:r w:rsidR="00E22CE5">
        <w:rPr>
          <w:rFonts w:ascii="Georgia" w:eastAsiaTheme="minorEastAsia" w:hAnsi="Georgia" w:cs="Arial"/>
          <w:b w:val="0"/>
          <w:color w:val="000000" w:themeColor="text1"/>
          <w:szCs w:val="20"/>
        </w:rPr>
        <w:t xml:space="preserve"> physical layout </w:t>
      </w:r>
      <w:r w:rsidRPr="00D35C14">
        <w:rPr>
          <w:rFonts w:ascii="Georgia" w:eastAsiaTheme="minorEastAsia" w:hAnsi="Georgia" w:cs="Arial"/>
          <w:b w:val="0"/>
          <w:color w:val="000000" w:themeColor="text1"/>
          <w:szCs w:val="20"/>
        </w:rPr>
        <w:t xml:space="preserve">variables cannot predict the </w:t>
      </w:r>
      <w:r w:rsidR="00D20063" w:rsidRPr="00D20063">
        <w:rPr>
          <w:rFonts w:ascii="Georgia" w:eastAsiaTheme="minorEastAsia" w:hAnsi="Georgia" w:cs="Arial"/>
          <w:b w:val="0"/>
          <w:bCs/>
          <w:color w:val="000000" w:themeColor="text1"/>
          <w:szCs w:val="20"/>
        </w:rPr>
        <w:t>physical layouts'</w:t>
      </w:r>
      <w:r w:rsidRPr="00D20063">
        <w:rPr>
          <w:rFonts w:ascii="Georgia" w:eastAsiaTheme="minorEastAsia" w:hAnsi="Georgia" w:cs="Arial"/>
          <w:b w:val="0"/>
          <w:bCs/>
          <w:color w:val="000000" w:themeColor="text1"/>
          <w:szCs w:val="20"/>
        </w:rPr>
        <w:t xml:space="preserve"> support of well-being </w:t>
      </w:r>
      <w:r w:rsidR="00A50421">
        <w:rPr>
          <w:rFonts w:ascii="Georgia" w:eastAsiaTheme="minorEastAsia" w:hAnsi="Georgia" w:cs="Arial"/>
          <w:b w:val="0"/>
          <w:bCs/>
          <w:color w:val="000000" w:themeColor="text1"/>
          <w:szCs w:val="20"/>
        </w:rPr>
        <w:t>highlights</w:t>
      </w:r>
      <w:r w:rsidR="00A50421" w:rsidRPr="00D20063">
        <w:rPr>
          <w:rFonts w:ascii="Georgia" w:eastAsiaTheme="minorEastAsia" w:hAnsi="Georgia" w:cs="Arial"/>
          <w:b w:val="0"/>
          <w:bCs/>
          <w:color w:val="000000" w:themeColor="text1"/>
          <w:szCs w:val="20"/>
          <w:lang w:eastAsia="zh-CN"/>
        </w:rPr>
        <w:t xml:space="preserve"> </w:t>
      </w:r>
      <w:r w:rsidRPr="00D20063">
        <w:rPr>
          <w:rFonts w:ascii="Georgia" w:eastAsiaTheme="minorEastAsia" w:hAnsi="Georgia" w:cs="Arial"/>
          <w:b w:val="0"/>
          <w:bCs/>
          <w:color w:val="000000" w:themeColor="text1"/>
          <w:szCs w:val="20"/>
          <w:lang w:eastAsia="zh-CN"/>
        </w:rPr>
        <w:t>the need to use quantitative research tools to</w:t>
      </w:r>
      <w:r w:rsidRPr="00D35C14">
        <w:rPr>
          <w:rFonts w:ascii="Georgia" w:eastAsiaTheme="minorEastAsia" w:hAnsi="Georgia" w:cs="Arial"/>
          <w:b w:val="0"/>
          <w:bCs/>
          <w:color w:val="000000" w:themeColor="text1"/>
          <w:szCs w:val="20"/>
          <w:lang w:eastAsia="zh-CN"/>
        </w:rPr>
        <w:t xml:space="preserve"> examine a unit’s bank of resources and deficiencies throughout </w:t>
      </w:r>
      <w:r w:rsidR="00A50421">
        <w:rPr>
          <w:rFonts w:ascii="Georgia" w:eastAsiaTheme="minorEastAsia" w:hAnsi="Georgia" w:cs="Arial"/>
          <w:b w:val="0"/>
          <w:bCs/>
          <w:color w:val="000000" w:themeColor="text1"/>
          <w:szCs w:val="20"/>
          <w:lang w:eastAsia="zh-CN"/>
        </w:rPr>
        <w:t>different</w:t>
      </w:r>
      <w:r w:rsidR="00A50421" w:rsidRPr="00D35C14">
        <w:rPr>
          <w:rFonts w:ascii="Georgia" w:eastAsiaTheme="minorEastAsia" w:hAnsi="Georgia" w:cs="Arial"/>
          <w:b w:val="0"/>
          <w:bCs/>
          <w:color w:val="000000" w:themeColor="text1"/>
          <w:szCs w:val="20"/>
          <w:lang w:eastAsia="zh-CN"/>
        </w:rPr>
        <w:t xml:space="preserve"> </w:t>
      </w:r>
      <w:r w:rsidRPr="00D35C14">
        <w:rPr>
          <w:rFonts w:ascii="Georgia" w:eastAsiaTheme="minorEastAsia" w:hAnsi="Georgia" w:cs="Arial"/>
          <w:b w:val="0"/>
          <w:bCs/>
          <w:color w:val="000000" w:themeColor="text1"/>
          <w:szCs w:val="20"/>
          <w:lang w:eastAsia="zh-CN"/>
        </w:rPr>
        <w:t>planning stages. Based on outcomes from using these tools, future research can focus on complementary solutions to compensate for deficiencies in each domain, especially when upgrading existing facilities. Solutions may include, for example, small building changes (e.g., relocating the garbage room, or building a visual partition), interior design changes (e.g., adding elements that make orientation easier and support stimulation), or changes in workplace policies. Such research would benefit long-term care residents and staff, as well as the general population of older adults.</w:t>
      </w:r>
    </w:p>
    <w:p w14:paraId="61AC6689" w14:textId="77777777" w:rsidR="00B40059" w:rsidRPr="00D35C14" w:rsidRDefault="00B40059" w:rsidP="00B40059">
      <w:pPr>
        <w:pStyle w:val="MDPI31text"/>
        <w:rPr>
          <w:rFonts w:ascii="Georgia" w:eastAsiaTheme="minorEastAsia" w:hAnsi="Georgia" w:cs="Arial"/>
          <w:color w:val="000000" w:themeColor="text1"/>
        </w:rPr>
      </w:pPr>
      <w:r w:rsidRPr="00D35C14">
        <w:rPr>
          <w:rFonts w:ascii="Georgia" w:eastAsiaTheme="minorEastAsia" w:hAnsi="Georgia" w:cs="Arial"/>
          <w:color w:val="000000" w:themeColor="text1"/>
        </w:rPr>
        <w:t>.</w:t>
      </w:r>
    </w:p>
    <w:p w14:paraId="2DE6826B" w14:textId="77777777" w:rsidR="00B40059" w:rsidRPr="00D35C14" w:rsidRDefault="00B40059" w:rsidP="00B40059">
      <w:pPr>
        <w:pStyle w:val="MDPI31text"/>
        <w:rPr>
          <w:rFonts w:ascii="Georgia" w:eastAsiaTheme="minorEastAsia" w:hAnsi="Georgia" w:cs="Arial"/>
          <w:color w:val="000000" w:themeColor="text1"/>
        </w:rPr>
      </w:pPr>
    </w:p>
    <w:p w14:paraId="7F2604E1" w14:textId="77777777" w:rsidR="00B40059" w:rsidRPr="00D35C14" w:rsidRDefault="00B40059" w:rsidP="00B40059">
      <w:pPr>
        <w:pStyle w:val="MDPI62BackMatter"/>
        <w:rPr>
          <w:rFonts w:ascii="Georgia" w:eastAsiaTheme="minorEastAsia" w:hAnsi="Georgia" w:cs="Arial"/>
          <w:color w:val="000000" w:themeColor="text1"/>
        </w:rPr>
      </w:pPr>
      <w:r w:rsidRPr="00D35C14">
        <w:rPr>
          <w:rFonts w:ascii="Georgia" w:eastAsiaTheme="minorEastAsia" w:hAnsi="Georgia" w:cs="Arial"/>
          <w:b/>
          <w:color w:val="000000" w:themeColor="text1"/>
        </w:rPr>
        <w:t>Contributor statement</w:t>
      </w:r>
      <w:r w:rsidRPr="00D35C14">
        <w:rPr>
          <w:rFonts w:ascii="Georgia" w:eastAsiaTheme="minorEastAsia" w:hAnsi="Georgia" w:cs="Arial"/>
          <w:color w:val="000000" w:themeColor="text1"/>
        </w:rPr>
        <w:t xml:space="preserve"> </w:t>
      </w:r>
    </w:p>
    <w:p w14:paraId="70962CE9" w14:textId="77777777" w:rsidR="00B40059" w:rsidRPr="00D35C14" w:rsidRDefault="00B40059" w:rsidP="00B40059">
      <w:pPr>
        <w:pStyle w:val="MDPI62BackMatter"/>
        <w:spacing w:after="0"/>
        <w:jc w:val="left"/>
        <w:rPr>
          <w:rFonts w:ascii="Georgia" w:eastAsiaTheme="minorEastAsia" w:hAnsi="Georgia" w:cs="Arial"/>
          <w:color w:val="000000" w:themeColor="text1"/>
          <w:sz w:val="20"/>
          <w:lang w:eastAsia="de-DE"/>
        </w:rPr>
      </w:pPr>
      <w:r w:rsidRPr="00D35C14">
        <w:rPr>
          <w:rFonts w:ascii="Georgia" w:eastAsiaTheme="minorEastAsia" w:hAnsi="Georgia" w:cs="Arial"/>
          <w:color w:val="000000" w:themeColor="text1"/>
          <w:sz w:val="20"/>
          <w:lang w:eastAsia="de-DE"/>
        </w:rPr>
        <w:t xml:space="preserve">The authors confirm contribution to the paper as follows </w:t>
      </w:r>
    </w:p>
    <w:p w14:paraId="4C45EC8A" w14:textId="77777777" w:rsidR="00B40059" w:rsidRPr="00D35C14" w:rsidRDefault="00B40059" w:rsidP="00B40059">
      <w:pPr>
        <w:pStyle w:val="MDPI62BackMatter"/>
        <w:spacing w:after="0"/>
        <w:jc w:val="left"/>
        <w:rPr>
          <w:rFonts w:ascii="Georgia" w:eastAsiaTheme="minorEastAsia" w:hAnsi="Georgia" w:cs="Arial"/>
          <w:color w:val="000000" w:themeColor="text1"/>
          <w:sz w:val="20"/>
          <w:lang w:eastAsia="de-DE"/>
        </w:rPr>
      </w:pPr>
      <w:r w:rsidRPr="00D35C14">
        <w:rPr>
          <w:rFonts w:ascii="Georgia" w:eastAsiaTheme="minorEastAsia" w:hAnsi="Georgia" w:cs="Arial"/>
          <w:color w:val="000000" w:themeColor="text1"/>
          <w:sz w:val="20"/>
          <w:lang w:eastAsia="de-DE"/>
        </w:rPr>
        <w:t xml:space="preserve">Y. Rom and M. Isaacson: study conception and design </w:t>
      </w:r>
    </w:p>
    <w:p w14:paraId="31905AC0" w14:textId="77777777" w:rsidR="00B40059" w:rsidRPr="00D35C14" w:rsidRDefault="00B40059" w:rsidP="00B40059">
      <w:pPr>
        <w:pStyle w:val="MDPI62BackMatter"/>
        <w:spacing w:after="0"/>
        <w:jc w:val="left"/>
        <w:rPr>
          <w:rFonts w:ascii="Georgia" w:eastAsiaTheme="minorEastAsia" w:hAnsi="Georgia" w:cs="Arial"/>
          <w:color w:val="000000" w:themeColor="text1"/>
          <w:sz w:val="20"/>
          <w:lang w:eastAsia="de-DE"/>
        </w:rPr>
      </w:pPr>
      <w:r w:rsidRPr="00D35C14">
        <w:rPr>
          <w:rFonts w:ascii="Georgia" w:eastAsiaTheme="minorEastAsia" w:hAnsi="Georgia" w:cs="Arial"/>
          <w:color w:val="000000" w:themeColor="text1"/>
          <w:sz w:val="20"/>
          <w:lang w:eastAsia="de-DE"/>
        </w:rPr>
        <w:t xml:space="preserve">Y. Rom and E. Greenberg: data collection </w:t>
      </w:r>
    </w:p>
    <w:p w14:paraId="09F651D1" w14:textId="77777777" w:rsidR="00B40059" w:rsidRPr="00D35C14" w:rsidRDefault="00B40059" w:rsidP="00B40059">
      <w:pPr>
        <w:pStyle w:val="MDPI62BackMatter"/>
        <w:spacing w:after="0"/>
        <w:jc w:val="left"/>
        <w:rPr>
          <w:rFonts w:ascii="Georgia" w:eastAsiaTheme="minorEastAsia" w:hAnsi="Georgia" w:cs="Arial"/>
          <w:color w:val="000000" w:themeColor="text1"/>
          <w:sz w:val="20"/>
          <w:lang w:eastAsia="de-DE"/>
        </w:rPr>
      </w:pPr>
      <w:r w:rsidRPr="00D35C14">
        <w:rPr>
          <w:rFonts w:ascii="Georgia" w:eastAsiaTheme="minorEastAsia" w:hAnsi="Georgia" w:cs="Arial"/>
          <w:color w:val="000000" w:themeColor="text1"/>
          <w:sz w:val="20"/>
          <w:lang w:eastAsia="de-DE"/>
        </w:rPr>
        <w:t xml:space="preserve">Y. Rom and M. Isaacson: analysis and interpretation of results: </w:t>
      </w:r>
    </w:p>
    <w:p w14:paraId="49AD7F24" w14:textId="77777777" w:rsidR="00B40059" w:rsidRPr="00D35C14" w:rsidRDefault="00B40059" w:rsidP="00B40059">
      <w:pPr>
        <w:pStyle w:val="MDPI62BackMatter"/>
        <w:spacing w:after="0"/>
        <w:jc w:val="left"/>
        <w:rPr>
          <w:rFonts w:ascii="Georgia" w:eastAsiaTheme="minorEastAsia" w:hAnsi="Georgia" w:cs="Arial"/>
          <w:color w:val="000000" w:themeColor="text1"/>
          <w:sz w:val="20"/>
          <w:lang w:eastAsia="de-DE"/>
        </w:rPr>
      </w:pPr>
      <w:r w:rsidRPr="00D35C14">
        <w:rPr>
          <w:rFonts w:ascii="Georgia" w:eastAsiaTheme="minorEastAsia" w:hAnsi="Georgia" w:cs="Arial"/>
          <w:color w:val="000000" w:themeColor="text1"/>
          <w:sz w:val="20"/>
          <w:lang w:eastAsia="de-DE"/>
        </w:rPr>
        <w:t>Y. Rom: draft manuscript preparation</w:t>
      </w:r>
    </w:p>
    <w:p w14:paraId="1FF3551B" w14:textId="77777777" w:rsidR="00B40059" w:rsidRDefault="00B40059" w:rsidP="00B40059">
      <w:pPr>
        <w:pStyle w:val="MDPI62BackMatter"/>
        <w:spacing w:after="0"/>
        <w:jc w:val="left"/>
        <w:rPr>
          <w:rFonts w:ascii="Georgia" w:eastAsiaTheme="minorEastAsia" w:hAnsi="Georgia" w:cs="Arial"/>
          <w:color w:val="000000" w:themeColor="text1"/>
          <w:sz w:val="20"/>
          <w:lang w:eastAsia="de-DE"/>
        </w:rPr>
      </w:pPr>
      <w:r w:rsidRPr="00D35C14">
        <w:rPr>
          <w:rFonts w:ascii="Georgia" w:eastAsiaTheme="minorEastAsia" w:hAnsi="Georgia" w:cs="Arial"/>
          <w:color w:val="000000" w:themeColor="text1"/>
          <w:sz w:val="20"/>
          <w:lang w:eastAsia="de-DE"/>
        </w:rPr>
        <w:t>Y. Rom, Y. Palgi, E. Greenberg, and M. Isaacson reviewed the results and approved the final version of the manuscript.</w:t>
      </w:r>
    </w:p>
    <w:p w14:paraId="5514BC28" w14:textId="77777777" w:rsidR="00B40059" w:rsidRDefault="00B40059" w:rsidP="00B40059">
      <w:pPr>
        <w:pStyle w:val="MDPI62BackMatter"/>
        <w:spacing w:after="0"/>
        <w:jc w:val="left"/>
        <w:rPr>
          <w:rFonts w:ascii="Georgia" w:eastAsiaTheme="minorEastAsia" w:hAnsi="Georgia" w:cs="Arial"/>
          <w:color w:val="000000" w:themeColor="text1"/>
          <w:sz w:val="20"/>
          <w:lang w:eastAsia="de-DE"/>
        </w:rPr>
      </w:pPr>
    </w:p>
    <w:p w14:paraId="17833216" w14:textId="77777777" w:rsidR="00B40059" w:rsidRDefault="00B40059" w:rsidP="00B40059">
      <w:pPr>
        <w:pStyle w:val="MDPI62BackMatter"/>
        <w:spacing w:after="0"/>
        <w:jc w:val="left"/>
        <w:rPr>
          <w:rFonts w:ascii="Georgia" w:eastAsiaTheme="minorEastAsia" w:hAnsi="Georgia" w:cs="Arial"/>
          <w:b/>
          <w:color w:val="000000" w:themeColor="text1"/>
          <w:sz w:val="20"/>
          <w:szCs w:val="22"/>
          <w:lang w:eastAsia="de-DE"/>
        </w:rPr>
      </w:pPr>
    </w:p>
    <w:p w14:paraId="1F252A85" w14:textId="77777777" w:rsidR="00B40059" w:rsidRDefault="00B40059" w:rsidP="00B40059">
      <w:pPr>
        <w:pStyle w:val="phd1"/>
        <w:rPr>
          <w:rFonts w:asciiTheme="minorBidi" w:hAnsiTheme="minorBidi" w:cstheme="minorBidi"/>
          <w:sz w:val="24"/>
          <w:szCs w:val="24"/>
        </w:rPr>
      </w:pPr>
    </w:p>
    <w:p w14:paraId="6FDCF074" w14:textId="77777777" w:rsidR="00B40059" w:rsidRDefault="00B40059" w:rsidP="00B40059">
      <w:pPr>
        <w:pStyle w:val="MDPI21heading1"/>
        <w:ind w:left="0"/>
        <w:rPr>
          <w:rFonts w:ascii="Georgia" w:eastAsiaTheme="minorEastAsia" w:hAnsi="Georgia" w:cs="Arial"/>
        </w:rPr>
      </w:pPr>
      <w:r w:rsidRPr="004F2BEA">
        <w:rPr>
          <w:rFonts w:ascii="Georgia" w:eastAsiaTheme="minorEastAsia" w:hAnsi="Georgia" w:cs="Arial"/>
        </w:rPr>
        <w:t>References</w:t>
      </w:r>
    </w:p>
    <w:p w14:paraId="0A017E91" w14:textId="77777777" w:rsidR="00B40059" w:rsidRDefault="00B40059" w:rsidP="00B40059">
      <w:pPr>
        <w:pStyle w:val="MDPI21heading1"/>
        <w:ind w:left="0"/>
        <w:rPr>
          <w:rFonts w:ascii="Georgia" w:eastAsiaTheme="minorEastAsia" w:hAnsi="Georgia" w:cs="Arial"/>
        </w:rPr>
      </w:pPr>
    </w:p>
    <w:p w14:paraId="76612DDB" w14:textId="77777777" w:rsidR="00B40059" w:rsidRPr="00900164" w:rsidRDefault="00B40059" w:rsidP="00CD7F97">
      <w:pPr>
        <w:widowControl w:val="0"/>
        <w:autoSpaceDE w:val="0"/>
        <w:autoSpaceDN w:val="0"/>
        <w:adjustRightInd w:val="0"/>
        <w:spacing w:line="240" w:lineRule="auto"/>
        <w:ind w:left="480" w:hanging="480"/>
        <w:jc w:val="left"/>
        <w:rPr>
          <w:rFonts w:ascii="Georgia" w:hAnsi="Georgia" w:cstheme="minorBidi"/>
          <w:sz w:val="18"/>
          <w:szCs w:val="22"/>
        </w:rPr>
      </w:pPr>
      <w:r w:rsidRPr="00900164">
        <w:rPr>
          <w:rFonts w:ascii="Georgia" w:hAnsi="Georgia" w:cstheme="minorBidi"/>
          <w:sz w:val="18"/>
          <w:szCs w:val="18"/>
        </w:rPr>
        <w:fldChar w:fldCharType="begin" w:fldLock="1"/>
      </w:r>
      <w:r w:rsidRPr="00900164">
        <w:rPr>
          <w:rFonts w:ascii="Georgia" w:hAnsi="Georgia" w:cstheme="minorBidi"/>
          <w:sz w:val="18"/>
          <w:szCs w:val="18"/>
        </w:rPr>
        <w:instrText xml:space="preserve">ADDIN Mendeley Bibliography CSL_BIBLIOGRAPHY </w:instrText>
      </w:r>
      <w:r w:rsidRPr="00900164">
        <w:rPr>
          <w:rFonts w:ascii="Georgia" w:hAnsi="Georgia" w:cstheme="minorBidi"/>
          <w:sz w:val="18"/>
          <w:szCs w:val="18"/>
        </w:rPr>
        <w:fldChar w:fldCharType="separate"/>
      </w:r>
      <w:r w:rsidRPr="00900164">
        <w:rPr>
          <w:rFonts w:ascii="Georgia" w:hAnsi="Georgia" w:cstheme="minorBidi"/>
          <w:sz w:val="18"/>
          <w:szCs w:val="22"/>
        </w:rPr>
        <w:t xml:space="preserve">Alborz, A. (2017). The Nature of Quality of Life: A Conceptual Model to Inform Assessment. </w:t>
      </w:r>
      <w:r w:rsidRPr="00900164">
        <w:rPr>
          <w:rFonts w:ascii="Georgia" w:hAnsi="Georgia" w:cstheme="minorBidi"/>
          <w:i/>
          <w:iCs/>
          <w:sz w:val="18"/>
          <w:szCs w:val="22"/>
        </w:rPr>
        <w:t>Journal of Policy and Practice in Intellectual Disabilities</w:t>
      </w:r>
      <w:r w:rsidRPr="00900164">
        <w:rPr>
          <w:rFonts w:ascii="Georgia" w:hAnsi="Georgia" w:cstheme="minorBidi"/>
          <w:sz w:val="18"/>
          <w:szCs w:val="22"/>
        </w:rPr>
        <w:t xml:space="preserve">, </w:t>
      </w:r>
      <w:r w:rsidRPr="00900164">
        <w:rPr>
          <w:rFonts w:ascii="Georgia" w:hAnsi="Georgia" w:cstheme="minorBidi"/>
          <w:i/>
          <w:iCs/>
          <w:sz w:val="18"/>
          <w:szCs w:val="22"/>
        </w:rPr>
        <w:t>14</w:t>
      </w:r>
      <w:r w:rsidRPr="00900164">
        <w:rPr>
          <w:rFonts w:ascii="Georgia" w:hAnsi="Georgia" w:cstheme="minorBidi"/>
          <w:sz w:val="18"/>
          <w:szCs w:val="22"/>
        </w:rPr>
        <w:t>(1), 15–30. https://doi.org/10.1111/jppi.12225</w:t>
      </w:r>
    </w:p>
    <w:p w14:paraId="092918B5" w14:textId="77777777" w:rsidR="00B40059" w:rsidRPr="00900164" w:rsidRDefault="00B40059" w:rsidP="00CD7F97">
      <w:pPr>
        <w:widowControl w:val="0"/>
        <w:autoSpaceDE w:val="0"/>
        <w:autoSpaceDN w:val="0"/>
        <w:adjustRightInd w:val="0"/>
        <w:spacing w:line="240" w:lineRule="auto"/>
        <w:ind w:left="480" w:hanging="480"/>
        <w:jc w:val="left"/>
        <w:rPr>
          <w:rFonts w:ascii="Georgia" w:hAnsi="Georgia" w:cstheme="minorBidi"/>
          <w:sz w:val="18"/>
          <w:szCs w:val="22"/>
        </w:rPr>
      </w:pPr>
      <w:r w:rsidRPr="00900164">
        <w:rPr>
          <w:rFonts w:ascii="Georgia" w:hAnsi="Georgia" w:cstheme="minorBidi"/>
          <w:sz w:val="18"/>
          <w:szCs w:val="22"/>
        </w:rPr>
        <w:t xml:space="preserve">Bafna, S. (2003). Space syntax: A brief introduction to its logic and analytical techniques. </w:t>
      </w:r>
      <w:r w:rsidRPr="00900164">
        <w:rPr>
          <w:rFonts w:ascii="Georgia" w:hAnsi="Georgia" w:cstheme="minorBidi"/>
          <w:i/>
          <w:iCs/>
          <w:sz w:val="18"/>
          <w:szCs w:val="22"/>
        </w:rPr>
        <w:t>Environment and Behavior</w:t>
      </w:r>
      <w:r w:rsidRPr="00900164">
        <w:rPr>
          <w:rFonts w:ascii="Georgia" w:hAnsi="Georgia" w:cstheme="minorBidi"/>
          <w:sz w:val="18"/>
          <w:szCs w:val="22"/>
        </w:rPr>
        <w:t xml:space="preserve">, </w:t>
      </w:r>
      <w:r w:rsidRPr="00900164">
        <w:rPr>
          <w:rFonts w:ascii="Georgia" w:hAnsi="Georgia" w:cstheme="minorBidi"/>
          <w:i/>
          <w:iCs/>
          <w:sz w:val="18"/>
          <w:szCs w:val="22"/>
        </w:rPr>
        <w:t>35</w:t>
      </w:r>
      <w:r w:rsidRPr="00900164">
        <w:rPr>
          <w:rFonts w:ascii="Georgia" w:hAnsi="Georgia" w:cstheme="minorBidi"/>
          <w:sz w:val="18"/>
          <w:szCs w:val="22"/>
        </w:rPr>
        <w:t>(1), 17–29. https://doi.org/10.1177/0013916502238863</w:t>
      </w:r>
    </w:p>
    <w:p w14:paraId="08A58BD5" w14:textId="77777777" w:rsidR="00B40059" w:rsidRPr="00900164" w:rsidRDefault="00B40059" w:rsidP="00CD7F97">
      <w:pPr>
        <w:widowControl w:val="0"/>
        <w:autoSpaceDE w:val="0"/>
        <w:autoSpaceDN w:val="0"/>
        <w:adjustRightInd w:val="0"/>
        <w:spacing w:line="240" w:lineRule="auto"/>
        <w:ind w:left="480" w:hanging="480"/>
        <w:jc w:val="left"/>
        <w:rPr>
          <w:rFonts w:ascii="Georgia" w:hAnsi="Georgia" w:cstheme="minorBidi"/>
          <w:sz w:val="18"/>
          <w:szCs w:val="22"/>
        </w:rPr>
      </w:pPr>
      <w:r w:rsidRPr="00900164">
        <w:rPr>
          <w:rFonts w:ascii="Georgia" w:hAnsi="Georgia" w:cstheme="minorBidi"/>
          <w:sz w:val="18"/>
          <w:szCs w:val="22"/>
        </w:rPr>
        <w:t xml:space="preserve">Becker, F. (2007). Nursing unit design and communication patterns: what is “real” work? </w:t>
      </w:r>
      <w:r w:rsidRPr="00900164">
        <w:rPr>
          <w:rFonts w:ascii="Georgia" w:hAnsi="Georgia" w:cstheme="minorBidi"/>
          <w:i/>
          <w:iCs/>
          <w:sz w:val="18"/>
          <w:szCs w:val="22"/>
        </w:rPr>
        <w:t>Herd</w:t>
      </w:r>
      <w:r w:rsidRPr="00900164">
        <w:rPr>
          <w:rFonts w:ascii="Georgia" w:hAnsi="Georgia" w:cstheme="minorBidi"/>
          <w:sz w:val="18"/>
          <w:szCs w:val="22"/>
        </w:rPr>
        <w:t xml:space="preserve">, </w:t>
      </w:r>
      <w:r w:rsidRPr="00900164">
        <w:rPr>
          <w:rFonts w:ascii="Georgia" w:hAnsi="Georgia" w:cstheme="minorBidi"/>
          <w:i/>
          <w:iCs/>
          <w:sz w:val="18"/>
          <w:szCs w:val="22"/>
        </w:rPr>
        <w:t>1</w:t>
      </w:r>
      <w:r w:rsidRPr="00900164">
        <w:rPr>
          <w:rFonts w:ascii="Georgia" w:hAnsi="Georgia" w:cstheme="minorBidi"/>
          <w:sz w:val="18"/>
          <w:szCs w:val="22"/>
        </w:rPr>
        <w:t>(1), 58–62. https://doi.org/10.1177/193758670700100115</w:t>
      </w:r>
    </w:p>
    <w:p w14:paraId="51F22712" w14:textId="77777777" w:rsidR="00B40059" w:rsidRPr="00900164" w:rsidRDefault="00B40059" w:rsidP="00CD7F97">
      <w:pPr>
        <w:widowControl w:val="0"/>
        <w:autoSpaceDE w:val="0"/>
        <w:autoSpaceDN w:val="0"/>
        <w:adjustRightInd w:val="0"/>
        <w:spacing w:line="240" w:lineRule="auto"/>
        <w:ind w:left="480" w:hanging="480"/>
        <w:jc w:val="left"/>
        <w:rPr>
          <w:rFonts w:ascii="Georgia" w:hAnsi="Georgia" w:cstheme="minorBidi"/>
          <w:sz w:val="18"/>
          <w:szCs w:val="22"/>
        </w:rPr>
      </w:pPr>
      <w:r w:rsidRPr="00900164">
        <w:rPr>
          <w:rFonts w:ascii="Georgia" w:hAnsi="Georgia" w:cstheme="minorBidi"/>
          <w:sz w:val="18"/>
          <w:szCs w:val="22"/>
        </w:rPr>
        <w:t>Bowes, A., Dawson, A. (2019). Designing environments for people with dementia (first edit). emerald Publishing Limited Howard House, Wagon Lane, Bingley BD16 1WA, UK.</w:t>
      </w:r>
    </w:p>
    <w:p w14:paraId="51D1BC53" w14:textId="77777777" w:rsidR="00B40059" w:rsidRPr="00900164" w:rsidRDefault="00B40059" w:rsidP="00CD7F97">
      <w:pPr>
        <w:widowControl w:val="0"/>
        <w:autoSpaceDE w:val="0"/>
        <w:autoSpaceDN w:val="0"/>
        <w:adjustRightInd w:val="0"/>
        <w:spacing w:line="240" w:lineRule="auto"/>
        <w:ind w:left="480" w:hanging="480"/>
        <w:jc w:val="left"/>
        <w:rPr>
          <w:rFonts w:ascii="Georgia" w:hAnsi="Georgia" w:cstheme="minorBidi"/>
          <w:sz w:val="18"/>
          <w:szCs w:val="22"/>
        </w:rPr>
      </w:pPr>
      <w:r w:rsidRPr="00900164">
        <w:rPr>
          <w:rFonts w:ascii="Georgia" w:hAnsi="Georgia" w:cstheme="minorBidi"/>
          <w:sz w:val="18"/>
          <w:szCs w:val="22"/>
        </w:rPr>
        <w:t xml:space="preserve">Campo, M., &amp; Chaudhury, H. (2012). Informal social interaction among residents with dementia in special care units: Exploring the role of the physical and social environments. </w:t>
      </w:r>
      <w:r w:rsidRPr="00900164">
        <w:rPr>
          <w:rFonts w:ascii="Georgia" w:hAnsi="Georgia" w:cstheme="minorBidi"/>
          <w:i/>
          <w:iCs/>
          <w:sz w:val="18"/>
          <w:szCs w:val="22"/>
        </w:rPr>
        <w:t>Dementia</w:t>
      </w:r>
      <w:r w:rsidRPr="00900164">
        <w:rPr>
          <w:rFonts w:ascii="Georgia" w:hAnsi="Georgia" w:cstheme="minorBidi"/>
          <w:sz w:val="18"/>
          <w:szCs w:val="22"/>
        </w:rPr>
        <w:t xml:space="preserve">, </w:t>
      </w:r>
      <w:r w:rsidRPr="00900164">
        <w:rPr>
          <w:rFonts w:ascii="Georgia" w:hAnsi="Georgia" w:cstheme="minorBidi"/>
          <w:i/>
          <w:iCs/>
          <w:sz w:val="18"/>
          <w:szCs w:val="22"/>
        </w:rPr>
        <w:t>11</w:t>
      </w:r>
      <w:r w:rsidRPr="00900164">
        <w:rPr>
          <w:rFonts w:ascii="Georgia" w:hAnsi="Georgia" w:cstheme="minorBidi"/>
          <w:sz w:val="18"/>
          <w:szCs w:val="22"/>
        </w:rPr>
        <w:t>(3), 401–423. https://doi.org/10.1177/1471301211421189</w:t>
      </w:r>
    </w:p>
    <w:p w14:paraId="76328D5F" w14:textId="77777777" w:rsidR="00B40059" w:rsidRDefault="00B40059" w:rsidP="00CD7F97">
      <w:pPr>
        <w:widowControl w:val="0"/>
        <w:autoSpaceDE w:val="0"/>
        <w:autoSpaceDN w:val="0"/>
        <w:adjustRightInd w:val="0"/>
        <w:spacing w:line="240" w:lineRule="auto"/>
        <w:ind w:left="480" w:hanging="480"/>
        <w:jc w:val="left"/>
        <w:rPr>
          <w:rFonts w:ascii="Georgia" w:hAnsi="Georgia" w:cstheme="minorBidi"/>
          <w:sz w:val="18"/>
          <w:szCs w:val="22"/>
        </w:rPr>
      </w:pPr>
      <w:r w:rsidRPr="00900164">
        <w:rPr>
          <w:rFonts w:ascii="Georgia" w:hAnsi="Georgia" w:cstheme="minorBidi"/>
          <w:sz w:val="18"/>
          <w:szCs w:val="22"/>
        </w:rPr>
        <w:t xml:space="preserve">Elmståhl S, Annerstedt L, A. O. (1997). How should a group living unit for demented elderly be designed to decrease psychiatric symptoms? </w:t>
      </w:r>
      <w:r w:rsidRPr="00900164">
        <w:rPr>
          <w:rFonts w:ascii="Georgia" w:hAnsi="Georgia" w:cstheme="minorBidi"/>
          <w:i/>
          <w:iCs/>
          <w:sz w:val="18"/>
          <w:szCs w:val="22"/>
        </w:rPr>
        <w:t>Alzheimer Disease and Associated Disorders.</w:t>
      </w:r>
      <w:r w:rsidRPr="00900164">
        <w:rPr>
          <w:rFonts w:ascii="Georgia" w:hAnsi="Georgia" w:cstheme="minorBidi"/>
          <w:sz w:val="18"/>
          <w:szCs w:val="22"/>
        </w:rPr>
        <w:t xml:space="preserve">, </w:t>
      </w:r>
      <w:r w:rsidRPr="00900164">
        <w:rPr>
          <w:rFonts w:ascii="Georgia" w:hAnsi="Georgia" w:cstheme="minorBidi"/>
          <w:i/>
          <w:iCs/>
          <w:sz w:val="18"/>
          <w:szCs w:val="22"/>
        </w:rPr>
        <w:t>11(1),</w:t>
      </w:r>
      <w:r w:rsidRPr="00900164">
        <w:rPr>
          <w:rFonts w:ascii="Georgia" w:hAnsi="Georgia" w:cstheme="minorBidi"/>
          <w:sz w:val="18"/>
          <w:szCs w:val="22"/>
        </w:rPr>
        <w:t xml:space="preserve"> 47–52. https://doi.org/10.1097/00002093-199703000-00008.</w:t>
      </w:r>
    </w:p>
    <w:p w14:paraId="0C6671D2" w14:textId="77777777" w:rsidR="00180AB2" w:rsidRDefault="00180AB2" w:rsidP="00CD7F97">
      <w:pPr>
        <w:widowControl w:val="0"/>
        <w:autoSpaceDE w:val="0"/>
        <w:autoSpaceDN w:val="0"/>
        <w:adjustRightInd w:val="0"/>
        <w:spacing w:line="240" w:lineRule="auto"/>
        <w:ind w:left="480" w:hanging="480"/>
        <w:jc w:val="left"/>
        <w:rPr>
          <w:rFonts w:ascii="Georgia" w:hAnsi="Georgia"/>
          <w:sz w:val="18"/>
          <w:szCs w:val="18"/>
        </w:rPr>
      </w:pPr>
      <w:r w:rsidRPr="00180AB2">
        <w:rPr>
          <w:rFonts w:ascii="Georgia" w:hAnsi="Georgia"/>
          <w:sz w:val="18"/>
          <w:szCs w:val="18"/>
        </w:rPr>
        <w:fldChar w:fldCharType="begin" w:fldLock="1"/>
      </w:r>
      <w:r w:rsidRPr="00180AB2">
        <w:rPr>
          <w:rFonts w:ascii="Georgia" w:hAnsi="Georgia"/>
          <w:sz w:val="18"/>
          <w:szCs w:val="18"/>
        </w:rPr>
        <w:instrText xml:space="preserve">ADDIN Mendeley Bibliography CSL_BIBLIOGRAPHY </w:instrText>
      </w:r>
      <w:r w:rsidRPr="00180AB2">
        <w:rPr>
          <w:rFonts w:ascii="Georgia" w:hAnsi="Georgia"/>
          <w:sz w:val="18"/>
          <w:szCs w:val="18"/>
        </w:rPr>
        <w:fldChar w:fldCharType="separate"/>
      </w:r>
      <w:r w:rsidRPr="00180AB2">
        <w:rPr>
          <w:rFonts w:ascii="Georgia" w:hAnsi="Georgia"/>
          <w:sz w:val="18"/>
          <w:szCs w:val="18"/>
        </w:rPr>
        <w:t xml:space="preserve">Elf, M., Nordin, S., Wijk, H., &amp; Mckee, K. J. (2017). A systematic review of the psychometric properties of instruments for assessing the quality of the physical environment in healthcare. </w:t>
      </w:r>
      <w:r w:rsidRPr="00180AB2">
        <w:rPr>
          <w:rFonts w:ascii="Georgia" w:hAnsi="Georgia"/>
          <w:i/>
          <w:iCs/>
          <w:sz w:val="18"/>
          <w:szCs w:val="18"/>
        </w:rPr>
        <w:t>Journal of Advanced Nursing</w:t>
      </w:r>
      <w:r w:rsidRPr="00180AB2">
        <w:rPr>
          <w:rFonts w:ascii="Georgia" w:hAnsi="Georgia"/>
          <w:sz w:val="18"/>
          <w:szCs w:val="18"/>
        </w:rPr>
        <w:t xml:space="preserve">, </w:t>
      </w:r>
      <w:r w:rsidRPr="00180AB2">
        <w:rPr>
          <w:rFonts w:ascii="Georgia" w:hAnsi="Georgia"/>
          <w:i/>
          <w:iCs/>
          <w:sz w:val="18"/>
          <w:szCs w:val="18"/>
        </w:rPr>
        <w:t>73</w:t>
      </w:r>
      <w:r w:rsidRPr="00180AB2">
        <w:rPr>
          <w:rFonts w:ascii="Georgia" w:hAnsi="Georgia"/>
          <w:sz w:val="18"/>
          <w:szCs w:val="18"/>
        </w:rPr>
        <w:t>(12), 2796–2816. https://doi.org/10.1111/jan.13281</w:t>
      </w:r>
    </w:p>
    <w:p w14:paraId="512945F4" w14:textId="77777777" w:rsidR="005313EC" w:rsidRDefault="005313EC" w:rsidP="00CD7F97">
      <w:pPr>
        <w:bidi/>
        <w:jc w:val="left"/>
        <w:rPr>
          <w:rFonts w:asciiTheme="minorHAnsi" w:hAnsiTheme="minorHAnsi"/>
          <w:noProof w:val="0"/>
          <w:color w:val="auto"/>
        </w:rPr>
      </w:pPr>
    </w:p>
    <w:p w14:paraId="376D721D" w14:textId="77777777" w:rsidR="005313EC" w:rsidRDefault="005313EC" w:rsidP="00CD7F97">
      <w:pPr>
        <w:widowControl w:val="0"/>
        <w:autoSpaceDE w:val="0"/>
        <w:autoSpaceDN w:val="0"/>
        <w:adjustRightInd w:val="0"/>
        <w:ind w:left="480" w:hanging="480"/>
        <w:jc w:val="left"/>
        <w:rPr>
          <w:rFonts w:ascii="Georgia" w:hAnsi="Georgia"/>
          <w:sz w:val="18"/>
        </w:rPr>
      </w:pPr>
      <w:r>
        <w:rPr>
          <w:rFonts w:ascii="Georgia" w:hAnsi="Georgia"/>
          <w:sz w:val="18"/>
        </w:rPr>
        <w:fldChar w:fldCharType="begin" w:fldLock="1"/>
      </w:r>
      <w:r>
        <w:rPr>
          <w:rFonts w:ascii="Georgia" w:hAnsi="Georgia"/>
          <w:sz w:val="18"/>
        </w:rPr>
        <w:instrText xml:space="preserve">ADDIN Mendeley Bibliography CSL_BIBLIOGRAPHY </w:instrText>
      </w:r>
      <w:r>
        <w:rPr>
          <w:rFonts w:ascii="Georgia" w:hAnsi="Georgia"/>
          <w:sz w:val="18"/>
        </w:rPr>
        <w:fldChar w:fldCharType="separate"/>
      </w:r>
      <w:r>
        <w:rPr>
          <w:rFonts w:ascii="Georgia" w:hAnsi="Georgia"/>
          <w:sz w:val="18"/>
        </w:rPr>
        <w:t>Ferdous, F. (2020). Positive Social Interaction by Spatial Design: A Systematic Review of Empirical Literature in Memory Care Facilities for People Experiencing Dementia. Journal of Aging and Health, 32(9), 949–961. https://doi.org/10.1177/0898264319870090</w:t>
      </w:r>
    </w:p>
    <w:p w14:paraId="7CBF9F85" w14:textId="77777777" w:rsidR="005313EC" w:rsidRDefault="005313EC" w:rsidP="00CD7F97">
      <w:pPr>
        <w:widowControl w:val="0"/>
        <w:autoSpaceDE w:val="0"/>
        <w:autoSpaceDN w:val="0"/>
        <w:adjustRightInd w:val="0"/>
        <w:ind w:left="480" w:hanging="480"/>
        <w:jc w:val="left"/>
        <w:rPr>
          <w:rFonts w:ascii="Georgia" w:hAnsi="Georgia"/>
          <w:sz w:val="18"/>
        </w:rPr>
      </w:pPr>
      <w:r>
        <w:rPr>
          <w:rFonts w:ascii="Georgia" w:hAnsi="Georgia"/>
          <w:sz w:val="18"/>
        </w:rPr>
        <w:t>Kleibusch, K. (2018). Dementia: How Design Can Improve Navigation Among Older Adults in Assisted-Living Facilities. SPNHA Review, 14(1), 25–41. https://scholarworks.gvsu.edu/spnhareview://scholarworks.gvsu.edu/spnhareview?utm_source=scholarworks.gvsu.edu%2Fspnhareview%2Fvol14%2Fiss1%2F5&amp;utm_medium=PDF&amp;utm_campaign=PDFCoverPagesAvailableat:https://scholarworks.gvsu.edu/spnhareview/vol14/iss1/5</w:t>
      </w:r>
    </w:p>
    <w:p w14:paraId="5E579B1D" w14:textId="77777777" w:rsidR="005313EC" w:rsidRDefault="005313EC" w:rsidP="00CD7F97">
      <w:pPr>
        <w:widowControl w:val="0"/>
        <w:autoSpaceDE w:val="0"/>
        <w:autoSpaceDN w:val="0"/>
        <w:adjustRightInd w:val="0"/>
        <w:ind w:left="480" w:hanging="480"/>
        <w:jc w:val="left"/>
        <w:rPr>
          <w:rFonts w:ascii="Georgia" w:hAnsi="Georgia"/>
          <w:sz w:val="18"/>
        </w:rPr>
      </w:pPr>
      <w:r>
        <w:rPr>
          <w:rFonts w:ascii="Georgia" w:hAnsi="Georgia"/>
          <w:sz w:val="18"/>
        </w:rPr>
        <w:t>Lee, S.-H., Jeon, G.-Y., Choi, J.-H., Na, W.-J., &amp; Hong, W.-H. (2016). Study on effect Size of Walking Speed According to Corridor Shape. Indian Journal of Science and Technology, 9(24). https://doi.org/10.17485/ijst/2016/v9i24/96074</w:t>
      </w:r>
    </w:p>
    <w:p w14:paraId="61E693A8" w14:textId="77777777" w:rsidR="005313EC" w:rsidRDefault="005313EC" w:rsidP="00CD7F97">
      <w:pPr>
        <w:widowControl w:val="0"/>
        <w:autoSpaceDE w:val="0"/>
        <w:autoSpaceDN w:val="0"/>
        <w:adjustRightInd w:val="0"/>
        <w:ind w:left="480" w:hanging="480"/>
        <w:jc w:val="left"/>
        <w:rPr>
          <w:rFonts w:ascii="Georgia" w:hAnsi="Georgia"/>
          <w:sz w:val="18"/>
        </w:rPr>
      </w:pPr>
      <w:r>
        <w:rPr>
          <w:rFonts w:ascii="Georgia" w:hAnsi="Georgia"/>
          <w:sz w:val="18"/>
        </w:rPr>
        <w:t>O’Malley, M., Innes, A., &amp; Wiener, J. M. (2017). Decreasing spatial disorientation in care-home settings: How psychology can guide the development of dementia friendly design guidelines. Dementia, 16(3), 315–328. https://doi.org/10.1177/1471301215591334</w:t>
      </w:r>
    </w:p>
    <w:p w14:paraId="65BB71FD" w14:textId="77777777" w:rsidR="005313EC" w:rsidRDefault="005313EC" w:rsidP="00CD7F97">
      <w:pPr>
        <w:widowControl w:val="0"/>
        <w:autoSpaceDE w:val="0"/>
        <w:autoSpaceDN w:val="0"/>
        <w:adjustRightInd w:val="0"/>
        <w:ind w:left="480" w:hanging="480"/>
        <w:jc w:val="left"/>
        <w:rPr>
          <w:rFonts w:ascii="Georgia" w:hAnsi="Georgia"/>
          <w:sz w:val="18"/>
        </w:rPr>
      </w:pPr>
      <w:r>
        <w:rPr>
          <w:rFonts w:ascii="Georgia" w:hAnsi="Georgia"/>
          <w:sz w:val="18"/>
        </w:rPr>
        <w:t>O’Malley, M., Innes, A., &amp; Wiener, J. M. (2017). ‘All the corridors are the same’: a qualitative study of the orientation experiences and design preferences of UK older adults living in a communal retirement development. Ageing &amp;amp; Society, 1–26. https://doi.org/10.1017/S0144686X17000277</w:t>
      </w:r>
    </w:p>
    <w:p w14:paraId="6310EE92" w14:textId="77777777" w:rsidR="005313EC" w:rsidRDefault="005313EC" w:rsidP="00CD7F97">
      <w:pPr>
        <w:widowControl w:val="0"/>
        <w:autoSpaceDE w:val="0"/>
        <w:autoSpaceDN w:val="0"/>
        <w:adjustRightInd w:val="0"/>
        <w:ind w:left="480" w:hanging="480"/>
        <w:jc w:val="left"/>
        <w:rPr>
          <w:rFonts w:ascii="Georgia" w:hAnsi="Georgia"/>
          <w:sz w:val="18"/>
        </w:rPr>
      </w:pPr>
      <w:r>
        <w:rPr>
          <w:rFonts w:ascii="Georgia" w:hAnsi="Georgia"/>
          <w:sz w:val="18"/>
        </w:rPr>
        <w:t>van Buuren, L. P. G., &amp; Mohammadi, M. (2022). Dementia-Friendly Design: A Set of Design Criteria and Design Typologies Supporting Wayfinding. Health Environments Research and Design Journal, 15(1), 150–172. https://doi.org/10.1177/19375867211043546</w:t>
      </w:r>
    </w:p>
    <w:p w14:paraId="1B9D33F4" w14:textId="77777777" w:rsidR="005313EC" w:rsidRDefault="005313EC" w:rsidP="00CD7F97">
      <w:pPr>
        <w:widowControl w:val="0"/>
        <w:autoSpaceDE w:val="0"/>
        <w:autoSpaceDN w:val="0"/>
        <w:adjustRightInd w:val="0"/>
        <w:ind w:left="480" w:hanging="480"/>
        <w:jc w:val="left"/>
        <w:rPr>
          <w:rFonts w:ascii="Georgia" w:hAnsi="Georgia"/>
          <w:sz w:val="18"/>
        </w:rPr>
      </w:pPr>
      <w:r>
        <w:rPr>
          <w:rFonts w:ascii="Georgia" w:hAnsi="Georgia"/>
          <w:sz w:val="18"/>
        </w:rPr>
        <w:t>Van Hecke, L., Van Steenwinkel, I., &amp; Heylighen, A. (2019). How Enclosure and Spatial Organization Affect Residents’ Use and Experience of a Dementia Special Care Unit: A Case Study. Health Environments Research and Design Journal, 12(1), 145–159. https://doi.org/10.1177/1937586718796614</w:t>
      </w:r>
    </w:p>
    <w:p w14:paraId="78DED41B" w14:textId="77777777" w:rsidR="00B40059" w:rsidRPr="00900164" w:rsidRDefault="005313EC" w:rsidP="00CD7F97">
      <w:pPr>
        <w:widowControl w:val="0"/>
        <w:autoSpaceDE w:val="0"/>
        <w:autoSpaceDN w:val="0"/>
        <w:adjustRightInd w:val="0"/>
        <w:spacing w:line="240" w:lineRule="auto"/>
        <w:ind w:left="480" w:hanging="480"/>
        <w:jc w:val="left"/>
        <w:rPr>
          <w:rFonts w:ascii="Georgia" w:hAnsi="Georgia" w:cstheme="minorBidi"/>
          <w:sz w:val="18"/>
          <w:szCs w:val="22"/>
        </w:rPr>
      </w:pPr>
      <w:r>
        <w:rPr>
          <w:rFonts w:ascii="Georgia" w:hAnsi="Georgia"/>
          <w:sz w:val="18"/>
        </w:rPr>
        <w:fldChar w:fldCharType="end"/>
      </w:r>
      <w:r w:rsidR="00180AB2" w:rsidRPr="00180AB2">
        <w:rPr>
          <w:rFonts w:ascii="Georgia" w:hAnsi="Georgia"/>
          <w:sz w:val="18"/>
          <w:szCs w:val="18"/>
        </w:rPr>
        <w:fldChar w:fldCharType="end"/>
      </w:r>
      <w:r w:rsidR="00B40059" w:rsidRPr="00900164">
        <w:rPr>
          <w:rFonts w:ascii="Georgia" w:hAnsi="Georgia" w:cstheme="minorBidi"/>
          <w:sz w:val="18"/>
          <w:szCs w:val="22"/>
        </w:rPr>
        <w:fldChar w:fldCharType="begin" w:fldLock="1"/>
      </w:r>
      <w:r w:rsidR="00B40059" w:rsidRPr="00900164">
        <w:rPr>
          <w:rFonts w:ascii="Georgia" w:hAnsi="Georgia" w:cstheme="minorBidi"/>
          <w:sz w:val="18"/>
          <w:szCs w:val="22"/>
        </w:rPr>
        <w:instrText xml:space="preserve">ADDIN Mendeley Bibliography CSL_BIBLIOGRAPHY </w:instrText>
      </w:r>
      <w:r w:rsidR="00B40059" w:rsidRPr="00900164">
        <w:rPr>
          <w:rFonts w:ascii="Georgia" w:hAnsi="Georgia" w:cstheme="minorBidi"/>
          <w:sz w:val="18"/>
          <w:szCs w:val="22"/>
        </w:rPr>
        <w:fldChar w:fldCharType="separate"/>
      </w:r>
      <w:r w:rsidR="00B40059" w:rsidRPr="00900164">
        <w:rPr>
          <w:rFonts w:ascii="Georgia" w:hAnsi="Georgia" w:cstheme="minorBidi"/>
          <w:sz w:val="18"/>
          <w:szCs w:val="22"/>
        </w:rPr>
        <w:t>Gerritsen, D. L., Steverink, N., Ooms, M. E., &amp; Ribbe, M. W. (2004). Finding a useful conceptual basis for enhancing the quality of life of nursing home residents. Quality of Life Research, 13(3), 611–624. https://doi.org/10.1023/B:QURE.0000021314.17605.40</w:t>
      </w:r>
    </w:p>
    <w:p w14:paraId="177C000E" w14:textId="77777777" w:rsidR="00B40059" w:rsidRPr="00900164" w:rsidRDefault="00B40059" w:rsidP="00CD7F97">
      <w:pPr>
        <w:widowControl w:val="0"/>
        <w:autoSpaceDE w:val="0"/>
        <w:autoSpaceDN w:val="0"/>
        <w:adjustRightInd w:val="0"/>
        <w:spacing w:line="240" w:lineRule="auto"/>
        <w:ind w:left="480" w:hanging="480"/>
        <w:jc w:val="left"/>
        <w:rPr>
          <w:rFonts w:ascii="Georgia" w:hAnsi="Georgia" w:cstheme="minorBidi"/>
          <w:sz w:val="18"/>
          <w:szCs w:val="22"/>
        </w:rPr>
      </w:pPr>
      <w:r w:rsidRPr="00900164">
        <w:rPr>
          <w:rFonts w:ascii="Georgia" w:hAnsi="Georgia" w:cstheme="minorBidi"/>
          <w:sz w:val="18"/>
          <w:szCs w:val="22"/>
        </w:rPr>
        <w:fldChar w:fldCharType="end"/>
      </w:r>
      <w:r w:rsidRPr="00900164">
        <w:rPr>
          <w:rFonts w:ascii="Georgia" w:hAnsi="Georgia" w:cstheme="minorBidi"/>
          <w:sz w:val="18"/>
          <w:szCs w:val="22"/>
        </w:rPr>
        <w:t xml:space="preserve">Hendrich, A., Chow, M. P., Bafna, S., Choudhary, R., Heo, Y., &amp; Skierczynski, B. A. (2009). Unit-related factors that affect nursing time with patients: spatial analysis of the time and motion study. </w:t>
      </w:r>
      <w:r w:rsidRPr="00900164">
        <w:rPr>
          <w:rFonts w:ascii="Georgia" w:hAnsi="Georgia" w:cstheme="minorBidi"/>
          <w:i/>
          <w:iCs/>
          <w:sz w:val="18"/>
          <w:szCs w:val="22"/>
        </w:rPr>
        <w:t>Herd</w:t>
      </w:r>
      <w:r w:rsidRPr="00900164">
        <w:rPr>
          <w:rFonts w:ascii="Georgia" w:hAnsi="Georgia" w:cstheme="minorBidi"/>
          <w:sz w:val="18"/>
          <w:szCs w:val="22"/>
        </w:rPr>
        <w:t xml:space="preserve">, </w:t>
      </w:r>
      <w:r w:rsidRPr="00900164">
        <w:rPr>
          <w:rFonts w:ascii="Georgia" w:hAnsi="Georgia" w:cstheme="minorBidi"/>
          <w:i/>
          <w:iCs/>
          <w:sz w:val="18"/>
          <w:szCs w:val="22"/>
        </w:rPr>
        <w:t>2</w:t>
      </w:r>
      <w:r w:rsidRPr="00900164">
        <w:rPr>
          <w:rFonts w:ascii="Georgia" w:hAnsi="Georgia" w:cstheme="minorBidi"/>
          <w:sz w:val="18"/>
          <w:szCs w:val="22"/>
        </w:rPr>
        <w:t>(2), 5–20. https://doi.org/10.1177/193758670900200202</w:t>
      </w:r>
    </w:p>
    <w:p w14:paraId="0B1AD076" w14:textId="77777777" w:rsidR="00B40059" w:rsidRPr="00900164" w:rsidRDefault="00B40059" w:rsidP="00CD7F97">
      <w:pPr>
        <w:widowControl w:val="0"/>
        <w:autoSpaceDE w:val="0"/>
        <w:autoSpaceDN w:val="0"/>
        <w:adjustRightInd w:val="0"/>
        <w:spacing w:line="240" w:lineRule="auto"/>
        <w:ind w:left="480" w:hanging="480"/>
        <w:jc w:val="left"/>
        <w:rPr>
          <w:rFonts w:ascii="Georgia" w:hAnsi="Georgia" w:cstheme="minorBidi"/>
          <w:sz w:val="18"/>
          <w:szCs w:val="22"/>
        </w:rPr>
      </w:pPr>
      <w:r w:rsidRPr="00900164">
        <w:rPr>
          <w:rFonts w:ascii="Georgia" w:hAnsi="Georgia" w:cstheme="minorBidi"/>
          <w:sz w:val="18"/>
          <w:szCs w:val="22"/>
        </w:rPr>
        <w:t xml:space="preserve">Lawton, M. P. (1983). Environment and other determinants of well-being in older people. </w:t>
      </w:r>
      <w:r w:rsidRPr="00900164">
        <w:rPr>
          <w:rFonts w:ascii="Georgia" w:hAnsi="Georgia" w:cstheme="minorBidi"/>
          <w:i/>
          <w:iCs/>
          <w:sz w:val="18"/>
          <w:szCs w:val="22"/>
        </w:rPr>
        <w:t>The Gerontologist</w:t>
      </w:r>
      <w:r w:rsidRPr="00900164">
        <w:rPr>
          <w:rFonts w:ascii="Georgia" w:hAnsi="Georgia" w:cstheme="minorBidi"/>
          <w:sz w:val="18"/>
          <w:szCs w:val="22"/>
        </w:rPr>
        <w:t xml:space="preserve">, </w:t>
      </w:r>
      <w:r w:rsidRPr="00900164">
        <w:rPr>
          <w:rFonts w:ascii="Georgia" w:hAnsi="Georgia" w:cstheme="minorBidi"/>
          <w:i/>
          <w:iCs/>
          <w:sz w:val="18"/>
          <w:szCs w:val="22"/>
        </w:rPr>
        <w:t>23</w:t>
      </w:r>
      <w:r w:rsidRPr="00900164">
        <w:rPr>
          <w:rFonts w:ascii="Georgia" w:hAnsi="Georgia" w:cstheme="minorBidi"/>
          <w:sz w:val="18"/>
          <w:szCs w:val="22"/>
        </w:rPr>
        <w:t>(4), 349–357. https://doi.org/10.1093/geront/23.4.349</w:t>
      </w:r>
    </w:p>
    <w:p w14:paraId="1EBBFB43" w14:textId="77777777" w:rsidR="00B40059" w:rsidRPr="00900164" w:rsidRDefault="00B40059" w:rsidP="00CD7F97">
      <w:pPr>
        <w:widowControl w:val="0"/>
        <w:autoSpaceDE w:val="0"/>
        <w:autoSpaceDN w:val="0"/>
        <w:adjustRightInd w:val="0"/>
        <w:spacing w:line="240" w:lineRule="auto"/>
        <w:ind w:left="480" w:hanging="480"/>
        <w:jc w:val="left"/>
        <w:rPr>
          <w:rFonts w:ascii="Georgia" w:hAnsi="Georgia" w:cstheme="minorBidi"/>
          <w:sz w:val="18"/>
          <w:szCs w:val="22"/>
        </w:rPr>
      </w:pPr>
      <w:r w:rsidRPr="00900164">
        <w:rPr>
          <w:rFonts w:ascii="Georgia" w:hAnsi="Georgia" w:cstheme="minorBidi"/>
          <w:sz w:val="18"/>
          <w:szCs w:val="22"/>
        </w:rPr>
        <w:t xml:space="preserve">Lindenberg, S. (1996). Continuities in the Theory of Social Production Functions. </w:t>
      </w:r>
      <w:r w:rsidRPr="00900164">
        <w:rPr>
          <w:rFonts w:ascii="Georgia" w:hAnsi="Georgia" w:cstheme="minorBidi"/>
          <w:i/>
          <w:iCs/>
          <w:sz w:val="18"/>
          <w:szCs w:val="22"/>
        </w:rPr>
        <w:t>Doctoral Dissertation, Thesis Publication</w:t>
      </w:r>
      <w:r w:rsidRPr="00900164">
        <w:rPr>
          <w:rFonts w:ascii="Georgia" w:hAnsi="Georgia" w:cstheme="minorBidi"/>
          <w:sz w:val="18"/>
          <w:szCs w:val="22"/>
        </w:rPr>
        <w:t xml:space="preserve">, </w:t>
      </w:r>
      <w:r w:rsidRPr="00900164">
        <w:rPr>
          <w:rFonts w:ascii="Georgia" w:hAnsi="Georgia" w:cstheme="minorBidi"/>
          <w:i/>
          <w:iCs/>
          <w:sz w:val="18"/>
          <w:szCs w:val="22"/>
        </w:rPr>
        <w:t>1989</w:t>
      </w:r>
      <w:r w:rsidRPr="00900164">
        <w:rPr>
          <w:rFonts w:ascii="Georgia" w:hAnsi="Georgia" w:cstheme="minorBidi"/>
          <w:sz w:val="18"/>
          <w:szCs w:val="22"/>
        </w:rPr>
        <w:t>, 169–184.</w:t>
      </w:r>
    </w:p>
    <w:p w14:paraId="2CA2FC41" w14:textId="77777777" w:rsidR="00B40059" w:rsidRPr="00900164" w:rsidRDefault="00B40059" w:rsidP="00CD7F97">
      <w:pPr>
        <w:widowControl w:val="0"/>
        <w:autoSpaceDE w:val="0"/>
        <w:autoSpaceDN w:val="0"/>
        <w:adjustRightInd w:val="0"/>
        <w:spacing w:line="240" w:lineRule="auto"/>
        <w:ind w:left="480" w:hanging="480"/>
        <w:jc w:val="left"/>
        <w:rPr>
          <w:rFonts w:ascii="Georgia" w:hAnsi="Georgia" w:cstheme="minorBidi"/>
          <w:sz w:val="18"/>
          <w:szCs w:val="22"/>
        </w:rPr>
      </w:pPr>
      <w:r w:rsidRPr="00900164">
        <w:rPr>
          <w:rFonts w:ascii="Georgia" w:hAnsi="Georgia" w:cstheme="minorBidi"/>
          <w:sz w:val="18"/>
          <w:szCs w:val="22"/>
        </w:rPr>
        <w:t xml:space="preserve">Machiels, M., Metzelthin, S. F., Hamers, J. P. H., &amp; Zwakhalen, S. M. G. (2017). Interventions to improve communication between people with dementia and nursing staff during daily nursing care: A systematic review. </w:t>
      </w:r>
      <w:r w:rsidRPr="00900164">
        <w:rPr>
          <w:rFonts w:ascii="Georgia" w:hAnsi="Georgia" w:cstheme="minorBidi"/>
          <w:i/>
          <w:iCs/>
          <w:sz w:val="18"/>
          <w:szCs w:val="22"/>
        </w:rPr>
        <w:t>International Journal of Nursing Studies</w:t>
      </w:r>
      <w:r w:rsidRPr="00900164">
        <w:rPr>
          <w:rFonts w:ascii="Georgia" w:hAnsi="Georgia" w:cstheme="minorBidi"/>
          <w:sz w:val="18"/>
          <w:szCs w:val="22"/>
        </w:rPr>
        <w:t xml:space="preserve">, </w:t>
      </w:r>
      <w:r w:rsidRPr="00900164">
        <w:rPr>
          <w:rFonts w:ascii="Georgia" w:hAnsi="Georgia" w:cstheme="minorBidi"/>
          <w:i/>
          <w:iCs/>
          <w:sz w:val="18"/>
          <w:szCs w:val="22"/>
        </w:rPr>
        <w:t>66</w:t>
      </w:r>
      <w:r w:rsidRPr="00900164">
        <w:rPr>
          <w:rFonts w:ascii="Georgia" w:hAnsi="Georgia" w:cstheme="minorBidi"/>
          <w:sz w:val="18"/>
          <w:szCs w:val="22"/>
        </w:rPr>
        <w:t>, 37–46. https://doi.org/10.1016/j.ijnurstu.2016.11.017</w:t>
      </w:r>
    </w:p>
    <w:p w14:paraId="03B404F6" w14:textId="77777777" w:rsidR="00B40059" w:rsidRPr="00900164" w:rsidRDefault="00B40059" w:rsidP="00CD7F97">
      <w:pPr>
        <w:widowControl w:val="0"/>
        <w:autoSpaceDE w:val="0"/>
        <w:autoSpaceDN w:val="0"/>
        <w:adjustRightInd w:val="0"/>
        <w:spacing w:line="240" w:lineRule="auto"/>
        <w:ind w:left="480" w:hanging="480"/>
        <w:jc w:val="left"/>
        <w:rPr>
          <w:rFonts w:ascii="Georgia" w:hAnsi="Georgia" w:cstheme="minorBidi"/>
          <w:sz w:val="18"/>
          <w:szCs w:val="22"/>
        </w:rPr>
      </w:pPr>
      <w:r w:rsidRPr="00900164">
        <w:rPr>
          <w:rFonts w:ascii="Georgia" w:hAnsi="Georgia" w:cstheme="minorBidi"/>
          <w:sz w:val="18"/>
          <w:szCs w:val="22"/>
        </w:rPr>
        <w:t xml:space="preserve">Marquardt, G., &amp; Schmieg, P. (2009). Dementia-Friendly Architecture: Environments That Facilitate Wayfinding in Nursing Homes. </w:t>
      </w:r>
      <w:r w:rsidRPr="00900164">
        <w:rPr>
          <w:rFonts w:ascii="Georgia" w:hAnsi="Georgia" w:cstheme="minorBidi"/>
          <w:i/>
          <w:iCs/>
          <w:sz w:val="18"/>
          <w:szCs w:val="22"/>
        </w:rPr>
        <w:t>American Journal of Alzheimer’s Disease &amp; Other Dementiasr</w:t>
      </w:r>
      <w:r w:rsidRPr="00900164">
        <w:rPr>
          <w:rFonts w:ascii="Georgia" w:hAnsi="Georgia" w:cstheme="minorBidi"/>
          <w:sz w:val="18"/>
          <w:szCs w:val="22"/>
        </w:rPr>
        <w:t xml:space="preserve">, </w:t>
      </w:r>
      <w:r w:rsidRPr="00900164">
        <w:rPr>
          <w:rFonts w:ascii="Georgia" w:hAnsi="Georgia" w:cstheme="minorBidi"/>
          <w:i/>
          <w:iCs/>
          <w:sz w:val="18"/>
          <w:szCs w:val="22"/>
        </w:rPr>
        <w:t>24</w:t>
      </w:r>
      <w:r w:rsidRPr="00900164">
        <w:rPr>
          <w:rFonts w:ascii="Georgia" w:hAnsi="Georgia" w:cstheme="minorBidi"/>
          <w:sz w:val="18"/>
          <w:szCs w:val="22"/>
        </w:rPr>
        <w:t>(4), 333–340. https://doi.org/10.1177/1533317509334959</w:t>
      </w:r>
    </w:p>
    <w:p w14:paraId="2C2EFF73" w14:textId="77777777" w:rsidR="00B40059" w:rsidRPr="00900164" w:rsidRDefault="00B40059" w:rsidP="00CD7F97">
      <w:pPr>
        <w:widowControl w:val="0"/>
        <w:autoSpaceDE w:val="0"/>
        <w:autoSpaceDN w:val="0"/>
        <w:adjustRightInd w:val="0"/>
        <w:spacing w:line="240" w:lineRule="auto"/>
        <w:ind w:left="480" w:hanging="480"/>
        <w:jc w:val="left"/>
        <w:rPr>
          <w:rFonts w:ascii="Georgia" w:hAnsi="Georgia" w:cstheme="minorBidi"/>
          <w:sz w:val="18"/>
          <w:szCs w:val="22"/>
        </w:rPr>
      </w:pPr>
      <w:r w:rsidRPr="00075D77">
        <w:rPr>
          <w:rFonts w:ascii="Georgia" w:hAnsi="Georgia" w:cstheme="minorBidi"/>
          <w:sz w:val="18"/>
          <w:szCs w:val="22"/>
          <w:lang w:val="nl-NL"/>
        </w:rPr>
        <w:t xml:space="preserve">Nordin, S., McKee, K., Wijk, H., &amp; Elf, M. (2017). </w:t>
      </w:r>
      <w:r w:rsidRPr="00900164">
        <w:rPr>
          <w:rFonts w:ascii="Georgia" w:hAnsi="Georgia" w:cstheme="minorBidi"/>
          <w:sz w:val="18"/>
          <w:szCs w:val="22"/>
        </w:rPr>
        <w:t xml:space="preserve">The association between the physical environment and the well-being of older people in residential care facilities: A multilevel analysis. </w:t>
      </w:r>
      <w:r w:rsidRPr="00900164">
        <w:rPr>
          <w:rFonts w:ascii="Georgia" w:hAnsi="Georgia" w:cstheme="minorBidi"/>
          <w:i/>
          <w:iCs/>
          <w:sz w:val="18"/>
          <w:szCs w:val="22"/>
        </w:rPr>
        <w:t>Journal of Advanced Nursing</w:t>
      </w:r>
      <w:r w:rsidRPr="00900164">
        <w:rPr>
          <w:rFonts w:ascii="Georgia" w:hAnsi="Georgia" w:cstheme="minorBidi"/>
          <w:sz w:val="18"/>
          <w:szCs w:val="22"/>
        </w:rPr>
        <w:t xml:space="preserve">, </w:t>
      </w:r>
      <w:r w:rsidRPr="00900164">
        <w:rPr>
          <w:rFonts w:ascii="Georgia" w:hAnsi="Georgia" w:cstheme="minorBidi"/>
          <w:i/>
          <w:iCs/>
          <w:sz w:val="18"/>
          <w:szCs w:val="22"/>
        </w:rPr>
        <w:t>73</w:t>
      </w:r>
      <w:r w:rsidRPr="00900164">
        <w:rPr>
          <w:rFonts w:ascii="Georgia" w:hAnsi="Georgia" w:cstheme="minorBidi"/>
          <w:sz w:val="18"/>
          <w:szCs w:val="22"/>
        </w:rPr>
        <w:t>(12), 2942–2952. https://doi.org/10.1111/jan.13358</w:t>
      </w:r>
    </w:p>
    <w:p w14:paraId="220AAD74" w14:textId="77777777" w:rsidR="00B40059" w:rsidRPr="00900164" w:rsidRDefault="00B40059" w:rsidP="00CD7F97">
      <w:pPr>
        <w:widowControl w:val="0"/>
        <w:autoSpaceDE w:val="0"/>
        <w:autoSpaceDN w:val="0"/>
        <w:adjustRightInd w:val="0"/>
        <w:spacing w:line="240" w:lineRule="auto"/>
        <w:ind w:left="480" w:hanging="480"/>
        <w:jc w:val="left"/>
        <w:rPr>
          <w:rFonts w:ascii="Georgia" w:hAnsi="Georgia" w:cstheme="minorBidi"/>
          <w:sz w:val="18"/>
          <w:szCs w:val="22"/>
        </w:rPr>
      </w:pPr>
      <w:r w:rsidRPr="00900164">
        <w:rPr>
          <w:rFonts w:ascii="Georgia" w:hAnsi="Georgia" w:cstheme="minorBidi"/>
          <w:sz w:val="18"/>
          <w:szCs w:val="22"/>
        </w:rPr>
        <w:lastRenderedPageBreak/>
        <w:t xml:space="preserve">Ormel, J., Lindenberg, S., Steverink, N., &amp; Vonkorff, M. (1997). Quality of life and social production functions: A framework for understanding health effects. </w:t>
      </w:r>
      <w:r w:rsidRPr="00900164">
        <w:rPr>
          <w:rFonts w:ascii="Georgia" w:hAnsi="Georgia" w:cstheme="minorBidi"/>
          <w:i/>
          <w:iCs/>
          <w:sz w:val="18"/>
          <w:szCs w:val="22"/>
        </w:rPr>
        <w:t>Social Science and Medicine</w:t>
      </w:r>
      <w:r w:rsidRPr="00900164">
        <w:rPr>
          <w:rFonts w:ascii="Georgia" w:hAnsi="Georgia" w:cstheme="minorBidi"/>
          <w:sz w:val="18"/>
          <w:szCs w:val="22"/>
        </w:rPr>
        <w:t xml:space="preserve">, </w:t>
      </w:r>
      <w:r w:rsidRPr="00900164">
        <w:rPr>
          <w:rFonts w:ascii="Georgia" w:hAnsi="Georgia" w:cstheme="minorBidi"/>
          <w:i/>
          <w:iCs/>
          <w:sz w:val="18"/>
          <w:szCs w:val="22"/>
        </w:rPr>
        <w:t>45</w:t>
      </w:r>
      <w:r w:rsidRPr="00900164">
        <w:rPr>
          <w:rFonts w:ascii="Georgia" w:hAnsi="Georgia" w:cstheme="minorBidi"/>
          <w:sz w:val="18"/>
          <w:szCs w:val="22"/>
        </w:rPr>
        <w:t>(7), 1051–1063. https://doi.org/10.1016/S0277-9536(97)00032-4</w:t>
      </w:r>
    </w:p>
    <w:p w14:paraId="0EAD0A58" w14:textId="77777777" w:rsidR="00B40059" w:rsidRPr="00900164" w:rsidRDefault="00B40059" w:rsidP="00CD7F97">
      <w:pPr>
        <w:widowControl w:val="0"/>
        <w:autoSpaceDE w:val="0"/>
        <w:autoSpaceDN w:val="0"/>
        <w:adjustRightInd w:val="0"/>
        <w:spacing w:line="240" w:lineRule="auto"/>
        <w:ind w:left="480" w:hanging="480"/>
        <w:jc w:val="left"/>
        <w:rPr>
          <w:rFonts w:ascii="Georgia" w:hAnsi="Georgia" w:cstheme="minorBidi"/>
          <w:sz w:val="18"/>
          <w:szCs w:val="22"/>
        </w:rPr>
      </w:pPr>
      <w:r w:rsidRPr="00900164">
        <w:rPr>
          <w:rFonts w:ascii="Georgia" w:hAnsi="Georgia" w:cstheme="minorBidi"/>
          <w:sz w:val="18"/>
          <w:szCs w:val="22"/>
        </w:rPr>
        <w:t xml:space="preserve">Real, K., Santiago, J., Fay, L., Isaacs, K., &amp; Carll-White, A. (2018). The Social Logic of Nursing Communication and Team Processes in Centralized and Decentralized Work Spaces. </w:t>
      </w:r>
      <w:r w:rsidRPr="00900164">
        <w:rPr>
          <w:rFonts w:ascii="Georgia" w:hAnsi="Georgia" w:cstheme="minorBidi"/>
          <w:i/>
          <w:iCs/>
          <w:sz w:val="18"/>
          <w:szCs w:val="22"/>
        </w:rPr>
        <w:t>Health Communication</w:t>
      </w:r>
      <w:r w:rsidRPr="00900164">
        <w:rPr>
          <w:rFonts w:ascii="Georgia" w:hAnsi="Georgia" w:cstheme="minorBidi"/>
          <w:sz w:val="18"/>
          <w:szCs w:val="22"/>
        </w:rPr>
        <w:t>, 1–13. https://doi.org/10.1080/10410236.2018.1536940</w:t>
      </w:r>
    </w:p>
    <w:p w14:paraId="3E3203F9" w14:textId="77777777" w:rsidR="006A424E" w:rsidRPr="006A424E" w:rsidRDefault="006A424E" w:rsidP="006A424E">
      <w:pPr>
        <w:widowControl w:val="0"/>
        <w:autoSpaceDE w:val="0"/>
        <w:autoSpaceDN w:val="0"/>
        <w:adjustRightInd w:val="0"/>
        <w:spacing w:line="240" w:lineRule="auto"/>
        <w:ind w:left="480" w:hanging="480"/>
        <w:jc w:val="left"/>
        <w:rPr>
          <w:rFonts w:ascii="Georgia" w:hAnsi="Georgia" w:cstheme="minorBidi"/>
          <w:sz w:val="18"/>
          <w:szCs w:val="22"/>
        </w:rPr>
      </w:pPr>
      <w:r w:rsidRPr="006A424E">
        <w:rPr>
          <w:rFonts w:ascii="Georgia" w:hAnsi="Georgia" w:cstheme="minorBidi"/>
          <w:sz w:val="18"/>
          <w:szCs w:val="22"/>
        </w:rPr>
        <w:fldChar w:fldCharType="begin" w:fldLock="1"/>
      </w:r>
      <w:r w:rsidRPr="006A424E">
        <w:rPr>
          <w:rFonts w:ascii="Georgia" w:hAnsi="Georgia" w:cstheme="minorBidi"/>
          <w:sz w:val="18"/>
          <w:szCs w:val="22"/>
        </w:rPr>
        <w:instrText xml:space="preserve">ADDIN Mendeley Bibliography CSL_BIBLIOGRAPHY </w:instrText>
      </w:r>
      <w:r w:rsidRPr="006A424E">
        <w:rPr>
          <w:rFonts w:ascii="Georgia" w:hAnsi="Georgia" w:cstheme="minorBidi"/>
          <w:sz w:val="18"/>
          <w:szCs w:val="22"/>
        </w:rPr>
        <w:fldChar w:fldCharType="separate"/>
      </w:r>
      <w:r w:rsidRPr="006A424E">
        <w:rPr>
          <w:rFonts w:ascii="Georgia" w:hAnsi="Georgia" w:cstheme="minorBidi"/>
          <w:sz w:val="18"/>
          <w:szCs w:val="22"/>
        </w:rPr>
        <w:t>Rom, Y., Palgi, Y., &amp; Isaacson, M. (2022). Analyzing the Layout of Long-Term Care Facilities: A Psycho-Spatial Approach. Health Environments Research &amp; Design Journal, 15(2), 22–42. https://doi.org/10.1177/19375867211064538</w:t>
      </w:r>
    </w:p>
    <w:p w14:paraId="076D987A" w14:textId="041C631A" w:rsidR="00B40059" w:rsidRPr="00900164" w:rsidRDefault="006A424E" w:rsidP="00CD7F97">
      <w:pPr>
        <w:widowControl w:val="0"/>
        <w:autoSpaceDE w:val="0"/>
        <w:autoSpaceDN w:val="0"/>
        <w:adjustRightInd w:val="0"/>
        <w:spacing w:line="240" w:lineRule="auto"/>
        <w:ind w:left="480" w:hanging="480"/>
        <w:jc w:val="left"/>
        <w:rPr>
          <w:rFonts w:ascii="Georgia" w:hAnsi="Georgia" w:cstheme="minorBidi"/>
          <w:sz w:val="18"/>
          <w:szCs w:val="18"/>
        </w:rPr>
      </w:pPr>
      <w:r w:rsidRPr="006A424E">
        <w:rPr>
          <w:rFonts w:ascii="Georgia" w:hAnsi="Georgia" w:cstheme="minorBidi"/>
          <w:sz w:val="18"/>
          <w:szCs w:val="22"/>
        </w:rPr>
        <w:fldChar w:fldCharType="end"/>
      </w:r>
      <w:r w:rsidR="00B40059" w:rsidRPr="00900164">
        <w:rPr>
          <w:rFonts w:ascii="Georgia" w:hAnsi="Georgia" w:cstheme="minorBidi"/>
          <w:sz w:val="18"/>
          <w:szCs w:val="22"/>
        </w:rPr>
        <w:t xml:space="preserve">Stephan, A., Möhler, R., Renom-Guiteras, A., &amp; Meyer, G. (2015). Successful collaboration in dementia care from the perspectives of healthcare professionals and informal carers in Germany: Results from a focus group study. </w:t>
      </w:r>
      <w:r w:rsidR="00B40059" w:rsidRPr="00900164">
        <w:rPr>
          <w:rFonts w:ascii="Georgia" w:hAnsi="Georgia" w:cstheme="minorBidi"/>
          <w:i/>
          <w:iCs/>
          <w:sz w:val="18"/>
          <w:szCs w:val="22"/>
        </w:rPr>
        <w:t>BMC Health Services Research</w:t>
      </w:r>
      <w:r w:rsidR="00B40059" w:rsidRPr="00900164">
        <w:rPr>
          <w:rFonts w:ascii="Georgia" w:hAnsi="Georgia" w:cstheme="minorBidi"/>
          <w:sz w:val="18"/>
          <w:szCs w:val="22"/>
        </w:rPr>
        <w:t xml:space="preserve">, </w:t>
      </w:r>
      <w:r w:rsidR="00B40059" w:rsidRPr="00900164">
        <w:rPr>
          <w:rFonts w:ascii="Georgia" w:hAnsi="Georgia" w:cstheme="minorBidi"/>
          <w:i/>
          <w:iCs/>
          <w:sz w:val="18"/>
          <w:szCs w:val="22"/>
        </w:rPr>
        <w:t>15</w:t>
      </w:r>
      <w:r w:rsidR="00B40059" w:rsidRPr="00900164">
        <w:rPr>
          <w:rFonts w:ascii="Georgia" w:hAnsi="Georgia" w:cstheme="minorBidi"/>
          <w:sz w:val="18"/>
          <w:szCs w:val="22"/>
        </w:rPr>
        <w:t>(1), 1–13. https://doi.org/10.1186/s12913-015-0875-3</w:t>
      </w:r>
    </w:p>
    <w:p w14:paraId="127F3FB6" w14:textId="77777777" w:rsidR="00B40059" w:rsidRPr="00900164" w:rsidRDefault="00B40059" w:rsidP="00CD7F97">
      <w:pPr>
        <w:pStyle w:val="MDPI31text"/>
        <w:jc w:val="left"/>
        <w:rPr>
          <w:rFonts w:ascii="Georgia" w:eastAsia="SimSun" w:hAnsi="Georgia" w:cstheme="minorBidi"/>
          <w:noProof/>
          <w:snapToGrid/>
          <w:sz w:val="18"/>
          <w:lang w:eastAsia="zh-CN" w:bidi="ar-SA"/>
        </w:rPr>
      </w:pPr>
    </w:p>
    <w:p w14:paraId="36BBF638" w14:textId="77777777" w:rsidR="00B40059" w:rsidRPr="00900164" w:rsidRDefault="00B40059" w:rsidP="00CD7F97">
      <w:pPr>
        <w:pStyle w:val="MDPI31text"/>
        <w:jc w:val="left"/>
        <w:rPr>
          <w:rFonts w:ascii="Georgia" w:eastAsia="SimSun" w:hAnsi="Georgia" w:cstheme="minorBidi"/>
          <w:noProof/>
          <w:snapToGrid/>
          <w:sz w:val="18"/>
          <w:lang w:eastAsia="zh-CN" w:bidi="ar-SA"/>
        </w:rPr>
      </w:pPr>
    </w:p>
    <w:p w14:paraId="63E198A9" w14:textId="77777777" w:rsidR="00A86E9F" w:rsidRPr="005C6417" w:rsidRDefault="00B40059" w:rsidP="00CD7F97">
      <w:pPr>
        <w:pStyle w:val="MDPI71References"/>
        <w:numPr>
          <w:ilvl w:val="0"/>
          <w:numId w:val="0"/>
        </w:numPr>
        <w:ind w:left="425"/>
        <w:jc w:val="left"/>
        <w:rPr>
          <w:rFonts w:ascii="Georgia" w:eastAsiaTheme="minorEastAsia" w:hAnsi="Georgia" w:cs="Arial"/>
          <w:highlight w:val="yellow"/>
        </w:rPr>
      </w:pPr>
      <w:r w:rsidRPr="00900164">
        <w:rPr>
          <w:rFonts w:ascii="Georgia" w:hAnsi="Georgia" w:cstheme="minorBidi"/>
          <w:b/>
          <w:szCs w:val="18"/>
        </w:rPr>
        <w:fldChar w:fldCharType="end"/>
      </w:r>
    </w:p>
    <w:sectPr w:rsidR="00A86E9F" w:rsidRPr="005C6417" w:rsidSect="007C4221">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7EFF9" w14:textId="77777777" w:rsidR="00AF3113" w:rsidRDefault="00AF3113">
      <w:pPr>
        <w:spacing w:line="240" w:lineRule="auto"/>
      </w:pPr>
      <w:r>
        <w:separator/>
      </w:r>
    </w:p>
  </w:endnote>
  <w:endnote w:type="continuationSeparator" w:id="0">
    <w:p w14:paraId="24A7DCFD" w14:textId="77777777" w:rsidR="00AF3113" w:rsidRDefault="00AF31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Bodoni SvtyTwo OS ITC TT-Book">
    <w:altName w:val="Cambria"/>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6C7B" w14:textId="77777777" w:rsidR="00B15CFD" w:rsidRDefault="00B15CF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729B" w14:textId="77777777" w:rsidR="00B15CFD" w:rsidRDefault="00B15CF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3369"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352011F8" w14:textId="1E9C308B" w:rsidR="00C45F1E" w:rsidRPr="0021700B" w:rsidRDefault="00B15CFD" w:rsidP="00B15CFD">
    <w:pPr>
      <w:pStyle w:val="MDPIfooterfirstpage"/>
      <w:tabs>
        <w:tab w:val="clear" w:pos="8845"/>
        <w:tab w:val="right" w:pos="10466"/>
      </w:tabs>
      <w:spacing w:line="240" w:lineRule="auto"/>
      <w:jc w:val="both"/>
    </w:pPr>
    <w:hyperlink r:id="rId1" w:history="1">
      <w:r w:rsidRPr="007E5B61">
        <w:rPr>
          <w:rStyle w:val="Hyperlink"/>
          <w:rFonts w:ascii="Georgia" w:eastAsiaTheme="minorEastAsia" w:hAnsi="Georgia" w:cs="Arial"/>
          <w:szCs w:val="22"/>
          <w:lang w:eastAsia="zh-CN"/>
        </w:rPr>
        <w:t>https://doi.org/10.24404/62257f1976cff8c5d2559df3</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D4629" w14:textId="77777777" w:rsidR="00AF3113" w:rsidRDefault="00AF3113">
      <w:pPr>
        <w:spacing w:line="240" w:lineRule="auto"/>
      </w:pPr>
      <w:r>
        <w:separator/>
      </w:r>
    </w:p>
  </w:footnote>
  <w:footnote w:type="continuationSeparator" w:id="0">
    <w:p w14:paraId="6345828F" w14:textId="77777777" w:rsidR="00AF3113" w:rsidRDefault="00AF31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8FA5" w14:textId="77777777" w:rsidR="00C45F1E" w:rsidRDefault="00C45F1E" w:rsidP="00C45F1E">
    <w:pPr>
      <w:pStyle w:val="Koptekst"/>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EB48" w14:textId="77777777" w:rsidR="00281E5B" w:rsidRDefault="00BA570C" w:rsidP="00BA570C">
    <w:pPr>
      <w:tabs>
        <w:tab w:val="right" w:pos="10466"/>
      </w:tabs>
      <w:adjustRightInd w:val="0"/>
      <w:snapToGrid w:val="0"/>
      <w:spacing w:line="240" w:lineRule="auto"/>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F94115">
      <w:rPr>
        <w:sz w:val="16"/>
      </w:rPr>
      <w:t>11</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F94115">
      <w:rPr>
        <w:sz w:val="16"/>
      </w:rPr>
      <w:t>11</w:t>
    </w:r>
    <w:r w:rsidR="00A36565">
      <w:rPr>
        <w:sz w:val="16"/>
      </w:rPr>
      <w:fldChar w:fldCharType="end"/>
    </w:r>
  </w:p>
  <w:p w14:paraId="4D970EFC"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7" w:type="dxa"/>
      <w:tblCellMar>
        <w:left w:w="0" w:type="dxa"/>
        <w:right w:w="0" w:type="dxa"/>
      </w:tblCellMar>
      <w:tblLook w:val="04A0" w:firstRow="1" w:lastRow="0" w:firstColumn="1" w:lastColumn="0" w:noHBand="0" w:noVBand="1"/>
    </w:tblPr>
    <w:tblGrid>
      <w:gridCol w:w="5103"/>
      <w:gridCol w:w="5384"/>
      <w:gridCol w:w="20"/>
    </w:tblGrid>
    <w:tr w:rsidR="00281E5B" w:rsidRPr="00BA570C" w14:paraId="118C3106" w14:textId="77777777" w:rsidTr="000547D8">
      <w:trPr>
        <w:trHeight w:val="686"/>
      </w:trPr>
      <w:tc>
        <w:tcPr>
          <w:tcW w:w="5103" w:type="dxa"/>
          <w:shd w:val="clear" w:color="auto" w:fill="auto"/>
          <w:vAlign w:val="center"/>
        </w:tcPr>
        <w:p w14:paraId="61DF5898" w14:textId="77777777" w:rsidR="00281E5B" w:rsidRPr="00401235" w:rsidRDefault="177542A6" w:rsidP="00BA570C">
          <w:pPr>
            <w:pStyle w:val="Koptekst"/>
            <w:pBdr>
              <w:bottom w:val="none" w:sz="0" w:space="0" w:color="auto"/>
            </w:pBdr>
            <w:jc w:val="left"/>
            <w:rPr>
              <w:rFonts w:eastAsia="DengXian"/>
              <w:b/>
              <w:bCs/>
            </w:rPr>
          </w:pPr>
          <w:r>
            <w:rPr>
              <w:lang w:eastAsia="en-US" w:bidi="he-IL"/>
            </w:rPr>
            <w:drawing>
              <wp:inline distT="0" distB="0" distL="0" distR="0" wp14:anchorId="45549EB7" wp14:editId="5A59B143">
                <wp:extent cx="451796" cy="456269"/>
                <wp:effectExtent l="0" t="0" r="571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796" cy="456269"/>
                        </a:xfrm>
                        <a:prstGeom prst="rect">
                          <a:avLst/>
                        </a:prstGeom>
                      </pic:spPr>
                    </pic:pic>
                  </a:graphicData>
                </a:graphic>
              </wp:inline>
            </w:drawing>
          </w:r>
          <w:r w:rsidRPr="177542A6">
            <w:rPr>
              <w:rFonts w:eastAsia="DengXian"/>
              <w:b/>
              <w:bCs/>
            </w:rPr>
            <w:t xml:space="preserve"> </w:t>
          </w:r>
          <w:r>
            <w:rPr>
              <w:lang w:eastAsia="en-US" w:bidi="he-IL"/>
            </w:rPr>
            <w:drawing>
              <wp:inline distT="0" distB="0" distL="0" distR="0" wp14:anchorId="3DF24EED" wp14:editId="13CAB00B">
                <wp:extent cx="1541417" cy="6183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5384" w:type="dxa"/>
          <w:shd w:val="clear" w:color="auto" w:fill="auto"/>
          <w:vAlign w:val="center"/>
        </w:tcPr>
        <w:p w14:paraId="5056A306" w14:textId="77777777"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ARCH22 ‘</w:t>
          </w:r>
          <w:r w:rsidRPr="000547D8">
            <w:rPr>
              <w:rFonts w:ascii="Palatino Linotype" w:hAnsi="Palatino Linotype" w:cs="Segoe UI"/>
              <w:sz w:val="16"/>
              <w:szCs w:val="16"/>
            </w:rPr>
            <w:t>Enabling health, care and well-being through design research'</w:t>
          </w:r>
        </w:p>
        <w:p w14:paraId="26B8F4EC" w14:textId="77777777"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w:t>
          </w:r>
          <w:r w:rsidRPr="000547D8">
            <w:rPr>
              <w:rFonts w:ascii="Palatino Linotype" w:hAnsi="Palatino Linotype" w:cs="Segoe UI"/>
              <w:sz w:val="16"/>
              <w:szCs w:val="16"/>
            </w:rPr>
            <w:t xml:space="preserve">5th Architecture Research Care and Health conference </w:t>
          </w:r>
        </w:p>
        <w:p w14:paraId="2098D01D" w14:textId="77777777" w:rsidR="00281E5B" w:rsidRPr="004752C1"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Delft / </w:t>
          </w:r>
          <w:r w:rsidRPr="000547D8">
            <w:rPr>
              <w:rFonts w:ascii="Palatino Linotype" w:hAnsi="Palatino Linotype" w:cs="Segoe UI"/>
              <w:sz w:val="16"/>
              <w:szCs w:val="16"/>
            </w:rPr>
            <w:t>Rotterdam – the Netherlands – 22nd until 24th of August 2022.</w:t>
          </w:r>
        </w:p>
      </w:tc>
      <w:tc>
        <w:tcPr>
          <w:tcW w:w="20" w:type="dxa"/>
          <w:shd w:val="clear" w:color="auto" w:fill="auto"/>
          <w:vAlign w:val="center"/>
        </w:tcPr>
        <w:p w14:paraId="21749BDD" w14:textId="77777777" w:rsidR="00281E5B" w:rsidRPr="00401235" w:rsidRDefault="00281E5B" w:rsidP="00BA570C">
          <w:pPr>
            <w:pStyle w:val="Koptekst"/>
            <w:pBdr>
              <w:bottom w:val="none" w:sz="0" w:space="0" w:color="auto"/>
            </w:pBdr>
            <w:jc w:val="right"/>
            <w:rPr>
              <w:rFonts w:eastAsia="DengXian"/>
              <w:b/>
              <w:bCs/>
            </w:rPr>
          </w:pPr>
        </w:p>
      </w:tc>
    </w:tr>
  </w:tbl>
  <w:p w14:paraId="4A416E73" w14:textId="77777777" w:rsidR="00C45F1E" w:rsidRPr="00281E5B" w:rsidRDefault="00C45F1E"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4CC6"/>
    <w:multiLevelType w:val="hybridMultilevel"/>
    <w:tmpl w:val="5F6C43DA"/>
    <w:lvl w:ilvl="0" w:tplc="0409000F">
      <w:start w:val="1"/>
      <w:numFmt w:val="decimal"/>
      <w:lvlText w:val="%1."/>
      <w:lvlJc w:val="left"/>
      <w:pPr>
        <w:ind w:left="2628" w:hanging="360"/>
      </w:p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C1941"/>
    <w:multiLevelType w:val="hybridMultilevel"/>
    <w:tmpl w:val="2E3C2D78"/>
    <w:lvl w:ilvl="0" w:tplc="36FE2740">
      <w:start w:val="1"/>
      <w:numFmt w:val="decimal"/>
      <w:lvlText w:val="%1."/>
      <w:lvlJc w:val="left"/>
      <w:pPr>
        <w:ind w:left="3053" w:hanging="360"/>
      </w:pPr>
      <w:rPr>
        <w:rFonts w:hint="default"/>
      </w:rPr>
    </w:lvl>
    <w:lvl w:ilvl="1" w:tplc="04090019" w:tentative="1">
      <w:start w:val="1"/>
      <w:numFmt w:val="lowerLetter"/>
      <w:lvlText w:val="%2."/>
      <w:lvlJc w:val="left"/>
      <w:pPr>
        <w:ind w:left="3773" w:hanging="360"/>
      </w:pPr>
    </w:lvl>
    <w:lvl w:ilvl="2" w:tplc="0409001B" w:tentative="1">
      <w:start w:val="1"/>
      <w:numFmt w:val="lowerRoman"/>
      <w:lvlText w:val="%3."/>
      <w:lvlJc w:val="right"/>
      <w:pPr>
        <w:ind w:left="4493" w:hanging="180"/>
      </w:pPr>
    </w:lvl>
    <w:lvl w:ilvl="3" w:tplc="0409000F" w:tentative="1">
      <w:start w:val="1"/>
      <w:numFmt w:val="decimal"/>
      <w:lvlText w:val="%4."/>
      <w:lvlJc w:val="left"/>
      <w:pPr>
        <w:ind w:left="5213" w:hanging="360"/>
      </w:pPr>
    </w:lvl>
    <w:lvl w:ilvl="4" w:tplc="04090019" w:tentative="1">
      <w:start w:val="1"/>
      <w:numFmt w:val="lowerLetter"/>
      <w:lvlText w:val="%5."/>
      <w:lvlJc w:val="left"/>
      <w:pPr>
        <w:ind w:left="5933" w:hanging="360"/>
      </w:pPr>
    </w:lvl>
    <w:lvl w:ilvl="5" w:tplc="0409001B" w:tentative="1">
      <w:start w:val="1"/>
      <w:numFmt w:val="lowerRoman"/>
      <w:lvlText w:val="%6."/>
      <w:lvlJc w:val="right"/>
      <w:pPr>
        <w:ind w:left="6653" w:hanging="180"/>
      </w:pPr>
    </w:lvl>
    <w:lvl w:ilvl="6" w:tplc="0409000F" w:tentative="1">
      <w:start w:val="1"/>
      <w:numFmt w:val="decimal"/>
      <w:lvlText w:val="%7."/>
      <w:lvlJc w:val="left"/>
      <w:pPr>
        <w:ind w:left="7373" w:hanging="360"/>
      </w:pPr>
    </w:lvl>
    <w:lvl w:ilvl="7" w:tplc="04090019" w:tentative="1">
      <w:start w:val="1"/>
      <w:numFmt w:val="lowerLetter"/>
      <w:lvlText w:val="%8."/>
      <w:lvlJc w:val="left"/>
      <w:pPr>
        <w:ind w:left="8093" w:hanging="360"/>
      </w:pPr>
    </w:lvl>
    <w:lvl w:ilvl="8" w:tplc="0409001B" w:tentative="1">
      <w:start w:val="1"/>
      <w:numFmt w:val="lowerRoman"/>
      <w:lvlText w:val="%9."/>
      <w:lvlJc w:val="right"/>
      <w:pPr>
        <w:ind w:left="8813"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0B872BD"/>
    <w:multiLevelType w:val="hybridMultilevel"/>
    <w:tmpl w:val="B3B0FF8C"/>
    <w:lvl w:ilvl="0" w:tplc="3A788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1453355111">
    <w:abstractNumId w:val="4"/>
  </w:num>
  <w:num w:numId="2" w16cid:durableId="462115307">
    <w:abstractNumId w:val="7"/>
  </w:num>
  <w:num w:numId="3" w16cid:durableId="1930194753">
    <w:abstractNumId w:val="3"/>
  </w:num>
  <w:num w:numId="4" w16cid:durableId="1078022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6395360">
    <w:abstractNumId w:val="5"/>
  </w:num>
  <w:num w:numId="6" w16cid:durableId="1182167419">
    <w:abstractNumId w:val="10"/>
  </w:num>
  <w:num w:numId="7" w16cid:durableId="1417897388">
    <w:abstractNumId w:val="2"/>
  </w:num>
  <w:num w:numId="8" w16cid:durableId="421683124">
    <w:abstractNumId w:val="10"/>
  </w:num>
  <w:num w:numId="9" w16cid:durableId="1078937248">
    <w:abstractNumId w:val="2"/>
  </w:num>
  <w:num w:numId="10" w16cid:durableId="922951188">
    <w:abstractNumId w:val="10"/>
  </w:num>
  <w:num w:numId="11" w16cid:durableId="2062365482">
    <w:abstractNumId w:val="2"/>
  </w:num>
  <w:num w:numId="12" w16cid:durableId="93287525">
    <w:abstractNumId w:val="12"/>
  </w:num>
  <w:num w:numId="13" w16cid:durableId="1147556413">
    <w:abstractNumId w:val="10"/>
  </w:num>
  <w:num w:numId="14" w16cid:durableId="81220738">
    <w:abstractNumId w:val="2"/>
  </w:num>
  <w:num w:numId="15" w16cid:durableId="163863755">
    <w:abstractNumId w:val="1"/>
  </w:num>
  <w:num w:numId="16" w16cid:durableId="164705977">
    <w:abstractNumId w:val="9"/>
  </w:num>
  <w:num w:numId="17" w16cid:durableId="2117477407">
    <w:abstractNumId w:val="11"/>
  </w:num>
  <w:num w:numId="18" w16cid:durableId="1854881232">
    <w:abstractNumId w:val="1"/>
  </w:num>
  <w:num w:numId="19" w16cid:durableId="1034188528">
    <w:abstractNumId w:val="1"/>
  </w:num>
  <w:num w:numId="20" w16cid:durableId="1951428897">
    <w:abstractNumId w:val="1"/>
  </w:num>
  <w:num w:numId="21" w16cid:durableId="99567454">
    <w:abstractNumId w:val="1"/>
  </w:num>
  <w:num w:numId="22" w16cid:durableId="1484539479">
    <w:abstractNumId w:val="1"/>
  </w:num>
  <w:num w:numId="23" w16cid:durableId="1739092761">
    <w:abstractNumId w:val="1"/>
  </w:num>
  <w:num w:numId="24" w16cid:durableId="673340927">
    <w:abstractNumId w:val="0"/>
  </w:num>
  <w:num w:numId="25" w16cid:durableId="2012222876">
    <w:abstractNumId w:val="6"/>
  </w:num>
  <w:num w:numId="26" w16cid:durableId="13670211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0MzYzMTcwMDYzNTBR0lEKTi0uzszPAykwrgUASrNkpywAAAA="/>
  </w:docVars>
  <w:rsids>
    <w:rsidRoot w:val="00206552"/>
    <w:rsid w:val="000142CA"/>
    <w:rsid w:val="00020CE2"/>
    <w:rsid w:val="00037AE6"/>
    <w:rsid w:val="00051876"/>
    <w:rsid w:val="000547D8"/>
    <w:rsid w:val="00064772"/>
    <w:rsid w:val="00071218"/>
    <w:rsid w:val="00075D77"/>
    <w:rsid w:val="00080EFC"/>
    <w:rsid w:val="000855EA"/>
    <w:rsid w:val="000925CA"/>
    <w:rsid w:val="00093E7F"/>
    <w:rsid w:val="000A05C6"/>
    <w:rsid w:val="000C1BF3"/>
    <w:rsid w:val="001019A4"/>
    <w:rsid w:val="00104D24"/>
    <w:rsid w:val="00114997"/>
    <w:rsid w:val="00120E2E"/>
    <w:rsid w:val="001314F9"/>
    <w:rsid w:val="0014459E"/>
    <w:rsid w:val="00165C16"/>
    <w:rsid w:val="001664C3"/>
    <w:rsid w:val="00173D3A"/>
    <w:rsid w:val="00174FB3"/>
    <w:rsid w:val="001761B3"/>
    <w:rsid w:val="00180AB2"/>
    <w:rsid w:val="00185980"/>
    <w:rsid w:val="001A1BB3"/>
    <w:rsid w:val="001A27B2"/>
    <w:rsid w:val="001A57BF"/>
    <w:rsid w:val="001B38D4"/>
    <w:rsid w:val="001C7DC1"/>
    <w:rsid w:val="001D057B"/>
    <w:rsid w:val="001E2AEB"/>
    <w:rsid w:val="00204327"/>
    <w:rsid w:val="00206552"/>
    <w:rsid w:val="0021700B"/>
    <w:rsid w:val="002175AE"/>
    <w:rsid w:val="0022638C"/>
    <w:rsid w:val="002266AA"/>
    <w:rsid w:val="002316BB"/>
    <w:rsid w:val="00247D4E"/>
    <w:rsid w:val="00253CA3"/>
    <w:rsid w:val="00256E65"/>
    <w:rsid w:val="00281E5B"/>
    <w:rsid w:val="00290057"/>
    <w:rsid w:val="00291EF1"/>
    <w:rsid w:val="0029420B"/>
    <w:rsid w:val="002A1066"/>
    <w:rsid w:val="002A532A"/>
    <w:rsid w:val="002B2B1C"/>
    <w:rsid w:val="002D650D"/>
    <w:rsid w:val="002E57DB"/>
    <w:rsid w:val="002E5B86"/>
    <w:rsid w:val="002F1BFE"/>
    <w:rsid w:val="003110B3"/>
    <w:rsid w:val="00316C89"/>
    <w:rsid w:val="00326141"/>
    <w:rsid w:val="00330A75"/>
    <w:rsid w:val="003337EA"/>
    <w:rsid w:val="00334369"/>
    <w:rsid w:val="003350E9"/>
    <w:rsid w:val="00337833"/>
    <w:rsid w:val="00352240"/>
    <w:rsid w:val="00354A5A"/>
    <w:rsid w:val="003869F1"/>
    <w:rsid w:val="003D1D40"/>
    <w:rsid w:val="003D60EE"/>
    <w:rsid w:val="003E5A89"/>
    <w:rsid w:val="003E61CD"/>
    <w:rsid w:val="003E7640"/>
    <w:rsid w:val="003F4EFE"/>
    <w:rsid w:val="003F6C3A"/>
    <w:rsid w:val="0040015C"/>
    <w:rsid w:val="00401235"/>
    <w:rsid w:val="00401D30"/>
    <w:rsid w:val="0041133D"/>
    <w:rsid w:val="004215E7"/>
    <w:rsid w:val="00425371"/>
    <w:rsid w:val="00431D81"/>
    <w:rsid w:val="00462D4D"/>
    <w:rsid w:val="004752C1"/>
    <w:rsid w:val="0048108F"/>
    <w:rsid w:val="00484C98"/>
    <w:rsid w:val="004B0B17"/>
    <w:rsid w:val="004B4287"/>
    <w:rsid w:val="004C3F57"/>
    <w:rsid w:val="004C46B1"/>
    <w:rsid w:val="004E0F98"/>
    <w:rsid w:val="004E21A1"/>
    <w:rsid w:val="004E6CC7"/>
    <w:rsid w:val="004E7EF4"/>
    <w:rsid w:val="004F0E02"/>
    <w:rsid w:val="004F2BEA"/>
    <w:rsid w:val="005028E5"/>
    <w:rsid w:val="00502EEE"/>
    <w:rsid w:val="00506487"/>
    <w:rsid w:val="00511E44"/>
    <w:rsid w:val="005313EC"/>
    <w:rsid w:val="005327C9"/>
    <w:rsid w:val="005539D4"/>
    <w:rsid w:val="00565966"/>
    <w:rsid w:val="005660F6"/>
    <w:rsid w:val="00583714"/>
    <w:rsid w:val="005849AC"/>
    <w:rsid w:val="005B61A9"/>
    <w:rsid w:val="005C6417"/>
    <w:rsid w:val="005D13A9"/>
    <w:rsid w:val="005D3043"/>
    <w:rsid w:val="005E0240"/>
    <w:rsid w:val="005E14E8"/>
    <w:rsid w:val="005E1CAB"/>
    <w:rsid w:val="00604EDE"/>
    <w:rsid w:val="00607F24"/>
    <w:rsid w:val="006204BC"/>
    <w:rsid w:val="00632077"/>
    <w:rsid w:val="00632AA3"/>
    <w:rsid w:val="006429BB"/>
    <w:rsid w:val="00652971"/>
    <w:rsid w:val="006616EB"/>
    <w:rsid w:val="0066370A"/>
    <w:rsid w:val="006744FB"/>
    <w:rsid w:val="006777A9"/>
    <w:rsid w:val="00692393"/>
    <w:rsid w:val="006A424E"/>
    <w:rsid w:val="006A7FF4"/>
    <w:rsid w:val="006C6594"/>
    <w:rsid w:val="006E142A"/>
    <w:rsid w:val="00726439"/>
    <w:rsid w:val="007265EB"/>
    <w:rsid w:val="00740B6F"/>
    <w:rsid w:val="007413C0"/>
    <w:rsid w:val="0075794E"/>
    <w:rsid w:val="007628E6"/>
    <w:rsid w:val="00764E89"/>
    <w:rsid w:val="0076686D"/>
    <w:rsid w:val="007674BF"/>
    <w:rsid w:val="00770948"/>
    <w:rsid w:val="0077402B"/>
    <w:rsid w:val="007A108C"/>
    <w:rsid w:val="007A283C"/>
    <w:rsid w:val="007A2999"/>
    <w:rsid w:val="007A3B91"/>
    <w:rsid w:val="007C4221"/>
    <w:rsid w:val="007D26BE"/>
    <w:rsid w:val="007D2775"/>
    <w:rsid w:val="007E1AD0"/>
    <w:rsid w:val="007E5740"/>
    <w:rsid w:val="00822B3D"/>
    <w:rsid w:val="00822D33"/>
    <w:rsid w:val="00832857"/>
    <w:rsid w:val="00840934"/>
    <w:rsid w:val="00841933"/>
    <w:rsid w:val="008473BB"/>
    <w:rsid w:val="008523BB"/>
    <w:rsid w:val="00856549"/>
    <w:rsid w:val="00862D38"/>
    <w:rsid w:val="00865CE2"/>
    <w:rsid w:val="008838CF"/>
    <w:rsid w:val="00884763"/>
    <w:rsid w:val="0089344C"/>
    <w:rsid w:val="008B5125"/>
    <w:rsid w:val="008F446B"/>
    <w:rsid w:val="00923F56"/>
    <w:rsid w:val="00933E2C"/>
    <w:rsid w:val="00956613"/>
    <w:rsid w:val="00964A28"/>
    <w:rsid w:val="009821BC"/>
    <w:rsid w:val="00982453"/>
    <w:rsid w:val="00985C42"/>
    <w:rsid w:val="00993A21"/>
    <w:rsid w:val="00997EBB"/>
    <w:rsid w:val="009B16DB"/>
    <w:rsid w:val="009B7A35"/>
    <w:rsid w:val="009C57D5"/>
    <w:rsid w:val="009D0DA8"/>
    <w:rsid w:val="009D2B30"/>
    <w:rsid w:val="009D5560"/>
    <w:rsid w:val="009E7E90"/>
    <w:rsid w:val="009F1165"/>
    <w:rsid w:val="009F70E6"/>
    <w:rsid w:val="00A04FD6"/>
    <w:rsid w:val="00A0751C"/>
    <w:rsid w:val="00A36565"/>
    <w:rsid w:val="00A50421"/>
    <w:rsid w:val="00A52DE0"/>
    <w:rsid w:val="00A65307"/>
    <w:rsid w:val="00A70B08"/>
    <w:rsid w:val="00A80D0E"/>
    <w:rsid w:val="00A86E9F"/>
    <w:rsid w:val="00AA2500"/>
    <w:rsid w:val="00AA684A"/>
    <w:rsid w:val="00AC4290"/>
    <w:rsid w:val="00AD031B"/>
    <w:rsid w:val="00AE752A"/>
    <w:rsid w:val="00AF0644"/>
    <w:rsid w:val="00AF3113"/>
    <w:rsid w:val="00AF5A91"/>
    <w:rsid w:val="00B0046C"/>
    <w:rsid w:val="00B00A9C"/>
    <w:rsid w:val="00B00AFB"/>
    <w:rsid w:val="00B00CBA"/>
    <w:rsid w:val="00B15CFD"/>
    <w:rsid w:val="00B21347"/>
    <w:rsid w:val="00B25022"/>
    <w:rsid w:val="00B40059"/>
    <w:rsid w:val="00B43474"/>
    <w:rsid w:val="00B467E8"/>
    <w:rsid w:val="00B471AF"/>
    <w:rsid w:val="00B4734C"/>
    <w:rsid w:val="00B84F5A"/>
    <w:rsid w:val="00B850EB"/>
    <w:rsid w:val="00BA570C"/>
    <w:rsid w:val="00BB5981"/>
    <w:rsid w:val="00BC5801"/>
    <w:rsid w:val="00BD2405"/>
    <w:rsid w:val="00BD5735"/>
    <w:rsid w:val="00BD5BEB"/>
    <w:rsid w:val="00BE0791"/>
    <w:rsid w:val="00BE3D00"/>
    <w:rsid w:val="00C02A07"/>
    <w:rsid w:val="00C036E8"/>
    <w:rsid w:val="00C0462B"/>
    <w:rsid w:val="00C10006"/>
    <w:rsid w:val="00C125CF"/>
    <w:rsid w:val="00C264C5"/>
    <w:rsid w:val="00C34D12"/>
    <w:rsid w:val="00C43255"/>
    <w:rsid w:val="00C45F1E"/>
    <w:rsid w:val="00C600B5"/>
    <w:rsid w:val="00C74C48"/>
    <w:rsid w:val="00C7753A"/>
    <w:rsid w:val="00C8316E"/>
    <w:rsid w:val="00C90EAB"/>
    <w:rsid w:val="00C90F92"/>
    <w:rsid w:val="00C9601A"/>
    <w:rsid w:val="00CA6896"/>
    <w:rsid w:val="00CD3203"/>
    <w:rsid w:val="00CD7F97"/>
    <w:rsid w:val="00CE1104"/>
    <w:rsid w:val="00CE27A4"/>
    <w:rsid w:val="00CE7302"/>
    <w:rsid w:val="00D05A4D"/>
    <w:rsid w:val="00D07230"/>
    <w:rsid w:val="00D20063"/>
    <w:rsid w:val="00D223A8"/>
    <w:rsid w:val="00D2684C"/>
    <w:rsid w:val="00D26E27"/>
    <w:rsid w:val="00D32E9B"/>
    <w:rsid w:val="00D45B62"/>
    <w:rsid w:val="00D507C6"/>
    <w:rsid w:val="00D87A3F"/>
    <w:rsid w:val="00D92691"/>
    <w:rsid w:val="00D94F8A"/>
    <w:rsid w:val="00DA5238"/>
    <w:rsid w:val="00DB04E8"/>
    <w:rsid w:val="00DC0733"/>
    <w:rsid w:val="00DC1B34"/>
    <w:rsid w:val="00DC426C"/>
    <w:rsid w:val="00DC5535"/>
    <w:rsid w:val="00DD1EC5"/>
    <w:rsid w:val="00DE0306"/>
    <w:rsid w:val="00DF1968"/>
    <w:rsid w:val="00E034CE"/>
    <w:rsid w:val="00E058FB"/>
    <w:rsid w:val="00E11356"/>
    <w:rsid w:val="00E16B0D"/>
    <w:rsid w:val="00E22508"/>
    <w:rsid w:val="00E22CE5"/>
    <w:rsid w:val="00E30E54"/>
    <w:rsid w:val="00E70428"/>
    <w:rsid w:val="00E70628"/>
    <w:rsid w:val="00E943BD"/>
    <w:rsid w:val="00E94AAD"/>
    <w:rsid w:val="00EA77BB"/>
    <w:rsid w:val="00EF2B71"/>
    <w:rsid w:val="00EF7C2A"/>
    <w:rsid w:val="00F2590D"/>
    <w:rsid w:val="00F25D88"/>
    <w:rsid w:val="00F34258"/>
    <w:rsid w:val="00F528DD"/>
    <w:rsid w:val="00F577FD"/>
    <w:rsid w:val="00F57906"/>
    <w:rsid w:val="00F658F9"/>
    <w:rsid w:val="00F822A1"/>
    <w:rsid w:val="00F9176B"/>
    <w:rsid w:val="00F94115"/>
    <w:rsid w:val="00F9599C"/>
    <w:rsid w:val="00F97570"/>
    <w:rsid w:val="00FB4895"/>
    <w:rsid w:val="00FD00D8"/>
    <w:rsid w:val="00FE6213"/>
    <w:rsid w:val="00FF00B3"/>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68200"/>
  <w15:chartTrackingRefBased/>
  <w15:docId w15:val="{1CD31E70-8E30-4D2D-B7BD-17CD521C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E9F"/>
    <w:pPr>
      <w:spacing w:line="260" w:lineRule="atLeast"/>
      <w:jc w:val="both"/>
    </w:pPr>
    <w:rPr>
      <w:rFonts w:ascii="Palatino Linotype" w:hAnsi="Palatino Linotype"/>
      <w:noProof/>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DPI11articletype">
    <w:name w:val="MDPI_1.1_article_type"/>
    <w:next w:val="Standaard"/>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Standaard"/>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Standaard"/>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Standaard"/>
    <w:next w:val="Standaard"/>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Standaard"/>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Standaard"/>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Standaardtabe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raster">
    <w:name w:val="Table Grid"/>
    <w:basedOn w:val="Standaardtabe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KoptekstChar">
    <w:name w:val="Koptekst Char"/>
    <w:link w:val="Koptekst"/>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ntekst">
    <w:name w:val="Balloon Text"/>
    <w:basedOn w:val="Standaard"/>
    <w:link w:val="BallontekstChar"/>
    <w:uiPriority w:val="99"/>
    <w:rsid w:val="00A86E9F"/>
    <w:rPr>
      <w:rFonts w:cs="Tahoma"/>
      <w:szCs w:val="18"/>
    </w:rPr>
  </w:style>
  <w:style w:type="character" w:customStyle="1" w:styleId="BallontekstChar">
    <w:name w:val="Ballontekst Char"/>
    <w:link w:val="Ballontekst"/>
    <w:uiPriority w:val="99"/>
    <w:rsid w:val="00A86E9F"/>
    <w:rPr>
      <w:rFonts w:ascii="Palatino Linotype" w:hAnsi="Palatino Linotype" w:cs="Tahoma"/>
      <w:noProof/>
      <w:color w:val="000000"/>
      <w:szCs w:val="18"/>
    </w:rPr>
  </w:style>
  <w:style w:type="character" w:styleId="Regelnummer">
    <w:name w:val="line number"/>
    <w:uiPriority w:val="99"/>
    <w:rsid w:val="00AF0644"/>
    <w:rPr>
      <w:rFonts w:ascii="Palatino Linotype" w:hAnsi="Palatino Linotype"/>
      <w:sz w:val="16"/>
    </w:rPr>
  </w:style>
  <w:style w:type="table" w:customStyle="1" w:styleId="MDPI41threelinetable">
    <w:name w:val="MDPI_4.1_three_line_table"/>
    <w:basedOn w:val="Standaardtabe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Nirmala UI" w:hAnsi="Nirmala UI"/>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UnresolvedMention1">
    <w:name w:val="Unresolved Mention1"/>
    <w:uiPriority w:val="99"/>
    <w:semiHidden/>
    <w:unhideWhenUsed/>
    <w:rsid w:val="004C46B1"/>
    <w:rPr>
      <w:color w:val="605E5C"/>
      <w:shd w:val="clear" w:color="auto" w:fill="E1DFDD"/>
    </w:rPr>
  </w:style>
  <w:style w:type="paragraph" w:styleId="Voettekst">
    <w:name w:val="footer"/>
    <w:basedOn w:val="Standaard"/>
    <w:link w:val="VoettekstChar"/>
    <w:uiPriority w:val="99"/>
    <w:rsid w:val="00A86E9F"/>
    <w:pPr>
      <w:tabs>
        <w:tab w:val="center" w:pos="4153"/>
        <w:tab w:val="right" w:pos="8306"/>
      </w:tabs>
      <w:snapToGrid w:val="0"/>
      <w:spacing w:line="240" w:lineRule="atLeast"/>
    </w:pPr>
    <w:rPr>
      <w:szCs w:val="18"/>
    </w:rPr>
  </w:style>
  <w:style w:type="character" w:customStyle="1" w:styleId="VoettekstChar">
    <w:name w:val="Voettekst Char"/>
    <w:link w:val="Voettekst"/>
    <w:uiPriority w:val="99"/>
    <w:rsid w:val="00A86E9F"/>
    <w:rPr>
      <w:rFonts w:ascii="Palatino Linotype" w:hAnsi="Palatino Linotype"/>
      <w:noProof/>
      <w:color w:val="000000"/>
      <w:szCs w:val="18"/>
    </w:rPr>
  </w:style>
  <w:style w:type="table" w:styleId="Onopgemaaktetabel4">
    <w:name w:val="Plain Table 4"/>
    <w:basedOn w:val="Standaardtabe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Standaardtabe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fie">
    <w:name w:val="Bibliography"/>
    <w:basedOn w:val="Standaard"/>
    <w:next w:val="Standaard"/>
    <w:uiPriority w:val="37"/>
    <w:semiHidden/>
    <w:unhideWhenUsed/>
    <w:rsid w:val="00A86E9F"/>
  </w:style>
  <w:style w:type="paragraph" w:styleId="Plattetekst">
    <w:name w:val="Body Text"/>
    <w:link w:val="PlattetekstChar"/>
    <w:rsid w:val="00A86E9F"/>
    <w:pPr>
      <w:spacing w:after="120" w:line="340" w:lineRule="atLeast"/>
      <w:jc w:val="both"/>
    </w:pPr>
    <w:rPr>
      <w:rFonts w:ascii="Palatino Linotype" w:hAnsi="Palatino Linotype"/>
      <w:color w:val="000000"/>
      <w:sz w:val="24"/>
      <w:lang w:eastAsia="de-DE"/>
    </w:rPr>
  </w:style>
  <w:style w:type="character" w:customStyle="1" w:styleId="PlattetekstChar">
    <w:name w:val="Platte tekst Char"/>
    <w:link w:val="Plattetekst"/>
    <w:rsid w:val="00A86E9F"/>
    <w:rPr>
      <w:rFonts w:ascii="Palatino Linotype" w:hAnsi="Palatino Linotype"/>
      <w:color w:val="000000"/>
      <w:sz w:val="24"/>
      <w:lang w:eastAsia="de-DE"/>
    </w:rPr>
  </w:style>
  <w:style w:type="character" w:styleId="Verwijzingopmerking">
    <w:name w:val="annotation reference"/>
    <w:rsid w:val="00A86E9F"/>
    <w:rPr>
      <w:sz w:val="21"/>
      <w:szCs w:val="21"/>
    </w:rPr>
  </w:style>
  <w:style w:type="paragraph" w:styleId="Tekstopmerking">
    <w:name w:val="annotation text"/>
    <w:basedOn w:val="Standaard"/>
    <w:link w:val="TekstopmerkingChar"/>
    <w:rsid w:val="00A86E9F"/>
  </w:style>
  <w:style w:type="character" w:customStyle="1" w:styleId="TekstopmerkingChar">
    <w:name w:val="Tekst opmerking Char"/>
    <w:link w:val="Tekstopmerking"/>
    <w:rsid w:val="00A86E9F"/>
    <w:rPr>
      <w:rFonts w:ascii="Palatino Linotype" w:hAnsi="Palatino Linotype"/>
      <w:noProof/>
      <w:color w:val="000000"/>
    </w:rPr>
  </w:style>
  <w:style w:type="paragraph" w:styleId="Onderwerpvanopmerking">
    <w:name w:val="annotation subject"/>
    <w:basedOn w:val="Tekstopmerking"/>
    <w:next w:val="Tekstopmerking"/>
    <w:link w:val="OnderwerpvanopmerkingChar"/>
    <w:rsid w:val="00A86E9F"/>
    <w:rPr>
      <w:b/>
      <w:bCs/>
    </w:rPr>
  </w:style>
  <w:style w:type="character" w:customStyle="1" w:styleId="OnderwerpvanopmerkingChar">
    <w:name w:val="Onderwerp van opmerking Char"/>
    <w:link w:val="Onderwerpvanopmerking"/>
    <w:rsid w:val="00A86E9F"/>
    <w:rPr>
      <w:rFonts w:ascii="Palatino Linotype" w:hAnsi="Palatino Linotype"/>
      <w:b/>
      <w:bCs/>
      <w:noProof/>
      <w:color w:val="000000"/>
    </w:rPr>
  </w:style>
  <w:style w:type="character" w:styleId="Eindnootmarkering">
    <w:name w:val="endnote reference"/>
    <w:rsid w:val="00A86E9F"/>
    <w:rPr>
      <w:vertAlign w:val="superscript"/>
    </w:rPr>
  </w:style>
  <w:style w:type="paragraph" w:styleId="Eindnoottekst">
    <w:name w:val="endnote text"/>
    <w:basedOn w:val="Standaard"/>
    <w:link w:val="EindnoottekstChar"/>
    <w:semiHidden/>
    <w:unhideWhenUsed/>
    <w:rsid w:val="00A86E9F"/>
    <w:pPr>
      <w:spacing w:line="240" w:lineRule="auto"/>
    </w:pPr>
  </w:style>
  <w:style w:type="character" w:customStyle="1" w:styleId="EindnoottekstChar">
    <w:name w:val="Eindnoottekst Char"/>
    <w:link w:val="Eindnoottekst"/>
    <w:semiHidden/>
    <w:rsid w:val="00A86E9F"/>
    <w:rPr>
      <w:rFonts w:ascii="Palatino Linotype" w:hAnsi="Palatino Linotype"/>
      <w:noProof/>
      <w:color w:val="000000"/>
    </w:rPr>
  </w:style>
  <w:style w:type="character" w:styleId="GevolgdeHyperlink">
    <w:name w:val="FollowedHyperlink"/>
    <w:rsid w:val="00A86E9F"/>
    <w:rPr>
      <w:color w:val="954F72"/>
      <w:u w:val="single"/>
    </w:rPr>
  </w:style>
  <w:style w:type="paragraph" w:styleId="Voetnoottekst">
    <w:name w:val="footnote text"/>
    <w:basedOn w:val="Standaard"/>
    <w:link w:val="VoetnoottekstChar"/>
    <w:semiHidden/>
    <w:unhideWhenUsed/>
    <w:rsid w:val="00A86E9F"/>
    <w:pPr>
      <w:spacing w:line="240" w:lineRule="auto"/>
    </w:pPr>
  </w:style>
  <w:style w:type="character" w:customStyle="1" w:styleId="VoetnoottekstChar">
    <w:name w:val="Voetnoottekst Char"/>
    <w:link w:val="Voetnoottekst"/>
    <w:semiHidden/>
    <w:rsid w:val="00A86E9F"/>
    <w:rPr>
      <w:rFonts w:ascii="Palatino Linotype" w:hAnsi="Palatino Linotype"/>
      <w:noProof/>
      <w:color w:val="000000"/>
    </w:rPr>
  </w:style>
  <w:style w:type="paragraph" w:styleId="Normaalweb">
    <w:name w:val="Normal (Web)"/>
    <w:basedOn w:val="Standaard"/>
    <w:uiPriority w:val="99"/>
    <w:rsid w:val="00A86E9F"/>
    <w:rPr>
      <w:szCs w:val="24"/>
    </w:rPr>
  </w:style>
  <w:style w:type="paragraph" w:customStyle="1" w:styleId="MsoFootnoteText0">
    <w:name w:val="MsoFootnoteText"/>
    <w:basedOn w:val="Normaalweb"/>
    <w:qFormat/>
    <w:rsid w:val="00A86E9F"/>
    <w:rPr>
      <w:rFonts w:ascii="Times New Roman" w:hAnsi="Times New Roman"/>
    </w:rPr>
  </w:style>
  <w:style w:type="character" w:styleId="Paginanummer">
    <w:name w:val="page number"/>
    <w:rsid w:val="00A86E9F"/>
  </w:style>
  <w:style w:type="character" w:styleId="Tekstvantijdelijkeaanduiding">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Standaard"/>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Standaardalinea-lettertype"/>
    <w:rsid w:val="00206552"/>
  </w:style>
  <w:style w:type="character" w:customStyle="1" w:styleId="eop">
    <w:name w:val="eop"/>
    <w:basedOn w:val="Standaardalinea-lettertype"/>
    <w:rsid w:val="00206552"/>
  </w:style>
  <w:style w:type="paragraph" w:customStyle="1" w:styleId="References">
    <w:name w:val="References"/>
    <w:basedOn w:val="Standaard"/>
    <w:qFormat/>
    <w:rsid w:val="00DC1B34"/>
    <w:pPr>
      <w:spacing w:line="240" w:lineRule="auto"/>
      <w:ind w:left="720" w:hanging="720"/>
    </w:pPr>
    <w:rPr>
      <w:rFonts w:ascii="Bodoni SvtyTwo OS ITC TT-Book" w:eastAsia="Times New Roman" w:hAnsi="Bodoni SvtyTwo OS ITC TT-Book"/>
      <w:noProof w:val="0"/>
      <w:color w:val="auto"/>
      <w:szCs w:val="24"/>
      <w:lang w:val="en-GB" w:eastAsia="en-US"/>
    </w:rPr>
  </w:style>
  <w:style w:type="character" w:styleId="Nadruk">
    <w:name w:val="Emphasis"/>
    <w:basedOn w:val="Standaardalinea-lettertype"/>
    <w:uiPriority w:val="20"/>
    <w:qFormat/>
    <w:rsid w:val="00FD00D8"/>
    <w:rPr>
      <w:i/>
      <w:iCs/>
    </w:rPr>
  </w:style>
  <w:style w:type="paragraph" w:styleId="Lijstalinea">
    <w:name w:val="List Paragraph"/>
    <w:basedOn w:val="Standaard"/>
    <w:uiPriority w:val="34"/>
    <w:qFormat/>
    <w:rsid w:val="00FD00D8"/>
    <w:pPr>
      <w:ind w:left="720"/>
      <w:contextualSpacing/>
    </w:pPr>
  </w:style>
  <w:style w:type="character" w:customStyle="1" w:styleId="UnresolvedMention10">
    <w:name w:val="Unresolved Mention1"/>
    <w:uiPriority w:val="99"/>
    <w:semiHidden/>
    <w:unhideWhenUsed/>
    <w:rsid w:val="00B40059"/>
    <w:rPr>
      <w:color w:val="605E5C"/>
      <w:shd w:val="clear" w:color="auto" w:fill="E1DFDD"/>
    </w:rPr>
  </w:style>
  <w:style w:type="paragraph" w:styleId="Revisie">
    <w:name w:val="Revision"/>
    <w:hidden/>
    <w:uiPriority w:val="99"/>
    <w:semiHidden/>
    <w:rsid w:val="00B40059"/>
    <w:rPr>
      <w:rFonts w:ascii="Palatino Linotype" w:hAnsi="Palatino Linotype"/>
      <w:noProof/>
      <w:color w:val="000000"/>
    </w:rPr>
  </w:style>
  <w:style w:type="paragraph" w:customStyle="1" w:styleId="phd1">
    <w:name w:val="phd 1"/>
    <w:basedOn w:val="Standaard"/>
    <w:autoRedefine/>
    <w:qFormat/>
    <w:rsid w:val="00B40059"/>
    <w:pPr>
      <w:spacing w:line="480" w:lineRule="auto"/>
      <w:ind w:left="11"/>
      <w:contextualSpacing/>
      <w:jc w:val="left"/>
      <w:textboxTightWrap w:val="firstAndLastLine"/>
      <w:outlineLvl w:val="0"/>
    </w:pPr>
    <w:rPr>
      <w:rFonts w:asciiTheme="majorBidi" w:eastAsiaTheme="minorHAnsi" w:hAnsiTheme="majorBidi" w:cstheme="majorBidi"/>
      <w:bCs/>
      <w:noProof w:val="0"/>
      <w:color w:val="auto"/>
      <w:sz w:val="32"/>
      <w:szCs w:val="32"/>
      <w:lang w:eastAsia="en-US" w:bidi="he-IL"/>
    </w:rPr>
  </w:style>
  <w:style w:type="character" w:styleId="Onopgelostemelding">
    <w:name w:val="Unresolved Mention"/>
    <w:basedOn w:val="Standaardalinea-lettertype"/>
    <w:uiPriority w:val="99"/>
    <w:semiHidden/>
    <w:unhideWhenUsed/>
    <w:rsid w:val="00075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653069004">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 w:id="1973901446">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033847051">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uvalpalgi@gmail.com"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yifatrom@gmail.com" TargetMode="Externa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24404/62257f1976cff8c5d2559df3"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misaacson@univ.haifa.ac.i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greenberg86@gmail.com"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doi.org/10.24404/62257f1976cff8c5d2559df3"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AB46B3-1461-4FB1-BC35-4E978E7091DA}">
  <ds:schemaRefs>
    <ds:schemaRef ds:uri="http://schemas.openxmlformats.org/officeDocument/2006/bibliography"/>
  </ds:schemaRefs>
</ds:datastoreItem>
</file>

<file path=customXml/itemProps2.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A7B494-9513-4C9C-AAC7-16984925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C7EAA1-11D4-476F-866D-96D4212BBD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7918</Words>
  <Characters>45134</Characters>
  <Application>Microsoft Office Word</Application>
  <DocSecurity>0</DocSecurity>
  <Lines>376</Lines>
  <Paragraphs>105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52947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Clarine van Oel</cp:lastModifiedBy>
  <cp:revision>4</cp:revision>
  <cp:lastPrinted>2022-05-30T06:04:00Z</cp:lastPrinted>
  <dcterms:created xsi:type="dcterms:W3CDTF">2023-11-20T19:15:00Z</dcterms:created>
  <dcterms:modified xsi:type="dcterms:W3CDTF">2023-11-20T19:24:00Z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