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9B16DB" w:rsidRDefault="00A86E9F" w:rsidP="06E4EE12">
      <w:pPr>
        <w:pStyle w:val="MDPI11articletype"/>
        <w:rPr>
          <w:rFonts w:ascii="Georgia" w:eastAsiaTheme="minorEastAsia" w:hAnsi="Georgia" w:cs="Arial"/>
          <w:i w:val="0"/>
          <w:sz w:val="18"/>
          <w:szCs w:val="18"/>
          <w:highlight w:val="lightGray"/>
        </w:rPr>
      </w:pPr>
      <w:r w:rsidRPr="009B16DB">
        <w:rPr>
          <w:rFonts w:ascii="Georgia" w:eastAsiaTheme="minorEastAsia" w:hAnsi="Georgia" w:cs="Arial"/>
          <w:i w:val="0"/>
          <w:sz w:val="18"/>
          <w:szCs w:val="18"/>
          <w:highlight w:val="lightGray"/>
        </w:rPr>
        <w:t>Type of the Paper</w:t>
      </w:r>
      <w:r w:rsidR="004752C1" w:rsidRPr="009B16DB">
        <w:rPr>
          <w:rFonts w:ascii="Georgia" w:eastAsiaTheme="minorEastAsia" w:hAnsi="Georgia" w:cs="Arial"/>
          <w:i w:val="0"/>
          <w:sz w:val="18"/>
          <w:szCs w:val="18"/>
          <w:highlight w:val="lightGray"/>
        </w:rPr>
        <w:t xml:space="preserve">: </w:t>
      </w:r>
      <w:r w:rsidR="009B16DB" w:rsidRPr="009B16DB">
        <w:rPr>
          <w:rFonts w:ascii="Georgia" w:eastAsiaTheme="minorEastAsia" w:hAnsi="Georgia" w:cs="Arial"/>
          <w:i w:val="0"/>
          <w:sz w:val="18"/>
          <w:szCs w:val="18"/>
          <w:highlight w:val="lightGray"/>
        </w:rPr>
        <w:t xml:space="preserve">Peer-reviewed Conference Paper </w:t>
      </w:r>
      <w:r w:rsidR="3ED7D62B" w:rsidRPr="009B16DB">
        <w:rPr>
          <w:rFonts w:ascii="Georgia" w:eastAsiaTheme="minorEastAsia" w:hAnsi="Georgia" w:cs="Arial"/>
          <w:i w:val="0"/>
          <w:sz w:val="18"/>
          <w:szCs w:val="18"/>
          <w:highlight w:val="lightGray"/>
        </w:rPr>
        <w:t>/</w:t>
      </w:r>
      <w:r w:rsidR="068D4D45" w:rsidRPr="009B16DB">
        <w:rPr>
          <w:rFonts w:ascii="Georgia" w:eastAsiaTheme="minorEastAsia" w:hAnsi="Georgia" w:cs="Arial"/>
          <w:i w:val="0"/>
          <w:sz w:val="18"/>
          <w:szCs w:val="18"/>
          <w:highlight w:val="lightGray"/>
        </w:rPr>
        <w:t xml:space="preserve"> </w:t>
      </w:r>
      <w:r w:rsidR="00206552" w:rsidRPr="009B16DB">
        <w:rPr>
          <w:rFonts w:ascii="Georgia" w:eastAsiaTheme="minorEastAsia" w:hAnsi="Georgia" w:cs="Arial"/>
          <w:i w:val="0"/>
          <w:sz w:val="18"/>
          <w:szCs w:val="18"/>
          <w:highlight w:val="lightGray"/>
        </w:rPr>
        <w:t xml:space="preserve">Full </w:t>
      </w:r>
      <w:r w:rsidR="33E51B6E" w:rsidRPr="009B16DB">
        <w:rPr>
          <w:rFonts w:ascii="Georgia" w:eastAsiaTheme="minorEastAsia" w:hAnsi="Georgia" w:cs="Arial"/>
          <w:i w:val="0"/>
          <w:sz w:val="18"/>
          <w:szCs w:val="18"/>
          <w:highlight w:val="lightGray"/>
        </w:rPr>
        <w:t>P</w:t>
      </w:r>
      <w:r w:rsidR="00206552" w:rsidRPr="009B16DB">
        <w:rPr>
          <w:rFonts w:ascii="Georgia" w:eastAsiaTheme="minorEastAsia" w:hAnsi="Georgia" w:cs="Arial"/>
          <w:i w:val="0"/>
          <w:sz w:val="18"/>
          <w:szCs w:val="18"/>
          <w:highlight w:val="lightGray"/>
        </w:rPr>
        <w:t>aper</w:t>
      </w:r>
    </w:p>
    <w:p w14:paraId="37C53096" w14:textId="3676E353" w:rsidR="004752C1" w:rsidRPr="005C6417" w:rsidRDefault="004752C1" w:rsidP="004752C1">
      <w:pPr>
        <w:pStyle w:val="MDPI11articletype"/>
        <w:rPr>
          <w:rFonts w:ascii="Georgia" w:eastAsiaTheme="minorEastAsia" w:hAnsi="Georgia" w:cs="Arial"/>
          <w:i w:val="0"/>
        </w:rPr>
      </w:pPr>
      <w:r w:rsidRPr="00F34258">
        <w:rPr>
          <w:rFonts w:ascii="Georgia" w:eastAsiaTheme="minorEastAsia" w:hAnsi="Georgia" w:cs="Arial"/>
          <w:i w:val="0"/>
          <w:highlight w:val="lightGray"/>
        </w:rPr>
        <w:t>Track title:</w:t>
      </w:r>
      <w:r w:rsidRPr="00F34258">
        <w:rPr>
          <w:rFonts w:ascii="Georgia" w:eastAsiaTheme="minorEastAsia" w:hAnsi="Georgia" w:cs="Arial"/>
          <w:i w:val="0"/>
        </w:rPr>
        <w:t xml:space="preserve"> </w:t>
      </w:r>
      <w:r w:rsidR="00F34258">
        <w:rPr>
          <w:rFonts w:ascii="Georgia" w:eastAsiaTheme="minorEastAsia" w:hAnsi="Georgia" w:cs="Arial"/>
          <w:i w:val="0"/>
        </w:rPr>
        <w:t>please fill in you track title here</w:t>
      </w:r>
    </w:p>
    <w:p w14:paraId="672A6659" w14:textId="77777777" w:rsidR="004752C1" w:rsidRPr="005C6417" w:rsidRDefault="004752C1" w:rsidP="004752C1">
      <w:pPr>
        <w:rPr>
          <w:rFonts w:ascii="Georgia" w:eastAsiaTheme="minorEastAsia" w:hAnsi="Georgia" w:cs="Arial"/>
          <w:lang w:eastAsia="de-DE" w:bidi="en-US"/>
        </w:rPr>
      </w:pPr>
    </w:p>
    <w:p w14:paraId="2049CC79" w14:textId="77777777" w:rsidR="00224F2A" w:rsidRDefault="00224F2A" w:rsidP="00A86E9F">
      <w:pPr>
        <w:pStyle w:val="MDPI13authornames"/>
        <w:rPr>
          <w:rFonts w:ascii="Georgia" w:eastAsiaTheme="minorEastAsia" w:hAnsi="Georgia" w:cs="Arial"/>
          <w:b w:val="0"/>
          <w:snapToGrid w:val="0"/>
          <w:sz w:val="36"/>
          <w:szCs w:val="20"/>
        </w:rPr>
      </w:pPr>
      <w:r w:rsidRPr="00224F2A">
        <w:rPr>
          <w:rFonts w:ascii="Georgia" w:eastAsiaTheme="minorEastAsia" w:hAnsi="Georgia" w:cs="Arial"/>
          <w:b w:val="0"/>
          <w:snapToGrid w:val="0"/>
          <w:sz w:val="36"/>
          <w:szCs w:val="20"/>
        </w:rPr>
        <w:t>Co-Creating Space for Mental Health: Collaboration, Creativity, and Communication</w:t>
      </w:r>
    </w:p>
    <w:p w14:paraId="1E4E8E64" w14:textId="76E9964E" w:rsidR="00AA684A" w:rsidRPr="005C6417" w:rsidRDefault="00224F2A" w:rsidP="00A86E9F">
      <w:pPr>
        <w:pStyle w:val="MDPI13authornames"/>
        <w:rPr>
          <w:rFonts w:ascii="Georgia" w:eastAsiaTheme="minorEastAsia" w:hAnsi="Georgia" w:cs="Arial"/>
          <w:b w:val="0"/>
        </w:rPr>
      </w:pPr>
      <w:r>
        <w:rPr>
          <w:rFonts w:ascii="Georgia" w:eastAsiaTheme="minorEastAsia" w:hAnsi="Georgia" w:cs="Arial"/>
          <w:b w:val="0"/>
        </w:rPr>
        <w:t xml:space="preserve">Ro </w:t>
      </w:r>
      <w:proofErr w:type="spellStart"/>
      <w:r>
        <w:rPr>
          <w:rFonts w:ascii="Georgia" w:eastAsiaTheme="minorEastAsia" w:hAnsi="Georgia" w:cs="Arial"/>
          <w:b w:val="0"/>
        </w:rPr>
        <w:t>Spankie</w:t>
      </w:r>
      <w:proofErr w:type="spellEnd"/>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sidR="00A86E9F" w:rsidRPr="005C6417">
        <w:rPr>
          <w:rFonts w:ascii="Georgia" w:eastAsiaTheme="minorEastAsia" w:hAnsi="Georgia" w:cs="Arial"/>
          <w:b w:val="0"/>
        </w:rPr>
        <w:t xml:space="preserve">, </w:t>
      </w:r>
      <w:r>
        <w:rPr>
          <w:rFonts w:ascii="Georgia" w:eastAsiaTheme="minorEastAsia" w:hAnsi="Georgia" w:cs="Arial"/>
          <w:b w:val="0"/>
        </w:rPr>
        <w:t>Alastair Blyth</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2</w:t>
      </w:r>
      <w:r w:rsidR="0090202C">
        <w:rPr>
          <w:rFonts w:ascii="Georgia" w:eastAsiaTheme="minorEastAsia" w:hAnsi="Georgia" w:cs="Arial"/>
          <w:b w:val="0"/>
        </w:rPr>
        <w:t xml:space="preserve">, </w:t>
      </w:r>
      <w:proofErr w:type="spellStart"/>
      <w:r>
        <w:rPr>
          <w:rFonts w:ascii="Georgia" w:eastAsiaTheme="minorEastAsia" w:hAnsi="Georgia" w:cs="Arial"/>
          <w:b w:val="0"/>
        </w:rPr>
        <w:t>Diony</w:t>
      </w:r>
      <w:proofErr w:type="spellEnd"/>
      <w:r>
        <w:rPr>
          <w:rFonts w:ascii="Georgia" w:eastAsiaTheme="minorEastAsia" w:hAnsi="Georgia" w:cs="Arial"/>
          <w:b w:val="0"/>
        </w:rPr>
        <w:t xml:space="preserve"> </w:t>
      </w:r>
      <w:proofErr w:type="spellStart"/>
      <w:r>
        <w:rPr>
          <w:rFonts w:ascii="Georgia" w:eastAsiaTheme="minorEastAsia" w:hAnsi="Georgia" w:cs="Arial"/>
          <w:b w:val="0"/>
        </w:rPr>
        <w:t>Kypraiou</w:t>
      </w:r>
      <w:proofErr w:type="spellEnd"/>
      <w:r w:rsidR="00A86E9F" w:rsidRPr="005C6417">
        <w:rPr>
          <w:rFonts w:ascii="Georgia" w:eastAsiaTheme="minorEastAsia" w:hAnsi="Georgia" w:cs="Arial"/>
          <w:b w:val="0"/>
        </w:rPr>
        <w:t xml:space="preserve"> </w:t>
      </w:r>
      <w:r w:rsidRPr="0090202C">
        <w:rPr>
          <w:rFonts w:ascii="Georgia" w:eastAsiaTheme="minorEastAsia" w:hAnsi="Georgia" w:cs="Arial"/>
          <w:b w:val="0"/>
          <w:vertAlign w:val="superscript"/>
        </w:rPr>
        <w:t>3</w:t>
      </w:r>
      <w:r w:rsidR="0090202C" w:rsidRPr="0090202C">
        <w:rPr>
          <w:rFonts w:ascii="Georgia" w:eastAsiaTheme="minorEastAsia" w:hAnsi="Georgia" w:cs="Arial"/>
          <w:b w:val="0"/>
          <w:vertAlign w:val="superscript"/>
        </w:rPr>
        <w:t xml:space="preserve"> </w:t>
      </w:r>
      <w:r w:rsidR="0090202C" w:rsidRPr="0090202C">
        <w:rPr>
          <w:rFonts w:ascii="Georgia" w:eastAsiaTheme="minorEastAsia" w:hAnsi="Georgia" w:cs="Arial"/>
          <w:b w:val="0"/>
          <w:color w:val="000000" w:themeColor="text1"/>
          <w:szCs w:val="18"/>
          <w:shd w:val="clear" w:color="auto" w:fill="FFFFFF"/>
        </w:rPr>
        <w:t>Wing May Kong</w:t>
      </w:r>
      <w:r w:rsidR="0090202C">
        <w:rPr>
          <w:rFonts w:ascii="Georgia" w:eastAsiaTheme="minorEastAsia" w:hAnsi="Georgia" w:cs="Arial"/>
          <w:b w:val="0"/>
          <w:color w:val="000000" w:themeColor="text1"/>
          <w:szCs w:val="18"/>
          <w:shd w:val="clear" w:color="auto" w:fill="FFFFFF"/>
        </w:rPr>
        <w:t xml:space="preserve"> </w:t>
      </w:r>
      <w:r w:rsidR="0090202C" w:rsidRPr="0090202C">
        <w:rPr>
          <w:rFonts w:ascii="Georgia" w:eastAsiaTheme="minorEastAsia" w:hAnsi="Georgia" w:cs="Arial"/>
          <w:color w:val="000000" w:themeColor="text1"/>
          <w:shd w:val="clear" w:color="auto" w:fill="FFFFFF"/>
          <w:vertAlign w:val="superscript"/>
        </w:rPr>
        <w:t>4</w:t>
      </w:r>
      <w:r w:rsidR="0090202C" w:rsidRPr="0090202C">
        <w:rPr>
          <w:rFonts w:ascii="Georgia" w:eastAsiaTheme="minorEastAsia" w:hAnsi="Georgia" w:cs="Arial"/>
          <w:color w:val="000000" w:themeColor="text1"/>
          <w:shd w:val="clear" w:color="auto" w:fill="FFFFFF"/>
          <w:vertAlign w:val="superscript"/>
        </w:rPr>
        <w:tab/>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F34258" w:rsidRDefault="004752C1" w:rsidP="125D4863">
            <w:pPr>
              <w:rPr>
                <w:rFonts w:ascii="Georgia" w:eastAsiaTheme="minorEastAsia" w:hAnsi="Georgia" w:cs="Arial"/>
                <w:b/>
                <w:bCs/>
                <w:sz w:val="14"/>
                <w:szCs w:val="14"/>
                <w:highlight w:val="lightGray"/>
              </w:rPr>
            </w:pPr>
            <w:r w:rsidRPr="00F34258">
              <w:rPr>
                <w:rFonts w:ascii="Georgia" w:eastAsiaTheme="minorEastAsia" w:hAnsi="Georgia" w:cs="Arial"/>
                <w:b/>
                <w:bCs/>
                <w:sz w:val="14"/>
                <w:szCs w:val="14"/>
                <w:highlight w:val="lightGray"/>
              </w:rPr>
              <w:t xml:space="preserve">Names of the </w:t>
            </w:r>
            <w:r w:rsidR="569C023D" w:rsidRPr="00F34258">
              <w:rPr>
                <w:rFonts w:ascii="Georgia" w:eastAsiaTheme="minorEastAsia" w:hAnsi="Georgia" w:cs="Arial"/>
                <w:b/>
                <w:bCs/>
                <w:sz w:val="14"/>
                <w:szCs w:val="14"/>
                <w:highlight w:val="lightGray"/>
              </w:rPr>
              <w:t xml:space="preserve">track </w:t>
            </w:r>
            <w:r w:rsidRPr="00F34258">
              <w:rPr>
                <w:rFonts w:ascii="Georgia" w:eastAsiaTheme="minorEastAsia" w:hAnsi="Georgia" w:cs="Arial"/>
                <w:b/>
                <w:bCs/>
                <w:sz w:val="14"/>
                <w:szCs w:val="14"/>
                <w:highlight w:val="lightGray"/>
              </w:rPr>
              <w:t xml:space="preserve">editors: </w:t>
            </w:r>
          </w:p>
          <w:p w14:paraId="06A2E58C" w14:textId="0857B8E4" w:rsidR="004752C1" w:rsidRPr="00F34258" w:rsidRDefault="004752C1" w:rsidP="00E16B0D">
            <w:pPr>
              <w:adjustRightInd w:val="0"/>
              <w:snapToGrid w:val="0"/>
              <w:rPr>
                <w:rFonts w:ascii="Georgia" w:eastAsiaTheme="minorEastAsia" w:hAnsi="Georgia" w:cs="Arial"/>
                <w:sz w:val="14"/>
                <w:szCs w:val="22"/>
                <w:highlight w:val="lightGray"/>
              </w:rPr>
            </w:pPr>
            <w:proofErr w:type="spellStart"/>
            <w:r w:rsidRPr="00F34258">
              <w:rPr>
                <w:rFonts w:ascii="Georgia" w:eastAsiaTheme="minorEastAsia" w:hAnsi="Georgia" w:cs="Arial"/>
                <w:sz w:val="14"/>
                <w:szCs w:val="22"/>
                <w:highlight w:val="lightGray"/>
              </w:rPr>
              <w:t>Firstname</w:t>
            </w:r>
            <w:proofErr w:type="spellEnd"/>
            <w:r w:rsidRPr="00F34258">
              <w:rPr>
                <w:rFonts w:ascii="Georgia" w:eastAsiaTheme="minorEastAsia" w:hAnsi="Georgia" w:cs="Arial"/>
                <w:sz w:val="14"/>
                <w:szCs w:val="22"/>
                <w:highlight w:val="lightGray"/>
              </w:rPr>
              <w:t xml:space="preserve"> </w:t>
            </w:r>
            <w:proofErr w:type="spellStart"/>
            <w:r w:rsidRPr="00F34258">
              <w:rPr>
                <w:rFonts w:ascii="Georgia" w:eastAsiaTheme="minorEastAsia" w:hAnsi="Georgia" w:cs="Arial"/>
                <w:sz w:val="14"/>
                <w:szCs w:val="22"/>
                <w:highlight w:val="lightGray"/>
              </w:rPr>
              <w:t>Lastname</w:t>
            </w:r>
            <w:proofErr w:type="spellEnd"/>
          </w:p>
          <w:p w14:paraId="285CB0FC" w14:textId="2BB809A5" w:rsidR="00E16B0D" w:rsidRPr="00F34258" w:rsidRDefault="00E16B0D" w:rsidP="00E16B0D">
            <w:pPr>
              <w:adjustRightInd w:val="0"/>
              <w:snapToGrid w:val="0"/>
              <w:rPr>
                <w:rFonts w:ascii="Georgia" w:eastAsiaTheme="minorEastAsia" w:hAnsi="Georgia" w:cs="Arial"/>
                <w:sz w:val="14"/>
                <w:szCs w:val="22"/>
                <w:highlight w:val="lightGray"/>
              </w:rPr>
            </w:pPr>
            <w:proofErr w:type="spellStart"/>
            <w:r w:rsidRPr="00F34258">
              <w:rPr>
                <w:rFonts w:ascii="Georgia" w:eastAsiaTheme="minorEastAsia" w:hAnsi="Georgia" w:cs="Arial"/>
                <w:sz w:val="14"/>
                <w:szCs w:val="22"/>
                <w:highlight w:val="lightGray"/>
              </w:rPr>
              <w:t>Firstname</w:t>
            </w:r>
            <w:proofErr w:type="spellEnd"/>
            <w:r w:rsidRPr="00F34258">
              <w:rPr>
                <w:rFonts w:ascii="Georgia" w:eastAsiaTheme="minorEastAsia" w:hAnsi="Georgia" w:cs="Arial"/>
                <w:sz w:val="14"/>
                <w:szCs w:val="22"/>
                <w:highlight w:val="lightGray"/>
              </w:rPr>
              <w:t xml:space="preserve"> </w:t>
            </w:r>
            <w:proofErr w:type="spellStart"/>
            <w:r w:rsidRPr="00F34258">
              <w:rPr>
                <w:rFonts w:ascii="Georgia" w:eastAsiaTheme="minorEastAsia" w:hAnsi="Georgia" w:cs="Arial"/>
                <w:sz w:val="14"/>
                <w:szCs w:val="22"/>
                <w:highlight w:val="lightGray"/>
              </w:rPr>
              <w:t>Lastname</w:t>
            </w:r>
            <w:proofErr w:type="spellEnd"/>
          </w:p>
          <w:p w14:paraId="2A86B3A5" w14:textId="77777777" w:rsidR="004752C1" w:rsidRPr="00F34258" w:rsidRDefault="004752C1" w:rsidP="0BCF47E0">
            <w:pPr>
              <w:rPr>
                <w:rFonts w:ascii="Georgia" w:eastAsiaTheme="minorEastAsia" w:hAnsi="Georgia" w:cs="Arial"/>
                <w:b/>
                <w:bCs/>
                <w:sz w:val="14"/>
                <w:szCs w:val="14"/>
                <w:highlight w:val="lightGray"/>
              </w:rPr>
            </w:pPr>
            <w:r w:rsidRPr="00F34258">
              <w:rPr>
                <w:rFonts w:ascii="Georgia" w:eastAsiaTheme="minorEastAsia" w:hAnsi="Georgia" w:cs="Arial"/>
                <w:b/>
                <w:bCs/>
                <w:sz w:val="14"/>
                <w:szCs w:val="14"/>
                <w:highlight w:val="lightGray"/>
              </w:rPr>
              <w:t xml:space="preserve">Names of the reviewers: </w:t>
            </w:r>
          </w:p>
          <w:p w14:paraId="15C03BF2" w14:textId="1CECC305" w:rsidR="004752C1" w:rsidRPr="00F34258" w:rsidRDefault="004752C1" w:rsidP="00E16B0D">
            <w:pPr>
              <w:adjustRightInd w:val="0"/>
              <w:snapToGrid w:val="0"/>
              <w:rPr>
                <w:rFonts w:ascii="Georgia" w:eastAsiaTheme="minorEastAsia" w:hAnsi="Georgia" w:cs="Arial"/>
                <w:sz w:val="14"/>
                <w:szCs w:val="22"/>
                <w:highlight w:val="lightGray"/>
              </w:rPr>
            </w:pPr>
            <w:proofErr w:type="spellStart"/>
            <w:r w:rsidRPr="00F34258">
              <w:rPr>
                <w:rFonts w:ascii="Georgia" w:eastAsiaTheme="minorEastAsia" w:hAnsi="Georgia" w:cs="Arial"/>
                <w:sz w:val="14"/>
                <w:szCs w:val="22"/>
                <w:highlight w:val="lightGray"/>
              </w:rPr>
              <w:t>Firstname</w:t>
            </w:r>
            <w:proofErr w:type="spellEnd"/>
            <w:r w:rsidRPr="00F34258">
              <w:rPr>
                <w:rFonts w:ascii="Georgia" w:eastAsiaTheme="minorEastAsia" w:hAnsi="Georgia" w:cs="Arial"/>
                <w:sz w:val="14"/>
                <w:szCs w:val="22"/>
                <w:highlight w:val="lightGray"/>
              </w:rPr>
              <w:t xml:space="preserve"> </w:t>
            </w:r>
            <w:proofErr w:type="spellStart"/>
            <w:r w:rsidRPr="00F34258">
              <w:rPr>
                <w:rFonts w:ascii="Georgia" w:eastAsiaTheme="minorEastAsia" w:hAnsi="Georgia" w:cs="Arial"/>
                <w:sz w:val="14"/>
                <w:szCs w:val="22"/>
                <w:highlight w:val="lightGray"/>
              </w:rPr>
              <w:t>Lastname</w:t>
            </w:r>
            <w:proofErr w:type="spellEnd"/>
          </w:p>
          <w:p w14:paraId="4202474C" w14:textId="42E925CE" w:rsidR="00E16B0D" w:rsidRPr="00F34258" w:rsidRDefault="00E16B0D" w:rsidP="00E16B0D">
            <w:pPr>
              <w:adjustRightInd w:val="0"/>
              <w:snapToGrid w:val="0"/>
              <w:rPr>
                <w:rFonts w:ascii="Georgia" w:eastAsiaTheme="minorEastAsia" w:hAnsi="Georgia" w:cs="Arial"/>
                <w:sz w:val="14"/>
                <w:szCs w:val="22"/>
                <w:highlight w:val="lightGray"/>
              </w:rPr>
            </w:pPr>
            <w:proofErr w:type="spellStart"/>
            <w:r w:rsidRPr="00F34258">
              <w:rPr>
                <w:rFonts w:ascii="Georgia" w:eastAsiaTheme="minorEastAsia" w:hAnsi="Georgia" w:cs="Arial"/>
                <w:sz w:val="14"/>
                <w:szCs w:val="22"/>
                <w:highlight w:val="lightGray"/>
              </w:rPr>
              <w:t>Firstname</w:t>
            </w:r>
            <w:proofErr w:type="spellEnd"/>
            <w:r w:rsidRPr="00F34258">
              <w:rPr>
                <w:rFonts w:ascii="Georgia" w:eastAsiaTheme="minorEastAsia" w:hAnsi="Georgia" w:cs="Arial"/>
                <w:sz w:val="14"/>
                <w:szCs w:val="22"/>
                <w:highlight w:val="lightGray"/>
              </w:rPr>
              <w:t xml:space="preserve"> </w:t>
            </w:r>
            <w:proofErr w:type="spellStart"/>
            <w:r w:rsidRPr="00F34258">
              <w:rPr>
                <w:rFonts w:ascii="Georgia" w:eastAsiaTheme="minorEastAsia" w:hAnsi="Georgia" w:cs="Arial"/>
                <w:sz w:val="14"/>
                <w:szCs w:val="22"/>
                <w:highlight w:val="lightGray"/>
              </w:rPr>
              <w:t>Lastname</w:t>
            </w:r>
            <w:proofErr w:type="spellEnd"/>
          </w:p>
          <w:p w14:paraId="7976437C" w14:textId="77777777" w:rsidR="004752C1" w:rsidRPr="00F34258" w:rsidRDefault="004752C1" w:rsidP="004752C1">
            <w:pPr>
              <w:rPr>
                <w:rFonts w:ascii="Georgia" w:eastAsiaTheme="minorEastAsia" w:hAnsi="Georgia" w:cs="Arial"/>
                <w:sz w:val="14"/>
                <w:szCs w:val="22"/>
                <w:highlight w:val="lightGray"/>
              </w:rPr>
            </w:pPr>
            <w:r w:rsidRPr="00F34258">
              <w:rPr>
                <w:rFonts w:ascii="Georgia" w:eastAsiaTheme="minorEastAsia" w:hAnsi="Georgia" w:cs="Arial"/>
                <w:b/>
                <w:sz w:val="14"/>
                <w:szCs w:val="22"/>
                <w:highlight w:val="lightGray"/>
              </w:rPr>
              <w:t>Journal:</w:t>
            </w:r>
            <w:r w:rsidRPr="00F34258">
              <w:rPr>
                <w:rFonts w:ascii="Georgia" w:eastAsiaTheme="minorEastAsia" w:hAnsi="Georgia" w:cs="Arial"/>
                <w:sz w:val="14"/>
                <w:szCs w:val="22"/>
                <w:highlight w:val="lightGray"/>
              </w:rPr>
              <w:t xml:space="preserve"> The Evolving Scholar </w:t>
            </w:r>
          </w:p>
          <w:p w14:paraId="797DBF6D" w14:textId="77777777" w:rsidR="00AA684A" w:rsidRPr="00F34258" w:rsidRDefault="004752C1" w:rsidP="004B4287">
            <w:pPr>
              <w:pStyle w:val="MDPI61Citation"/>
              <w:spacing w:line="240" w:lineRule="exact"/>
              <w:rPr>
                <w:rFonts w:ascii="Georgia" w:eastAsiaTheme="minorEastAsia" w:hAnsi="Georgia" w:cs="Arial"/>
                <w:highlight w:val="lightGray"/>
              </w:rPr>
            </w:pPr>
            <w:r w:rsidRPr="00F34258">
              <w:rPr>
                <w:rFonts w:ascii="Georgia" w:eastAsiaTheme="minorEastAsia" w:hAnsi="Georgia" w:cs="Arial"/>
                <w:b/>
                <w:highlight w:val="lightGray"/>
              </w:rPr>
              <w:t>DOI</w:t>
            </w:r>
            <w:r w:rsidR="00AA684A" w:rsidRPr="00F34258">
              <w:rPr>
                <w:rFonts w:ascii="Georgia" w:eastAsiaTheme="minorEastAsia" w:hAnsi="Georgia" w:cs="Arial"/>
                <w:b/>
                <w:highlight w:val="lightGray"/>
              </w:rPr>
              <w:t>:</w:t>
            </w:r>
            <w:r w:rsidR="00AA684A" w:rsidRPr="00F34258">
              <w:rPr>
                <w:rFonts w:ascii="Georgia" w:eastAsiaTheme="minorEastAsia" w:hAnsi="Georgia" w:cs="Arial"/>
                <w:highlight w:val="lightGray"/>
              </w:rPr>
              <w:t xml:space="preserve"> https://doi.org/</w:t>
            </w:r>
            <w:r w:rsidRPr="00F34258">
              <w:rPr>
                <w:rFonts w:ascii="Georgia" w:eastAsiaTheme="minorEastAsia" w:hAnsi="Georgia" w:cs="Arial"/>
                <w:highlight w:val="lightGray"/>
              </w:rPr>
              <w:t>xxxxx</w:t>
            </w:r>
            <w:r w:rsidR="00AA684A" w:rsidRPr="00F34258">
              <w:rPr>
                <w:rFonts w:ascii="Georgia" w:eastAsiaTheme="minorEastAsia" w:hAnsi="Georgia" w:cs="Arial"/>
                <w:highlight w:val="lightGray"/>
              </w:rPr>
              <w:t>/xxxxx</w:t>
            </w:r>
          </w:p>
          <w:p w14:paraId="0A37501D" w14:textId="77777777" w:rsidR="00F822A1" w:rsidRPr="00F34258" w:rsidRDefault="00F822A1" w:rsidP="004B4287">
            <w:pPr>
              <w:pStyle w:val="MDPI14history"/>
              <w:rPr>
                <w:rFonts w:ascii="Georgia" w:eastAsiaTheme="minorEastAsia" w:hAnsi="Georgia" w:cs="Arial"/>
                <w:highlight w:val="lightGray"/>
              </w:rPr>
            </w:pPr>
          </w:p>
          <w:p w14:paraId="25F4192D" w14:textId="77777777" w:rsidR="00AA684A" w:rsidRPr="00F34258" w:rsidRDefault="00165C16" w:rsidP="004B4287">
            <w:pPr>
              <w:pStyle w:val="MDPI14history"/>
              <w:rPr>
                <w:rFonts w:ascii="Georgia" w:eastAsiaTheme="minorEastAsia" w:hAnsi="Georgia" w:cs="Arial"/>
                <w:highlight w:val="lightGray"/>
              </w:rPr>
            </w:pPr>
            <w:r w:rsidRPr="00F34258">
              <w:rPr>
                <w:rFonts w:ascii="Georgia" w:eastAsiaTheme="minorEastAsia" w:hAnsi="Georgia" w:cs="Arial"/>
                <w:szCs w:val="14"/>
                <w:highlight w:val="lightGray"/>
              </w:rPr>
              <w:t xml:space="preserve">Submitted: 01 January 2021 </w:t>
            </w:r>
          </w:p>
          <w:p w14:paraId="58AAC821" w14:textId="77777777" w:rsidR="00AA684A" w:rsidRPr="00F34258" w:rsidRDefault="00AA684A" w:rsidP="004B4287">
            <w:pPr>
              <w:pStyle w:val="MDPI14history"/>
              <w:rPr>
                <w:rFonts w:ascii="Georgia" w:eastAsiaTheme="minorEastAsia" w:hAnsi="Georgia" w:cs="Arial"/>
                <w:szCs w:val="14"/>
                <w:highlight w:val="lightGray"/>
              </w:rPr>
            </w:pPr>
            <w:r w:rsidRPr="00F34258">
              <w:rPr>
                <w:rFonts w:ascii="Georgia" w:eastAsiaTheme="minorEastAsia" w:hAnsi="Georgia" w:cs="Arial"/>
                <w:szCs w:val="14"/>
                <w:highlight w:val="lightGray"/>
              </w:rPr>
              <w:t xml:space="preserve">Accepted: </w:t>
            </w:r>
            <w:r w:rsidR="00165C16" w:rsidRPr="00F34258">
              <w:rPr>
                <w:rFonts w:ascii="Georgia" w:eastAsiaTheme="minorEastAsia" w:hAnsi="Georgia" w:cs="Arial"/>
                <w:szCs w:val="14"/>
                <w:highlight w:val="lightGray"/>
              </w:rPr>
              <w:t>01 June 2021</w:t>
            </w:r>
          </w:p>
          <w:p w14:paraId="24D1D540" w14:textId="77777777" w:rsidR="00AA684A" w:rsidRPr="00F34258" w:rsidRDefault="00165C16" w:rsidP="004B4287">
            <w:pPr>
              <w:pStyle w:val="MDPI14history"/>
              <w:spacing w:after="240"/>
              <w:rPr>
                <w:rFonts w:ascii="Georgia" w:eastAsiaTheme="minorEastAsia" w:hAnsi="Georgia" w:cs="Arial"/>
                <w:szCs w:val="14"/>
                <w:highlight w:val="lightGray"/>
              </w:rPr>
            </w:pPr>
            <w:r w:rsidRPr="00F34258">
              <w:rPr>
                <w:rFonts w:ascii="Georgia" w:eastAsiaTheme="minorEastAsia" w:hAnsi="Georgia" w:cs="Arial"/>
                <w:szCs w:val="14"/>
                <w:highlight w:val="lightGray"/>
              </w:rPr>
              <w:t>Published: 02 June 2021</w:t>
            </w:r>
          </w:p>
          <w:p w14:paraId="1CD80B8D" w14:textId="77777777" w:rsidR="00165C16" w:rsidRPr="00F34258"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highlight w:val="lightGray"/>
              </w:rPr>
            </w:pPr>
            <w:r w:rsidRPr="00B471AF">
              <w:rPr>
                <w:rStyle w:val="normaltextrun"/>
                <w:rFonts w:ascii="Georgia" w:eastAsiaTheme="minorEastAsia" w:hAnsi="Georgia" w:cs="Arial"/>
                <w:b/>
                <w:bCs/>
                <w:color w:val="000000" w:themeColor="text1"/>
                <w:sz w:val="14"/>
                <w:szCs w:val="14"/>
                <w:highlight w:val="lightGray"/>
              </w:rPr>
              <w:t>Citation</w:t>
            </w:r>
            <w:r w:rsidRPr="00B471AF">
              <w:rPr>
                <w:rStyle w:val="normaltextrun"/>
                <w:rFonts w:ascii="Georgia" w:eastAsiaTheme="minorEastAsia" w:hAnsi="Georgia" w:cs="Arial"/>
                <w:b/>
                <w:color w:val="000000" w:themeColor="text1"/>
                <w:sz w:val="14"/>
                <w:szCs w:val="14"/>
                <w:highlight w:val="lightGray"/>
              </w:rPr>
              <w:t>:</w:t>
            </w:r>
            <w:r w:rsidRPr="00F34258">
              <w:rPr>
                <w:rStyle w:val="normaltextrun"/>
                <w:rFonts w:ascii="Georgia" w:eastAsiaTheme="minorEastAsia" w:hAnsi="Georgia" w:cs="Arial"/>
                <w:color w:val="000000" w:themeColor="text1"/>
                <w:sz w:val="14"/>
                <w:szCs w:val="14"/>
                <w:highlight w:val="lightGray"/>
              </w:rPr>
              <w:t xml:space="preserve"> name of authors [if more than 3 authors use the name of the 1</w:t>
            </w:r>
            <w:r w:rsidRPr="00F34258">
              <w:rPr>
                <w:rStyle w:val="normaltextrun"/>
                <w:rFonts w:ascii="Georgia" w:eastAsiaTheme="minorEastAsia" w:hAnsi="Georgia" w:cs="Arial"/>
                <w:color w:val="000000" w:themeColor="text1"/>
                <w:sz w:val="14"/>
                <w:szCs w:val="14"/>
                <w:highlight w:val="lightGray"/>
                <w:vertAlign w:val="superscript"/>
              </w:rPr>
              <w:t>st</w:t>
            </w:r>
            <w:r w:rsidRPr="00F34258">
              <w:rPr>
                <w:rStyle w:val="normaltextrun"/>
                <w:rFonts w:ascii="Georgia" w:eastAsiaTheme="minorEastAsia" w:hAnsi="Georgia" w:cs="Arial"/>
                <w:color w:val="000000" w:themeColor="text1"/>
                <w:sz w:val="14"/>
                <w:szCs w:val="14"/>
                <w:highlight w:val="lightGray"/>
              </w:rPr>
              <w:t> author followed by </w:t>
            </w:r>
            <w:r w:rsidRPr="00F34258">
              <w:rPr>
                <w:rStyle w:val="normaltextrun"/>
                <w:rFonts w:ascii="Georgia" w:eastAsiaTheme="minorEastAsia" w:hAnsi="Georgia" w:cs="Arial"/>
                <w:iCs/>
                <w:color w:val="000000" w:themeColor="text1"/>
                <w:sz w:val="14"/>
                <w:szCs w:val="14"/>
                <w:highlight w:val="lightGray"/>
              </w:rPr>
              <w:t>et al</w:t>
            </w:r>
            <w:r w:rsidRPr="00F34258">
              <w:rPr>
                <w:rStyle w:val="normaltextrun"/>
                <w:rFonts w:ascii="Georgia" w:eastAsiaTheme="minorEastAsia" w:hAnsi="Georgia" w:cs="Arial"/>
                <w:color w:val="000000" w:themeColor="text1"/>
                <w:sz w:val="14"/>
                <w:szCs w:val="14"/>
                <w:highlight w:val="lightGray"/>
              </w:rPr>
              <w:t>. </w:t>
            </w:r>
            <w:proofErr w:type="spellStart"/>
            <w:r w:rsidRPr="00F34258">
              <w:rPr>
                <w:rStyle w:val="normaltextrun"/>
                <w:rFonts w:ascii="Georgia" w:eastAsiaTheme="minorEastAsia" w:hAnsi="Georgia" w:cs="Arial"/>
                <w:color w:val="000000" w:themeColor="text1"/>
                <w:sz w:val="14"/>
                <w:szCs w:val="14"/>
                <w:highlight w:val="lightGray"/>
              </w:rPr>
              <w:t>e.g</w:t>
            </w:r>
            <w:proofErr w:type="spellEnd"/>
            <w:r w:rsidRPr="00F34258">
              <w:rPr>
                <w:rStyle w:val="normaltextrun"/>
                <w:rFonts w:ascii="Georgia" w:eastAsiaTheme="minorEastAsia" w:hAnsi="Georgia" w:cs="Arial"/>
                <w:color w:val="000000" w:themeColor="text1"/>
                <w:sz w:val="14"/>
                <w:szCs w:val="14"/>
                <w:highlight w:val="lightGray"/>
              </w:rPr>
              <w:t> </w:t>
            </w:r>
            <w:r w:rsidRPr="00F34258">
              <w:rPr>
                <w:rStyle w:val="normaltextrun"/>
                <w:rFonts w:ascii="Georgia" w:eastAsiaTheme="minorEastAsia" w:hAnsi="Georgia" w:cs="Arial"/>
                <w:bCs/>
                <w:color w:val="000000" w:themeColor="text1"/>
                <w:sz w:val="14"/>
                <w:szCs w:val="14"/>
                <w:highlight w:val="lightGray"/>
              </w:rPr>
              <w:t>smith </w:t>
            </w:r>
            <w:r w:rsidRPr="00F34258">
              <w:rPr>
                <w:rStyle w:val="normaltextrun"/>
                <w:rFonts w:ascii="Georgia" w:eastAsiaTheme="minorEastAsia" w:hAnsi="Georgia" w:cs="Arial"/>
                <w:bCs/>
                <w:iCs/>
                <w:color w:val="000000" w:themeColor="text1"/>
                <w:sz w:val="14"/>
                <w:szCs w:val="14"/>
                <w:highlight w:val="lightGray"/>
              </w:rPr>
              <w:t>et al.</w:t>
            </w:r>
            <w:r w:rsidRPr="00F34258">
              <w:rPr>
                <w:rStyle w:val="normaltextrun"/>
                <w:rFonts w:ascii="Georgia" w:eastAsiaTheme="minorEastAsia" w:hAnsi="Georgia" w:cs="Arial"/>
                <w:color w:val="000000" w:themeColor="text1"/>
                <w:sz w:val="14"/>
                <w:szCs w:val="14"/>
                <w:highlight w:val="lightGray"/>
              </w:rPr>
              <w:t>]</w:t>
            </w:r>
            <w:r w:rsidRPr="00F34258">
              <w:rPr>
                <w:rStyle w:val="normaltextrun"/>
                <w:rFonts w:ascii="Georgia" w:eastAsiaTheme="minorEastAsia" w:hAnsi="Georgia" w:cs="Arial"/>
                <w:bCs/>
                <w:color w:val="000000" w:themeColor="text1"/>
                <w:sz w:val="14"/>
                <w:szCs w:val="14"/>
                <w:highlight w:val="lightGray"/>
              </w:rPr>
              <w:t>,</w:t>
            </w:r>
            <w:r w:rsidRPr="00F34258">
              <w:rPr>
                <w:rStyle w:val="normaltextrun"/>
                <w:rFonts w:ascii="Georgia" w:eastAsiaTheme="minorEastAsia" w:hAnsi="Georgia" w:cs="Arial"/>
                <w:color w:val="000000" w:themeColor="text1"/>
                <w:sz w:val="14"/>
                <w:szCs w:val="14"/>
                <w:highlight w:val="lightGray"/>
              </w:rPr>
              <w:t> title of the article, name of the journal, volume, year, DOI</w:t>
            </w:r>
            <w:r w:rsidRPr="00F34258">
              <w:rPr>
                <w:rStyle w:val="eop"/>
                <w:rFonts w:ascii="Georgia" w:eastAsiaTheme="minorEastAsia" w:hAnsi="Georgia" w:cs="Arial"/>
                <w:color w:val="000000" w:themeColor="text1"/>
                <w:sz w:val="14"/>
                <w:szCs w:val="14"/>
                <w:highlight w:val="lightGray"/>
              </w:rPr>
              <w:t> </w:t>
            </w:r>
          </w:p>
          <w:p w14:paraId="5DAB6C7B" w14:textId="77777777" w:rsidR="00F822A1" w:rsidRPr="00F34258"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highlight w:val="lightGray"/>
              </w:rPr>
            </w:pPr>
          </w:p>
          <w:p w14:paraId="3FE676F8" w14:textId="77777777" w:rsidR="00165C16" w:rsidRPr="00F34258"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highlight w:val="lightGray"/>
              </w:rPr>
            </w:pPr>
            <w:r w:rsidRPr="00F34258">
              <w:rPr>
                <w:rStyle w:val="normaltextrun"/>
                <w:rFonts w:ascii="Georgia" w:eastAsiaTheme="minorEastAsia" w:hAnsi="Georgia" w:cs="Arial"/>
                <w:color w:val="000000" w:themeColor="text1"/>
                <w:sz w:val="14"/>
                <w:szCs w:val="14"/>
                <w:highlight w:val="lightGray"/>
              </w:rPr>
              <w:t xml:space="preserve">This work is licensed under a Creative Commons Attribution </w:t>
            </w:r>
            <w:r w:rsidR="00BC5801" w:rsidRPr="00F34258">
              <w:rPr>
                <w:rStyle w:val="normaltextrun"/>
                <w:rFonts w:ascii="Georgia" w:eastAsiaTheme="minorEastAsia" w:hAnsi="Georgia" w:cs="Arial"/>
                <w:color w:val="000000" w:themeColor="text1"/>
                <w:sz w:val="14"/>
                <w:szCs w:val="14"/>
                <w:highlight w:val="lightGray"/>
              </w:rPr>
              <w:t>xxx</w:t>
            </w:r>
            <w:r w:rsidRPr="00F34258">
              <w:rPr>
                <w:rStyle w:val="normaltextrun"/>
                <w:rFonts w:ascii="Georgia" w:eastAsiaTheme="minorEastAsia" w:hAnsi="Georgia" w:cs="Arial"/>
                <w:color w:val="000000" w:themeColor="text1"/>
                <w:sz w:val="14"/>
                <w:szCs w:val="14"/>
                <w:highlight w:val="lightGray"/>
              </w:rPr>
              <w:t xml:space="preserve"> (CC </w:t>
            </w:r>
            <w:proofErr w:type="spellStart"/>
            <w:r w:rsidR="00BC5801" w:rsidRPr="00F34258">
              <w:rPr>
                <w:rStyle w:val="normaltextrun"/>
                <w:rFonts w:ascii="Georgia" w:eastAsiaTheme="minorEastAsia" w:hAnsi="Georgia" w:cs="Arial"/>
                <w:color w:val="000000" w:themeColor="text1"/>
                <w:sz w:val="14"/>
                <w:szCs w:val="14"/>
                <w:highlight w:val="lightGray"/>
              </w:rPr>
              <w:t>xxxx</w:t>
            </w:r>
            <w:proofErr w:type="spellEnd"/>
            <w:r w:rsidRPr="00F34258">
              <w:rPr>
                <w:rStyle w:val="normaltextrun"/>
                <w:rFonts w:ascii="Georgia" w:eastAsiaTheme="minorEastAsia" w:hAnsi="Georgia" w:cs="Arial"/>
                <w:color w:val="000000" w:themeColor="text1"/>
                <w:sz w:val="14"/>
                <w:szCs w:val="14"/>
                <w:highlight w:val="lightGray"/>
              </w:rPr>
              <w:t>) li</w:t>
            </w:r>
            <w:r w:rsidR="00BC5801" w:rsidRPr="00F34258">
              <w:rPr>
                <w:rStyle w:val="normaltextrun"/>
                <w:rFonts w:ascii="Georgia" w:eastAsiaTheme="minorEastAsia" w:hAnsi="Georgia" w:cs="Arial"/>
                <w:color w:val="000000" w:themeColor="text1"/>
                <w:sz w:val="14"/>
                <w:szCs w:val="14"/>
                <w:highlight w:val="lightGray"/>
              </w:rPr>
              <w:t>cens</w:t>
            </w:r>
            <w:r w:rsidRPr="00F34258">
              <w:rPr>
                <w:rStyle w:val="normaltextrun"/>
                <w:rFonts w:ascii="Georgia" w:eastAsiaTheme="minorEastAsia" w:hAnsi="Georgia" w:cs="Arial"/>
                <w:color w:val="000000" w:themeColor="text1"/>
                <w:sz w:val="14"/>
                <w:szCs w:val="14"/>
                <w:highlight w:val="lightGray"/>
              </w:rPr>
              <w:t>e.</w:t>
            </w:r>
            <w:r w:rsidRPr="00F34258">
              <w:rPr>
                <w:rStyle w:val="eop"/>
                <w:rFonts w:ascii="Georgia" w:eastAsiaTheme="minorEastAsia" w:hAnsi="Georgia" w:cs="Arial"/>
                <w:color w:val="000000" w:themeColor="text1"/>
                <w:sz w:val="14"/>
                <w:szCs w:val="14"/>
                <w:highlight w:val="lightGray"/>
              </w:rPr>
              <w:t> </w:t>
            </w:r>
          </w:p>
          <w:p w14:paraId="0DA9B59F" w14:textId="77777777"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F34258">
              <w:rPr>
                <w:rStyle w:val="normaltextrun"/>
                <w:rFonts w:ascii="Georgia" w:eastAsiaTheme="minorEastAsia" w:hAnsi="Georgia" w:cs="Arial"/>
                <w:color w:val="000000" w:themeColor="text1"/>
                <w:sz w:val="14"/>
                <w:szCs w:val="14"/>
                <w:highlight w:val="lightGray"/>
              </w:rPr>
              <w:t>©year [name of the author(s)] published by TU Delft OPEN on behalf of the authors</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36B87632" w14:textId="1E6ADAF9"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224F2A">
        <w:rPr>
          <w:rFonts w:ascii="Georgia" w:eastAsiaTheme="minorEastAsia" w:hAnsi="Georgia" w:cs="Arial"/>
        </w:rPr>
        <w:t>University of Westminster</w:t>
      </w:r>
      <w:r w:rsidR="00A86E9F" w:rsidRPr="005C6417">
        <w:rPr>
          <w:rFonts w:ascii="Georgia" w:eastAsiaTheme="minorEastAsia" w:hAnsi="Georgia" w:cs="Arial"/>
        </w:rPr>
        <w:t xml:space="preserve">; </w:t>
      </w:r>
      <w:r w:rsidR="00F10864" w:rsidRPr="00F10864">
        <w:rPr>
          <w:rFonts w:ascii="Georgia" w:eastAsiaTheme="minorEastAsia" w:hAnsi="Georgia" w:cs="Arial"/>
        </w:rPr>
        <w:t>R.Spankie@westminster.ac.uk</w:t>
      </w:r>
    </w:p>
    <w:p w14:paraId="6F0652A4" w14:textId="045F55C8" w:rsidR="00224F2A" w:rsidRDefault="00A86E9F" w:rsidP="00224F2A">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224F2A">
        <w:rPr>
          <w:rFonts w:ascii="Georgia" w:eastAsiaTheme="minorEastAsia" w:hAnsi="Georgia" w:cs="Arial"/>
        </w:rPr>
        <w:t>University of Westminster</w:t>
      </w:r>
      <w:r w:rsidRPr="005C6417">
        <w:rPr>
          <w:rFonts w:ascii="Georgia" w:eastAsiaTheme="minorEastAsia" w:hAnsi="Georgia" w:cs="Arial"/>
        </w:rPr>
        <w:t xml:space="preserve">; </w:t>
      </w:r>
      <w:r w:rsidR="00F10864" w:rsidRPr="00F10864">
        <w:rPr>
          <w:rFonts w:ascii="Georgia" w:eastAsiaTheme="minorEastAsia" w:hAnsi="Georgia" w:cs="Arial"/>
        </w:rPr>
        <w:t>A.Blyth@westminster.ac.uk</w:t>
      </w:r>
      <w:r w:rsidR="004752C1" w:rsidRPr="005C6417">
        <w:rPr>
          <w:rFonts w:ascii="Georgia" w:eastAsiaTheme="minorEastAsia" w:hAnsi="Georgia" w:cs="Arial"/>
        </w:rPr>
        <w:t xml:space="preserve"> </w:t>
      </w:r>
    </w:p>
    <w:p w14:paraId="122652E0" w14:textId="5A233B8D" w:rsidR="00A86E9F" w:rsidRDefault="00224F2A" w:rsidP="00224F2A">
      <w:pPr>
        <w:pStyle w:val="MDPI16affiliation"/>
        <w:rPr>
          <w:rStyle w:val="Hyperlink"/>
          <w:rFonts w:ascii="Georgia" w:hAnsi="Georgia" w:cs="Calibri"/>
          <w:color w:val="000000" w:themeColor="text1"/>
          <w:szCs w:val="16"/>
          <w:u w:val="none"/>
        </w:rPr>
      </w:pPr>
      <w:r>
        <w:rPr>
          <w:rFonts w:ascii="Georgia" w:eastAsiaTheme="minorEastAsia" w:hAnsi="Georgia" w:cs="Arial"/>
          <w:vertAlign w:val="superscript"/>
        </w:rPr>
        <w:t>3</w:t>
      </w:r>
      <w:r w:rsidRPr="005C6417">
        <w:rPr>
          <w:rFonts w:ascii="Georgia" w:eastAsiaTheme="minorEastAsia" w:hAnsi="Georgia" w:cs="Arial"/>
        </w:rPr>
        <w:tab/>
      </w:r>
      <w:r>
        <w:rPr>
          <w:rFonts w:ascii="Georgia" w:eastAsiaTheme="minorEastAsia" w:hAnsi="Georgia" w:cs="Arial"/>
        </w:rPr>
        <w:t>University of Westminster</w:t>
      </w:r>
      <w:r w:rsidRPr="005C6417">
        <w:rPr>
          <w:rFonts w:ascii="Georgia" w:eastAsiaTheme="minorEastAsia" w:hAnsi="Georgia" w:cs="Arial"/>
        </w:rPr>
        <w:t xml:space="preserve">; </w:t>
      </w:r>
      <w:hyperlink r:id="rId11" w:history="1">
        <w:r w:rsidR="00F10864" w:rsidRPr="00F10864">
          <w:rPr>
            <w:rStyle w:val="Hyperlink"/>
            <w:rFonts w:ascii="Georgia" w:hAnsi="Georgia" w:cs="Calibri"/>
            <w:color w:val="000000" w:themeColor="text1"/>
            <w:szCs w:val="16"/>
            <w:u w:val="none"/>
          </w:rPr>
          <w:t>D.Kypraiou@westminster.ac.uk</w:t>
        </w:r>
      </w:hyperlink>
    </w:p>
    <w:p w14:paraId="14B07501" w14:textId="4B32D10E" w:rsidR="0090202C" w:rsidRPr="005C6417" w:rsidRDefault="0090202C" w:rsidP="00224F2A">
      <w:pPr>
        <w:pStyle w:val="MDPI16affiliation"/>
        <w:rPr>
          <w:rFonts w:ascii="Georgia" w:eastAsiaTheme="minorEastAsia" w:hAnsi="Georgia" w:cs="Arial"/>
        </w:rPr>
      </w:pPr>
      <w:r w:rsidRPr="0090202C">
        <w:rPr>
          <w:rFonts w:ascii="Georgia" w:eastAsiaTheme="minorEastAsia" w:hAnsi="Georgia" w:cs="Arial"/>
          <w:color w:val="000000" w:themeColor="text1"/>
          <w:shd w:val="clear" w:color="auto" w:fill="FFFFFF"/>
          <w:vertAlign w:val="superscript"/>
        </w:rPr>
        <w:t>4</w:t>
      </w:r>
      <w:r w:rsidRPr="0090202C">
        <w:rPr>
          <w:rFonts w:ascii="Georgia" w:eastAsiaTheme="minorEastAsia" w:hAnsi="Georgia" w:cs="Arial"/>
          <w:color w:val="000000" w:themeColor="text1"/>
          <w:shd w:val="clear" w:color="auto" w:fill="FFFFFF"/>
          <w:vertAlign w:val="superscript"/>
        </w:rPr>
        <w:tab/>
      </w:r>
      <w:r>
        <w:rPr>
          <w:rFonts w:ascii="Georgia" w:eastAsiaTheme="minorEastAsia" w:hAnsi="Georgia" w:cs="Arial"/>
          <w:color w:val="000000" w:themeColor="text1"/>
          <w:shd w:val="clear" w:color="auto" w:fill="FFFFFF"/>
        </w:rPr>
        <w:t xml:space="preserve">Imperial College London; </w:t>
      </w:r>
      <w:r w:rsidR="005655CA">
        <w:rPr>
          <w:rFonts w:ascii="Georgia" w:eastAsiaTheme="minorEastAsia" w:hAnsi="Georgia" w:cs="Arial"/>
          <w:color w:val="000000" w:themeColor="text1"/>
          <w:shd w:val="clear" w:color="auto" w:fill="FFFFFF"/>
        </w:rPr>
        <w:t>W</w:t>
      </w:r>
      <w:r>
        <w:rPr>
          <w:rFonts w:ascii="Georgia" w:eastAsiaTheme="minorEastAsia" w:hAnsi="Georgia" w:cs="Arial"/>
          <w:color w:val="000000" w:themeColor="text1"/>
          <w:shd w:val="clear" w:color="auto" w:fill="FFFFFF"/>
        </w:rPr>
        <w:t>.</w:t>
      </w:r>
      <w:r w:rsidR="005655CA">
        <w:rPr>
          <w:rFonts w:ascii="Georgia" w:eastAsiaTheme="minorEastAsia" w:hAnsi="Georgia" w:cs="Arial"/>
          <w:color w:val="000000" w:themeColor="text1"/>
          <w:shd w:val="clear" w:color="auto" w:fill="FFFFFF"/>
        </w:rPr>
        <w:t>K</w:t>
      </w:r>
      <w:r>
        <w:rPr>
          <w:rFonts w:ascii="Georgia" w:eastAsiaTheme="minorEastAsia" w:hAnsi="Georgia" w:cs="Arial"/>
          <w:color w:val="000000" w:themeColor="text1"/>
          <w:shd w:val="clear" w:color="auto" w:fill="FFFFFF"/>
        </w:rPr>
        <w:t>ong@imperial.ac.uk</w:t>
      </w:r>
    </w:p>
    <w:p w14:paraId="3FADCEFE" w14:textId="15D56CAB" w:rsidR="27831D6B" w:rsidRDefault="27831D6B" w:rsidP="27831D6B">
      <w:pPr>
        <w:pStyle w:val="MDPI16affiliation"/>
        <w:rPr>
          <w:color w:val="000000" w:themeColor="text1"/>
          <w:szCs w:val="16"/>
        </w:rPr>
      </w:pPr>
    </w:p>
    <w:p w14:paraId="0CA04725" w14:textId="30CAD2ED" w:rsidR="00F10864" w:rsidRPr="00F10864" w:rsidRDefault="00A86E9F" w:rsidP="00F10864">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F10864" w:rsidRPr="00F10864">
        <w:rPr>
          <w:rFonts w:ascii="Georgia" w:eastAsiaTheme="minorEastAsia" w:hAnsi="Georgia" w:cs="Arial"/>
        </w:rPr>
        <w:t xml:space="preserve">This paper will describe a unique cross-disciplinary collaboration between the Medical School at Imperial College London and the School of Architecture and Cities at the University of Westminster, which explored the relationship between design, mental health and wellbeing, using a co-design paradigm. The collaboration included 650 students from across six courses, four under-graduate and two </w:t>
      </w:r>
      <w:proofErr w:type="gramStart"/>
      <w:r w:rsidR="00F10864" w:rsidRPr="00F10864">
        <w:rPr>
          <w:rFonts w:ascii="Georgia" w:eastAsiaTheme="minorEastAsia" w:hAnsi="Georgia" w:cs="Arial"/>
        </w:rPr>
        <w:t>postgraduate</w:t>
      </w:r>
      <w:proofErr w:type="gramEnd"/>
      <w:r w:rsidR="00F10864" w:rsidRPr="00F10864">
        <w:rPr>
          <w:rFonts w:ascii="Georgia" w:eastAsiaTheme="minorEastAsia" w:hAnsi="Georgia" w:cs="Arial"/>
        </w:rPr>
        <w:t xml:space="preserve"> namely; BSc Medicine, BA Architecture, BA Interior Architecture, BSc Architectural Technology, Master of Architecture and RIBA Part III as well as 40+ members of staff. Three years in the planning, this innovative project consisted of two one-day co-design workshops, during which 64 cross-disciplinary groups of students reflected on four defined mental health conditions to identify problems and propose solutions for the design of four existing NHS mental healthcare sites. </w:t>
      </w:r>
    </w:p>
    <w:p w14:paraId="2C6F2EDA" w14:textId="644C6EAF" w:rsidR="00A86E9F" w:rsidRPr="005C6417" w:rsidRDefault="00F10864" w:rsidP="00F10864">
      <w:pPr>
        <w:pStyle w:val="MDPI17abstract"/>
        <w:rPr>
          <w:rFonts w:ascii="Georgia" w:eastAsiaTheme="minorEastAsia" w:hAnsi="Georgia" w:cs="Arial"/>
        </w:rPr>
      </w:pPr>
      <w:r w:rsidRPr="00F10864">
        <w:rPr>
          <w:rFonts w:ascii="Georgia" w:eastAsiaTheme="minorEastAsia" w:hAnsi="Georgia" w:cs="Arial"/>
        </w:rPr>
        <w:t xml:space="preserve">The terms co-creation, co-design and co-production all describe an open design process that empowers a wide range of stakeholders to make a creative contribution to the formulation and solution of a problem. This paper aims at demonstrating the power that </w:t>
      </w:r>
      <w:r w:rsidR="00427AFA">
        <w:rPr>
          <w:rFonts w:ascii="Georgia" w:eastAsiaTheme="minorEastAsia" w:hAnsi="Georgia" w:cs="Arial"/>
        </w:rPr>
        <w:t>c</w:t>
      </w:r>
      <w:r w:rsidRPr="00F10864">
        <w:rPr>
          <w:rFonts w:ascii="Georgia" w:eastAsiaTheme="minorEastAsia" w:hAnsi="Georgia" w:cs="Arial"/>
        </w:rPr>
        <w:t>o-design entails in fostering an immersive and experiential learning experience that challenges the ‘conventional’ pedagogy of designer-client / expert-user, by putting forward the notion of the ‘experts by experience’. While acquisition of discipline-specific skills and competencies was an expected outcome, the structure of the workshops fostered consideration of broader qualities such as ethics, empathy and duty-of-care. This paper will describe both the workshop itself and an evaluation of feedback from students, staff and other stakeholders who took part.</w:t>
      </w:r>
    </w:p>
    <w:p w14:paraId="55CE36C4" w14:textId="4134C8A4"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F10864">
        <w:rPr>
          <w:rFonts w:ascii="Georgia" w:eastAsiaTheme="minorEastAsia" w:hAnsi="Georgia" w:cs="Arial"/>
          <w:szCs w:val="18"/>
        </w:rPr>
        <w:t>co-design</w:t>
      </w:r>
      <w:r w:rsidRPr="005C6417">
        <w:rPr>
          <w:rFonts w:ascii="Georgia" w:eastAsiaTheme="minorEastAsia" w:hAnsi="Georgia" w:cs="Arial"/>
          <w:szCs w:val="18"/>
        </w:rPr>
        <w:t xml:space="preserve">; </w:t>
      </w:r>
      <w:r w:rsidR="00F10864">
        <w:rPr>
          <w:rFonts w:ascii="Georgia" w:eastAsiaTheme="minorEastAsia" w:hAnsi="Georgia" w:cs="Arial"/>
          <w:szCs w:val="18"/>
        </w:rPr>
        <w:t>collaboration</w:t>
      </w:r>
      <w:r w:rsidRPr="005C6417">
        <w:rPr>
          <w:rFonts w:ascii="Georgia" w:eastAsiaTheme="minorEastAsia" w:hAnsi="Georgia" w:cs="Arial"/>
          <w:szCs w:val="18"/>
        </w:rPr>
        <w:t xml:space="preserve">; </w:t>
      </w:r>
      <w:r w:rsidR="00F10864">
        <w:rPr>
          <w:rFonts w:ascii="Georgia" w:eastAsiaTheme="minorEastAsia" w:hAnsi="Georgia" w:cs="Arial"/>
          <w:szCs w:val="18"/>
        </w:rPr>
        <w:t>experiential learning; stakeholder; empathy</w:t>
      </w:r>
      <w:r w:rsidR="004752C1" w:rsidRPr="005C6417">
        <w:rPr>
          <w:rFonts w:ascii="Georgia" w:eastAsiaTheme="minorEastAsia" w:hAnsi="Georgia" w:cs="Arial"/>
          <w:szCs w:val="18"/>
        </w:rPr>
        <w:t xml:space="preserve"> </w:t>
      </w:r>
    </w:p>
    <w:p w14:paraId="6A05A809" w14:textId="77777777" w:rsidR="00A86E9F" w:rsidRPr="005C6417" w:rsidRDefault="00A86E9F" w:rsidP="00A86E9F">
      <w:pPr>
        <w:pStyle w:val="MDPI19line"/>
        <w:rPr>
          <w:rFonts w:ascii="Georgia" w:eastAsiaTheme="minorEastAsia" w:hAnsi="Georgia" w:cs="Arial"/>
        </w:rPr>
      </w:pPr>
    </w:p>
    <w:p w14:paraId="03DAE599" w14:textId="15238784" w:rsidR="008C0A31" w:rsidRPr="008C0A31" w:rsidRDefault="00A86E9F" w:rsidP="00D44E06">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7FA6C817" w14:textId="28C28AC7"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Psychiatric outcomes are profoundly influenced by patient experience and yet NHS mental health facilities remain relatively </w:t>
      </w:r>
      <w:r w:rsidRPr="00A344F3">
        <w:rPr>
          <w:rFonts w:ascii="Georgia" w:eastAsiaTheme="minorEastAsia" w:hAnsi="Georgia" w:cs="Arial"/>
          <w:snapToGrid w:val="0"/>
          <w:sz w:val="20"/>
          <w:szCs w:val="22"/>
        </w:rPr>
        <w:t xml:space="preserve">neglected </w:t>
      </w:r>
      <w:r w:rsidR="00820D6E" w:rsidRPr="00A344F3">
        <w:rPr>
          <w:rFonts w:ascii="Georgia" w:eastAsiaTheme="minorEastAsia" w:hAnsi="Georgia" w:cs="Arial"/>
          <w:snapToGrid w:val="0"/>
          <w:sz w:val="20"/>
          <w:szCs w:val="22"/>
        </w:rPr>
        <w:t>(</w:t>
      </w:r>
      <w:r w:rsidRPr="00A344F3">
        <w:rPr>
          <w:rFonts w:ascii="Georgia" w:eastAsiaTheme="minorEastAsia" w:hAnsi="Georgia" w:cs="Arial"/>
          <w:snapToGrid w:val="0"/>
          <w:sz w:val="20"/>
          <w:szCs w:val="22"/>
        </w:rPr>
        <w:t>Ford, 2019</w:t>
      </w:r>
      <w:r w:rsidR="00820D6E" w:rsidRPr="00A344F3">
        <w:rPr>
          <w:rFonts w:ascii="Georgia" w:eastAsiaTheme="minorEastAsia" w:hAnsi="Georgia" w:cs="Arial"/>
          <w:snapToGrid w:val="0"/>
          <w:sz w:val="20"/>
          <w:szCs w:val="22"/>
        </w:rPr>
        <w:t>)</w:t>
      </w:r>
      <w:r w:rsidRPr="00A344F3">
        <w:rPr>
          <w:rFonts w:ascii="Georgia" w:eastAsiaTheme="minorEastAsia" w:hAnsi="Georgia" w:cs="Arial"/>
          <w:snapToGrid w:val="0"/>
          <w:sz w:val="20"/>
          <w:szCs w:val="22"/>
        </w:rPr>
        <w:t>.</w:t>
      </w:r>
      <w:r w:rsidRPr="008C0A31">
        <w:rPr>
          <w:rFonts w:ascii="Georgia" w:eastAsiaTheme="minorEastAsia" w:hAnsi="Georgia" w:cs="Arial"/>
          <w:snapToGrid w:val="0"/>
          <w:sz w:val="20"/>
          <w:szCs w:val="22"/>
        </w:rPr>
        <w:t xml:space="preserve"> This paper describes an innovative response to this gap in UK mental health care provision that aimed to equip young medics and architects with the knowledge, skills and attitudes to improve services; by teaching them t</w:t>
      </w:r>
      <w:r w:rsidR="00816D50">
        <w:rPr>
          <w:rFonts w:ascii="Georgia" w:eastAsiaTheme="minorEastAsia" w:hAnsi="Georgia" w:cs="Arial"/>
          <w:snapToGrid w:val="0"/>
          <w:sz w:val="20"/>
          <w:szCs w:val="22"/>
        </w:rPr>
        <w:t>he</w:t>
      </w:r>
      <w:r w:rsidRPr="008C0A31">
        <w:rPr>
          <w:rFonts w:ascii="Georgia" w:eastAsiaTheme="minorEastAsia" w:hAnsi="Georgia" w:cs="Arial"/>
          <w:snapToGrid w:val="0"/>
          <w:sz w:val="20"/>
          <w:szCs w:val="22"/>
        </w:rPr>
        <w:t xml:space="preserve"> importance of listening to service users, clinicians and other stakeholders in order to meaningfully respond through a design proposition. </w:t>
      </w:r>
    </w:p>
    <w:p w14:paraId="72808A44" w14:textId="77777777" w:rsidR="008C0A31" w:rsidRPr="008C0A31" w:rsidRDefault="008C0A31" w:rsidP="000F41B0">
      <w:pPr>
        <w:pStyle w:val="MDPI51figurecaption"/>
        <w:ind w:left="0"/>
        <w:jc w:val="both"/>
        <w:rPr>
          <w:rFonts w:ascii="Georgia" w:eastAsiaTheme="minorEastAsia" w:hAnsi="Georgia" w:cs="Arial"/>
          <w:snapToGrid w:val="0"/>
          <w:sz w:val="20"/>
          <w:szCs w:val="22"/>
        </w:rPr>
      </w:pPr>
    </w:p>
    <w:p w14:paraId="24205BC3" w14:textId="468AFC39"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lastRenderedPageBreak/>
        <w:t xml:space="preserve">As part of this novel educational experience that architectural staff from the University of Westminster and medical colleagues from Imperial College London developed and facilitated, collaboration, creativity, and communication were identified as key skills that both doctors and architects alike need in their professional practice. For the architect, the notion of creativity is perhaps obvious. However, on the face of it, creativity is not the first thing people think of when they approach their doctor for treatment of an illness. </w:t>
      </w:r>
      <w:r w:rsidRPr="005D2550">
        <w:rPr>
          <w:rFonts w:ascii="Georgia" w:eastAsiaTheme="minorEastAsia" w:hAnsi="Georgia" w:cs="Arial"/>
          <w:snapToGrid w:val="0"/>
          <w:sz w:val="20"/>
          <w:szCs w:val="22"/>
        </w:rPr>
        <w:t>Devi</w:t>
      </w:r>
      <w:r w:rsidRPr="008C0A31">
        <w:rPr>
          <w:rFonts w:ascii="Georgia" w:eastAsiaTheme="minorEastAsia" w:hAnsi="Georgia" w:cs="Arial"/>
          <w:snapToGrid w:val="0"/>
          <w:sz w:val="20"/>
          <w:szCs w:val="22"/>
        </w:rPr>
        <w:t xml:space="preserve"> (2015) points out that “creativity confers the ability to practice </w:t>
      </w:r>
      <w:proofErr w:type="spellStart"/>
      <w:r w:rsidRPr="008C0A31">
        <w:rPr>
          <w:rFonts w:ascii="Georgia" w:eastAsiaTheme="minorEastAsia" w:hAnsi="Georgia" w:cs="Arial"/>
          <w:snapToGrid w:val="0"/>
          <w:sz w:val="20"/>
          <w:szCs w:val="22"/>
        </w:rPr>
        <w:t>individualised</w:t>
      </w:r>
      <w:proofErr w:type="spellEnd"/>
      <w:r w:rsidRPr="008C0A31">
        <w:rPr>
          <w:rFonts w:ascii="Georgia" w:eastAsiaTheme="minorEastAsia" w:hAnsi="Georgia" w:cs="Arial"/>
          <w:snapToGrid w:val="0"/>
          <w:sz w:val="20"/>
          <w:szCs w:val="22"/>
        </w:rPr>
        <w:t xml:space="preserve"> good medicine, as opposed to formulaic safe medicine”. For the architect or interior designer, developing a spatial solution to a client or user need demands the ability to work with a variety of stakeholders and in particular users of the space to identify and understand the nature of the problem they are trying to solve as well as the kind of solution that may be appropriate.</w:t>
      </w:r>
    </w:p>
    <w:p w14:paraId="086CFE8B" w14:textId="270270F0" w:rsidR="008C0A31" w:rsidRPr="008C0A31" w:rsidRDefault="008C0A31" w:rsidP="002946F8">
      <w:pPr>
        <w:pStyle w:val="MDPI51figurecaption"/>
        <w:jc w:val="both"/>
        <w:rPr>
          <w:rFonts w:ascii="Georgia" w:eastAsiaTheme="minorEastAsia" w:hAnsi="Georgia" w:cs="Arial"/>
          <w:snapToGrid w:val="0"/>
          <w:sz w:val="20"/>
          <w:szCs w:val="22"/>
        </w:rPr>
      </w:pPr>
      <w:r w:rsidRPr="002A261A">
        <w:rPr>
          <w:rFonts w:ascii="Georgia" w:eastAsiaTheme="minorEastAsia" w:hAnsi="Georgia" w:cs="Arial"/>
          <w:snapToGrid w:val="0"/>
          <w:sz w:val="20"/>
          <w:szCs w:val="22"/>
        </w:rPr>
        <w:t xml:space="preserve">The paper, firstly, introduces the scope of this large-scale educational initiative by describing the design and planning of the workshop in each of its different </w:t>
      </w:r>
      <w:r w:rsidR="00C76A02" w:rsidRPr="002A261A">
        <w:rPr>
          <w:rFonts w:ascii="Georgia" w:eastAsiaTheme="minorEastAsia" w:hAnsi="Georgia" w:cs="Arial"/>
          <w:snapToGrid w:val="0"/>
          <w:sz w:val="20"/>
          <w:szCs w:val="22"/>
        </w:rPr>
        <w:t xml:space="preserve">cycles. A cycle consists of two workshops held within one academic year. During the first workshop participants develop </w:t>
      </w:r>
      <w:r w:rsidR="00C87340" w:rsidRPr="002A261A">
        <w:rPr>
          <w:rFonts w:ascii="Georgia" w:eastAsiaTheme="minorEastAsia" w:hAnsi="Georgia" w:cs="Arial"/>
          <w:snapToGrid w:val="0"/>
          <w:sz w:val="20"/>
          <w:szCs w:val="22"/>
        </w:rPr>
        <w:t xml:space="preserve">a </w:t>
      </w:r>
      <w:r w:rsidR="00C76A02" w:rsidRPr="002A261A">
        <w:rPr>
          <w:rFonts w:ascii="Georgia" w:eastAsiaTheme="minorEastAsia" w:hAnsi="Georgia" w:cs="Arial"/>
          <w:snapToGrid w:val="0"/>
          <w:sz w:val="20"/>
          <w:szCs w:val="22"/>
        </w:rPr>
        <w:t xml:space="preserve">user </w:t>
      </w:r>
      <w:proofErr w:type="spellStart"/>
      <w:r w:rsidR="00C76A02" w:rsidRPr="002A261A">
        <w:rPr>
          <w:rFonts w:ascii="Georgia" w:eastAsiaTheme="minorEastAsia" w:hAnsi="Georgia" w:cs="Arial"/>
          <w:snapToGrid w:val="0"/>
          <w:sz w:val="20"/>
          <w:szCs w:val="22"/>
        </w:rPr>
        <w:t>centred</w:t>
      </w:r>
      <w:proofErr w:type="spellEnd"/>
      <w:r w:rsidR="00C76A02" w:rsidRPr="002A261A">
        <w:rPr>
          <w:rFonts w:ascii="Georgia" w:eastAsiaTheme="minorEastAsia" w:hAnsi="Georgia" w:cs="Arial"/>
          <w:snapToGrid w:val="0"/>
          <w:sz w:val="20"/>
          <w:szCs w:val="22"/>
        </w:rPr>
        <w:t xml:space="preserve"> vision and </w:t>
      </w:r>
      <w:r w:rsidR="00C87340" w:rsidRPr="002A261A">
        <w:rPr>
          <w:rFonts w:ascii="Georgia" w:eastAsiaTheme="minorEastAsia" w:hAnsi="Georgia" w:cs="Arial"/>
          <w:b/>
          <w:bCs/>
          <w:snapToGrid w:val="0"/>
          <w:sz w:val="20"/>
          <w:szCs w:val="22"/>
        </w:rPr>
        <w:t>U</w:t>
      </w:r>
      <w:r w:rsidR="00C76A02" w:rsidRPr="002A261A">
        <w:rPr>
          <w:rFonts w:ascii="Georgia" w:eastAsiaTheme="minorEastAsia" w:hAnsi="Georgia" w:cs="Arial"/>
          <w:b/>
          <w:bCs/>
          <w:snapToGrid w:val="0"/>
          <w:sz w:val="20"/>
          <w:szCs w:val="22"/>
        </w:rPr>
        <w:t xml:space="preserve">ser </w:t>
      </w:r>
      <w:r w:rsidR="00C87340" w:rsidRPr="002A261A">
        <w:rPr>
          <w:rFonts w:ascii="Georgia" w:eastAsiaTheme="minorEastAsia" w:hAnsi="Georgia" w:cs="Arial"/>
          <w:b/>
          <w:bCs/>
          <w:snapToGrid w:val="0"/>
          <w:sz w:val="20"/>
          <w:szCs w:val="22"/>
        </w:rPr>
        <w:t>B</w:t>
      </w:r>
      <w:r w:rsidR="00C76A02" w:rsidRPr="002A261A">
        <w:rPr>
          <w:rFonts w:ascii="Georgia" w:eastAsiaTheme="minorEastAsia" w:hAnsi="Georgia" w:cs="Arial"/>
          <w:b/>
          <w:bCs/>
          <w:snapToGrid w:val="0"/>
          <w:sz w:val="20"/>
          <w:szCs w:val="22"/>
        </w:rPr>
        <w:t>rief</w:t>
      </w:r>
      <w:r w:rsidR="00C76A02" w:rsidRPr="002A261A">
        <w:rPr>
          <w:rFonts w:ascii="Georgia" w:eastAsiaTheme="minorEastAsia" w:hAnsi="Georgia" w:cs="Arial"/>
          <w:snapToGrid w:val="0"/>
          <w:sz w:val="20"/>
          <w:szCs w:val="22"/>
        </w:rPr>
        <w:t xml:space="preserve"> for the spaces they have been allocated, and in the second workshop the</w:t>
      </w:r>
      <w:r w:rsidR="00C87340" w:rsidRPr="002A261A">
        <w:rPr>
          <w:rFonts w:ascii="Georgia" w:eastAsiaTheme="minorEastAsia" w:hAnsi="Georgia" w:cs="Arial"/>
          <w:snapToGrid w:val="0"/>
          <w:sz w:val="20"/>
          <w:szCs w:val="22"/>
        </w:rPr>
        <w:t>y</w:t>
      </w:r>
      <w:r w:rsidR="00C76A02" w:rsidRPr="002A261A">
        <w:rPr>
          <w:rFonts w:ascii="Georgia" w:eastAsiaTheme="minorEastAsia" w:hAnsi="Georgia" w:cs="Arial"/>
          <w:snapToGrid w:val="0"/>
          <w:sz w:val="20"/>
          <w:szCs w:val="22"/>
        </w:rPr>
        <w:t xml:space="preserve"> put forward a design proposition in </w:t>
      </w:r>
      <w:r w:rsidR="00C87340" w:rsidRPr="002A261A">
        <w:rPr>
          <w:rFonts w:ascii="Georgia" w:eastAsiaTheme="minorEastAsia" w:hAnsi="Georgia" w:cs="Arial"/>
          <w:snapToGrid w:val="0"/>
          <w:sz w:val="20"/>
          <w:szCs w:val="22"/>
        </w:rPr>
        <w:t xml:space="preserve">the form of a </w:t>
      </w:r>
      <w:r w:rsidR="00C87340" w:rsidRPr="002A261A">
        <w:rPr>
          <w:rFonts w:ascii="Georgia" w:eastAsiaTheme="minorEastAsia" w:hAnsi="Georgia" w:cs="Arial"/>
          <w:b/>
          <w:bCs/>
          <w:snapToGrid w:val="0"/>
          <w:sz w:val="20"/>
          <w:szCs w:val="22"/>
        </w:rPr>
        <w:t>Design Poster</w:t>
      </w:r>
      <w:r w:rsidRPr="002A261A">
        <w:rPr>
          <w:rFonts w:ascii="Georgia" w:eastAsiaTheme="minorEastAsia" w:hAnsi="Georgia" w:cs="Arial"/>
          <w:snapToGrid w:val="0"/>
          <w:sz w:val="20"/>
          <w:szCs w:val="22"/>
        </w:rPr>
        <w:t>.</w:t>
      </w:r>
      <w:r w:rsidR="002946F8" w:rsidRPr="002A261A">
        <w:rPr>
          <w:rFonts w:ascii="Georgia" w:eastAsiaTheme="minorEastAsia" w:hAnsi="Georgia" w:cs="Arial"/>
          <w:snapToGrid w:val="0"/>
          <w:sz w:val="20"/>
          <w:szCs w:val="22"/>
        </w:rPr>
        <w:t xml:space="preserve"> So far, there have been two </w:t>
      </w:r>
      <w:r w:rsidR="00C76A02" w:rsidRPr="002A261A">
        <w:rPr>
          <w:rFonts w:ascii="Georgia" w:eastAsiaTheme="minorEastAsia" w:hAnsi="Georgia" w:cs="Arial"/>
          <w:snapToGrid w:val="0"/>
          <w:sz w:val="20"/>
          <w:szCs w:val="22"/>
        </w:rPr>
        <w:t>cycles</w:t>
      </w:r>
      <w:r w:rsidR="002946F8" w:rsidRPr="002A261A">
        <w:rPr>
          <w:rFonts w:ascii="Georgia" w:eastAsiaTheme="minorEastAsia" w:hAnsi="Georgia" w:cs="Arial"/>
          <w:snapToGrid w:val="0"/>
          <w:sz w:val="20"/>
          <w:szCs w:val="22"/>
        </w:rPr>
        <w:t xml:space="preserve">, the first in </w:t>
      </w:r>
      <w:r w:rsidR="001D7864" w:rsidRPr="002A261A">
        <w:rPr>
          <w:rFonts w:ascii="Georgia" w:eastAsiaTheme="minorEastAsia" w:hAnsi="Georgia" w:cs="Arial"/>
          <w:snapToGrid w:val="0"/>
          <w:sz w:val="20"/>
          <w:szCs w:val="22"/>
        </w:rPr>
        <w:t>the academic year 2020-21 and the</w:t>
      </w:r>
      <w:r w:rsidR="002946F8" w:rsidRPr="002A261A">
        <w:rPr>
          <w:rFonts w:ascii="Georgia" w:eastAsiaTheme="minorEastAsia" w:hAnsi="Georgia" w:cs="Arial"/>
          <w:snapToGrid w:val="0"/>
          <w:sz w:val="20"/>
          <w:szCs w:val="22"/>
        </w:rPr>
        <w:t xml:space="preserve"> second </w:t>
      </w:r>
      <w:r w:rsidR="001D7864" w:rsidRPr="002A261A">
        <w:rPr>
          <w:rFonts w:ascii="Georgia" w:eastAsiaTheme="minorEastAsia" w:hAnsi="Georgia" w:cs="Arial"/>
          <w:snapToGrid w:val="0"/>
          <w:sz w:val="20"/>
          <w:szCs w:val="22"/>
        </w:rPr>
        <w:t xml:space="preserve">in 2021-22. A third </w:t>
      </w:r>
      <w:r w:rsidR="00C76A02" w:rsidRPr="002A261A">
        <w:rPr>
          <w:rFonts w:ascii="Georgia" w:eastAsiaTheme="minorEastAsia" w:hAnsi="Georgia" w:cs="Arial"/>
          <w:snapToGrid w:val="0"/>
          <w:sz w:val="20"/>
          <w:szCs w:val="22"/>
        </w:rPr>
        <w:t>cycle</w:t>
      </w:r>
      <w:r w:rsidR="001D7864" w:rsidRPr="002A261A">
        <w:rPr>
          <w:rFonts w:ascii="Georgia" w:eastAsiaTheme="minorEastAsia" w:hAnsi="Georgia" w:cs="Arial"/>
          <w:snapToGrid w:val="0"/>
          <w:sz w:val="20"/>
          <w:szCs w:val="22"/>
        </w:rPr>
        <w:t xml:space="preserve"> is being planned for the next academic year. </w:t>
      </w:r>
      <w:r w:rsidRPr="002A261A">
        <w:rPr>
          <w:rFonts w:ascii="Georgia" w:eastAsiaTheme="minorEastAsia" w:hAnsi="Georgia" w:cs="Arial"/>
          <w:snapToGrid w:val="0"/>
          <w:sz w:val="20"/>
          <w:szCs w:val="22"/>
        </w:rPr>
        <w:t xml:space="preserve">Secondly, </w:t>
      </w:r>
      <w:r w:rsidR="001D7864" w:rsidRPr="002A261A">
        <w:rPr>
          <w:rFonts w:ascii="Georgia" w:eastAsiaTheme="minorEastAsia" w:hAnsi="Georgia" w:cs="Arial"/>
          <w:snapToGrid w:val="0"/>
          <w:sz w:val="20"/>
          <w:szCs w:val="22"/>
        </w:rPr>
        <w:t>this paper</w:t>
      </w:r>
      <w:r w:rsidRPr="002A261A">
        <w:rPr>
          <w:rFonts w:ascii="Georgia" w:eastAsiaTheme="minorEastAsia" w:hAnsi="Georgia" w:cs="Arial"/>
          <w:snapToGrid w:val="0"/>
          <w:sz w:val="20"/>
          <w:szCs w:val="22"/>
        </w:rPr>
        <w:t xml:space="preserve"> provides a comparative reflection on the two modes of delivery employed (online vs in person) alongside an evaluation of participants’ feedback, to finally argue that however large in ambition, complicated in structure and challenging in application such cross-institutional and cross-disciplinary initiatives might be, they formulate a unique learning experience for all participants involved. As such, the paper identifies the benefits of </w:t>
      </w:r>
      <w:r w:rsidR="00F5188E" w:rsidRPr="002A261A">
        <w:rPr>
          <w:rFonts w:ascii="Georgia" w:eastAsiaTheme="minorEastAsia" w:hAnsi="Georgia" w:cs="Arial"/>
          <w:snapToGrid w:val="0"/>
          <w:sz w:val="20"/>
          <w:szCs w:val="22"/>
        </w:rPr>
        <w:t>lived</w:t>
      </w:r>
      <w:r w:rsidRPr="002A261A">
        <w:rPr>
          <w:rFonts w:ascii="Georgia" w:eastAsiaTheme="minorEastAsia" w:hAnsi="Georgia" w:cs="Arial"/>
          <w:snapToGrid w:val="0"/>
          <w:sz w:val="20"/>
          <w:szCs w:val="22"/>
        </w:rPr>
        <w:t>-experience in education and the need for further engagement and participation of students in co-designing their own learning experiences.</w:t>
      </w:r>
      <w:r w:rsidRPr="008C0A31">
        <w:rPr>
          <w:rFonts w:ascii="Georgia" w:eastAsiaTheme="minorEastAsia" w:hAnsi="Georgia" w:cs="Arial"/>
          <w:snapToGrid w:val="0"/>
          <w:sz w:val="20"/>
          <w:szCs w:val="22"/>
        </w:rPr>
        <w:t xml:space="preserve"> </w:t>
      </w:r>
    </w:p>
    <w:p w14:paraId="586DBE89" w14:textId="77777777" w:rsidR="008C0A31" w:rsidRPr="008C0A31" w:rsidRDefault="008C0A31" w:rsidP="000F41B0">
      <w:pPr>
        <w:pStyle w:val="MDPI51figurecaption"/>
        <w:jc w:val="both"/>
        <w:rPr>
          <w:rFonts w:ascii="Georgia" w:eastAsiaTheme="minorEastAsia" w:hAnsi="Georgia" w:cs="Arial"/>
          <w:snapToGrid w:val="0"/>
          <w:sz w:val="20"/>
          <w:szCs w:val="22"/>
        </w:rPr>
      </w:pPr>
    </w:p>
    <w:p w14:paraId="1806BF4C" w14:textId="60330808" w:rsidR="0082368F" w:rsidRDefault="008C0A31" w:rsidP="000F41B0">
      <w:pPr>
        <w:pStyle w:val="MDPI21heading1"/>
        <w:jc w:val="both"/>
        <w:rPr>
          <w:rFonts w:ascii="Georgia" w:eastAsiaTheme="minorEastAsia" w:hAnsi="Georgia" w:cs="Arial"/>
          <w:lang w:eastAsia="zh-CN"/>
        </w:rPr>
      </w:pPr>
      <w:r>
        <w:rPr>
          <w:rFonts w:ascii="Georgia" w:eastAsiaTheme="minorEastAsia" w:hAnsi="Georgia" w:cs="Arial"/>
          <w:lang w:eastAsia="zh-CN"/>
        </w:rPr>
        <w:t>2</w:t>
      </w:r>
      <w:r w:rsidRPr="004F2BEA">
        <w:rPr>
          <w:rFonts w:ascii="Georgia" w:eastAsiaTheme="minorEastAsia" w:hAnsi="Georgia" w:cs="Arial"/>
          <w:lang w:eastAsia="zh-CN"/>
        </w:rPr>
        <w:t xml:space="preserve">. </w:t>
      </w:r>
      <w:r w:rsidR="0082368F">
        <w:rPr>
          <w:rFonts w:ascii="Georgia" w:eastAsiaTheme="minorEastAsia" w:hAnsi="Georgia" w:cs="Arial"/>
          <w:lang w:eastAsia="zh-CN"/>
        </w:rPr>
        <w:t>Theories and Methods</w:t>
      </w:r>
    </w:p>
    <w:p w14:paraId="1FED9842" w14:textId="51F13A5B" w:rsidR="0082368F" w:rsidRPr="002A261A" w:rsidRDefault="0082368F" w:rsidP="000F41B0">
      <w:pPr>
        <w:pStyle w:val="MDPI51figurecaption"/>
        <w:jc w:val="both"/>
        <w:rPr>
          <w:rFonts w:ascii="Georgia" w:eastAsiaTheme="minorEastAsia" w:hAnsi="Georgia" w:cs="Arial"/>
          <w:snapToGrid w:val="0"/>
          <w:sz w:val="20"/>
          <w:szCs w:val="22"/>
        </w:rPr>
      </w:pPr>
      <w:r w:rsidRPr="002A261A">
        <w:rPr>
          <w:rFonts w:ascii="Georgia" w:eastAsiaTheme="minorEastAsia" w:hAnsi="Georgia" w:cs="Arial"/>
          <w:snapToGrid w:val="0"/>
          <w:sz w:val="20"/>
          <w:szCs w:val="22"/>
        </w:rPr>
        <w:t>‘</w:t>
      </w:r>
      <w:proofErr w:type="gramStart"/>
      <w:r w:rsidRPr="002A261A">
        <w:rPr>
          <w:rFonts w:ascii="Georgia" w:eastAsiaTheme="minorEastAsia" w:hAnsi="Georgia" w:cs="Arial"/>
          <w:snapToGrid w:val="0"/>
          <w:sz w:val="20"/>
          <w:szCs w:val="22"/>
        </w:rPr>
        <w:t>Tell</w:t>
      </w:r>
      <w:proofErr w:type="gramEnd"/>
      <w:r w:rsidRPr="002A261A">
        <w:rPr>
          <w:rFonts w:ascii="Georgia" w:eastAsiaTheme="minorEastAsia" w:hAnsi="Georgia" w:cs="Arial"/>
          <w:snapToGrid w:val="0"/>
          <w:sz w:val="20"/>
          <w:szCs w:val="22"/>
        </w:rPr>
        <w:t xml:space="preserve"> me, and I will forget. Show me, and I may remember. Involve me, and I will understand.’ (Confucius, </w:t>
      </w:r>
      <w:r w:rsidR="00D44E06" w:rsidRPr="002A261A">
        <w:rPr>
          <w:rFonts w:ascii="Georgia" w:eastAsiaTheme="minorEastAsia" w:hAnsi="Georgia" w:cs="Arial"/>
          <w:snapToGrid w:val="0"/>
          <w:sz w:val="20"/>
          <w:szCs w:val="22"/>
        </w:rPr>
        <w:t>450BC</w:t>
      </w:r>
      <w:r w:rsidRPr="002A261A">
        <w:rPr>
          <w:rFonts w:ascii="Georgia" w:eastAsiaTheme="minorEastAsia" w:hAnsi="Georgia" w:cs="Arial"/>
          <w:snapToGrid w:val="0"/>
          <w:sz w:val="20"/>
          <w:szCs w:val="22"/>
        </w:rPr>
        <w:t>,)</w:t>
      </w:r>
    </w:p>
    <w:p w14:paraId="106D4BCD" w14:textId="45B4D0D3" w:rsidR="006200FA" w:rsidRDefault="008C0A31" w:rsidP="000F41B0">
      <w:pPr>
        <w:pStyle w:val="MDPI51figurecaption"/>
        <w:jc w:val="both"/>
        <w:rPr>
          <w:rFonts w:ascii="Georgia" w:eastAsiaTheme="minorEastAsia" w:hAnsi="Georgia" w:cs="Arial"/>
          <w:snapToGrid w:val="0"/>
          <w:sz w:val="20"/>
          <w:szCs w:val="22"/>
        </w:rPr>
      </w:pPr>
      <w:r w:rsidRPr="002A261A">
        <w:rPr>
          <w:rFonts w:ascii="Georgia" w:eastAsiaTheme="minorEastAsia" w:hAnsi="Georgia" w:cs="Arial"/>
          <w:snapToGrid w:val="0"/>
          <w:sz w:val="20"/>
          <w:szCs w:val="22"/>
        </w:rPr>
        <w:t>Originating from an informal discussion in 2018 reflecting on how the lived experience might be a fruitful way to allow students from different disciplines to consider questions of empathy and ethics</w:t>
      </w:r>
      <w:r w:rsidR="00816D50" w:rsidRPr="002A261A">
        <w:rPr>
          <w:rFonts w:ascii="Georgia" w:eastAsiaTheme="minorEastAsia" w:hAnsi="Georgia" w:cs="Arial"/>
          <w:snapToGrid w:val="0"/>
          <w:sz w:val="20"/>
          <w:szCs w:val="22"/>
        </w:rPr>
        <w:t xml:space="preserve"> as well as how to communicate and collaborate with others from very different fields of expertise than their own</w:t>
      </w:r>
      <w:r w:rsidRPr="002A261A">
        <w:rPr>
          <w:rFonts w:ascii="Georgia" w:eastAsiaTheme="minorEastAsia" w:hAnsi="Georgia" w:cs="Arial"/>
          <w:snapToGrid w:val="0"/>
          <w:sz w:val="20"/>
          <w:szCs w:val="22"/>
        </w:rPr>
        <w:t>, the design of the workshop was three years in the planning. The first iteration was for 50 interior architecture students to work alongside 350 medical students to identify problems and propose solutions for the design of four existing NHS mental healthcare sites. The final iteration grew in ambition and involved 650 students, drawn from six undergraduate and postgraduate medicine and architecture-related courses, working together in two one-day co-design workshops, supported by 40+ members of staff and 20 postgraduate helpers from both institutions.</w:t>
      </w:r>
      <w:r w:rsidRPr="008C0A31">
        <w:rPr>
          <w:rFonts w:ascii="Georgia" w:eastAsiaTheme="minorEastAsia" w:hAnsi="Georgia" w:cs="Arial"/>
          <w:snapToGrid w:val="0"/>
          <w:sz w:val="20"/>
          <w:szCs w:val="22"/>
        </w:rPr>
        <w:t xml:space="preserve"> </w:t>
      </w:r>
    </w:p>
    <w:p w14:paraId="58B37BAB" w14:textId="77D134E5" w:rsidR="008C0A31" w:rsidRPr="008C0A31" w:rsidRDefault="006200FA" w:rsidP="000F41B0">
      <w:pPr>
        <w:pStyle w:val="MDPI51figurecaption"/>
        <w:jc w:val="both"/>
        <w:rPr>
          <w:rFonts w:ascii="Georgia" w:eastAsiaTheme="minorEastAsia" w:hAnsi="Georgia" w:cs="Arial"/>
          <w:snapToGrid w:val="0"/>
          <w:sz w:val="20"/>
          <w:szCs w:val="22"/>
        </w:rPr>
      </w:pPr>
      <w:r>
        <w:rPr>
          <w:rFonts w:ascii="Georgia" w:eastAsiaTheme="minorEastAsia" w:hAnsi="Georgia" w:cs="Arial"/>
          <w:noProof/>
          <w:sz w:val="20"/>
          <w:szCs w:val="22"/>
        </w:rPr>
        <w:drawing>
          <wp:inline distT="0" distB="0" distL="0" distR="0" wp14:anchorId="2FE72104" wp14:editId="495667C9">
            <wp:extent cx="3594100" cy="2019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r w:rsidR="0082368F" w:rsidRPr="0082368F">
        <w:rPr>
          <w:rFonts w:ascii="Georgia" w:eastAsiaTheme="minorEastAsia" w:hAnsi="Georgia" w:cs="Arial"/>
          <w:snapToGrid w:val="0"/>
          <w:sz w:val="20"/>
          <w:szCs w:val="22"/>
        </w:rPr>
        <w:t xml:space="preserve">     </w:t>
      </w:r>
    </w:p>
    <w:p w14:paraId="789C3565" w14:textId="35C249FE" w:rsidR="008C0A31" w:rsidRPr="008C0A31" w:rsidRDefault="008C0A31" w:rsidP="000F41B0">
      <w:pPr>
        <w:pStyle w:val="MDPI51figurecaption"/>
        <w:ind w:left="0"/>
        <w:jc w:val="both"/>
        <w:rPr>
          <w:rFonts w:ascii="Georgia" w:eastAsiaTheme="minorEastAsia" w:hAnsi="Georgia" w:cs="Arial"/>
          <w:snapToGrid w:val="0"/>
          <w:sz w:val="20"/>
          <w:szCs w:val="22"/>
        </w:rPr>
      </w:pPr>
    </w:p>
    <w:p w14:paraId="1F783A11" w14:textId="28015958" w:rsidR="008C0A31" w:rsidRPr="008C0A31" w:rsidRDefault="002B6215" w:rsidP="000F41B0">
      <w:pPr>
        <w:pStyle w:val="MDPI51figurecaption"/>
        <w:jc w:val="both"/>
        <w:rPr>
          <w:rFonts w:ascii="Georgia" w:eastAsiaTheme="minorEastAsia" w:hAnsi="Georgia" w:cs="Arial"/>
          <w:snapToGrid w:val="0"/>
          <w:sz w:val="20"/>
          <w:szCs w:val="22"/>
        </w:rPr>
      </w:pPr>
      <w:r w:rsidRPr="002B6215">
        <w:rPr>
          <w:rFonts w:ascii="Georgia" w:eastAsiaTheme="minorEastAsia" w:hAnsi="Georgia" w:cs="Arial"/>
          <w:snapToGrid w:val="0"/>
          <w:sz w:val="20"/>
          <w:szCs w:val="22"/>
        </w:rPr>
        <w:lastRenderedPageBreak/>
        <w:t>Figure 1</w:t>
      </w:r>
      <w:r w:rsidR="008C0A31" w:rsidRPr="002B6215">
        <w:rPr>
          <w:rFonts w:ascii="Georgia" w:eastAsiaTheme="minorEastAsia" w:hAnsi="Georgia" w:cs="Arial"/>
          <w:snapToGrid w:val="0"/>
          <w:sz w:val="20"/>
          <w:szCs w:val="22"/>
        </w:rPr>
        <w:t xml:space="preserve">: Showing Word Cloud exploring the language of </w:t>
      </w:r>
      <w:r w:rsidR="00C36CD1">
        <w:rPr>
          <w:rFonts w:ascii="Georgia" w:eastAsiaTheme="minorEastAsia" w:hAnsi="Georgia" w:cs="Arial"/>
          <w:snapToGrid w:val="0"/>
          <w:sz w:val="20"/>
          <w:szCs w:val="22"/>
        </w:rPr>
        <w:t>c</w:t>
      </w:r>
      <w:r w:rsidR="008C0A31" w:rsidRPr="002B6215">
        <w:rPr>
          <w:rFonts w:ascii="Georgia" w:eastAsiaTheme="minorEastAsia" w:hAnsi="Georgia" w:cs="Arial"/>
          <w:snapToGrid w:val="0"/>
          <w:sz w:val="20"/>
          <w:szCs w:val="22"/>
        </w:rPr>
        <w:t>o-</w:t>
      </w:r>
      <w:r w:rsidR="00C36CD1">
        <w:rPr>
          <w:rFonts w:ascii="Georgia" w:eastAsiaTheme="minorEastAsia" w:hAnsi="Georgia" w:cs="Arial"/>
          <w:snapToGrid w:val="0"/>
          <w:sz w:val="20"/>
          <w:szCs w:val="22"/>
        </w:rPr>
        <w:t>p</w:t>
      </w:r>
      <w:r w:rsidR="008C0A31" w:rsidRPr="002B6215">
        <w:rPr>
          <w:rFonts w:ascii="Georgia" w:eastAsiaTheme="minorEastAsia" w:hAnsi="Georgia" w:cs="Arial"/>
          <w:snapToGrid w:val="0"/>
          <w:sz w:val="20"/>
          <w:szCs w:val="22"/>
        </w:rPr>
        <w:t>roduction</w:t>
      </w:r>
      <w:r>
        <w:rPr>
          <w:rFonts w:ascii="Georgia" w:eastAsiaTheme="minorEastAsia" w:hAnsi="Georgia" w:cs="Arial"/>
          <w:snapToGrid w:val="0"/>
          <w:sz w:val="20"/>
          <w:szCs w:val="22"/>
        </w:rPr>
        <w:t>.</w:t>
      </w:r>
    </w:p>
    <w:p w14:paraId="7385EB37" w14:textId="55A41D95"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The workshops were designed around a series of tangible tasks that stimulated discussion and restated the importance of ‘hands-on skills’ in both medicine and architecture. These included asking groups to create word-clouds of what co-production meant to them, image-mapping emotional responses on to different sites, and representing in modelling clay what an ideal mental healthcare space should smell, feel, sound, and taste like. The discussions these activities generated were </w:t>
      </w:r>
      <w:proofErr w:type="spellStart"/>
      <w:r w:rsidRPr="008C0A31">
        <w:rPr>
          <w:rFonts w:ascii="Georgia" w:eastAsiaTheme="minorEastAsia" w:hAnsi="Georgia" w:cs="Arial"/>
          <w:snapToGrid w:val="0"/>
          <w:sz w:val="20"/>
          <w:szCs w:val="22"/>
        </w:rPr>
        <w:t>summarised</w:t>
      </w:r>
      <w:proofErr w:type="spellEnd"/>
      <w:r w:rsidRPr="008C0A31">
        <w:rPr>
          <w:rFonts w:ascii="Georgia" w:eastAsiaTheme="minorEastAsia" w:hAnsi="Georgia" w:cs="Arial"/>
          <w:snapToGrid w:val="0"/>
          <w:sz w:val="20"/>
          <w:szCs w:val="22"/>
        </w:rPr>
        <w:t xml:space="preserve"> into a User Brief at the end of the first workshop, and then underpinned a Design Poster made in the second workshop, illustrating students' creative responses to that brief. Both workshops involved keynote speakers, interviews with clinicians, patients, </w:t>
      </w:r>
      <w:proofErr w:type="spellStart"/>
      <w:r w:rsidRPr="008C0A31">
        <w:rPr>
          <w:rFonts w:ascii="Georgia" w:eastAsiaTheme="minorEastAsia" w:hAnsi="Georgia" w:cs="Arial"/>
          <w:snapToGrid w:val="0"/>
          <w:sz w:val="20"/>
          <w:szCs w:val="22"/>
        </w:rPr>
        <w:t>carers</w:t>
      </w:r>
      <w:proofErr w:type="spellEnd"/>
      <w:r w:rsidRPr="008C0A31">
        <w:rPr>
          <w:rFonts w:ascii="Georgia" w:eastAsiaTheme="minorEastAsia" w:hAnsi="Georgia" w:cs="Arial"/>
          <w:snapToGrid w:val="0"/>
          <w:sz w:val="20"/>
          <w:szCs w:val="22"/>
        </w:rPr>
        <w:t xml:space="preserve">, and other service users, as well as live Q&amp;A panels offering feedback from architects, clinicians, and patient advocates. </w:t>
      </w:r>
    </w:p>
    <w:p w14:paraId="7C8D94E4" w14:textId="4FCD32B9"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Although the workshops were originally conceived as face-to-face workshops, due to the pandemic, </w:t>
      </w:r>
      <w:r w:rsidRPr="001D7864">
        <w:rPr>
          <w:rFonts w:ascii="Georgia" w:eastAsiaTheme="minorEastAsia" w:hAnsi="Georgia" w:cs="Arial"/>
          <w:snapToGrid w:val="0"/>
          <w:sz w:val="20"/>
          <w:szCs w:val="22"/>
        </w:rPr>
        <w:t xml:space="preserve">the 2020/1 </w:t>
      </w:r>
      <w:r w:rsidR="000C0649">
        <w:rPr>
          <w:rFonts w:ascii="Georgia" w:eastAsiaTheme="minorEastAsia" w:hAnsi="Georgia" w:cs="Arial"/>
          <w:snapToGrid w:val="0"/>
          <w:sz w:val="20"/>
          <w:szCs w:val="22"/>
        </w:rPr>
        <w:t>cycle</w:t>
      </w:r>
      <w:r w:rsidRPr="001D7864">
        <w:rPr>
          <w:rFonts w:ascii="Georgia" w:eastAsiaTheme="minorEastAsia" w:hAnsi="Georgia" w:cs="Arial"/>
          <w:snapToGrid w:val="0"/>
          <w:sz w:val="20"/>
          <w:szCs w:val="22"/>
        </w:rPr>
        <w:t xml:space="preserve"> </w:t>
      </w:r>
      <w:r w:rsidRPr="008C0A31">
        <w:rPr>
          <w:rFonts w:ascii="Georgia" w:eastAsiaTheme="minorEastAsia" w:hAnsi="Georgia" w:cs="Arial"/>
          <w:snapToGrid w:val="0"/>
          <w:sz w:val="20"/>
          <w:szCs w:val="22"/>
        </w:rPr>
        <w:t xml:space="preserve">was delivered online to facilitate the project's ambitious scale, and enable a genuine shared co-production experience, as envisioned by the core team working across the two institutions. </w:t>
      </w:r>
    </w:p>
    <w:p w14:paraId="5E95F985" w14:textId="3013647D" w:rsid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To enable </w:t>
      </w:r>
      <w:proofErr w:type="spellStart"/>
      <w:r w:rsidRPr="008C0A31">
        <w:rPr>
          <w:rFonts w:ascii="Georgia" w:eastAsiaTheme="minorEastAsia" w:hAnsi="Georgia" w:cs="Arial"/>
          <w:snapToGrid w:val="0"/>
          <w:sz w:val="20"/>
          <w:szCs w:val="22"/>
        </w:rPr>
        <w:t>organisation</w:t>
      </w:r>
      <w:proofErr w:type="spellEnd"/>
      <w:r w:rsidRPr="008C0A31">
        <w:rPr>
          <w:rFonts w:ascii="Georgia" w:eastAsiaTheme="minorEastAsia" w:hAnsi="Georgia" w:cs="Arial"/>
          <w:snapToGrid w:val="0"/>
          <w:sz w:val="20"/>
          <w:szCs w:val="22"/>
        </w:rPr>
        <w:t xml:space="preserve">, four mental health conditions were identified and the students were each assigned to one of the four conditions: Dementia, Stroke, Neurodevelopment and Family Therapy. Along with 160 students assigned to each health condition, two teaching teams made up of clinician and architecture tutors were set up, each covering eight groups. Each health condition had its own Zoom plenary space along with Zoom break-out spaces for the individual groups to meet, and each group had access to a board on an online whiteboard </w:t>
      </w:r>
      <w:proofErr w:type="spellStart"/>
      <w:r w:rsidRPr="008C0A31">
        <w:rPr>
          <w:rFonts w:ascii="Georgia" w:eastAsiaTheme="minorEastAsia" w:hAnsi="Georgia" w:cs="Arial"/>
          <w:snapToGrid w:val="0"/>
          <w:sz w:val="20"/>
          <w:szCs w:val="22"/>
        </w:rPr>
        <w:t>programme</w:t>
      </w:r>
      <w:proofErr w:type="spellEnd"/>
      <w:r w:rsidRPr="008C0A31">
        <w:rPr>
          <w:rFonts w:ascii="Georgia" w:eastAsiaTheme="minorEastAsia" w:hAnsi="Georgia" w:cs="Arial"/>
          <w:snapToGrid w:val="0"/>
          <w:sz w:val="20"/>
          <w:szCs w:val="22"/>
        </w:rPr>
        <w:t xml:space="preserve"> called Miro. This 40-second video (http://tiny.cc/8u8xtz) shows how Miro enabled 650 students, working remotely across multiple time-zones, to collaborate synchronously in 64 cross-disciplinary design groups. This was facilitated virtually by the 40+ tutors working across 4 parallel Zoom meetings on each workshop day. </w:t>
      </w:r>
    </w:p>
    <w:p w14:paraId="71736D08" w14:textId="78FF4756" w:rsidR="008C0A31" w:rsidRPr="008C0A31" w:rsidRDefault="00820D50" w:rsidP="0065665B">
      <w:pPr>
        <w:pStyle w:val="MDPI51figurecaption"/>
        <w:jc w:val="both"/>
        <w:rPr>
          <w:rFonts w:ascii="Georgia" w:eastAsiaTheme="minorEastAsia" w:hAnsi="Georgia" w:cs="Arial"/>
          <w:snapToGrid w:val="0"/>
          <w:sz w:val="20"/>
          <w:szCs w:val="22"/>
        </w:rPr>
      </w:pPr>
      <w:r>
        <w:rPr>
          <w:rFonts w:ascii="Georgia" w:eastAsiaTheme="minorEastAsia" w:hAnsi="Georgia" w:cs="Arial"/>
          <w:noProof/>
          <w:sz w:val="20"/>
          <w:szCs w:val="22"/>
        </w:rPr>
        <w:drawing>
          <wp:inline distT="0" distB="0" distL="0" distR="0" wp14:anchorId="032764DA" wp14:editId="6231B854">
            <wp:extent cx="3594100" cy="207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3594100" cy="2070100"/>
                    </a:xfrm>
                    <a:prstGeom prst="rect">
                      <a:avLst/>
                    </a:prstGeom>
                  </pic:spPr>
                </pic:pic>
              </a:graphicData>
            </a:graphic>
          </wp:inline>
        </w:drawing>
      </w:r>
    </w:p>
    <w:p w14:paraId="05D446A1" w14:textId="73DDC678" w:rsidR="0065665B" w:rsidRDefault="002B6215" w:rsidP="0065665B">
      <w:pPr>
        <w:pStyle w:val="MDPI51figurecaption"/>
        <w:jc w:val="both"/>
        <w:rPr>
          <w:rFonts w:ascii="Georgia" w:eastAsiaTheme="minorEastAsia" w:hAnsi="Georgia" w:cs="Arial"/>
          <w:snapToGrid w:val="0"/>
          <w:sz w:val="20"/>
          <w:szCs w:val="22"/>
        </w:rPr>
      </w:pPr>
      <w:r w:rsidRPr="002B6215">
        <w:rPr>
          <w:rFonts w:ascii="Georgia" w:eastAsiaTheme="minorEastAsia" w:hAnsi="Georgia" w:cs="Arial"/>
          <w:snapToGrid w:val="0"/>
          <w:sz w:val="20"/>
          <w:szCs w:val="22"/>
        </w:rPr>
        <w:t>Figure 2</w:t>
      </w:r>
      <w:r w:rsidR="008C0A31" w:rsidRPr="002B6215">
        <w:rPr>
          <w:rFonts w:ascii="Georgia" w:eastAsiaTheme="minorEastAsia" w:hAnsi="Georgia" w:cs="Arial"/>
          <w:snapToGrid w:val="0"/>
          <w:sz w:val="20"/>
          <w:szCs w:val="22"/>
        </w:rPr>
        <w:t>: Showing eight Miro</w:t>
      </w:r>
      <w:r w:rsidR="00C36CD1">
        <w:rPr>
          <w:rFonts w:ascii="Georgia" w:eastAsiaTheme="minorEastAsia" w:hAnsi="Georgia" w:cs="Arial"/>
          <w:snapToGrid w:val="0"/>
          <w:sz w:val="20"/>
          <w:szCs w:val="22"/>
        </w:rPr>
        <w:t xml:space="preserve"> </w:t>
      </w:r>
      <w:r w:rsidR="008C0A31" w:rsidRPr="002B6215">
        <w:rPr>
          <w:rFonts w:ascii="Georgia" w:eastAsiaTheme="minorEastAsia" w:hAnsi="Georgia" w:cs="Arial"/>
          <w:snapToGrid w:val="0"/>
          <w:sz w:val="20"/>
          <w:szCs w:val="22"/>
        </w:rPr>
        <w:t xml:space="preserve">boards working simultaneously </w:t>
      </w:r>
      <w:r w:rsidR="00C36CD1">
        <w:rPr>
          <w:rFonts w:ascii="Georgia" w:eastAsiaTheme="minorEastAsia" w:hAnsi="Georgia" w:cs="Arial"/>
          <w:snapToGrid w:val="0"/>
          <w:sz w:val="20"/>
          <w:szCs w:val="22"/>
        </w:rPr>
        <w:t>and enabling</w:t>
      </w:r>
      <w:r w:rsidR="008C0A31" w:rsidRPr="002B6215">
        <w:rPr>
          <w:rFonts w:ascii="Georgia" w:eastAsiaTheme="minorEastAsia" w:hAnsi="Georgia" w:cs="Arial"/>
          <w:snapToGrid w:val="0"/>
          <w:sz w:val="20"/>
          <w:szCs w:val="22"/>
        </w:rPr>
        <w:t xml:space="preserve"> the 80 students </w:t>
      </w:r>
      <w:r w:rsidR="00C36CD1">
        <w:rPr>
          <w:rFonts w:ascii="Georgia" w:eastAsiaTheme="minorEastAsia" w:hAnsi="Georgia" w:cs="Arial"/>
          <w:snapToGrid w:val="0"/>
          <w:sz w:val="20"/>
          <w:szCs w:val="22"/>
        </w:rPr>
        <w:t>w</w:t>
      </w:r>
      <w:r w:rsidR="008C0A31" w:rsidRPr="002B6215">
        <w:rPr>
          <w:rFonts w:ascii="Georgia" w:eastAsiaTheme="minorEastAsia" w:hAnsi="Georgia" w:cs="Arial"/>
          <w:snapToGrid w:val="0"/>
          <w:sz w:val="20"/>
          <w:szCs w:val="22"/>
        </w:rPr>
        <w:t>orking on spaces for dementia to view each other’s work as it was created</w:t>
      </w:r>
      <w:r>
        <w:rPr>
          <w:rFonts w:ascii="Georgia" w:eastAsiaTheme="minorEastAsia" w:hAnsi="Georgia" w:cs="Arial"/>
          <w:snapToGrid w:val="0"/>
          <w:sz w:val="20"/>
          <w:szCs w:val="22"/>
        </w:rPr>
        <w:t xml:space="preserve">, </w:t>
      </w:r>
      <w:r w:rsidR="008C0A31" w:rsidRPr="002B6215">
        <w:rPr>
          <w:rFonts w:ascii="Georgia" w:eastAsiaTheme="minorEastAsia" w:hAnsi="Georgia" w:cs="Arial"/>
          <w:snapToGrid w:val="0"/>
          <w:sz w:val="20"/>
          <w:szCs w:val="22"/>
        </w:rPr>
        <w:t>facilitating peer learning.</w:t>
      </w:r>
    </w:p>
    <w:p w14:paraId="2C1A1EE7" w14:textId="5EA317DE" w:rsidR="002A261A" w:rsidRPr="008C0A31" w:rsidRDefault="005655CA" w:rsidP="000F41B0">
      <w:pPr>
        <w:pStyle w:val="MDPI51figurecaption"/>
        <w:jc w:val="both"/>
        <w:rPr>
          <w:rFonts w:ascii="Georgia" w:eastAsiaTheme="minorEastAsia" w:hAnsi="Georgia" w:cs="Arial"/>
          <w:snapToGrid w:val="0"/>
          <w:sz w:val="20"/>
          <w:szCs w:val="22"/>
        </w:rPr>
      </w:pPr>
      <w:r>
        <w:rPr>
          <w:rFonts w:ascii="Georgia" w:eastAsiaTheme="minorEastAsia" w:hAnsi="Georgia" w:cs="Arial"/>
          <w:noProof/>
          <w:sz w:val="20"/>
          <w:szCs w:val="22"/>
        </w:rPr>
        <w:drawing>
          <wp:inline distT="0" distB="0" distL="0" distR="0" wp14:anchorId="31D77871" wp14:editId="67ECA721">
            <wp:extent cx="3592800" cy="1622698"/>
            <wp:effectExtent l="0" t="0" r="1905" b="3175"/>
            <wp:docPr id="4" name="Picture 4"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ime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592800" cy="1622698"/>
                    </a:xfrm>
                    <a:prstGeom prst="rect">
                      <a:avLst/>
                    </a:prstGeom>
                  </pic:spPr>
                </pic:pic>
              </a:graphicData>
            </a:graphic>
          </wp:inline>
        </w:drawing>
      </w:r>
    </w:p>
    <w:p w14:paraId="39583DD3" w14:textId="1E13DE4C" w:rsidR="008C0A31" w:rsidRPr="008C0A31" w:rsidRDefault="002B6215" w:rsidP="000F41B0">
      <w:pPr>
        <w:pStyle w:val="MDPI51figurecaption"/>
        <w:jc w:val="both"/>
        <w:rPr>
          <w:rFonts w:ascii="Georgia" w:eastAsiaTheme="minorEastAsia" w:hAnsi="Georgia" w:cs="Arial"/>
          <w:snapToGrid w:val="0"/>
          <w:sz w:val="20"/>
          <w:szCs w:val="22"/>
        </w:rPr>
      </w:pPr>
      <w:r w:rsidRPr="002B6215">
        <w:rPr>
          <w:rFonts w:ascii="Georgia" w:eastAsiaTheme="minorEastAsia" w:hAnsi="Georgia" w:cs="Arial"/>
          <w:snapToGrid w:val="0"/>
          <w:sz w:val="20"/>
          <w:szCs w:val="22"/>
        </w:rPr>
        <w:lastRenderedPageBreak/>
        <w:t>Figure 3</w:t>
      </w:r>
      <w:r w:rsidR="008C0A31" w:rsidRPr="002B6215">
        <w:rPr>
          <w:rFonts w:ascii="Georgia" w:eastAsiaTheme="minorEastAsia" w:hAnsi="Georgia" w:cs="Arial"/>
          <w:snapToGrid w:val="0"/>
          <w:sz w:val="20"/>
          <w:szCs w:val="22"/>
        </w:rPr>
        <w:t>: left; Detail</w:t>
      </w:r>
      <w:r w:rsidR="008C0A31" w:rsidRPr="008C0A31">
        <w:rPr>
          <w:rFonts w:ascii="Georgia" w:eastAsiaTheme="minorEastAsia" w:hAnsi="Georgia" w:cs="Arial"/>
          <w:snapToGrid w:val="0"/>
          <w:sz w:val="20"/>
          <w:szCs w:val="22"/>
        </w:rPr>
        <w:t xml:space="preserve"> of Miro</w:t>
      </w:r>
      <w:r w:rsidR="00C36CD1">
        <w:rPr>
          <w:rFonts w:ascii="Georgia" w:eastAsiaTheme="minorEastAsia" w:hAnsi="Georgia" w:cs="Arial"/>
          <w:snapToGrid w:val="0"/>
          <w:sz w:val="20"/>
          <w:szCs w:val="22"/>
        </w:rPr>
        <w:t xml:space="preserve"> </w:t>
      </w:r>
      <w:r w:rsidR="008C0A31" w:rsidRPr="008C0A31">
        <w:rPr>
          <w:rFonts w:ascii="Georgia" w:eastAsiaTheme="minorEastAsia" w:hAnsi="Georgia" w:cs="Arial"/>
          <w:snapToGrid w:val="0"/>
          <w:sz w:val="20"/>
          <w:szCs w:val="22"/>
        </w:rPr>
        <w:t>board showing students considering a patient’s journey</w:t>
      </w:r>
      <w:r w:rsidR="005655CA">
        <w:rPr>
          <w:rFonts w:ascii="Georgia" w:eastAsiaTheme="minorEastAsia" w:hAnsi="Georgia" w:cs="Arial"/>
          <w:snapToGrid w:val="0"/>
          <w:sz w:val="20"/>
          <w:szCs w:val="22"/>
        </w:rPr>
        <w:t>.</w:t>
      </w:r>
    </w:p>
    <w:p w14:paraId="09488BEA" w14:textId="77777777"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The Miro boards enabled individuals in each group to share ideas, pose solutions either as text or using images and diagrams in a visual and organic way. The boards were designed with a provocative mix of text and image to signpost the brief and activities. Embedded links to pre-recorded videos of keynote speakers, as well as video tours of the sites, were live-streamed to the parallel meetings. Additional expert input was provided by creating a video and audio library of interviews with mental health and design experts again accessible through links on the Miro boards. Patients and </w:t>
      </w:r>
      <w:proofErr w:type="spellStart"/>
      <w:r w:rsidRPr="008C0A31">
        <w:rPr>
          <w:rFonts w:ascii="Georgia" w:eastAsiaTheme="minorEastAsia" w:hAnsi="Georgia" w:cs="Arial"/>
          <w:snapToGrid w:val="0"/>
          <w:sz w:val="20"/>
          <w:szCs w:val="22"/>
        </w:rPr>
        <w:t>carers</w:t>
      </w:r>
      <w:proofErr w:type="spellEnd"/>
      <w:r w:rsidRPr="008C0A31">
        <w:rPr>
          <w:rFonts w:ascii="Georgia" w:eastAsiaTheme="minorEastAsia" w:hAnsi="Georgia" w:cs="Arial"/>
          <w:snapToGrid w:val="0"/>
          <w:sz w:val="20"/>
          <w:szCs w:val="22"/>
        </w:rPr>
        <w:t xml:space="preserve"> were placed </w:t>
      </w:r>
      <w:proofErr w:type="spellStart"/>
      <w:r w:rsidRPr="008C0A31">
        <w:rPr>
          <w:rFonts w:ascii="Georgia" w:eastAsiaTheme="minorEastAsia" w:hAnsi="Georgia" w:cs="Arial"/>
          <w:snapToGrid w:val="0"/>
          <w:sz w:val="20"/>
          <w:szCs w:val="22"/>
        </w:rPr>
        <w:t>centre</w:t>
      </w:r>
      <w:proofErr w:type="spellEnd"/>
      <w:r w:rsidRPr="008C0A31">
        <w:rPr>
          <w:rFonts w:ascii="Georgia" w:eastAsiaTheme="minorEastAsia" w:hAnsi="Georgia" w:cs="Arial"/>
          <w:snapToGrid w:val="0"/>
          <w:sz w:val="20"/>
          <w:szCs w:val="22"/>
        </w:rPr>
        <w:t xml:space="preserve"> stage through 2-hours of video interviews and testimonials. </w:t>
      </w:r>
    </w:p>
    <w:p w14:paraId="3F2C55B1" w14:textId="3D89AC4B"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 </w:t>
      </w:r>
      <w:r w:rsidR="0065665B">
        <w:rPr>
          <w:rFonts w:ascii="Georgia" w:eastAsiaTheme="minorEastAsia" w:hAnsi="Georgia" w:cs="Arial"/>
          <w:noProof/>
          <w:sz w:val="20"/>
          <w:szCs w:val="22"/>
        </w:rPr>
        <w:drawing>
          <wp:inline distT="0" distB="0" distL="0" distR="0" wp14:anchorId="65A39DDF" wp14:editId="19DFD768">
            <wp:extent cx="359410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0FC298AB" w14:textId="00B382E7" w:rsidR="008C0A31" w:rsidRPr="008C0A31" w:rsidRDefault="002B6215" w:rsidP="0065665B">
      <w:pPr>
        <w:pStyle w:val="MDPI51figurecaption"/>
        <w:jc w:val="both"/>
        <w:rPr>
          <w:rFonts w:ascii="Georgia" w:eastAsiaTheme="minorEastAsia" w:hAnsi="Georgia" w:cs="Arial"/>
          <w:snapToGrid w:val="0"/>
          <w:sz w:val="20"/>
          <w:szCs w:val="22"/>
        </w:rPr>
      </w:pPr>
      <w:r w:rsidRPr="002B6215">
        <w:rPr>
          <w:rFonts w:ascii="Georgia" w:eastAsiaTheme="minorEastAsia" w:hAnsi="Georgia" w:cs="Arial"/>
          <w:snapToGrid w:val="0"/>
          <w:sz w:val="20"/>
          <w:szCs w:val="22"/>
        </w:rPr>
        <w:t>Figure 4</w:t>
      </w:r>
      <w:r w:rsidR="008C0A31" w:rsidRPr="002B6215">
        <w:rPr>
          <w:rFonts w:ascii="Georgia" w:eastAsiaTheme="minorEastAsia" w:hAnsi="Georgia" w:cs="Arial"/>
          <w:snapToGrid w:val="0"/>
          <w:sz w:val="20"/>
          <w:szCs w:val="22"/>
        </w:rPr>
        <w:t xml:space="preserve">: Example of expert input </w:t>
      </w:r>
      <w:r>
        <w:rPr>
          <w:rFonts w:ascii="Georgia" w:eastAsiaTheme="minorEastAsia" w:hAnsi="Georgia" w:cs="Arial"/>
          <w:snapToGrid w:val="0"/>
          <w:sz w:val="20"/>
          <w:szCs w:val="22"/>
        </w:rPr>
        <w:t>as ‘</w:t>
      </w:r>
      <w:r w:rsidR="008C0A31" w:rsidRPr="002B6215">
        <w:rPr>
          <w:rFonts w:ascii="Georgia" w:eastAsiaTheme="minorEastAsia" w:hAnsi="Georgia" w:cs="Arial"/>
          <w:snapToGrid w:val="0"/>
          <w:sz w:val="20"/>
          <w:szCs w:val="22"/>
        </w:rPr>
        <w:t>talking heads</w:t>
      </w:r>
      <w:r>
        <w:rPr>
          <w:rFonts w:ascii="Georgia" w:eastAsiaTheme="minorEastAsia" w:hAnsi="Georgia" w:cs="Arial"/>
          <w:snapToGrid w:val="0"/>
          <w:sz w:val="20"/>
          <w:szCs w:val="22"/>
        </w:rPr>
        <w:t xml:space="preserve">’ showing </w:t>
      </w:r>
      <w:r w:rsidR="008C0A31" w:rsidRPr="002B6215">
        <w:rPr>
          <w:rFonts w:ascii="Georgia" w:eastAsiaTheme="minorEastAsia" w:hAnsi="Georgia" w:cs="Arial"/>
          <w:snapToGrid w:val="0"/>
          <w:sz w:val="20"/>
          <w:szCs w:val="22"/>
        </w:rPr>
        <w:t xml:space="preserve">Professor Sadie Morgan (Architect) </w:t>
      </w:r>
      <w:r>
        <w:rPr>
          <w:rFonts w:ascii="Georgia" w:eastAsiaTheme="minorEastAsia" w:hAnsi="Georgia" w:cs="Arial"/>
          <w:snapToGrid w:val="0"/>
          <w:sz w:val="20"/>
          <w:szCs w:val="22"/>
        </w:rPr>
        <w:t>in dialogue with</w:t>
      </w:r>
      <w:r w:rsidR="008C0A31" w:rsidRPr="002B6215">
        <w:rPr>
          <w:rFonts w:ascii="Georgia" w:eastAsiaTheme="minorEastAsia" w:hAnsi="Georgia" w:cs="Arial"/>
          <w:snapToGrid w:val="0"/>
          <w:sz w:val="20"/>
          <w:szCs w:val="22"/>
        </w:rPr>
        <w:t xml:space="preserve"> Dr Fin Larkin (Consultant Psychiatrist)</w:t>
      </w:r>
      <w:r>
        <w:rPr>
          <w:rFonts w:ascii="Georgia" w:eastAsiaTheme="minorEastAsia" w:hAnsi="Georgia" w:cs="Arial"/>
          <w:snapToGrid w:val="0"/>
          <w:sz w:val="20"/>
          <w:szCs w:val="22"/>
        </w:rPr>
        <w:t>.</w:t>
      </w:r>
    </w:p>
    <w:p w14:paraId="37678E4C" w14:textId="77777777" w:rsidR="008C0A31" w:rsidRPr="008C0A31" w:rsidRDefault="008C0A31" w:rsidP="0065665B">
      <w:pPr>
        <w:pStyle w:val="MDPI51figurecaption"/>
        <w:ind w:left="0"/>
        <w:jc w:val="both"/>
        <w:rPr>
          <w:rFonts w:ascii="Georgia" w:eastAsiaTheme="minorEastAsia" w:hAnsi="Georgia" w:cs="Arial"/>
          <w:snapToGrid w:val="0"/>
          <w:sz w:val="20"/>
          <w:szCs w:val="22"/>
        </w:rPr>
      </w:pPr>
    </w:p>
    <w:p w14:paraId="72982D3A" w14:textId="07A3D51F" w:rsidR="008C0A31" w:rsidRDefault="008C0A31" w:rsidP="000F41B0">
      <w:pPr>
        <w:pStyle w:val="MDPI21heading1"/>
        <w:jc w:val="both"/>
        <w:rPr>
          <w:rFonts w:ascii="Georgia" w:eastAsiaTheme="minorEastAsia" w:hAnsi="Georgia" w:cs="Arial"/>
          <w:lang w:eastAsia="zh-CN"/>
        </w:rPr>
      </w:pPr>
      <w:r>
        <w:rPr>
          <w:rFonts w:ascii="Georgia" w:eastAsiaTheme="minorEastAsia" w:hAnsi="Georgia" w:cs="Arial"/>
          <w:lang w:eastAsia="zh-CN"/>
        </w:rPr>
        <w:t>3</w:t>
      </w:r>
      <w:r w:rsidRPr="004F2BEA">
        <w:rPr>
          <w:rFonts w:ascii="Georgia" w:eastAsiaTheme="minorEastAsia" w:hAnsi="Georgia" w:cs="Arial"/>
          <w:lang w:eastAsia="zh-CN"/>
        </w:rPr>
        <w:t xml:space="preserve">. </w:t>
      </w:r>
      <w:r w:rsidR="0082368F">
        <w:rPr>
          <w:rFonts w:ascii="Georgia" w:eastAsiaTheme="minorEastAsia" w:hAnsi="Georgia" w:cs="Arial"/>
          <w:lang w:eastAsia="zh-CN"/>
        </w:rPr>
        <w:t>Results</w:t>
      </w:r>
    </w:p>
    <w:p w14:paraId="1703A5E7" w14:textId="2CFD4AFA" w:rsidR="00540310" w:rsidRDefault="008C0A31" w:rsidP="0065665B">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Provoking both disciplines out of their comfort zone, the participatory nature of the workshops offered students a positive reframing of their expectations of what it means to be a ‘professional’ architect or doctor, as well as reconsidering the language and methods through which they communicate: the word design comes from the Italian word ‘</w:t>
      </w:r>
      <w:proofErr w:type="spellStart"/>
      <w:r w:rsidRPr="008C0A31">
        <w:rPr>
          <w:rFonts w:ascii="Georgia" w:eastAsiaTheme="minorEastAsia" w:hAnsi="Georgia" w:cs="Arial"/>
          <w:snapToGrid w:val="0"/>
          <w:sz w:val="20"/>
          <w:szCs w:val="22"/>
        </w:rPr>
        <w:t>disegno</w:t>
      </w:r>
      <w:proofErr w:type="spellEnd"/>
      <w:r w:rsidRPr="008C0A31">
        <w:rPr>
          <w:rFonts w:ascii="Georgia" w:eastAsiaTheme="minorEastAsia" w:hAnsi="Georgia" w:cs="Arial"/>
          <w:snapToGrid w:val="0"/>
          <w:sz w:val="20"/>
          <w:szCs w:val="22"/>
        </w:rPr>
        <w:t xml:space="preserve">’ meaning a drawing, but also the drawing out of an idea; an etymology that </w:t>
      </w:r>
      <w:proofErr w:type="spellStart"/>
      <w:r w:rsidRPr="008C0A31">
        <w:rPr>
          <w:rFonts w:ascii="Georgia" w:eastAsiaTheme="minorEastAsia" w:hAnsi="Georgia" w:cs="Arial"/>
          <w:snapToGrid w:val="0"/>
          <w:sz w:val="20"/>
          <w:szCs w:val="22"/>
        </w:rPr>
        <w:t>emphasises</w:t>
      </w:r>
      <w:proofErr w:type="spellEnd"/>
      <w:r w:rsidRPr="008C0A31">
        <w:rPr>
          <w:rFonts w:ascii="Georgia" w:eastAsiaTheme="minorEastAsia" w:hAnsi="Georgia" w:cs="Arial"/>
          <w:snapToGrid w:val="0"/>
          <w:sz w:val="20"/>
          <w:szCs w:val="22"/>
        </w:rPr>
        <w:t xml:space="preserve"> the importance of thinking through doing.</w:t>
      </w:r>
    </w:p>
    <w:p w14:paraId="36B0F8E5" w14:textId="59C1628E" w:rsidR="008C0A31" w:rsidRPr="008C0A31" w:rsidRDefault="00540310" w:rsidP="000F41B0">
      <w:pPr>
        <w:pStyle w:val="MDPI51figurecaption"/>
        <w:jc w:val="both"/>
        <w:rPr>
          <w:rFonts w:ascii="Georgia" w:eastAsiaTheme="minorEastAsia" w:hAnsi="Georgia" w:cs="Arial"/>
          <w:snapToGrid w:val="0"/>
          <w:sz w:val="20"/>
          <w:szCs w:val="22"/>
        </w:rPr>
      </w:pPr>
      <w:r w:rsidRPr="00540310">
        <w:rPr>
          <w:rFonts w:ascii="Georgia" w:eastAsiaTheme="minorEastAsia" w:hAnsi="Georgia" w:cs="Arial"/>
          <w:snapToGrid w:val="0"/>
          <w:sz w:val="20"/>
          <w:szCs w:val="22"/>
        </w:rPr>
        <w:t xml:space="preserve">3.1. </w:t>
      </w:r>
      <w:r>
        <w:rPr>
          <w:rFonts w:ascii="Georgia" w:eastAsiaTheme="minorEastAsia" w:hAnsi="Georgia" w:cs="Arial"/>
          <w:snapToGrid w:val="0"/>
          <w:sz w:val="20"/>
          <w:szCs w:val="22"/>
        </w:rPr>
        <w:t>Co-Designing Participation</w:t>
      </w:r>
    </w:p>
    <w:p w14:paraId="19AEF1D3" w14:textId="730FABC3"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So far, the workshop has been run in two cycles the first in November 2020 and February 2021, and the second in November 2021 and February 2022. In 2020/21 due to the pandemic the workshop was successfully held on-line as described above, as was the User Brief workshop in November 2021. By November 2021 however both the architecture and medical students were beginning to return to campus teaching and staff noticed Zoom/Miro fatigue and less enthusiastic student engagement. </w:t>
      </w:r>
    </w:p>
    <w:p w14:paraId="677FF0F5" w14:textId="39C7BAA6" w:rsid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In February this year with the British government relaxing </w:t>
      </w:r>
      <w:r w:rsidR="00587515">
        <w:rPr>
          <w:rFonts w:ascii="Georgia" w:eastAsiaTheme="minorEastAsia" w:hAnsi="Georgia" w:cs="Arial"/>
          <w:snapToGrid w:val="0"/>
          <w:sz w:val="20"/>
          <w:szCs w:val="22"/>
        </w:rPr>
        <w:t xml:space="preserve">pandemic </w:t>
      </w:r>
      <w:r w:rsidRPr="008C0A31">
        <w:rPr>
          <w:rFonts w:ascii="Georgia" w:eastAsiaTheme="minorEastAsia" w:hAnsi="Georgia" w:cs="Arial"/>
          <w:snapToGrid w:val="0"/>
          <w:sz w:val="20"/>
          <w:szCs w:val="22"/>
        </w:rPr>
        <w:t xml:space="preserve">restrictions, we took the decision to hold the design workshop ‘in person’ on the </w:t>
      </w:r>
      <w:r w:rsidR="00301DFD">
        <w:rPr>
          <w:rFonts w:ascii="Georgia" w:eastAsiaTheme="minorEastAsia" w:hAnsi="Georgia" w:cs="Arial"/>
          <w:snapToGrid w:val="0"/>
          <w:sz w:val="20"/>
          <w:szCs w:val="22"/>
        </w:rPr>
        <w:t xml:space="preserve">University of </w:t>
      </w:r>
      <w:r w:rsidRPr="008C0A31">
        <w:rPr>
          <w:rFonts w:ascii="Georgia" w:eastAsiaTheme="minorEastAsia" w:hAnsi="Georgia" w:cs="Arial"/>
          <w:snapToGrid w:val="0"/>
          <w:sz w:val="20"/>
          <w:szCs w:val="22"/>
        </w:rPr>
        <w:t xml:space="preserve">Westminster Campus spreading the students across the architecture studios and a large exhibition space called P3. The mapping of an online pedagogy back into real space was challenging; the four Zoom meetings being spread across seven physical spaces. For the medical students it meant a day spent in a ‘studio environment’ – for most of them an unfamiliar typology of creative teaching space, while for architects the space encouraged a much more hands on experience that included physical model making. While </w:t>
      </w:r>
      <w:r w:rsidR="00301DFD">
        <w:rPr>
          <w:rFonts w:ascii="Georgia" w:eastAsiaTheme="minorEastAsia" w:hAnsi="Georgia" w:cs="Arial"/>
          <w:snapToGrid w:val="0"/>
          <w:sz w:val="20"/>
          <w:szCs w:val="22"/>
        </w:rPr>
        <w:t>during</w:t>
      </w:r>
      <w:r w:rsidRPr="008C0A31">
        <w:rPr>
          <w:rFonts w:ascii="Georgia" w:eastAsiaTheme="minorEastAsia" w:hAnsi="Georgia" w:cs="Arial"/>
          <w:snapToGrid w:val="0"/>
          <w:sz w:val="20"/>
          <w:szCs w:val="22"/>
        </w:rPr>
        <w:t xml:space="preserve"> the online </w:t>
      </w:r>
      <w:r w:rsidR="000047F2">
        <w:rPr>
          <w:rFonts w:ascii="Georgia" w:eastAsiaTheme="minorEastAsia" w:hAnsi="Georgia" w:cs="Arial"/>
          <w:snapToGrid w:val="0"/>
          <w:sz w:val="20"/>
          <w:szCs w:val="22"/>
        </w:rPr>
        <w:t>version</w:t>
      </w:r>
      <w:r w:rsidRPr="008C0A31">
        <w:rPr>
          <w:rFonts w:ascii="Georgia" w:eastAsiaTheme="minorEastAsia" w:hAnsi="Georgia" w:cs="Arial"/>
          <w:snapToGrid w:val="0"/>
          <w:sz w:val="20"/>
          <w:szCs w:val="22"/>
        </w:rPr>
        <w:t xml:space="preserve"> of the workshop participants could turn their cameras off</w:t>
      </w:r>
      <w:r w:rsidR="000047F2">
        <w:rPr>
          <w:rFonts w:ascii="Georgia" w:eastAsiaTheme="minorEastAsia" w:hAnsi="Georgia" w:cs="Arial"/>
          <w:snapToGrid w:val="0"/>
          <w:sz w:val="20"/>
          <w:szCs w:val="22"/>
        </w:rPr>
        <w:t>, and some did</w:t>
      </w:r>
      <w:r w:rsidRPr="008C0A31">
        <w:rPr>
          <w:rFonts w:ascii="Georgia" w:eastAsiaTheme="minorEastAsia" w:hAnsi="Georgia" w:cs="Arial"/>
          <w:snapToGrid w:val="0"/>
          <w:sz w:val="20"/>
          <w:szCs w:val="22"/>
        </w:rPr>
        <w:t xml:space="preserve">, </w:t>
      </w:r>
      <w:r w:rsidRPr="000047F2">
        <w:rPr>
          <w:rFonts w:ascii="Georgia" w:eastAsiaTheme="minorEastAsia" w:hAnsi="Georgia" w:cs="Arial"/>
          <w:snapToGrid w:val="0"/>
          <w:sz w:val="20"/>
          <w:szCs w:val="22"/>
        </w:rPr>
        <w:t xml:space="preserve">when </w:t>
      </w:r>
      <w:r w:rsidR="000047F2" w:rsidRPr="000047F2">
        <w:rPr>
          <w:rFonts w:ascii="Georgia" w:eastAsiaTheme="minorEastAsia" w:hAnsi="Georgia" w:cs="Arial"/>
          <w:snapToGrid w:val="0"/>
          <w:sz w:val="20"/>
          <w:szCs w:val="22"/>
        </w:rPr>
        <w:t>they were on campus that was not an option and students had to be</w:t>
      </w:r>
      <w:r w:rsidRPr="000047F2">
        <w:rPr>
          <w:rFonts w:ascii="Georgia" w:eastAsiaTheme="minorEastAsia" w:hAnsi="Georgia" w:cs="Arial"/>
          <w:snapToGrid w:val="0"/>
          <w:sz w:val="20"/>
          <w:szCs w:val="22"/>
        </w:rPr>
        <w:t xml:space="preserve"> </w:t>
      </w:r>
      <w:r w:rsidR="000047F2" w:rsidRPr="000047F2">
        <w:rPr>
          <w:rFonts w:ascii="Georgia" w:eastAsiaTheme="minorEastAsia" w:hAnsi="Georgia" w:cs="Arial"/>
          <w:snapToGrid w:val="0"/>
          <w:sz w:val="20"/>
          <w:szCs w:val="22"/>
        </w:rPr>
        <w:t>‘</w:t>
      </w:r>
      <w:r w:rsidRPr="000047F2">
        <w:rPr>
          <w:rFonts w:ascii="Georgia" w:eastAsiaTheme="minorEastAsia" w:hAnsi="Georgia" w:cs="Arial"/>
          <w:snapToGrid w:val="0"/>
          <w:sz w:val="20"/>
          <w:szCs w:val="22"/>
        </w:rPr>
        <w:t>100% in the room</w:t>
      </w:r>
      <w:r w:rsidR="000047F2" w:rsidRPr="000047F2">
        <w:rPr>
          <w:rFonts w:ascii="Georgia" w:eastAsiaTheme="minorEastAsia" w:hAnsi="Georgia" w:cs="Arial"/>
          <w:snapToGrid w:val="0"/>
          <w:sz w:val="20"/>
          <w:szCs w:val="22"/>
        </w:rPr>
        <w:t>’</w:t>
      </w:r>
      <w:r w:rsidR="000047F2">
        <w:rPr>
          <w:rFonts w:ascii="Georgia" w:eastAsiaTheme="minorEastAsia" w:hAnsi="Georgia" w:cs="Arial"/>
          <w:snapToGrid w:val="0"/>
          <w:sz w:val="20"/>
          <w:szCs w:val="22"/>
        </w:rPr>
        <w:t xml:space="preserve"> which led to a sense of deeper engagement</w:t>
      </w:r>
      <w:r w:rsidRPr="008C0A31">
        <w:rPr>
          <w:rFonts w:ascii="Georgia" w:eastAsiaTheme="minorEastAsia" w:hAnsi="Georgia" w:cs="Arial"/>
          <w:snapToGrid w:val="0"/>
          <w:sz w:val="20"/>
          <w:szCs w:val="22"/>
        </w:rPr>
        <w:t xml:space="preserve">. Exhausting but much more stimulating, the delivery of the workshop in person required staff to accept </w:t>
      </w:r>
      <w:r w:rsidR="00540310" w:rsidRPr="008C0A31">
        <w:rPr>
          <w:rFonts w:ascii="Georgia" w:eastAsiaTheme="minorEastAsia" w:hAnsi="Georgia" w:cs="Arial"/>
          <w:snapToGrid w:val="0"/>
          <w:sz w:val="20"/>
          <w:szCs w:val="22"/>
        </w:rPr>
        <w:t>losing</w:t>
      </w:r>
      <w:r w:rsidRPr="008C0A31">
        <w:rPr>
          <w:rFonts w:ascii="Georgia" w:eastAsiaTheme="minorEastAsia" w:hAnsi="Georgia" w:cs="Arial"/>
          <w:snapToGrid w:val="0"/>
          <w:sz w:val="20"/>
          <w:szCs w:val="22"/>
        </w:rPr>
        <w:t xml:space="preserve"> some control of the timetable and the outputs, as the sixty-four groups of students literally took matters into their own </w:t>
      </w:r>
      <w:r w:rsidRPr="008C0A31">
        <w:rPr>
          <w:rFonts w:ascii="Georgia" w:eastAsiaTheme="minorEastAsia" w:hAnsi="Georgia" w:cs="Arial"/>
          <w:snapToGrid w:val="0"/>
          <w:sz w:val="20"/>
          <w:szCs w:val="22"/>
        </w:rPr>
        <w:lastRenderedPageBreak/>
        <w:t xml:space="preserve">hands. Experiential </w:t>
      </w:r>
      <w:r w:rsidR="009C02BB">
        <w:rPr>
          <w:rFonts w:ascii="Georgia" w:eastAsiaTheme="minorEastAsia" w:hAnsi="Georgia" w:cs="Arial"/>
          <w:snapToGrid w:val="0"/>
          <w:sz w:val="20"/>
          <w:szCs w:val="22"/>
        </w:rPr>
        <w:t>l</w:t>
      </w:r>
      <w:r w:rsidRPr="008C0A31">
        <w:rPr>
          <w:rFonts w:ascii="Georgia" w:eastAsiaTheme="minorEastAsia" w:hAnsi="Georgia" w:cs="Arial"/>
          <w:snapToGrid w:val="0"/>
          <w:sz w:val="20"/>
          <w:szCs w:val="22"/>
        </w:rPr>
        <w:t xml:space="preserve">earning </w:t>
      </w:r>
      <w:r w:rsidR="009C02BB">
        <w:rPr>
          <w:rFonts w:ascii="Georgia" w:eastAsiaTheme="minorEastAsia" w:hAnsi="Georgia" w:cs="Arial"/>
          <w:snapToGrid w:val="0"/>
          <w:sz w:val="20"/>
          <w:szCs w:val="22"/>
        </w:rPr>
        <w:t>t</w:t>
      </w:r>
      <w:r w:rsidRPr="008C0A31">
        <w:rPr>
          <w:rFonts w:ascii="Georgia" w:eastAsiaTheme="minorEastAsia" w:hAnsi="Georgia" w:cs="Arial"/>
          <w:snapToGrid w:val="0"/>
          <w:sz w:val="20"/>
          <w:szCs w:val="22"/>
        </w:rPr>
        <w:t>heory tells us</w:t>
      </w:r>
      <w:r w:rsidR="000047F2">
        <w:rPr>
          <w:rFonts w:ascii="Georgia" w:eastAsiaTheme="minorEastAsia" w:hAnsi="Georgia" w:cs="Arial"/>
          <w:snapToGrid w:val="0"/>
          <w:sz w:val="20"/>
          <w:szCs w:val="22"/>
        </w:rPr>
        <w:t xml:space="preserve"> that</w:t>
      </w:r>
      <w:r w:rsidRPr="008C0A31">
        <w:rPr>
          <w:rFonts w:ascii="Georgia" w:eastAsiaTheme="minorEastAsia" w:hAnsi="Georgia" w:cs="Arial"/>
          <w:snapToGrid w:val="0"/>
          <w:sz w:val="20"/>
          <w:szCs w:val="22"/>
        </w:rPr>
        <w:t xml:space="preserve"> if we are aiming for transformative perspective shifts and cognitive </w:t>
      </w:r>
      <w:r w:rsidR="00540310" w:rsidRPr="008C0A31">
        <w:rPr>
          <w:rFonts w:ascii="Georgia" w:eastAsiaTheme="minorEastAsia" w:hAnsi="Georgia" w:cs="Arial"/>
          <w:snapToGrid w:val="0"/>
          <w:sz w:val="20"/>
          <w:szCs w:val="22"/>
        </w:rPr>
        <w:t>reframing,</w:t>
      </w:r>
      <w:r w:rsidRPr="008C0A31">
        <w:rPr>
          <w:rFonts w:ascii="Georgia" w:eastAsiaTheme="minorEastAsia" w:hAnsi="Georgia" w:cs="Arial"/>
          <w:snapToGrid w:val="0"/>
          <w:sz w:val="20"/>
          <w:szCs w:val="22"/>
        </w:rPr>
        <w:t xml:space="preserve"> we can</w:t>
      </w:r>
      <w:r w:rsidR="009C02BB">
        <w:rPr>
          <w:rFonts w:ascii="Georgia" w:eastAsiaTheme="minorEastAsia" w:hAnsi="Georgia" w:cs="Arial"/>
          <w:snapToGrid w:val="0"/>
          <w:sz w:val="20"/>
          <w:szCs w:val="22"/>
        </w:rPr>
        <w:t xml:space="preserve">not </w:t>
      </w:r>
      <w:r w:rsidRPr="008C0A31">
        <w:rPr>
          <w:rFonts w:ascii="Georgia" w:eastAsiaTheme="minorEastAsia" w:hAnsi="Georgia" w:cs="Arial"/>
          <w:snapToGrid w:val="0"/>
          <w:sz w:val="20"/>
          <w:szCs w:val="22"/>
        </w:rPr>
        <w:t>tell students what to think but rather must let them see problems and consider solutions for themselves</w:t>
      </w:r>
      <w:r w:rsidR="00C76A02">
        <w:rPr>
          <w:rFonts w:ascii="Georgia" w:eastAsiaTheme="minorEastAsia" w:hAnsi="Georgia" w:cs="Arial"/>
          <w:snapToGrid w:val="0"/>
          <w:sz w:val="20"/>
          <w:szCs w:val="22"/>
        </w:rPr>
        <w:t xml:space="preserve"> </w:t>
      </w:r>
      <w:r w:rsidR="00C76A02" w:rsidRPr="005D2550">
        <w:rPr>
          <w:rFonts w:ascii="Georgia" w:eastAsiaTheme="minorEastAsia" w:hAnsi="Georgia" w:cs="Arial"/>
          <w:snapToGrid w:val="0"/>
          <w:sz w:val="20"/>
          <w:szCs w:val="22"/>
        </w:rPr>
        <w:t>(Kolb, 2015)</w:t>
      </w:r>
      <w:r w:rsidRPr="005D2550">
        <w:rPr>
          <w:rFonts w:ascii="Georgia" w:eastAsiaTheme="minorEastAsia" w:hAnsi="Georgia" w:cs="Arial"/>
          <w:snapToGrid w:val="0"/>
          <w:sz w:val="20"/>
          <w:szCs w:val="22"/>
        </w:rPr>
        <w:t>.</w:t>
      </w:r>
      <w:r w:rsidRPr="008C0A31">
        <w:rPr>
          <w:rFonts w:ascii="Georgia" w:eastAsiaTheme="minorEastAsia" w:hAnsi="Georgia" w:cs="Arial"/>
          <w:snapToGrid w:val="0"/>
          <w:sz w:val="20"/>
          <w:szCs w:val="22"/>
        </w:rPr>
        <w:t xml:space="preserve"> With this in mind and reflecting on the workshop delivery, it was clear to us that such co-design experiences, particularly when performed in person may offer an example of transformative learning by ‘thinking through doing’.</w:t>
      </w:r>
    </w:p>
    <w:p w14:paraId="48D2ED19" w14:textId="77777777" w:rsidR="00F5481B" w:rsidRDefault="00F5481B" w:rsidP="00F5481B">
      <w:pPr>
        <w:pStyle w:val="MDPI51figurecaption"/>
        <w:jc w:val="both"/>
        <w:rPr>
          <w:rFonts w:ascii="Georgia" w:eastAsiaTheme="minorEastAsia" w:hAnsi="Georgia" w:cs="Arial"/>
          <w:snapToGrid w:val="0"/>
          <w:sz w:val="20"/>
          <w:szCs w:val="22"/>
        </w:rPr>
      </w:pPr>
      <w:r>
        <w:rPr>
          <w:rFonts w:ascii="Times New Roman" w:hAnsi="Times New Roman"/>
          <w:noProof/>
          <w:color w:val="000000" w:themeColor="text1"/>
          <w:lang w:eastAsia="en-GB"/>
        </w:rPr>
        <w:drawing>
          <wp:inline distT="0" distB="0" distL="0" distR="0" wp14:anchorId="6C0EBEB2" wp14:editId="0CB6986C">
            <wp:extent cx="3600000" cy="2400000"/>
            <wp:effectExtent l="0" t="0" r="0" b="635"/>
            <wp:docPr id="10" name="Picture 10" descr="A group of people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around a tabl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3600000" cy="2400000"/>
                    </a:xfrm>
                    <a:prstGeom prst="rect">
                      <a:avLst/>
                    </a:prstGeom>
                  </pic:spPr>
                </pic:pic>
              </a:graphicData>
            </a:graphic>
          </wp:inline>
        </w:drawing>
      </w:r>
    </w:p>
    <w:p w14:paraId="5EDEA748" w14:textId="6DE49F83" w:rsidR="00F5481B" w:rsidRPr="001A60C0" w:rsidRDefault="00F5481B" w:rsidP="00F5481B">
      <w:pPr>
        <w:ind w:left="2608"/>
        <w:rPr>
          <w:rFonts w:ascii="Georgia" w:hAnsi="Georgia" w:cstheme="minorHAnsi"/>
          <w:color w:val="000000" w:themeColor="text1"/>
          <w:sz w:val="18"/>
          <w:szCs w:val="18"/>
        </w:rPr>
      </w:pPr>
      <w:r w:rsidRPr="001A60C0">
        <w:rPr>
          <w:rFonts w:ascii="Georgia" w:hAnsi="Georgia" w:cstheme="minorHAnsi"/>
          <w:color w:val="000000" w:themeColor="text1"/>
          <w:sz w:val="18"/>
          <w:szCs w:val="18"/>
        </w:rPr>
        <w:t xml:space="preserve">Figure </w:t>
      </w:r>
      <w:r>
        <w:rPr>
          <w:rFonts w:ascii="Georgia" w:hAnsi="Georgia" w:cstheme="minorHAnsi"/>
          <w:color w:val="000000" w:themeColor="text1"/>
          <w:sz w:val="18"/>
          <w:szCs w:val="18"/>
        </w:rPr>
        <w:t>5</w:t>
      </w:r>
      <w:r w:rsidRPr="001A60C0">
        <w:rPr>
          <w:rFonts w:ascii="Georgia" w:hAnsi="Georgia" w:cstheme="minorHAnsi"/>
          <w:color w:val="000000" w:themeColor="text1"/>
          <w:sz w:val="18"/>
          <w:szCs w:val="18"/>
        </w:rPr>
        <w:t xml:space="preserve">: Showing one of the groups looking at dementia in person. </w:t>
      </w:r>
    </w:p>
    <w:p w14:paraId="1EC44EC6" w14:textId="77777777" w:rsidR="00F5481B" w:rsidRPr="001A60C0" w:rsidRDefault="00F5481B" w:rsidP="00F5481B">
      <w:pPr>
        <w:ind w:left="2608"/>
        <w:rPr>
          <w:rFonts w:ascii="Georgia" w:hAnsi="Georgia" w:cstheme="minorHAnsi"/>
          <w:color w:val="000000" w:themeColor="text1"/>
          <w:sz w:val="18"/>
          <w:szCs w:val="18"/>
        </w:rPr>
      </w:pPr>
      <w:r w:rsidRPr="001A60C0">
        <w:rPr>
          <w:rFonts w:ascii="Georgia" w:hAnsi="Georgia" w:cstheme="minorHAnsi"/>
          <w:color w:val="000000" w:themeColor="text1"/>
          <w:sz w:val="18"/>
          <w:szCs w:val="18"/>
        </w:rPr>
        <w:t>Compare to Image 2 of the same group on a Miro board</w:t>
      </w:r>
      <w:r>
        <w:rPr>
          <w:rFonts w:ascii="Georgia" w:hAnsi="Georgia" w:cstheme="minorHAnsi"/>
          <w:color w:val="000000" w:themeColor="text1"/>
          <w:sz w:val="18"/>
          <w:szCs w:val="18"/>
        </w:rPr>
        <w:t>.</w:t>
      </w:r>
      <w:r w:rsidRPr="001A60C0">
        <w:rPr>
          <w:rFonts w:ascii="Georgia" w:hAnsi="Georgia" w:cstheme="minorHAnsi"/>
          <w:color w:val="000000" w:themeColor="text1"/>
          <w:sz w:val="18"/>
          <w:szCs w:val="18"/>
        </w:rPr>
        <w:t xml:space="preserve"> </w:t>
      </w:r>
    </w:p>
    <w:p w14:paraId="708F6998" w14:textId="77777777" w:rsidR="00F5481B" w:rsidRPr="008C0A31" w:rsidRDefault="00F5481B" w:rsidP="000F41B0">
      <w:pPr>
        <w:pStyle w:val="MDPI51figurecaption"/>
        <w:jc w:val="both"/>
        <w:rPr>
          <w:rFonts w:ascii="Georgia" w:eastAsiaTheme="minorEastAsia" w:hAnsi="Georgia" w:cs="Arial"/>
          <w:snapToGrid w:val="0"/>
          <w:sz w:val="20"/>
          <w:szCs w:val="22"/>
        </w:rPr>
      </w:pPr>
    </w:p>
    <w:p w14:paraId="4F3A6F71" w14:textId="3CD89085" w:rsidR="00540310" w:rsidRDefault="00540310" w:rsidP="000F41B0">
      <w:pPr>
        <w:pStyle w:val="MDPI51figurecaption"/>
        <w:jc w:val="both"/>
        <w:rPr>
          <w:rFonts w:ascii="Georgia" w:eastAsiaTheme="minorEastAsia" w:hAnsi="Georgia" w:cs="Arial"/>
          <w:snapToGrid w:val="0"/>
          <w:sz w:val="20"/>
          <w:szCs w:val="22"/>
        </w:rPr>
      </w:pPr>
      <w:r w:rsidRPr="00540310">
        <w:rPr>
          <w:rFonts w:ascii="Georgia" w:eastAsiaTheme="minorEastAsia" w:hAnsi="Georgia" w:cs="Arial"/>
          <w:snapToGrid w:val="0"/>
          <w:sz w:val="20"/>
          <w:szCs w:val="22"/>
        </w:rPr>
        <w:t>3.</w:t>
      </w:r>
      <w:r>
        <w:rPr>
          <w:rFonts w:ascii="Georgia" w:eastAsiaTheme="minorEastAsia" w:hAnsi="Georgia" w:cs="Arial"/>
          <w:snapToGrid w:val="0"/>
          <w:sz w:val="20"/>
          <w:szCs w:val="22"/>
        </w:rPr>
        <w:t>2</w:t>
      </w:r>
      <w:r w:rsidRPr="00540310">
        <w:rPr>
          <w:rFonts w:ascii="Georgia" w:eastAsiaTheme="minorEastAsia" w:hAnsi="Georgia" w:cs="Arial"/>
          <w:snapToGrid w:val="0"/>
          <w:sz w:val="20"/>
          <w:szCs w:val="22"/>
        </w:rPr>
        <w:t xml:space="preserve">. Student Engagement </w:t>
      </w:r>
      <w:r>
        <w:rPr>
          <w:rFonts w:ascii="Georgia" w:eastAsiaTheme="minorEastAsia" w:hAnsi="Georgia" w:cs="Arial"/>
          <w:snapToGrid w:val="0"/>
          <w:sz w:val="20"/>
          <w:szCs w:val="22"/>
        </w:rPr>
        <w:t>and Post Evaluation</w:t>
      </w:r>
    </w:p>
    <w:p w14:paraId="520A473A" w14:textId="57F315EB"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Student engagement was enabled by making the workshop a compulsory component of the Professional Practice </w:t>
      </w:r>
      <w:r w:rsidR="009C02BB">
        <w:rPr>
          <w:rFonts w:ascii="Georgia" w:eastAsiaTheme="minorEastAsia" w:hAnsi="Georgia" w:cs="Arial"/>
          <w:snapToGrid w:val="0"/>
          <w:sz w:val="20"/>
          <w:szCs w:val="22"/>
        </w:rPr>
        <w:t>m</w:t>
      </w:r>
      <w:r w:rsidRPr="008C0A31">
        <w:rPr>
          <w:rFonts w:ascii="Georgia" w:eastAsiaTheme="minorEastAsia" w:hAnsi="Georgia" w:cs="Arial"/>
          <w:snapToGrid w:val="0"/>
          <w:sz w:val="20"/>
          <w:szCs w:val="22"/>
        </w:rPr>
        <w:t xml:space="preserve">odules of the five different architecture courses taking part and the Ethics and Law </w:t>
      </w:r>
      <w:r w:rsidR="009C02BB">
        <w:rPr>
          <w:rFonts w:ascii="Georgia" w:eastAsiaTheme="minorEastAsia" w:hAnsi="Georgia" w:cs="Arial"/>
          <w:snapToGrid w:val="0"/>
          <w:sz w:val="20"/>
          <w:szCs w:val="22"/>
        </w:rPr>
        <w:t>m</w:t>
      </w:r>
      <w:r w:rsidRPr="008C0A31">
        <w:rPr>
          <w:rFonts w:ascii="Georgia" w:eastAsiaTheme="minorEastAsia" w:hAnsi="Georgia" w:cs="Arial"/>
          <w:snapToGrid w:val="0"/>
          <w:sz w:val="20"/>
          <w:szCs w:val="22"/>
        </w:rPr>
        <w:t xml:space="preserve">odule for the medical students. In each case, following the second workshop students were asked to write a reflective piece on their experience. Each course framed the feedback to suit its specific learning outcomes, but in all </w:t>
      </w:r>
      <w:r w:rsidR="009C02BB" w:rsidRPr="008C0A31">
        <w:rPr>
          <w:rFonts w:ascii="Georgia" w:eastAsiaTheme="minorEastAsia" w:hAnsi="Georgia" w:cs="Arial"/>
          <w:snapToGrid w:val="0"/>
          <w:sz w:val="20"/>
          <w:szCs w:val="22"/>
        </w:rPr>
        <w:t>cases,</w:t>
      </w:r>
      <w:r w:rsidRPr="008C0A31">
        <w:rPr>
          <w:rFonts w:ascii="Georgia" w:eastAsiaTheme="minorEastAsia" w:hAnsi="Georgia" w:cs="Arial"/>
          <w:snapToGrid w:val="0"/>
          <w:sz w:val="20"/>
          <w:szCs w:val="22"/>
        </w:rPr>
        <w:t xml:space="preserve"> students were asked to reflect on the process of collaboration in terms of innovation, creativity, empathy, and use of language, rather than on the final outcome.</w:t>
      </w:r>
    </w:p>
    <w:p w14:paraId="219373EF" w14:textId="77F83296"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The quotes below have been extracted from </w:t>
      </w:r>
      <w:r w:rsidR="002D1DE1">
        <w:rPr>
          <w:rFonts w:ascii="Georgia" w:eastAsiaTheme="minorEastAsia" w:hAnsi="Georgia" w:cs="Arial"/>
          <w:snapToGrid w:val="0"/>
          <w:sz w:val="20"/>
          <w:szCs w:val="22"/>
        </w:rPr>
        <w:t>s</w:t>
      </w:r>
      <w:r w:rsidRPr="008C0A31">
        <w:rPr>
          <w:rFonts w:ascii="Georgia" w:eastAsiaTheme="minorEastAsia" w:hAnsi="Georgia" w:cs="Arial"/>
          <w:snapToGrid w:val="0"/>
          <w:sz w:val="20"/>
          <w:szCs w:val="22"/>
        </w:rPr>
        <w:t xml:space="preserve">tudent </w:t>
      </w:r>
      <w:r w:rsidR="002D1DE1">
        <w:rPr>
          <w:rFonts w:ascii="Georgia" w:eastAsiaTheme="minorEastAsia" w:hAnsi="Georgia" w:cs="Arial"/>
          <w:snapToGrid w:val="0"/>
          <w:sz w:val="20"/>
          <w:szCs w:val="22"/>
        </w:rPr>
        <w:t>f</w:t>
      </w:r>
      <w:r w:rsidRPr="008C0A31">
        <w:rPr>
          <w:rFonts w:ascii="Georgia" w:eastAsiaTheme="minorEastAsia" w:hAnsi="Georgia" w:cs="Arial"/>
          <w:snapToGrid w:val="0"/>
          <w:sz w:val="20"/>
          <w:szCs w:val="22"/>
        </w:rPr>
        <w:t>eedback received in reflection to the 2020/21 workshop</w:t>
      </w:r>
      <w:r w:rsidR="002D1DE1">
        <w:rPr>
          <w:rFonts w:ascii="Georgia" w:eastAsiaTheme="minorEastAsia" w:hAnsi="Georgia" w:cs="Arial"/>
          <w:snapToGrid w:val="0"/>
          <w:sz w:val="20"/>
          <w:szCs w:val="22"/>
        </w:rPr>
        <w:t xml:space="preserve"> to</w:t>
      </w:r>
      <w:r w:rsidRPr="008C0A31">
        <w:rPr>
          <w:rFonts w:ascii="Georgia" w:eastAsiaTheme="minorEastAsia" w:hAnsi="Georgia" w:cs="Arial"/>
          <w:snapToGrid w:val="0"/>
          <w:sz w:val="20"/>
          <w:szCs w:val="22"/>
        </w:rPr>
        <w:t xml:space="preserve"> include comments from student partners from both University of Westminster and Imperial College alike:</w:t>
      </w:r>
    </w:p>
    <w:p w14:paraId="3888F1C7" w14:textId="0A879DE5"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‘This design project has taught me the importance of co-production, especially in the field of mental health and well-being. It is only when the stakeholders come together, that we can think of innovative, creative and effective user-</w:t>
      </w:r>
      <w:proofErr w:type="spellStart"/>
      <w:r w:rsidRPr="008C0A31">
        <w:rPr>
          <w:rFonts w:ascii="Georgia" w:eastAsiaTheme="minorEastAsia" w:hAnsi="Georgia" w:cs="Arial"/>
          <w:snapToGrid w:val="0"/>
          <w:sz w:val="20"/>
          <w:szCs w:val="22"/>
        </w:rPr>
        <w:t>centred</w:t>
      </w:r>
      <w:proofErr w:type="spellEnd"/>
      <w:r w:rsidRPr="008C0A31">
        <w:rPr>
          <w:rFonts w:ascii="Georgia" w:eastAsiaTheme="minorEastAsia" w:hAnsi="Georgia" w:cs="Arial"/>
          <w:snapToGrid w:val="0"/>
          <w:sz w:val="20"/>
          <w:szCs w:val="22"/>
        </w:rPr>
        <w:t xml:space="preserve"> solutions.’ (Medical student)</w:t>
      </w:r>
    </w:p>
    <w:p w14:paraId="1BCBDC2E" w14:textId="56EFE9F1"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‘It’s surprising how often co-production doesn’t happen, and how much difference it can make, in terms of innovation, creativity, and better patient outcomes, when it’s done effectively.’ (Medical student) </w:t>
      </w:r>
    </w:p>
    <w:p w14:paraId="55D5CDB9" w14:textId="07B9A8AB"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‘Collaborating together with complete strangers was a true exercise in empathy and one that made me fall in love with healing people all over again. I rediscovered how healthcare has the power to touch people's hearts and how creativity is the key to achieving that.’ (Medical student)</w:t>
      </w:r>
    </w:p>
    <w:p w14:paraId="3261512A" w14:textId="790BC3A3"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‘Further to the workshop, I believe I have become more aware of the need to place my design thinking in the patient's eyes to create an innovative space that helps put mental health patients at ease. I have also found that working alongside medical professionals have helped me understand the space in more depth.’ (Architecture student)</w:t>
      </w:r>
    </w:p>
    <w:p w14:paraId="1EF7D7E9" w14:textId="387E19AC"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lastRenderedPageBreak/>
        <w:t xml:space="preserve">‘This project has allowed me to really think in-depth about how to create a better conducive environment for those with special needs and how to put myself in their shoes and </w:t>
      </w:r>
      <w:proofErr w:type="spellStart"/>
      <w:r w:rsidRPr="008C0A31">
        <w:rPr>
          <w:rFonts w:ascii="Georgia" w:eastAsiaTheme="minorEastAsia" w:hAnsi="Georgia" w:cs="Arial"/>
          <w:snapToGrid w:val="0"/>
          <w:sz w:val="20"/>
          <w:szCs w:val="22"/>
        </w:rPr>
        <w:t>empathise</w:t>
      </w:r>
      <w:proofErr w:type="spellEnd"/>
      <w:r w:rsidRPr="008C0A31">
        <w:rPr>
          <w:rFonts w:ascii="Georgia" w:eastAsiaTheme="minorEastAsia" w:hAnsi="Georgia" w:cs="Arial"/>
          <w:snapToGrid w:val="0"/>
          <w:sz w:val="20"/>
          <w:szCs w:val="22"/>
        </w:rPr>
        <w:t xml:space="preserve"> with them.’ (Architecture student)</w:t>
      </w:r>
    </w:p>
    <w:p w14:paraId="43BC828D" w14:textId="3933CFEE"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‘The Mental Health and Wellbeing project was a brilliant chance to appreciate that the role of a doctor is sometimes understanding how a patient feels, rather than objectively treating the immediate problems they can see.’ (Medical student)</w:t>
      </w:r>
    </w:p>
    <w:p w14:paraId="7059BCC3" w14:textId="6000A1A0"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‘Mental Health and Architecture are closer than many people may think. The collaboration between these two sectors is essential in order to provide an innovative approach to healing.’ ‘The design project demonstrated that a shared goal of helping others facilitates collaboration like nothing else.’ (Architecture student)</w:t>
      </w:r>
    </w:p>
    <w:p w14:paraId="7702156A" w14:textId="681444CF"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‘Collaborating with the architecture students was a wonderful opportunity to explore the non-medical side of the profession. Sharing ideas to create a sustainable, efficient and welcoming environment for patients, relatives and healthcare workers alike is essential to provide optimal care and a smooth recovery.’ (Medical student)</w:t>
      </w:r>
    </w:p>
    <w:p w14:paraId="619822D5" w14:textId="6C7CBB85"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‘It was really eye opening how collaborating with other people from a different educational background would result in something I would have never come up with on my own, or with only people studying medicine.’ (Medical student)</w:t>
      </w:r>
    </w:p>
    <w:p w14:paraId="1AD7AA18" w14:textId="0C3212AB" w:rsid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‘The Mental Health and Wellbeing design project was a fantastic collaboration. We learnt that architecture and design are also an important part of a patient’s recovery, offering safe and comfortable spaces.’ (Architecture student)</w:t>
      </w:r>
    </w:p>
    <w:p w14:paraId="7802E649" w14:textId="22497941" w:rsidR="0065665B" w:rsidRDefault="0065665B" w:rsidP="000F41B0">
      <w:pPr>
        <w:pStyle w:val="MDPI51figurecaption"/>
        <w:jc w:val="both"/>
        <w:rPr>
          <w:rFonts w:ascii="Georgia" w:eastAsiaTheme="minorEastAsia" w:hAnsi="Georgia" w:cs="Arial"/>
          <w:snapToGrid w:val="0"/>
          <w:sz w:val="20"/>
          <w:szCs w:val="22"/>
        </w:rPr>
      </w:pPr>
    </w:p>
    <w:p w14:paraId="77BD7A77" w14:textId="76E23257" w:rsidR="0065665B" w:rsidRPr="008C0A31" w:rsidRDefault="0065665B" w:rsidP="000F41B0">
      <w:pPr>
        <w:pStyle w:val="MDPI51figurecaption"/>
        <w:jc w:val="both"/>
        <w:rPr>
          <w:rFonts w:ascii="Georgia" w:eastAsiaTheme="minorEastAsia" w:hAnsi="Georgia" w:cs="Arial"/>
          <w:snapToGrid w:val="0"/>
          <w:sz w:val="20"/>
          <w:szCs w:val="22"/>
        </w:rPr>
      </w:pPr>
      <w:r>
        <w:rPr>
          <w:rFonts w:ascii="Georgia" w:eastAsiaTheme="minorEastAsia" w:hAnsi="Georgia" w:cs="Arial"/>
          <w:noProof/>
          <w:sz w:val="20"/>
          <w:szCs w:val="22"/>
        </w:rPr>
        <w:drawing>
          <wp:inline distT="0" distB="0" distL="0" distR="0" wp14:anchorId="5EB228F1" wp14:editId="7C93D2FE">
            <wp:extent cx="3594100" cy="308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3594100" cy="3086100"/>
                    </a:xfrm>
                    <a:prstGeom prst="rect">
                      <a:avLst/>
                    </a:prstGeom>
                  </pic:spPr>
                </pic:pic>
              </a:graphicData>
            </a:graphic>
          </wp:inline>
        </w:drawing>
      </w:r>
    </w:p>
    <w:p w14:paraId="5EA509FF" w14:textId="01034F2B" w:rsidR="008C0A31" w:rsidRPr="008C0A31" w:rsidRDefault="002B6215" w:rsidP="000F41B0">
      <w:pPr>
        <w:pStyle w:val="MDPI51figurecaption"/>
        <w:jc w:val="both"/>
        <w:rPr>
          <w:rFonts w:ascii="Georgia" w:eastAsiaTheme="minorEastAsia" w:hAnsi="Georgia" w:cs="Arial"/>
          <w:snapToGrid w:val="0"/>
          <w:sz w:val="20"/>
          <w:szCs w:val="22"/>
        </w:rPr>
      </w:pPr>
      <w:r w:rsidRPr="002B6215">
        <w:rPr>
          <w:rFonts w:ascii="Georgia" w:eastAsiaTheme="minorEastAsia" w:hAnsi="Georgia" w:cs="Arial"/>
          <w:snapToGrid w:val="0"/>
          <w:sz w:val="20"/>
          <w:szCs w:val="22"/>
        </w:rPr>
        <w:t>Figure</w:t>
      </w:r>
      <w:r w:rsidR="008C0A31" w:rsidRPr="002B6215">
        <w:rPr>
          <w:rFonts w:ascii="Georgia" w:eastAsiaTheme="minorEastAsia" w:hAnsi="Georgia" w:cs="Arial"/>
          <w:snapToGrid w:val="0"/>
          <w:sz w:val="20"/>
          <w:szCs w:val="22"/>
        </w:rPr>
        <w:t xml:space="preserve"> </w:t>
      </w:r>
      <w:r w:rsidR="00F5481B">
        <w:rPr>
          <w:rFonts w:ascii="Georgia" w:eastAsiaTheme="minorEastAsia" w:hAnsi="Georgia" w:cs="Arial"/>
          <w:snapToGrid w:val="0"/>
          <w:sz w:val="20"/>
          <w:szCs w:val="22"/>
        </w:rPr>
        <w:t>6</w:t>
      </w:r>
      <w:r w:rsidR="008C0A31" w:rsidRPr="002B6215">
        <w:rPr>
          <w:rFonts w:ascii="Georgia" w:eastAsiaTheme="minorEastAsia" w:hAnsi="Georgia" w:cs="Arial"/>
          <w:snapToGrid w:val="0"/>
          <w:sz w:val="20"/>
          <w:szCs w:val="22"/>
        </w:rPr>
        <w:t xml:space="preserve">: Showing </w:t>
      </w:r>
      <w:r>
        <w:rPr>
          <w:rFonts w:ascii="Georgia" w:eastAsiaTheme="minorEastAsia" w:hAnsi="Georgia" w:cs="Arial"/>
          <w:snapToGrid w:val="0"/>
          <w:sz w:val="20"/>
          <w:szCs w:val="22"/>
        </w:rPr>
        <w:t xml:space="preserve">a </w:t>
      </w:r>
      <w:r w:rsidR="008C0A31" w:rsidRPr="002B6215">
        <w:rPr>
          <w:rFonts w:ascii="Georgia" w:eastAsiaTheme="minorEastAsia" w:hAnsi="Georgia" w:cs="Arial"/>
          <w:snapToGrid w:val="0"/>
          <w:sz w:val="20"/>
          <w:szCs w:val="22"/>
        </w:rPr>
        <w:t>student talk</w:t>
      </w:r>
      <w:r>
        <w:rPr>
          <w:rFonts w:ascii="Georgia" w:eastAsiaTheme="minorEastAsia" w:hAnsi="Georgia" w:cs="Arial"/>
          <w:snapToGrid w:val="0"/>
          <w:sz w:val="20"/>
          <w:szCs w:val="22"/>
        </w:rPr>
        <w:t>ing</w:t>
      </w:r>
      <w:r w:rsidR="008C0A31" w:rsidRPr="002B6215">
        <w:rPr>
          <w:rFonts w:ascii="Georgia" w:eastAsiaTheme="minorEastAsia" w:hAnsi="Georgia" w:cs="Arial"/>
          <w:snapToGrid w:val="0"/>
          <w:sz w:val="20"/>
          <w:szCs w:val="22"/>
        </w:rPr>
        <w:t xml:space="preserve"> through </w:t>
      </w:r>
      <w:r>
        <w:rPr>
          <w:rFonts w:ascii="Georgia" w:eastAsiaTheme="minorEastAsia" w:hAnsi="Georgia" w:cs="Arial"/>
          <w:snapToGrid w:val="0"/>
          <w:sz w:val="20"/>
          <w:szCs w:val="22"/>
        </w:rPr>
        <w:t>the group’s</w:t>
      </w:r>
      <w:r w:rsidR="008C0A31" w:rsidRPr="002B6215">
        <w:rPr>
          <w:rFonts w:ascii="Georgia" w:eastAsiaTheme="minorEastAsia" w:hAnsi="Georgia" w:cs="Arial"/>
          <w:snapToGrid w:val="0"/>
          <w:sz w:val="20"/>
          <w:szCs w:val="22"/>
        </w:rPr>
        <w:t xml:space="preserve"> storyboard describing the experience of different stakeholders</w:t>
      </w:r>
      <w:r>
        <w:rPr>
          <w:rFonts w:ascii="Georgia" w:eastAsiaTheme="minorEastAsia" w:hAnsi="Georgia" w:cs="Arial"/>
          <w:snapToGrid w:val="0"/>
          <w:sz w:val="20"/>
          <w:szCs w:val="22"/>
        </w:rPr>
        <w:t>.</w:t>
      </w:r>
    </w:p>
    <w:p w14:paraId="7C7D6D13" w14:textId="77777777" w:rsidR="008C0A31" w:rsidRPr="008C0A31" w:rsidRDefault="008C0A31" w:rsidP="000F41B0">
      <w:pPr>
        <w:pStyle w:val="MDPI51figurecaption"/>
        <w:jc w:val="both"/>
        <w:rPr>
          <w:rFonts w:ascii="Georgia" w:eastAsiaTheme="minorEastAsia" w:hAnsi="Georgia" w:cs="Arial"/>
          <w:snapToGrid w:val="0"/>
          <w:sz w:val="20"/>
          <w:szCs w:val="22"/>
        </w:rPr>
      </w:pPr>
    </w:p>
    <w:p w14:paraId="4ED548B0" w14:textId="09589984" w:rsidR="008C0A31" w:rsidRPr="008C0A31" w:rsidRDefault="00820D6E" w:rsidP="000F41B0">
      <w:pPr>
        <w:pStyle w:val="MDPI21heading1"/>
        <w:jc w:val="both"/>
        <w:rPr>
          <w:rFonts w:ascii="Georgia" w:eastAsiaTheme="minorEastAsia" w:hAnsi="Georgia" w:cs="Arial"/>
          <w:lang w:eastAsia="zh-CN"/>
        </w:rPr>
      </w:pPr>
      <w:r>
        <w:rPr>
          <w:rFonts w:ascii="Georgia" w:eastAsiaTheme="minorEastAsia" w:hAnsi="Georgia" w:cs="Arial"/>
          <w:lang w:eastAsia="zh-CN"/>
        </w:rPr>
        <w:t>4</w:t>
      </w:r>
      <w:r w:rsidR="008C0A31" w:rsidRPr="004F2BEA">
        <w:rPr>
          <w:rFonts w:ascii="Georgia" w:eastAsiaTheme="minorEastAsia" w:hAnsi="Georgia" w:cs="Arial"/>
          <w:lang w:eastAsia="zh-CN"/>
        </w:rPr>
        <w:t xml:space="preserve">. </w:t>
      </w:r>
      <w:r>
        <w:rPr>
          <w:rFonts w:ascii="Georgia" w:eastAsiaTheme="minorEastAsia" w:hAnsi="Georgia" w:cs="Arial"/>
          <w:lang w:eastAsia="zh-CN"/>
        </w:rPr>
        <w:t>Discussion</w:t>
      </w:r>
    </w:p>
    <w:p w14:paraId="227D785F" w14:textId="1278DBBF"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While the focus of the Co-Design Workshop was clearly set on the process and methods that encouraged and enabled the practice of collaboration rather than the end result, participants co-produced and suggested design proposals that provided key insights into the potential regeneration and reuse of existing hospital spaces which are to be disseminated in the next phase of this project in progress. </w:t>
      </w:r>
    </w:p>
    <w:p w14:paraId="3AD112E6" w14:textId="28422D25"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lastRenderedPageBreak/>
        <w:t>As educators, when considering the scarcity of opportunities, particularly during lockdown, for collaboration between distinct courses and across institutions, we reflected on the important benefits of working across disciplines while relating the questions the workshop posed to ‘real life’ societal issues that prevail outside the university sphere. Working directly with stakeholders and patient advocates as part of a synchronous teaching activity, challenged the way staff and students alike perceived co-design as well as the creative design process. The student feedback clearly shows that interdisciplinary learning and co-design is highly valued by learners, as it supports the acquisition of transferrable skills, and has enduring impacts on learning and practice including transformational reframing. Selected student feedback highlights the key lessons learnt when reflecting on the notions of co-production, empathy, and collaboration in the fields of education and practice, while identifying changes in perception before and after the completion of the project</w:t>
      </w:r>
      <w:r w:rsidR="00BC62A9">
        <w:rPr>
          <w:rFonts w:ascii="Georgia" w:eastAsiaTheme="minorEastAsia" w:hAnsi="Georgia" w:cs="Arial"/>
          <w:snapToGrid w:val="0"/>
          <w:sz w:val="20"/>
          <w:szCs w:val="22"/>
        </w:rPr>
        <w:t>.</w:t>
      </w:r>
    </w:p>
    <w:p w14:paraId="4C56CA1F" w14:textId="2665EE38" w:rsid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In regards to the planning and actuation of the workshop, the challenges were present in both expected, due to the project’s scale and innovative approach to collaboration, and in less expected ways. In particular, the sharing of student e-mails and the access to videos shared across the two institutions, required close collaboration </w:t>
      </w:r>
      <w:r w:rsidR="00C30591">
        <w:rPr>
          <w:rFonts w:ascii="Georgia" w:eastAsiaTheme="minorEastAsia" w:hAnsi="Georgia" w:cs="Arial"/>
          <w:snapToGrid w:val="0"/>
          <w:sz w:val="20"/>
          <w:szCs w:val="22"/>
        </w:rPr>
        <w:t>(</w:t>
      </w:r>
      <w:r w:rsidRPr="008C0A31">
        <w:rPr>
          <w:rFonts w:ascii="Georgia" w:eastAsiaTheme="minorEastAsia" w:hAnsi="Georgia" w:cs="Arial"/>
          <w:snapToGrid w:val="0"/>
          <w:sz w:val="20"/>
          <w:szCs w:val="22"/>
        </w:rPr>
        <w:t xml:space="preserve">and good </w:t>
      </w:r>
      <w:proofErr w:type="spellStart"/>
      <w:r w:rsidRPr="008C0A31">
        <w:rPr>
          <w:rFonts w:ascii="Georgia" w:eastAsiaTheme="minorEastAsia" w:hAnsi="Georgia" w:cs="Arial"/>
          <w:snapToGrid w:val="0"/>
          <w:sz w:val="20"/>
          <w:szCs w:val="22"/>
        </w:rPr>
        <w:t>humour</w:t>
      </w:r>
      <w:proofErr w:type="spellEnd"/>
      <w:r w:rsidR="00C30591">
        <w:rPr>
          <w:rFonts w:ascii="Georgia" w:eastAsiaTheme="minorEastAsia" w:hAnsi="Georgia" w:cs="Arial"/>
          <w:snapToGrid w:val="0"/>
          <w:sz w:val="20"/>
          <w:szCs w:val="22"/>
        </w:rPr>
        <w:t>)</w:t>
      </w:r>
      <w:r w:rsidRPr="008C0A31">
        <w:rPr>
          <w:rFonts w:ascii="Georgia" w:eastAsiaTheme="minorEastAsia" w:hAnsi="Georgia" w:cs="Arial"/>
          <w:snapToGrid w:val="0"/>
          <w:sz w:val="20"/>
          <w:szCs w:val="22"/>
        </w:rPr>
        <w:t xml:space="preserve"> to meet the unforeseen General Data Protection Regulation requirements, which required a formal data sharing agreement as well as additional consent to record and store interviews. For all participants, despite national</w:t>
      </w:r>
      <w:r w:rsidR="00BC62A9">
        <w:rPr>
          <w:rFonts w:ascii="Georgia" w:eastAsiaTheme="minorEastAsia" w:hAnsi="Georgia" w:cs="Arial"/>
          <w:snapToGrid w:val="0"/>
          <w:sz w:val="20"/>
          <w:szCs w:val="22"/>
        </w:rPr>
        <w:t xml:space="preserve"> and international</w:t>
      </w:r>
      <w:r w:rsidRPr="008C0A31">
        <w:rPr>
          <w:rFonts w:ascii="Georgia" w:eastAsiaTheme="minorEastAsia" w:hAnsi="Georgia" w:cs="Arial"/>
          <w:snapToGrid w:val="0"/>
          <w:sz w:val="20"/>
          <w:szCs w:val="22"/>
        </w:rPr>
        <w:t xml:space="preserve"> lockdown, this co-design project provided an opportunity to grow new networks, friendships, and ways of working.</w:t>
      </w:r>
    </w:p>
    <w:p w14:paraId="318D476A" w14:textId="12107639" w:rsidR="0065665B" w:rsidRPr="008C0A31" w:rsidRDefault="006200FA" w:rsidP="000F41B0">
      <w:pPr>
        <w:pStyle w:val="MDPI51figurecaption"/>
        <w:jc w:val="both"/>
        <w:rPr>
          <w:rFonts w:ascii="Georgia" w:eastAsiaTheme="minorEastAsia" w:hAnsi="Georgia" w:cs="Arial"/>
          <w:snapToGrid w:val="0"/>
          <w:sz w:val="20"/>
          <w:szCs w:val="22"/>
        </w:rPr>
      </w:pPr>
      <w:r>
        <w:rPr>
          <w:rFonts w:ascii="Georgia" w:eastAsiaTheme="minorEastAsia" w:hAnsi="Georgia" w:cs="Arial"/>
          <w:noProof/>
          <w:sz w:val="20"/>
          <w:szCs w:val="22"/>
        </w:rPr>
        <w:drawing>
          <wp:inline distT="0" distB="0" distL="0" distR="0" wp14:anchorId="1C942D88" wp14:editId="49AB2277">
            <wp:extent cx="3594100" cy="383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3594100" cy="3835400"/>
                    </a:xfrm>
                    <a:prstGeom prst="rect">
                      <a:avLst/>
                    </a:prstGeom>
                  </pic:spPr>
                </pic:pic>
              </a:graphicData>
            </a:graphic>
          </wp:inline>
        </w:drawing>
      </w:r>
    </w:p>
    <w:p w14:paraId="32ACFE0D" w14:textId="6F538320" w:rsidR="008C0A31" w:rsidRPr="008C0A31" w:rsidRDefault="002B6215" w:rsidP="000F41B0">
      <w:pPr>
        <w:pStyle w:val="MDPI51figurecaption"/>
        <w:jc w:val="both"/>
        <w:rPr>
          <w:rFonts w:ascii="Georgia" w:eastAsiaTheme="minorEastAsia" w:hAnsi="Georgia" w:cs="Arial"/>
          <w:snapToGrid w:val="0"/>
          <w:sz w:val="20"/>
          <w:szCs w:val="22"/>
        </w:rPr>
      </w:pPr>
      <w:r w:rsidRPr="002B6215">
        <w:rPr>
          <w:rFonts w:ascii="Georgia" w:eastAsiaTheme="minorEastAsia" w:hAnsi="Georgia" w:cs="Arial"/>
          <w:snapToGrid w:val="0"/>
          <w:sz w:val="20"/>
          <w:szCs w:val="22"/>
        </w:rPr>
        <w:t>Figure</w:t>
      </w:r>
      <w:r w:rsidR="008C0A31" w:rsidRPr="002B6215">
        <w:rPr>
          <w:rFonts w:ascii="Georgia" w:eastAsiaTheme="minorEastAsia" w:hAnsi="Georgia" w:cs="Arial"/>
          <w:snapToGrid w:val="0"/>
          <w:sz w:val="20"/>
          <w:szCs w:val="22"/>
        </w:rPr>
        <w:t xml:space="preserve"> </w:t>
      </w:r>
      <w:r w:rsidR="00F5481B">
        <w:rPr>
          <w:rFonts w:ascii="Georgia" w:eastAsiaTheme="minorEastAsia" w:hAnsi="Georgia" w:cs="Arial"/>
          <w:snapToGrid w:val="0"/>
          <w:sz w:val="20"/>
          <w:szCs w:val="22"/>
        </w:rPr>
        <w:t>7</w:t>
      </w:r>
      <w:r w:rsidR="008C0A31" w:rsidRPr="002B6215">
        <w:rPr>
          <w:rFonts w:ascii="Georgia" w:eastAsiaTheme="minorEastAsia" w:hAnsi="Georgia" w:cs="Arial"/>
          <w:snapToGrid w:val="0"/>
          <w:sz w:val="20"/>
          <w:szCs w:val="22"/>
        </w:rPr>
        <w:t>: Showing</w:t>
      </w:r>
      <w:r w:rsidR="008C0A31" w:rsidRPr="008C0A31">
        <w:rPr>
          <w:rFonts w:ascii="Georgia" w:eastAsiaTheme="minorEastAsia" w:hAnsi="Georgia" w:cs="Arial"/>
          <w:snapToGrid w:val="0"/>
          <w:sz w:val="20"/>
          <w:szCs w:val="22"/>
        </w:rPr>
        <w:t xml:space="preserve"> </w:t>
      </w:r>
      <w:r>
        <w:rPr>
          <w:rFonts w:ascii="Georgia" w:eastAsiaTheme="minorEastAsia" w:hAnsi="Georgia" w:cs="Arial"/>
          <w:snapToGrid w:val="0"/>
          <w:sz w:val="20"/>
          <w:szCs w:val="22"/>
        </w:rPr>
        <w:t xml:space="preserve">a </w:t>
      </w:r>
      <w:r w:rsidR="008C0A31" w:rsidRPr="008C0A31">
        <w:rPr>
          <w:rFonts w:ascii="Georgia" w:eastAsiaTheme="minorEastAsia" w:hAnsi="Georgia" w:cs="Arial"/>
          <w:snapToGrid w:val="0"/>
          <w:sz w:val="20"/>
          <w:szCs w:val="22"/>
        </w:rPr>
        <w:t xml:space="preserve">student presenting </w:t>
      </w:r>
      <w:r>
        <w:rPr>
          <w:rFonts w:ascii="Georgia" w:eastAsiaTheme="minorEastAsia" w:hAnsi="Georgia" w:cs="Arial"/>
          <w:snapToGrid w:val="0"/>
          <w:sz w:val="20"/>
          <w:szCs w:val="22"/>
        </w:rPr>
        <w:t xml:space="preserve">the group’s </w:t>
      </w:r>
      <w:r w:rsidR="008C0A31" w:rsidRPr="008C0A31">
        <w:rPr>
          <w:rFonts w:ascii="Georgia" w:eastAsiaTheme="minorEastAsia" w:hAnsi="Georgia" w:cs="Arial"/>
          <w:snapToGrid w:val="0"/>
          <w:sz w:val="20"/>
          <w:szCs w:val="22"/>
        </w:rPr>
        <w:t>final Design Poster to her c</w:t>
      </w:r>
      <w:r w:rsidR="00BC62A9">
        <w:rPr>
          <w:rFonts w:ascii="Georgia" w:eastAsiaTheme="minorEastAsia" w:hAnsi="Georgia" w:cs="Arial"/>
          <w:snapToGrid w:val="0"/>
          <w:sz w:val="20"/>
          <w:szCs w:val="22"/>
        </w:rPr>
        <w:t>lassmates</w:t>
      </w:r>
      <w:r>
        <w:rPr>
          <w:rFonts w:ascii="Georgia" w:eastAsiaTheme="minorEastAsia" w:hAnsi="Georgia" w:cs="Arial"/>
          <w:snapToGrid w:val="0"/>
          <w:sz w:val="20"/>
          <w:szCs w:val="22"/>
        </w:rPr>
        <w:t>.</w:t>
      </w:r>
    </w:p>
    <w:p w14:paraId="319B15C9" w14:textId="77777777" w:rsidR="008C0A31" w:rsidRPr="008C0A31" w:rsidRDefault="008C0A31" w:rsidP="008C0A31">
      <w:pPr>
        <w:pStyle w:val="MDPI51figurecaption"/>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 </w:t>
      </w:r>
    </w:p>
    <w:p w14:paraId="259F8A6D" w14:textId="0900D427" w:rsidR="008C0A31" w:rsidRPr="008C0A31" w:rsidRDefault="00820D6E" w:rsidP="008C0A31">
      <w:pPr>
        <w:pStyle w:val="MDPI21heading1"/>
        <w:rPr>
          <w:rFonts w:ascii="Georgia" w:eastAsiaTheme="minorEastAsia" w:hAnsi="Georgia" w:cs="Arial"/>
          <w:lang w:eastAsia="zh-CN"/>
        </w:rPr>
      </w:pPr>
      <w:r>
        <w:rPr>
          <w:rFonts w:ascii="Georgia" w:eastAsiaTheme="minorEastAsia" w:hAnsi="Georgia" w:cs="Arial"/>
          <w:lang w:eastAsia="zh-CN"/>
        </w:rPr>
        <w:t>5.</w:t>
      </w:r>
      <w:r w:rsidR="008C0A31" w:rsidRPr="004F2BEA">
        <w:rPr>
          <w:rFonts w:ascii="Georgia" w:eastAsiaTheme="minorEastAsia" w:hAnsi="Georgia" w:cs="Arial"/>
          <w:lang w:eastAsia="zh-CN"/>
        </w:rPr>
        <w:t xml:space="preserve"> </w:t>
      </w:r>
      <w:r w:rsidR="008C0A31">
        <w:rPr>
          <w:rFonts w:ascii="Georgia" w:eastAsiaTheme="minorEastAsia" w:hAnsi="Georgia" w:cs="Arial"/>
          <w:lang w:eastAsia="zh-CN"/>
        </w:rPr>
        <w:t>Conclusion</w:t>
      </w:r>
    </w:p>
    <w:p w14:paraId="3B6A9334" w14:textId="3234BFC3"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Ambitious in scale and provocative, the Mental Health, Design and Wellbeing Co-design Workshop, taught us that a key part of being an architect or a clinician is the ability to listen with care to service users, health professionals and other stakeholders. Co-design requires collaboration, communication and creativity. The partnership between the two universities transformed existing pedagogies in both disciplines. Following reflections from students and staff, who all whole-heartly embraced the challenges of the process of </w:t>
      </w:r>
      <w:r w:rsidRPr="008C0A31">
        <w:rPr>
          <w:rFonts w:ascii="Georgia" w:eastAsiaTheme="minorEastAsia" w:hAnsi="Georgia" w:cs="Arial"/>
          <w:snapToGrid w:val="0"/>
          <w:sz w:val="20"/>
          <w:szCs w:val="22"/>
        </w:rPr>
        <w:lastRenderedPageBreak/>
        <w:t>conceiving, setting up and delivering such a large-scale educational workshop across institutions and disciplines, the overall partnership was identified by all actors involved as an extremely rewarding experience.</w:t>
      </w:r>
    </w:p>
    <w:p w14:paraId="029E012B" w14:textId="6010E48B"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The partnership is an ongoing collaboration demonstrating excellence in education, innovation in relation to the design of mental health settings and spaces, and commitment to service user and patient involvement, setting a paradigm </w:t>
      </w:r>
      <w:r w:rsidR="00820D6E">
        <w:rPr>
          <w:rFonts w:ascii="Georgia" w:eastAsiaTheme="minorEastAsia" w:hAnsi="Georgia" w:cs="Arial"/>
          <w:snapToGrid w:val="0"/>
          <w:sz w:val="20"/>
          <w:szCs w:val="22"/>
        </w:rPr>
        <w:t xml:space="preserve">which has already </w:t>
      </w:r>
      <w:r w:rsidR="00C30591">
        <w:rPr>
          <w:rFonts w:ascii="Georgia" w:eastAsiaTheme="minorEastAsia" w:hAnsi="Georgia" w:cs="Arial"/>
          <w:snapToGrid w:val="0"/>
          <w:sz w:val="20"/>
          <w:szCs w:val="22"/>
        </w:rPr>
        <w:t>won</w:t>
      </w:r>
      <w:r w:rsidR="00820D6E">
        <w:rPr>
          <w:rFonts w:ascii="Georgia" w:eastAsiaTheme="minorEastAsia" w:hAnsi="Georgia" w:cs="Arial"/>
          <w:snapToGrid w:val="0"/>
          <w:sz w:val="20"/>
          <w:szCs w:val="22"/>
        </w:rPr>
        <w:t xml:space="preserve"> t</w:t>
      </w:r>
      <w:r w:rsidRPr="008C0A31">
        <w:rPr>
          <w:rFonts w:ascii="Georgia" w:eastAsiaTheme="minorEastAsia" w:hAnsi="Georgia" w:cs="Arial"/>
          <w:snapToGrid w:val="0"/>
          <w:sz w:val="20"/>
          <w:szCs w:val="22"/>
        </w:rPr>
        <w:t>he Association for Medical Education/General Medical Council Excellent</w:t>
      </w:r>
      <w:r w:rsidR="00820D6E">
        <w:rPr>
          <w:rFonts w:ascii="Georgia" w:eastAsiaTheme="minorEastAsia" w:hAnsi="Georgia" w:cs="Arial"/>
          <w:snapToGrid w:val="0"/>
          <w:sz w:val="20"/>
          <w:szCs w:val="22"/>
        </w:rPr>
        <w:t xml:space="preserve"> </w:t>
      </w:r>
      <w:r w:rsidRPr="008C0A31">
        <w:rPr>
          <w:rFonts w:ascii="Georgia" w:eastAsiaTheme="minorEastAsia" w:hAnsi="Georgia" w:cs="Arial"/>
          <w:snapToGrid w:val="0"/>
          <w:sz w:val="20"/>
          <w:szCs w:val="22"/>
        </w:rPr>
        <w:t xml:space="preserve">Medical Education Award (2019). </w:t>
      </w:r>
    </w:p>
    <w:p w14:paraId="029F88D8" w14:textId="0BEE782F" w:rsidR="008C0A31" w:rsidRP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This particular co-design paradigm offers an immersive and experiential learning </w:t>
      </w:r>
      <w:r w:rsidR="00BC62A9" w:rsidRPr="008C0A31">
        <w:rPr>
          <w:rFonts w:ascii="Georgia" w:eastAsiaTheme="minorEastAsia" w:hAnsi="Georgia" w:cs="Arial"/>
          <w:snapToGrid w:val="0"/>
          <w:sz w:val="20"/>
          <w:szCs w:val="22"/>
        </w:rPr>
        <w:t>experience and</w:t>
      </w:r>
      <w:r w:rsidRPr="008C0A31">
        <w:rPr>
          <w:rFonts w:ascii="Georgia" w:eastAsiaTheme="minorEastAsia" w:hAnsi="Georgia" w:cs="Arial"/>
          <w:snapToGrid w:val="0"/>
          <w:sz w:val="20"/>
          <w:szCs w:val="22"/>
        </w:rPr>
        <w:t xml:space="preserve"> supports students to develop complex transferable skills relevant to future practice, with the next cycle about to run in 2022/23, aiming at facilitating both phases of the workshops ‘in person’</w:t>
      </w:r>
      <w:r w:rsidR="00BC62A9">
        <w:rPr>
          <w:rFonts w:ascii="Georgia" w:eastAsiaTheme="minorEastAsia" w:hAnsi="Georgia" w:cs="Arial"/>
          <w:snapToGrid w:val="0"/>
          <w:sz w:val="20"/>
          <w:szCs w:val="22"/>
        </w:rPr>
        <w:t xml:space="preserve">; it </w:t>
      </w:r>
      <w:r w:rsidRPr="008C0A31">
        <w:rPr>
          <w:rFonts w:ascii="Georgia" w:eastAsiaTheme="minorEastAsia" w:hAnsi="Georgia" w:cs="Arial"/>
          <w:snapToGrid w:val="0"/>
          <w:sz w:val="20"/>
          <w:szCs w:val="22"/>
        </w:rPr>
        <w:t>is an evolving process.</w:t>
      </w:r>
    </w:p>
    <w:p w14:paraId="259D573C" w14:textId="1302E1CD" w:rsidR="008C0A31" w:rsidRDefault="008C0A31" w:rsidP="000F41B0">
      <w:pPr>
        <w:pStyle w:val="MDPI51figurecaption"/>
        <w:jc w:val="both"/>
        <w:rPr>
          <w:rFonts w:ascii="Georgia" w:eastAsiaTheme="minorEastAsia" w:hAnsi="Georgia" w:cs="Arial"/>
          <w:snapToGrid w:val="0"/>
          <w:sz w:val="20"/>
          <w:szCs w:val="22"/>
        </w:rPr>
      </w:pPr>
      <w:r w:rsidRPr="008C0A31">
        <w:rPr>
          <w:rFonts w:ascii="Georgia" w:eastAsiaTheme="minorEastAsia" w:hAnsi="Georgia" w:cs="Arial"/>
          <w:snapToGrid w:val="0"/>
          <w:sz w:val="20"/>
          <w:szCs w:val="22"/>
        </w:rPr>
        <w:t xml:space="preserve">In The Good Ancestor: How to Think Long Term in a Short-Term World (2020) Roman </w:t>
      </w:r>
      <w:proofErr w:type="spellStart"/>
      <w:r w:rsidRPr="00BD68D2">
        <w:rPr>
          <w:rFonts w:ascii="Georgia" w:eastAsiaTheme="minorEastAsia" w:hAnsi="Georgia" w:cs="Arial"/>
          <w:snapToGrid w:val="0"/>
          <w:sz w:val="20"/>
          <w:szCs w:val="22"/>
        </w:rPr>
        <w:t>Krznaric</w:t>
      </w:r>
      <w:proofErr w:type="spellEnd"/>
      <w:r w:rsidRPr="008C0A31">
        <w:rPr>
          <w:rFonts w:ascii="Georgia" w:eastAsiaTheme="minorEastAsia" w:hAnsi="Georgia" w:cs="Arial"/>
          <w:snapToGrid w:val="0"/>
          <w:sz w:val="20"/>
          <w:szCs w:val="22"/>
        </w:rPr>
        <w:t xml:space="preserve"> suggests the way to a more regenerative future is through transformation (rather than breakdown or reform). A project such as this does not offer an immediate solution to poor NHS mental health facilities in the UK. The design solutions described in the posters should not be seen as the final result or end point but rather as seeds. If 650 ambitious, inquisitive, and talented young architects and medics go out into the world each year </w:t>
      </w:r>
      <w:r w:rsidR="00BC62A9">
        <w:rPr>
          <w:rFonts w:ascii="Georgia" w:eastAsiaTheme="minorEastAsia" w:hAnsi="Georgia" w:cs="Arial"/>
          <w:snapToGrid w:val="0"/>
          <w:sz w:val="20"/>
          <w:szCs w:val="22"/>
        </w:rPr>
        <w:t>‘</w:t>
      </w:r>
      <w:r w:rsidRPr="008C0A31">
        <w:rPr>
          <w:rFonts w:ascii="Georgia" w:eastAsiaTheme="minorEastAsia" w:hAnsi="Georgia" w:cs="Arial"/>
          <w:snapToGrid w:val="0"/>
          <w:sz w:val="20"/>
          <w:szCs w:val="22"/>
        </w:rPr>
        <w:t>armed</w:t>
      </w:r>
      <w:r w:rsidR="00BC62A9">
        <w:rPr>
          <w:rFonts w:ascii="Georgia" w:eastAsiaTheme="minorEastAsia" w:hAnsi="Georgia" w:cs="Arial"/>
          <w:snapToGrid w:val="0"/>
          <w:sz w:val="20"/>
          <w:szCs w:val="22"/>
        </w:rPr>
        <w:t>’</w:t>
      </w:r>
      <w:r w:rsidRPr="008C0A31">
        <w:rPr>
          <w:rFonts w:ascii="Georgia" w:eastAsiaTheme="minorEastAsia" w:hAnsi="Georgia" w:cs="Arial"/>
          <w:snapToGrid w:val="0"/>
          <w:sz w:val="20"/>
          <w:szCs w:val="22"/>
        </w:rPr>
        <w:t xml:space="preserve"> with an enhanced knowledge of collaboration, creativity, and communication</w:t>
      </w:r>
      <w:r w:rsidR="00BC62A9">
        <w:rPr>
          <w:rFonts w:ascii="Georgia" w:eastAsiaTheme="minorEastAsia" w:hAnsi="Georgia" w:cs="Arial"/>
          <w:snapToGrid w:val="0"/>
          <w:sz w:val="20"/>
          <w:szCs w:val="22"/>
        </w:rPr>
        <w:t>, they</w:t>
      </w:r>
      <w:r w:rsidRPr="008C0A31">
        <w:rPr>
          <w:rFonts w:ascii="Georgia" w:eastAsiaTheme="minorEastAsia" w:hAnsi="Georgia" w:cs="Arial"/>
          <w:snapToGrid w:val="0"/>
          <w:sz w:val="20"/>
          <w:szCs w:val="22"/>
        </w:rPr>
        <w:t xml:space="preserve"> will be better placed to address the healthcare issues of tomorrow. It is this transformative reframing of their professional practice which is the real outcome.</w:t>
      </w:r>
    </w:p>
    <w:p w14:paraId="51EC4A5F" w14:textId="77777777" w:rsidR="001A60C0" w:rsidRPr="008C0A31" w:rsidRDefault="001A60C0" w:rsidP="000F41B0">
      <w:pPr>
        <w:pStyle w:val="MDPI51figurecaption"/>
        <w:jc w:val="both"/>
        <w:rPr>
          <w:rFonts w:ascii="Georgia" w:eastAsiaTheme="minorEastAsia" w:hAnsi="Georgia" w:cs="Arial"/>
          <w:snapToGrid w:val="0"/>
          <w:sz w:val="20"/>
          <w:szCs w:val="22"/>
        </w:rPr>
      </w:pPr>
    </w:p>
    <w:p w14:paraId="5CE37C83" w14:textId="77777777" w:rsidR="00423AFF" w:rsidRDefault="00423AFF" w:rsidP="00350186">
      <w:pPr>
        <w:pStyle w:val="MDPI62BackMatter"/>
        <w:ind w:left="0"/>
        <w:rPr>
          <w:rFonts w:ascii="Georgia" w:eastAsiaTheme="minorEastAsia" w:hAnsi="Georgia" w:cs="Arial"/>
          <w:b/>
        </w:rPr>
      </w:pPr>
      <w:bookmarkStart w:id="0" w:name="_Hlk60054323"/>
    </w:p>
    <w:p w14:paraId="2F98FE83" w14:textId="77777777" w:rsidR="00423AFF" w:rsidRDefault="00423AFF" w:rsidP="00583714">
      <w:pPr>
        <w:pStyle w:val="MDPI62BackMatter"/>
        <w:rPr>
          <w:rFonts w:ascii="Georgia" w:eastAsiaTheme="minorEastAsia" w:hAnsi="Georgia" w:cs="Arial"/>
          <w:b/>
        </w:rPr>
      </w:pPr>
    </w:p>
    <w:p w14:paraId="00D9853B" w14:textId="1E2C9691"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Data Availability Statement</w:t>
      </w:r>
      <w:r w:rsidRPr="005C6417">
        <w:rPr>
          <w:rFonts w:ascii="Georgia" w:eastAsiaTheme="minorEastAsia" w:hAnsi="Georgia" w:cs="Arial"/>
        </w:rPr>
        <w:t xml:space="preserve"> (if applicable) </w:t>
      </w:r>
    </w:p>
    <w:bookmarkEnd w:id="0"/>
    <w:p w14:paraId="27D0A891" w14:textId="66C6370F" w:rsidR="00350186" w:rsidRDefault="00350186" w:rsidP="00583714">
      <w:pPr>
        <w:pStyle w:val="MDPI62BackMatter"/>
        <w:rPr>
          <w:rFonts w:ascii="Georgia" w:eastAsiaTheme="minorEastAsia" w:hAnsi="Georgia" w:cs="Arial"/>
        </w:rPr>
      </w:pPr>
      <w:r w:rsidRPr="00350186">
        <w:rPr>
          <w:rFonts w:ascii="Georgia" w:eastAsiaTheme="minorEastAsia" w:hAnsi="Georgia" w:cs="Arial"/>
        </w:rPr>
        <w:t xml:space="preserve">Following the 2020/21 workshop we held an Online Exhibition as a dynamic artefact: </w:t>
      </w:r>
      <w:hyperlink r:id="rId19" w:history="1">
        <w:r w:rsidRPr="00CB35D6">
          <w:rPr>
            <w:rStyle w:val="Hyperlink"/>
            <w:rFonts w:ascii="Georgia" w:eastAsiaTheme="minorEastAsia" w:hAnsi="Georgia" w:cs="Arial"/>
          </w:rPr>
          <w:t>http://www.openstudiowestminster.org/co-production-2020-2021/</w:t>
        </w:r>
      </w:hyperlink>
    </w:p>
    <w:p w14:paraId="6514F794" w14:textId="77777777" w:rsidR="00350186" w:rsidRPr="00350186" w:rsidRDefault="00350186" w:rsidP="00350186">
      <w:pPr>
        <w:pStyle w:val="MDPI62BackMatter"/>
        <w:rPr>
          <w:rFonts w:ascii="Georgia" w:eastAsiaTheme="minorEastAsia" w:hAnsi="Georgia" w:cs="Arial"/>
        </w:rPr>
      </w:pPr>
      <w:r w:rsidRPr="00350186">
        <w:rPr>
          <w:rFonts w:ascii="Georgia" w:eastAsiaTheme="minorEastAsia" w:hAnsi="Georgia" w:cs="Arial"/>
        </w:rPr>
        <w:t xml:space="preserve">The project has generated a widespread interest from architects and health care professionals alike. Staff and students presented at two public panel discussions that followed the project, the first </w:t>
      </w:r>
      <w:proofErr w:type="spellStart"/>
      <w:r w:rsidRPr="00350186">
        <w:rPr>
          <w:rFonts w:ascii="Georgia" w:eastAsiaTheme="minorEastAsia" w:hAnsi="Georgia" w:cs="Arial"/>
        </w:rPr>
        <w:t>organised</w:t>
      </w:r>
      <w:proofErr w:type="spellEnd"/>
      <w:r w:rsidRPr="00350186">
        <w:rPr>
          <w:rFonts w:ascii="Georgia" w:eastAsiaTheme="minorEastAsia" w:hAnsi="Georgia" w:cs="Arial"/>
        </w:rPr>
        <w:t xml:space="preserve"> by Dementia Action Alliance called ‘Reframing Dementia Through Co-Production and Design’ (21.06.21) and the second ‘Practices of Care’ </w:t>
      </w:r>
      <w:proofErr w:type="spellStart"/>
      <w:r w:rsidRPr="00350186">
        <w:rPr>
          <w:rFonts w:ascii="Georgia" w:eastAsiaTheme="minorEastAsia" w:hAnsi="Georgia" w:cs="Arial"/>
        </w:rPr>
        <w:t>organised</w:t>
      </w:r>
      <w:proofErr w:type="spellEnd"/>
      <w:r w:rsidRPr="00350186">
        <w:rPr>
          <w:rFonts w:ascii="Georgia" w:eastAsiaTheme="minorEastAsia" w:hAnsi="Georgia" w:cs="Arial"/>
        </w:rPr>
        <w:t xml:space="preserve"> as part of the London Festival of Architecture (11/06.21). We invited student participants to speak at both events, as well as to join the audience.</w:t>
      </w:r>
    </w:p>
    <w:p w14:paraId="7CA65D4F" w14:textId="3652CA9F" w:rsidR="00350186" w:rsidRPr="00350186" w:rsidRDefault="00000000" w:rsidP="00350186">
      <w:pPr>
        <w:pStyle w:val="MDPI62BackMatter"/>
        <w:rPr>
          <w:rFonts w:ascii="Georgia" w:eastAsiaTheme="minorEastAsia" w:hAnsi="Georgia" w:cs="Arial"/>
        </w:rPr>
      </w:pPr>
      <w:hyperlink r:id="rId20" w:history="1">
        <w:r w:rsidR="00350186" w:rsidRPr="00CB35D6">
          <w:rPr>
            <w:rStyle w:val="Hyperlink"/>
            <w:rFonts w:ascii="Georgia" w:eastAsiaTheme="minorEastAsia" w:hAnsi="Georgia" w:cs="Arial"/>
          </w:rPr>
          <w:t>https://www.eventbrite.co.uk/e/reframing-dementia-through-co-production-and-design-panel-discussion- tickets-154840065805</w:t>
        </w:r>
      </w:hyperlink>
    </w:p>
    <w:p w14:paraId="5D3B2FDC" w14:textId="1144053E" w:rsidR="00350186" w:rsidRDefault="00350186" w:rsidP="00350186">
      <w:pPr>
        <w:pStyle w:val="MDPI62BackMatter"/>
        <w:rPr>
          <w:rFonts w:ascii="Georgia" w:eastAsiaTheme="minorEastAsia" w:hAnsi="Georgia" w:cs="Arial"/>
        </w:rPr>
      </w:pPr>
      <w:r w:rsidRPr="00350186">
        <w:rPr>
          <w:rFonts w:ascii="Georgia" w:eastAsiaTheme="minorEastAsia" w:hAnsi="Georgia" w:cs="Arial"/>
        </w:rPr>
        <w:t>https://www.westminster.ac.uk/events/practices-of-care-a-cross-disciplinary-discussion-on-designing-for- mental-health-and-wellbeing</w:t>
      </w:r>
    </w:p>
    <w:p w14:paraId="7989CB8D" w14:textId="77777777" w:rsidR="00350186" w:rsidRDefault="00350186" w:rsidP="00350186">
      <w:pPr>
        <w:pStyle w:val="MDPI62BackMatter"/>
        <w:rPr>
          <w:rFonts w:ascii="Georgia" w:eastAsiaTheme="minorEastAsia" w:hAnsi="Georgia" w:cs="Arial"/>
        </w:rPr>
      </w:pPr>
    </w:p>
    <w:p w14:paraId="708315F3" w14:textId="77777777" w:rsidR="00350186" w:rsidRDefault="00350186" w:rsidP="00583714">
      <w:pPr>
        <w:pStyle w:val="MDPI62BackMatter"/>
        <w:rPr>
          <w:rFonts w:ascii="Georgia" w:eastAsiaTheme="minorEastAsia" w:hAnsi="Georgia" w:cs="Arial"/>
        </w:rPr>
      </w:pPr>
    </w:p>
    <w:p w14:paraId="4D50C4E7" w14:textId="68A08109"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3AEE288D" w14:textId="7958AE4A" w:rsidR="006D2B75" w:rsidRDefault="006D2B75" w:rsidP="00583714">
      <w:pPr>
        <w:pStyle w:val="MDPI62BackMatter"/>
        <w:rPr>
          <w:rFonts w:ascii="Georgia" w:eastAsiaTheme="minorEastAsia" w:hAnsi="Georgia" w:cs="Arial"/>
          <w:color w:val="000000" w:themeColor="text1"/>
          <w:szCs w:val="18"/>
          <w:shd w:val="clear" w:color="auto" w:fill="FFFFFF"/>
        </w:rPr>
      </w:pPr>
      <w:r>
        <w:rPr>
          <w:rFonts w:ascii="Georgia" w:eastAsiaTheme="minorEastAsia" w:hAnsi="Georgia" w:cs="Arial"/>
          <w:color w:val="000000" w:themeColor="text1"/>
          <w:szCs w:val="18"/>
          <w:shd w:val="clear" w:color="auto" w:fill="FFFFFF"/>
        </w:rPr>
        <w:t xml:space="preserve">The authors acknowledge the contribution of Kay </w:t>
      </w:r>
      <w:proofErr w:type="spellStart"/>
      <w:r>
        <w:rPr>
          <w:rFonts w:ascii="Georgia" w:eastAsiaTheme="minorEastAsia" w:hAnsi="Georgia" w:cs="Arial"/>
          <w:color w:val="000000" w:themeColor="text1"/>
          <w:szCs w:val="18"/>
          <w:shd w:val="clear" w:color="auto" w:fill="FFFFFF"/>
        </w:rPr>
        <w:t>Leedham</w:t>
      </w:r>
      <w:proofErr w:type="spellEnd"/>
      <w:r>
        <w:rPr>
          <w:rFonts w:ascii="Georgia" w:eastAsiaTheme="minorEastAsia" w:hAnsi="Georgia" w:cs="Arial"/>
          <w:color w:val="000000" w:themeColor="text1"/>
          <w:szCs w:val="18"/>
          <w:shd w:val="clear" w:color="auto" w:fill="FFFFFF"/>
        </w:rPr>
        <w:t>-Green from Imperial College London in the co-design of the workshop and the writing of this paper.</w:t>
      </w:r>
    </w:p>
    <w:p w14:paraId="19F92255" w14:textId="77777777" w:rsidR="00350186" w:rsidRPr="005C6417" w:rsidRDefault="00350186" w:rsidP="00583714">
      <w:pPr>
        <w:pStyle w:val="MDPI62BackMatter"/>
        <w:rPr>
          <w:rFonts w:ascii="Georgia" w:eastAsiaTheme="minorEastAsia" w:hAnsi="Georgia" w:cs="Arial"/>
        </w:rPr>
      </w:pPr>
    </w:p>
    <w:p w14:paraId="41018529" w14:textId="77777777" w:rsidR="004F2BEA" w:rsidRPr="0090202C" w:rsidRDefault="00A86E9F" w:rsidP="00A86E9F">
      <w:pPr>
        <w:pStyle w:val="MDPI62BackMatter"/>
        <w:rPr>
          <w:rFonts w:ascii="Georgia" w:eastAsiaTheme="minorEastAsia" w:hAnsi="Georgia" w:cs="Arial"/>
        </w:rPr>
      </w:pPr>
      <w:r w:rsidRPr="0090202C">
        <w:rPr>
          <w:rFonts w:ascii="Georgia" w:eastAsiaTheme="minorEastAsia" w:hAnsi="Georgia" w:cs="Arial"/>
          <w:b/>
        </w:rPr>
        <w:t>Acknowledgments</w:t>
      </w:r>
      <w:r w:rsidR="005C6417" w:rsidRPr="0090202C">
        <w:rPr>
          <w:rFonts w:ascii="Georgia" w:eastAsiaTheme="minorEastAsia" w:hAnsi="Georgia" w:cs="Arial"/>
        </w:rPr>
        <w:t xml:space="preserve"> (optional)</w:t>
      </w:r>
      <w:r w:rsidRPr="0090202C">
        <w:rPr>
          <w:rFonts w:ascii="Georgia" w:eastAsiaTheme="minorEastAsia" w:hAnsi="Georgia" w:cs="Arial"/>
        </w:rPr>
        <w:t xml:space="preserve"> </w:t>
      </w:r>
    </w:p>
    <w:p w14:paraId="4BEA23F6" w14:textId="77777777" w:rsidR="00A86E9F" w:rsidRPr="005C6417" w:rsidRDefault="004F2BEA" w:rsidP="00A86E9F">
      <w:pPr>
        <w:pStyle w:val="MDPI62BackMatter"/>
        <w:rPr>
          <w:rFonts w:ascii="Georgia" w:eastAsiaTheme="minorEastAsia" w:hAnsi="Georgia" w:cs="Arial"/>
        </w:rPr>
      </w:pPr>
      <w:r w:rsidRPr="0090202C">
        <w:rPr>
          <w:rFonts w:ascii="Georgia" w:eastAsiaTheme="minorEastAsia" w:hAnsi="Georgia" w:cs="Arial"/>
        </w:rPr>
        <w:t>A</w:t>
      </w:r>
      <w:r w:rsidR="009E7E90" w:rsidRPr="0090202C">
        <w:rPr>
          <w:rFonts w:ascii="Georgia" w:eastAsiaTheme="minorEastAsia" w:hAnsi="Georgia" w:cs="Arial"/>
        </w:rPr>
        <w:t xml:space="preserve">cknowledge </w:t>
      </w:r>
      <w:r w:rsidR="00A86E9F" w:rsidRPr="0090202C">
        <w:rPr>
          <w:rFonts w:ascii="Georgia" w:eastAsiaTheme="minorEastAsia" w:hAnsi="Georgia" w:cs="Arial"/>
        </w:rPr>
        <w:t xml:space="preserve">any </w:t>
      </w:r>
      <w:r w:rsidR="005C6417" w:rsidRPr="0090202C">
        <w:rPr>
          <w:rFonts w:ascii="Georgia" w:eastAsiaTheme="minorEastAsia" w:hAnsi="Georgia" w:cs="Arial"/>
        </w:rPr>
        <w:t xml:space="preserve">other </w:t>
      </w:r>
      <w:r w:rsidR="00A86E9F" w:rsidRPr="0090202C">
        <w:rPr>
          <w:rFonts w:ascii="Georgia" w:eastAsiaTheme="minorEastAsia" w:hAnsi="Georgia" w:cs="Arial"/>
        </w:rPr>
        <w:t xml:space="preserve">support which </w:t>
      </w:r>
      <w:r w:rsidR="005C6417" w:rsidRPr="0090202C">
        <w:rPr>
          <w:rFonts w:ascii="Georgia" w:eastAsiaTheme="minorEastAsia" w:hAnsi="Georgia" w:cs="Arial"/>
        </w:rPr>
        <w:t>cannot be</w:t>
      </w:r>
      <w:r w:rsidR="00A86E9F" w:rsidRPr="0090202C">
        <w:rPr>
          <w:rFonts w:ascii="Georgia" w:eastAsiaTheme="minorEastAsia" w:hAnsi="Georgia" w:cs="Arial"/>
        </w:rPr>
        <w:t xml:space="preserve"> covered by the </w:t>
      </w:r>
      <w:r w:rsidR="00583714" w:rsidRPr="0090202C">
        <w:rPr>
          <w:rFonts w:ascii="Georgia" w:eastAsiaTheme="minorEastAsia" w:hAnsi="Georgia" w:cs="Arial"/>
        </w:rPr>
        <w:t>contributor statement</w:t>
      </w:r>
      <w:r w:rsidR="00A86E9F" w:rsidRPr="0090202C">
        <w:rPr>
          <w:rFonts w:ascii="Georgia" w:eastAsiaTheme="minorEastAsia" w:hAnsi="Georgia" w:cs="Arial"/>
        </w:rPr>
        <w:t>.</w:t>
      </w:r>
      <w:r w:rsidR="00A86E9F" w:rsidRPr="005C6417">
        <w:rPr>
          <w:rFonts w:ascii="Georgia" w:eastAsiaTheme="minorEastAsia" w:hAnsi="Georgia" w:cs="Arial"/>
        </w:rPr>
        <w:t xml:space="preserve"> </w:t>
      </w:r>
    </w:p>
    <w:p w14:paraId="62C8012C" w14:textId="77777777" w:rsidR="0065665B" w:rsidRDefault="0065665B" w:rsidP="000855EA">
      <w:pPr>
        <w:pStyle w:val="MDPI21heading1"/>
        <w:ind w:left="0"/>
        <w:rPr>
          <w:rFonts w:ascii="Georgia" w:eastAsiaTheme="minorEastAsia" w:hAnsi="Georgia" w:cs="Arial"/>
        </w:rPr>
      </w:pPr>
    </w:p>
    <w:p w14:paraId="071E4E01" w14:textId="13F96C9A"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0D0B940D" w14:textId="158CFC6B" w:rsidR="00A86E9F" w:rsidRDefault="00A86E9F" w:rsidP="00A344F3">
      <w:pPr>
        <w:pStyle w:val="MDPI71References"/>
        <w:numPr>
          <w:ilvl w:val="0"/>
          <w:numId w:val="0"/>
        </w:numPr>
        <w:spacing w:line="240" w:lineRule="auto"/>
        <w:rPr>
          <w:rFonts w:ascii="Georgia" w:eastAsiaTheme="minorEastAsia" w:hAnsi="Georgia" w:cs="Arial"/>
          <w:lang w:val="en-GB"/>
        </w:rPr>
      </w:pPr>
    </w:p>
    <w:p w14:paraId="537C4684" w14:textId="4434FED0" w:rsidR="002A261A" w:rsidRDefault="002A261A" w:rsidP="002A261A">
      <w:pPr>
        <w:pStyle w:val="MDPI71References"/>
        <w:numPr>
          <w:ilvl w:val="0"/>
          <w:numId w:val="0"/>
        </w:numPr>
        <w:ind w:left="425" w:hanging="425"/>
        <w:rPr>
          <w:rFonts w:ascii="Georgia" w:eastAsiaTheme="minorEastAsia" w:hAnsi="Georgia" w:cs="Arial"/>
        </w:rPr>
      </w:pPr>
      <w:proofErr w:type="spellStart"/>
      <w:r w:rsidRPr="002A261A">
        <w:rPr>
          <w:rFonts w:ascii="Georgia" w:eastAsiaTheme="minorEastAsia" w:hAnsi="Georgia" w:cs="Arial"/>
        </w:rPr>
        <w:t>Arnove</w:t>
      </w:r>
      <w:proofErr w:type="spellEnd"/>
      <w:r w:rsidRPr="002A261A">
        <w:rPr>
          <w:rFonts w:ascii="Georgia" w:eastAsiaTheme="minorEastAsia" w:hAnsi="Georgia" w:cs="Arial"/>
        </w:rPr>
        <w:t>, R.F, (2020). </w:t>
      </w:r>
      <w:r w:rsidRPr="002A261A">
        <w:rPr>
          <w:rFonts w:ascii="Georgia" w:eastAsiaTheme="minorEastAsia" w:hAnsi="Georgia" w:cs="Arial"/>
          <w:i/>
        </w:rPr>
        <w:t>Imagining what education can be post-COVID-19</w:t>
      </w:r>
      <w:r w:rsidRPr="002A261A">
        <w:rPr>
          <w:rFonts w:ascii="Georgia" w:eastAsiaTheme="minorEastAsia" w:hAnsi="Georgia" w:cs="Arial"/>
        </w:rPr>
        <w:t>. London, England: My Publisher</w:t>
      </w:r>
      <w:r w:rsidR="00CC1900">
        <w:rPr>
          <w:rFonts w:ascii="Georgia" w:eastAsiaTheme="minorEastAsia" w:hAnsi="Georgia" w:cs="Arial"/>
        </w:rPr>
        <w:t>.</w:t>
      </w:r>
    </w:p>
    <w:p w14:paraId="30478201" w14:textId="77777777" w:rsidR="00820D50" w:rsidRPr="00AA116C" w:rsidRDefault="00820D50" w:rsidP="00820D50">
      <w:pPr>
        <w:pStyle w:val="MDPI71References"/>
        <w:numPr>
          <w:ilvl w:val="0"/>
          <w:numId w:val="0"/>
        </w:numPr>
        <w:ind w:left="425" w:hanging="425"/>
        <w:rPr>
          <w:rFonts w:ascii="Georgia" w:eastAsiaTheme="minorEastAsia" w:hAnsi="Georgia" w:cs="Arial"/>
          <w:lang w:val="en-GB"/>
        </w:rPr>
      </w:pPr>
      <w:r>
        <w:rPr>
          <w:rFonts w:ascii="Georgia" w:eastAsiaTheme="minorEastAsia" w:hAnsi="Georgia" w:cs="Arial"/>
          <w:lang w:val="en-GB"/>
        </w:rPr>
        <w:t xml:space="preserve">Cohen, J. (2007) </w:t>
      </w:r>
      <w:r w:rsidRPr="00AA116C">
        <w:rPr>
          <w:rFonts w:ascii="Georgia" w:eastAsiaTheme="minorEastAsia" w:hAnsi="Georgia" w:cs="Arial"/>
          <w:i/>
          <w:iCs/>
          <w:lang w:val="en-GB"/>
        </w:rPr>
        <w:t>Humanism &amp; Professionalism</w:t>
      </w:r>
    </w:p>
    <w:p w14:paraId="2EC9D41D" w14:textId="51C56D00" w:rsidR="00820D50" w:rsidRPr="00820D50" w:rsidRDefault="00000000" w:rsidP="00820D50">
      <w:pPr>
        <w:pStyle w:val="MDPI71References"/>
        <w:numPr>
          <w:ilvl w:val="0"/>
          <w:numId w:val="0"/>
        </w:numPr>
        <w:rPr>
          <w:rFonts w:ascii="Georgia" w:eastAsiaTheme="minorEastAsia" w:hAnsi="Georgia" w:cs="Arial"/>
          <w:lang w:val="en-GB"/>
        </w:rPr>
      </w:pPr>
      <w:hyperlink r:id="rId21" w:history="1">
        <w:r w:rsidR="00820D50" w:rsidRPr="00217405">
          <w:rPr>
            <w:rStyle w:val="Hyperlink"/>
            <w:rFonts w:ascii="Georgia" w:eastAsiaTheme="minorEastAsia" w:hAnsi="Georgia" w:cs="Arial"/>
            <w:lang w:val="en-GB"/>
          </w:rPr>
          <w:t>https://journals.lww.com/academicmedicine/fulltext/2007/11000/viewpoint__linking_professionalism_to_humanism_.5.aspx</w:t>
        </w:r>
      </w:hyperlink>
    </w:p>
    <w:p w14:paraId="2035EC05" w14:textId="77777777" w:rsidR="00820D50" w:rsidRDefault="00DD401E" w:rsidP="00A344F3">
      <w:pPr>
        <w:pStyle w:val="MDPI71References"/>
        <w:numPr>
          <w:ilvl w:val="0"/>
          <w:numId w:val="0"/>
        </w:numPr>
        <w:spacing w:line="240" w:lineRule="auto"/>
        <w:rPr>
          <w:rFonts w:ascii="Georgia" w:eastAsiaTheme="minorEastAsia" w:hAnsi="Georgia" w:cs="Arial"/>
          <w:i/>
          <w:iCs/>
          <w:lang w:val="en-GB"/>
        </w:rPr>
      </w:pPr>
      <w:r>
        <w:rPr>
          <w:rFonts w:ascii="Georgia" w:eastAsiaTheme="minorEastAsia" w:hAnsi="Georgia" w:cs="Arial"/>
          <w:lang w:val="en-GB"/>
        </w:rPr>
        <w:t xml:space="preserve">Devi, G. (2015). Creativity in medicine. </w:t>
      </w:r>
      <w:r w:rsidR="005D2550">
        <w:rPr>
          <w:rFonts w:ascii="Georgia" w:eastAsiaTheme="minorEastAsia" w:hAnsi="Georgia" w:cs="Arial"/>
          <w:i/>
          <w:iCs/>
          <w:lang w:val="en-GB"/>
        </w:rPr>
        <w:t>Neurology, 84</w:t>
      </w:r>
      <w:r w:rsidR="005D2550" w:rsidRPr="005D2550">
        <w:rPr>
          <w:rFonts w:ascii="Georgia" w:eastAsiaTheme="minorEastAsia" w:hAnsi="Georgia" w:cs="Arial"/>
          <w:lang w:val="en-GB"/>
        </w:rPr>
        <w:t>(8)</w:t>
      </w:r>
      <w:r w:rsidR="005D2550">
        <w:rPr>
          <w:rFonts w:ascii="Georgia" w:eastAsiaTheme="minorEastAsia" w:hAnsi="Georgia" w:cs="Arial"/>
          <w:lang w:val="en-GB"/>
        </w:rPr>
        <w:t xml:space="preserve"> e53-e54</w:t>
      </w:r>
      <w:r w:rsidR="005D2550">
        <w:rPr>
          <w:rFonts w:ascii="Georgia" w:eastAsiaTheme="minorEastAsia" w:hAnsi="Georgia" w:cs="Arial"/>
          <w:i/>
          <w:iCs/>
          <w:lang w:val="en-GB"/>
        </w:rPr>
        <w:t>.</w:t>
      </w:r>
    </w:p>
    <w:p w14:paraId="5CBC4B31" w14:textId="0B0844F9" w:rsidR="00DD401E" w:rsidRDefault="00000000" w:rsidP="00A344F3">
      <w:pPr>
        <w:pStyle w:val="MDPI71References"/>
        <w:numPr>
          <w:ilvl w:val="0"/>
          <w:numId w:val="0"/>
        </w:numPr>
        <w:spacing w:line="240" w:lineRule="auto"/>
        <w:rPr>
          <w:rStyle w:val="Hyperlink"/>
          <w:rFonts w:ascii="Georgia" w:eastAsiaTheme="minorEastAsia" w:hAnsi="Georgia" w:cs="Arial"/>
        </w:rPr>
      </w:pPr>
      <w:hyperlink r:id="rId22" w:history="1">
        <w:r w:rsidR="00820D50" w:rsidRPr="00217405">
          <w:rPr>
            <w:rStyle w:val="Hyperlink"/>
            <w:rFonts w:ascii="Georgia" w:eastAsiaTheme="minorEastAsia" w:hAnsi="Georgia" w:cs="Arial"/>
          </w:rPr>
          <w:t>https://doi.org/10.1212/WNL.0000000000001298</w:t>
        </w:r>
      </w:hyperlink>
    </w:p>
    <w:p w14:paraId="69CF6E5D" w14:textId="608CD8AB" w:rsidR="00820D50" w:rsidRDefault="00820D50" w:rsidP="00820D50">
      <w:pPr>
        <w:pStyle w:val="MDPI71References"/>
        <w:numPr>
          <w:ilvl w:val="0"/>
          <w:numId w:val="0"/>
        </w:numPr>
        <w:ind w:left="425" w:hanging="425"/>
        <w:rPr>
          <w:rFonts w:ascii="Georgia" w:eastAsiaTheme="minorEastAsia" w:hAnsi="Georgia" w:cs="Arial"/>
          <w:lang w:val="en-GB"/>
        </w:rPr>
      </w:pPr>
      <w:proofErr w:type="spellStart"/>
      <w:r>
        <w:rPr>
          <w:rFonts w:ascii="Georgia" w:eastAsiaTheme="minorEastAsia" w:hAnsi="Georgia" w:cs="Arial"/>
          <w:lang w:val="en-GB"/>
        </w:rPr>
        <w:t>Doneto</w:t>
      </w:r>
      <w:proofErr w:type="spellEnd"/>
      <w:r>
        <w:rPr>
          <w:rFonts w:ascii="Georgia" w:eastAsiaTheme="minorEastAsia" w:hAnsi="Georgia" w:cs="Arial"/>
          <w:lang w:val="en-GB"/>
        </w:rPr>
        <w:t xml:space="preserve">, (2014) </w:t>
      </w:r>
      <w:r w:rsidRPr="00AA116C">
        <w:rPr>
          <w:rFonts w:ascii="Georgia" w:eastAsiaTheme="minorEastAsia" w:hAnsi="Georgia" w:cs="Arial"/>
          <w:i/>
          <w:iCs/>
          <w:lang w:val="en-GB"/>
        </w:rPr>
        <w:t>Experience-based co-design</w:t>
      </w:r>
    </w:p>
    <w:p w14:paraId="2B729B3B" w14:textId="7BF8969E" w:rsidR="00820D50" w:rsidRPr="00820D50" w:rsidRDefault="00000000" w:rsidP="00820D50">
      <w:pPr>
        <w:pStyle w:val="MDPI71References"/>
        <w:numPr>
          <w:ilvl w:val="0"/>
          <w:numId w:val="0"/>
        </w:numPr>
        <w:ind w:left="425" w:hanging="425"/>
        <w:rPr>
          <w:rFonts w:ascii="Georgia" w:eastAsiaTheme="minorEastAsia" w:hAnsi="Georgia" w:cs="Arial"/>
          <w:lang w:val="en-GB"/>
        </w:rPr>
      </w:pPr>
      <w:hyperlink r:id="rId23" w:history="1">
        <w:r w:rsidR="00820D50" w:rsidRPr="00217405">
          <w:rPr>
            <w:rStyle w:val="Hyperlink"/>
            <w:rFonts w:ascii="Georgia" w:eastAsiaTheme="minorEastAsia" w:hAnsi="Georgia" w:cs="Arial"/>
            <w:lang w:val="en-GB"/>
          </w:rPr>
          <w:t>https://www.pointofcarefoundation.org.uk/resource/experience-based-co-design-ebcd-toolkit/?gclid=CjwKCAiA1JGRBhBSEiwAxXblwRbGoaZEP-8qtq9oFnr-SlhrLPlDQs8mEKMlzUkItnor65WoKGnQOhoCLacQAvD_BwE</w:t>
        </w:r>
      </w:hyperlink>
    </w:p>
    <w:p w14:paraId="7D914809" w14:textId="23B3708B" w:rsidR="00A344F3" w:rsidRPr="00A344F3" w:rsidRDefault="00A344F3" w:rsidP="00A344F3">
      <w:pPr>
        <w:jc w:val="both"/>
        <w:rPr>
          <w:rFonts w:ascii="Georgia" w:hAnsi="Georgia"/>
          <w:color w:val="000000" w:themeColor="text1"/>
          <w:sz w:val="18"/>
          <w:szCs w:val="18"/>
        </w:rPr>
      </w:pPr>
      <w:r w:rsidRPr="00A344F3">
        <w:rPr>
          <w:rFonts w:ascii="Georgia" w:hAnsi="Georgia"/>
          <w:sz w:val="18"/>
          <w:szCs w:val="18"/>
        </w:rPr>
        <w:t xml:space="preserve">Ford, M., (2019) </w:t>
      </w:r>
      <w:r w:rsidRPr="00A344F3">
        <w:rPr>
          <w:rFonts w:ascii="Georgia" w:hAnsi="Georgia"/>
          <w:i/>
          <w:sz w:val="18"/>
          <w:szCs w:val="18"/>
        </w:rPr>
        <w:t>Warning over ‘long-term neglect’ of mental health NHS estate</w:t>
      </w:r>
      <w:r w:rsidRPr="00A344F3">
        <w:rPr>
          <w:rFonts w:ascii="Georgia" w:hAnsi="Georgia"/>
          <w:sz w:val="18"/>
          <w:szCs w:val="18"/>
        </w:rPr>
        <w:t xml:space="preserve">, in </w:t>
      </w:r>
      <w:r w:rsidRPr="00A344F3">
        <w:rPr>
          <w:rFonts w:ascii="Georgia" w:hAnsi="Georgia"/>
          <w:i/>
          <w:sz w:val="18"/>
          <w:szCs w:val="18"/>
        </w:rPr>
        <w:t>Nursing Times</w:t>
      </w:r>
      <w:r w:rsidRPr="00A344F3">
        <w:rPr>
          <w:rFonts w:ascii="Georgia" w:hAnsi="Georgia"/>
          <w:sz w:val="18"/>
          <w:szCs w:val="18"/>
        </w:rPr>
        <w:t>.</w:t>
      </w:r>
    </w:p>
    <w:p w14:paraId="5E42E6AC" w14:textId="24E05E65" w:rsidR="00D95765" w:rsidRPr="00DD401E" w:rsidRDefault="00D95765" w:rsidP="00A344F3">
      <w:pPr>
        <w:pStyle w:val="MDPI71References"/>
        <w:numPr>
          <w:ilvl w:val="0"/>
          <w:numId w:val="0"/>
        </w:numPr>
        <w:spacing w:line="240" w:lineRule="auto"/>
        <w:rPr>
          <w:rFonts w:ascii="Georgia" w:eastAsiaTheme="minorEastAsia" w:hAnsi="Georgia" w:cs="Arial"/>
          <w:lang w:val="en-GB"/>
        </w:rPr>
      </w:pPr>
      <w:r w:rsidRPr="00D95765">
        <w:rPr>
          <w:rFonts w:ascii="Georgia" w:eastAsiaTheme="minorEastAsia" w:hAnsi="Georgia" w:cs="Arial"/>
          <w:lang w:val="en-GB"/>
        </w:rPr>
        <w:t>Kolb</w:t>
      </w:r>
      <w:r w:rsidR="00DD401E">
        <w:rPr>
          <w:rFonts w:ascii="Georgia" w:eastAsiaTheme="minorEastAsia" w:hAnsi="Georgia" w:cs="Arial"/>
          <w:lang w:val="en-GB"/>
        </w:rPr>
        <w:t>, D.</w:t>
      </w:r>
      <w:r w:rsidR="00CC1900">
        <w:rPr>
          <w:rFonts w:ascii="Georgia" w:eastAsiaTheme="minorEastAsia" w:hAnsi="Georgia" w:cs="Arial"/>
          <w:lang w:val="en-GB"/>
        </w:rPr>
        <w:t xml:space="preserve">, </w:t>
      </w:r>
      <w:r w:rsidR="00DD401E">
        <w:rPr>
          <w:rFonts w:ascii="Georgia" w:eastAsiaTheme="minorEastAsia" w:hAnsi="Georgia" w:cs="Arial"/>
          <w:lang w:val="en-GB"/>
        </w:rPr>
        <w:t xml:space="preserve">(2015). </w:t>
      </w:r>
      <w:r w:rsidR="00DD401E">
        <w:rPr>
          <w:rFonts w:ascii="Georgia" w:eastAsiaTheme="minorEastAsia" w:hAnsi="Georgia" w:cs="Arial"/>
          <w:i/>
          <w:iCs/>
          <w:lang w:val="en-GB"/>
        </w:rPr>
        <w:t xml:space="preserve">Experiential Learning: Experience as the source of learning and development </w:t>
      </w:r>
      <w:r w:rsidR="00DD401E">
        <w:rPr>
          <w:rFonts w:ascii="Georgia" w:eastAsiaTheme="minorEastAsia" w:hAnsi="Georgia" w:cs="Arial"/>
          <w:lang w:val="en-GB"/>
        </w:rPr>
        <w:t>(2</w:t>
      </w:r>
      <w:r w:rsidR="00DD401E" w:rsidRPr="00DD401E">
        <w:rPr>
          <w:rFonts w:ascii="Georgia" w:eastAsiaTheme="minorEastAsia" w:hAnsi="Georgia" w:cs="Arial"/>
          <w:vertAlign w:val="superscript"/>
          <w:lang w:val="en-GB"/>
        </w:rPr>
        <w:t>nd</w:t>
      </w:r>
      <w:r w:rsidR="00DD401E">
        <w:rPr>
          <w:rFonts w:ascii="Georgia" w:eastAsiaTheme="minorEastAsia" w:hAnsi="Georgia" w:cs="Arial"/>
          <w:lang w:val="en-GB"/>
        </w:rPr>
        <w:t xml:space="preserve"> ed.). Pearson Education.</w:t>
      </w:r>
    </w:p>
    <w:p w14:paraId="36DF392D" w14:textId="1511140E" w:rsidR="00D95765" w:rsidRDefault="00173731" w:rsidP="00FD00D8">
      <w:pPr>
        <w:pStyle w:val="MDPI71References"/>
        <w:numPr>
          <w:ilvl w:val="0"/>
          <w:numId w:val="0"/>
        </w:numPr>
        <w:rPr>
          <w:rFonts w:ascii="Georgia" w:eastAsiaTheme="minorEastAsia" w:hAnsi="Georgia" w:cs="Arial"/>
          <w:lang w:val="en-GB"/>
        </w:rPr>
      </w:pPr>
      <w:proofErr w:type="spellStart"/>
      <w:r w:rsidRPr="009C0DC4">
        <w:rPr>
          <w:rFonts w:ascii="Georgia" w:eastAsiaTheme="minorEastAsia" w:hAnsi="Georgia" w:cs="Arial"/>
          <w:lang w:val="en-GB"/>
        </w:rPr>
        <w:t>Krznaric</w:t>
      </w:r>
      <w:proofErr w:type="spellEnd"/>
      <w:r w:rsidRPr="009C0DC4">
        <w:rPr>
          <w:rFonts w:ascii="Georgia" w:eastAsiaTheme="minorEastAsia" w:hAnsi="Georgia" w:cs="Arial"/>
          <w:lang w:val="en-GB"/>
        </w:rPr>
        <w:t>, R.</w:t>
      </w:r>
      <w:r w:rsidR="00CC1900">
        <w:rPr>
          <w:rFonts w:ascii="Georgia" w:eastAsiaTheme="minorEastAsia" w:hAnsi="Georgia" w:cs="Arial"/>
          <w:lang w:val="en-GB"/>
        </w:rPr>
        <w:t xml:space="preserve">, </w:t>
      </w:r>
      <w:r w:rsidRPr="009C0DC4">
        <w:rPr>
          <w:rFonts w:ascii="Georgia" w:eastAsiaTheme="minorEastAsia" w:hAnsi="Georgia" w:cs="Arial"/>
          <w:lang w:val="en-GB"/>
        </w:rPr>
        <w:t xml:space="preserve">(2020). </w:t>
      </w:r>
      <w:r w:rsidRPr="009C0DC4">
        <w:rPr>
          <w:rFonts w:ascii="Georgia" w:eastAsiaTheme="minorEastAsia" w:hAnsi="Georgia" w:cs="Arial"/>
          <w:i/>
          <w:iCs/>
          <w:lang w:val="en-GB"/>
        </w:rPr>
        <w:t xml:space="preserve">The Good Ancestor: How to Think Long Term in a Short-Term World. </w:t>
      </w:r>
      <w:r w:rsidR="009C0DC4" w:rsidRPr="009C0DC4">
        <w:rPr>
          <w:rFonts w:ascii="Georgia" w:eastAsiaTheme="minorEastAsia" w:hAnsi="Georgia" w:cs="Arial"/>
          <w:lang w:val="en-GB"/>
        </w:rPr>
        <w:t>Penguin Random House</w:t>
      </w:r>
    </w:p>
    <w:p w14:paraId="0194AAD6" w14:textId="6E8D0AFC" w:rsidR="00CC1900" w:rsidRPr="00CC1900" w:rsidRDefault="00CC1900" w:rsidP="00CC1900">
      <w:pPr>
        <w:pStyle w:val="MDPI71References"/>
        <w:numPr>
          <w:ilvl w:val="0"/>
          <w:numId w:val="0"/>
        </w:numPr>
        <w:ind w:left="425" w:hanging="425"/>
        <w:rPr>
          <w:rFonts w:ascii="Georgia" w:eastAsiaTheme="minorEastAsia" w:hAnsi="Georgia" w:cs="Arial"/>
          <w:lang w:val="en-GB"/>
        </w:rPr>
      </w:pPr>
      <w:r w:rsidRPr="00CC1900">
        <w:rPr>
          <w:rFonts w:ascii="Georgia" w:eastAsiaTheme="minorEastAsia" w:hAnsi="Georgia" w:cs="Arial"/>
          <w:lang w:val="en-GB"/>
        </w:rPr>
        <w:t xml:space="preserve">Thompson, </w:t>
      </w:r>
      <w:proofErr w:type="gramStart"/>
      <w:r>
        <w:rPr>
          <w:rFonts w:ascii="Georgia" w:eastAsiaTheme="minorEastAsia" w:hAnsi="Georgia" w:cs="Arial"/>
          <w:lang w:val="en-GB"/>
        </w:rPr>
        <w:t>J.,(</w:t>
      </w:r>
      <w:proofErr w:type="gramEnd"/>
      <w:r>
        <w:rPr>
          <w:rFonts w:ascii="Georgia" w:eastAsiaTheme="minorEastAsia" w:hAnsi="Georgia" w:cs="Arial"/>
          <w:lang w:val="en-GB"/>
        </w:rPr>
        <w:t xml:space="preserve">2019). </w:t>
      </w:r>
      <w:r w:rsidRPr="00CC1900">
        <w:rPr>
          <w:rFonts w:ascii="Georgia" w:eastAsiaTheme="minorEastAsia" w:hAnsi="Georgia" w:cs="Arial"/>
          <w:i/>
          <w:iCs/>
          <w:lang w:val="en-GB"/>
        </w:rPr>
        <w:t>Narratives of Architectural Education: From Student to Architect</w:t>
      </w:r>
      <w:r w:rsidRPr="00CC1900">
        <w:rPr>
          <w:rFonts w:ascii="Georgia" w:eastAsiaTheme="minorEastAsia" w:hAnsi="Georgia" w:cs="Arial"/>
          <w:lang w:val="en-GB"/>
        </w:rPr>
        <w:t>. United States:</w:t>
      </w:r>
      <w:r>
        <w:rPr>
          <w:rFonts w:ascii="Georgia" w:eastAsiaTheme="minorEastAsia" w:hAnsi="Georgia" w:cs="Arial"/>
          <w:lang w:val="en-GB"/>
        </w:rPr>
        <w:t xml:space="preserve"> </w:t>
      </w:r>
      <w:r w:rsidRPr="00CC1900">
        <w:rPr>
          <w:rFonts w:ascii="Georgia" w:eastAsiaTheme="minorEastAsia" w:hAnsi="Georgia" w:cs="Arial"/>
          <w:lang w:val="en-GB"/>
        </w:rPr>
        <w:t>Taylor &amp; Francis</w:t>
      </w:r>
      <w:r>
        <w:rPr>
          <w:rFonts w:ascii="Georgia" w:eastAsiaTheme="minorEastAsia" w:hAnsi="Georgia" w:cs="Arial"/>
          <w:lang w:val="en-GB"/>
        </w:rPr>
        <w:t>.</w:t>
      </w:r>
    </w:p>
    <w:p w14:paraId="18132AD8" w14:textId="6DD12E01" w:rsidR="00CC1900" w:rsidRPr="00CC1900" w:rsidRDefault="00CC1900" w:rsidP="00CC1900">
      <w:pPr>
        <w:pStyle w:val="MDPI71References"/>
        <w:numPr>
          <w:ilvl w:val="0"/>
          <w:numId w:val="0"/>
        </w:numPr>
        <w:rPr>
          <w:rFonts w:ascii="Georgia" w:eastAsiaTheme="minorEastAsia" w:hAnsi="Georgia" w:cs="Arial"/>
          <w:lang w:val="en-GB"/>
        </w:rPr>
      </w:pPr>
      <w:r w:rsidRPr="00CC1900">
        <w:rPr>
          <w:rFonts w:ascii="Georgia" w:eastAsiaTheme="minorEastAsia" w:hAnsi="Georgia" w:cs="Arial"/>
          <w:lang w:val="en-GB"/>
        </w:rPr>
        <w:t xml:space="preserve">Leitch </w:t>
      </w:r>
      <w:proofErr w:type="gramStart"/>
      <w:r>
        <w:rPr>
          <w:rFonts w:ascii="Georgia" w:eastAsiaTheme="minorEastAsia" w:hAnsi="Georgia" w:cs="Arial"/>
          <w:lang w:val="en-GB"/>
        </w:rPr>
        <w:t>R,.</w:t>
      </w:r>
      <w:proofErr w:type="gramEnd"/>
      <w:r>
        <w:rPr>
          <w:rFonts w:ascii="Georgia" w:eastAsiaTheme="minorEastAsia" w:hAnsi="Georgia" w:cs="Arial"/>
          <w:lang w:val="en-GB"/>
        </w:rPr>
        <w:t xml:space="preserve"> </w:t>
      </w:r>
      <w:r w:rsidRPr="00CC1900">
        <w:rPr>
          <w:rFonts w:ascii="Georgia" w:eastAsiaTheme="minorEastAsia" w:hAnsi="Georgia" w:cs="Arial"/>
          <w:lang w:val="en-GB"/>
        </w:rPr>
        <w:t>Day</w:t>
      </w:r>
      <w:r>
        <w:rPr>
          <w:rFonts w:ascii="Georgia" w:eastAsiaTheme="minorEastAsia" w:hAnsi="Georgia" w:cs="Arial"/>
          <w:lang w:val="en-GB"/>
        </w:rPr>
        <w:t xml:space="preserve">, </w:t>
      </w:r>
      <w:proofErr w:type="gramStart"/>
      <w:r>
        <w:rPr>
          <w:rFonts w:ascii="Georgia" w:eastAsiaTheme="minorEastAsia" w:hAnsi="Georgia" w:cs="Arial"/>
          <w:lang w:val="en-GB"/>
        </w:rPr>
        <w:t>C.,</w:t>
      </w:r>
      <w:r w:rsidRPr="00CC1900">
        <w:rPr>
          <w:rFonts w:ascii="Georgia" w:eastAsiaTheme="minorEastAsia" w:hAnsi="Georgia" w:cs="Arial"/>
          <w:lang w:val="en-GB"/>
        </w:rPr>
        <w:t>(</w:t>
      </w:r>
      <w:proofErr w:type="gramEnd"/>
      <w:r w:rsidRPr="00CC1900">
        <w:rPr>
          <w:rFonts w:ascii="Georgia" w:eastAsiaTheme="minorEastAsia" w:hAnsi="Georgia" w:cs="Arial"/>
          <w:lang w:val="en-GB"/>
        </w:rPr>
        <w:t xml:space="preserve">2000) </w:t>
      </w:r>
      <w:r w:rsidRPr="00CC1900">
        <w:rPr>
          <w:rFonts w:ascii="Georgia" w:eastAsiaTheme="minorEastAsia" w:hAnsi="Georgia" w:cs="Arial"/>
          <w:i/>
          <w:iCs/>
          <w:lang w:val="en-GB"/>
        </w:rPr>
        <w:t>Action research and reflective practice: towards a holistic view</w:t>
      </w:r>
      <w:r w:rsidRPr="00CC1900">
        <w:rPr>
          <w:rFonts w:ascii="Georgia" w:eastAsiaTheme="minorEastAsia" w:hAnsi="Georgia" w:cs="Arial"/>
          <w:lang w:val="en-GB"/>
        </w:rPr>
        <w:t>, Educational Action Research, 8:1, 179-193</w:t>
      </w:r>
      <w:r>
        <w:rPr>
          <w:rFonts w:ascii="Georgia" w:eastAsiaTheme="minorEastAsia" w:hAnsi="Georgia" w:cs="Arial"/>
          <w:lang w:val="en-GB"/>
        </w:rPr>
        <w:t>.</w:t>
      </w:r>
    </w:p>
    <w:p w14:paraId="6A47C262" w14:textId="108BD4F8" w:rsidR="00CC1900" w:rsidRDefault="00AA116C" w:rsidP="00AA116C">
      <w:pPr>
        <w:pStyle w:val="MDPI71References"/>
        <w:numPr>
          <w:ilvl w:val="0"/>
          <w:numId w:val="0"/>
        </w:numPr>
        <w:ind w:left="425" w:hanging="425"/>
        <w:rPr>
          <w:rFonts w:ascii="Georgia" w:eastAsiaTheme="minorEastAsia" w:hAnsi="Georgia" w:cs="Arial"/>
          <w:lang w:val="en-GB"/>
        </w:rPr>
      </w:pPr>
      <w:proofErr w:type="spellStart"/>
      <w:r>
        <w:rPr>
          <w:rFonts w:ascii="Georgia" w:eastAsiaTheme="minorEastAsia" w:hAnsi="Georgia" w:cs="Arial"/>
          <w:lang w:val="en-GB"/>
        </w:rPr>
        <w:t>Trayner</w:t>
      </w:r>
      <w:proofErr w:type="spellEnd"/>
      <w:r>
        <w:rPr>
          <w:rFonts w:ascii="Georgia" w:eastAsiaTheme="minorEastAsia" w:hAnsi="Georgia" w:cs="Arial"/>
          <w:lang w:val="en-GB"/>
        </w:rPr>
        <w:t xml:space="preserve">, W. (2015) </w:t>
      </w:r>
      <w:r w:rsidR="00CC1900" w:rsidRPr="00AA116C">
        <w:rPr>
          <w:rFonts w:ascii="Georgia" w:eastAsiaTheme="minorEastAsia" w:hAnsi="Georgia" w:cs="Arial"/>
          <w:i/>
          <w:iCs/>
          <w:lang w:val="en-GB"/>
        </w:rPr>
        <w:t>Evaluating communities of practice</w:t>
      </w:r>
      <w:r w:rsidR="00CC1900" w:rsidRPr="00CC1900">
        <w:rPr>
          <w:rFonts w:ascii="Georgia" w:eastAsiaTheme="minorEastAsia" w:hAnsi="Georgia" w:cs="Arial"/>
          <w:lang w:val="en-GB"/>
        </w:rPr>
        <w:t xml:space="preserve"> </w:t>
      </w:r>
      <w:r>
        <w:rPr>
          <w:rFonts w:ascii="Georgia" w:eastAsiaTheme="minorEastAsia" w:hAnsi="Georgia" w:cs="Arial"/>
          <w:lang w:val="en-GB"/>
        </w:rPr>
        <w:t xml:space="preserve"> </w:t>
      </w:r>
      <w:hyperlink r:id="rId24" w:history="1">
        <w:r w:rsidRPr="00217405">
          <w:rPr>
            <w:rStyle w:val="Hyperlink"/>
            <w:rFonts w:ascii="Georgia" w:eastAsiaTheme="minorEastAsia" w:hAnsi="Georgia" w:cs="Arial"/>
            <w:lang w:val="en-GB"/>
          </w:rPr>
          <w:t>https://wenger-trayner.com/introduction-to-communities-of-practice/</w:t>
        </w:r>
      </w:hyperlink>
    </w:p>
    <w:p w14:paraId="010DDCE1" w14:textId="77777777" w:rsidR="00AA116C" w:rsidRPr="00CC1900" w:rsidRDefault="00AA116C" w:rsidP="00AA116C">
      <w:pPr>
        <w:pStyle w:val="MDPI71References"/>
        <w:numPr>
          <w:ilvl w:val="0"/>
          <w:numId w:val="0"/>
        </w:numPr>
        <w:ind w:left="425" w:hanging="425"/>
        <w:rPr>
          <w:rFonts w:ascii="Georgia" w:eastAsiaTheme="minorEastAsia" w:hAnsi="Georgia" w:cs="Arial"/>
          <w:lang w:val="en-GB"/>
        </w:rPr>
      </w:pPr>
    </w:p>
    <w:p w14:paraId="663B530E" w14:textId="77777777" w:rsidR="009C0DC4" w:rsidRPr="00350186" w:rsidRDefault="009C0DC4" w:rsidP="00FD00D8">
      <w:pPr>
        <w:pStyle w:val="MDPI71References"/>
        <w:numPr>
          <w:ilvl w:val="0"/>
          <w:numId w:val="0"/>
        </w:numPr>
        <w:rPr>
          <w:rFonts w:ascii="Georgia" w:eastAsiaTheme="minorEastAsia" w:hAnsi="Georgia" w:cs="Arial"/>
          <w:highlight w:val="yellow"/>
          <w:lang w:val="en-GB"/>
        </w:rPr>
      </w:pPr>
    </w:p>
    <w:p w14:paraId="0E27B00A" w14:textId="77777777" w:rsidR="00A86E9F" w:rsidRPr="005C6417" w:rsidRDefault="00A86E9F" w:rsidP="009C0DC4">
      <w:pPr>
        <w:pStyle w:val="MDPI71References"/>
        <w:numPr>
          <w:ilvl w:val="0"/>
          <w:numId w:val="0"/>
        </w:numPr>
        <w:rPr>
          <w:rFonts w:ascii="Georgia" w:eastAsiaTheme="minorEastAsia" w:hAnsi="Georgia" w:cs="Arial"/>
          <w:highlight w:val="yellow"/>
        </w:rPr>
      </w:pPr>
    </w:p>
    <w:sectPr w:rsidR="00A86E9F" w:rsidRPr="005C6417" w:rsidSect="000C1BF3">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8124" w14:textId="77777777" w:rsidR="0001528E" w:rsidRDefault="0001528E">
      <w:r>
        <w:separator/>
      </w:r>
    </w:p>
  </w:endnote>
  <w:endnote w:type="continuationSeparator" w:id="0">
    <w:p w14:paraId="64473049" w14:textId="77777777" w:rsidR="0001528E" w:rsidRDefault="0001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3C84" w14:textId="77777777" w:rsidR="000547D8" w:rsidRDefault="0005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475C" w14:textId="77777777" w:rsidR="000547D8" w:rsidRDefault="00054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77777777" w:rsidR="00C45F1E" w:rsidRPr="008B308E" w:rsidRDefault="00165C16" w:rsidP="00BA570C">
    <w:pPr>
      <w:pStyle w:val="MDPIfooterfirstpage"/>
      <w:tabs>
        <w:tab w:val="clear" w:pos="8845"/>
        <w:tab w:val="right" w:pos="10466"/>
      </w:tabs>
      <w:spacing w:line="240" w:lineRule="auto"/>
      <w:jc w:val="both"/>
      <w:rPr>
        <w:lang w:val="fr-CH"/>
      </w:rPr>
    </w:pPr>
    <w:r w:rsidRPr="00F34258">
      <w:rPr>
        <w:bCs/>
        <w:iCs/>
        <w:szCs w:val="16"/>
        <w:highlight w:val="lightGray"/>
      </w:rPr>
      <w:t xml:space="preserve">DOI: </w:t>
    </w:r>
    <w:r w:rsidR="00281E5B" w:rsidRPr="00F34258">
      <w:rPr>
        <w:bCs/>
        <w:iCs/>
        <w:szCs w:val="16"/>
        <w:highlight w:val="lightGray"/>
      </w:rPr>
      <w:t>https://doi.org/</w:t>
    </w:r>
    <w:r w:rsidRPr="00F34258">
      <w:rPr>
        <w:bCs/>
        <w:iCs/>
        <w:szCs w:val="16"/>
        <w:highlight w:val="lightGray"/>
      </w:rPr>
      <w:t>xxxxx</w:t>
    </w:r>
    <w:r w:rsidR="00281E5B" w:rsidRPr="00F34258">
      <w:rPr>
        <w:bCs/>
        <w:iCs/>
        <w:szCs w:val="16"/>
        <w:highlight w:val="lightGray"/>
      </w:rPr>
      <w:t>/xxxxx</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1A4E" w14:textId="77777777" w:rsidR="0001528E" w:rsidRDefault="0001528E">
      <w:r>
        <w:separator/>
      </w:r>
    </w:p>
  </w:footnote>
  <w:footnote w:type="continuationSeparator" w:id="0">
    <w:p w14:paraId="3A24FCFB" w14:textId="77777777" w:rsidR="0001528E" w:rsidRDefault="0001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4B7AD480" w:rsidR="00281E5B" w:rsidRDefault="00BA570C" w:rsidP="00BA570C">
    <w:pPr>
      <w:tabs>
        <w:tab w:val="right" w:pos="10466"/>
      </w:tabs>
      <w:adjustRightInd w:val="0"/>
      <w:snapToGrid w:val="0"/>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74C48">
      <w:rPr>
        <w:sz w:val="16"/>
      </w:rPr>
      <w:t>3</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74C48">
      <w:rPr>
        <w:sz w:val="16"/>
      </w:rPr>
      <w:t>3</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Header"/>
            <w:pBdr>
              <w:bottom w:val="none" w:sz="0" w:space="0" w:color="auto"/>
            </w:pBdr>
            <w:jc w:val="left"/>
            <w:rPr>
              <w:rFonts w:eastAsia="DengXian"/>
              <w:b/>
              <w:bCs/>
            </w:rPr>
          </w:pPr>
          <w:r>
            <w:rPr>
              <w:lang w:val="en-GB" w:eastAsia="en-GB"/>
            </w:rPr>
            <w:drawing>
              <wp:inline distT="0" distB="0" distL="0" distR="0" wp14:anchorId="1F2289C4" wp14:editId="7179243F">
                <wp:extent cx="451796" cy="73930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4866B33"/>
    <w:multiLevelType w:val="hybridMultilevel"/>
    <w:tmpl w:val="A63838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84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EB3251B"/>
    <w:multiLevelType w:val="hybridMultilevel"/>
    <w:tmpl w:val="88F24C8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529027020">
    <w:abstractNumId w:val="4"/>
  </w:num>
  <w:num w:numId="2" w16cid:durableId="1490249449">
    <w:abstractNumId w:val="6"/>
  </w:num>
  <w:num w:numId="3" w16cid:durableId="923877114">
    <w:abstractNumId w:val="3"/>
  </w:num>
  <w:num w:numId="4" w16cid:durableId="733161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134580">
    <w:abstractNumId w:val="5"/>
  </w:num>
  <w:num w:numId="6" w16cid:durableId="2054579289">
    <w:abstractNumId w:val="9"/>
  </w:num>
  <w:num w:numId="7" w16cid:durableId="561331122">
    <w:abstractNumId w:val="1"/>
  </w:num>
  <w:num w:numId="8" w16cid:durableId="919103273">
    <w:abstractNumId w:val="9"/>
  </w:num>
  <w:num w:numId="9" w16cid:durableId="1583830837">
    <w:abstractNumId w:val="1"/>
  </w:num>
  <w:num w:numId="10" w16cid:durableId="1967732235">
    <w:abstractNumId w:val="9"/>
  </w:num>
  <w:num w:numId="11" w16cid:durableId="1188831501">
    <w:abstractNumId w:val="1"/>
  </w:num>
  <w:num w:numId="12" w16cid:durableId="1340500825">
    <w:abstractNumId w:val="11"/>
  </w:num>
  <w:num w:numId="13" w16cid:durableId="1537160984">
    <w:abstractNumId w:val="9"/>
  </w:num>
  <w:num w:numId="14" w16cid:durableId="1418287895">
    <w:abstractNumId w:val="1"/>
  </w:num>
  <w:num w:numId="15" w16cid:durableId="1295259421">
    <w:abstractNumId w:val="0"/>
  </w:num>
  <w:num w:numId="16" w16cid:durableId="83499428">
    <w:abstractNumId w:val="8"/>
  </w:num>
  <w:num w:numId="17" w16cid:durableId="910191627">
    <w:abstractNumId w:val="10"/>
  </w:num>
  <w:num w:numId="18" w16cid:durableId="1668943840">
    <w:abstractNumId w:val="0"/>
  </w:num>
  <w:num w:numId="19" w16cid:durableId="1597516239">
    <w:abstractNumId w:val="0"/>
  </w:num>
  <w:num w:numId="20" w16cid:durableId="1144590676">
    <w:abstractNumId w:val="0"/>
  </w:num>
  <w:num w:numId="21" w16cid:durableId="556431679">
    <w:abstractNumId w:val="0"/>
  </w:num>
  <w:num w:numId="22" w16cid:durableId="395250126">
    <w:abstractNumId w:val="0"/>
  </w:num>
  <w:num w:numId="23" w16cid:durableId="279456379">
    <w:abstractNumId w:val="0"/>
  </w:num>
  <w:num w:numId="24" w16cid:durableId="158813493">
    <w:abstractNumId w:val="2"/>
  </w:num>
  <w:num w:numId="25" w16cid:durableId="1613853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47F2"/>
    <w:rsid w:val="000142CA"/>
    <w:rsid w:val="0001528E"/>
    <w:rsid w:val="00020CE2"/>
    <w:rsid w:val="00037AE6"/>
    <w:rsid w:val="00051876"/>
    <w:rsid w:val="000547D8"/>
    <w:rsid w:val="00064772"/>
    <w:rsid w:val="00071218"/>
    <w:rsid w:val="00080EFC"/>
    <w:rsid w:val="000855EA"/>
    <w:rsid w:val="000925CA"/>
    <w:rsid w:val="00093E7F"/>
    <w:rsid w:val="000C0649"/>
    <w:rsid w:val="000C1BF3"/>
    <w:rsid w:val="000F41B0"/>
    <w:rsid w:val="00104D24"/>
    <w:rsid w:val="00114997"/>
    <w:rsid w:val="00120E2E"/>
    <w:rsid w:val="0014459E"/>
    <w:rsid w:val="00165C16"/>
    <w:rsid w:val="001664C3"/>
    <w:rsid w:val="00173731"/>
    <w:rsid w:val="00173D3A"/>
    <w:rsid w:val="00174FB3"/>
    <w:rsid w:val="00185980"/>
    <w:rsid w:val="00196260"/>
    <w:rsid w:val="0019641B"/>
    <w:rsid w:val="001A1BB3"/>
    <w:rsid w:val="001A27B2"/>
    <w:rsid w:val="001A57BF"/>
    <w:rsid w:val="001A60C0"/>
    <w:rsid w:val="001B38D4"/>
    <w:rsid w:val="001C7DC1"/>
    <w:rsid w:val="001D057B"/>
    <w:rsid w:val="001D7864"/>
    <w:rsid w:val="001E2AEB"/>
    <w:rsid w:val="00204327"/>
    <w:rsid w:val="00206552"/>
    <w:rsid w:val="002175AE"/>
    <w:rsid w:val="00224F2A"/>
    <w:rsid w:val="0022638C"/>
    <w:rsid w:val="002266AA"/>
    <w:rsid w:val="002316BB"/>
    <w:rsid w:val="00247D4E"/>
    <w:rsid w:val="00253CA3"/>
    <w:rsid w:val="00256E65"/>
    <w:rsid w:val="00281E5B"/>
    <w:rsid w:val="00291EF1"/>
    <w:rsid w:val="0029420B"/>
    <w:rsid w:val="002946F8"/>
    <w:rsid w:val="002A1066"/>
    <w:rsid w:val="002A261A"/>
    <w:rsid w:val="002B6215"/>
    <w:rsid w:val="002D1DE1"/>
    <w:rsid w:val="002D650D"/>
    <w:rsid w:val="002E57DB"/>
    <w:rsid w:val="002E5B86"/>
    <w:rsid w:val="002F1BFE"/>
    <w:rsid w:val="00301DFD"/>
    <w:rsid w:val="00303512"/>
    <w:rsid w:val="00316C89"/>
    <w:rsid w:val="00326141"/>
    <w:rsid w:val="00330A75"/>
    <w:rsid w:val="003337EA"/>
    <w:rsid w:val="00334369"/>
    <w:rsid w:val="003350E9"/>
    <w:rsid w:val="00337833"/>
    <w:rsid w:val="00350186"/>
    <w:rsid w:val="00352240"/>
    <w:rsid w:val="00354A5A"/>
    <w:rsid w:val="00390201"/>
    <w:rsid w:val="0039285D"/>
    <w:rsid w:val="003D1D40"/>
    <w:rsid w:val="003D60EE"/>
    <w:rsid w:val="003E61CD"/>
    <w:rsid w:val="003E7640"/>
    <w:rsid w:val="003F4EFE"/>
    <w:rsid w:val="003F6C3A"/>
    <w:rsid w:val="0040015C"/>
    <w:rsid w:val="00401235"/>
    <w:rsid w:val="00401D30"/>
    <w:rsid w:val="0041133D"/>
    <w:rsid w:val="004136C6"/>
    <w:rsid w:val="004215E7"/>
    <w:rsid w:val="00423AFF"/>
    <w:rsid w:val="00425371"/>
    <w:rsid w:val="00427AFA"/>
    <w:rsid w:val="00431D81"/>
    <w:rsid w:val="004752C1"/>
    <w:rsid w:val="0048108F"/>
    <w:rsid w:val="004B0B17"/>
    <w:rsid w:val="004B4287"/>
    <w:rsid w:val="004C3F57"/>
    <w:rsid w:val="004C46B1"/>
    <w:rsid w:val="004E0F98"/>
    <w:rsid w:val="004E21A1"/>
    <w:rsid w:val="004F0E02"/>
    <w:rsid w:val="004F2BEA"/>
    <w:rsid w:val="005028E5"/>
    <w:rsid w:val="00502EEE"/>
    <w:rsid w:val="00511E44"/>
    <w:rsid w:val="005327C9"/>
    <w:rsid w:val="00540310"/>
    <w:rsid w:val="005539D4"/>
    <w:rsid w:val="005655CA"/>
    <w:rsid w:val="005660F6"/>
    <w:rsid w:val="00583714"/>
    <w:rsid w:val="00587515"/>
    <w:rsid w:val="005C6417"/>
    <w:rsid w:val="005D13A9"/>
    <w:rsid w:val="005D2550"/>
    <w:rsid w:val="005D3043"/>
    <w:rsid w:val="005E0240"/>
    <w:rsid w:val="005E14E8"/>
    <w:rsid w:val="005E1CAB"/>
    <w:rsid w:val="005E4ECB"/>
    <w:rsid w:val="00604EDE"/>
    <w:rsid w:val="00607F24"/>
    <w:rsid w:val="006200FA"/>
    <w:rsid w:val="006204BC"/>
    <w:rsid w:val="00632077"/>
    <w:rsid w:val="006429BB"/>
    <w:rsid w:val="0065665B"/>
    <w:rsid w:val="0066370A"/>
    <w:rsid w:val="006744FB"/>
    <w:rsid w:val="006777A9"/>
    <w:rsid w:val="00692393"/>
    <w:rsid w:val="006A46CE"/>
    <w:rsid w:val="006A7FF4"/>
    <w:rsid w:val="006D2B75"/>
    <w:rsid w:val="006E142A"/>
    <w:rsid w:val="00726439"/>
    <w:rsid w:val="007340FB"/>
    <w:rsid w:val="00740B6F"/>
    <w:rsid w:val="007413C0"/>
    <w:rsid w:val="0075794E"/>
    <w:rsid w:val="007628E6"/>
    <w:rsid w:val="0076686D"/>
    <w:rsid w:val="007674BF"/>
    <w:rsid w:val="00770948"/>
    <w:rsid w:val="0077402B"/>
    <w:rsid w:val="007A108C"/>
    <w:rsid w:val="007A283C"/>
    <w:rsid w:val="007A2999"/>
    <w:rsid w:val="007D2775"/>
    <w:rsid w:val="007D662B"/>
    <w:rsid w:val="007E1AD0"/>
    <w:rsid w:val="007E5740"/>
    <w:rsid w:val="00816D50"/>
    <w:rsid w:val="00820D50"/>
    <w:rsid w:val="00820D6E"/>
    <w:rsid w:val="00822B3D"/>
    <w:rsid w:val="0082368F"/>
    <w:rsid w:val="00832857"/>
    <w:rsid w:val="00840934"/>
    <w:rsid w:val="00841933"/>
    <w:rsid w:val="008473BB"/>
    <w:rsid w:val="008523BB"/>
    <w:rsid w:val="008838CF"/>
    <w:rsid w:val="0089344C"/>
    <w:rsid w:val="008B5125"/>
    <w:rsid w:val="008C0A31"/>
    <w:rsid w:val="008F446B"/>
    <w:rsid w:val="0090202C"/>
    <w:rsid w:val="00903E31"/>
    <w:rsid w:val="00933E2C"/>
    <w:rsid w:val="00956613"/>
    <w:rsid w:val="00964A28"/>
    <w:rsid w:val="00982453"/>
    <w:rsid w:val="00993140"/>
    <w:rsid w:val="00993A21"/>
    <w:rsid w:val="009B16DB"/>
    <w:rsid w:val="009B7A35"/>
    <w:rsid w:val="009C02BB"/>
    <w:rsid w:val="009C0DC4"/>
    <w:rsid w:val="009D0DA8"/>
    <w:rsid w:val="009D5560"/>
    <w:rsid w:val="009E7E90"/>
    <w:rsid w:val="009F70E6"/>
    <w:rsid w:val="00A04FD6"/>
    <w:rsid w:val="00A0751C"/>
    <w:rsid w:val="00A344F3"/>
    <w:rsid w:val="00A36565"/>
    <w:rsid w:val="00A52CA5"/>
    <w:rsid w:val="00A52DE0"/>
    <w:rsid w:val="00A65307"/>
    <w:rsid w:val="00A70B08"/>
    <w:rsid w:val="00A80D0E"/>
    <w:rsid w:val="00A86E9F"/>
    <w:rsid w:val="00AA116C"/>
    <w:rsid w:val="00AA684A"/>
    <w:rsid w:val="00AE46EB"/>
    <w:rsid w:val="00AE752A"/>
    <w:rsid w:val="00AF0644"/>
    <w:rsid w:val="00AF5A91"/>
    <w:rsid w:val="00B00AFB"/>
    <w:rsid w:val="00B00B05"/>
    <w:rsid w:val="00B04AC6"/>
    <w:rsid w:val="00B21347"/>
    <w:rsid w:val="00B43474"/>
    <w:rsid w:val="00B471AF"/>
    <w:rsid w:val="00B4734C"/>
    <w:rsid w:val="00B84F5A"/>
    <w:rsid w:val="00B850EB"/>
    <w:rsid w:val="00BA570C"/>
    <w:rsid w:val="00BB5981"/>
    <w:rsid w:val="00BC5801"/>
    <w:rsid w:val="00BC62A9"/>
    <w:rsid w:val="00BD2405"/>
    <w:rsid w:val="00BD5735"/>
    <w:rsid w:val="00BD5BEB"/>
    <w:rsid w:val="00BD68D2"/>
    <w:rsid w:val="00BE0791"/>
    <w:rsid w:val="00C02A07"/>
    <w:rsid w:val="00C036E8"/>
    <w:rsid w:val="00C0462B"/>
    <w:rsid w:val="00C30591"/>
    <w:rsid w:val="00C34D12"/>
    <w:rsid w:val="00C36CD1"/>
    <w:rsid w:val="00C43255"/>
    <w:rsid w:val="00C45F1E"/>
    <w:rsid w:val="00C600B5"/>
    <w:rsid w:val="00C74C48"/>
    <w:rsid w:val="00C76A02"/>
    <w:rsid w:val="00C7753A"/>
    <w:rsid w:val="00C8316E"/>
    <w:rsid w:val="00C87340"/>
    <w:rsid w:val="00C90EAB"/>
    <w:rsid w:val="00C90F92"/>
    <w:rsid w:val="00C9601A"/>
    <w:rsid w:val="00CA6896"/>
    <w:rsid w:val="00CB2683"/>
    <w:rsid w:val="00CC1900"/>
    <w:rsid w:val="00CD3203"/>
    <w:rsid w:val="00CE1104"/>
    <w:rsid w:val="00CE7302"/>
    <w:rsid w:val="00D07230"/>
    <w:rsid w:val="00D223A8"/>
    <w:rsid w:val="00D2684C"/>
    <w:rsid w:val="00D26E27"/>
    <w:rsid w:val="00D32E9B"/>
    <w:rsid w:val="00D44E06"/>
    <w:rsid w:val="00D45B62"/>
    <w:rsid w:val="00D92691"/>
    <w:rsid w:val="00D94F8A"/>
    <w:rsid w:val="00D95765"/>
    <w:rsid w:val="00DB04E8"/>
    <w:rsid w:val="00DC0733"/>
    <w:rsid w:val="00DC1B34"/>
    <w:rsid w:val="00DC426C"/>
    <w:rsid w:val="00DC5535"/>
    <w:rsid w:val="00DD401E"/>
    <w:rsid w:val="00E034CE"/>
    <w:rsid w:val="00E11356"/>
    <w:rsid w:val="00E16B0D"/>
    <w:rsid w:val="00E22508"/>
    <w:rsid w:val="00E30E54"/>
    <w:rsid w:val="00E70428"/>
    <w:rsid w:val="00E943BD"/>
    <w:rsid w:val="00E94AAD"/>
    <w:rsid w:val="00EA77BB"/>
    <w:rsid w:val="00EF7C2A"/>
    <w:rsid w:val="00F10864"/>
    <w:rsid w:val="00F25D88"/>
    <w:rsid w:val="00F34258"/>
    <w:rsid w:val="00F5188E"/>
    <w:rsid w:val="00F528DD"/>
    <w:rsid w:val="00F5481B"/>
    <w:rsid w:val="00F577FD"/>
    <w:rsid w:val="00F57906"/>
    <w:rsid w:val="00F658F9"/>
    <w:rsid w:val="00F822A1"/>
    <w:rsid w:val="00F9599C"/>
    <w:rsid w:val="00FB4895"/>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50"/>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pPr>
    <w:rPr>
      <w:rFonts w:ascii="Palatino Linotype" w:hAnsi="Palatino Linotype"/>
      <w:color w:val="000000"/>
      <w:sz w:val="14"/>
      <w:szCs w:val="20"/>
      <w:lang w:val="en-US"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rFonts w:ascii="Palatino Linotype" w:eastAsia="SimSun" w:hAnsi="Palatino Linotype"/>
      <w:noProof/>
      <w:color w:val="000000"/>
      <w:sz w:val="20"/>
      <w:szCs w:val="18"/>
      <w:lang w:val="en-US" w:eastAsia="zh-CN"/>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pPr>
      <w:spacing w:line="260" w:lineRule="atLeast"/>
      <w:jc w:val="both"/>
    </w:pPr>
    <w:rPr>
      <w:rFonts w:ascii="Palatino Linotype" w:eastAsia="SimSun" w:hAnsi="Palatino Linotype" w:cs="Tahoma"/>
      <w:noProof/>
      <w:color w:val="000000"/>
      <w:sz w:val="20"/>
      <w:szCs w:val="18"/>
      <w:lang w:val="en-US" w:eastAsia="zh-CN"/>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jc w:val="both"/>
    </w:pPr>
    <w:rPr>
      <w:rFonts w:ascii="Palatino Linotype" w:eastAsia="SimSun" w:hAnsi="Palatino Linotype"/>
      <w:noProof/>
      <w:color w:val="000000"/>
      <w:sz w:val="20"/>
      <w:szCs w:val="18"/>
      <w:lang w:val="en-US" w:eastAsia="zh-CN"/>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pPr>
      <w:spacing w:line="260" w:lineRule="atLeast"/>
      <w:jc w:val="both"/>
    </w:pPr>
    <w:rPr>
      <w:rFonts w:ascii="Palatino Linotype" w:eastAsia="SimSun" w:hAnsi="Palatino Linotype"/>
      <w:noProof/>
      <w:color w:val="000000"/>
      <w:sz w:val="20"/>
      <w:szCs w:val="20"/>
      <w:lang w:val="en-US" w:eastAsia="zh-CN"/>
    </w:rPr>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pPr>
      <w:spacing w:line="260" w:lineRule="atLeast"/>
      <w:jc w:val="both"/>
    </w:pPr>
    <w:rPr>
      <w:rFonts w:ascii="Palatino Linotype" w:eastAsia="SimSun" w:hAnsi="Palatino Linotype"/>
      <w:noProof/>
      <w:color w:val="000000"/>
      <w:sz w:val="20"/>
      <w:szCs w:val="20"/>
      <w:lang w:val="en-US" w:eastAsia="zh-CN"/>
    </w:rPr>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jc w:val="both"/>
    </w:pPr>
    <w:rPr>
      <w:rFonts w:ascii="Palatino Linotype" w:eastAsia="SimSun" w:hAnsi="Palatino Linotype"/>
      <w:noProof/>
      <w:color w:val="000000"/>
      <w:sz w:val="20"/>
      <w:szCs w:val="20"/>
      <w:lang w:val="en-US" w:eastAsia="zh-CN"/>
    </w:r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jc w:val="both"/>
    </w:pPr>
    <w:rPr>
      <w:rFonts w:ascii="Palatino Linotype" w:eastAsia="SimSun" w:hAnsi="Palatino Linotype"/>
      <w:noProof/>
      <w:color w:val="000000"/>
      <w:sz w:val="20"/>
      <w:szCs w:val="20"/>
      <w:lang w:val="en-US" w:eastAsia="zh-CN"/>
    </w:r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pPr>
      <w:spacing w:line="260" w:lineRule="atLeast"/>
      <w:jc w:val="both"/>
    </w:pPr>
    <w:rPr>
      <w:rFonts w:ascii="Palatino Linotype" w:eastAsia="SimSun" w:hAnsi="Palatino Linotype"/>
      <w:noProof/>
      <w:color w:val="000000"/>
      <w:sz w:val="20"/>
      <w:lang w:val="en-US" w:eastAsia="zh-CN"/>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pPr>
    <w:rPr>
      <w:lang w:val="en-US" w:eastAsia="zh-CN"/>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ind w:left="720" w:hanging="720"/>
      <w:jc w:val="both"/>
    </w:pPr>
    <w:rPr>
      <w:rFonts w:ascii="Bodoni SvtyTwo OS ITC TT-Book" w:hAnsi="Bodoni SvtyTwo OS ITC TT-Book"/>
      <w:sz w:val="20"/>
      <w:lang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spacing w:line="260" w:lineRule="atLeast"/>
      <w:ind w:left="720"/>
      <w:contextualSpacing/>
      <w:jc w:val="both"/>
    </w:pPr>
    <w:rPr>
      <w:rFonts w:ascii="Palatino Linotype" w:eastAsia="SimSun" w:hAnsi="Palatino Linotype"/>
      <w:noProof/>
      <w:color w:val="000000"/>
      <w:sz w:val="20"/>
      <w:szCs w:val="20"/>
      <w:lang w:val="en-US" w:eastAsia="zh-CN"/>
    </w:rPr>
  </w:style>
  <w:style w:type="paragraph" w:styleId="Revision">
    <w:name w:val="Revision"/>
    <w:hidden/>
    <w:uiPriority w:val="99"/>
    <w:semiHidden/>
    <w:rsid w:val="00F10864"/>
    <w:rPr>
      <w:rFonts w:ascii="Palatino Linotype" w:hAnsi="Palatino Linotype"/>
      <w:noProof/>
      <w:color w:val="000000"/>
    </w:rPr>
  </w:style>
  <w:style w:type="character" w:styleId="UnresolvedMention">
    <w:name w:val="Unresolved Mention"/>
    <w:basedOn w:val="DefaultParagraphFont"/>
    <w:uiPriority w:val="99"/>
    <w:semiHidden/>
    <w:unhideWhenUsed/>
    <w:rsid w:val="00820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56951278">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 w:id="2122450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journals.lww.com/academicmedicine/fulltext/2007/11000/viewpoint__linking_professionalism_to_humanism_.5.aspx"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eventbrite.co.uk/e/reframing-dementia-through-co-production-and-design-panel-discussion-%20tickets-15484006580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ypraiou@westminster.ac.uk" TargetMode="External"/><Relationship Id="rId24" Type="http://schemas.openxmlformats.org/officeDocument/2006/relationships/hyperlink" Target="https://wenger-trayner.com/introduction-to-communities-of-practi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s://www.pointofcarefoundation.org.uk/resource/experience-based-co-design-ebcd-toolkit/?gclid=CjwKCAiA1JGRBhBSEiwAxXblwRbGoaZEP-8qtq9oFnr-SlhrLPlDQs8mEKMlzUkItnor65WoKGnQOhoCLacQAvD_Bw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tudiowestminster.org/co-production-2020-202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doi.org/10.1212/WNL.0000000000001298"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B67B5-8A88-1E4E-BEC9-2726725C0A93}">
  <ds:schemaRefs>
    <ds:schemaRef ds:uri="http://schemas.openxmlformats.org/officeDocument/2006/bibliography"/>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Alastair Blyth</cp:lastModifiedBy>
  <cp:revision>3</cp:revision>
  <dcterms:created xsi:type="dcterms:W3CDTF">2022-09-23T11:42:00Z</dcterms:created>
  <dcterms:modified xsi:type="dcterms:W3CDTF">2022-09-23T11:44:00Z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