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3096" w14:textId="4EA7F07E" w:rsidR="004752C1" w:rsidRPr="005C6417" w:rsidRDefault="004752C1" w:rsidP="009F3DD3">
      <w:pPr>
        <w:pStyle w:val="MDPI11articletype"/>
        <w:rPr>
          <w:rFonts w:ascii="Georgia" w:eastAsiaTheme="minorEastAsia" w:hAnsi="Georgia" w:cs="Arial"/>
          <w:i w:val="0"/>
        </w:rPr>
      </w:pPr>
      <w:r w:rsidRPr="00C16026">
        <w:rPr>
          <w:rFonts w:ascii="Georgia" w:eastAsiaTheme="minorEastAsia" w:hAnsi="Georgia" w:cs="Arial"/>
          <w:i w:val="0"/>
        </w:rPr>
        <w:t>Track title:</w:t>
      </w:r>
      <w:r w:rsidR="009F3DD3">
        <w:rPr>
          <w:rFonts w:ascii="Georgia" w:eastAsiaTheme="minorEastAsia" w:hAnsi="Georgia" w:cs="Arial"/>
          <w:i w:val="0"/>
        </w:rPr>
        <w:t xml:space="preserve"> </w:t>
      </w:r>
      <w:r w:rsidR="00CE4A4F" w:rsidRPr="009F3DD3">
        <w:rPr>
          <w:rFonts w:ascii="Georgia" w:eastAsiaTheme="minorEastAsia" w:hAnsi="Georgia" w:cs="Arial"/>
          <w:i w:val="0"/>
        </w:rPr>
        <w:t>Topic 1</w:t>
      </w:r>
      <w:r w:rsidR="009F3DD3" w:rsidRPr="009F3DD3">
        <w:rPr>
          <w:rFonts w:ascii="Georgia" w:eastAsiaTheme="minorEastAsia" w:hAnsi="Georgia" w:cs="Arial"/>
          <w:i w:val="0"/>
        </w:rPr>
        <w:t xml:space="preserve"> </w:t>
      </w:r>
      <w:r w:rsidR="00CE4A4F" w:rsidRPr="009F3DD3">
        <w:rPr>
          <w:rFonts w:ascii="Georgia" w:eastAsiaTheme="minorEastAsia" w:hAnsi="Georgia" w:cs="Arial"/>
          <w:i w:val="0"/>
        </w:rPr>
        <w:t>Integration of needs – inclusive, integrated design enabling health, care and well-being</w:t>
      </w:r>
    </w:p>
    <w:p w14:paraId="672A6659" w14:textId="77777777" w:rsidR="004752C1" w:rsidRPr="005C6417" w:rsidRDefault="004752C1" w:rsidP="004752C1">
      <w:pPr>
        <w:rPr>
          <w:rFonts w:ascii="Georgia" w:eastAsiaTheme="minorEastAsia" w:hAnsi="Georgia" w:cs="Arial"/>
          <w:lang w:eastAsia="de-DE" w:bidi="en-US"/>
        </w:rPr>
      </w:pPr>
    </w:p>
    <w:p w14:paraId="68C6CAA8" w14:textId="77777777" w:rsidR="0013312D" w:rsidRDefault="00CE4A4F" w:rsidP="008C36CA">
      <w:pPr>
        <w:pStyle w:val="MDPI11articletype"/>
        <w:rPr>
          <w:rFonts w:ascii="Georgia" w:eastAsiaTheme="minorEastAsia" w:hAnsi="Georgia" w:cs="Arial"/>
          <w:i w:val="0"/>
          <w:sz w:val="18"/>
          <w:szCs w:val="18"/>
        </w:rPr>
      </w:pPr>
      <w:r w:rsidRPr="00CE4A4F">
        <w:rPr>
          <w:rFonts w:ascii="Georgia" w:eastAsiaTheme="minorEastAsia" w:hAnsi="Georgia" w:cs="Arial"/>
          <w:sz w:val="36"/>
        </w:rPr>
        <w:t>Staff retention – the hidden issue in design and organizing of healthcare facilities</w:t>
      </w:r>
      <w:r w:rsidR="008C36CA" w:rsidRPr="008C36CA">
        <w:rPr>
          <w:rFonts w:ascii="Georgia" w:eastAsiaTheme="minorEastAsia" w:hAnsi="Georgia" w:cs="Arial"/>
          <w:i w:val="0"/>
          <w:sz w:val="18"/>
          <w:szCs w:val="18"/>
        </w:rPr>
        <w:t xml:space="preserve"> </w:t>
      </w:r>
    </w:p>
    <w:p w14:paraId="76955A5C" w14:textId="3B7A9584" w:rsidR="008C36CA" w:rsidRPr="00996347" w:rsidRDefault="008C36CA" w:rsidP="008C36CA">
      <w:pPr>
        <w:pStyle w:val="MDPI11articletype"/>
        <w:rPr>
          <w:rFonts w:ascii="Georgia" w:eastAsiaTheme="minorEastAsia" w:hAnsi="Georgia" w:cs="Arial"/>
          <w:i w:val="0"/>
          <w:sz w:val="18"/>
          <w:szCs w:val="18"/>
        </w:rPr>
      </w:pPr>
      <w:r w:rsidRPr="00996347">
        <w:rPr>
          <w:rFonts w:ascii="Georgia" w:eastAsiaTheme="minorEastAsia" w:hAnsi="Georgia" w:cs="Arial"/>
          <w:i w:val="0"/>
          <w:sz w:val="18"/>
          <w:szCs w:val="18"/>
        </w:rPr>
        <w:t xml:space="preserve">Type of the Paper: Peer-reviewed Conference Paper / </w:t>
      </w:r>
      <w:r>
        <w:rPr>
          <w:rFonts w:ascii="Georgia" w:eastAsiaTheme="minorEastAsia" w:hAnsi="Georgia" w:cs="Arial"/>
          <w:i w:val="0"/>
          <w:sz w:val="18"/>
          <w:szCs w:val="18"/>
        </w:rPr>
        <w:t>short</w:t>
      </w:r>
      <w:r w:rsidRPr="00996347">
        <w:rPr>
          <w:rFonts w:ascii="Georgia" w:eastAsiaTheme="minorEastAsia" w:hAnsi="Georgia" w:cs="Arial"/>
          <w:i w:val="0"/>
          <w:sz w:val="18"/>
          <w:szCs w:val="18"/>
        </w:rPr>
        <w:t xml:space="preserve"> Paper</w:t>
      </w:r>
    </w:p>
    <w:p w14:paraId="26AB4160" w14:textId="5AB871F5" w:rsidR="00CE4A4F" w:rsidRPr="00CE4A4F" w:rsidRDefault="00CE4A4F" w:rsidP="00CE4A4F">
      <w:pPr>
        <w:rPr>
          <w:lang w:eastAsia="de-DE" w:bidi="en-US"/>
        </w:rPr>
      </w:pPr>
    </w:p>
    <w:p w14:paraId="1E4E8E64" w14:textId="43632FD6" w:rsidR="00AA684A" w:rsidRPr="005C6417" w:rsidRDefault="00CE4A4F" w:rsidP="00A86E9F">
      <w:pPr>
        <w:pStyle w:val="MDPI13authornames"/>
        <w:rPr>
          <w:rFonts w:ascii="Georgia" w:eastAsiaTheme="minorEastAsia" w:hAnsi="Georgia" w:cs="Arial"/>
          <w:b w:val="0"/>
        </w:rPr>
      </w:pPr>
      <w:r>
        <w:rPr>
          <w:rFonts w:ascii="Georgia" w:eastAsiaTheme="minorEastAsia" w:hAnsi="Georgia" w:cs="Arial"/>
          <w:b w:val="0"/>
        </w:rPr>
        <w:t>Göran Lindahl</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Pr>
          <w:rFonts w:ascii="Georgia" w:eastAsiaTheme="minorEastAsia" w:hAnsi="Georgia" w:cs="Arial"/>
          <w:b w:val="0"/>
          <w:vertAlign w:val="superscript"/>
        </w:rPr>
        <w:t>,</w:t>
      </w:r>
      <w:r w:rsidR="00CA6A8C">
        <w:rPr>
          <w:rFonts w:ascii="Georgia" w:eastAsiaTheme="minorEastAsia" w:hAnsi="Georgia" w:cs="Arial"/>
          <w:b w:val="0"/>
          <w:vertAlign w:val="superscript"/>
        </w:rPr>
        <w:t>3</w:t>
      </w:r>
      <w:r w:rsidRPr="00CA6A8C">
        <w:rPr>
          <w:rFonts w:ascii="Georgia" w:eastAsiaTheme="minorEastAsia" w:hAnsi="Georgia" w:cs="Arial"/>
          <w:b w:val="0"/>
        </w:rPr>
        <w:t>*</w:t>
      </w:r>
      <w:r w:rsidR="00A86E9F" w:rsidRPr="005C6417">
        <w:rPr>
          <w:rFonts w:ascii="Georgia" w:eastAsiaTheme="minorEastAsia" w:hAnsi="Georgia" w:cs="Arial"/>
          <w:b w:val="0"/>
        </w:rPr>
        <w:t xml:space="preserve">, </w:t>
      </w:r>
      <w:r>
        <w:rPr>
          <w:rFonts w:ascii="Georgia" w:eastAsiaTheme="minorEastAsia" w:hAnsi="Georgia" w:cs="Arial"/>
          <w:b w:val="0"/>
        </w:rPr>
        <w:t>Paul Barach</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CA6A8C">
        <w:rPr>
          <w:rFonts w:ascii="Georgia" w:eastAsiaTheme="minorEastAsia" w:hAnsi="Georgia" w:cs="Arial"/>
          <w:b w:val="0"/>
          <w:vertAlign w:val="superscript"/>
        </w:rPr>
        <w:t>,3</w:t>
      </w:r>
      <w:r w:rsidR="00A86E9F" w:rsidRPr="005C6417">
        <w:rPr>
          <w:rFonts w:ascii="Georgia" w:eastAsiaTheme="minorEastAsia" w:hAnsi="Georgia" w:cs="Arial"/>
          <w:b w:val="0"/>
        </w:rPr>
        <w:t xml:space="preserve"> </w:t>
      </w:r>
      <w:r>
        <w:rPr>
          <w:rFonts w:ascii="Georgia" w:eastAsiaTheme="minorEastAsia" w:hAnsi="Georgia" w:cs="Arial"/>
          <w:b w:val="0"/>
        </w:rPr>
        <w:t>, Andrea Brambilla</w:t>
      </w:r>
      <w:r w:rsidRPr="00CE4A4F">
        <w:rPr>
          <w:rFonts w:ascii="Georgia" w:eastAsiaTheme="minorEastAsia" w:hAnsi="Georgia" w:cs="Arial"/>
          <w:b w:val="0"/>
          <w:vertAlign w:val="superscript"/>
        </w:rPr>
        <w:t>3</w:t>
      </w:r>
      <w:r>
        <w:rPr>
          <w:rFonts w:ascii="Georgia" w:eastAsiaTheme="minorEastAsia" w:hAnsi="Georgia" w:cs="Arial"/>
          <w:b w:val="0"/>
        </w:rPr>
        <w:t xml:space="preserve"> </w:t>
      </w:r>
      <w:r w:rsidR="00A86E9F" w:rsidRPr="005C6417">
        <w:rPr>
          <w:rFonts w:ascii="Georgia" w:eastAsiaTheme="minorEastAsia" w:hAnsi="Georgia" w:cs="Arial"/>
          <w:b w:val="0"/>
        </w:rPr>
        <w:t xml:space="preserve">and </w:t>
      </w:r>
      <w:r>
        <w:rPr>
          <w:rFonts w:ascii="Georgia" w:eastAsiaTheme="minorEastAsia" w:hAnsi="Georgia" w:cs="Arial"/>
          <w:b w:val="0"/>
        </w:rPr>
        <w:t>Stefano Capolongo</w:t>
      </w:r>
      <w:r w:rsidR="00A86E9F" w:rsidRPr="005C6417">
        <w:rPr>
          <w:rFonts w:ascii="Georgia" w:eastAsiaTheme="minorEastAsia" w:hAnsi="Georgia" w:cs="Arial"/>
          <w:b w:val="0"/>
        </w:rPr>
        <w:t xml:space="preserve"> </w:t>
      </w:r>
      <w:r>
        <w:rPr>
          <w:rFonts w:ascii="Georgia" w:eastAsiaTheme="minorEastAsia" w:hAnsi="Georgia" w:cs="Arial"/>
          <w:b w:val="0"/>
          <w:vertAlign w:val="superscript"/>
        </w:rPr>
        <w:t>3</w:t>
      </w:r>
    </w:p>
    <w:p w14:paraId="2533AF3C" w14:textId="19EA5928" w:rsidR="00CA6A8C" w:rsidRDefault="00CA6A8C" w:rsidP="00CA6A8C">
      <w:pPr>
        <w:pStyle w:val="MDPI16affiliation"/>
        <w:numPr>
          <w:ilvl w:val="0"/>
          <w:numId w:val="25"/>
        </w:numPr>
        <w:rPr>
          <w:rFonts w:ascii="Georgia" w:eastAsiaTheme="minorEastAsia" w:hAnsi="Georgia" w:cs="Arial"/>
        </w:rPr>
      </w:pPr>
      <w:r w:rsidRPr="00CA6A8C">
        <w:rPr>
          <w:rFonts w:ascii="Georgia" w:eastAsiaTheme="minorEastAsia" w:hAnsi="Georgia" w:cs="Arial"/>
        </w:rPr>
        <w:t>Center for Healthcare Architecture (CVA), Division of Building Design, Department Architecture and Civil Engineering (ACE), Chalmers University of Technology, SE-412 96 Goteborg, Sweden</w:t>
      </w:r>
      <w:r w:rsidR="00A86E9F" w:rsidRPr="005C6417">
        <w:rPr>
          <w:rFonts w:ascii="Georgia" w:eastAsiaTheme="minorEastAsia" w:hAnsi="Georgia" w:cs="Arial"/>
        </w:rPr>
        <w:t xml:space="preserve">; </w:t>
      </w:r>
      <w:hyperlink r:id="rId10" w:history="1">
        <w:r w:rsidRPr="009367FA">
          <w:rPr>
            <w:rStyle w:val="Hyperlink"/>
            <w:rFonts w:ascii="Georgia" w:eastAsiaTheme="minorEastAsia" w:hAnsi="Georgia" w:cs="Arial"/>
          </w:rPr>
          <w:t>goran.lindahl@chalmers.se</w:t>
        </w:r>
      </w:hyperlink>
    </w:p>
    <w:p w14:paraId="759FE313" w14:textId="4E6B056F" w:rsidR="00CA6A8C" w:rsidRDefault="00CA6A8C" w:rsidP="00DE6A4F">
      <w:pPr>
        <w:pStyle w:val="MDPI16affiliation"/>
        <w:numPr>
          <w:ilvl w:val="0"/>
          <w:numId w:val="25"/>
        </w:numPr>
        <w:ind w:left="2608" w:firstLine="0"/>
        <w:rPr>
          <w:rFonts w:ascii="Georgia" w:eastAsiaTheme="minorEastAsia" w:hAnsi="Georgia" w:cs="Arial"/>
        </w:rPr>
      </w:pPr>
      <w:r w:rsidRPr="00CA6A8C">
        <w:rPr>
          <w:rFonts w:ascii="Georgia" w:eastAsiaTheme="minorEastAsia" w:hAnsi="Georgia" w:cs="Arial"/>
        </w:rPr>
        <w:t xml:space="preserve">Jefferson College of Population Health, Thomas Jefferson University, Philadelphia, PA 19107, USA and School of Medicine and Law, Sigmund Freud University, 1020 Vienna, Austria; </w:t>
      </w:r>
      <w:hyperlink r:id="rId11" w:history="1">
        <w:r w:rsidRPr="00CA6A8C">
          <w:rPr>
            <w:rStyle w:val="Hyperlink"/>
            <w:rFonts w:ascii="Georgia" w:eastAsiaTheme="minorEastAsia" w:hAnsi="Georgia" w:cs="Arial"/>
          </w:rPr>
          <w:t>paul.barach@jefferson.edu</w:t>
        </w:r>
      </w:hyperlink>
      <w:r w:rsidRPr="00CA6A8C">
        <w:rPr>
          <w:rFonts w:ascii="Georgia" w:eastAsiaTheme="minorEastAsia" w:hAnsi="Georgia" w:cs="Arial"/>
        </w:rPr>
        <w:t xml:space="preserve">; </w:t>
      </w:r>
    </w:p>
    <w:p w14:paraId="122652E0" w14:textId="156BA6D9" w:rsidR="00A86E9F" w:rsidRPr="00CA6A8C" w:rsidRDefault="00CA6A8C" w:rsidP="00DE6A4F">
      <w:pPr>
        <w:pStyle w:val="MDPI16affiliation"/>
        <w:numPr>
          <w:ilvl w:val="0"/>
          <w:numId w:val="25"/>
        </w:numPr>
        <w:ind w:left="2608" w:firstLine="0"/>
        <w:rPr>
          <w:rFonts w:ascii="Georgia" w:eastAsiaTheme="minorEastAsia" w:hAnsi="Georgia" w:cs="Arial"/>
        </w:rPr>
      </w:pPr>
      <w:r w:rsidRPr="00CA6A8C">
        <w:rPr>
          <w:rFonts w:ascii="Georgia" w:eastAsiaTheme="minorEastAsia" w:hAnsi="Georgia" w:cs="Arial"/>
        </w:rPr>
        <w:t xml:space="preserve">Design and Health Lab, Department of Architecture, Built Environment and Construction Engineering (DABC), </w:t>
      </w:r>
      <w:proofErr w:type="spellStart"/>
      <w:r w:rsidRPr="00CA6A8C">
        <w:rPr>
          <w:rFonts w:ascii="Georgia" w:eastAsiaTheme="minorEastAsia" w:hAnsi="Georgia" w:cs="Arial"/>
        </w:rPr>
        <w:t>Politecnico</w:t>
      </w:r>
      <w:proofErr w:type="spellEnd"/>
      <w:r w:rsidRPr="00CA6A8C">
        <w:rPr>
          <w:rFonts w:ascii="Georgia" w:eastAsiaTheme="minorEastAsia" w:hAnsi="Georgia" w:cs="Arial"/>
        </w:rPr>
        <w:t xml:space="preserve"> di Milano, 20133 Milan, Italy</w:t>
      </w:r>
      <w:r>
        <w:rPr>
          <w:rFonts w:ascii="Georgia" w:eastAsiaTheme="minorEastAsia" w:hAnsi="Georgia" w:cs="Arial"/>
        </w:rPr>
        <w:t xml:space="preserve">; </w:t>
      </w:r>
      <w:hyperlink r:id="rId12" w:history="1">
        <w:r w:rsidRPr="009367FA">
          <w:rPr>
            <w:rStyle w:val="Hyperlink"/>
            <w:rFonts w:ascii="Georgia" w:eastAsiaTheme="minorEastAsia" w:hAnsi="Georgia" w:cs="Arial"/>
          </w:rPr>
          <w:t>andrea1.brambilla@polimi</w:t>
        </w:r>
      </w:hyperlink>
      <w:r>
        <w:rPr>
          <w:rFonts w:ascii="Georgia" w:eastAsiaTheme="minorEastAsia" w:hAnsi="Georgia" w:cs="Arial"/>
        </w:rPr>
        <w:t xml:space="preserve">; </w:t>
      </w:r>
      <w:hyperlink r:id="rId13" w:history="1">
        <w:r w:rsidRPr="009367FA">
          <w:rPr>
            <w:rStyle w:val="Hyperlink"/>
            <w:rFonts w:ascii="Georgia" w:eastAsiaTheme="minorEastAsia" w:hAnsi="Georgia" w:cs="Arial"/>
          </w:rPr>
          <w:t>stefano.capolongo@polimi.it</w:t>
        </w:r>
      </w:hyperlink>
      <w:r>
        <w:rPr>
          <w:rFonts w:ascii="Georgia" w:eastAsiaTheme="minorEastAsia" w:hAnsi="Georgia" w:cs="Arial"/>
        </w:rPr>
        <w:t xml:space="preserve"> </w:t>
      </w:r>
      <w:r w:rsidR="006F7DE1">
        <w:rPr>
          <w:rFonts w:ascii="Georgia" w:eastAsiaTheme="minorEastAsia" w:hAnsi="Georgia" w:cs="Arial"/>
        </w:rPr>
        <w:br/>
      </w:r>
    </w:p>
    <w:p w14:paraId="3FADCEFE" w14:textId="15D56CAB" w:rsidR="27831D6B" w:rsidRDefault="27831D6B" w:rsidP="27831D6B">
      <w:pPr>
        <w:pStyle w:val="MDPI16affiliation"/>
        <w:rPr>
          <w:color w:val="000000" w:themeColor="text1"/>
          <w:szCs w:val="16"/>
        </w:rPr>
      </w:pPr>
    </w:p>
    <w:tbl>
      <w:tblPr>
        <w:tblStyle w:val="Tabelraster"/>
        <w:tblW w:w="0" w:type="auto"/>
        <w:tblInd w:w="2608" w:type="dxa"/>
        <w:tblLook w:val="04A0" w:firstRow="1" w:lastRow="0" w:firstColumn="1" w:lastColumn="0" w:noHBand="0" w:noVBand="1"/>
      </w:tblPr>
      <w:tblGrid>
        <w:gridCol w:w="7848"/>
      </w:tblGrid>
      <w:tr w:rsidR="00FF0117" w14:paraId="4ED5296A" w14:textId="77777777" w:rsidTr="00FF0117">
        <w:tc>
          <w:tcPr>
            <w:tcW w:w="10456" w:type="dxa"/>
          </w:tcPr>
          <w:p w14:paraId="5BC45D2D" w14:textId="5C351199" w:rsidR="00FF0117" w:rsidRDefault="006F7DE1" w:rsidP="00FF0117">
            <w:pPr>
              <w:pStyle w:val="MDPI62BackMatter"/>
              <w:ind w:left="0"/>
              <w:rPr>
                <w:rFonts w:ascii="Georgia" w:eastAsiaTheme="minorEastAsia" w:hAnsi="Georgia" w:cs="Arial"/>
              </w:rPr>
            </w:pPr>
            <w:r>
              <w:rPr>
                <w:rFonts w:ascii="Georgia" w:eastAsiaTheme="minorEastAsia" w:hAnsi="Georgia" w:cs="Arial"/>
                <w:b/>
                <w:bCs/>
              </w:rPr>
              <w:br/>
            </w:r>
            <w:r w:rsidR="00FF0117" w:rsidRPr="27831D6B">
              <w:rPr>
                <w:rFonts w:ascii="Georgia" w:eastAsiaTheme="minorEastAsia" w:hAnsi="Georgia" w:cs="Arial"/>
                <w:b/>
                <w:bCs/>
              </w:rPr>
              <w:t>Research highlights</w:t>
            </w:r>
          </w:p>
          <w:p w14:paraId="4D0D9F7A" w14:textId="77777777" w:rsidR="00C16026" w:rsidRDefault="00C16026" w:rsidP="00C16026">
            <w:pPr>
              <w:pStyle w:val="MDPI31text"/>
              <w:numPr>
                <w:ilvl w:val="0"/>
                <w:numId w:val="26"/>
              </w:numPr>
              <w:rPr>
                <w:shd w:val="clear" w:color="auto" w:fill="FFFFFF"/>
                <w:lang w:val="en-GB"/>
              </w:rPr>
            </w:pPr>
            <w:r>
              <w:t>The aim of the short paper is to set the problem and define the possible drivers for future research in exploring the relationship between healthcare built environment and staff retention</w:t>
            </w:r>
            <w:r w:rsidRPr="00FB3FC8">
              <w:rPr>
                <w:shd w:val="clear" w:color="auto" w:fill="FFFFFF"/>
                <w:lang w:val="en-GB"/>
              </w:rPr>
              <w:t xml:space="preserve"> </w:t>
            </w:r>
          </w:p>
          <w:p w14:paraId="4272E1CA" w14:textId="236DF99C" w:rsidR="00FF0117" w:rsidRDefault="00CE4A4F" w:rsidP="00C16026">
            <w:pPr>
              <w:pStyle w:val="MDPI31text"/>
              <w:numPr>
                <w:ilvl w:val="0"/>
                <w:numId w:val="26"/>
              </w:numPr>
              <w:rPr>
                <w:shd w:val="clear" w:color="auto" w:fill="FFFFFF"/>
                <w:lang w:val="en-GB"/>
              </w:rPr>
            </w:pPr>
            <w:r w:rsidRPr="00FB3FC8">
              <w:rPr>
                <w:shd w:val="clear" w:color="auto" w:fill="FFFFFF"/>
                <w:lang w:val="en-GB"/>
              </w:rPr>
              <w:t>Today the physical environment, the architecture, of healthcare facilities is considered having various effects on patients and staff</w:t>
            </w:r>
          </w:p>
          <w:p w14:paraId="7BE4F262" w14:textId="4C26ED5E" w:rsidR="00C16026" w:rsidRDefault="00C16026" w:rsidP="00C16026">
            <w:pPr>
              <w:pStyle w:val="MDPI31text"/>
              <w:numPr>
                <w:ilvl w:val="0"/>
                <w:numId w:val="26"/>
              </w:numPr>
              <w:rPr>
                <w:shd w:val="clear" w:color="auto" w:fill="FFFFFF"/>
                <w:lang w:val="en-GB"/>
              </w:rPr>
            </w:pPr>
            <w:r>
              <w:rPr>
                <w:shd w:val="clear" w:color="auto" w:fill="FFFFFF"/>
                <w:lang w:val="en-GB"/>
              </w:rPr>
              <w:t>Especially in the western world healthcare staff shrinking and ageing will have a significant impact</w:t>
            </w:r>
          </w:p>
          <w:p w14:paraId="541185A5" w14:textId="6162A1F8" w:rsidR="00FF0117" w:rsidRPr="00C16026" w:rsidRDefault="00C16026" w:rsidP="00C16026">
            <w:pPr>
              <w:pStyle w:val="MDPI31text"/>
              <w:numPr>
                <w:ilvl w:val="0"/>
                <w:numId w:val="26"/>
              </w:numPr>
              <w:rPr>
                <w:rFonts w:ascii="Georgia" w:eastAsiaTheme="minorEastAsia" w:hAnsi="Georgia" w:cs="Arial"/>
                <w:lang w:eastAsia="en-US"/>
              </w:rPr>
            </w:pPr>
            <w:r>
              <w:rPr>
                <w:rFonts w:cs="Arial"/>
                <w:lang w:val="en-GB"/>
              </w:rPr>
              <w:t>H</w:t>
            </w:r>
            <w:proofErr w:type="spellStart"/>
            <w:r>
              <w:rPr>
                <w:rFonts w:cs="Arial"/>
              </w:rPr>
              <w:t>ospital</w:t>
            </w:r>
            <w:proofErr w:type="spellEnd"/>
            <w:r>
              <w:rPr>
                <w:rFonts w:cs="Arial"/>
              </w:rPr>
              <w:t xml:space="preserve"> organization</w:t>
            </w:r>
            <w:r w:rsidR="00177597">
              <w:rPr>
                <w:rFonts w:cs="Arial"/>
              </w:rPr>
              <w:t>s</w:t>
            </w:r>
            <w:r>
              <w:rPr>
                <w:rFonts w:cs="Arial"/>
              </w:rPr>
              <w:t xml:space="preserve"> are defining strategies for staff retention improvement</w:t>
            </w:r>
          </w:p>
          <w:p w14:paraId="56095D69" w14:textId="183F9D2F" w:rsidR="00CE4A4F" w:rsidRDefault="00C16026" w:rsidP="00C16026">
            <w:pPr>
              <w:pStyle w:val="MDPI31text"/>
              <w:numPr>
                <w:ilvl w:val="0"/>
                <w:numId w:val="26"/>
              </w:numPr>
              <w:rPr>
                <w:shd w:val="clear" w:color="auto" w:fill="FFFFFF"/>
                <w:lang w:val="en-GB"/>
              </w:rPr>
            </w:pPr>
            <w:r>
              <w:rPr>
                <w:shd w:val="clear" w:color="auto" w:fill="FFFFFF"/>
              </w:rPr>
              <w:t>U</w:t>
            </w:r>
            <w:proofErr w:type="spellStart"/>
            <w:r w:rsidR="00CE4A4F" w:rsidRPr="00FB3FC8">
              <w:rPr>
                <w:shd w:val="clear" w:color="auto" w:fill="FFFFFF"/>
                <w:lang w:val="en-GB"/>
              </w:rPr>
              <w:t>sually</w:t>
            </w:r>
            <w:proofErr w:type="spellEnd"/>
            <w:r w:rsidR="00CE4A4F" w:rsidRPr="00FB3FC8">
              <w:rPr>
                <w:shd w:val="clear" w:color="auto" w:fill="FFFFFF"/>
                <w:lang w:val="en-GB"/>
              </w:rPr>
              <w:t>, this issue concerns management of risk, leadership and motivational aspects</w:t>
            </w:r>
            <w:r>
              <w:rPr>
                <w:shd w:val="clear" w:color="auto" w:fill="FFFFFF"/>
                <w:lang w:val="en-GB"/>
              </w:rPr>
              <w:t xml:space="preserve"> but the built environment might as well play a role in this process</w:t>
            </w:r>
          </w:p>
          <w:p w14:paraId="34FE11B7" w14:textId="65984E9F" w:rsidR="00CE4A4F" w:rsidRDefault="00CE4A4F" w:rsidP="00C16026">
            <w:pPr>
              <w:pStyle w:val="MDPI31text"/>
              <w:numPr>
                <w:ilvl w:val="0"/>
                <w:numId w:val="26"/>
              </w:numPr>
              <w:rPr>
                <w:shd w:val="clear" w:color="auto" w:fill="FFFFFF"/>
                <w:lang w:val="en-GB"/>
              </w:rPr>
            </w:pPr>
            <w:r w:rsidRPr="00FB3FC8">
              <w:rPr>
                <w:shd w:val="clear" w:color="auto" w:fill="FFFFFF"/>
                <w:lang w:val="en-GB"/>
              </w:rPr>
              <w:t xml:space="preserve">In the recent </w:t>
            </w:r>
            <w:r w:rsidR="00C16026">
              <w:rPr>
                <w:shd w:val="clear" w:color="auto" w:fill="FFFFFF"/>
                <w:lang w:val="en-GB"/>
              </w:rPr>
              <w:t xml:space="preserve">COVID-19 </w:t>
            </w:r>
            <w:r w:rsidRPr="00FB3FC8">
              <w:rPr>
                <w:shd w:val="clear" w:color="auto" w:fill="FFFFFF"/>
                <w:lang w:val="en-GB"/>
              </w:rPr>
              <w:t>pandemic these issues have been raised considering staff burn out and stress</w:t>
            </w:r>
          </w:p>
          <w:p w14:paraId="6B8E580F" w14:textId="7AF10D72" w:rsidR="005C4401" w:rsidRPr="00CE4A4F" w:rsidRDefault="00C16026" w:rsidP="00C16026">
            <w:pPr>
              <w:pStyle w:val="MDPI31text"/>
              <w:numPr>
                <w:ilvl w:val="0"/>
                <w:numId w:val="26"/>
              </w:numPr>
            </w:pPr>
            <w:r>
              <w:t>F</w:t>
            </w:r>
            <w:r w:rsidR="00CE4A4F">
              <w:t>uture research will need to deepen the relationship between staff retention and physical space of healthcare settings</w:t>
            </w:r>
            <w:r>
              <w:t xml:space="preserve"> starting from the proposed framework</w:t>
            </w:r>
            <w:r w:rsidR="006F7DE1">
              <w:br/>
            </w:r>
          </w:p>
        </w:tc>
      </w:tr>
    </w:tbl>
    <w:p w14:paraId="55CE36C4" w14:textId="3ECBE356" w:rsidR="00A86E9F"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CA6A8C">
        <w:rPr>
          <w:rFonts w:ascii="Georgia" w:eastAsiaTheme="minorEastAsia" w:hAnsi="Georgia" w:cs="Arial"/>
          <w:szCs w:val="18"/>
        </w:rPr>
        <w:t>staff retention</w:t>
      </w:r>
      <w:r w:rsidRPr="005C6417">
        <w:rPr>
          <w:rFonts w:ascii="Georgia" w:eastAsiaTheme="minorEastAsia" w:hAnsi="Georgia" w:cs="Arial"/>
          <w:szCs w:val="18"/>
        </w:rPr>
        <w:t xml:space="preserve">; </w:t>
      </w:r>
      <w:r w:rsidR="00CA6A8C">
        <w:rPr>
          <w:rFonts w:ascii="Georgia" w:eastAsiaTheme="minorEastAsia" w:hAnsi="Georgia" w:cs="Arial"/>
          <w:szCs w:val="18"/>
        </w:rPr>
        <w:t>burnout</w:t>
      </w:r>
      <w:r w:rsidRPr="005C6417">
        <w:rPr>
          <w:rFonts w:ascii="Georgia" w:eastAsiaTheme="minorEastAsia" w:hAnsi="Georgia" w:cs="Arial"/>
          <w:szCs w:val="18"/>
        </w:rPr>
        <w:t xml:space="preserve">; </w:t>
      </w:r>
      <w:r w:rsidR="00CA6A8C">
        <w:rPr>
          <w:rFonts w:ascii="Georgia" w:eastAsiaTheme="minorEastAsia" w:hAnsi="Georgia" w:cs="Arial"/>
          <w:szCs w:val="18"/>
        </w:rPr>
        <w:t>healthcare facilities; management</w:t>
      </w:r>
      <w:r w:rsidR="00C16026">
        <w:rPr>
          <w:rFonts w:ascii="Georgia" w:eastAsiaTheme="minorEastAsia" w:hAnsi="Georgia" w:cs="Arial"/>
          <w:szCs w:val="18"/>
        </w:rPr>
        <w:t>; healthcare staff; workforce ageing</w:t>
      </w:r>
    </w:p>
    <w:p w14:paraId="576D63C6" w14:textId="1A997654" w:rsidR="00CA6A8C" w:rsidRDefault="00CA6A8C" w:rsidP="00CA6A8C">
      <w:pPr>
        <w:rPr>
          <w:lang w:eastAsia="de-DE" w:bidi="en-US"/>
        </w:rPr>
      </w:pPr>
    </w:p>
    <w:p w14:paraId="6A05A809" w14:textId="77777777" w:rsidR="00A86E9F" w:rsidRPr="005C6417" w:rsidRDefault="00A86E9F" w:rsidP="00F85820">
      <w:pPr>
        <w:pStyle w:val="MDPI19line"/>
        <w:pBdr>
          <w:bottom w:val="single" w:sz="6" w:space="31" w:color="auto"/>
        </w:pBdr>
        <w:rPr>
          <w:rFonts w:ascii="Georgia" w:eastAsiaTheme="minorEastAsia" w:hAnsi="Georgia" w:cs="Arial"/>
        </w:rPr>
      </w:pPr>
    </w:p>
    <w:p w14:paraId="32A36C38" w14:textId="4E22AC32" w:rsidR="00A86E9F" w:rsidRPr="004F2BEA" w:rsidRDefault="00A86E9F" w:rsidP="00A86E9F">
      <w:pPr>
        <w:pStyle w:val="MDPI21heading1"/>
        <w:rPr>
          <w:rFonts w:ascii="Georgia" w:eastAsiaTheme="minorEastAsia" w:hAnsi="Georgia" w:cs="Arial"/>
          <w:lang w:eastAsia="zh-CN"/>
        </w:rPr>
      </w:pPr>
    </w:p>
    <w:p w14:paraId="53F10C3F" w14:textId="77777777" w:rsidR="00A500C9" w:rsidRDefault="00A500C9" w:rsidP="004203EA">
      <w:pPr>
        <w:pStyle w:val="MDPI31text"/>
        <w:spacing w:line="240" w:lineRule="auto"/>
        <w:rPr>
          <w:rFonts w:asciiTheme="minorHAnsi" w:eastAsiaTheme="minorEastAsia" w:hAnsiTheme="minorHAnsi" w:cstheme="minorHAnsi"/>
        </w:rPr>
      </w:pPr>
    </w:p>
    <w:p w14:paraId="136A5E99" w14:textId="2ED5FB03" w:rsidR="00A500C9" w:rsidRDefault="00A500C9" w:rsidP="004203EA">
      <w:pPr>
        <w:pStyle w:val="MDPI31text"/>
        <w:spacing w:line="240" w:lineRule="auto"/>
        <w:rPr>
          <w:rFonts w:asciiTheme="minorHAnsi" w:eastAsiaTheme="minorEastAsia" w:hAnsiTheme="minorHAnsi" w:cstheme="minorHAnsi"/>
        </w:rPr>
      </w:pPr>
    </w:p>
    <w:tbl>
      <w:tblPr>
        <w:tblpPr w:leftFromText="198" w:rightFromText="198" w:vertAnchor="page" w:horzAnchor="margin" w:tblpY="1642"/>
        <w:tblW w:w="1985" w:type="dxa"/>
        <w:tblLayout w:type="fixed"/>
        <w:tblCellMar>
          <w:left w:w="0" w:type="dxa"/>
          <w:right w:w="0" w:type="dxa"/>
        </w:tblCellMar>
        <w:tblLook w:val="04A0" w:firstRow="1" w:lastRow="0" w:firstColumn="1" w:lastColumn="0" w:noHBand="0" w:noVBand="1"/>
      </w:tblPr>
      <w:tblGrid>
        <w:gridCol w:w="1985"/>
      </w:tblGrid>
      <w:tr w:rsidR="00E57351" w:rsidRPr="005C6417" w14:paraId="28A995F3" w14:textId="77777777" w:rsidTr="006F7DE1">
        <w:trPr>
          <w:trHeight w:val="380"/>
        </w:trPr>
        <w:tc>
          <w:tcPr>
            <w:tcW w:w="1985" w:type="dxa"/>
            <w:shd w:val="clear" w:color="auto" w:fill="auto"/>
          </w:tcPr>
          <w:p w14:paraId="24FB79B2" w14:textId="77777777" w:rsidR="00500C7A" w:rsidRDefault="00500C7A" w:rsidP="00E57351">
            <w:pPr>
              <w:rPr>
                <w:rFonts w:ascii="Georgia" w:eastAsiaTheme="minorEastAsia" w:hAnsi="Georgia" w:cs="Arial"/>
                <w:bCs/>
                <w:sz w:val="14"/>
                <w:szCs w:val="14"/>
              </w:rPr>
            </w:pPr>
          </w:p>
          <w:p w14:paraId="3954C388" w14:textId="44181C44" w:rsidR="00E57351" w:rsidRPr="004C61F7" w:rsidRDefault="00E57351" w:rsidP="00E57351">
            <w:pPr>
              <w:rPr>
                <w:rFonts w:ascii="Georgia" w:eastAsiaTheme="minorEastAsia" w:hAnsi="Georgia" w:cs="Arial"/>
                <w:bCs/>
                <w:sz w:val="14"/>
                <w:szCs w:val="14"/>
              </w:rPr>
            </w:pPr>
          </w:p>
          <w:p w14:paraId="03DE05F6" w14:textId="77777777" w:rsidR="00E57351" w:rsidRDefault="00E57351" w:rsidP="00E57351">
            <w:pPr>
              <w:rPr>
                <w:rFonts w:ascii="Georgia" w:eastAsiaTheme="minorEastAsia" w:hAnsi="Georgia" w:cs="Arial"/>
                <w:b/>
                <w:bCs/>
                <w:sz w:val="14"/>
                <w:szCs w:val="14"/>
              </w:rPr>
            </w:pPr>
          </w:p>
          <w:p w14:paraId="4EBE8494" w14:textId="77777777" w:rsidR="00132F96" w:rsidRDefault="00E57351" w:rsidP="006F7DE1">
            <w:pPr>
              <w:rPr>
                <w:rFonts w:ascii="Georgia" w:eastAsiaTheme="minorEastAsia" w:hAnsi="Georgia" w:cs="Arial"/>
                <w:b/>
                <w:bCs/>
                <w:sz w:val="14"/>
                <w:szCs w:val="14"/>
              </w:rPr>
            </w:pPr>
            <w:r w:rsidRPr="004C61F7">
              <w:rPr>
                <w:rFonts w:ascii="Georgia" w:eastAsiaTheme="minorEastAsia" w:hAnsi="Georgia" w:cs="Arial"/>
                <w:b/>
                <w:bCs/>
                <w:sz w:val="14"/>
                <w:szCs w:val="14"/>
              </w:rPr>
              <w:t xml:space="preserve">Names of the </w:t>
            </w:r>
            <w:r>
              <w:rPr>
                <w:rFonts w:ascii="Georgia" w:eastAsiaTheme="minorEastAsia" w:hAnsi="Georgia" w:cs="Arial"/>
                <w:b/>
                <w:bCs/>
                <w:sz w:val="14"/>
                <w:szCs w:val="14"/>
              </w:rPr>
              <w:t>Topic</w:t>
            </w:r>
            <w:r w:rsidRPr="004C61F7">
              <w:rPr>
                <w:rFonts w:ascii="Georgia" w:eastAsiaTheme="minorEastAsia" w:hAnsi="Georgia" w:cs="Arial"/>
                <w:b/>
                <w:bCs/>
                <w:sz w:val="14"/>
                <w:szCs w:val="14"/>
              </w:rPr>
              <w:t xml:space="preserve"> e</w:t>
            </w:r>
            <w:r w:rsidR="006F7DE1">
              <w:rPr>
                <w:rFonts w:ascii="Georgia" w:eastAsiaTheme="minorEastAsia" w:hAnsi="Georgia" w:cs="Arial"/>
                <w:b/>
                <w:bCs/>
                <w:sz w:val="14"/>
                <w:szCs w:val="14"/>
              </w:rPr>
              <w:t>di</w:t>
            </w:r>
            <w:r w:rsidRPr="004C61F7">
              <w:rPr>
                <w:rFonts w:ascii="Georgia" w:eastAsiaTheme="minorEastAsia" w:hAnsi="Georgia" w:cs="Arial"/>
                <w:b/>
                <w:bCs/>
                <w:sz w:val="14"/>
                <w:szCs w:val="14"/>
              </w:rPr>
              <w:t>tors:</w:t>
            </w:r>
          </w:p>
          <w:p w14:paraId="058E8D46" w14:textId="1599F7A7" w:rsidR="00E57351" w:rsidRPr="006F7DE1" w:rsidRDefault="006F7DE1" w:rsidP="006F7DE1">
            <w:pPr>
              <w:rPr>
                <w:rFonts w:ascii="Georgia" w:eastAsiaTheme="minorEastAsia" w:hAnsi="Georgia" w:cs="Arial"/>
                <w:b/>
                <w:bCs/>
                <w:sz w:val="14"/>
                <w:szCs w:val="14"/>
              </w:rPr>
            </w:pPr>
            <w:r>
              <w:rPr>
                <w:rFonts w:ascii="Georgia" w:eastAsiaTheme="minorEastAsia" w:hAnsi="Georgia" w:cs="Arial"/>
                <w:b/>
                <w:bCs/>
                <w:sz w:val="14"/>
                <w:szCs w:val="14"/>
              </w:rPr>
              <w:t>Clarine van Oel</w:t>
            </w:r>
          </w:p>
          <w:p w14:paraId="48CE6DA7" w14:textId="309BE273" w:rsidR="00E57351" w:rsidRDefault="00E57351" w:rsidP="00E57351">
            <w:pPr>
              <w:rPr>
                <w:rFonts w:ascii="Georgia" w:eastAsiaTheme="minorEastAsia" w:hAnsi="Georgia" w:cs="Arial"/>
                <w:sz w:val="14"/>
                <w:szCs w:val="22"/>
              </w:rPr>
            </w:pPr>
            <w:r w:rsidRPr="004C61F7">
              <w:rPr>
                <w:rFonts w:ascii="Georgia" w:eastAsiaTheme="minorEastAsia" w:hAnsi="Georgia" w:cs="Arial"/>
                <w:b/>
                <w:bCs/>
                <w:sz w:val="14"/>
                <w:szCs w:val="14"/>
              </w:rPr>
              <w:t>Names of the reviewers:</w:t>
            </w:r>
            <w:r w:rsidR="006F7DE1">
              <w:rPr>
                <w:rFonts w:ascii="Georgia" w:eastAsiaTheme="minorEastAsia" w:hAnsi="Georgia" w:cs="Arial"/>
                <w:b/>
                <w:bCs/>
                <w:sz w:val="14"/>
                <w:szCs w:val="14"/>
              </w:rPr>
              <w:br/>
              <w:t xml:space="preserve">Milee </w:t>
            </w:r>
            <w:proofErr w:type="spellStart"/>
            <w:r w:rsidR="006F7DE1">
              <w:rPr>
                <w:rFonts w:ascii="Georgia" w:eastAsiaTheme="minorEastAsia" w:hAnsi="Georgia" w:cs="Arial"/>
                <w:b/>
                <w:bCs/>
                <w:sz w:val="14"/>
                <w:szCs w:val="14"/>
              </w:rPr>
              <w:t>Herweijer</w:t>
            </w:r>
            <w:proofErr w:type="spellEnd"/>
            <w:r w:rsidR="006F7DE1">
              <w:rPr>
                <w:rFonts w:ascii="Georgia" w:eastAsiaTheme="minorEastAsia" w:hAnsi="Georgia" w:cs="Arial"/>
                <w:b/>
                <w:bCs/>
                <w:sz w:val="14"/>
                <w:szCs w:val="14"/>
              </w:rPr>
              <w:br/>
              <w:t>Nadine Fayyad</w:t>
            </w:r>
            <w:r w:rsidRPr="004C61F7">
              <w:rPr>
                <w:rFonts w:ascii="Georgia" w:eastAsiaTheme="minorEastAsia" w:hAnsi="Georgia" w:cs="Arial"/>
                <w:b/>
                <w:bCs/>
                <w:sz w:val="14"/>
                <w:szCs w:val="14"/>
              </w:rPr>
              <w:t xml:space="preserve"> </w:t>
            </w:r>
          </w:p>
          <w:p w14:paraId="3251747D" w14:textId="77777777" w:rsidR="00E57351" w:rsidRPr="004C61F7" w:rsidRDefault="00E57351" w:rsidP="00E57351">
            <w:pPr>
              <w:adjustRightInd w:val="0"/>
              <w:snapToGrid w:val="0"/>
              <w:rPr>
                <w:rFonts w:ascii="Georgia" w:eastAsiaTheme="minorEastAsia" w:hAnsi="Georgia" w:cs="Arial"/>
                <w:sz w:val="14"/>
                <w:szCs w:val="22"/>
              </w:rPr>
            </w:pPr>
          </w:p>
          <w:p w14:paraId="79EEAA8F" w14:textId="77777777" w:rsidR="00E57351" w:rsidRPr="004C61F7" w:rsidRDefault="00E57351" w:rsidP="00E57351">
            <w:pPr>
              <w:rPr>
                <w:rFonts w:ascii="Georgia" w:eastAsiaTheme="minorEastAsia" w:hAnsi="Georgia" w:cs="Arial"/>
                <w:sz w:val="14"/>
                <w:szCs w:val="22"/>
              </w:rPr>
            </w:pPr>
            <w:r w:rsidRPr="004C61F7">
              <w:rPr>
                <w:rFonts w:ascii="Georgia" w:eastAsiaTheme="minorEastAsia" w:hAnsi="Georgia" w:cs="Arial"/>
                <w:b/>
                <w:sz w:val="14"/>
                <w:szCs w:val="22"/>
              </w:rPr>
              <w:t>Journal:</w:t>
            </w:r>
            <w:r w:rsidRPr="004C61F7">
              <w:rPr>
                <w:rFonts w:ascii="Georgia" w:eastAsiaTheme="minorEastAsia" w:hAnsi="Georgia" w:cs="Arial"/>
                <w:sz w:val="14"/>
                <w:szCs w:val="22"/>
              </w:rPr>
              <w:t xml:space="preserve"> The Evolving Scholar</w:t>
            </w:r>
          </w:p>
          <w:p w14:paraId="54123745" w14:textId="0864AAF9" w:rsidR="00E57351" w:rsidRPr="00500C7A" w:rsidRDefault="00E57351" w:rsidP="00E57351">
            <w:pPr>
              <w:pStyle w:val="MDPI14history"/>
              <w:rPr>
                <w:rFonts w:ascii="Georgia" w:eastAsiaTheme="minorEastAsia" w:hAnsi="Georgia" w:cs="Arial"/>
                <w:lang w:val="en-GB"/>
              </w:rPr>
            </w:pPr>
            <w:r w:rsidRPr="00996347">
              <w:rPr>
                <w:rFonts w:ascii="Georgia" w:eastAsiaTheme="minorEastAsia" w:hAnsi="Georgia" w:cs="Arial"/>
                <w:b/>
                <w:lang w:val="en-GB"/>
              </w:rPr>
              <w:t>DOI:</w:t>
            </w:r>
            <w:r w:rsidR="00500C7A" w:rsidRPr="00500C7A">
              <w:rPr>
                <w:rFonts w:ascii="Georgia" w:eastAsiaTheme="minorEastAsia" w:hAnsi="Georgia" w:cs="Arial"/>
                <w:lang w:val="en-GB"/>
              </w:rPr>
              <w:t>10.24404/6230a447d851d5408ebb90bf</w:t>
            </w:r>
          </w:p>
          <w:p w14:paraId="59DF2DB4" w14:textId="77777777" w:rsidR="00E57351" w:rsidRDefault="00E57351" w:rsidP="00E57351">
            <w:pPr>
              <w:pStyle w:val="MDPI14history"/>
              <w:rPr>
                <w:rFonts w:ascii="Georgia" w:eastAsiaTheme="minorEastAsia" w:hAnsi="Georgia" w:cs="Arial"/>
                <w:b/>
                <w:szCs w:val="14"/>
              </w:rPr>
            </w:pPr>
          </w:p>
          <w:p w14:paraId="61E931D9" w14:textId="01D278E2" w:rsidR="00E57351" w:rsidRPr="004C61F7" w:rsidRDefault="00E57351" w:rsidP="00E57351">
            <w:pPr>
              <w:pStyle w:val="MDPI14history"/>
              <w:rPr>
                <w:rFonts w:ascii="Georgia" w:eastAsiaTheme="minorEastAsia" w:hAnsi="Georgia" w:cs="Arial"/>
              </w:rPr>
            </w:pPr>
            <w:r w:rsidRPr="004C61F7">
              <w:rPr>
                <w:rFonts w:ascii="Georgia" w:eastAsiaTheme="minorEastAsia" w:hAnsi="Georgia" w:cs="Arial"/>
                <w:b/>
                <w:szCs w:val="14"/>
              </w:rPr>
              <w:t>Submitted:</w:t>
            </w:r>
            <w:r w:rsidR="00500C7A">
              <w:rPr>
                <w:rFonts w:ascii="Georgia" w:eastAsiaTheme="minorEastAsia" w:hAnsi="Georgia" w:cs="Arial"/>
                <w:szCs w:val="14"/>
              </w:rPr>
              <w:t xml:space="preserve"> </w:t>
            </w:r>
            <w:r w:rsidR="00500C7A" w:rsidRPr="00500C7A">
              <w:rPr>
                <w:rFonts w:ascii="Georgia" w:eastAsiaTheme="minorEastAsia" w:hAnsi="Georgia" w:cs="Arial"/>
                <w:szCs w:val="14"/>
              </w:rPr>
              <w:t xml:space="preserve">15 </w:t>
            </w:r>
            <w:r w:rsidR="00132F96">
              <w:rPr>
                <w:rFonts w:ascii="Georgia" w:eastAsiaTheme="minorEastAsia" w:hAnsi="Georgia" w:cs="Arial"/>
                <w:szCs w:val="14"/>
              </w:rPr>
              <w:t>Mar</w:t>
            </w:r>
            <w:r w:rsidR="00500C7A" w:rsidRPr="00500C7A">
              <w:rPr>
                <w:rFonts w:ascii="Georgia" w:eastAsiaTheme="minorEastAsia" w:hAnsi="Georgia" w:cs="Arial"/>
                <w:szCs w:val="14"/>
              </w:rPr>
              <w:t xml:space="preserve"> 2022</w:t>
            </w:r>
          </w:p>
          <w:p w14:paraId="4A2A3B68" w14:textId="51468333" w:rsidR="00E57351" w:rsidRPr="004C61F7" w:rsidRDefault="006F7DE1" w:rsidP="00E57351">
            <w:pPr>
              <w:pStyle w:val="MDPI14history"/>
              <w:rPr>
                <w:rFonts w:ascii="Georgia" w:eastAsiaTheme="minorEastAsia" w:hAnsi="Georgia" w:cs="Arial"/>
                <w:szCs w:val="14"/>
              </w:rPr>
            </w:pPr>
            <w:r>
              <w:rPr>
                <w:rFonts w:ascii="Georgia" w:eastAsiaTheme="minorEastAsia" w:hAnsi="Georgia" w:cs="Arial"/>
                <w:b/>
                <w:szCs w:val="14"/>
              </w:rPr>
              <w:t>Revised</w:t>
            </w:r>
            <w:r w:rsidR="00E57351" w:rsidRPr="004C61F7">
              <w:rPr>
                <w:rFonts w:ascii="Georgia" w:eastAsiaTheme="minorEastAsia" w:hAnsi="Georgia" w:cs="Arial"/>
                <w:b/>
                <w:szCs w:val="14"/>
              </w:rPr>
              <w:t>:</w:t>
            </w:r>
            <w:r>
              <w:rPr>
                <w:rFonts w:ascii="Georgia" w:eastAsiaTheme="minorEastAsia" w:hAnsi="Georgia" w:cs="Arial"/>
                <w:b/>
                <w:szCs w:val="14"/>
              </w:rPr>
              <w:t xml:space="preserve"> </w:t>
            </w:r>
            <w:r w:rsidRPr="006F7DE1">
              <w:rPr>
                <w:rFonts w:ascii="Georgia" w:eastAsiaTheme="minorEastAsia" w:hAnsi="Georgia" w:cs="Arial"/>
                <w:bCs/>
                <w:szCs w:val="14"/>
              </w:rPr>
              <w:t>9 May 2022</w:t>
            </w:r>
            <w:r w:rsidR="00E57351" w:rsidRPr="004C61F7">
              <w:rPr>
                <w:rFonts w:ascii="Georgia" w:eastAsiaTheme="minorEastAsia" w:hAnsi="Georgia" w:cs="Arial"/>
                <w:b/>
                <w:szCs w:val="14"/>
              </w:rPr>
              <w:t xml:space="preserve"> </w:t>
            </w:r>
          </w:p>
          <w:p w14:paraId="5135DBFF" w14:textId="2A703FE8" w:rsidR="00E57351" w:rsidRPr="004C61F7" w:rsidRDefault="006F7DE1" w:rsidP="00E57351">
            <w:pPr>
              <w:pStyle w:val="MDPI14history"/>
              <w:spacing w:after="240"/>
              <w:rPr>
                <w:rFonts w:ascii="Georgia" w:eastAsiaTheme="minorEastAsia" w:hAnsi="Georgia" w:cs="Arial"/>
                <w:szCs w:val="14"/>
              </w:rPr>
            </w:pPr>
            <w:r>
              <w:rPr>
                <w:rFonts w:ascii="Georgia" w:eastAsiaTheme="minorEastAsia" w:hAnsi="Georgia" w:cs="Arial"/>
                <w:b/>
                <w:szCs w:val="14"/>
              </w:rPr>
              <w:t>Accepted</w:t>
            </w:r>
            <w:r w:rsidR="00E57351" w:rsidRPr="004C61F7">
              <w:rPr>
                <w:rFonts w:ascii="Georgia" w:eastAsiaTheme="minorEastAsia" w:hAnsi="Georgia" w:cs="Arial"/>
                <w:b/>
                <w:szCs w:val="14"/>
              </w:rPr>
              <w:t>:</w:t>
            </w:r>
            <w:r>
              <w:rPr>
                <w:rFonts w:ascii="Georgia" w:eastAsiaTheme="minorEastAsia" w:hAnsi="Georgia" w:cs="Arial"/>
                <w:b/>
                <w:szCs w:val="14"/>
              </w:rPr>
              <w:t xml:space="preserve"> </w:t>
            </w:r>
            <w:r w:rsidRPr="006F7DE1">
              <w:rPr>
                <w:rFonts w:ascii="Georgia" w:eastAsiaTheme="minorEastAsia" w:hAnsi="Georgia" w:cs="Arial"/>
                <w:bCs/>
                <w:szCs w:val="14"/>
              </w:rPr>
              <w:t>15 Jul 2022</w:t>
            </w:r>
            <w:r w:rsidR="00E57351" w:rsidRPr="004C61F7">
              <w:rPr>
                <w:rFonts w:ascii="Georgia" w:eastAsiaTheme="minorEastAsia" w:hAnsi="Georgia" w:cs="Arial"/>
                <w:szCs w:val="14"/>
              </w:rPr>
              <w:t xml:space="preserve"> </w:t>
            </w:r>
          </w:p>
          <w:p w14:paraId="1A45AFF6" w14:textId="44D8F549" w:rsidR="00E57351" w:rsidRPr="004C61F7" w:rsidRDefault="00E57351" w:rsidP="00E57351">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00425B99">
              <w:rPr>
                <w:rStyle w:val="normaltextrun"/>
                <w:rFonts w:ascii="Georgia" w:eastAsiaTheme="minorEastAsia" w:hAnsi="Georgia" w:cs="Arial"/>
                <w:b/>
                <w:color w:val="000000" w:themeColor="text1"/>
                <w:sz w:val="14"/>
                <w:szCs w:val="14"/>
              </w:rPr>
              <w:t xml:space="preserve"> </w:t>
            </w:r>
            <w:r w:rsidR="00500C7A" w:rsidRPr="00500C7A">
              <w:rPr>
                <w:rStyle w:val="normaltextrun"/>
                <w:rFonts w:ascii="Georgia" w:eastAsiaTheme="minorEastAsia" w:hAnsi="Georgia" w:cs="Arial"/>
                <w:color w:val="000000" w:themeColor="text1"/>
                <w:sz w:val="14"/>
                <w:szCs w:val="14"/>
              </w:rPr>
              <w:t>Lindahl, G., Brambilla, A., Barach, P. &amp; Capolongo, S. (2022). Staff retention – the hidden issue in design and organizing of healthcare facilities. The Evolving Scholar | ARCH22.</w:t>
            </w:r>
            <w:r w:rsidRPr="004C61F7">
              <w:rPr>
                <w:rStyle w:val="normaltextrun"/>
                <w:rFonts w:ascii="Georgia" w:eastAsiaTheme="minorEastAsia" w:hAnsi="Georgia" w:cs="Arial"/>
                <w:color w:val="000000" w:themeColor="text1"/>
                <w:sz w:val="14"/>
                <w:szCs w:val="14"/>
              </w:rPr>
              <w:t xml:space="preserve"> </w:t>
            </w:r>
          </w:p>
          <w:p w14:paraId="7FC4D59B" w14:textId="06B7FB43" w:rsidR="00E57351" w:rsidRDefault="00E57351" w:rsidP="00E57351">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3D4395AB" w14:textId="77777777" w:rsidR="00E57351" w:rsidRDefault="00E57351" w:rsidP="00E57351">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64D18C6C" w14:textId="77777777" w:rsidR="00E57351" w:rsidRPr="0058367F" w:rsidRDefault="00E57351" w:rsidP="00E5735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5604FA21" w14:textId="77777777" w:rsidR="00E57351" w:rsidRPr="004C61F7" w:rsidRDefault="00E57351" w:rsidP="00E5735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17FC973D" w14:textId="1FBA3ED8" w:rsidR="00E57351" w:rsidRPr="005C6417" w:rsidRDefault="00E57351" w:rsidP="00E5735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500C7A" w:rsidRPr="00500C7A">
              <w:rPr>
                <w:rStyle w:val="normaltextrun"/>
                <w:rFonts w:ascii="Georgia" w:eastAsiaTheme="minorEastAsia" w:hAnsi="Georgia" w:cs="Arial"/>
                <w:color w:val="000000" w:themeColor="text1"/>
                <w:sz w:val="14"/>
                <w:szCs w:val="14"/>
              </w:rPr>
              <w:t>Lindahl, G., Brambilla, A., Barach, P. &amp; Capolongo, S.</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5042AB11" w14:textId="77777777" w:rsidR="00E57351" w:rsidRPr="005C6417" w:rsidRDefault="00E57351" w:rsidP="00E57351">
            <w:pPr>
              <w:adjustRightInd w:val="0"/>
              <w:snapToGrid w:val="0"/>
              <w:spacing w:before="60" w:line="240" w:lineRule="atLeast"/>
              <w:ind w:right="113"/>
              <w:rPr>
                <w:rFonts w:ascii="Georgia" w:eastAsiaTheme="minorEastAsia" w:hAnsi="Georgia" w:cs="Arial"/>
                <w:bCs/>
                <w:sz w:val="14"/>
                <w:szCs w:val="14"/>
                <w:lang w:bidi="en-US"/>
              </w:rPr>
            </w:pPr>
          </w:p>
        </w:tc>
      </w:tr>
      <w:tr w:rsidR="00552460" w:rsidRPr="005C6417" w14:paraId="420CA0B8" w14:textId="77777777" w:rsidTr="006F7DE1">
        <w:trPr>
          <w:trHeight w:val="380"/>
        </w:trPr>
        <w:tc>
          <w:tcPr>
            <w:tcW w:w="1985" w:type="dxa"/>
            <w:shd w:val="clear" w:color="auto" w:fill="auto"/>
          </w:tcPr>
          <w:p w14:paraId="6B875674" w14:textId="77777777" w:rsidR="00552460" w:rsidRPr="004C61F7" w:rsidRDefault="00552460" w:rsidP="00E57351">
            <w:pPr>
              <w:rPr>
                <w:rFonts w:ascii="Georgia" w:eastAsiaTheme="minorEastAsia" w:hAnsi="Georgia" w:cs="Arial"/>
                <w:bCs/>
                <w:sz w:val="14"/>
                <w:szCs w:val="14"/>
              </w:rPr>
            </w:pPr>
          </w:p>
        </w:tc>
      </w:tr>
    </w:tbl>
    <w:p w14:paraId="6C7BE88E" w14:textId="2BBC99E0" w:rsidR="00942C72" w:rsidRPr="00D45574" w:rsidRDefault="00433756" w:rsidP="00BD3555">
      <w:pPr>
        <w:pStyle w:val="MDPI21heading1"/>
        <w:rPr>
          <w:shd w:val="clear" w:color="auto" w:fill="FFFFFF"/>
          <w:lang w:val="en-GB"/>
        </w:rPr>
      </w:pPr>
      <w:r>
        <w:rPr>
          <w:shd w:val="clear" w:color="auto" w:fill="FFFFFF"/>
          <w:lang w:val="en-GB"/>
        </w:rPr>
        <w:t xml:space="preserve">1. </w:t>
      </w:r>
      <w:r w:rsidR="00942C72" w:rsidRPr="00D45574">
        <w:rPr>
          <w:shd w:val="clear" w:color="auto" w:fill="FFFFFF"/>
          <w:lang w:val="en-GB"/>
        </w:rPr>
        <w:t>Problem setting</w:t>
      </w:r>
      <w:r w:rsidR="009F3DD3">
        <w:rPr>
          <w:shd w:val="clear" w:color="auto" w:fill="FFFFFF"/>
          <w:lang w:val="en-GB"/>
        </w:rPr>
        <w:t>: healthcare facilities and healthcare staff</w:t>
      </w:r>
    </w:p>
    <w:p w14:paraId="05277B6D" w14:textId="02BB74C9" w:rsidR="00552460" w:rsidRPr="00BD3555" w:rsidRDefault="00552460" w:rsidP="00BD3555">
      <w:pPr>
        <w:pStyle w:val="MDPI22heading2"/>
      </w:pPr>
      <w:r w:rsidRPr="00BD3555">
        <w:t>Healthcare facilities and healthcare workers</w:t>
      </w:r>
    </w:p>
    <w:p w14:paraId="3A4B2066" w14:textId="7B5E20B3" w:rsidR="00E57351" w:rsidRDefault="00E57351" w:rsidP="00D45574">
      <w:pPr>
        <w:pStyle w:val="MDPI31text"/>
        <w:rPr>
          <w:bCs/>
          <w:shd w:val="clear" w:color="auto" w:fill="FFFFFF"/>
          <w:lang w:val="en-GB"/>
        </w:rPr>
      </w:pPr>
      <w:r>
        <w:rPr>
          <w:bCs/>
          <w:shd w:val="clear" w:color="auto" w:fill="FFFFFF"/>
          <w:lang w:val="en-GB"/>
        </w:rPr>
        <w:t xml:space="preserve">Healthcare facilities are complex infrastructures that host a multitude of diverse users. It might be seen as a “city in the city” where different environmental settings host different type of users. Patients of course, but also visitors, doctors, nurses, nurses aid, technicians, maintenance staff, salesman, </w:t>
      </w:r>
      <w:r w:rsidR="003F1005">
        <w:rPr>
          <w:bCs/>
          <w:shd w:val="clear" w:color="auto" w:fill="FFFFFF"/>
          <w:lang w:val="en-GB"/>
        </w:rPr>
        <w:t>employees,</w:t>
      </w:r>
      <w:r>
        <w:rPr>
          <w:bCs/>
          <w:shd w:val="clear" w:color="auto" w:fill="FFFFFF"/>
          <w:lang w:val="en-GB"/>
        </w:rPr>
        <w:t xml:space="preserve"> and managers inhabit every day the different healthcare settings. </w:t>
      </w:r>
    </w:p>
    <w:p w14:paraId="3C29A736" w14:textId="11FCAF60" w:rsidR="00E57351" w:rsidRDefault="00E57351" w:rsidP="00D45574">
      <w:pPr>
        <w:pStyle w:val="MDPI31text"/>
        <w:rPr>
          <w:bCs/>
          <w:shd w:val="clear" w:color="auto" w:fill="FFFFFF"/>
          <w:lang w:val="en-GB"/>
        </w:rPr>
      </w:pPr>
      <w:r>
        <w:rPr>
          <w:bCs/>
          <w:shd w:val="clear" w:color="auto" w:fill="FFFFFF"/>
          <w:lang w:val="en-GB"/>
        </w:rPr>
        <w:t xml:space="preserve">Some users are </w:t>
      </w:r>
      <w:r w:rsidR="00F17688">
        <w:rPr>
          <w:bCs/>
          <w:shd w:val="clear" w:color="auto" w:fill="FFFFFF"/>
          <w:lang w:val="en-GB"/>
        </w:rPr>
        <w:t xml:space="preserve">temporary </w:t>
      </w:r>
      <w:r>
        <w:rPr>
          <w:bCs/>
          <w:shd w:val="clear" w:color="auto" w:fill="FFFFFF"/>
          <w:lang w:val="en-GB"/>
        </w:rPr>
        <w:t xml:space="preserve">while others, such as healthcare staff use the healthcare setting as </w:t>
      </w:r>
      <w:r w:rsidR="00F17688">
        <w:rPr>
          <w:bCs/>
          <w:shd w:val="clear" w:color="auto" w:fill="FFFFFF"/>
          <w:lang w:val="en-GB"/>
        </w:rPr>
        <w:t>their everyday</w:t>
      </w:r>
      <w:r>
        <w:rPr>
          <w:bCs/>
          <w:shd w:val="clear" w:color="auto" w:fill="FFFFFF"/>
          <w:lang w:val="en-GB"/>
        </w:rPr>
        <w:t xml:space="preserve"> workplace </w:t>
      </w:r>
      <w:r w:rsidR="00EA7276">
        <w:rPr>
          <w:bCs/>
          <w:shd w:val="clear" w:color="auto" w:fill="FFFFFF"/>
          <w:lang w:val="en-GB"/>
        </w:rPr>
        <w:t xml:space="preserve">expecting </w:t>
      </w:r>
      <w:r w:rsidR="00F17688">
        <w:rPr>
          <w:bCs/>
          <w:shd w:val="clear" w:color="auto" w:fill="FFFFFF"/>
          <w:lang w:val="en-GB"/>
        </w:rPr>
        <w:t xml:space="preserve">that </w:t>
      </w:r>
      <w:r w:rsidR="00EA7276">
        <w:rPr>
          <w:bCs/>
          <w:shd w:val="clear" w:color="auto" w:fill="FFFFFF"/>
          <w:lang w:val="en-GB"/>
        </w:rPr>
        <w:t xml:space="preserve">it </w:t>
      </w:r>
      <w:r w:rsidR="00F17688">
        <w:rPr>
          <w:bCs/>
          <w:shd w:val="clear" w:color="auto" w:fill="FFFFFF"/>
          <w:lang w:val="en-GB"/>
        </w:rPr>
        <w:t>sh</w:t>
      </w:r>
      <w:r w:rsidR="00EA7276">
        <w:rPr>
          <w:bCs/>
          <w:shd w:val="clear" w:color="auto" w:fill="FFFFFF"/>
          <w:lang w:val="en-GB"/>
        </w:rPr>
        <w:t>all</w:t>
      </w:r>
      <w:r w:rsidR="00F17688">
        <w:rPr>
          <w:bCs/>
          <w:shd w:val="clear" w:color="auto" w:fill="FFFFFF"/>
          <w:lang w:val="en-GB"/>
        </w:rPr>
        <w:t xml:space="preserve"> provide safety, functionality, comfort etc</w:t>
      </w:r>
      <w:r>
        <w:rPr>
          <w:bCs/>
          <w:shd w:val="clear" w:color="auto" w:fill="FFFFFF"/>
          <w:lang w:val="en-GB"/>
        </w:rPr>
        <w:t>. This is</w:t>
      </w:r>
      <w:r w:rsidR="00F17688">
        <w:rPr>
          <w:bCs/>
          <w:shd w:val="clear" w:color="auto" w:fill="FFFFFF"/>
          <w:lang w:val="en-GB"/>
        </w:rPr>
        <w:t xml:space="preserve">, however, </w:t>
      </w:r>
      <w:r>
        <w:rPr>
          <w:bCs/>
          <w:shd w:val="clear" w:color="auto" w:fill="FFFFFF"/>
          <w:lang w:val="en-GB"/>
        </w:rPr>
        <w:t xml:space="preserve">not always </w:t>
      </w:r>
      <w:r w:rsidR="00F17688">
        <w:rPr>
          <w:bCs/>
          <w:shd w:val="clear" w:color="auto" w:fill="FFFFFF"/>
          <w:lang w:val="en-GB"/>
        </w:rPr>
        <w:t xml:space="preserve">the case and </w:t>
      </w:r>
      <w:r>
        <w:rPr>
          <w:bCs/>
          <w:shd w:val="clear" w:color="auto" w:fill="FFFFFF"/>
          <w:lang w:val="en-GB"/>
        </w:rPr>
        <w:t>the space</w:t>
      </w:r>
      <w:r w:rsidR="00EA7276">
        <w:rPr>
          <w:bCs/>
          <w:shd w:val="clear" w:color="auto" w:fill="FFFFFF"/>
          <w:lang w:val="en-GB"/>
        </w:rPr>
        <w:t>s</w:t>
      </w:r>
      <w:r>
        <w:rPr>
          <w:bCs/>
          <w:shd w:val="clear" w:color="auto" w:fill="FFFFFF"/>
          <w:lang w:val="en-GB"/>
        </w:rPr>
        <w:t xml:space="preserve"> for healthcare staff is often excluded from</w:t>
      </w:r>
      <w:r w:rsidR="00F17688">
        <w:rPr>
          <w:bCs/>
          <w:shd w:val="clear" w:color="auto" w:fill="FFFFFF"/>
          <w:lang w:val="en-GB"/>
        </w:rPr>
        <w:t xml:space="preserve"> attention</w:t>
      </w:r>
      <w:r>
        <w:rPr>
          <w:bCs/>
          <w:shd w:val="clear" w:color="auto" w:fill="FFFFFF"/>
          <w:lang w:val="en-GB"/>
        </w:rPr>
        <w:t xml:space="preserve"> in healthcare </w:t>
      </w:r>
      <w:r w:rsidR="00F17688">
        <w:rPr>
          <w:bCs/>
          <w:shd w:val="clear" w:color="auto" w:fill="FFFFFF"/>
          <w:lang w:val="en-GB"/>
        </w:rPr>
        <w:t xml:space="preserve">facilities </w:t>
      </w:r>
      <w:r>
        <w:rPr>
          <w:bCs/>
          <w:shd w:val="clear" w:color="auto" w:fill="FFFFFF"/>
          <w:lang w:val="en-GB"/>
        </w:rPr>
        <w:t>planning</w:t>
      </w:r>
      <w:r w:rsidR="00EA7276">
        <w:rPr>
          <w:bCs/>
          <w:shd w:val="clear" w:color="auto" w:fill="FFFFFF"/>
          <w:lang w:val="en-GB"/>
        </w:rPr>
        <w:t>, design</w:t>
      </w:r>
      <w:r w:rsidR="00CE3A8F">
        <w:rPr>
          <w:bCs/>
          <w:shd w:val="clear" w:color="auto" w:fill="FFFFFF"/>
          <w:lang w:val="en-GB"/>
        </w:rPr>
        <w:t xml:space="preserve"> and evaluation processes </w:t>
      </w:r>
      <w:r w:rsidR="00EA7276">
        <w:rPr>
          <w:bCs/>
          <w:shd w:val="clear" w:color="auto" w:fill="FFFFFF"/>
          <w:lang w:val="en-GB"/>
        </w:rPr>
        <w:t>which</w:t>
      </w:r>
      <w:r w:rsidR="00CE3A8F">
        <w:rPr>
          <w:bCs/>
          <w:shd w:val="clear" w:color="auto" w:fill="FFFFFF"/>
          <w:lang w:val="en-GB"/>
        </w:rPr>
        <w:t xml:space="preserve"> mainly </w:t>
      </w:r>
      <w:r w:rsidR="00EA7276">
        <w:rPr>
          <w:bCs/>
          <w:shd w:val="clear" w:color="auto" w:fill="FFFFFF"/>
          <w:lang w:val="en-GB"/>
        </w:rPr>
        <w:t xml:space="preserve">are </w:t>
      </w:r>
      <w:r w:rsidR="00CE3A8F">
        <w:rPr>
          <w:bCs/>
          <w:shd w:val="clear" w:color="auto" w:fill="FFFFFF"/>
          <w:lang w:val="en-GB"/>
        </w:rPr>
        <w:t>focused on patients rather than staff</w:t>
      </w:r>
      <w:r w:rsidR="00EA7276">
        <w:rPr>
          <w:bCs/>
          <w:shd w:val="clear" w:color="auto" w:fill="FFFFFF"/>
          <w:lang w:val="en-GB"/>
        </w:rPr>
        <w:t xml:space="preserve"> </w:t>
      </w:r>
      <w:r w:rsidR="00CE3A8F">
        <w:rPr>
          <w:bCs/>
          <w:shd w:val="clear" w:color="auto" w:fill="FFFFFF"/>
          <w:lang w:val="en-GB"/>
        </w:rPr>
        <w:fldChar w:fldCharType="begin"/>
      </w:r>
      <w:r w:rsidR="00CE3A8F">
        <w:rPr>
          <w:bCs/>
          <w:shd w:val="clear" w:color="auto" w:fill="FFFFFF"/>
          <w:lang w:val="en-GB"/>
        </w:rPr>
        <w:instrText xml:space="preserve"> ADDIN ZOTERO_ITEM CSL_CITATION {"citationID":"bkwXLqu9","properties":{"formattedCitation":"(Han et al., 2018)","plainCitation":"(Han et al., 2018)","noteIndex":0},"citationItems":[{"id":1009,"uris":["http://zotero.org/users/local/AdhdAbFn/items/ZNYW8WMT"],"itemData":{"id":1009,"type":"article-journal","container-title":"Building and Environment","DOI":"10.1016/j.buildenv.2018.08.023","ISSN":"03601323","journalAbbreviation":"Building and Environment","language":"en","page":"532-541","source":"DOI.org (Crossref)","title":"A measurement for evaluating the environmental quality of advanced healthcare facilities: Intelligent healthscape quality for medical staff","title-short":"A measurement for evaluating the environmental quality of advanced healthcare facilities","volume":"144","author":[{"family":"Han","given":"Jieun"},{"family":"Kang","given":"Hyo-Jin"},{"family":"Kwon","given":"Gyu Hyun"}],"issued":{"date-parts":[["2018",10]]}}}],"schema":"https://github.com/citation-style-language/schema/raw/master/csl-citation.json"} </w:instrText>
      </w:r>
      <w:r w:rsidR="00CE3A8F">
        <w:rPr>
          <w:bCs/>
          <w:shd w:val="clear" w:color="auto" w:fill="FFFFFF"/>
          <w:lang w:val="en-GB"/>
        </w:rPr>
        <w:fldChar w:fldCharType="separate"/>
      </w:r>
      <w:r w:rsidR="0013312D">
        <w:rPr>
          <w:bCs/>
          <w:noProof/>
          <w:shd w:val="clear" w:color="auto" w:fill="FFFFFF"/>
          <w:lang w:val="en-GB"/>
        </w:rPr>
        <w:t>(Han et al., 2018)</w:t>
      </w:r>
      <w:r w:rsidR="00CE3A8F">
        <w:rPr>
          <w:bCs/>
          <w:shd w:val="clear" w:color="auto" w:fill="FFFFFF"/>
          <w:lang w:val="en-GB"/>
        </w:rPr>
        <w:fldChar w:fldCharType="end"/>
      </w:r>
      <w:r>
        <w:rPr>
          <w:bCs/>
          <w:shd w:val="clear" w:color="auto" w:fill="FFFFFF"/>
          <w:lang w:val="en-GB"/>
        </w:rPr>
        <w:t>.</w:t>
      </w:r>
    </w:p>
    <w:p w14:paraId="0383CDD2" w14:textId="4A66AFFE" w:rsidR="00DA4C3B" w:rsidRDefault="008B2361" w:rsidP="00D45574">
      <w:pPr>
        <w:pStyle w:val="MDPI31text"/>
        <w:rPr>
          <w:bCs/>
          <w:shd w:val="clear" w:color="auto" w:fill="FFFFFF"/>
          <w:lang w:val="en-GB"/>
        </w:rPr>
      </w:pPr>
      <w:r>
        <w:rPr>
          <w:bCs/>
          <w:shd w:val="clear" w:color="auto" w:fill="FFFFFF"/>
          <w:lang w:val="en-GB"/>
        </w:rPr>
        <w:t>With</w:t>
      </w:r>
      <w:r w:rsidR="00E57351">
        <w:rPr>
          <w:bCs/>
          <w:shd w:val="clear" w:color="auto" w:fill="FFFFFF"/>
          <w:lang w:val="en-GB"/>
        </w:rPr>
        <w:t xml:space="preserve"> regards to work-related stress</w:t>
      </w:r>
      <w:r>
        <w:rPr>
          <w:bCs/>
          <w:shd w:val="clear" w:color="auto" w:fill="FFFFFF"/>
          <w:lang w:val="en-GB"/>
        </w:rPr>
        <w:t xml:space="preserve"> healthcare staff are no exception, rather the opposite.</w:t>
      </w:r>
      <w:r w:rsidR="00E57351">
        <w:rPr>
          <w:bCs/>
          <w:shd w:val="clear" w:color="auto" w:fill="FFFFFF"/>
          <w:lang w:val="en-GB"/>
        </w:rPr>
        <w:t xml:space="preserve"> </w:t>
      </w:r>
      <w:r>
        <w:rPr>
          <w:bCs/>
          <w:shd w:val="clear" w:color="auto" w:fill="FFFFFF"/>
          <w:lang w:val="en-GB"/>
        </w:rPr>
        <w:t>Workload in healthcare concerns people’s health</w:t>
      </w:r>
      <w:r w:rsidR="00015F99">
        <w:rPr>
          <w:bCs/>
          <w:shd w:val="clear" w:color="auto" w:fill="FFFFFF"/>
          <w:lang w:val="en-GB"/>
        </w:rPr>
        <w:t xml:space="preserve"> and</w:t>
      </w:r>
      <w:r>
        <w:rPr>
          <w:bCs/>
          <w:shd w:val="clear" w:color="auto" w:fill="FFFFFF"/>
          <w:lang w:val="en-GB"/>
        </w:rPr>
        <w:t xml:space="preserve"> often under pressure, a situation that</w:t>
      </w:r>
      <w:r w:rsidR="00E57351">
        <w:rPr>
          <w:bCs/>
          <w:shd w:val="clear" w:color="auto" w:fill="FFFFFF"/>
          <w:lang w:val="en-GB"/>
        </w:rPr>
        <w:t xml:space="preserve"> can eventually lead to </w:t>
      </w:r>
      <w:r w:rsidR="00E57351" w:rsidRPr="00E57351">
        <w:rPr>
          <w:bCs/>
          <w:shd w:val="clear" w:color="auto" w:fill="FFFFFF"/>
          <w:lang w:val="en-GB"/>
        </w:rPr>
        <w:t xml:space="preserve">relational problems, anxiety, burnout, substance abuse, to develop depression syndrome and </w:t>
      </w:r>
      <w:r w:rsidR="00015F99">
        <w:rPr>
          <w:bCs/>
          <w:shd w:val="clear" w:color="auto" w:fill="FFFFFF"/>
          <w:lang w:val="en-GB"/>
        </w:rPr>
        <w:t>use of</w:t>
      </w:r>
      <w:r w:rsidR="00E57351" w:rsidRPr="00E57351">
        <w:rPr>
          <w:bCs/>
          <w:shd w:val="clear" w:color="auto" w:fill="FFFFFF"/>
          <w:lang w:val="en-GB"/>
        </w:rPr>
        <w:t xml:space="preserve"> antidepressant drugs, or even suicide</w:t>
      </w:r>
      <w:r w:rsidR="00E57351">
        <w:rPr>
          <w:bCs/>
          <w:shd w:val="clear" w:color="auto" w:fill="FFFFFF"/>
          <w:lang w:val="en-GB"/>
        </w:rPr>
        <w:t xml:space="preserve"> </w:t>
      </w:r>
      <w:r w:rsidR="00E57351">
        <w:rPr>
          <w:bCs/>
          <w:shd w:val="clear" w:color="auto" w:fill="FFFFFF"/>
          <w:lang w:val="en-GB"/>
        </w:rPr>
        <w:fldChar w:fldCharType="begin"/>
      </w:r>
      <w:r w:rsidR="00930289">
        <w:rPr>
          <w:bCs/>
          <w:shd w:val="clear" w:color="auto" w:fill="FFFFFF"/>
          <w:lang w:val="en-GB"/>
        </w:rPr>
        <w:instrText xml:space="preserve"> ADDIN ZOTERO_ITEM CSL_CITATION {"citationID":"Uf7UADQA","properties":{"formattedCitation":"(Liu et al., 2014; Wallace et al., 2009; Zamani, 2019)","plainCitation":"(Liu et al., 2014; Wallace et al., 2009; Zamani, 2019)","noteIndex":0},"citationItems":[{"id":1011,"uris":["http://zotero.org/users/local/AdhdAbFn/items/4K562L3N"],"itemData":{"id":1011,"type":"article-journal","container-title":"Health &amp; Place","DOI":"10.1016/j.healthplace.2013.12.017","ISSN":"13538292","journalAbbreviation":"Health &amp; Place","language":"en","page":"188-198","source":"DOI.org (Crossref)","title":"The effects of physical environments in medical wards on medication communication processes affecting patient safety","volume":"26","author":[{"family":"Liu","given":"Wei"},{"family":"Manias","given":"Elizabeth"},{"family":"Gerdtz","given":"Marie"}],"issued":{"date-parts":[["2014",3]]}}},{"id":376,"uris":["http://zotero.org/users/local/AdhdAbFn/items/NKDUF47K"],"itemData":{"id":376,"type":"article-journal","container-title":"The Lancet","DOI":"10.1016/S0140-6736(09)61424-0","ISSN":"01406736","issue":"9702","journalAbbreviation":"The Lancet","language":"en","page":"1714-1721","source":"DOI.org (Crossref)","title":"Physician wellness: a missing quality indicator","title-short":"Physician wellness","volume":"374","author":[{"family":"Wallace","given":"Jean E"},{"family":"Lemaire","given":"Jane B"},{"family":"Ghali","given":"William A"}],"issued":{"date-parts":[["2009",11]]}}},{"id":1010,"uris":["http://zotero.org/users/local/AdhdAbFn/items/F5LQMVMA"],"itemData":{"id":1010,"type":"article-journal","abstract":"Objective:\n              The purpose of this study was to identify the role of emergency department (ED) design on ED staff satisfaction and performance.\n            \n            \n              Background:\n              High patient volume, surging workloads, and violent behaviors are expected pressures for ED staff. Literature suggests the substantial role of the physical environment in the delivery of care and its role in staff and patient experiences. Nevertheless, limited studies have explored simultaneous interactions between ED physical design elements, attributes (security, wayfinding, visibility, privacy, and efficiency), and staff satisfaction or performance.\n            \n            \n              Method:\n              Interviews, surveys, visibility graph analysis, and agent simulations were employed to understand the connection between ED physical design, attributes, performance, and staff satisfaction.\n            \n            \n              Results:\n              Enhanced security, effective wayfinding, team visibility, noise reduction, adequate privacy, and accessible supplies and equipment were significant predictors of staff satisfaction and performance. Unobstructed views in waiting and triage and controlled entrances were critical for improving security. To improve wayfinding, eye-level signage, reducing surveillance obstacles, and creating direct public routes were recommended. Rectangular units with multiple perpendicularly connected corridors and linear pod arrangements enhanced movement. Including team rooms and enclosed ERs were recommended for privacy improvements. Visibility was critical for team communication and improved by including short-distanced perpendicular corridors and eliminating columns. Enhancing access to supplies or equipment and reducing noise levels improved the perception of staff efficiency.\n            \n            \n              Conclusion:\n              The findings contribute to the general body of knowledge on the impact of ED physical design on attributes that potentially improve staff satisfaction and work performance.","container-title":"HERD: Health Environments Research &amp; Design Journal","DOI":"10.1177/1937586718800482","ISSN":"1937-5867, 2167-5112","issue":"3","journalAbbreviation":"HERD","language":"en","page":"72-88","source":"DOI.org (Crossref)","title":"Effects of Emergency Department Physical Design Elements on Security, Wayfinding, Visibility, Privacy, and Efficiency and Its Implications on Staff Satisfaction and Performance","volume":"12","author":[{"family":"Zamani","given":"Zahra"}],"issued":{"date-parts":[["2019",7]]}}}],"schema":"https://github.com/citation-style-language/schema/raw/master/csl-citation.json"} </w:instrText>
      </w:r>
      <w:r w:rsidR="00E57351">
        <w:rPr>
          <w:bCs/>
          <w:shd w:val="clear" w:color="auto" w:fill="FFFFFF"/>
          <w:lang w:val="en-GB"/>
        </w:rPr>
        <w:fldChar w:fldCharType="separate"/>
      </w:r>
      <w:r w:rsidR="0013312D">
        <w:rPr>
          <w:bCs/>
          <w:shd w:val="clear" w:color="auto" w:fill="FFFFFF"/>
          <w:lang w:val="en-GB"/>
        </w:rPr>
        <w:t>(Liu et al., 2014; Wallace et al., 2009; Zamani, 2019)</w:t>
      </w:r>
      <w:r w:rsidR="00E57351">
        <w:rPr>
          <w:bCs/>
          <w:shd w:val="clear" w:color="auto" w:fill="FFFFFF"/>
          <w:lang w:val="en-GB"/>
        </w:rPr>
        <w:fldChar w:fldCharType="end"/>
      </w:r>
      <w:r w:rsidR="00E57351">
        <w:rPr>
          <w:bCs/>
          <w:shd w:val="clear" w:color="auto" w:fill="FFFFFF"/>
          <w:lang w:val="en-GB"/>
        </w:rPr>
        <w:t xml:space="preserve">. It is also known that </w:t>
      </w:r>
      <w:r w:rsidR="00E57351" w:rsidRPr="00E57351">
        <w:rPr>
          <w:bCs/>
          <w:shd w:val="clear" w:color="auto" w:fill="FFFFFF"/>
          <w:lang w:val="en-GB"/>
        </w:rPr>
        <w:t xml:space="preserve">burnout and depressive syndrome have an indirect </w:t>
      </w:r>
      <w:r>
        <w:rPr>
          <w:bCs/>
          <w:shd w:val="clear" w:color="auto" w:fill="FFFFFF"/>
          <w:lang w:val="en-GB"/>
        </w:rPr>
        <w:t>negative</w:t>
      </w:r>
      <w:r w:rsidR="00E57351" w:rsidRPr="00E57351">
        <w:rPr>
          <w:bCs/>
          <w:shd w:val="clear" w:color="auto" w:fill="FFFFFF"/>
          <w:lang w:val="en-GB"/>
        </w:rPr>
        <w:t xml:space="preserve"> influence on healthcare systems and on patient’s care</w:t>
      </w:r>
      <w:r w:rsidR="00E57351">
        <w:rPr>
          <w:bCs/>
          <w:shd w:val="clear" w:color="auto" w:fill="FFFFFF"/>
          <w:lang w:val="en-GB"/>
        </w:rPr>
        <w:t>.</w:t>
      </w:r>
      <w:r w:rsidR="00015F99">
        <w:rPr>
          <w:bCs/>
          <w:shd w:val="clear" w:color="auto" w:fill="FFFFFF"/>
          <w:lang w:val="en-GB"/>
        </w:rPr>
        <w:t xml:space="preserve"> (Fishbein et.al., 20</w:t>
      </w:r>
      <w:r w:rsidR="00331481">
        <w:rPr>
          <w:bCs/>
          <w:shd w:val="clear" w:color="auto" w:fill="FFFFFF"/>
          <w:lang w:val="en-GB"/>
        </w:rPr>
        <w:t>20</w:t>
      </w:r>
      <w:r w:rsidR="00015F99">
        <w:rPr>
          <w:bCs/>
          <w:shd w:val="clear" w:color="auto" w:fill="FFFFFF"/>
          <w:lang w:val="en-GB"/>
        </w:rPr>
        <w:t>)</w:t>
      </w:r>
      <w:r w:rsidR="00102CDE" w:rsidRPr="00FB3FC8">
        <w:rPr>
          <w:bCs/>
          <w:shd w:val="clear" w:color="auto" w:fill="FFFFFF"/>
          <w:lang w:val="en-GB"/>
        </w:rPr>
        <w:t xml:space="preserve"> </w:t>
      </w:r>
    </w:p>
    <w:p w14:paraId="554384F7" w14:textId="70C0270C" w:rsidR="008B2361" w:rsidRDefault="008B2361" w:rsidP="00D45574">
      <w:pPr>
        <w:pStyle w:val="MDPI31text"/>
        <w:rPr>
          <w:bCs/>
          <w:shd w:val="clear" w:color="auto" w:fill="FFFFFF"/>
          <w:lang w:val="en-GB"/>
        </w:rPr>
      </w:pPr>
      <w:r w:rsidRPr="00FB3FC8">
        <w:rPr>
          <w:bCs/>
          <w:shd w:val="clear" w:color="auto" w:fill="FFFFFF"/>
          <w:lang w:val="en-GB"/>
        </w:rPr>
        <w:t>The physical environment</w:t>
      </w:r>
      <w:r w:rsidR="0092201C">
        <w:rPr>
          <w:bCs/>
          <w:shd w:val="clear" w:color="auto" w:fill="FFFFFF"/>
          <w:lang w:val="en-GB"/>
        </w:rPr>
        <w:t xml:space="preserve"> and</w:t>
      </w:r>
      <w:r w:rsidRPr="00FB3FC8">
        <w:rPr>
          <w:bCs/>
          <w:shd w:val="clear" w:color="auto" w:fill="FFFFFF"/>
          <w:lang w:val="en-GB"/>
        </w:rPr>
        <w:t xml:space="preserve"> the </w:t>
      </w:r>
      <w:r>
        <w:rPr>
          <w:bCs/>
          <w:shd w:val="clear" w:color="auto" w:fill="FFFFFF"/>
          <w:lang w:val="en-GB"/>
        </w:rPr>
        <w:t xml:space="preserve">design of the </w:t>
      </w:r>
      <w:r w:rsidRPr="00FB3FC8">
        <w:rPr>
          <w:bCs/>
          <w:shd w:val="clear" w:color="auto" w:fill="FFFFFF"/>
          <w:lang w:val="en-GB"/>
        </w:rPr>
        <w:t>healthcare facilities</w:t>
      </w:r>
      <w:r w:rsidR="0092201C">
        <w:rPr>
          <w:bCs/>
          <w:shd w:val="clear" w:color="auto" w:fill="FFFFFF"/>
          <w:lang w:val="en-GB"/>
        </w:rPr>
        <w:t xml:space="preserve"> is being studied from several perspectives and</w:t>
      </w:r>
      <w:r w:rsidRPr="00FB3FC8">
        <w:rPr>
          <w:bCs/>
          <w:shd w:val="clear" w:color="auto" w:fill="FFFFFF"/>
          <w:lang w:val="en-GB"/>
        </w:rPr>
        <w:t xml:space="preserve"> various effects on patients and staff</w:t>
      </w:r>
      <w:r w:rsidR="0092201C">
        <w:rPr>
          <w:bCs/>
          <w:shd w:val="clear" w:color="auto" w:fill="FFFFFF"/>
          <w:lang w:val="en-GB"/>
        </w:rPr>
        <w:t xml:space="preserve"> are being investigated</w:t>
      </w:r>
      <w:r>
        <w:rPr>
          <w:bCs/>
          <w:shd w:val="clear" w:color="auto" w:fill="FFFFFF"/>
          <w:lang w:val="en-GB"/>
        </w:rPr>
        <w:t>.</w:t>
      </w:r>
      <w:r w:rsidR="00132F49">
        <w:rPr>
          <w:bCs/>
          <w:shd w:val="clear" w:color="auto" w:fill="FFFFFF"/>
          <w:lang w:val="en-GB"/>
        </w:rPr>
        <w:t xml:space="preserve"> (See e.g.:</w:t>
      </w:r>
      <w:r>
        <w:rPr>
          <w:bCs/>
          <w:shd w:val="clear" w:color="auto" w:fill="FFFFFF"/>
          <w:lang w:val="en-GB"/>
        </w:rPr>
        <w:t xml:space="preserve"> </w:t>
      </w:r>
      <w:proofErr w:type="spellStart"/>
      <w:r w:rsidR="00132F49" w:rsidRPr="00132F49">
        <w:rPr>
          <w:szCs w:val="20"/>
          <w:lang w:val="en-GB"/>
        </w:rPr>
        <w:t>Sadatsafavi</w:t>
      </w:r>
      <w:proofErr w:type="spellEnd"/>
      <w:r w:rsidR="00132F49" w:rsidRPr="00132F49">
        <w:rPr>
          <w:szCs w:val="20"/>
          <w:lang w:val="en-GB"/>
        </w:rPr>
        <w:t xml:space="preserve"> et.al., 2015</w:t>
      </w:r>
      <w:r w:rsidR="00132F49" w:rsidRPr="00132F49">
        <w:rPr>
          <w:bCs/>
          <w:szCs w:val="20"/>
          <w:shd w:val="clear" w:color="auto" w:fill="FFFFFF"/>
          <w:lang w:val="en-GB"/>
        </w:rPr>
        <w:t>)</w:t>
      </w:r>
      <w:r w:rsidR="00132F49">
        <w:rPr>
          <w:bCs/>
          <w:shd w:val="clear" w:color="auto" w:fill="FFFFFF"/>
          <w:lang w:val="en-GB"/>
        </w:rPr>
        <w:t xml:space="preserve"> </w:t>
      </w:r>
      <w:r>
        <w:rPr>
          <w:bCs/>
          <w:shd w:val="clear" w:color="auto" w:fill="FFFFFF"/>
          <w:lang w:val="en-GB"/>
        </w:rPr>
        <w:t xml:space="preserve">A main focus in research has </w:t>
      </w:r>
      <w:r w:rsidR="0092201C">
        <w:rPr>
          <w:bCs/>
          <w:shd w:val="clear" w:color="auto" w:fill="FFFFFF"/>
          <w:lang w:val="en-GB"/>
        </w:rPr>
        <w:t xml:space="preserve">however </w:t>
      </w:r>
      <w:r>
        <w:rPr>
          <w:bCs/>
          <w:shd w:val="clear" w:color="auto" w:fill="FFFFFF"/>
          <w:lang w:val="en-GB"/>
        </w:rPr>
        <w:t>concerned effects on patients</w:t>
      </w:r>
      <w:r w:rsidR="0092201C">
        <w:rPr>
          <w:bCs/>
          <w:shd w:val="clear" w:color="auto" w:fill="FFFFFF"/>
          <w:lang w:val="en-GB"/>
        </w:rPr>
        <w:t>. W</w:t>
      </w:r>
      <w:r>
        <w:rPr>
          <w:bCs/>
          <w:shd w:val="clear" w:color="auto" w:fill="FFFFFF"/>
          <w:lang w:val="en-GB"/>
        </w:rPr>
        <w:t xml:space="preserve">ith challenges to recruitment, to competence and capabilities there is a need to </w:t>
      </w:r>
      <w:r w:rsidR="0092201C">
        <w:rPr>
          <w:bCs/>
          <w:shd w:val="clear" w:color="auto" w:fill="FFFFFF"/>
          <w:lang w:val="en-GB"/>
        </w:rPr>
        <w:t>also develop</w:t>
      </w:r>
      <w:r>
        <w:rPr>
          <w:bCs/>
          <w:shd w:val="clear" w:color="auto" w:fill="FFFFFF"/>
          <w:lang w:val="en-GB"/>
        </w:rPr>
        <w:t xml:space="preserve"> healthcare facilities that support staff in</w:t>
      </w:r>
      <w:r w:rsidR="0092201C">
        <w:rPr>
          <w:bCs/>
          <w:shd w:val="clear" w:color="auto" w:fill="FFFFFF"/>
          <w:lang w:val="en-GB"/>
        </w:rPr>
        <w:t xml:space="preserve"> both clinical and </w:t>
      </w:r>
      <w:r>
        <w:rPr>
          <w:bCs/>
          <w:shd w:val="clear" w:color="auto" w:fill="FFFFFF"/>
          <w:lang w:val="en-GB"/>
        </w:rPr>
        <w:t xml:space="preserve">non-clinical work situations. There is a need for space for </w:t>
      </w:r>
      <w:r w:rsidR="00780F1D">
        <w:rPr>
          <w:bCs/>
          <w:shd w:val="clear" w:color="auto" w:fill="FFFFFF"/>
          <w:lang w:val="en-GB"/>
        </w:rPr>
        <w:t>work life rather than just work.</w:t>
      </w:r>
    </w:p>
    <w:p w14:paraId="3C325642" w14:textId="0BD8F80F" w:rsidR="00DA4C3B" w:rsidRDefault="00DA4C3B" w:rsidP="00D45574">
      <w:pPr>
        <w:pStyle w:val="MDPI31text"/>
        <w:rPr>
          <w:bCs/>
          <w:shd w:val="clear" w:color="auto" w:fill="FFFFFF"/>
          <w:lang w:val="en-GB"/>
        </w:rPr>
      </w:pPr>
    </w:p>
    <w:p w14:paraId="1DB10D53" w14:textId="0F64C6A7" w:rsidR="00552460" w:rsidRPr="00552460" w:rsidRDefault="00552460" w:rsidP="00BD3555">
      <w:pPr>
        <w:pStyle w:val="MDPI22heading2"/>
        <w:rPr>
          <w:shd w:val="clear" w:color="auto" w:fill="FFFFFF"/>
          <w:lang w:val="en-GB"/>
        </w:rPr>
      </w:pPr>
      <w:r w:rsidRPr="00552460">
        <w:rPr>
          <w:shd w:val="clear" w:color="auto" w:fill="FFFFFF"/>
          <w:lang w:val="en-GB"/>
        </w:rPr>
        <w:t>Healthcare workers ageing</w:t>
      </w:r>
    </w:p>
    <w:p w14:paraId="293E279C" w14:textId="6976A773" w:rsidR="007B4047" w:rsidRPr="00BD3555" w:rsidRDefault="00780F1D" w:rsidP="00BD3555">
      <w:pPr>
        <w:pStyle w:val="MDPI31text"/>
      </w:pPr>
      <w:r>
        <w:t>In</w:t>
      </w:r>
      <w:r w:rsidR="00D20D6F">
        <w:t xml:space="preserve"> </w:t>
      </w:r>
      <w:r w:rsidR="00DA4C3B" w:rsidRPr="00BD3555">
        <w:t xml:space="preserve">the last years, </w:t>
      </w:r>
      <w:r w:rsidR="00552460" w:rsidRPr="00BD3555">
        <w:t>the phenomenon known as “workforce aging”</w:t>
      </w:r>
      <w:r w:rsidR="0092201C">
        <w:t xml:space="preserve">, not least due to changes in demography, </w:t>
      </w:r>
      <w:r>
        <w:t>has become a recurring term</w:t>
      </w:r>
      <w:r w:rsidR="00552460" w:rsidRPr="00BD3555">
        <w:t xml:space="preserve">. This is particularly relevant in </w:t>
      </w:r>
      <w:r>
        <w:t xml:space="preserve">the </w:t>
      </w:r>
      <w:r w:rsidR="00552460" w:rsidRPr="00BD3555">
        <w:t>healthcare sector where the time needed to have an autonomous healthcare worker is consistent and linked to university operations, internship in hospitals, ratio between experienced and new staff.</w:t>
      </w:r>
      <w:r w:rsidR="005C4401" w:rsidRPr="00BD3555">
        <w:t xml:space="preserve"> </w:t>
      </w:r>
      <w:r w:rsidR="007B4047" w:rsidRPr="00BD3555">
        <w:t xml:space="preserve">The supply of health care workers may decrease as they </w:t>
      </w:r>
      <w:r w:rsidRPr="00BD3555">
        <w:t>age,</w:t>
      </w:r>
      <w:r w:rsidR="007B4047" w:rsidRPr="00BD3555">
        <w:t xml:space="preserve"> and large numbers retire and/or reduce their working hours. Older adults also consume a disproportionately large share of health care services, so demand for these services will grow. The aging of the population will also affect the nature of the skills and services the health care workforce must be equipped to provide and the settings in which it is provided</w:t>
      </w:r>
      <w:r w:rsidR="005C4401" w:rsidRPr="00BD3555">
        <w:fldChar w:fldCharType="begin"/>
      </w:r>
      <w:r w:rsidR="00D20D6F">
        <w:instrText xml:space="preserve"> ADDIN ZOTERO_ITEM CSL_CITATION {"citationID":"X02C9tkL","properties":{"formattedCitation":"(Ilmarinen, 2006; Rechel et al., 2013)","plainCitation":"(Ilmarinen, 2006; Rechel et al., 2013)","noteIndex":0},"citationItems":[{"id":1000,"uris":["http://zotero.org/users/local/AdhdAbFn/items/XQFLAD8P"],"itemData":{"id":1000,"type":"article-journal","container-title":"Occupational Medicine","DOI":"10.1093/occmed/kql046","ISSN":"1471-8405, 0962-7480","issue":"6","language":"en","page":"362-364","source":"DOI.org (Crossref)","title":"The ageing workforce—challenges for occupational health","volume":"56","author":[{"family":"Ilmarinen","given":"J."}],"issued":{"date-parts":[["2006",9,1]]}}},{"id":999,"uris":["http://zotero.org/users/local/AdhdAbFn/items/Q4X254HW"],"itemData":{"id":999,"type":"article-journal","container-title":"The Lancet","DOI":"10.1016/S0140-6736(12)62087-X","ISSN":"01406736","issue":"9874","journalAbbreviation":"The Lancet","language":"en","page":"1312-1322","source":"DOI.org (Crossref)","title":"Ageing in the European Union","volume":"381","author":[{"family":"Rechel","given":"Bernd"},{"family":"Grundy","given":"Emily"},{"family":"Robine","given":"Jean-Marie"},{"family":"Cylus","given":"Jonathan"},{"family":"Mackenbach","given":"Johan P"},{"family":"Knai","given":"Cecile"},{"family":"McKee","given":"Martin"}],"issued":{"date-parts":[["2013",4]]}}}],"schema":"https://github.com/citation-style-language/schema/raw/master/csl-citation.json"} </w:instrText>
      </w:r>
      <w:r w:rsidR="005C4401" w:rsidRPr="00BD3555">
        <w:fldChar w:fldCharType="separate"/>
      </w:r>
      <w:r w:rsidR="0013312D">
        <w:t>(Ilmarinen, 2006; Rechel et al., 2013)</w:t>
      </w:r>
      <w:r w:rsidR="005C4401" w:rsidRPr="00BD3555">
        <w:fldChar w:fldCharType="end"/>
      </w:r>
      <w:r w:rsidR="00942C72" w:rsidRPr="00BD3555">
        <w:t>.</w:t>
      </w:r>
      <w:r>
        <w:t xml:space="preserve"> So</w:t>
      </w:r>
      <w:r w:rsidR="0015293E">
        <w:t>,</w:t>
      </w:r>
      <w:r>
        <w:t xml:space="preserve"> with an ageing population, we also face an ageing workforce.</w:t>
      </w:r>
      <w:r w:rsidR="00942C72" w:rsidRPr="00BD3555">
        <w:t xml:space="preserve"> The fact of having a huge number of older adults responsible for clinical, </w:t>
      </w:r>
      <w:r w:rsidR="0092201C" w:rsidRPr="00BD3555">
        <w:t>occupational,</w:t>
      </w:r>
      <w:r w:rsidR="00942C72" w:rsidRPr="00BD3555">
        <w:t xml:space="preserve"> and social task retrospect to patients suggest </w:t>
      </w:r>
      <w:r w:rsidR="00C812BC" w:rsidRPr="00BD3555">
        <w:t>questioning</w:t>
      </w:r>
      <w:r w:rsidR="00942C72" w:rsidRPr="00BD3555">
        <w:t xml:space="preserve"> the role of physical space</w:t>
      </w:r>
      <w:r w:rsidR="00C812BC">
        <w:t>:</w:t>
      </w:r>
      <w:r w:rsidR="00942C72" w:rsidRPr="00BD3555">
        <w:t xml:space="preserve"> if it should be </w:t>
      </w:r>
      <w:r w:rsidR="00D45574" w:rsidRPr="00BD3555">
        <w:t>adequate</w:t>
      </w:r>
      <w:r w:rsidR="00942C72" w:rsidRPr="00BD3555">
        <w:t xml:space="preserve"> for older </w:t>
      </w:r>
      <w:r w:rsidRPr="00BD3555">
        <w:t>patients,</w:t>
      </w:r>
      <w:r w:rsidR="00942C72" w:rsidRPr="00BD3555">
        <w:t xml:space="preserve"> </w:t>
      </w:r>
      <w:r w:rsidR="00C812BC">
        <w:t xml:space="preserve">it surely need to be adapted as well to </w:t>
      </w:r>
      <w:r>
        <w:t xml:space="preserve">the needs of </w:t>
      </w:r>
      <w:r w:rsidR="00942C72" w:rsidRPr="00BD3555">
        <w:t>older staff</w:t>
      </w:r>
      <w:r>
        <w:t>.</w:t>
      </w:r>
    </w:p>
    <w:p w14:paraId="69FD2F1C" w14:textId="31052EAC" w:rsidR="005C4401" w:rsidRDefault="005C4401" w:rsidP="00D45574">
      <w:pPr>
        <w:pStyle w:val="MDPI31text"/>
        <w:rPr>
          <w:rFonts w:ascii="NHaasGroteskDSPro" w:hAnsi="NHaasGroteskDSPro"/>
          <w:color w:val="auto"/>
          <w:sz w:val="18"/>
          <w:szCs w:val="18"/>
          <w:lang w:eastAsia="en-GB"/>
        </w:rPr>
      </w:pPr>
    </w:p>
    <w:p w14:paraId="2EDC4CBC" w14:textId="4D97221B" w:rsidR="005C4401" w:rsidRPr="005C4401" w:rsidRDefault="005C4401" w:rsidP="00BD3555">
      <w:pPr>
        <w:pStyle w:val="MDPI22heading2"/>
        <w:rPr>
          <w:rFonts w:ascii="Times New Roman" w:hAnsi="Times New Roman"/>
          <w:sz w:val="24"/>
          <w:szCs w:val="24"/>
        </w:rPr>
      </w:pPr>
      <w:r w:rsidRPr="005C4401">
        <w:t>Healthcare Staff retention</w:t>
      </w:r>
    </w:p>
    <w:p w14:paraId="07FC3267" w14:textId="3D14D660" w:rsidR="00102CDE" w:rsidRPr="00177597" w:rsidRDefault="005C4401" w:rsidP="00177597">
      <w:pPr>
        <w:pStyle w:val="MDPI31text"/>
      </w:pPr>
      <w:r w:rsidRPr="00177597">
        <w:t>Th</w:t>
      </w:r>
      <w:r w:rsidR="00780F1D" w:rsidRPr="00177597">
        <w:t>e</w:t>
      </w:r>
      <w:r w:rsidR="00942C72" w:rsidRPr="00177597">
        <w:t xml:space="preserve"> shortage of healthcare professionals</w:t>
      </w:r>
      <w:r w:rsidRPr="00177597">
        <w:t xml:space="preserve"> is considered as </w:t>
      </w:r>
      <w:r w:rsidR="00942C72" w:rsidRPr="00177597">
        <w:t>o</w:t>
      </w:r>
      <w:r w:rsidRPr="00177597">
        <w:t xml:space="preserve">ne of the most critical issues facing hospitals and other healthcare providers. </w:t>
      </w:r>
      <w:r w:rsidR="0015293E" w:rsidRPr="00177597">
        <w:t>An example from the U.S. illustrates this, t</w:t>
      </w:r>
      <w:r w:rsidRPr="00177597">
        <w:t xml:space="preserve">he U.S. Department of Health and Human Services estimates that nationally, </w:t>
      </w:r>
      <w:r w:rsidR="0015293E" w:rsidRPr="00177597">
        <w:t xml:space="preserve">in </w:t>
      </w:r>
      <w:r w:rsidRPr="00177597">
        <w:t>2020, hospitals face a shortage of almost 800,000 nurses—a 29% vacancy rate up from 8%</w:t>
      </w:r>
      <w:r w:rsidR="0015293E" w:rsidRPr="00177597">
        <w:t xml:space="preserve"> in 2005</w:t>
      </w:r>
      <w:r w:rsidRPr="00177597">
        <w:t xml:space="preserve">. The nursing workforce is “aging out” of its profession, shrinking the healthcare workforce; meanwhile, patient volume continues to grow as baby boomers demand more services </w:t>
      </w:r>
      <w:r w:rsidR="00942C72" w:rsidRPr="00177597">
        <w:t xml:space="preserve">and healthcare real estate investments are required to deliver more </w:t>
      </w:r>
      <w:r w:rsidRPr="00177597">
        <w:fldChar w:fldCharType="begin"/>
      </w:r>
      <w:r w:rsidR="00942C72" w:rsidRPr="00177597">
        <w:instrText xml:space="preserve"> ADDIN ZOTERO_ITEM CSL_CITATION {"citationID":"5bOPAdin","properties":{"formattedCitation":"(Spence Laschinger &amp; Finegan, 2005)","plainCitation":"(Spence Laschinger &amp; Finegan, 2005)","noteIndex":0},"citationItems":[{"id":1002,"uris":["http://zotero.org/users/local/AdhdAbFn/items/WUHC8DLP"],"itemData":{"id":1002,"type":"article-journal","container-title":"JONA: The Journal of Nursing Administration","DOI":"10.1097/00005110-200510000-00005","ISSN":"0002-0443","issue":"10","journalAbbreviation":"JONA: The Journal of Nursing Administration","language":"en","page":"439-449","source":"DOI.org (Crossref)","title":"Empowering Nurses for Work Engagement and Health in Hospital Settings:","title-short":"Empowering Nurses for Work Engagement and Health in Hospital Settings","volume":"35","author":[{"family":"Spence Laschinger","given":"Heather K."},{"family":"Finegan","given":"Joan"}],"issued":{"date-parts":[["2005",10]]}}}],"schema":"https://github.com/citation-style-language/schema/raw/master/csl-citation.json"} </w:instrText>
      </w:r>
      <w:r w:rsidRPr="00177597">
        <w:fldChar w:fldCharType="separate"/>
      </w:r>
      <w:r w:rsidR="0013312D" w:rsidRPr="00177597">
        <w:t>(Spence Laschinger &amp; Finegan, 2005)</w:t>
      </w:r>
      <w:r w:rsidRPr="00177597">
        <w:fldChar w:fldCharType="end"/>
      </w:r>
      <w:r w:rsidR="00942C72" w:rsidRPr="00177597">
        <w:t>.</w:t>
      </w:r>
      <w:r w:rsidR="00D45574" w:rsidRPr="00177597">
        <w:t xml:space="preserve"> </w:t>
      </w:r>
      <w:r w:rsidR="00102CDE" w:rsidRPr="00177597">
        <w:t>Usually, this issue concerns management of risk, leadership and motivational aspects</w:t>
      </w:r>
      <w:r w:rsidR="00D45574" w:rsidRPr="00177597">
        <w:t xml:space="preserve"> and i</w:t>
      </w:r>
      <w:r w:rsidR="00102CDE" w:rsidRPr="00177597">
        <w:t xml:space="preserve">n the recent </w:t>
      </w:r>
      <w:r w:rsidR="00D45574" w:rsidRPr="00177597">
        <w:t xml:space="preserve">COVID-19 </w:t>
      </w:r>
      <w:r w:rsidR="00102CDE" w:rsidRPr="00177597">
        <w:t xml:space="preserve">pandemic these issues have been </w:t>
      </w:r>
      <w:r w:rsidR="00102CDE" w:rsidRPr="00177597">
        <w:lastRenderedPageBreak/>
        <w:t>raised considering staff burn out and stress</w:t>
      </w:r>
      <w:r w:rsidR="0015293E" w:rsidRPr="00177597">
        <w:t xml:space="preserve"> </w:t>
      </w:r>
      <w:r w:rsidR="00CE3A8F" w:rsidRPr="00177597">
        <w:fldChar w:fldCharType="begin"/>
      </w:r>
      <w:r w:rsidR="00CE3A8F" w:rsidRPr="00177597">
        <w:instrText xml:space="preserve"> ADDIN ZOTERO_ITEM CSL_CITATION {"citationID":"wqUXgxFE","properties":{"formattedCitation":"(Blake et al., 2020)","plainCitation":"(Blake et al., 2020)","noteIndex":0},"citationItems":[{"id":1007,"uris":["http://zotero.org/users/local/AdhdAbFn/items/XI8XD9C3"],"itemData":{"id":1007,"type":"article-journal","abstract":"Supported Wellbeing Centres have been set up in UK hospital trusts in an effort to mitigate the psychological impact of COVID-19 on healthcare workers, although the extent to which these are utilised and the barriers and facilitators to access are not known. The aim of the study was to determine facility usage and gather insight into employee wellbeing and the views of employees towards this provision. The study included (i) 17-week service use monitoring, (ii) employee online survey with measures of wellbeing, job stressfulness, presenteeism, turnover intentions, job satisfaction, and work engagement, as well as barriers and facilitators to accessing the Wellbeing Centres. Over 17 weeks, 14,934 facility visits were recorded across two sites (peak attendance in single week n = 2605). Facilities were highly valued, but the service model was resource intensive with 134 wellbeing buddies supporting the centres in pairs. 819 hospital employees completed an online survey (88% female; 37.7% working in COVID-19 high risk areas; 52.4% frontline workers; 55.2% had accessed a wellbeing centre). There was moderate-to-high job stress (62.9%), low wellbeing (26.1%), presenteeism (68%), and intentions to leave (31.6%). Wellbeing was higher in those that accessed a wellbeing centre. Work engagement and job satisfaction were high. Healthcare organisations are urged to mobilise access to high-quality rest spaces and psychological first aid, but this should be localised and diversified. Strategies to address presenteeism and staff retention should be prioritised, and the high dedication of healthcare workers should be recognised.","container-title":"International Journal of Environmental Research and Public Health","DOI":"10.3390/ijerph17249401","ISSN":"1660-4601","issue":"24","journalAbbreviation":"IJERPH","language":"en","page":"9401","source":"DOI.org (Crossref)","title":"COVID-Well: Evaluation of the Implementation of Supported Wellbeing Centres for Hospital Employees during the COVID-19 Pandemic","title-short":"COVID-Well","volume":"17","author":[{"family":"Blake","given":"Holly"},{"family":"Yildirim","given":"Mehmet"},{"family":"Wood","given":"Ben"},{"family":"Knowles","given":"Steph"},{"family":"Mancini","given":"Helen"},{"family":"Coyne","given":"Emma"},{"family":"Cooper","given":"Joanne"}],"issued":{"date-parts":[["2020",12,15]]}}}],"schema":"https://github.com/citation-style-language/schema/raw/master/csl-citation.json"} </w:instrText>
      </w:r>
      <w:r w:rsidR="00CE3A8F" w:rsidRPr="00177597">
        <w:fldChar w:fldCharType="separate"/>
      </w:r>
      <w:r w:rsidR="0013312D" w:rsidRPr="0043006C">
        <w:t>(Blake et al., 2020)</w:t>
      </w:r>
      <w:r w:rsidR="00CE3A8F" w:rsidRPr="00177597">
        <w:fldChar w:fldCharType="end"/>
      </w:r>
      <w:r w:rsidR="00D45574" w:rsidRPr="00177597">
        <w:t>.</w:t>
      </w:r>
      <w:r w:rsidR="00C812BC" w:rsidRPr="00177597">
        <w:t xml:space="preserve"> </w:t>
      </w:r>
      <w:r w:rsidR="00132F49">
        <w:t>Underscoring the aforementioned it has been noted that s</w:t>
      </w:r>
      <w:r w:rsidR="00C812BC" w:rsidRPr="00177597">
        <w:t xml:space="preserve">tress, lack of coordination and management, exclusion are some of the </w:t>
      </w:r>
      <w:r w:rsidR="00132F49">
        <w:t xml:space="preserve">specific </w:t>
      </w:r>
      <w:r w:rsidR="00C812BC" w:rsidRPr="00177597">
        <w:t>challenges that healthcare staff had to face</w:t>
      </w:r>
      <w:r w:rsidR="0015293E" w:rsidRPr="00177597">
        <w:t xml:space="preserve"> during the pandemic</w:t>
      </w:r>
      <w:r w:rsidR="00496FCD" w:rsidRPr="00177597">
        <w:t xml:space="preserve"> </w:t>
      </w:r>
      <w:r w:rsidR="00C812BC" w:rsidRPr="00177597">
        <w:fldChar w:fldCharType="begin"/>
      </w:r>
      <w:r w:rsidR="00C812BC" w:rsidRPr="00177597">
        <w:instrText xml:space="preserve"> ADDIN ZOTERO_ITEM CSL_CITATION {"citationID":"KD7TGQVe","properties":{"formattedCitation":"(Razu et al., 2021)","plainCitation":"(Razu et al., 2021)","noteIndex":0},"citationItems":[{"id":1003,"uris":["http://zotero.org/users/local/AdhdAbFn/items/M3LMJJDH"],"itemData":{"id":1003,"type":"article-journal","abstract":"Background:\n              The coronavirus disease 2019 (COVID-19) pandemic has caused increasing challenges for healthcare professionals globally. However, there is a dearth of information about these challenges in many developing countries, including Bangladesh. This study aims to explore the challenges faced by healthcare professionals (doctors and nurses) during COVID-19 in Bangladesh.\n            \n            \n              Methods:\n              We conducted qualitative research among healthcare professionals of different hospitals and clinics in Khulna and Dhaka city of Bangladesh from May 2020 to August 2020. We conducted 15 in-depth telephone interviews using a snowball sampling technique. We used an in-depth interview guide as data were collected, audiotaped, and transcribed. The data were analyzed both manually and using QDA Miner software as we used thematic analysis for this study.\n            \n            \n              Results:\n              Seven themes emerged from the study. Participants experienced higher workload, psychological distress, shortage of quality personal protective equipment (PPE), social exclusion/stigmatization, lack of incentives, absence of coordination, and proper management during their service. These healthcare professionals faced difficulty coping with these challenges due to situational and organizational factors. They reported of faith in God and mutual support to be the keys to adapt to adversities. Adequate support to address the difficulties faced by healthcare professionals is necessary for an overall improved health outcome during the pandemic.\n            \n            \n              Conclusion:\n              The findings highlight the common challenges faced by healthcare professionals during the COVID-19 outbreak. This implies the need to support adequate safety kits, protocols, and support for both physical and mental health of the healthcare professionals.","container-title":"Frontiers in Public Health","DOI":"10.3389/fpubh.2021.647315","ISSN":"2296-2565","journalAbbreviation":"Front. Public Health","page":"647315","source":"DOI.org (Crossref)","title":"Challenges Faced by Healthcare Professionals During the COVID-19 Pandemic: A Qualitative Inquiry From Bangladesh","title-short":"Challenges Faced by Healthcare Professionals During the COVID-19 Pandemic","volume":"9","author":[{"family":"Razu","given":"Shaharior Rahman"},{"family":"Yasmin","given":"Tasnuva"},{"family":"Arif","given":"Taimia Binte"},{"family":"Islam","given":"Md. Shahin"},{"family":"Islam","given":"Sheikh Mohammed Shariful"},{"family":"Gesesew","given":"Hailay Abrha"},{"family":"Ward","given":"Paul"}],"issued":{"date-parts":[["2021",8,10]]}}}],"schema":"https://github.com/citation-style-language/schema/raw/master/csl-citation.json"} </w:instrText>
      </w:r>
      <w:r w:rsidR="00C812BC" w:rsidRPr="00177597">
        <w:fldChar w:fldCharType="separate"/>
      </w:r>
      <w:r w:rsidR="0013312D" w:rsidRPr="0043006C">
        <w:t>(Razu et al., 2021)</w:t>
      </w:r>
      <w:r w:rsidR="00C812BC" w:rsidRPr="00177597">
        <w:fldChar w:fldCharType="end"/>
      </w:r>
      <w:r w:rsidR="00C812BC" w:rsidRPr="00177597">
        <w:t xml:space="preserve">. </w:t>
      </w:r>
    </w:p>
    <w:p w14:paraId="21059D33" w14:textId="31B4B906" w:rsidR="00D45574" w:rsidRDefault="00D45574" w:rsidP="00D45574">
      <w:pPr>
        <w:pStyle w:val="MDPI31text"/>
      </w:pPr>
    </w:p>
    <w:p w14:paraId="7D2ADA6A" w14:textId="700A2065" w:rsidR="00BD3555" w:rsidRDefault="00BD3555" w:rsidP="00D45574">
      <w:pPr>
        <w:pStyle w:val="MDPI31text"/>
      </w:pPr>
    </w:p>
    <w:p w14:paraId="4F89C7B0" w14:textId="3046BA73" w:rsidR="00BD3555" w:rsidRPr="00BD3555" w:rsidRDefault="00433756" w:rsidP="00D45574">
      <w:pPr>
        <w:pStyle w:val="MDPI31text"/>
        <w:rPr>
          <w:b/>
          <w:bCs/>
        </w:rPr>
      </w:pPr>
      <w:r>
        <w:rPr>
          <w:b/>
          <w:bCs/>
        </w:rPr>
        <w:t xml:space="preserve">2. </w:t>
      </w:r>
      <w:r w:rsidR="00BD3555" w:rsidRPr="00BD3555">
        <w:rPr>
          <w:b/>
          <w:bCs/>
        </w:rPr>
        <w:t>Aim of the short paper</w:t>
      </w:r>
      <w:r w:rsidR="00496FCD">
        <w:rPr>
          <w:b/>
          <w:bCs/>
        </w:rPr>
        <w:t xml:space="preserve"> and framework definition</w:t>
      </w:r>
      <w:r w:rsidR="00013AFC">
        <w:rPr>
          <w:b/>
          <w:bCs/>
        </w:rPr>
        <w:t xml:space="preserve"> for future studies</w:t>
      </w:r>
    </w:p>
    <w:p w14:paraId="2D564394" w14:textId="77777777" w:rsidR="00D45574" w:rsidRDefault="00D45574" w:rsidP="00D45574">
      <w:pPr>
        <w:pStyle w:val="MDPI31text"/>
      </w:pPr>
    </w:p>
    <w:p w14:paraId="620B660C" w14:textId="420EDBC3" w:rsidR="00102CDE" w:rsidRPr="00433756" w:rsidRDefault="00D45574" w:rsidP="00433756">
      <w:pPr>
        <w:pStyle w:val="MDPI31text"/>
        <w:rPr>
          <w:rFonts w:eastAsiaTheme="minorEastAsia"/>
        </w:rPr>
      </w:pPr>
      <w:r w:rsidRPr="00433756">
        <w:t xml:space="preserve">This short paper </w:t>
      </w:r>
      <w:r w:rsidR="00BD3555" w:rsidRPr="00433756">
        <w:t>contributes</w:t>
      </w:r>
      <w:r w:rsidRPr="00433756">
        <w:t xml:space="preserve"> to the research by setting up the problem framework from which </w:t>
      </w:r>
      <w:r w:rsidR="0015293E">
        <w:t xml:space="preserve">to </w:t>
      </w:r>
      <w:r w:rsidRPr="00433756">
        <w:t>define future investigation lines to</w:t>
      </w:r>
      <w:r w:rsidR="00102CDE" w:rsidRPr="00433756">
        <w:t xml:space="preserve"> deepen the relationship between staff retention and physical space of healthcare settings</w:t>
      </w:r>
      <w:r w:rsidRPr="00433756">
        <w:t>.</w:t>
      </w:r>
    </w:p>
    <w:p w14:paraId="1F98C8AB" w14:textId="2BA4ECE5" w:rsidR="00102CDE" w:rsidRPr="00433756" w:rsidRDefault="00102CDE" w:rsidP="00433756">
      <w:pPr>
        <w:pStyle w:val="MDPI31text"/>
        <w:rPr>
          <w:rFonts w:eastAsiaTheme="minorEastAsia"/>
        </w:rPr>
      </w:pPr>
    </w:p>
    <w:p w14:paraId="0F9DABDF" w14:textId="5D01B72D" w:rsidR="00496FCD" w:rsidRPr="00433756" w:rsidRDefault="00496FCD" w:rsidP="00433756">
      <w:pPr>
        <w:pStyle w:val="MDPI31text"/>
        <w:rPr>
          <w:rFonts w:eastAsiaTheme="minorEastAsia"/>
        </w:rPr>
      </w:pPr>
      <w:r w:rsidRPr="00433756">
        <w:rPr>
          <w:rFonts w:eastAsiaTheme="minorEastAsia"/>
        </w:rPr>
        <w:t xml:space="preserve">Starting from the considerations emerged in terms of hospital space impact on healthcare staff, healthcare workers ageing and staff retention a framework for future research is proposed below in order to provide a systematic overview of possible research lines. This scheme can support future research addressing the </w:t>
      </w:r>
      <w:r w:rsidR="00177EC7">
        <w:rPr>
          <w:rFonts w:eastAsiaTheme="minorEastAsia"/>
        </w:rPr>
        <w:t xml:space="preserve">general </w:t>
      </w:r>
      <w:r w:rsidRPr="00433756">
        <w:rPr>
          <w:rFonts w:eastAsiaTheme="minorEastAsia"/>
        </w:rPr>
        <w:t xml:space="preserve">research question: has the built environment a role in the process of </w:t>
      </w:r>
      <w:r w:rsidR="00A4095C" w:rsidRPr="00433756">
        <w:rPr>
          <w:rFonts w:eastAsiaTheme="minorEastAsia"/>
        </w:rPr>
        <w:t xml:space="preserve">healthcare </w:t>
      </w:r>
      <w:r w:rsidRPr="00433756">
        <w:rPr>
          <w:rFonts w:eastAsiaTheme="minorEastAsia"/>
        </w:rPr>
        <w:t>staff retention?</w:t>
      </w:r>
    </w:p>
    <w:p w14:paraId="7A5BC0A8" w14:textId="2BD1184A" w:rsidR="00496FCD" w:rsidRPr="00433756" w:rsidRDefault="00496FCD" w:rsidP="00433756">
      <w:pPr>
        <w:pStyle w:val="MDPI31text"/>
        <w:rPr>
          <w:rFonts w:eastAsiaTheme="minorEastAsia"/>
        </w:rPr>
      </w:pPr>
      <w:r w:rsidRPr="00433756">
        <w:rPr>
          <w:rFonts w:eastAsiaTheme="minorEastAsia"/>
        </w:rPr>
        <w:t>The framework is a sequence of Systematic Literature Reviews linked between each other and is reported below:</w:t>
      </w:r>
    </w:p>
    <w:p w14:paraId="31E1C32B" w14:textId="77777777" w:rsidR="00496FCD" w:rsidRPr="00433756" w:rsidRDefault="00496FCD" w:rsidP="00433756">
      <w:pPr>
        <w:pStyle w:val="MDPI31text"/>
        <w:rPr>
          <w:rFonts w:eastAsiaTheme="minorEastAsia"/>
        </w:rPr>
      </w:pPr>
    </w:p>
    <w:p w14:paraId="65705566" w14:textId="54EA7DB7" w:rsidR="00E63F08" w:rsidRPr="00433756" w:rsidRDefault="00496FCD" w:rsidP="00433756">
      <w:pPr>
        <w:pStyle w:val="MDPI31text"/>
        <w:rPr>
          <w:rFonts w:eastAsiaTheme="minorEastAsia"/>
        </w:rPr>
      </w:pPr>
      <w:r w:rsidRPr="00433756">
        <w:rPr>
          <w:rFonts w:eastAsiaTheme="minorEastAsia"/>
        </w:rPr>
        <w:t xml:space="preserve">1) </w:t>
      </w:r>
      <w:r w:rsidR="00E63F08" w:rsidRPr="00433756">
        <w:rPr>
          <w:rFonts w:eastAsiaTheme="minorEastAsia"/>
        </w:rPr>
        <w:t>Definition / collection of s</w:t>
      </w:r>
      <w:r w:rsidRPr="00433756">
        <w:rPr>
          <w:rFonts w:eastAsiaTheme="minorEastAsia"/>
        </w:rPr>
        <w:t xml:space="preserve">trategies </w:t>
      </w:r>
      <w:r w:rsidR="00E63F08" w:rsidRPr="00433756">
        <w:rPr>
          <w:rFonts w:eastAsiaTheme="minorEastAsia"/>
        </w:rPr>
        <w:t xml:space="preserve">and characteristics </w:t>
      </w:r>
      <w:r w:rsidRPr="00433756">
        <w:rPr>
          <w:rFonts w:eastAsiaTheme="minorEastAsia"/>
        </w:rPr>
        <w:t>for Staff retention</w:t>
      </w:r>
    </w:p>
    <w:p w14:paraId="1A2005C2" w14:textId="226A7034" w:rsidR="00E63F08" w:rsidRPr="00433756" w:rsidRDefault="00E63F08" w:rsidP="00433756">
      <w:pPr>
        <w:pStyle w:val="MDPI31text"/>
        <w:rPr>
          <w:rFonts w:eastAsiaTheme="minorEastAsia"/>
        </w:rPr>
      </w:pPr>
      <w:r w:rsidRPr="00433756">
        <w:rPr>
          <w:rFonts w:eastAsiaTheme="minorEastAsia"/>
        </w:rPr>
        <w:t xml:space="preserve">2) </w:t>
      </w:r>
      <w:r w:rsidR="00A4095C" w:rsidRPr="00433756">
        <w:rPr>
          <w:rFonts w:eastAsiaTheme="minorEastAsia"/>
        </w:rPr>
        <w:t>S</w:t>
      </w:r>
      <w:r w:rsidRPr="00433756">
        <w:rPr>
          <w:rFonts w:eastAsiaTheme="minorEastAsia"/>
        </w:rPr>
        <w:t>ystematization of Built Environment characteristics that have an impact on healthcare staff</w:t>
      </w:r>
    </w:p>
    <w:p w14:paraId="400F8158" w14:textId="359AB4BC" w:rsidR="00E63F08" w:rsidRPr="00433756" w:rsidRDefault="00E63F08" w:rsidP="00433756">
      <w:pPr>
        <w:pStyle w:val="MDPI31text"/>
        <w:rPr>
          <w:rFonts w:eastAsiaTheme="minorEastAsia"/>
        </w:rPr>
      </w:pPr>
      <w:r w:rsidRPr="00433756">
        <w:rPr>
          <w:rFonts w:eastAsiaTheme="minorEastAsia"/>
        </w:rPr>
        <w:t xml:space="preserve">3) Staff outcome improving due to </w:t>
      </w:r>
      <w:proofErr w:type="spellStart"/>
      <w:r w:rsidRPr="00433756">
        <w:rPr>
          <w:rFonts w:eastAsiaTheme="minorEastAsia"/>
        </w:rPr>
        <w:t>built</w:t>
      </w:r>
      <w:proofErr w:type="spellEnd"/>
      <w:r w:rsidRPr="00433756">
        <w:rPr>
          <w:rFonts w:eastAsiaTheme="minorEastAsia"/>
        </w:rPr>
        <w:t xml:space="preserve"> environment characteristics</w:t>
      </w:r>
    </w:p>
    <w:p w14:paraId="0B145B9A" w14:textId="61AFC452" w:rsidR="00013AFC" w:rsidRPr="00433756" w:rsidRDefault="00013AFC" w:rsidP="00433756">
      <w:pPr>
        <w:pStyle w:val="MDPI31text"/>
        <w:rPr>
          <w:rFonts w:eastAsiaTheme="minorEastAsia"/>
        </w:rPr>
      </w:pPr>
    </w:p>
    <w:p w14:paraId="2F0B7646" w14:textId="60530428" w:rsidR="00013AFC" w:rsidRPr="00433756" w:rsidRDefault="00013AFC" w:rsidP="00433756">
      <w:pPr>
        <w:pStyle w:val="MDPI31text"/>
        <w:rPr>
          <w:rFonts w:eastAsiaTheme="minorEastAsia"/>
        </w:rPr>
      </w:pPr>
      <w:r w:rsidRPr="00433756">
        <w:rPr>
          <w:rFonts w:eastAsiaTheme="minorEastAsia"/>
        </w:rPr>
        <w:t>Each domain of the framework will need to be explored from a different perspective such as:</w:t>
      </w:r>
    </w:p>
    <w:p w14:paraId="6BD361CC" w14:textId="0BCE8B6E" w:rsidR="00013AFC" w:rsidRPr="00433756" w:rsidRDefault="00013AFC" w:rsidP="00433756">
      <w:pPr>
        <w:pStyle w:val="MDPI31text"/>
        <w:rPr>
          <w:rFonts w:eastAsiaTheme="minorEastAsia"/>
        </w:rPr>
      </w:pPr>
      <w:r w:rsidRPr="00433756">
        <w:rPr>
          <w:rFonts w:eastAsiaTheme="minorEastAsia"/>
        </w:rPr>
        <w:t>a) medical staff</w:t>
      </w:r>
    </w:p>
    <w:p w14:paraId="0DC7ABF8" w14:textId="4242776B" w:rsidR="00013AFC" w:rsidRPr="00433756" w:rsidRDefault="00013AFC" w:rsidP="00433756">
      <w:pPr>
        <w:pStyle w:val="MDPI31text"/>
        <w:rPr>
          <w:rFonts w:eastAsiaTheme="minorEastAsia"/>
        </w:rPr>
      </w:pPr>
      <w:r w:rsidRPr="00433756">
        <w:rPr>
          <w:rFonts w:eastAsiaTheme="minorEastAsia"/>
        </w:rPr>
        <w:t>b) nurse and nurse aid staff</w:t>
      </w:r>
    </w:p>
    <w:p w14:paraId="0AEC18EB" w14:textId="42E5C6FF" w:rsidR="00013AFC" w:rsidRDefault="00013AFC" w:rsidP="00433756">
      <w:pPr>
        <w:pStyle w:val="MDPI31text"/>
        <w:rPr>
          <w:rFonts w:eastAsiaTheme="minorEastAsia"/>
        </w:rPr>
      </w:pPr>
      <w:r w:rsidRPr="00433756">
        <w:rPr>
          <w:rFonts w:eastAsiaTheme="minorEastAsia"/>
        </w:rPr>
        <w:t>c) technical and administrative staff</w:t>
      </w:r>
    </w:p>
    <w:p w14:paraId="04100599" w14:textId="75B373B4" w:rsidR="00433756" w:rsidRDefault="00433756" w:rsidP="00433756">
      <w:pPr>
        <w:pStyle w:val="MDPI31text"/>
        <w:rPr>
          <w:rFonts w:eastAsiaTheme="minorEastAsia"/>
        </w:rPr>
      </w:pPr>
    </w:p>
    <w:p w14:paraId="654EF580" w14:textId="4F11A965" w:rsidR="00013AFC" w:rsidRDefault="00433756" w:rsidP="0043006C">
      <w:pPr>
        <w:pStyle w:val="MDPI31text"/>
        <w:rPr>
          <w:rFonts w:asciiTheme="minorHAnsi" w:eastAsiaTheme="minorEastAsia" w:hAnsiTheme="minorHAnsi" w:cstheme="minorHAnsi"/>
        </w:rPr>
      </w:pPr>
      <w:r>
        <w:rPr>
          <w:rFonts w:eastAsiaTheme="minorEastAsia"/>
        </w:rPr>
        <w:t>The Systematic Literature Review will need to incorporate the three domain</w:t>
      </w:r>
      <w:r w:rsidR="00F15D4E">
        <w:rPr>
          <w:rFonts w:eastAsiaTheme="minorEastAsia"/>
        </w:rPr>
        <w:t>s</w:t>
      </w:r>
      <w:r>
        <w:rPr>
          <w:rFonts w:eastAsiaTheme="minorEastAsia"/>
        </w:rPr>
        <w:t xml:space="preserve"> among th</w:t>
      </w:r>
      <w:r w:rsidR="00F15D4E">
        <w:rPr>
          <w:rFonts w:eastAsiaTheme="minorEastAsia"/>
        </w:rPr>
        <w:t>e</w:t>
      </w:r>
      <w:r>
        <w:rPr>
          <w:rFonts w:eastAsiaTheme="minorEastAsia"/>
        </w:rPr>
        <w:t xml:space="preserve"> three perspectives highlighting relevant challenges that might either be “vertical” on specific topic or users or “horizontal” in a transversal way.</w:t>
      </w:r>
    </w:p>
    <w:p w14:paraId="4932CB3A" w14:textId="77777777" w:rsidR="00013AFC" w:rsidRDefault="00013AFC" w:rsidP="00013AFC">
      <w:pPr>
        <w:pStyle w:val="MDPI31text"/>
        <w:spacing w:line="240" w:lineRule="auto"/>
        <w:ind w:left="0" w:firstLine="0"/>
        <w:rPr>
          <w:rFonts w:asciiTheme="minorHAnsi" w:eastAsiaTheme="minorEastAsia" w:hAnsiTheme="minorHAnsi" w:cstheme="minorHAnsi"/>
          <w:b/>
          <w:bCs/>
          <w:i/>
          <w:iCs/>
        </w:rPr>
      </w:pPr>
    </w:p>
    <w:p w14:paraId="3A9E5589" w14:textId="739C748F" w:rsidR="00102CDE" w:rsidRDefault="00433756" w:rsidP="0043006C">
      <w:pPr>
        <w:pStyle w:val="MDPI21heading1"/>
        <w:rPr>
          <w:rFonts w:eastAsiaTheme="minorEastAsia"/>
        </w:rPr>
      </w:pPr>
      <w:r>
        <w:rPr>
          <w:rFonts w:eastAsiaTheme="minorEastAsia"/>
        </w:rPr>
        <w:t xml:space="preserve">3. </w:t>
      </w:r>
      <w:r w:rsidR="00013AFC" w:rsidRPr="00013AFC">
        <w:rPr>
          <w:rFonts w:eastAsiaTheme="minorEastAsia"/>
        </w:rPr>
        <w:t xml:space="preserve">Possible challenges </w:t>
      </w:r>
      <w:r w:rsidR="00013AFC">
        <w:rPr>
          <w:rFonts w:eastAsiaTheme="minorEastAsia"/>
        </w:rPr>
        <w:t xml:space="preserve">and </w:t>
      </w:r>
      <w:r w:rsidR="00013AFC" w:rsidRPr="00013AFC">
        <w:rPr>
          <w:rFonts w:eastAsiaTheme="minorEastAsia"/>
        </w:rPr>
        <w:t>area of discussion</w:t>
      </w:r>
    </w:p>
    <w:p w14:paraId="63825E27" w14:textId="25FF9894" w:rsidR="00013AFC" w:rsidRPr="00D20D6F" w:rsidRDefault="00013AFC" w:rsidP="00D20D6F">
      <w:pPr>
        <w:pStyle w:val="MDPI31text"/>
        <w:rPr>
          <w:rFonts w:eastAsiaTheme="minorEastAsia"/>
        </w:rPr>
      </w:pPr>
      <w:r w:rsidRPr="00D20D6F">
        <w:rPr>
          <w:rFonts w:eastAsiaTheme="minorEastAsia"/>
        </w:rPr>
        <w:t xml:space="preserve">Working conditions, scheduling, knowledge development and learning, collegial support, recouperation are surely important factors for improving wellbeing </w:t>
      </w:r>
      <w:r w:rsidR="00132F49">
        <w:rPr>
          <w:rFonts w:eastAsiaTheme="minorEastAsia"/>
        </w:rPr>
        <w:t xml:space="preserve">and health </w:t>
      </w:r>
      <w:r w:rsidRPr="00D20D6F">
        <w:rPr>
          <w:rFonts w:eastAsiaTheme="minorEastAsia"/>
        </w:rPr>
        <w:t>of healthcare staff</w:t>
      </w:r>
      <w:r w:rsidR="00F15D4E" w:rsidRPr="00D20D6F">
        <w:rPr>
          <w:rFonts w:eastAsiaTheme="minorEastAsia"/>
        </w:rPr>
        <w:t xml:space="preserve">. There are </w:t>
      </w:r>
      <w:r w:rsidR="00132F49">
        <w:rPr>
          <w:rFonts w:eastAsiaTheme="minorEastAsia"/>
        </w:rPr>
        <w:t xml:space="preserve">indeed </w:t>
      </w:r>
      <w:r w:rsidR="00F15D4E" w:rsidRPr="00D20D6F">
        <w:rPr>
          <w:rFonts w:eastAsiaTheme="minorEastAsia"/>
        </w:rPr>
        <w:t>few jobs w</w:t>
      </w:r>
      <w:r w:rsidR="00C754FA" w:rsidRPr="0092201C">
        <w:rPr>
          <w:rFonts w:eastAsiaTheme="minorEastAsia"/>
          <w:color w:val="000000" w:themeColor="text1"/>
        </w:rPr>
        <w:t>h</w:t>
      </w:r>
      <w:r w:rsidR="00F15D4E" w:rsidRPr="00D20D6F">
        <w:rPr>
          <w:rFonts w:eastAsiaTheme="minorEastAsia"/>
        </w:rPr>
        <w:t>ere vulnerab</w:t>
      </w:r>
      <w:r w:rsidR="00132F49">
        <w:rPr>
          <w:rFonts w:eastAsiaTheme="minorEastAsia"/>
        </w:rPr>
        <w:t>ility</w:t>
      </w:r>
      <w:r w:rsidR="00F15D4E" w:rsidRPr="00D20D6F">
        <w:rPr>
          <w:rFonts w:eastAsiaTheme="minorEastAsia"/>
        </w:rPr>
        <w:t xml:space="preserve">, </w:t>
      </w:r>
      <w:r w:rsidR="00132F49">
        <w:rPr>
          <w:rFonts w:eastAsiaTheme="minorEastAsia"/>
        </w:rPr>
        <w:t xml:space="preserve">emotional stress, </w:t>
      </w:r>
      <w:r w:rsidR="00F15D4E" w:rsidRPr="00D20D6F">
        <w:rPr>
          <w:rFonts w:eastAsiaTheme="minorEastAsia"/>
        </w:rPr>
        <w:t xml:space="preserve">and </w:t>
      </w:r>
      <w:r w:rsidR="00132F49">
        <w:rPr>
          <w:rFonts w:eastAsiaTheme="minorEastAsia"/>
        </w:rPr>
        <w:t xml:space="preserve">people </w:t>
      </w:r>
      <w:r w:rsidR="00F15D4E" w:rsidRPr="00D20D6F">
        <w:rPr>
          <w:rFonts w:eastAsiaTheme="minorEastAsia"/>
        </w:rPr>
        <w:t xml:space="preserve">possibly dying, is part of everyday work. </w:t>
      </w:r>
    </w:p>
    <w:p w14:paraId="3C87EB9B" w14:textId="754647F1" w:rsidR="00013AFC" w:rsidRPr="00D20D6F" w:rsidRDefault="00013AFC" w:rsidP="00D20D6F">
      <w:pPr>
        <w:pStyle w:val="MDPI31text"/>
        <w:rPr>
          <w:rFonts w:eastAsiaTheme="minorEastAsia"/>
        </w:rPr>
      </w:pPr>
      <w:r w:rsidRPr="00D20D6F">
        <w:rPr>
          <w:rFonts w:eastAsiaTheme="minorEastAsia"/>
        </w:rPr>
        <w:t>Some studies highlight and provide data on impact that some features of the built environment such as access to gardens, canteens, colleagues, a professional space, spaces for recreation, supportive healthcare environments</w:t>
      </w:r>
      <w:r w:rsidR="00433756" w:rsidRPr="00D20D6F">
        <w:rPr>
          <w:rFonts w:eastAsiaTheme="minorEastAsia"/>
        </w:rPr>
        <w:t xml:space="preserve"> can bring to the overall quality of a workplace. Indeed</w:t>
      </w:r>
      <w:r w:rsidR="00F15D4E" w:rsidRPr="00D20D6F">
        <w:rPr>
          <w:rFonts w:eastAsiaTheme="minorEastAsia"/>
        </w:rPr>
        <w:t>,</w:t>
      </w:r>
      <w:r w:rsidR="00433756" w:rsidRPr="00D20D6F">
        <w:rPr>
          <w:rFonts w:eastAsiaTheme="minorEastAsia"/>
        </w:rPr>
        <w:t xml:space="preserve"> </w:t>
      </w:r>
      <w:r w:rsidR="0092201C">
        <w:rPr>
          <w:rFonts w:eastAsiaTheme="minorEastAsia"/>
        </w:rPr>
        <w:t xml:space="preserve">as </w:t>
      </w:r>
      <w:r w:rsidR="00433756" w:rsidRPr="00D20D6F">
        <w:rPr>
          <w:rFonts w:eastAsiaTheme="minorEastAsia"/>
        </w:rPr>
        <w:t>studies in corporate settings highlight</w:t>
      </w:r>
      <w:r w:rsidR="0092201C">
        <w:rPr>
          <w:rFonts w:eastAsiaTheme="minorEastAsia"/>
        </w:rPr>
        <w:t>;</w:t>
      </w:r>
      <w:r w:rsidR="00433756" w:rsidRPr="00D20D6F">
        <w:rPr>
          <w:rFonts w:eastAsiaTheme="minorEastAsia"/>
        </w:rPr>
        <w:t xml:space="preserve"> that i</w:t>
      </w:r>
      <w:r w:rsidRPr="00D20D6F">
        <w:rPr>
          <w:rFonts w:eastAsiaTheme="minorEastAsia"/>
        </w:rPr>
        <w:t xml:space="preserve">f the </w:t>
      </w:r>
      <w:r w:rsidR="00132F49">
        <w:rPr>
          <w:rFonts w:eastAsiaTheme="minorEastAsia"/>
        </w:rPr>
        <w:t xml:space="preserve">physical and organizational </w:t>
      </w:r>
      <w:r w:rsidRPr="00D20D6F">
        <w:rPr>
          <w:rFonts w:eastAsiaTheme="minorEastAsia"/>
        </w:rPr>
        <w:t>workplace design once was a hygiene factor it might</w:t>
      </w:r>
      <w:r w:rsidR="00F15D4E" w:rsidRPr="00D20D6F">
        <w:rPr>
          <w:rFonts w:eastAsiaTheme="minorEastAsia"/>
        </w:rPr>
        <w:t xml:space="preserve"> now</w:t>
      </w:r>
      <w:r w:rsidRPr="00D20D6F">
        <w:rPr>
          <w:rFonts w:eastAsiaTheme="minorEastAsia"/>
        </w:rPr>
        <w:t xml:space="preserve"> need to be viewed as a motivational factor</w:t>
      </w:r>
      <w:r w:rsidR="00F15D4E" w:rsidRPr="00D20D6F">
        <w:rPr>
          <w:rFonts w:eastAsiaTheme="minorEastAsia"/>
        </w:rPr>
        <w:t xml:space="preserve"> instead</w:t>
      </w:r>
      <w:r w:rsidR="0092201C">
        <w:rPr>
          <w:rFonts w:eastAsiaTheme="minorEastAsia"/>
        </w:rPr>
        <w:t xml:space="preserve">. </w:t>
      </w:r>
      <w:r w:rsidR="00177EC7">
        <w:rPr>
          <w:rFonts w:eastAsiaTheme="minorEastAsia"/>
        </w:rPr>
        <w:t xml:space="preserve">(See e.g. Gagliardi, 2011 and for an FM-perspective; Nataliia, 2021) </w:t>
      </w:r>
      <w:r w:rsidR="0092201C">
        <w:rPr>
          <w:rFonts w:eastAsiaTheme="minorEastAsia"/>
        </w:rPr>
        <w:t>An aspect most likely also relevant for healthcare settings, environments often are even more symbolic</w:t>
      </w:r>
      <w:r w:rsidR="00433756" w:rsidRPr="00D20D6F">
        <w:rPr>
          <w:rFonts w:eastAsiaTheme="minorEastAsia"/>
        </w:rPr>
        <w:t>. To support future studies on the topic, below are reported some challenges or lens</w:t>
      </w:r>
      <w:r w:rsidR="00F15D4E" w:rsidRPr="00D20D6F">
        <w:rPr>
          <w:rFonts w:eastAsiaTheme="minorEastAsia"/>
        </w:rPr>
        <w:t>es</w:t>
      </w:r>
      <w:r w:rsidR="00433756" w:rsidRPr="00D20D6F">
        <w:rPr>
          <w:rFonts w:eastAsiaTheme="minorEastAsia"/>
        </w:rPr>
        <w:t xml:space="preserve"> trough which </w:t>
      </w:r>
      <w:r w:rsidR="00F15D4E" w:rsidRPr="00D20D6F">
        <w:rPr>
          <w:rFonts w:eastAsiaTheme="minorEastAsia"/>
        </w:rPr>
        <w:t xml:space="preserve">it </w:t>
      </w:r>
      <w:r w:rsidR="00433756" w:rsidRPr="00D20D6F">
        <w:rPr>
          <w:rFonts w:eastAsiaTheme="minorEastAsia"/>
        </w:rPr>
        <w:t xml:space="preserve">will be possible to </w:t>
      </w:r>
      <w:r w:rsidR="00F15D4E" w:rsidRPr="00D20D6F">
        <w:rPr>
          <w:rFonts w:eastAsiaTheme="minorEastAsia"/>
        </w:rPr>
        <w:t>analyze</w:t>
      </w:r>
      <w:r w:rsidR="00433756" w:rsidRPr="00D20D6F">
        <w:rPr>
          <w:rFonts w:eastAsiaTheme="minorEastAsia"/>
        </w:rPr>
        <w:t xml:space="preserve"> the data that a systematic literature review </w:t>
      </w:r>
      <w:r w:rsidR="00132F49">
        <w:rPr>
          <w:rFonts w:eastAsiaTheme="minorEastAsia"/>
        </w:rPr>
        <w:t>will collect</w:t>
      </w:r>
      <w:r w:rsidR="00433756" w:rsidRPr="00D20D6F">
        <w:rPr>
          <w:rFonts w:eastAsiaTheme="minorEastAsia"/>
        </w:rPr>
        <w:t>.</w:t>
      </w:r>
    </w:p>
    <w:p w14:paraId="05B871DA" w14:textId="77777777" w:rsidR="00013AFC" w:rsidRDefault="00013AFC" w:rsidP="004203EA">
      <w:pPr>
        <w:pStyle w:val="MDPI31text"/>
        <w:spacing w:line="240" w:lineRule="auto"/>
        <w:rPr>
          <w:rFonts w:asciiTheme="minorHAnsi" w:eastAsiaTheme="minorEastAsia" w:hAnsiTheme="minorHAnsi" w:cstheme="minorHAnsi"/>
        </w:rPr>
      </w:pPr>
    </w:p>
    <w:p w14:paraId="30CF94C9" w14:textId="26B01D34" w:rsidR="00013AFC" w:rsidRPr="00D20D6F" w:rsidRDefault="00013AFC" w:rsidP="00D20D6F">
      <w:pPr>
        <w:pStyle w:val="MDPI22heading2"/>
        <w:rPr>
          <w:rFonts w:eastAsiaTheme="minorEastAsia"/>
        </w:rPr>
      </w:pPr>
      <w:r w:rsidRPr="00D20D6F">
        <w:rPr>
          <w:rFonts w:eastAsiaTheme="minorEastAsia"/>
        </w:rPr>
        <w:t>The diversity setting challenge</w:t>
      </w:r>
    </w:p>
    <w:p w14:paraId="7878E0FB" w14:textId="56520111" w:rsidR="00F15D4E" w:rsidRPr="0043006C" w:rsidRDefault="00CA6A8C" w:rsidP="0043006C">
      <w:pPr>
        <w:pStyle w:val="MDPI31text"/>
        <w:rPr>
          <w:rFonts w:eastAsiaTheme="minorEastAsia"/>
        </w:rPr>
      </w:pPr>
      <w:r w:rsidRPr="0043006C">
        <w:rPr>
          <w:rFonts w:eastAsiaTheme="minorEastAsia"/>
        </w:rPr>
        <w:lastRenderedPageBreak/>
        <w:t>With the changing landscape in healthcare the healthcare staff will need to find themselves in many more diverse settings, from hospital to homes, from single rooms to activity-based environment</w:t>
      </w:r>
      <w:r w:rsidR="00F15D4E" w:rsidRPr="0043006C">
        <w:rPr>
          <w:rFonts w:eastAsiaTheme="minorEastAsia"/>
        </w:rPr>
        <w:t xml:space="preserve">s. The diversity of settings and complexity of healthcare facilities add a new layer of specialization </w:t>
      </w:r>
      <w:r w:rsidR="00015F99">
        <w:rPr>
          <w:rFonts w:eastAsiaTheme="minorEastAsia"/>
        </w:rPr>
        <w:t xml:space="preserve">also </w:t>
      </w:r>
      <w:r w:rsidR="00F15D4E" w:rsidRPr="0043006C">
        <w:rPr>
          <w:rFonts w:eastAsiaTheme="minorEastAsia"/>
        </w:rPr>
        <w:t>in the training curricula of healthcare staff.</w:t>
      </w:r>
    </w:p>
    <w:p w14:paraId="44FDCEED" w14:textId="77777777" w:rsidR="00A500C9" w:rsidRPr="0043006C" w:rsidRDefault="00A500C9" w:rsidP="0043006C">
      <w:pPr>
        <w:pStyle w:val="MDPI31text"/>
        <w:rPr>
          <w:rFonts w:eastAsiaTheme="minorEastAsia"/>
        </w:rPr>
      </w:pPr>
    </w:p>
    <w:p w14:paraId="7A49237D" w14:textId="51AFBB25" w:rsidR="00A332DC" w:rsidRPr="0043006C" w:rsidRDefault="00CA6A8C" w:rsidP="0043006C">
      <w:pPr>
        <w:pStyle w:val="MDPI31text"/>
        <w:rPr>
          <w:rFonts w:eastAsiaTheme="minorEastAsia"/>
        </w:rPr>
      </w:pPr>
      <w:r w:rsidRPr="0043006C">
        <w:rPr>
          <w:rFonts w:eastAsiaTheme="minorEastAsia"/>
        </w:rPr>
        <w:t>In addition, families, partners around patients will become important in future delivery models, which implies interaction not only with the patient but with the social and spatial context of the care processes requiring further rethinking of the optimal size, circulation and functions of hospital and clinic spaces.</w:t>
      </w:r>
      <w:r w:rsidR="004203EA" w:rsidRPr="0043006C">
        <w:rPr>
          <w:rFonts w:eastAsiaTheme="minorEastAsia"/>
        </w:rPr>
        <w:t xml:space="preserve"> Indeed, </w:t>
      </w:r>
      <w:r w:rsidR="00015F99">
        <w:rPr>
          <w:rFonts w:eastAsiaTheme="minorEastAsia"/>
        </w:rPr>
        <w:t>diversity in space and context will increase</w:t>
      </w:r>
      <w:r w:rsidR="004203EA" w:rsidRPr="0043006C">
        <w:rPr>
          <w:rFonts w:eastAsiaTheme="minorEastAsia"/>
        </w:rPr>
        <w:t>.</w:t>
      </w:r>
    </w:p>
    <w:p w14:paraId="5FF1449B" w14:textId="77777777" w:rsidR="00A332DC" w:rsidRDefault="00A332DC" w:rsidP="00013AFC">
      <w:pPr>
        <w:pStyle w:val="MDPI31text"/>
        <w:spacing w:line="240" w:lineRule="auto"/>
        <w:ind w:left="0" w:firstLine="0"/>
        <w:rPr>
          <w:rFonts w:asciiTheme="minorHAnsi" w:eastAsiaTheme="minorEastAsia" w:hAnsiTheme="minorHAnsi" w:cstheme="minorHAnsi"/>
        </w:rPr>
      </w:pPr>
    </w:p>
    <w:p w14:paraId="1E4D50D1" w14:textId="4D5D0D83" w:rsidR="00A332DC" w:rsidRPr="004203EA" w:rsidRDefault="00A332DC" w:rsidP="00013AFC">
      <w:pPr>
        <w:pStyle w:val="MDPI22heading2"/>
        <w:rPr>
          <w:rFonts w:eastAsiaTheme="minorEastAsia"/>
        </w:rPr>
      </w:pPr>
      <w:bookmarkStart w:id="0" w:name="OLE_LINK1"/>
      <w:bookmarkStart w:id="1" w:name="OLE_LINK2"/>
      <w:r>
        <w:rPr>
          <w:rFonts w:eastAsiaTheme="minorEastAsia"/>
        </w:rPr>
        <w:t>The educational challenge</w:t>
      </w:r>
    </w:p>
    <w:bookmarkEnd w:id="0"/>
    <w:bookmarkEnd w:id="1"/>
    <w:p w14:paraId="1FEA006F" w14:textId="3A48F2DD" w:rsidR="004203EA" w:rsidRPr="009F3DD3" w:rsidRDefault="004203EA" w:rsidP="009F3DD3">
      <w:pPr>
        <w:pStyle w:val="MDPI31text"/>
        <w:rPr>
          <w:rFonts w:eastAsiaTheme="minorEastAsia"/>
        </w:rPr>
      </w:pPr>
      <w:r w:rsidRPr="009F3DD3">
        <w:rPr>
          <w:rFonts w:eastAsiaTheme="minorEastAsia"/>
        </w:rPr>
        <w:t>As World Health Organization (WHO) stated, health is not merely the absence of diseases but “</w:t>
      </w:r>
      <w:r w:rsidRPr="009F3DD3">
        <w:t>state of complete physical, mental and social well-being</w:t>
      </w:r>
      <w:r w:rsidRPr="009F3DD3">
        <w:rPr>
          <w:rFonts w:eastAsiaTheme="minorEastAsia"/>
        </w:rPr>
        <w:t>”</w:t>
      </w:r>
      <w:r w:rsidR="00A332DC" w:rsidRPr="009F3DD3">
        <w:rPr>
          <w:rFonts w:eastAsiaTheme="minorEastAsia"/>
        </w:rPr>
        <w:fldChar w:fldCharType="begin"/>
      </w:r>
      <w:r w:rsidR="00A332DC" w:rsidRPr="009F3DD3">
        <w:rPr>
          <w:rFonts w:eastAsiaTheme="minorEastAsia"/>
        </w:rPr>
        <w:instrText xml:space="preserve"> ADDIN ZOTERO_ITEM CSL_CITATION {"citationID":"D594l8HK","properties":{"formattedCitation":"(World Health Organization, 2020)","plainCitation":"(World Health Organization, 2020)","noteIndex":0},"citationItems":[{"id":997,"uris":["http://zotero.org/users/local/AdhdAbFn/items/N2LSHIHK"],"itemData":{"id":997,"type":"book","edition":"49th ed","event-place":"Geneva","ISBN":"978-92-4-000051-3","language":"en","note":"section: including amendments adopted up to 31 May 2019","number-of-pages":"238","publisher":"World Health Organization","publisher-place":"Geneva","source":"WHO IRIS","title":"Basic documents","URL":"https://apps.who.int/iris/handle/10665/339554","author":[{"literal":"World Health Organization"}],"accessed":{"date-parts":[["2022",3,13]]},"issued":{"date-parts":[["2020"]]}}}],"schema":"https://github.com/citation-style-language/schema/raw/master/csl-citation.json"} </w:instrText>
      </w:r>
      <w:r w:rsidR="00A332DC" w:rsidRPr="009F3DD3">
        <w:rPr>
          <w:rFonts w:eastAsiaTheme="minorEastAsia"/>
        </w:rPr>
        <w:fldChar w:fldCharType="separate"/>
      </w:r>
      <w:r w:rsidR="0013312D">
        <w:rPr>
          <w:rFonts w:eastAsiaTheme="minorEastAsia"/>
        </w:rPr>
        <w:t>(World Health Organization, 2020)</w:t>
      </w:r>
      <w:r w:rsidR="00A332DC" w:rsidRPr="009F3DD3">
        <w:rPr>
          <w:rFonts w:eastAsiaTheme="minorEastAsia"/>
        </w:rPr>
        <w:fldChar w:fldCharType="end"/>
      </w:r>
      <w:r w:rsidRPr="009F3DD3">
        <w:rPr>
          <w:rFonts w:eastAsiaTheme="minorEastAsia"/>
        </w:rPr>
        <w:t>.</w:t>
      </w:r>
    </w:p>
    <w:p w14:paraId="3343DACA" w14:textId="753C57EF" w:rsidR="00CA6A8C" w:rsidRPr="00CE3A8F" w:rsidRDefault="00CA6A8C" w:rsidP="009F3DD3">
      <w:pPr>
        <w:pStyle w:val="MDPI31text"/>
        <w:rPr>
          <w:rFonts w:eastAsiaTheme="minorEastAsia"/>
          <w:lang w:val="it-IT"/>
        </w:rPr>
      </w:pPr>
      <w:r w:rsidRPr="009F3DD3">
        <w:rPr>
          <w:rFonts w:eastAsiaTheme="minorEastAsia"/>
        </w:rPr>
        <w:t>An ongoing challenge is to develop training curricula for healthcare staff that enables a focus on clinical aspects combined with a multidisciplinary understanding of working and wellness conditions. It also is concerned with how design and management of healthcare facilities is addressed in the education and training of architects, engineers, economists, managers and several more professions</w:t>
      </w:r>
      <w:r w:rsidR="00A500C9" w:rsidRPr="009F3DD3">
        <w:rPr>
          <w:rFonts w:eastAsiaTheme="minorEastAsia"/>
        </w:rPr>
        <w:t xml:space="preserve"> </w:t>
      </w:r>
      <w:r w:rsidR="00A332DC" w:rsidRPr="009F3DD3">
        <w:rPr>
          <w:rFonts w:eastAsiaTheme="minorEastAsia"/>
        </w:rPr>
        <w:fldChar w:fldCharType="begin"/>
      </w:r>
      <w:r w:rsidR="00A500C9" w:rsidRPr="009F3DD3">
        <w:rPr>
          <w:rFonts w:eastAsiaTheme="minorEastAsia"/>
        </w:rPr>
        <w:instrText xml:space="preserve"> ADDIN ZOTERO_ITEM CSL_CITATION {"citationID":"IDHeMeun","properties":{"formattedCitation":"(Azzopardi-Muscat et al., 2020; Cambra-Rufino et al., 2021; Gola et al., 2020)","plainCitation":"(Azzopardi-Muscat et al., 2020; Cambra-Rufino et al., 2021; Gola et al., 2020)","noteIndex":0},"citationItems":[{"id":401,"uris":["http://zotero.org/users/local/AdhdAbFn/items/WZIIABUC"],"itemData":{"id":401,"type":"article-journal","container-title":"Acta Bio Medica Atenei Parmensis","DOI":"10.23750/abm.v91i3-S.9414","ISSN":"2531-6745","issue":"3-S","page":"9-20","source":"DOI.org (CSL JSON)","title":"Synergies in Design and Health. The role of architects and urban health planners in tackling key contemporary public health challenges","volume":"91","author":[{"family":"Azzopardi-Muscat","given":"Natasha"},{"family":"Brambilla","given":"Andrea"},{"family":"Caracci","given":"Francesca"},{"family":"Capolongo","given":"Stefano"}],"issued":{"date-parts":[["2020",4,10]]}}},{"id":740,"uris":["http://zotero.org/users/local/AdhdAbFn/items/4T63PKL7"],"itemData":{"id":740,"type":"article-journal","abstract":"Aim:\n              The research sheds light on the challenges and limitations of Spanish and Italian hospital design by looking at the gaps between education and practice.\n            \n            \n              Background:\n              Hospital design plays an important role in providing high-quality and cost-effective facilities for any healthcare system. Spain and Italy face contemporary challenges (i.e., elderly population, staff retention, and obsolete healthcare facilities) and have similar issues of life expectancy, health expenditure, hospital beds provision, and decentralized tax-financed healthcare systems.\n            \n            \n              Method:\n              A cross-sectional, mixed-method study was used. This involved two different data collection strategies and analysis for each area of investigation: (i) education and (ii) practice. For the former, educational programs were reviewed via a web search; for the latter, an online survey of 53 architectural/engineering offices involved in hospital design was conducted.\n            \n            \n              Results:\n              Hospital design education is limited to 0/58 in Spanish and 2/60 courses in Italian universities, although each country offers three postgraduate courses. The practitioners’ survey shows that even though their offices have a long history of healthcare design, only 48% in Spain and 60% in Italy have received specific university training. Office staff lack employees with medical backgrounds, which hinders any partnership between health and design fields either for design practice or the education fields. Laws, national regulations, technical guidelines, and previous experience are the most useful information sources, while international scientific publications appear underused by practitioners.\n            \n            \n              Conclusions:\n              Italian and Spanish healthcare architecture could be improved by promoting multidisciplinary teams (in practice and education) and improving the education offer by tailoring it to national needs.","container-title":"HERD: Health Environments Research &amp; Design Journal","DOI":"10.1177/1937586721991520","ISSN":"1937-5867, 2167-5112","issue":"3","journalAbbreviation":"HERD","language":"en","page":"169-181","source":"DOI.org (Crossref)","title":"Hospital Architecture in Spain and Italy: Gaps Between Education and Practice","title-short":"Hospital Architecture in Spain and Italy","volume":"14","author":[{"family":"Cambra-Rufino","given":"Laura"},{"family":"Brambilla","given":"Andrea"},{"family":"Paniagua-Caparrós","given":"José León"},{"family":"Capolongo","given":"Stefano"}],"issued":{"date-parts":[["2021",7]]}}},{"id":521,"uris":["http://zotero.org/users/local/AdhdAbFn/items/RW2H4MYM"],"itemData":{"id":521,"type":"article-journal","abstract":"Background \nHealthcare environments are one of the most complex and demanding fields of work. Scientific, technological and research developments along with new discoveries within health promotion and prevention strategies are increasingly requiring a multidisciplinary and interdisciplinary approach. Therefore, it is likely that the current professions will need to be significantly adapted to accommodate new and more specialized roles \n\nObjectives \nTo present an overview of the current educational and training courses of the emerging professions, such as hospital planner, physician-engineer, doctor-architect, nurse-architect or engineer, we review the present global training courses (BSc, MSc, </w:instrText>
      </w:r>
      <w:r w:rsidR="00A500C9" w:rsidRPr="00CE3A8F">
        <w:rPr>
          <w:rFonts w:eastAsiaTheme="minorEastAsia"/>
          <w:lang w:val="it-IT"/>
        </w:rPr>
        <w:instrText xml:space="preserve">specialization and PhD courses) related to healthcare design focusing on the fields of Medicine and Nursing, Architecture and Engineering sciences \n\nResults \nThe paper analyses the literature review and website analysis about active teaching programs and courses. Several academic institutions offer BSc, MSc and PhD degree programs in Healthcare Design, Environmental and Building Hygiene, and Public Health. In addition, there are several professional postgraduate courses, either in classroom, hybrid-based or online \nConclusion \nA considerable number of international training experiences addresses the topic of training multidisciplinary professionals. Further in-depth investigations are needed to examine the content, teaching format and impact of the courses, student outcomes and professional careers, fields of interest and the degree of collaborations with other institutions","container-title":"Annali Di Igiene: Medicina Preventiva E Di Comunita","DOI":"10.7416/ai.2020.2375","issue":"5","page":"549-566","title":"Educational Challenges in Healthcare Design: Training Multidisciplinary Professionals for Future Hospitals and Healthcare","volume":"32","author":[{"family":"Gola","given":"Marco"},{"family":"Brambilla","given":"Andrea"},{"family":"Barach","given":"Paul"},{"family":"Signorelli","given":"Carlo"},{"family":"Capolongo","given":"Stefano"}],"issued":{"date-parts":[["2020"]]}}}],"schema":"https://github.com/citation-style-language/schema/raw/master/csl-citation.json"} </w:instrText>
      </w:r>
      <w:r w:rsidR="00A332DC" w:rsidRPr="009F3DD3">
        <w:rPr>
          <w:rFonts w:eastAsiaTheme="minorEastAsia"/>
        </w:rPr>
        <w:fldChar w:fldCharType="separate"/>
      </w:r>
      <w:r w:rsidR="0013312D">
        <w:rPr>
          <w:rFonts w:eastAsiaTheme="minorEastAsia"/>
          <w:lang w:val="it-IT"/>
        </w:rPr>
        <w:t>(Azzopardi-Muscat et al., 2020; Cambra-Rufino et al., 2021; Gola et al., 2020)</w:t>
      </w:r>
      <w:r w:rsidR="00A332DC" w:rsidRPr="009F3DD3">
        <w:rPr>
          <w:rFonts w:eastAsiaTheme="minorEastAsia"/>
        </w:rPr>
        <w:fldChar w:fldCharType="end"/>
      </w:r>
      <w:r w:rsidRPr="00CE3A8F">
        <w:rPr>
          <w:rFonts w:eastAsiaTheme="minorEastAsia"/>
          <w:lang w:val="it-IT"/>
        </w:rPr>
        <w:t>.</w:t>
      </w:r>
    </w:p>
    <w:p w14:paraId="70F8C87D" w14:textId="13305D3F" w:rsidR="00013AFC" w:rsidRDefault="00013AFC" w:rsidP="004203EA">
      <w:pPr>
        <w:pStyle w:val="MDPI31text"/>
        <w:spacing w:line="240" w:lineRule="auto"/>
        <w:rPr>
          <w:rFonts w:asciiTheme="minorHAnsi" w:eastAsiaTheme="minorEastAsia" w:hAnsiTheme="minorHAnsi" w:cstheme="minorHAnsi"/>
          <w:lang w:val="it-IT"/>
        </w:rPr>
      </w:pPr>
    </w:p>
    <w:p w14:paraId="71A513B2" w14:textId="05DC2838" w:rsidR="00A332DC" w:rsidRPr="00DD76AB" w:rsidRDefault="00013AFC" w:rsidP="00013AFC">
      <w:pPr>
        <w:pStyle w:val="MDPI22heading2"/>
        <w:rPr>
          <w:rFonts w:eastAsiaTheme="minorEastAsia"/>
        </w:rPr>
      </w:pPr>
      <w:r w:rsidRPr="00DD76AB">
        <w:rPr>
          <w:rFonts w:eastAsiaTheme="minorEastAsia"/>
        </w:rPr>
        <w:t>The service model challenge</w:t>
      </w:r>
    </w:p>
    <w:p w14:paraId="4D2D417D" w14:textId="77777777" w:rsidR="00CA6A8C" w:rsidRPr="009F3DD3" w:rsidRDefault="00CA6A8C" w:rsidP="009F3DD3">
      <w:pPr>
        <w:pStyle w:val="MDPI31text"/>
        <w:rPr>
          <w:rFonts w:eastAsiaTheme="minorEastAsia"/>
        </w:rPr>
      </w:pPr>
      <w:r w:rsidRPr="009F3DD3">
        <w:rPr>
          <w:rFonts w:eastAsiaTheme="minorEastAsia"/>
        </w:rPr>
        <w:t>With new service delivery models’ new requirements are also put on healthcare staff and this must be understood in order to be implemented in education and development of practice. It might even be so that by addressing issues in teaching and change management, it will subsequently be possible also in service delivery not otherwise feasible at present.</w:t>
      </w:r>
    </w:p>
    <w:p w14:paraId="61749BE8" w14:textId="528D3127" w:rsidR="006777A9" w:rsidRPr="009F3DD3" w:rsidRDefault="00CA6A8C" w:rsidP="009F3DD3">
      <w:pPr>
        <w:pStyle w:val="MDPI31text"/>
        <w:rPr>
          <w:rFonts w:eastAsiaTheme="minorEastAsia"/>
        </w:rPr>
      </w:pPr>
      <w:r w:rsidRPr="009F3DD3">
        <w:rPr>
          <w:rFonts w:eastAsiaTheme="minorEastAsia"/>
        </w:rPr>
        <w:t>All of the above concern the situation and context of staffing in healthcare, it concerns where the healthcare staff acts</w:t>
      </w:r>
      <w:r w:rsidR="00015F99">
        <w:rPr>
          <w:rFonts w:eastAsiaTheme="minorEastAsia"/>
        </w:rPr>
        <w:t>, governs and enables action</w:t>
      </w:r>
      <w:r w:rsidRPr="009F3DD3">
        <w:rPr>
          <w:rFonts w:eastAsiaTheme="minorEastAsia"/>
        </w:rPr>
        <w:t>. In addition to the new capabilities needed for person-centered care in multiple spatial settings there remains the challenge of staff availability. Quality of work life, work life balance, pay and other labor market issues coupled with the demographic challenge that there simply will not be enough staff to staff our healthcare system makes it of paramount importance to address the setting for healthcare work.</w:t>
      </w:r>
    </w:p>
    <w:p w14:paraId="5B47D266" w14:textId="77777777" w:rsidR="00182902" w:rsidRDefault="00182902" w:rsidP="00433756">
      <w:pPr>
        <w:pStyle w:val="MDPI21heading1"/>
        <w:ind w:left="0"/>
        <w:rPr>
          <w:rFonts w:ascii="Georgia" w:eastAsiaTheme="minorEastAsia" w:hAnsi="Georgia" w:cs="Arial"/>
          <w:b w:val="0"/>
        </w:rPr>
      </w:pPr>
    </w:p>
    <w:p w14:paraId="7B6E2EB9" w14:textId="588CA559" w:rsidR="00A86E9F" w:rsidRPr="004F2BEA" w:rsidRDefault="00433756" w:rsidP="00182902">
      <w:pPr>
        <w:pStyle w:val="MDPI21heading1"/>
        <w:rPr>
          <w:rFonts w:ascii="Georgia" w:eastAsiaTheme="minorEastAsia" w:hAnsi="Georgia" w:cs="Arial"/>
        </w:rPr>
      </w:pPr>
      <w:r>
        <w:rPr>
          <w:rFonts w:ascii="Georgia" w:eastAsiaTheme="minorEastAsia" w:hAnsi="Georgia" w:cs="Arial"/>
        </w:rPr>
        <w:t xml:space="preserve">4. </w:t>
      </w:r>
      <w:r w:rsidR="009F3DD3">
        <w:rPr>
          <w:rFonts w:ascii="Georgia" w:eastAsiaTheme="minorEastAsia" w:hAnsi="Georgia" w:cs="Arial"/>
        </w:rPr>
        <w:t>Research Outlooks</w:t>
      </w:r>
    </w:p>
    <w:p w14:paraId="369BDAAF" w14:textId="7DD69EDD" w:rsidR="00D45574" w:rsidRPr="009F3DD3" w:rsidRDefault="00433756" w:rsidP="009F3DD3">
      <w:pPr>
        <w:pStyle w:val="MDPI31text"/>
        <w:rPr>
          <w:rFonts w:eastAsiaTheme="minorEastAsia"/>
        </w:rPr>
      </w:pPr>
      <w:r w:rsidRPr="009F3DD3">
        <w:rPr>
          <w:rFonts w:eastAsiaTheme="minorEastAsia"/>
        </w:rPr>
        <w:t xml:space="preserve">Given the somewhat bleak situation </w:t>
      </w:r>
      <w:r w:rsidR="00015F99">
        <w:rPr>
          <w:rFonts w:eastAsiaTheme="minorEastAsia"/>
        </w:rPr>
        <w:t xml:space="preserve">concerning staffing </w:t>
      </w:r>
      <w:r w:rsidRPr="009F3DD3">
        <w:rPr>
          <w:rFonts w:eastAsiaTheme="minorEastAsia"/>
        </w:rPr>
        <w:t xml:space="preserve">noted above it is crucial that design of healthcare </w:t>
      </w:r>
      <w:r w:rsidR="00F15D4E">
        <w:rPr>
          <w:rFonts w:eastAsiaTheme="minorEastAsia"/>
        </w:rPr>
        <w:t>facilities and the workplaces in them</w:t>
      </w:r>
      <w:r w:rsidR="00F15D4E" w:rsidRPr="009F3DD3">
        <w:rPr>
          <w:rFonts w:eastAsiaTheme="minorEastAsia"/>
        </w:rPr>
        <w:t xml:space="preserve"> </w:t>
      </w:r>
      <w:r w:rsidRPr="009F3DD3">
        <w:rPr>
          <w:rFonts w:eastAsiaTheme="minorEastAsia"/>
        </w:rPr>
        <w:t xml:space="preserve">is put higher on the agenda, therefore data and evidence supporting a focus on staff working </w:t>
      </w:r>
      <w:r w:rsidR="00F15D4E">
        <w:rPr>
          <w:rFonts w:eastAsiaTheme="minorEastAsia"/>
        </w:rPr>
        <w:t>related to</w:t>
      </w:r>
      <w:r w:rsidR="007C31C2">
        <w:rPr>
          <w:rFonts w:eastAsiaTheme="minorEastAsia"/>
        </w:rPr>
        <w:t xml:space="preserve"> the</w:t>
      </w:r>
      <w:r w:rsidR="00F15D4E">
        <w:rPr>
          <w:rFonts w:eastAsiaTheme="minorEastAsia"/>
        </w:rPr>
        <w:t xml:space="preserve"> </w:t>
      </w:r>
      <w:r w:rsidRPr="009F3DD3">
        <w:rPr>
          <w:rFonts w:eastAsiaTheme="minorEastAsia"/>
        </w:rPr>
        <w:t>spatial context is needed. In fact, a</w:t>
      </w:r>
      <w:r w:rsidR="00182902" w:rsidRPr="009F3DD3">
        <w:rPr>
          <w:rFonts w:eastAsiaTheme="minorEastAsia"/>
        </w:rPr>
        <w:t xml:space="preserve"> belief that there is a relationship needs to be validated. Studies presented above surely point this </w:t>
      </w:r>
      <w:r w:rsidR="007C31C2" w:rsidRPr="009F3DD3">
        <w:rPr>
          <w:rFonts w:eastAsiaTheme="minorEastAsia"/>
        </w:rPr>
        <w:t>way,</w:t>
      </w:r>
      <w:r w:rsidR="00182902" w:rsidRPr="009F3DD3">
        <w:rPr>
          <w:rFonts w:eastAsiaTheme="minorEastAsia"/>
        </w:rPr>
        <w:t xml:space="preserve"> but a structured approach and systematic research needs to address the issue to support decision making both </w:t>
      </w:r>
      <w:r w:rsidR="00D20D6F" w:rsidRPr="009F3DD3">
        <w:rPr>
          <w:rFonts w:eastAsiaTheme="minorEastAsia"/>
        </w:rPr>
        <w:t>regarding</w:t>
      </w:r>
      <w:r w:rsidR="00182902" w:rsidRPr="009F3DD3">
        <w:rPr>
          <w:rFonts w:eastAsiaTheme="minorEastAsia"/>
        </w:rPr>
        <w:t xml:space="preserve"> work design </w:t>
      </w:r>
      <w:r w:rsidR="00D20D6F">
        <w:rPr>
          <w:rFonts w:eastAsiaTheme="minorEastAsia"/>
        </w:rPr>
        <w:t>and</w:t>
      </w:r>
      <w:r w:rsidR="00182902" w:rsidRPr="009F3DD3">
        <w:rPr>
          <w:rFonts w:eastAsiaTheme="minorEastAsia"/>
        </w:rPr>
        <w:t xml:space="preserve"> workplace design</w:t>
      </w:r>
      <w:r w:rsidR="00942C72" w:rsidRPr="009F3DD3">
        <w:rPr>
          <w:rFonts w:eastAsiaTheme="minorEastAsia"/>
        </w:rPr>
        <w:t xml:space="preserve">. </w:t>
      </w:r>
      <w:r w:rsidR="00015F99">
        <w:rPr>
          <w:rFonts w:eastAsiaTheme="minorEastAsia"/>
        </w:rPr>
        <w:t xml:space="preserve">This will include, among other approaches, case studies of projects, ethnographic studies, action research and evaluations of current and planned facilities. </w:t>
      </w:r>
      <w:r w:rsidR="00942C72" w:rsidRPr="009F3DD3">
        <w:rPr>
          <w:rFonts w:eastAsiaTheme="minorEastAsia"/>
        </w:rPr>
        <w:t xml:space="preserve">This will define future research able to provide strategic guidelines, defining operational requirements toward the healthcare facilities of the future, that must be able to host an increasing number of older and demanding patients but, at the same time, to be able to create a comfortable </w:t>
      </w:r>
      <w:r w:rsidR="00D45574" w:rsidRPr="009F3DD3">
        <w:rPr>
          <w:rFonts w:eastAsiaTheme="minorEastAsia"/>
        </w:rPr>
        <w:t xml:space="preserve">and healthy </w:t>
      </w:r>
      <w:r w:rsidR="00942C72" w:rsidRPr="009F3DD3">
        <w:rPr>
          <w:rFonts w:eastAsiaTheme="minorEastAsia"/>
        </w:rPr>
        <w:t>environment for the healthcare staff</w:t>
      </w:r>
      <w:r w:rsidR="00D45574" w:rsidRPr="009F3DD3">
        <w:rPr>
          <w:rFonts w:eastAsiaTheme="minorEastAsia"/>
        </w:rPr>
        <w:t xml:space="preserve"> that is facing extraordinary social and demographical challenges. Future systematic research will shed light on the impacts that characteristics of the physical built environments have on staff </w:t>
      </w:r>
      <w:r w:rsidR="00D45574" w:rsidRPr="009F3DD3">
        <w:rPr>
          <w:rFonts w:eastAsiaTheme="minorEastAsia"/>
        </w:rPr>
        <w:lastRenderedPageBreak/>
        <w:t>retention, wellbeing and satisfaction in different healthcare settings.</w:t>
      </w:r>
      <w:r w:rsidR="007C31C2">
        <w:rPr>
          <w:rFonts w:eastAsiaTheme="minorEastAsia"/>
        </w:rPr>
        <w:t xml:space="preserve"> And, it is needed as fewer and older shall take care of large groups under conditions with new challenges, a lesson learnt not least during the</w:t>
      </w:r>
      <w:r w:rsidR="00D20D6F">
        <w:rPr>
          <w:rFonts w:eastAsiaTheme="minorEastAsia"/>
        </w:rPr>
        <w:t xml:space="preserve"> COVID-19</w:t>
      </w:r>
      <w:r w:rsidR="007C31C2">
        <w:rPr>
          <w:rFonts w:eastAsiaTheme="minorEastAsia"/>
        </w:rPr>
        <w:t xml:space="preserve"> pandemic.</w:t>
      </w:r>
    </w:p>
    <w:p w14:paraId="0DC2FF1B" w14:textId="77777777" w:rsidR="00D45574" w:rsidRDefault="00D45574" w:rsidP="00A70B08">
      <w:pPr>
        <w:pStyle w:val="MDPI21heading1"/>
        <w:rPr>
          <w:rFonts w:ascii="Georgia" w:eastAsiaTheme="minorEastAsia" w:hAnsi="Georgia" w:cs="Arial"/>
          <w:b w:val="0"/>
        </w:rPr>
      </w:pPr>
    </w:p>
    <w:p w14:paraId="10CC59E0" w14:textId="6E07FF0E" w:rsidR="00A500C9" w:rsidRPr="00CE3A8F" w:rsidRDefault="00A86E9F" w:rsidP="00A500C9">
      <w:pPr>
        <w:pStyle w:val="MDPI21heading1"/>
        <w:ind w:left="0"/>
        <w:rPr>
          <w:rFonts w:ascii="Georgia" w:eastAsiaTheme="minorEastAsia" w:hAnsi="Georgia" w:cs="Arial"/>
          <w:lang w:val="it-IT"/>
        </w:rPr>
      </w:pPr>
      <w:r w:rsidRPr="00CE3A8F">
        <w:rPr>
          <w:rFonts w:ascii="Georgia" w:eastAsiaTheme="minorEastAsia" w:hAnsi="Georgia" w:cs="Arial"/>
          <w:lang w:val="it-IT"/>
        </w:rPr>
        <w:t>References</w:t>
      </w:r>
    </w:p>
    <w:p w14:paraId="4F68E44A" w14:textId="060AB990" w:rsidR="00A500C9" w:rsidRPr="00CE3A8F" w:rsidRDefault="00A500C9" w:rsidP="00726439">
      <w:pPr>
        <w:pStyle w:val="MDPI31text"/>
        <w:ind w:left="425" w:firstLine="0"/>
        <w:rPr>
          <w:rFonts w:ascii="Georgia" w:eastAsiaTheme="minorEastAsia" w:hAnsi="Georgia" w:cs="Arial"/>
          <w:color w:val="FF0000"/>
          <w:lang w:val="it-IT"/>
        </w:rPr>
      </w:pPr>
    </w:p>
    <w:p w14:paraId="1969375E" w14:textId="77777777" w:rsidR="0013312D" w:rsidRPr="00177EC7" w:rsidRDefault="00A500C9" w:rsidP="0013312D">
      <w:pPr>
        <w:pStyle w:val="Bibliografie"/>
        <w:rPr>
          <w:sz w:val="18"/>
          <w:lang w:val="en-GB"/>
        </w:rPr>
      </w:pPr>
      <w:r w:rsidRPr="00A500C9">
        <w:rPr>
          <w:rFonts w:eastAsiaTheme="minorEastAsia" w:cs="Arial"/>
          <w:noProof/>
        </w:rPr>
        <w:fldChar w:fldCharType="begin"/>
      </w:r>
      <w:r w:rsidR="0013312D">
        <w:rPr>
          <w:rFonts w:eastAsiaTheme="minorEastAsia" w:cs="Arial"/>
          <w:lang w:val="it-IT"/>
        </w:rPr>
        <w:instrText xml:space="preserve"> ADDIN ZOTERO_BIBL {"uncited":[],"omitted":[],"custom":[]} CSL_BIBLIOGRAPHY </w:instrText>
      </w:r>
      <w:r w:rsidRPr="00A500C9">
        <w:rPr>
          <w:rFonts w:eastAsiaTheme="minorEastAsia" w:cs="Arial"/>
          <w:noProof/>
        </w:rPr>
        <w:fldChar w:fldCharType="separate"/>
      </w:r>
      <w:r w:rsidR="0013312D" w:rsidRPr="00177EC7">
        <w:rPr>
          <w:sz w:val="18"/>
          <w:lang w:val="en-GB"/>
        </w:rPr>
        <w:t xml:space="preserve">Azzopardi-Muscat, N., Brambilla, A., Caracci, F., &amp; Capolongo, S. (2020). </w:t>
      </w:r>
      <w:r w:rsidR="0013312D" w:rsidRPr="0013312D">
        <w:rPr>
          <w:sz w:val="18"/>
          <w:lang w:val="en-GB"/>
        </w:rPr>
        <w:t xml:space="preserve">Synergies in Design and Health. The role of architects and urban health planners in tackling key contemporary public health challenges. </w:t>
      </w:r>
      <w:r w:rsidR="0013312D" w:rsidRPr="00177EC7">
        <w:rPr>
          <w:sz w:val="18"/>
          <w:lang w:val="en-GB"/>
        </w:rPr>
        <w:t>Acta Bio Medica Atenei Parmensis, 91(3-S), 9–20. https://doi.org/10.23750/abm.v91i3-S.9414</w:t>
      </w:r>
    </w:p>
    <w:p w14:paraId="747DE01F" w14:textId="77777777" w:rsidR="0013312D" w:rsidRPr="0013312D" w:rsidRDefault="0013312D" w:rsidP="0013312D">
      <w:pPr>
        <w:pStyle w:val="Bibliografie"/>
        <w:rPr>
          <w:sz w:val="18"/>
          <w:lang w:val="en-GB"/>
        </w:rPr>
      </w:pPr>
      <w:r w:rsidRPr="0013312D">
        <w:rPr>
          <w:sz w:val="18"/>
          <w:lang w:val="en-GB"/>
        </w:rPr>
        <w:t xml:space="preserve">Blake, H., Yildirim, M., Wood, B., Knowles, S., Mancini, H., Coyne, E., &amp; Cooper, J. (2020). COVID-Well: Evaluation of the Implementation of Supported Wellbeing Centres for Hospital Employees during the COVID-19 Pandemic. </w:t>
      </w:r>
      <w:r w:rsidRPr="00177EC7">
        <w:rPr>
          <w:sz w:val="18"/>
          <w:lang w:val="en-GB"/>
        </w:rPr>
        <w:t>International Journal of Environmental Research and Public Health</w:t>
      </w:r>
      <w:r w:rsidRPr="0013312D">
        <w:rPr>
          <w:sz w:val="18"/>
          <w:lang w:val="en-GB"/>
        </w:rPr>
        <w:t xml:space="preserve">, </w:t>
      </w:r>
      <w:r w:rsidRPr="00177EC7">
        <w:rPr>
          <w:sz w:val="18"/>
          <w:lang w:val="en-GB"/>
        </w:rPr>
        <w:t>17</w:t>
      </w:r>
      <w:r w:rsidRPr="0013312D">
        <w:rPr>
          <w:sz w:val="18"/>
          <w:lang w:val="en-GB"/>
        </w:rPr>
        <w:t>(24), 9401. https://doi.org/10.3390/ijerph17249401</w:t>
      </w:r>
    </w:p>
    <w:p w14:paraId="1C0BF056" w14:textId="77777777" w:rsidR="0013312D" w:rsidRPr="0013312D" w:rsidRDefault="0013312D" w:rsidP="0013312D">
      <w:pPr>
        <w:pStyle w:val="Bibliografie"/>
        <w:rPr>
          <w:sz w:val="18"/>
          <w:lang w:val="en-GB"/>
        </w:rPr>
      </w:pPr>
      <w:r w:rsidRPr="00177EC7">
        <w:rPr>
          <w:sz w:val="18"/>
          <w:lang w:val="en-GB"/>
        </w:rPr>
        <w:t xml:space="preserve">Cambra-Rufino, L., Brambilla, A., Paniagua-Caparrós, J. L., &amp; Capolongo, S. (2021). </w:t>
      </w:r>
      <w:r w:rsidRPr="0013312D">
        <w:rPr>
          <w:sz w:val="18"/>
          <w:lang w:val="en-GB"/>
        </w:rPr>
        <w:t xml:space="preserve">Hospital Architecture in Spain and Italy: Gaps Between Education and Practice. </w:t>
      </w:r>
      <w:r w:rsidRPr="00177EC7">
        <w:rPr>
          <w:sz w:val="18"/>
          <w:lang w:val="en-GB"/>
        </w:rPr>
        <w:t>HERD: Health Environments Research &amp; Design Journal</w:t>
      </w:r>
      <w:r w:rsidRPr="0013312D">
        <w:rPr>
          <w:sz w:val="18"/>
          <w:lang w:val="en-GB"/>
        </w:rPr>
        <w:t xml:space="preserve">, </w:t>
      </w:r>
      <w:r w:rsidRPr="00177EC7">
        <w:rPr>
          <w:sz w:val="18"/>
          <w:lang w:val="en-GB"/>
        </w:rPr>
        <w:t>14</w:t>
      </w:r>
      <w:r w:rsidRPr="0013312D">
        <w:rPr>
          <w:sz w:val="18"/>
          <w:lang w:val="en-GB"/>
        </w:rPr>
        <w:t>(3), 169–181. https://doi.org/10.1177/1937586721991520</w:t>
      </w:r>
    </w:p>
    <w:p w14:paraId="27AB234B" w14:textId="77777777" w:rsidR="00015F99" w:rsidRPr="00331481" w:rsidRDefault="00000000" w:rsidP="00331481">
      <w:pPr>
        <w:pStyle w:val="Bibliografie"/>
        <w:rPr>
          <w:sz w:val="18"/>
          <w:lang w:val="en-GB"/>
        </w:rPr>
      </w:pPr>
      <w:hyperlink r:id="rId14" w:tooltip="Daniela Fishbein" w:history="1">
        <w:r w:rsidR="00015F99" w:rsidRPr="00331481">
          <w:rPr>
            <w:sz w:val="18"/>
            <w:lang w:val="en-GB"/>
          </w:rPr>
          <w:t>Fishbein, D.</w:t>
        </w:r>
      </w:hyperlink>
      <w:r w:rsidR="00015F99" w:rsidRPr="00331481">
        <w:rPr>
          <w:sz w:val="18"/>
          <w:lang w:val="en-GB"/>
        </w:rPr>
        <w:t>, </w:t>
      </w:r>
      <w:hyperlink r:id="rId15" w:tooltip="Siddhartha Nambiar" w:history="1">
        <w:r w:rsidR="00015F99" w:rsidRPr="00331481">
          <w:rPr>
            <w:sz w:val="18"/>
            <w:lang w:val="en-GB"/>
          </w:rPr>
          <w:t>Nambiar, S.</w:t>
        </w:r>
      </w:hyperlink>
      <w:r w:rsidR="00015F99" w:rsidRPr="00331481">
        <w:rPr>
          <w:sz w:val="18"/>
          <w:lang w:val="en-GB"/>
        </w:rPr>
        <w:t>, </w:t>
      </w:r>
      <w:hyperlink r:id="rId16" w:tooltip="Kendall McKenzie" w:history="1">
        <w:r w:rsidR="00015F99" w:rsidRPr="00331481">
          <w:rPr>
            <w:sz w:val="18"/>
            <w:lang w:val="en-GB"/>
          </w:rPr>
          <w:t>McKenzie, K.</w:t>
        </w:r>
      </w:hyperlink>
      <w:r w:rsidR="00015F99" w:rsidRPr="00331481">
        <w:rPr>
          <w:sz w:val="18"/>
          <w:lang w:val="en-GB"/>
        </w:rPr>
        <w:t>, </w:t>
      </w:r>
      <w:hyperlink r:id="rId17" w:tooltip="Maria Mayorga" w:history="1">
        <w:r w:rsidR="00015F99" w:rsidRPr="00331481">
          <w:rPr>
            <w:sz w:val="18"/>
            <w:lang w:val="en-GB"/>
          </w:rPr>
          <w:t>Mayorga, M.</w:t>
        </w:r>
      </w:hyperlink>
      <w:r w:rsidR="00015F99" w:rsidRPr="00331481">
        <w:rPr>
          <w:sz w:val="18"/>
          <w:lang w:val="en-GB"/>
        </w:rPr>
        <w:t>, </w:t>
      </w:r>
      <w:hyperlink r:id="rId18" w:tooltip="Kristen Miller" w:history="1">
        <w:r w:rsidR="00015F99" w:rsidRPr="00331481">
          <w:rPr>
            <w:sz w:val="18"/>
            <w:lang w:val="en-GB"/>
          </w:rPr>
          <w:t>Miller, K.</w:t>
        </w:r>
      </w:hyperlink>
      <w:r w:rsidR="00015F99" w:rsidRPr="00331481">
        <w:rPr>
          <w:sz w:val="18"/>
          <w:lang w:val="en-GB"/>
        </w:rPr>
        <w:t>, </w:t>
      </w:r>
      <w:hyperlink r:id="rId19" w:tooltip="Kevin Tran" w:history="1">
        <w:r w:rsidR="00015F99" w:rsidRPr="00331481">
          <w:rPr>
            <w:sz w:val="18"/>
            <w:lang w:val="en-GB"/>
          </w:rPr>
          <w:t>Tran, K.</w:t>
        </w:r>
      </w:hyperlink>
      <w:r w:rsidR="00015F99" w:rsidRPr="00331481">
        <w:rPr>
          <w:sz w:val="18"/>
          <w:lang w:val="en-GB"/>
        </w:rPr>
        <w:t>, </w:t>
      </w:r>
      <w:hyperlink r:id="rId20" w:tooltip="Laura Schubel" w:history="1">
        <w:r w:rsidR="00015F99" w:rsidRPr="00331481">
          <w:rPr>
            <w:sz w:val="18"/>
            <w:lang w:val="en-GB"/>
          </w:rPr>
          <w:t>Schubel, L.</w:t>
        </w:r>
      </w:hyperlink>
      <w:r w:rsidR="00015F99" w:rsidRPr="00331481">
        <w:rPr>
          <w:sz w:val="18"/>
          <w:lang w:val="en-GB"/>
        </w:rPr>
        <w:t>, </w:t>
      </w:r>
      <w:hyperlink r:id="rId21" w:tooltip="Joseph Agor" w:history="1">
        <w:r w:rsidR="00015F99" w:rsidRPr="00331481">
          <w:rPr>
            <w:sz w:val="18"/>
            <w:lang w:val="en-GB"/>
          </w:rPr>
          <w:t>Agor, J.</w:t>
        </w:r>
      </w:hyperlink>
      <w:r w:rsidR="00015F99" w:rsidRPr="00331481">
        <w:rPr>
          <w:sz w:val="18"/>
          <w:lang w:val="en-GB"/>
        </w:rPr>
        <w:t>, </w:t>
      </w:r>
      <w:hyperlink r:id="rId22" w:tooltip="Tracy Kim" w:history="1">
        <w:r w:rsidR="00015F99" w:rsidRPr="00331481">
          <w:rPr>
            <w:sz w:val="18"/>
            <w:lang w:val="en-GB"/>
          </w:rPr>
          <w:t>Kim, T.</w:t>
        </w:r>
      </w:hyperlink>
      <w:r w:rsidR="00015F99" w:rsidRPr="00331481">
        <w:rPr>
          <w:sz w:val="18"/>
          <w:lang w:val="en-GB"/>
        </w:rPr>
        <w:t> and </w:t>
      </w:r>
      <w:hyperlink r:id="rId23" w:tooltip="Muge Capan" w:history="1">
        <w:r w:rsidR="00015F99" w:rsidRPr="00331481">
          <w:rPr>
            <w:sz w:val="18"/>
            <w:lang w:val="en-GB"/>
          </w:rPr>
          <w:t>Capan, M.</w:t>
        </w:r>
      </w:hyperlink>
      <w:r w:rsidR="00015F99" w:rsidRPr="00331481">
        <w:rPr>
          <w:sz w:val="18"/>
          <w:lang w:val="en-GB"/>
        </w:rPr>
        <w:t> (2020), "Objective measures of workload in healthcare: a narrative review", </w:t>
      </w:r>
      <w:hyperlink r:id="rId24" w:history="1">
        <w:r w:rsidR="00015F99" w:rsidRPr="00331481">
          <w:rPr>
            <w:sz w:val="18"/>
            <w:lang w:val="en-GB"/>
          </w:rPr>
          <w:t>International Journal of Health Care Quality Assurance</w:t>
        </w:r>
      </w:hyperlink>
      <w:r w:rsidR="00015F99" w:rsidRPr="00331481">
        <w:rPr>
          <w:sz w:val="18"/>
          <w:lang w:val="en-GB"/>
        </w:rPr>
        <w:t>, Vol. 33 No. 1, pp. 1-17. </w:t>
      </w:r>
      <w:hyperlink r:id="rId25" w:tooltip="DOI: https://doi.org/10.1108/IJHCQA-12-2018-0288" w:history="1">
        <w:r w:rsidR="00015F99" w:rsidRPr="00331481">
          <w:rPr>
            <w:sz w:val="18"/>
            <w:lang w:val="en-GB"/>
          </w:rPr>
          <w:t>https://doi.org/10.1108/IJHCQA-12-2018-0288</w:t>
        </w:r>
      </w:hyperlink>
    </w:p>
    <w:p w14:paraId="1366BA79" w14:textId="09CDE363" w:rsidR="00177EC7" w:rsidRPr="00177EC7" w:rsidRDefault="00177EC7" w:rsidP="00177EC7">
      <w:pPr>
        <w:pStyle w:val="Bibliografie"/>
        <w:rPr>
          <w:sz w:val="18"/>
          <w:lang w:val="en-GB"/>
        </w:rPr>
      </w:pPr>
      <w:r>
        <w:rPr>
          <w:sz w:val="18"/>
          <w:lang w:val="en-GB"/>
        </w:rPr>
        <w:t xml:space="preserve">Gagliardi, P. ed. (2011) Symbols and artifacts, Views of the corporate landscape. W. d. Gruyter, </w:t>
      </w:r>
      <w:r w:rsidRPr="00177EC7">
        <w:rPr>
          <w:sz w:val="18"/>
          <w:lang w:val="en-GB"/>
        </w:rPr>
        <w:t>de Gruyter Studies in Organization</w:t>
      </w:r>
      <w:r>
        <w:rPr>
          <w:sz w:val="18"/>
          <w:lang w:val="en-GB"/>
        </w:rPr>
        <w:t>.</w:t>
      </w:r>
    </w:p>
    <w:p w14:paraId="110FDC73" w14:textId="36CA8BEC" w:rsidR="0013312D" w:rsidRPr="00177EC7" w:rsidRDefault="0013312D" w:rsidP="0013312D">
      <w:pPr>
        <w:pStyle w:val="Bibliografie"/>
        <w:rPr>
          <w:sz w:val="18"/>
          <w:lang w:val="en-GB"/>
        </w:rPr>
      </w:pPr>
      <w:r w:rsidRPr="0013312D">
        <w:rPr>
          <w:sz w:val="18"/>
          <w:lang w:val="en-GB"/>
        </w:rPr>
        <w:t xml:space="preserve">Gola, M., Brambilla, A., Barach, P., Signorelli, C., &amp; Capolongo, S. (2020). Educational Challenges in Healthcare Design: Training Multidisciplinary Professionals for Future Hospitals and Healthcare. </w:t>
      </w:r>
      <w:r w:rsidRPr="00177EC7">
        <w:rPr>
          <w:sz w:val="18"/>
          <w:lang w:val="en-GB"/>
        </w:rPr>
        <w:t>Annali Di Igiene: Medicina Preventiva E Di Comunita, 32(5), 549–566. https://doi.org/10.7416/ai.2020.2375</w:t>
      </w:r>
    </w:p>
    <w:p w14:paraId="2888ED03" w14:textId="77777777" w:rsidR="0013312D" w:rsidRPr="0013312D" w:rsidRDefault="0013312D" w:rsidP="0013312D">
      <w:pPr>
        <w:pStyle w:val="Bibliografie"/>
        <w:rPr>
          <w:sz w:val="18"/>
          <w:lang w:val="en-GB"/>
        </w:rPr>
      </w:pPr>
      <w:r w:rsidRPr="00500C7A">
        <w:rPr>
          <w:sz w:val="18"/>
          <w:lang w:val="nl-NL"/>
        </w:rPr>
        <w:t xml:space="preserve">Han, J., Kang, H.-J., &amp; Kwon, G. H. (2018). </w:t>
      </w:r>
      <w:r w:rsidRPr="0013312D">
        <w:rPr>
          <w:sz w:val="18"/>
          <w:lang w:val="en-GB"/>
        </w:rPr>
        <w:t xml:space="preserve">A measurement for evaluating the environmental quality of advanced healthcare facilities: Intelligent healthscape quality for medical staff. </w:t>
      </w:r>
      <w:r w:rsidRPr="00177EC7">
        <w:rPr>
          <w:sz w:val="18"/>
          <w:lang w:val="en-GB"/>
        </w:rPr>
        <w:t>Building and Environment</w:t>
      </w:r>
      <w:r w:rsidRPr="0013312D">
        <w:rPr>
          <w:sz w:val="18"/>
          <w:lang w:val="en-GB"/>
        </w:rPr>
        <w:t xml:space="preserve">, </w:t>
      </w:r>
      <w:r w:rsidRPr="00177EC7">
        <w:rPr>
          <w:sz w:val="18"/>
          <w:lang w:val="en-GB"/>
        </w:rPr>
        <w:t>144</w:t>
      </w:r>
      <w:r w:rsidRPr="0013312D">
        <w:rPr>
          <w:sz w:val="18"/>
          <w:lang w:val="en-GB"/>
        </w:rPr>
        <w:t>, 532–541. https://doi.org/10.1016/j.buildenv.2018.08.023</w:t>
      </w:r>
    </w:p>
    <w:p w14:paraId="27F95FA3" w14:textId="77777777" w:rsidR="0013312D" w:rsidRPr="0013312D" w:rsidRDefault="0013312D" w:rsidP="0013312D">
      <w:pPr>
        <w:pStyle w:val="Bibliografie"/>
        <w:rPr>
          <w:sz w:val="18"/>
          <w:lang w:val="en-GB"/>
        </w:rPr>
      </w:pPr>
      <w:r w:rsidRPr="0013312D">
        <w:rPr>
          <w:sz w:val="18"/>
          <w:lang w:val="en-GB"/>
        </w:rPr>
        <w:t xml:space="preserve">Ilmarinen, J. (2006). The ageing workforce—Challenges for occupational health. </w:t>
      </w:r>
      <w:r w:rsidRPr="00177EC7">
        <w:rPr>
          <w:sz w:val="18"/>
          <w:lang w:val="en-GB"/>
        </w:rPr>
        <w:t>Occupational Medicine</w:t>
      </w:r>
      <w:r w:rsidRPr="0013312D">
        <w:rPr>
          <w:sz w:val="18"/>
          <w:lang w:val="en-GB"/>
        </w:rPr>
        <w:t xml:space="preserve">, </w:t>
      </w:r>
      <w:r w:rsidRPr="00177EC7">
        <w:rPr>
          <w:sz w:val="18"/>
          <w:lang w:val="en-GB"/>
        </w:rPr>
        <w:t>56</w:t>
      </w:r>
      <w:r w:rsidRPr="0013312D">
        <w:rPr>
          <w:sz w:val="18"/>
          <w:lang w:val="en-GB"/>
        </w:rPr>
        <w:t>(6), 362–364. https://doi.org/10.1093/occmed/kql046</w:t>
      </w:r>
    </w:p>
    <w:p w14:paraId="24D6B800" w14:textId="7F1AEE3A" w:rsidR="0013312D" w:rsidRDefault="0013312D" w:rsidP="0013312D">
      <w:pPr>
        <w:pStyle w:val="Bibliografie"/>
        <w:rPr>
          <w:sz w:val="18"/>
          <w:lang w:val="en-GB"/>
        </w:rPr>
      </w:pPr>
      <w:r w:rsidRPr="0013312D">
        <w:rPr>
          <w:sz w:val="18"/>
          <w:lang w:val="en-GB"/>
        </w:rPr>
        <w:t xml:space="preserve">Liu, W., Manias, E., &amp; Gerdtz, M. (2014). The effects of physical environments in medical wards on medication communication processes affecting patient safety. </w:t>
      </w:r>
      <w:r w:rsidRPr="00177EC7">
        <w:rPr>
          <w:sz w:val="18"/>
          <w:lang w:val="en-GB"/>
        </w:rPr>
        <w:t>Health &amp; Place</w:t>
      </w:r>
      <w:r w:rsidRPr="0013312D">
        <w:rPr>
          <w:sz w:val="18"/>
          <w:lang w:val="en-GB"/>
        </w:rPr>
        <w:t xml:space="preserve">, </w:t>
      </w:r>
      <w:r w:rsidRPr="00177EC7">
        <w:rPr>
          <w:sz w:val="18"/>
          <w:lang w:val="en-GB"/>
        </w:rPr>
        <w:t>26</w:t>
      </w:r>
      <w:r w:rsidRPr="0013312D">
        <w:rPr>
          <w:sz w:val="18"/>
          <w:lang w:val="en-GB"/>
        </w:rPr>
        <w:t>, 188–198. https://doi.org/10.1016/j.healthplace.2013.12.017</w:t>
      </w:r>
    </w:p>
    <w:p w14:paraId="6AF1108D" w14:textId="77777777" w:rsidR="00177EC7" w:rsidRPr="00177EC7" w:rsidRDefault="00177EC7" w:rsidP="00177EC7">
      <w:pPr>
        <w:pStyle w:val="Bibliografie"/>
        <w:rPr>
          <w:sz w:val="18"/>
          <w:lang w:val="en-GB"/>
        </w:rPr>
      </w:pPr>
      <w:r w:rsidRPr="00177EC7">
        <w:rPr>
          <w:sz w:val="18"/>
          <w:lang w:val="en-GB"/>
        </w:rPr>
        <w:t xml:space="preserve">Nataliia, V., Barzylovych, A., Zabolotna, A., Boiko, M., &amp; Rybchych, I. (2021). Healthcare facilities management in digitalization context. International Journal of Health Sciences, 5(3), 429-440. https://doi.org/10.53730/ijhs.v5n3.1773 </w:t>
      </w:r>
    </w:p>
    <w:p w14:paraId="47322CE4" w14:textId="77777777" w:rsidR="00177EC7" w:rsidRPr="00177EC7" w:rsidRDefault="00177EC7" w:rsidP="00177EC7">
      <w:pPr>
        <w:rPr>
          <w:lang w:val="en-GB" w:eastAsia="zh-CN"/>
        </w:rPr>
      </w:pPr>
    </w:p>
    <w:p w14:paraId="5C5D8BED" w14:textId="77777777" w:rsidR="0013312D" w:rsidRPr="0013312D" w:rsidRDefault="0013312D" w:rsidP="0013312D">
      <w:pPr>
        <w:pStyle w:val="Bibliografie"/>
        <w:rPr>
          <w:sz w:val="18"/>
          <w:lang w:val="en-GB"/>
        </w:rPr>
      </w:pPr>
      <w:r w:rsidRPr="0013312D">
        <w:rPr>
          <w:sz w:val="18"/>
          <w:lang w:val="en-GB"/>
        </w:rPr>
        <w:t xml:space="preserve">Razu, S. R., Yasmin, T., Arif, T. B., Islam, Md. S., Islam, S. M. S., Gesesew, H. A., &amp; Ward, P. (2021). Challenges Faced by Healthcare Professionals During the COVID-19 Pandemic: A Qualitative Inquiry From Bangladesh. </w:t>
      </w:r>
      <w:r w:rsidRPr="00177EC7">
        <w:rPr>
          <w:sz w:val="18"/>
          <w:lang w:val="en-GB"/>
        </w:rPr>
        <w:t>Frontiers in Public Health</w:t>
      </w:r>
      <w:r w:rsidRPr="0013312D">
        <w:rPr>
          <w:sz w:val="18"/>
          <w:lang w:val="en-GB"/>
        </w:rPr>
        <w:t xml:space="preserve">, </w:t>
      </w:r>
      <w:r w:rsidRPr="00177EC7">
        <w:rPr>
          <w:sz w:val="18"/>
          <w:lang w:val="en-GB"/>
        </w:rPr>
        <w:t>9</w:t>
      </w:r>
      <w:r w:rsidRPr="0013312D">
        <w:rPr>
          <w:sz w:val="18"/>
          <w:lang w:val="en-GB"/>
        </w:rPr>
        <w:t>, 647315. https://doi.org/10.3389/fpubh.2021.647315</w:t>
      </w:r>
    </w:p>
    <w:p w14:paraId="0BCDD838" w14:textId="77777777" w:rsidR="0013312D" w:rsidRPr="0013312D" w:rsidRDefault="0013312D" w:rsidP="0013312D">
      <w:pPr>
        <w:pStyle w:val="Bibliografie"/>
        <w:rPr>
          <w:sz w:val="18"/>
          <w:lang w:val="en-GB"/>
        </w:rPr>
      </w:pPr>
      <w:r w:rsidRPr="0013312D">
        <w:rPr>
          <w:sz w:val="18"/>
          <w:lang w:val="en-GB"/>
        </w:rPr>
        <w:t xml:space="preserve">Rechel, B., Grundy, E., Robine, J.-M., Cylus, J., Mackenbach, J. P., Knai, C., &amp; McKee, M. (2013). Ageing in the European Union. </w:t>
      </w:r>
      <w:r w:rsidRPr="00177EC7">
        <w:rPr>
          <w:sz w:val="18"/>
          <w:lang w:val="en-GB"/>
        </w:rPr>
        <w:t>The Lancet</w:t>
      </w:r>
      <w:r w:rsidRPr="0013312D">
        <w:rPr>
          <w:sz w:val="18"/>
          <w:lang w:val="en-GB"/>
        </w:rPr>
        <w:t xml:space="preserve">, </w:t>
      </w:r>
      <w:r w:rsidRPr="00177EC7">
        <w:rPr>
          <w:sz w:val="18"/>
          <w:lang w:val="en-GB"/>
        </w:rPr>
        <w:t>381</w:t>
      </w:r>
      <w:r w:rsidRPr="0013312D">
        <w:rPr>
          <w:sz w:val="18"/>
          <w:lang w:val="en-GB"/>
        </w:rPr>
        <w:t>(9874), 1312–1322. https://doi.org/10.1016/S0140-6736(12)62087-X</w:t>
      </w:r>
    </w:p>
    <w:p w14:paraId="7FE53921" w14:textId="6BA2CF0E" w:rsidR="00132F49" w:rsidRPr="00132F49" w:rsidRDefault="00132F49" w:rsidP="00132F49">
      <w:pPr>
        <w:pStyle w:val="Bibliografie"/>
        <w:rPr>
          <w:sz w:val="18"/>
          <w:lang w:val="en-GB"/>
        </w:rPr>
      </w:pPr>
      <w:r w:rsidRPr="00132F49">
        <w:rPr>
          <w:sz w:val="18"/>
          <w:lang w:val="en-GB"/>
        </w:rPr>
        <w:t>Sadatsafavi H, Walewski J, Shepley MM. Factors influencing evaluation of patient areas, work spaces, and staff areas by healthcare professionals. Indoor and Built Environment. 2015;24(4):439-456. doi:</w:t>
      </w:r>
      <w:hyperlink r:id="rId26" w:history="1">
        <w:r w:rsidRPr="00132F49">
          <w:rPr>
            <w:sz w:val="18"/>
            <w:lang w:val="en-GB"/>
          </w:rPr>
          <w:t>10.1177/1420326X13514868</w:t>
        </w:r>
      </w:hyperlink>
    </w:p>
    <w:p w14:paraId="72EC9D01" w14:textId="77777777" w:rsidR="0013312D" w:rsidRPr="0013312D" w:rsidRDefault="0013312D" w:rsidP="0013312D">
      <w:pPr>
        <w:pStyle w:val="Bibliografie"/>
        <w:rPr>
          <w:sz w:val="18"/>
          <w:lang w:val="en-GB"/>
        </w:rPr>
      </w:pPr>
      <w:r w:rsidRPr="00177EC7">
        <w:rPr>
          <w:sz w:val="18"/>
          <w:lang w:val="en-GB"/>
        </w:rPr>
        <w:t xml:space="preserve">Spence Laschinger, H. K., &amp; Finegan, J. (2005). </w:t>
      </w:r>
      <w:r w:rsidRPr="0013312D">
        <w:rPr>
          <w:sz w:val="18"/>
          <w:lang w:val="en-GB"/>
        </w:rPr>
        <w:t xml:space="preserve">Empowering Nurses for Work Engagement and Health in Hospital Settings: </w:t>
      </w:r>
      <w:r w:rsidRPr="00177EC7">
        <w:rPr>
          <w:sz w:val="18"/>
          <w:lang w:val="en-GB"/>
        </w:rPr>
        <w:t>JONA: The Journal of Nursing Administration</w:t>
      </w:r>
      <w:r w:rsidRPr="0013312D">
        <w:rPr>
          <w:sz w:val="18"/>
          <w:lang w:val="en-GB"/>
        </w:rPr>
        <w:t xml:space="preserve">, </w:t>
      </w:r>
      <w:r w:rsidRPr="00177EC7">
        <w:rPr>
          <w:sz w:val="18"/>
          <w:lang w:val="en-GB"/>
        </w:rPr>
        <w:t>35</w:t>
      </w:r>
      <w:r w:rsidRPr="0013312D">
        <w:rPr>
          <w:sz w:val="18"/>
          <w:lang w:val="en-GB"/>
        </w:rPr>
        <w:t>(10), 439–449. https://doi.org/10.1097/00005110-200510000-00005</w:t>
      </w:r>
    </w:p>
    <w:p w14:paraId="7A502632" w14:textId="77777777" w:rsidR="0013312D" w:rsidRPr="0013312D" w:rsidRDefault="0013312D" w:rsidP="0013312D">
      <w:pPr>
        <w:pStyle w:val="Bibliografie"/>
        <w:rPr>
          <w:sz w:val="18"/>
          <w:lang w:val="en-GB"/>
        </w:rPr>
      </w:pPr>
      <w:r w:rsidRPr="0013312D">
        <w:rPr>
          <w:sz w:val="18"/>
          <w:lang w:val="en-GB"/>
        </w:rPr>
        <w:t xml:space="preserve">Wallace, J. E., Lemaire, J. B., &amp; Ghali, W. A. (2009). Physician wellness: A missing quality indicator. </w:t>
      </w:r>
      <w:r w:rsidRPr="00177EC7">
        <w:rPr>
          <w:sz w:val="18"/>
          <w:lang w:val="en-GB"/>
        </w:rPr>
        <w:t>The Lancet</w:t>
      </w:r>
      <w:r w:rsidRPr="0013312D">
        <w:rPr>
          <w:sz w:val="18"/>
          <w:lang w:val="en-GB"/>
        </w:rPr>
        <w:t xml:space="preserve">, </w:t>
      </w:r>
      <w:r w:rsidRPr="00177EC7">
        <w:rPr>
          <w:sz w:val="18"/>
          <w:lang w:val="en-GB"/>
        </w:rPr>
        <w:t>374</w:t>
      </w:r>
      <w:r w:rsidRPr="0013312D">
        <w:rPr>
          <w:sz w:val="18"/>
          <w:lang w:val="en-GB"/>
        </w:rPr>
        <w:t>(9702), 1714–1721. https://doi.org/10.1016/S0140-6736(09)61424-0</w:t>
      </w:r>
    </w:p>
    <w:p w14:paraId="6FD64FA9" w14:textId="77777777" w:rsidR="0013312D" w:rsidRPr="0013312D" w:rsidRDefault="0013312D" w:rsidP="0013312D">
      <w:pPr>
        <w:pStyle w:val="Bibliografie"/>
        <w:rPr>
          <w:sz w:val="18"/>
          <w:lang w:val="en-GB"/>
        </w:rPr>
      </w:pPr>
      <w:r w:rsidRPr="0013312D">
        <w:rPr>
          <w:sz w:val="18"/>
          <w:lang w:val="en-GB"/>
        </w:rPr>
        <w:t xml:space="preserve">World Health Organization. (2020). </w:t>
      </w:r>
      <w:r w:rsidRPr="00177EC7">
        <w:rPr>
          <w:sz w:val="18"/>
          <w:lang w:val="en-GB"/>
        </w:rPr>
        <w:t>Basic documents</w:t>
      </w:r>
      <w:r w:rsidRPr="0013312D">
        <w:rPr>
          <w:sz w:val="18"/>
          <w:lang w:val="en-GB"/>
        </w:rPr>
        <w:t xml:space="preserve"> (49th ed). World Health Organization. https://apps.who.int/iris/handle/10665/339554</w:t>
      </w:r>
    </w:p>
    <w:p w14:paraId="0BBAFE35" w14:textId="3C73A9F2" w:rsidR="0013312D" w:rsidRDefault="0013312D" w:rsidP="0013312D">
      <w:pPr>
        <w:pStyle w:val="Bibliografie"/>
        <w:rPr>
          <w:sz w:val="18"/>
          <w:lang w:val="en-GB"/>
        </w:rPr>
      </w:pPr>
      <w:r w:rsidRPr="0013312D">
        <w:rPr>
          <w:sz w:val="18"/>
          <w:lang w:val="en-GB"/>
        </w:rPr>
        <w:t xml:space="preserve">Zamani, Z. (2019). Effects of Emergency Department Physical Design Elements on Security, Wayfinding, Visibility, Privacy, and Efficiency and Its Implications on Staff Satisfaction and Performance. </w:t>
      </w:r>
      <w:r w:rsidRPr="00177EC7">
        <w:rPr>
          <w:sz w:val="18"/>
          <w:lang w:val="en-GB"/>
        </w:rPr>
        <w:t>HERD: Health Environments Research &amp; Design Journal</w:t>
      </w:r>
      <w:r w:rsidRPr="0013312D">
        <w:rPr>
          <w:sz w:val="18"/>
          <w:lang w:val="en-GB"/>
        </w:rPr>
        <w:t xml:space="preserve">, </w:t>
      </w:r>
      <w:r w:rsidRPr="00177EC7">
        <w:rPr>
          <w:sz w:val="18"/>
          <w:lang w:val="en-GB"/>
        </w:rPr>
        <w:t>12</w:t>
      </w:r>
      <w:r w:rsidRPr="0013312D">
        <w:rPr>
          <w:sz w:val="18"/>
          <w:lang w:val="en-GB"/>
        </w:rPr>
        <w:t>(3), 72–88. https://doi.org/10.1177/1937586718800482</w:t>
      </w:r>
    </w:p>
    <w:p w14:paraId="3C4B6C80" w14:textId="77777777" w:rsidR="00177EC7" w:rsidRPr="00177EC7" w:rsidRDefault="00177EC7" w:rsidP="00177EC7">
      <w:pPr>
        <w:rPr>
          <w:lang w:eastAsia="zh-CN"/>
        </w:rPr>
      </w:pPr>
    </w:p>
    <w:p w14:paraId="0E27B00A" w14:textId="0F422ECC" w:rsidR="00A86E9F" w:rsidRPr="008D5896" w:rsidRDefault="00A500C9" w:rsidP="0013312D">
      <w:pPr>
        <w:pStyle w:val="MDPI71References"/>
        <w:numPr>
          <w:ilvl w:val="0"/>
          <w:numId w:val="0"/>
        </w:numPr>
        <w:rPr>
          <w:rFonts w:eastAsiaTheme="minorEastAsia" w:cs="Arial"/>
          <w:color w:val="FF0000"/>
        </w:rPr>
      </w:pPr>
      <w:r w:rsidRPr="00A500C9">
        <w:rPr>
          <w:rFonts w:eastAsiaTheme="minorEastAsia" w:cs="Arial"/>
        </w:rPr>
        <w:fldChar w:fldCharType="end"/>
      </w:r>
    </w:p>
    <w:sectPr w:rsidR="00A86E9F" w:rsidRPr="008D5896" w:rsidSect="00B57AD5">
      <w:headerReference w:type="even" r:id="rId27"/>
      <w:headerReference w:type="default" r:id="rId28"/>
      <w:headerReference w:type="first" r:id="rId29"/>
      <w:footerReference w:type="first" r:id="rId3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2CA3" w14:textId="77777777" w:rsidR="00B57AD5" w:rsidRDefault="00B57AD5">
      <w:r>
        <w:separator/>
      </w:r>
    </w:p>
  </w:endnote>
  <w:endnote w:type="continuationSeparator" w:id="0">
    <w:p w14:paraId="39A9FA72" w14:textId="77777777" w:rsidR="00B57AD5" w:rsidRDefault="00B5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HaasGroteskDS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12DCA6C8" w:rsidR="00C45F1E" w:rsidRPr="00996347" w:rsidRDefault="00281E5B" w:rsidP="00BA570C">
    <w:pPr>
      <w:pStyle w:val="MDPIfooterfirstpage"/>
      <w:tabs>
        <w:tab w:val="clear" w:pos="8845"/>
        <w:tab w:val="right" w:pos="10466"/>
      </w:tabs>
      <w:spacing w:line="240" w:lineRule="auto"/>
      <w:jc w:val="both"/>
    </w:pPr>
    <w:r w:rsidRPr="00500C7A">
      <w:rPr>
        <w:bCs/>
        <w:iCs/>
        <w:szCs w:val="16"/>
      </w:rPr>
      <w:t>https://doi.org/</w:t>
    </w:r>
    <w:r w:rsidR="00500C7A" w:rsidRPr="00500C7A">
      <w:rPr>
        <w:bCs/>
        <w:iCs/>
        <w:szCs w:val="16"/>
      </w:rPr>
      <w:t>10.24404/6230a447d851d5408ebb90bf</w:t>
    </w:r>
    <w:r w:rsidR="00BA570C" w:rsidRPr="009963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B14F" w14:textId="77777777" w:rsidR="00B57AD5" w:rsidRDefault="00B57AD5">
      <w:r>
        <w:separator/>
      </w:r>
    </w:p>
  </w:footnote>
  <w:footnote w:type="continuationSeparator" w:id="0">
    <w:p w14:paraId="1548F4B5" w14:textId="77777777" w:rsidR="00B57AD5" w:rsidRDefault="00B5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68599F8E" w:rsidR="00281E5B" w:rsidRDefault="00BA570C" w:rsidP="00BA570C">
    <w:pPr>
      <w:tabs>
        <w:tab w:val="right" w:pos="10466"/>
      </w:tabs>
      <w:adjustRightInd w:val="0"/>
      <w:snapToGrid w:val="0"/>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967533">
      <w:rPr>
        <w:noProof/>
        <w:sz w:val="16"/>
      </w:rPr>
      <w:t>6</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967533">
      <w:rPr>
        <w:noProof/>
        <w:sz w:val="16"/>
      </w:rPr>
      <w:t>6</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noProof/>
              <w:lang w:val="nl-NL"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noProof/>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1EAB4307"/>
    <w:multiLevelType w:val="hybridMultilevel"/>
    <w:tmpl w:val="277A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6AA57B1"/>
    <w:multiLevelType w:val="hybridMultilevel"/>
    <w:tmpl w:val="F50A3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870616"/>
    <w:multiLevelType w:val="hybridMultilevel"/>
    <w:tmpl w:val="9034AF66"/>
    <w:lvl w:ilvl="0" w:tplc="76B0D7AE">
      <w:start w:val="1"/>
      <w:numFmt w:val="decimal"/>
      <w:lvlText w:val="%1"/>
      <w:lvlJc w:val="left"/>
      <w:pPr>
        <w:ind w:left="2968" w:hanging="360"/>
      </w:pPr>
      <w:rPr>
        <w:rFonts w:hint="default"/>
        <w:sz w:val="20"/>
        <w:szCs w:val="20"/>
        <w:vertAlign w:val="superscrip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965892487">
    <w:abstractNumId w:val="4"/>
  </w:num>
  <w:num w:numId="2" w16cid:durableId="2108840283">
    <w:abstractNumId w:val="6"/>
  </w:num>
  <w:num w:numId="3" w16cid:durableId="353388276">
    <w:abstractNumId w:val="3"/>
  </w:num>
  <w:num w:numId="4" w16cid:durableId="446120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8883330">
    <w:abstractNumId w:val="5"/>
  </w:num>
  <w:num w:numId="6" w16cid:durableId="110437038">
    <w:abstractNumId w:val="9"/>
  </w:num>
  <w:num w:numId="7" w16cid:durableId="287931674">
    <w:abstractNumId w:val="1"/>
  </w:num>
  <w:num w:numId="8" w16cid:durableId="1084306420">
    <w:abstractNumId w:val="9"/>
  </w:num>
  <w:num w:numId="9" w16cid:durableId="1984773022">
    <w:abstractNumId w:val="1"/>
  </w:num>
  <w:num w:numId="10" w16cid:durableId="968703676">
    <w:abstractNumId w:val="9"/>
  </w:num>
  <w:num w:numId="11" w16cid:durableId="1626767209">
    <w:abstractNumId w:val="1"/>
  </w:num>
  <w:num w:numId="12" w16cid:durableId="451943644">
    <w:abstractNumId w:val="12"/>
  </w:num>
  <w:num w:numId="13" w16cid:durableId="730469391">
    <w:abstractNumId w:val="9"/>
  </w:num>
  <w:num w:numId="14" w16cid:durableId="1010642790">
    <w:abstractNumId w:val="1"/>
  </w:num>
  <w:num w:numId="15" w16cid:durableId="1609777989">
    <w:abstractNumId w:val="0"/>
  </w:num>
  <w:num w:numId="16" w16cid:durableId="1346666344">
    <w:abstractNumId w:val="8"/>
  </w:num>
  <w:num w:numId="17" w16cid:durableId="1969627195">
    <w:abstractNumId w:val="10"/>
  </w:num>
  <w:num w:numId="18" w16cid:durableId="476609823">
    <w:abstractNumId w:val="0"/>
  </w:num>
  <w:num w:numId="19" w16cid:durableId="2022584574">
    <w:abstractNumId w:val="0"/>
  </w:num>
  <w:num w:numId="20" w16cid:durableId="529077476">
    <w:abstractNumId w:val="0"/>
  </w:num>
  <w:num w:numId="21" w16cid:durableId="2014214503">
    <w:abstractNumId w:val="0"/>
  </w:num>
  <w:num w:numId="22" w16cid:durableId="449320197">
    <w:abstractNumId w:val="0"/>
  </w:num>
  <w:num w:numId="23" w16cid:durableId="278806595">
    <w:abstractNumId w:val="0"/>
  </w:num>
  <w:num w:numId="24" w16cid:durableId="1310789383">
    <w:abstractNumId w:val="7"/>
  </w:num>
  <w:num w:numId="25" w16cid:durableId="258609892">
    <w:abstractNumId w:val="11"/>
  </w:num>
  <w:num w:numId="26" w16cid:durableId="457140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106B"/>
    <w:rsid w:val="00013AFC"/>
    <w:rsid w:val="000142CA"/>
    <w:rsid w:val="00015F99"/>
    <w:rsid w:val="00020CE2"/>
    <w:rsid w:val="00037AE6"/>
    <w:rsid w:val="00051876"/>
    <w:rsid w:val="000547D8"/>
    <w:rsid w:val="00064772"/>
    <w:rsid w:val="00071218"/>
    <w:rsid w:val="00080EFC"/>
    <w:rsid w:val="000855EA"/>
    <w:rsid w:val="000925CA"/>
    <w:rsid w:val="00093E7F"/>
    <w:rsid w:val="000C1BF3"/>
    <w:rsid w:val="00102CDE"/>
    <w:rsid w:val="00104D24"/>
    <w:rsid w:val="00114997"/>
    <w:rsid w:val="00120E2E"/>
    <w:rsid w:val="00132F49"/>
    <w:rsid w:val="00132F96"/>
    <w:rsid w:val="0013312D"/>
    <w:rsid w:val="0014459E"/>
    <w:rsid w:val="0015293E"/>
    <w:rsid w:val="00165C16"/>
    <w:rsid w:val="001664C3"/>
    <w:rsid w:val="00173D3A"/>
    <w:rsid w:val="00174FB3"/>
    <w:rsid w:val="00177597"/>
    <w:rsid w:val="00177EC7"/>
    <w:rsid w:val="00182902"/>
    <w:rsid w:val="00185980"/>
    <w:rsid w:val="001A1BB3"/>
    <w:rsid w:val="001A27B2"/>
    <w:rsid w:val="001A57BF"/>
    <w:rsid w:val="001B38D4"/>
    <w:rsid w:val="001C7DC1"/>
    <w:rsid w:val="001D057B"/>
    <w:rsid w:val="001E2AEB"/>
    <w:rsid w:val="00204327"/>
    <w:rsid w:val="00206552"/>
    <w:rsid w:val="002175AE"/>
    <w:rsid w:val="0022638C"/>
    <w:rsid w:val="002266AA"/>
    <w:rsid w:val="002316BB"/>
    <w:rsid w:val="00247D4E"/>
    <w:rsid w:val="00253CA3"/>
    <w:rsid w:val="00256E65"/>
    <w:rsid w:val="002732B1"/>
    <w:rsid w:val="00281E5B"/>
    <w:rsid w:val="00287EB0"/>
    <w:rsid w:val="00290057"/>
    <w:rsid w:val="00291EF1"/>
    <w:rsid w:val="0029420B"/>
    <w:rsid w:val="002A1066"/>
    <w:rsid w:val="002C76A3"/>
    <w:rsid w:val="002D650D"/>
    <w:rsid w:val="002E57DB"/>
    <w:rsid w:val="002E5B86"/>
    <w:rsid w:val="002F1BFE"/>
    <w:rsid w:val="002F1E3F"/>
    <w:rsid w:val="00316C89"/>
    <w:rsid w:val="00326141"/>
    <w:rsid w:val="00327302"/>
    <w:rsid w:val="00330A75"/>
    <w:rsid w:val="00331481"/>
    <w:rsid w:val="003337EA"/>
    <w:rsid w:val="00334369"/>
    <w:rsid w:val="003350E9"/>
    <w:rsid w:val="00337833"/>
    <w:rsid w:val="00352240"/>
    <w:rsid w:val="00354A5A"/>
    <w:rsid w:val="003869F1"/>
    <w:rsid w:val="0039328E"/>
    <w:rsid w:val="003C5A03"/>
    <w:rsid w:val="003D1D40"/>
    <w:rsid w:val="003D60EE"/>
    <w:rsid w:val="003E61CD"/>
    <w:rsid w:val="003E7640"/>
    <w:rsid w:val="003F1005"/>
    <w:rsid w:val="003F4EFE"/>
    <w:rsid w:val="003F6C3A"/>
    <w:rsid w:val="0040015C"/>
    <w:rsid w:val="00401235"/>
    <w:rsid w:val="00401D30"/>
    <w:rsid w:val="0041133D"/>
    <w:rsid w:val="004203EA"/>
    <w:rsid w:val="004215E7"/>
    <w:rsid w:val="00425371"/>
    <w:rsid w:val="00425B99"/>
    <w:rsid w:val="0043006C"/>
    <w:rsid w:val="00431D81"/>
    <w:rsid w:val="00433756"/>
    <w:rsid w:val="004363DC"/>
    <w:rsid w:val="004501CD"/>
    <w:rsid w:val="00461BA6"/>
    <w:rsid w:val="00462D4D"/>
    <w:rsid w:val="004752C1"/>
    <w:rsid w:val="0048108F"/>
    <w:rsid w:val="0048419E"/>
    <w:rsid w:val="00496FCD"/>
    <w:rsid w:val="004B0B17"/>
    <w:rsid w:val="004B4287"/>
    <w:rsid w:val="004C3F57"/>
    <w:rsid w:val="004C46B1"/>
    <w:rsid w:val="004E0F98"/>
    <w:rsid w:val="004E21A1"/>
    <w:rsid w:val="004F0E02"/>
    <w:rsid w:val="004F2BEA"/>
    <w:rsid w:val="00500C7A"/>
    <w:rsid w:val="005028E5"/>
    <w:rsid w:val="00502EEE"/>
    <w:rsid w:val="00511E44"/>
    <w:rsid w:val="0051200F"/>
    <w:rsid w:val="005327C9"/>
    <w:rsid w:val="0053728B"/>
    <w:rsid w:val="00552460"/>
    <w:rsid w:val="005539D4"/>
    <w:rsid w:val="005660F6"/>
    <w:rsid w:val="00583714"/>
    <w:rsid w:val="005849AC"/>
    <w:rsid w:val="005C4401"/>
    <w:rsid w:val="005C6417"/>
    <w:rsid w:val="005D13A9"/>
    <w:rsid w:val="005D3043"/>
    <w:rsid w:val="005E0240"/>
    <w:rsid w:val="005E14E8"/>
    <w:rsid w:val="005E1CAB"/>
    <w:rsid w:val="005F2FDC"/>
    <w:rsid w:val="00604EDE"/>
    <w:rsid w:val="00607F24"/>
    <w:rsid w:val="006204BC"/>
    <w:rsid w:val="00632077"/>
    <w:rsid w:val="00632AA3"/>
    <w:rsid w:val="006429BB"/>
    <w:rsid w:val="00652971"/>
    <w:rsid w:val="0066370A"/>
    <w:rsid w:val="006744FB"/>
    <w:rsid w:val="006777A9"/>
    <w:rsid w:val="00692393"/>
    <w:rsid w:val="006A7FF4"/>
    <w:rsid w:val="006D20A6"/>
    <w:rsid w:val="006E142A"/>
    <w:rsid w:val="006F7DE1"/>
    <w:rsid w:val="00705568"/>
    <w:rsid w:val="00721827"/>
    <w:rsid w:val="00722B64"/>
    <w:rsid w:val="007260DC"/>
    <w:rsid w:val="00726439"/>
    <w:rsid w:val="00740B6F"/>
    <w:rsid w:val="007413C0"/>
    <w:rsid w:val="0075794E"/>
    <w:rsid w:val="007628E6"/>
    <w:rsid w:val="00764E89"/>
    <w:rsid w:val="0076686D"/>
    <w:rsid w:val="007674BF"/>
    <w:rsid w:val="00770948"/>
    <w:rsid w:val="0077402B"/>
    <w:rsid w:val="00780F1D"/>
    <w:rsid w:val="007A108C"/>
    <w:rsid w:val="007A283C"/>
    <w:rsid w:val="007A2999"/>
    <w:rsid w:val="007B4047"/>
    <w:rsid w:val="007C31C2"/>
    <w:rsid w:val="007D2775"/>
    <w:rsid w:val="007E1AD0"/>
    <w:rsid w:val="007E5740"/>
    <w:rsid w:val="007F5944"/>
    <w:rsid w:val="00822B3D"/>
    <w:rsid w:val="00832857"/>
    <w:rsid w:val="00840934"/>
    <w:rsid w:val="00841933"/>
    <w:rsid w:val="008473BB"/>
    <w:rsid w:val="008523BB"/>
    <w:rsid w:val="008838CF"/>
    <w:rsid w:val="0089344C"/>
    <w:rsid w:val="008935D0"/>
    <w:rsid w:val="008A0516"/>
    <w:rsid w:val="008B2361"/>
    <w:rsid w:val="008B5125"/>
    <w:rsid w:val="008C36CA"/>
    <w:rsid w:val="008D5896"/>
    <w:rsid w:val="008F446B"/>
    <w:rsid w:val="0092201C"/>
    <w:rsid w:val="00930289"/>
    <w:rsid w:val="00933E2C"/>
    <w:rsid w:val="00937159"/>
    <w:rsid w:val="00942C72"/>
    <w:rsid w:val="00956613"/>
    <w:rsid w:val="00964A28"/>
    <w:rsid w:val="00967533"/>
    <w:rsid w:val="00982453"/>
    <w:rsid w:val="00993A21"/>
    <w:rsid w:val="00996347"/>
    <w:rsid w:val="009B16DB"/>
    <w:rsid w:val="009B7A35"/>
    <w:rsid w:val="009C4F65"/>
    <w:rsid w:val="009D0DA8"/>
    <w:rsid w:val="009D2B30"/>
    <w:rsid w:val="009D5560"/>
    <w:rsid w:val="009E7E90"/>
    <w:rsid w:val="009F3DD3"/>
    <w:rsid w:val="009F70E6"/>
    <w:rsid w:val="00A04FD6"/>
    <w:rsid w:val="00A0751C"/>
    <w:rsid w:val="00A332DC"/>
    <w:rsid w:val="00A36565"/>
    <w:rsid w:val="00A4095C"/>
    <w:rsid w:val="00A500C9"/>
    <w:rsid w:val="00A52DE0"/>
    <w:rsid w:val="00A63314"/>
    <w:rsid w:val="00A65307"/>
    <w:rsid w:val="00A70B08"/>
    <w:rsid w:val="00A80D0E"/>
    <w:rsid w:val="00A86E9F"/>
    <w:rsid w:val="00AA684A"/>
    <w:rsid w:val="00AE752A"/>
    <w:rsid w:val="00AF0644"/>
    <w:rsid w:val="00AF5A91"/>
    <w:rsid w:val="00B00AFB"/>
    <w:rsid w:val="00B21347"/>
    <w:rsid w:val="00B25022"/>
    <w:rsid w:val="00B355A8"/>
    <w:rsid w:val="00B43474"/>
    <w:rsid w:val="00B471AF"/>
    <w:rsid w:val="00B4734C"/>
    <w:rsid w:val="00B57AD5"/>
    <w:rsid w:val="00B84F5A"/>
    <w:rsid w:val="00B850EB"/>
    <w:rsid w:val="00BA570C"/>
    <w:rsid w:val="00BB5981"/>
    <w:rsid w:val="00BC5801"/>
    <w:rsid w:val="00BD2405"/>
    <w:rsid w:val="00BD2DF0"/>
    <w:rsid w:val="00BD3555"/>
    <w:rsid w:val="00BD5735"/>
    <w:rsid w:val="00BD5BEB"/>
    <w:rsid w:val="00BE0791"/>
    <w:rsid w:val="00C02A07"/>
    <w:rsid w:val="00C036E8"/>
    <w:rsid w:val="00C0462B"/>
    <w:rsid w:val="00C16026"/>
    <w:rsid w:val="00C34D12"/>
    <w:rsid w:val="00C43255"/>
    <w:rsid w:val="00C45F1E"/>
    <w:rsid w:val="00C600B5"/>
    <w:rsid w:val="00C74C48"/>
    <w:rsid w:val="00C754FA"/>
    <w:rsid w:val="00C7753A"/>
    <w:rsid w:val="00C812BC"/>
    <w:rsid w:val="00C8316E"/>
    <w:rsid w:val="00C90EAB"/>
    <w:rsid w:val="00C90F92"/>
    <w:rsid w:val="00C9601A"/>
    <w:rsid w:val="00CA6896"/>
    <w:rsid w:val="00CA6A8C"/>
    <w:rsid w:val="00CD3203"/>
    <w:rsid w:val="00CE1104"/>
    <w:rsid w:val="00CE294C"/>
    <w:rsid w:val="00CE3A8F"/>
    <w:rsid w:val="00CE4A4F"/>
    <w:rsid w:val="00CE7302"/>
    <w:rsid w:val="00D07230"/>
    <w:rsid w:val="00D20D6F"/>
    <w:rsid w:val="00D223A8"/>
    <w:rsid w:val="00D2684C"/>
    <w:rsid w:val="00D26E27"/>
    <w:rsid w:val="00D32E9B"/>
    <w:rsid w:val="00D45574"/>
    <w:rsid w:val="00D45B62"/>
    <w:rsid w:val="00D81369"/>
    <w:rsid w:val="00D92691"/>
    <w:rsid w:val="00D94F8A"/>
    <w:rsid w:val="00DA4C3B"/>
    <w:rsid w:val="00DB04E8"/>
    <w:rsid w:val="00DC0733"/>
    <w:rsid w:val="00DC1B34"/>
    <w:rsid w:val="00DC426C"/>
    <w:rsid w:val="00DC5535"/>
    <w:rsid w:val="00DD76AB"/>
    <w:rsid w:val="00E034CE"/>
    <w:rsid w:val="00E11356"/>
    <w:rsid w:val="00E16B0D"/>
    <w:rsid w:val="00E22508"/>
    <w:rsid w:val="00E30E54"/>
    <w:rsid w:val="00E36F4D"/>
    <w:rsid w:val="00E55D55"/>
    <w:rsid w:val="00E57351"/>
    <w:rsid w:val="00E63F08"/>
    <w:rsid w:val="00E70428"/>
    <w:rsid w:val="00E943BD"/>
    <w:rsid w:val="00E94AAD"/>
    <w:rsid w:val="00EA7276"/>
    <w:rsid w:val="00EA77BB"/>
    <w:rsid w:val="00EB6F6F"/>
    <w:rsid w:val="00EF7C2A"/>
    <w:rsid w:val="00F15D4E"/>
    <w:rsid w:val="00F17688"/>
    <w:rsid w:val="00F2026A"/>
    <w:rsid w:val="00F25D88"/>
    <w:rsid w:val="00F34258"/>
    <w:rsid w:val="00F528DD"/>
    <w:rsid w:val="00F577FD"/>
    <w:rsid w:val="00F57906"/>
    <w:rsid w:val="00F6470C"/>
    <w:rsid w:val="00F658F9"/>
    <w:rsid w:val="00F822A1"/>
    <w:rsid w:val="00F85820"/>
    <w:rsid w:val="00F9176B"/>
    <w:rsid w:val="00F9599C"/>
    <w:rsid w:val="00FB4895"/>
    <w:rsid w:val="00FD00D8"/>
    <w:rsid w:val="00FE23A4"/>
    <w:rsid w:val="00FE6213"/>
    <w:rsid w:val="00FF00B3"/>
    <w:rsid w:val="00FF0117"/>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EC7"/>
    <w:rPr>
      <w:rFonts w:ascii="Times New Roman" w:eastAsia="Times New Roman" w:hAnsi="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pPr>
    <w:rPr>
      <w:rFonts w:ascii="Palatino Linotype" w:hAnsi="Palatino Linotype"/>
      <w:color w:val="000000"/>
      <w:sz w:val="14"/>
      <w:szCs w:val="20"/>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rFonts w:ascii="Palatino Linotype" w:eastAsia="SimSun" w:hAnsi="Palatino Linotype"/>
      <w:color w:val="000000"/>
      <w:sz w:val="20"/>
      <w:szCs w:val="18"/>
      <w:lang w:eastAsia="zh-CN"/>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pPr>
      <w:spacing w:line="260" w:lineRule="atLeast"/>
      <w:jc w:val="both"/>
    </w:pPr>
    <w:rPr>
      <w:rFonts w:ascii="Palatino Linotype" w:eastAsia="SimSun" w:hAnsi="Palatino Linotype" w:cs="Tahoma"/>
      <w:color w:val="000000"/>
      <w:sz w:val="20"/>
      <w:szCs w:val="18"/>
      <w:lang w:eastAsia="zh-CN"/>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jc w:val="both"/>
    </w:pPr>
    <w:rPr>
      <w:rFonts w:ascii="Palatino Linotype" w:eastAsia="SimSun" w:hAnsi="Palatino Linotype"/>
      <w:color w:val="000000"/>
      <w:sz w:val="20"/>
      <w:szCs w:val="18"/>
      <w:lang w:eastAsia="zh-CN"/>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unhideWhenUsed/>
    <w:rsid w:val="00A86E9F"/>
    <w:pPr>
      <w:spacing w:line="480" w:lineRule="atLeast"/>
      <w:ind w:left="720" w:hanging="720"/>
      <w:jc w:val="both"/>
    </w:pPr>
    <w:rPr>
      <w:rFonts w:ascii="Palatino Linotype" w:eastAsia="SimSun" w:hAnsi="Palatino Linotype"/>
      <w:color w:val="000000"/>
      <w:sz w:val="20"/>
      <w:szCs w:val="20"/>
      <w:lang w:eastAsia="zh-CN"/>
    </w:rPr>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pPr>
      <w:spacing w:line="260" w:lineRule="atLeast"/>
      <w:jc w:val="both"/>
    </w:pPr>
    <w:rPr>
      <w:rFonts w:ascii="Palatino Linotype" w:eastAsia="SimSun" w:hAnsi="Palatino Linotype"/>
      <w:color w:val="000000"/>
      <w:sz w:val="20"/>
      <w:szCs w:val="20"/>
      <w:lang w:eastAsia="zh-CN"/>
    </w:rPr>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jc w:val="both"/>
    </w:pPr>
    <w:rPr>
      <w:rFonts w:ascii="Palatino Linotype" w:eastAsia="SimSun" w:hAnsi="Palatino Linotype"/>
      <w:color w:val="000000"/>
      <w:sz w:val="20"/>
      <w:szCs w:val="20"/>
      <w:lang w:eastAsia="zh-CN"/>
    </w:r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jc w:val="both"/>
    </w:pPr>
    <w:rPr>
      <w:rFonts w:ascii="Palatino Linotype" w:eastAsia="SimSun" w:hAnsi="Palatino Linotype"/>
      <w:color w:val="000000"/>
      <w:sz w:val="20"/>
      <w:szCs w:val="20"/>
      <w:lang w:eastAsia="zh-CN"/>
    </w:r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pPr>
      <w:spacing w:line="260" w:lineRule="atLeast"/>
      <w:jc w:val="both"/>
    </w:pPr>
    <w:rPr>
      <w:rFonts w:ascii="Palatino Linotype" w:eastAsia="SimSun" w:hAnsi="Palatino Linotype"/>
      <w:color w:val="000000"/>
      <w:sz w:val="20"/>
      <w:lang w:eastAsia="zh-CN"/>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pPr>
    <w:rPr>
      <w:lang w:eastAsia="zh-CN"/>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ind w:left="720" w:hanging="720"/>
      <w:jc w:val="both"/>
    </w:pPr>
    <w:rPr>
      <w:rFonts w:ascii="Bodoni SvtyTwo OS ITC TT-Book" w:hAnsi="Bodoni SvtyTwo OS ITC TT-Book"/>
      <w:sz w:val="20"/>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spacing w:line="260" w:lineRule="atLeast"/>
      <w:ind w:left="720"/>
      <w:contextualSpacing/>
      <w:jc w:val="both"/>
    </w:pPr>
    <w:rPr>
      <w:rFonts w:ascii="Palatino Linotype" w:eastAsia="SimSun" w:hAnsi="Palatino Linotype"/>
      <w:color w:val="000000"/>
      <w:sz w:val="20"/>
      <w:szCs w:val="20"/>
      <w:lang w:eastAsia="zh-CN"/>
    </w:rPr>
  </w:style>
  <w:style w:type="paragraph" w:styleId="Revisie">
    <w:name w:val="Revision"/>
    <w:hidden/>
    <w:uiPriority w:val="99"/>
    <w:semiHidden/>
    <w:rsid w:val="0000106B"/>
    <w:rPr>
      <w:rFonts w:ascii="Palatino Linotype" w:hAnsi="Palatino Linotype"/>
      <w:noProof/>
      <w:color w:val="000000"/>
    </w:rPr>
  </w:style>
  <w:style w:type="character" w:customStyle="1" w:styleId="Onopgelostemelding1">
    <w:name w:val="Onopgeloste melding1"/>
    <w:basedOn w:val="Standaardalinea-lettertype"/>
    <w:uiPriority w:val="99"/>
    <w:semiHidden/>
    <w:unhideWhenUsed/>
    <w:rsid w:val="00CA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230">
      <w:bodyDiv w:val="1"/>
      <w:marLeft w:val="0"/>
      <w:marRight w:val="0"/>
      <w:marTop w:val="0"/>
      <w:marBottom w:val="0"/>
      <w:divBdr>
        <w:top w:val="none" w:sz="0" w:space="0" w:color="auto"/>
        <w:left w:val="none" w:sz="0" w:space="0" w:color="auto"/>
        <w:bottom w:val="none" w:sz="0" w:space="0" w:color="auto"/>
        <w:right w:val="none" w:sz="0" w:space="0" w:color="auto"/>
      </w:divBdr>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67154571">
      <w:bodyDiv w:val="1"/>
      <w:marLeft w:val="0"/>
      <w:marRight w:val="0"/>
      <w:marTop w:val="0"/>
      <w:marBottom w:val="0"/>
      <w:divBdr>
        <w:top w:val="none" w:sz="0" w:space="0" w:color="auto"/>
        <w:left w:val="none" w:sz="0" w:space="0" w:color="auto"/>
        <w:bottom w:val="none" w:sz="0" w:space="0" w:color="auto"/>
        <w:right w:val="none" w:sz="0" w:space="0" w:color="auto"/>
      </w:divBdr>
      <w:divsChild>
        <w:div w:id="710420166">
          <w:marLeft w:val="0"/>
          <w:marRight w:val="0"/>
          <w:marTop w:val="0"/>
          <w:marBottom w:val="0"/>
          <w:divBdr>
            <w:top w:val="none" w:sz="0" w:space="0" w:color="auto"/>
            <w:left w:val="none" w:sz="0" w:space="0" w:color="auto"/>
            <w:bottom w:val="none" w:sz="0" w:space="0" w:color="auto"/>
            <w:right w:val="none" w:sz="0" w:space="0" w:color="auto"/>
          </w:divBdr>
          <w:divsChild>
            <w:div w:id="81025191">
              <w:marLeft w:val="0"/>
              <w:marRight w:val="0"/>
              <w:marTop w:val="0"/>
              <w:marBottom w:val="0"/>
              <w:divBdr>
                <w:top w:val="none" w:sz="0" w:space="0" w:color="auto"/>
                <w:left w:val="none" w:sz="0" w:space="0" w:color="auto"/>
                <w:bottom w:val="none" w:sz="0" w:space="0" w:color="auto"/>
                <w:right w:val="none" w:sz="0" w:space="0" w:color="auto"/>
              </w:divBdr>
              <w:divsChild>
                <w:div w:id="21363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08600661">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97763552">
      <w:bodyDiv w:val="1"/>
      <w:marLeft w:val="0"/>
      <w:marRight w:val="0"/>
      <w:marTop w:val="0"/>
      <w:marBottom w:val="0"/>
      <w:divBdr>
        <w:top w:val="none" w:sz="0" w:space="0" w:color="auto"/>
        <w:left w:val="none" w:sz="0" w:space="0" w:color="auto"/>
        <w:bottom w:val="none" w:sz="0" w:space="0" w:color="auto"/>
        <w:right w:val="none" w:sz="0" w:space="0" w:color="auto"/>
      </w:divBdr>
      <w:divsChild>
        <w:div w:id="1976401384">
          <w:marLeft w:val="0"/>
          <w:marRight w:val="0"/>
          <w:marTop w:val="0"/>
          <w:marBottom w:val="0"/>
          <w:divBdr>
            <w:top w:val="none" w:sz="0" w:space="0" w:color="auto"/>
            <w:left w:val="none" w:sz="0" w:space="0" w:color="auto"/>
            <w:bottom w:val="none" w:sz="0" w:space="0" w:color="auto"/>
            <w:right w:val="none" w:sz="0" w:space="0" w:color="auto"/>
          </w:divBdr>
          <w:divsChild>
            <w:div w:id="840049055">
              <w:marLeft w:val="0"/>
              <w:marRight w:val="0"/>
              <w:marTop w:val="0"/>
              <w:marBottom w:val="0"/>
              <w:divBdr>
                <w:top w:val="none" w:sz="0" w:space="0" w:color="auto"/>
                <w:left w:val="none" w:sz="0" w:space="0" w:color="auto"/>
                <w:bottom w:val="none" w:sz="0" w:space="0" w:color="auto"/>
                <w:right w:val="none" w:sz="0" w:space="0" w:color="auto"/>
              </w:divBdr>
              <w:divsChild>
                <w:div w:id="1353148855">
                  <w:marLeft w:val="0"/>
                  <w:marRight w:val="0"/>
                  <w:marTop w:val="0"/>
                  <w:marBottom w:val="0"/>
                  <w:divBdr>
                    <w:top w:val="none" w:sz="0" w:space="0" w:color="auto"/>
                    <w:left w:val="none" w:sz="0" w:space="0" w:color="auto"/>
                    <w:bottom w:val="none" w:sz="0" w:space="0" w:color="auto"/>
                    <w:right w:val="none" w:sz="0" w:space="0" w:color="auto"/>
                  </w:divBdr>
                  <w:divsChild>
                    <w:div w:id="2821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2133">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99438144">
      <w:bodyDiv w:val="1"/>
      <w:marLeft w:val="0"/>
      <w:marRight w:val="0"/>
      <w:marTop w:val="0"/>
      <w:marBottom w:val="0"/>
      <w:divBdr>
        <w:top w:val="none" w:sz="0" w:space="0" w:color="auto"/>
        <w:left w:val="none" w:sz="0" w:space="0" w:color="auto"/>
        <w:bottom w:val="none" w:sz="0" w:space="0" w:color="auto"/>
        <w:right w:val="none" w:sz="0" w:space="0" w:color="auto"/>
      </w:divBdr>
      <w:divsChild>
        <w:div w:id="385111635">
          <w:marLeft w:val="0"/>
          <w:marRight w:val="0"/>
          <w:marTop w:val="0"/>
          <w:marBottom w:val="0"/>
          <w:divBdr>
            <w:top w:val="none" w:sz="0" w:space="0" w:color="auto"/>
            <w:left w:val="none" w:sz="0" w:space="0" w:color="auto"/>
            <w:bottom w:val="none" w:sz="0" w:space="0" w:color="auto"/>
            <w:right w:val="none" w:sz="0" w:space="0" w:color="auto"/>
          </w:divBdr>
          <w:divsChild>
            <w:div w:id="742096809">
              <w:marLeft w:val="0"/>
              <w:marRight w:val="0"/>
              <w:marTop w:val="0"/>
              <w:marBottom w:val="0"/>
              <w:divBdr>
                <w:top w:val="none" w:sz="0" w:space="0" w:color="auto"/>
                <w:left w:val="none" w:sz="0" w:space="0" w:color="auto"/>
                <w:bottom w:val="none" w:sz="0" w:space="0" w:color="auto"/>
                <w:right w:val="none" w:sz="0" w:space="0" w:color="auto"/>
              </w:divBdr>
              <w:divsChild>
                <w:div w:id="160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34546428">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852643518">
      <w:bodyDiv w:val="1"/>
      <w:marLeft w:val="0"/>
      <w:marRight w:val="0"/>
      <w:marTop w:val="0"/>
      <w:marBottom w:val="0"/>
      <w:divBdr>
        <w:top w:val="none" w:sz="0" w:space="0" w:color="auto"/>
        <w:left w:val="none" w:sz="0" w:space="0" w:color="auto"/>
        <w:bottom w:val="none" w:sz="0" w:space="0" w:color="auto"/>
        <w:right w:val="none" w:sz="0" w:space="0" w:color="auto"/>
      </w:divBdr>
      <w:divsChild>
        <w:div w:id="968360095">
          <w:marLeft w:val="0"/>
          <w:marRight w:val="0"/>
          <w:marTop w:val="0"/>
          <w:marBottom w:val="0"/>
          <w:divBdr>
            <w:top w:val="none" w:sz="0" w:space="0" w:color="auto"/>
            <w:left w:val="none" w:sz="0" w:space="0" w:color="auto"/>
            <w:bottom w:val="none" w:sz="0" w:space="0" w:color="auto"/>
            <w:right w:val="none" w:sz="0" w:space="0" w:color="auto"/>
          </w:divBdr>
          <w:divsChild>
            <w:div w:id="1891070945">
              <w:marLeft w:val="0"/>
              <w:marRight w:val="0"/>
              <w:marTop w:val="0"/>
              <w:marBottom w:val="0"/>
              <w:divBdr>
                <w:top w:val="none" w:sz="0" w:space="0" w:color="auto"/>
                <w:left w:val="none" w:sz="0" w:space="0" w:color="auto"/>
                <w:bottom w:val="none" w:sz="0" w:space="0" w:color="auto"/>
                <w:right w:val="none" w:sz="0" w:space="0" w:color="auto"/>
              </w:divBdr>
              <w:divsChild>
                <w:div w:id="144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fano.capolongo@polimi.it" TargetMode="External"/><Relationship Id="rId18" Type="http://schemas.openxmlformats.org/officeDocument/2006/relationships/hyperlink" Target="file:////insight/search%3fq=Kristen%20Miller" TargetMode="External"/><Relationship Id="rId26" Type="http://schemas.openxmlformats.org/officeDocument/2006/relationships/hyperlink" Target="https://doi.org/10.1177/1420326X13514868" TargetMode="External"/><Relationship Id="rId3" Type="http://schemas.openxmlformats.org/officeDocument/2006/relationships/customXml" Target="../customXml/item3.xml"/><Relationship Id="rId21" Type="http://schemas.openxmlformats.org/officeDocument/2006/relationships/hyperlink" Target="file:////insight/search%3fq=Joseph%20Agor" TargetMode="External"/><Relationship Id="rId7" Type="http://schemas.openxmlformats.org/officeDocument/2006/relationships/webSettings" Target="webSettings.xml"/><Relationship Id="rId12" Type="http://schemas.openxmlformats.org/officeDocument/2006/relationships/hyperlink" Target="mailto:andrea1.brambilla@polimi" TargetMode="External"/><Relationship Id="rId17" Type="http://schemas.openxmlformats.org/officeDocument/2006/relationships/hyperlink" Target="file:////insight/search%3fq=Maria%20Mayorga" TargetMode="External"/><Relationship Id="rId25" Type="http://schemas.openxmlformats.org/officeDocument/2006/relationships/hyperlink" Target="https://doi.org/10.1108/IJHCQA-12-2018-0288" TargetMode="External"/><Relationship Id="rId2" Type="http://schemas.openxmlformats.org/officeDocument/2006/relationships/customXml" Target="../customXml/item2.xml"/><Relationship Id="rId16" Type="http://schemas.openxmlformats.org/officeDocument/2006/relationships/hyperlink" Target="file:////insight/search%3fq=Kendall%20McKenzie" TargetMode="External"/><Relationship Id="rId20" Type="http://schemas.openxmlformats.org/officeDocument/2006/relationships/hyperlink" Target="file:////insight/search%3fq=Laura%20Schube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arach@jefferson.edu" TargetMode="External"/><Relationship Id="rId24" Type="http://schemas.openxmlformats.org/officeDocument/2006/relationships/hyperlink" Target="https://www.emerald.com/insight/publication/issn/0952-686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insight/search%3fq=Siddhartha%20Nambiar" TargetMode="External"/><Relationship Id="rId23" Type="http://schemas.openxmlformats.org/officeDocument/2006/relationships/hyperlink" Target="file:////insight/search%3fq=Muge%20Capan" TargetMode="External"/><Relationship Id="rId28" Type="http://schemas.openxmlformats.org/officeDocument/2006/relationships/header" Target="header2.xml"/><Relationship Id="rId10" Type="http://schemas.openxmlformats.org/officeDocument/2006/relationships/hyperlink" Target="mailto:goran.lindahl@chalmers.se" TargetMode="External"/><Relationship Id="rId19" Type="http://schemas.openxmlformats.org/officeDocument/2006/relationships/hyperlink" Target="file:////insight/search%3fq=Kevin%20Tra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insight/search%3fq=Daniela%20Fishbein" TargetMode="External"/><Relationship Id="rId22" Type="http://schemas.openxmlformats.org/officeDocument/2006/relationships/hyperlink" Target="file:////insight/search%3fq=Tracy%20Kim" TargetMode="External"/><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6132</Words>
  <Characters>33727</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2024-03-19T15:05:00Z</cp:lastPrinted>
  <dcterms:created xsi:type="dcterms:W3CDTF">2024-03-19T15:10:00Z</dcterms:created>
  <dcterms:modified xsi:type="dcterms:W3CDTF">2024-03-19T15:10:00Z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ZOTERO_PREF_1">
    <vt:lpwstr>&lt;data data-version="3" zotero-version="6.0-beta.8+3ec883a7f"&gt;&lt;session id="mkCqLpSd"/&gt;&lt;style id="http://www.zotero.org/styles/apa" locale="en-US" hasBibliography="1" bibliographyStyleHasBeenSet="1"/&gt;&lt;prefs&gt;&lt;pref name="fieldType" value="Field"/&gt;&lt;/prefs&gt;&lt;/da</vt:lpwstr>
  </property>
  <property fmtid="{D5CDD505-2E9C-101B-9397-08002B2CF9AE}" pid="4" name="ZOTERO_PREF_2">
    <vt:lpwstr>ta&gt;</vt:lpwstr>
  </property>
</Properties>
</file>