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04386B3A"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0587ADCE"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A55054">
        <w:rPr>
          <w:rFonts w:ascii="Georgia" w:eastAsiaTheme="minorEastAsia" w:hAnsi="Georgia" w:cs="Arial"/>
          <w:i w:val="0"/>
        </w:rPr>
        <w:t>User needs</w:t>
      </w:r>
    </w:p>
    <w:p w14:paraId="672A6659" w14:textId="77777777" w:rsidR="004752C1" w:rsidRPr="005C6417" w:rsidRDefault="004752C1" w:rsidP="004752C1">
      <w:pPr>
        <w:rPr>
          <w:rFonts w:ascii="Georgia" w:eastAsiaTheme="minorEastAsia" w:hAnsi="Georgia" w:cs="Arial"/>
          <w:lang w:eastAsia="de-DE" w:bidi="en-US"/>
        </w:rPr>
      </w:pPr>
    </w:p>
    <w:p w14:paraId="5E9079DE" w14:textId="44760122" w:rsidR="008D4597" w:rsidRDefault="009D0576" w:rsidP="00A86E9F">
      <w:pPr>
        <w:pStyle w:val="MDPI13authornames"/>
        <w:rPr>
          <w:rFonts w:ascii="Georgia" w:eastAsiaTheme="minorEastAsia" w:hAnsi="Georgia" w:cs="Arial"/>
          <w:b w:val="0"/>
          <w:snapToGrid w:val="0"/>
          <w:sz w:val="36"/>
          <w:szCs w:val="20"/>
        </w:rPr>
      </w:pPr>
      <w:r>
        <w:rPr>
          <w:rFonts w:ascii="Georgia" w:eastAsiaTheme="minorEastAsia" w:hAnsi="Georgia" w:cs="Arial"/>
          <w:b w:val="0"/>
          <w:snapToGrid w:val="0"/>
          <w:sz w:val="36"/>
          <w:szCs w:val="20"/>
        </w:rPr>
        <w:t xml:space="preserve">Relationship between </w:t>
      </w:r>
      <w:r w:rsidR="008D4597" w:rsidRPr="008D4597">
        <w:rPr>
          <w:rFonts w:ascii="Georgia" w:eastAsiaTheme="minorEastAsia" w:hAnsi="Georgia" w:cs="Arial"/>
          <w:b w:val="0"/>
          <w:snapToGrid w:val="0"/>
          <w:sz w:val="36"/>
          <w:szCs w:val="20"/>
        </w:rPr>
        <w:t xml:space="preserve">Built Environment and </w:t>
      </w:r>
      <w:r>
        <w:rPr>
          <w:rFonts w:ascii="Georgia" w:eastAsiaTheme="minorEastAsia" w:hAnsi="Georgia" w:cs="Arial"/>
          <w:b w:val="0"/>
          <w:snapToGrid w:val="0"/>
          <w:sz w:val="36"/>
          <w:szCs w:val="20"/>
        </w:rPr>
        <w:t>Dementia</w:t>
      </w:r>
      <w:r w:rsidR="008D4597" w:rsidRPr="008D4597">
        <w:rPr>
          <w:rFonts w:ascii="Georgia" w:eastAsiaTheme="minorEastAsia" w:hAnsi="Georgia" w:cs="Arial"/>
          <w:b w:val="0"/>
          <w:snapToGrid w:val="0"/>
          <w:sz w:val="36"/>
          <w:szCs w:val="20"/>
        </w:rPr>
        <w:t xml:space="preserve">. </w:t>
      </w:r>
      <w:r w:rsidR="00A80275">
        <w:rPr>
          <w:rFonts w:ascii="Georgia" w:eastAsiaTheme="minorEastAsia" w:hAnsi="Georgia" w:cs="Arial"/>
          <w:b w:val="0"/>
          <w:snapToGrid w:val="0"/>
          <w:sz w:val="36"/>
          <w:szCs w:val="20"/>
        </w:rPr>
        <w:t xml:space="preserve">    </w:t>
      </w:r>
      <w:r>
        <w:rPr>
          <w:rFonts w:ascii="Georgia" w:eastAsiaTheme="minorEastAsia" w:hAnsi="Georgia" w:cs="Arial"/>
          <w:b w:val="0"/>
          <w:snapToGrid w:val="0"/>
          <w:sz w:val="36"/>
          <w:szCs w:val="20"/>
        </w:rPr>
        <w:t>Evaluation of five Nursing Homes in</w:t>
      </w:r>
      <w:r w:rsidR="003D6477">
        <w:rPr>
          <w:rFonts w:ascii="Georgia" w:eastAsiaTheme="minorEastAsia" w:hAnsi="Georgia" w:cs="Arial"/>
          <w:b w:val="0"/>
          <w:snapToGrid w:val="0"/>
          <w:sz w:val="36"/>
          <w:szCs w:val="20"/>
        </w:rPr>
        <w:t xml:space="preserve"> Lombardy region,</w:t>
      </w:r>
      <w:r>
        <w:rPr>
          <w:rFonts w:ascii="Georgia" w:eastAsiaTheme="minorEastAsia" w:hAnsi="Georgia" w:cs="Arial"/>
          <w:b w:val="0"/>
          <w:snapToGrid w:val="0"/>
          <w:sz w:val="36"/>
          <w:szCs w:val="20"/>
        </w:rPr>
        <w:t xml:space="preserve"> Italy</w:t>
      </w:r>
      <w:r w:rsidR="008D4597" w:rsidRPr="008D4597">
        <w:rPr>
          <w:rFonts w:ascii="Georgia" w:eastAsiaTheme="minorEastAsia" w:hAnsi="Georgia" w:cs="Arial"/>
          <w:b w:val="0"/>
          <w:snapToGrid w:val="0"/>
          <w:sz w:val="36"/>
          <w:szCs w:val="20"/>
        </w:rPr>
        <w:t xml:space="preserve"> </w:t>
      </w:r>
    </w:p>
    <w:p w14:paraId="1E4E8E64" w14:textId="4837F7AF" w:rsidR="00AA684A" w:rsidRPr="000E4695" w:rsidRDefault="000E4695" w:rsidP="00A86E9F">
      <w:pPr>
        <w:pStyle w:val="MDPI13authornames"/>
        <w:rPr>
          <w:rFonts w:ascii="Georgia" w:eastAsiaTheme="minorEastAsia" w:hAnsi="Georgia" w:cs="Arial"/>
          <w:b w:val="0"/>
          <w:lang w:val="it-IT"/>
        </w:rPr>
      </w:pPr>
      <w:r w:rsidRPr="000E4695">
        <w:rPr>
          <w:rFonts w:ascii="Georgia" w:eastAsiaTheme="minorEastAsia" w:hAnsi="Georgia" w:cs="Arial"/>
          <w:b w:val="0"/>
          <w:lang w:val="it-IT"/>
        </w:rPr>
        <w:t>Silvia Mangili</w:t>
      </w:r>
      <w:r w:rsidR="00A86E9F" w:rsidRPr="000E4695">
        <w:rPr>
          <w:rFonts w:ascii="Georgia" w:eastAsiaTheme="minorEastAsia" w:hAnsi="Georgia" w:cs="Arial"/>
          <w:b w:val="0"/>
          <w:vertAlign w:val="superscript"/>
          <w:lang w:val="it-IT"/>
        </w:rPr>
        <w:t>1</w:t>
      </w:r>
      <w:r w:rsidRPr="000E4695">
        <w:rPr>
          <w:rFonts w:ascii="Georgia" w:eastAsiaTheme="minorEastAsia" w:hAnsi="Georgia" w:cs="Arial"/>
          <w:b w:val="0"/>
          <w:lang w:val="it-IT"/>
        </w:rPr>
        <w:t>*</w:t>
      </w:r>
      <w:r w:rsidR="00A86E9F" w:rsidRPr="000E4695">
        <w:rPr>
          <w:rFonts w:ascii="Georgia" w:eastAsiaTheme="minorEastAsia" w:hAnsi="Georgia" w:cs="Arial"/>
          <w:b w:val="0"/>
          <w:lang w:val="it-IT"/>
        </w:rPr>
        <w:t xml:space="preserve">, </w:t>
      </w:r>
      <w:r w:rsidRPr="000E4695">
        <w:rPr>
          <w:rFonts w:ascii="Georgia" w:eastAsiaTheme="minorEastAsia" w:hAnsi="Georgia" w:cs="Arial"/>
          <w:b w:val="0"/>
          <w:lang w:val="it-IT"/>
        </w:rPr>
        <w:t>Andrea Brambilla</w:t>
      </w:r>
      <w:r w:rsidRPr="000E4695">
        <w:rPr>
          <w:rFonts w:ascii="Georgia" w:eastAsiaTheme="minorEastAsia" w:hAnsi="Georgia" w:cs="Arial"/>
          <w:b w:val="0"/>
          <w:vertAlign w:val="superscript"/>
          <w:lang w:val="it-IT"/>
        </w:rPr>
        <w:t>1</w:t>
      </w:r>
      <w:r w:rsidR="00A86E9F" w:rsidRPr="000E4695">
        <w:rPr>
          <w:rFonts w:ascii="Georgia" w:eastAsiaTheme="minorEastAsia" w:hAnsi="Georgia" w:cs="Arial"/>
          <w:b w:val="0"/>
          <w:lang w:val="it-IT"/>
        </w:rPr>
        <w:t xml:space="preserve"> and </w:t>
      </w:r>
      <w:r w:rsidRPr="000E4695">
        <w:rPr>
          <w:rFonts w:ascii="Georgia" w:eastAsiaTheme="minorEastAsia" w:hAnsi="Georgia" w:cs="Arial"/>
          <w:b w:val="0"/>
          <w:lang w:val="it-IT"/>
        </w:rPr>
        <w:t>Stefano Capolongo</w:t>
      </w:r>
      <w:r w:rsidRPr="000E4695">
        <w:rPr>
          <w:rFonts w:ascii="Georgia" w:eastAsiaTheme="minorEastAsia" w:hAnsi="Georgia" w:cs="Arial"/>
          <w:b w:val="0"/>
          <w:vertAlign w:val="superscript"/>
          <w:lang w:val="it-IT"/>
        </w:rPr>
        <w:t>1</w:t>
      </w:r>
    </w:p>
    <w:p w14:paraId="36B87632" w14:textId="2B8ABB19"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proofErr w:type="spellStart"/>
      <w:r w:rsidR="000E4695" w:rsidRPr="00EF2AE9">
        <w:t>Politecnico</w:t>
      </w:r>
      <w:proofErr w:type="spellEnd"/>
      <w:r w:rsidR="000E4695" w:rsidRPr="00EF2AE9">
        <w:t xml:space="preserve"> di Milano, Department of Architecture, Built environment and Construction engineering (DABC), Design &amp; Health Lab, Milan, Italy; </w:t>
      </w:r>
      <w:hyperlink r:id="rId10" w:history="1">
        <w:r w:rsidR="000E4695" w:rsidRPr="00977ABA">
          <w:rPr>
            <w:rStyle w:val="Hyperlink"/>
          </w:rPr>
          <w:t>silvia.mangili@polimi.it</w:t>
        </w:r>
      </w:hyperlink>
      <w:r w:rsidR="000E4695" w:rsidRPr="00EF2AE9">
        <w:t xml:space="preserve">; </w:t>
      </w:r>
      <w:hyperlink r:id="rId11" w:history="1">
        <w:r w:rsidR="000E4695" w:rsidRPr="00977ABA">
          <w:rPr>
            <w:rStyle w:val="Hyperlink"/>
          </w:rPr>
          <w:t>andrea1.brambilla@polimi.it</w:t>
        </w:r>
      </w:hyperlink>
      <w:r w:rsidR="000E4695">
        <w:t xml:space="preserve">; </w:t>
      </w:r>
      <w:hyperlink r:id="rId12" w:history="1">
        <w:r w:rsidR="000E4695" w:rsidRPr="00977ABA">
          <w:rPr>
            <w:rStyle w:val="Hyperlink"/>
          </w:rPr>
          <w:t>stefano.capolongo@polimi.it</w:t>
        </w:r>
      </w:hyperlink>
      <w:r w:rsidR="000E4695">
        <w:t xml:space="preserve"> </w:t>
      </w:r>
    </w:p>
    <w:p w14:paraId="122652E0" w14:textId="29013ADD"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0E4695">
        <w:rPr>
          <w:rFonts w:ascii="Georgia" w:eastAsiaTheme="minorEastAsia" w:hAnsi="Georgia" w:cs="Arial"/>
        </w:rPr>
        <w:t>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6736"/>
        <w:tblW w:w="2410" w:type="dxa"/>
        <w:tblLayout w:type="fixed"/>
        <w:tblCellMar>
          <w:left w:w="0" w:type="dxa"/>
          <w:right w:w="0" w:type="dxa"/>
        </w:tblCellMar>
        <w:tblLook w:val="04A0" w:firstRow="1" w:lastRow="0" w:firstColumn="1" w:lastColumn="0" w:noHBand="0" w:noVBand="1"/>
      </w:tblPr>
      <w:tblGrid>
        <w:gridCol w:w="2410"/>
      </w:tblGrid>
      <w:tr w:rsidR="0083655E" w:rsidRPr="005C6417" w14:paraId="016E2716" w14:textId="77777777" w:rsidTr="0083655E">
        <w:tc>
          <w:tcPr>
            <w:tcW w:w="2410" w:type="dxa"/>
            <w:shd w:val="clear" w:color="auto" w:fill="auto"/>
          </w:tcPr>
          <w:p w14:paraId="21F44C32" w14:textId="77777777" w:rsidR="0083655E" w:rsidRDefault="0083655E" w:rsidP="0083655E">
            <w:pPr>
              <w:spacing w:line="240" w:lineRule="auto"/>
              <w:jc w:val="left"/>
              <w:rPr>
                <w:rFonts w:ascii="Georgia" w:eastAsiaTheme="minorEastAsia" w:hAnsi="Georgia" w:cs="Arial"/>
                <w:b/>
                <w:bCs/>
                <w:color w:val="auto"/>
                <w:sz w:val="14"/>
                <w:szCs w:val="14"/>
              </w:rPr>
            </w:pPr>
          </w:p>
          <w:p w14:paraId="341BCD57" w14:textId="73F3C2BD" w:rsidR="0083655E" w:rsidRPr="004C61F7" w:rsidRDefault="0083655E" w:rsidP="0083655E">
            <w:pPr>
              <w:spacing w:line="240" w:lineRule="auto"/>
              <w:jc w:val="left"/>
              <w:rPr>
                <w:rFonts w:ascii="Georgia" w:eastAsiaTheme="minorEastAsia" w:hAnsi="Georgia" w:cs="Arial"/>
                <w:b/>
                <w:bCs/>
                <w:color w:val="auto"/>
                <w:sz w:val="14"/>
                <w:szCs w:val="14"/>
              </w:rPr>
            </w:pPr>
            <w:r w:rsidRPr="004C61F7">
              <w:rPr>
                <w:rFonts w:ascii="Georgia" w:eastAsiaTheme="minorEastAsia" w:hAnsi="Georgia" w:cs="Arial"/>
                <w:b/>
                <w:bCs/>
                <w:color w:val="auto"/>
                <w:sz w:val="14"/>
                <w:szCs w:val="14"/>
              </w:rPr>
              <w:t xml:space="preserve">Names of the </w:t>
            </w:r>
            <w:r>
              <w:rPr>
                <w:rFonts w:ascii="Georgia" w:eastAsiaTheme="minorEastAsia" w:hAnsi="Georgia" w:cs="Arial"/>
                <w:b/>
                <w:bCs/>
                <w:color w:val="auto"/>
                <w:sz w:val="14"/>
                <w:szCs w:val="14"/>
              </w:rPr>
              <w:t>Topic</w:t>
            </w:r>
            <w:r w:rsidRPr="004C61F7">
              <w:rPr>
                <w:rFonts w:ascii="Georgia" w:eastAsiaTheme="minorEastAsia" w:hAnsi="Georgia" w:cs="Arial"/>
                <w:b/>
                <w:bCs/>
                <w:color w:val="auto"/>
                <w:sz w:val="14"/>
                <w:szCs w:val="14"/>
              </w:rPr>
              <w:t xml:space="preserve"> editors:</w:t>
            </w:r>
            <w:r w:rsidR="00594F1D">
              <w:rPr>
                <w:rFonts w:ascii="Georgia" w:eastAsiaTheme="minorEastAsia" w:hAnsi="Georgia" w:cs="Arial"/>
                <w:b/>
                <w:bCs/>
                <w:color w:val="auto"/>
                <w:sz w:val="14"/>
                <w:szCs w:val="14"/>
              </w:rPr>
              <w:br/>
              <w:t>Clarine van Oel</w:t>
            </w:r>
            <w:r w:rsidRPr="004C61F7">
              <w:rPr>
                <w:rFonts w:ascii="Georgia" w:eastAsiaTheme="minorEastAsia" w:hAnsi="Georgia" w:cs="Arial"/>
                <w:b/>
                <w:bCs/>
                <w:color w:val="auto"/>
                <w:sz w:val="14"/>
                <w:szCs w:val="14"/>
              </w:rPr>
              <w:t xml:space="preserve"> </w:t>
            </w:r>
          </w:p>
          <w:p w14:paraId="29A15EC5" w14:textId="77777777" w:rsidR="0083655E" w:rsidRPr="004C61F7" w:rsidRDefault="0083655E" w:rsidP="0083655E">
            <w:pPr>
              <w:adjustRightInd w:val="0"/>
              <w:snapToGrid w:val="0"/>
              <w:spacing w:line="240" w:lineRule="auto"/>
              <w:jc w:val="left"/>
              <w:rPr>
                <w:rFonts w:ascii="Georgia" w:eastAsiaTheme="minorEastAsia" w:hAnsi="Georgia" w:cs="Arial"/>
                <w:color w:val="auto"/>
                <w:sz w:val="14"/>
                <w:szCs w:val="22"/>
              </w:rPr>
            </w:pPr>
          </w:p>
          <w:p w14:paraId="26C0D01D" w14:textId="77777777" w:rsidR="0083655E" w:rsidRPr="004C61F7" w:rsidRDefault="0083655E" w:rsidP="0083655E">
            <w:pPr>
              <w:spacing w:line="240" w:lineRule="auto"/>
              <w:jc w:val="left"/>
              <w:rPr>
                <w:rFonts w:ascii="Georgia" w:eastAsiaTheme="minorEastAsia" w:hAnsi="Georgia" w:cs="Arial"/>
                <w:color w:val="auto"/>
                <w:sz w:val="14"/>
                <w:szCs w:val="22"/>
              </w:rPr>
            </w:pPr>
            <w:r w:rsidRPr="004C61F7">
              <w:rPr>
                <w:rFonts w:ascii="Georgia" w:eastAsiaTheme="minorEastAsia" w:hAnsi="Georgia" w:cs="Arial"/>
                <w:b/>
                <w:color w:val="auto"/>
                <w:sz w:val="14"/>
                <w:szCs w:val="22"/>
              </w:rPr>
              <w:t>Journal:</w:t>
            </w:r>
            <w:r w:rsidRPr="004C61F7">
              <w:rPr>
                <w:rFonts w:ascii="Georgia" w:eastAsiaTheme="minorEastAsia" w:hAnsi="Georgia" w:cs="Arial"/>
                <w:color w:val="auto"/>
                <w:sz w:val="14"/>
                <w:szCs w:val="22"/>
              </w:rPr>
              <w:t xml:space="preserve"> </w:t>
            </w:r>
            <w:r w:rsidRPr="004C61F7">
              <w:rPr>
                <w:rFonts w:ascii="Georgia" w:eastAsiaTheme="minorEastAsia" w:hAnsi="Georgia" w:cs="Arial"/>
                <w:sz w:val="14"/>
                <w:szCs w:val="22"/>
              </w:rPr>
              <w:t>The Evolving Scholar</w:t>
            </w:r>
          </w:p>
          <w:p w14:paraId="4DFCBA35" w14:textId="77777777" w:rsidR="0083655E" w:rsidRPr="000F3AEF" w:rsidRDefault="0083655E" w:rsidP="0083655E">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0F3AEF">
              <w:rPr>
                <w:rFonts w:ascii="Georgia" w:eastAsiaTheme="minorEastAsia" w:hAnsi="Georgia" w:cs="Arial"/>
                <w:lang w:val="en-GB"/>
              </w:rPr>
              <w:t xml:space="preserve">10.24404/6230a64f59007c84b02b57e0 </w:t>
            </w:r>
          </w:p>
          <w:p w14:paraId="73805CA4" w14:textId="77777777" w:rsidR="0083655E" w:rsidRDefault="0083655E" w:rsidP="0083655E">
            <w:pPr>
              <w:pStyle w:val="MDPI14history"/>
              <w:rPr>
                <w:rFonts w:ascii="Georgia" w:eastAsiaTheme="minorEastAsia" w:hAnsi="Georgia" w:cs="Arial"/>
                <w:b/>
                <w:szCs w:val="14"/>
              </w:rPr>
            </w:pPr>
          </w:p>
          <w:p w14:paraId="1E6EF42B" w14:textId="77777777" w:rsidR="0083655E" w:rsidRPr="004C61F7" w:rsidRDefault="0083655E" w:rsidP="0083655E">
            <w:pPr>
              <w:pStyle w:val="MDPI14history"/>
              <w:rPr>
                <w:rFonts w:ascii="Georgia" w:eastAsiaTheme="minorEastAsia" w:hAnsi="Georgia" w:cs="Arial"/>
              </w:rPr>
            </w:pPr>
            <w:r w:rsidRPr="004C61F7">
              <w:rPr>
                <w:rFonts w:ascii="Georgia" w:eastAsiaTheme="minorEastAsia" w:hAnsi="Georgia" w:cs="Arial"/>
                <w:b/>
                <w:szCs w:val="14"/>
              </w:rPr>
              <w:t>Submitted:</w:t>
            </w:r>
            <w:r>
              <w:rPr>
                <w:rFonts w:ascii="Georgia" w:eastAsiaTheme="minorEastAsia" w:hAnsi="Georgia" w:cs="Arial"/>
                <w:szCs w:val="14"/>
              </w:rPr>
              <w:t xml:space="preserve"> </w:t>
            </w:r>
            <w:r w:rsidRPr="006565C9">
              <w:rPr>
                <w:rFonts w:ascii="Georgia" w:eastAsiaTheme="minorEastAsia" w:hAnsi="Georgia" w:cs="Arial"/>
                <w:szCs w:val="14"/>
              </w:rPr>
              <w:t>11 Jul 2022</w:t>
            </w:r>
          </w:p>
          <w:p w14:paraId="2199E160" w14:textId="7D3A80D3" w:rsidR="0083655E" w:rsidRPr="004C61F7" w:rsidRDefault="00594F1D" w:rsidP="0083655E">
            <w:pPr>
              <w:pStyle w:val="MDPI14history"/>
              <w:rPr>
                <w:rFonts w:ascii="Georgia" w:eastAsiaTheme="minorEastAsia" w:hAnsi="Georgia" w:cs="Arial"/>
                <w:szCs w:val="14"/>
              </w:rPr>
            </w:pPr>
            <w:r>
              <w:rPr>
                <w:rFonts w:ascii="Georgia" w:eastAsiaTheme="minorEastAsia" w:hAnsi="Georgia" w:cs="Arial"/>
                <w:b/>
                <w:szCs w:val="14"/>
              </w:rPr>
              <w:t>Revised</w:t>
            </w:r>
            <w:r w:rsidR="0083655E" w:rsidRPr="004C61F7">
              <w:rPr>
                <w:rFonts w:ascii="Georgia" w:eastAsiaTheme="minorEastAsia" w:hAnsi="Georgia" w:cs="Arial"/>
                <w:b/>
                <w:szCs w:val="14"/>
              </w:rPr>
              <w:t>:</w:t>
            </w:r>
            <w:r>
              <w:rPr>
                <w:rFonts w:ascii="Georgia" w:eastAsiaTheme="minorEastAsia" w:hAnsi="Georgia" w:cs="Arial"/>
                <w:b/>
                <w:szCs w:val="14"/>
              </w:rPr>
              <w:t xml:space="preserve"> </w:t>
            </w:r>
            <w:r w:rsidRPr="00594F1D">
              <w:rPr>
                <w:rFonts w:ascii="Georgia" w:eastAsiaTheme="minorEastAsia" w:hAnsi="Georgia" w:cs="Arial"/>
                <w:bCs/>
                <w:szCs w:val="14"/>
              </w:rPr>
              <w:t>11 J</w:t>
            </w:r>
            <w:r>
              <w:rPr>
                <w:rFonts w:ascii="Georgia" w:eastAsiaTheme="minorEastAsia" w:hAnsi="Georgia" w:cs="Arial"/>
                <w:bCs/>
                <w:szCs w:val="14"/>
              </w:rPr>
              <w:t>ul</w:t>
            </w:r>
            <w:r w:rsidRPr="00594F1D">
              <w:rPr>
                <w:rFonts w:ascii="Georgia" w:eastAsiaTheme="minorEastAsia" w:hAnsi="Georgia" w:cs="Arial"/>
                <w:bCs/>
                <w:szCs w:val="14"/>
              </w:rPr>
              <w:t xml:space="preserve"> 2022</w:t>
            </w:r>
            <w:r w:rsidR="0083655E" w:rsidRPr="004C61F7">
              <w:rPr>
                <w:rFonts w:ascii="Georgia" w:eastAsiaTheme="minorEastAsia" w:hAnsi="Georgia" w:cs="Arial"/>
                <w:b/>
                <w:szCs w:val="14"/>
              </w:rPr>
              <w:t xml:space="preserve"> </w:t>
            </w:r>
          </w:p>
          <w:p w14:paraId="2767EBDB" w14:textId="3AF0F871" w:rsidR="0083655E" w:rsidRPr="004C61F7" w:rsidRDefault="00594F1D" w:rsidP="0083655E">
            <w:pPr>
              <w:pStyle w:val="MDPI14history"/>
              <w:spacing w:after="240"/>
              <w:rPr>
                <w:rFonts w:ascii="Georgia" w:eastAsiaTheme="minorEastAsia" w:hAnsi="Georgia" w:cs="Arial"/>
                <w:szCs w:val="14"/>
              </w:rPr>
            </w:pPr>
            <w:r>
              <w:rPr>
                <w:rFonts w:ascii="Georgia" w:eastAsiaTheme="minorEastAsia" w:hAnsi="Georgia" w:cs="Arial"/>
                <w:b/>
                <w:szCs w:val="14"/>
              </w:rPr>
              <w:t>Accepted</w:t>
            </w:r>
            <w:r w:rsidR="0083655E" w:rsidRPr="004C61F7">
              <w:rPr>
                <w:rFonts w:ascii="Georgia" w:eastAsiaTheme="minorEastAsia" w:hAnsi="Georgia" w:cs="Arial"/>
                <w:b/>
                <w:szCs w:val="14"/>
              </w:rPr>
              <w:t>:</w:t>
            </w:r>
            <w:r>
              <w:rPr>
                <w:rFonts w:ascii="Georgia" w:eastAsiaTheme="minorEastAsia" w:hAnsi="Georgia" w:cs="Arial"/>
                <w:b/>
                <w:szCs w:val="14"/>
              </w:rPr>
              <w:t xml:space="preserve"> </w:t>
            </w:r>
            <w:r w:rsidRPr="00594F1D">
              <w:rPr>
                <w:rFonts w:ascii="Georgia" w:eastAsiaTheme="minorEastAsia" w:hAnsi="Georgia" w:cs="Arial"/>
                <w:bCs/>
                <w:szCs w:val="14"/>
              </w:rPr>
              <w:t>11 Jul 2022</w:t>
            </w:r>
            <w:r w:rsidR="0083655E" w:rsidRPr="004C61F7">
              <w:rPr>
                <w:rFonts w:ascii="Georgia" w:eastAsiaTheme="minorEastAsia" w:hAnsi="Georgia" w:cs="Arial"/>
                <w:szCs w:val="14"/>
              </w:rPr>
              <w:t xml:space="preserve"> </w:t>
            </w:r>
          </w:p>
          <w:p w14:paraId="58CFEB14" w14:textId="487ED685" w:rsidR="0083655E" w:rsidRPr="004C61F7" w:rsidRDefault="0083655E" w:rsidP="0083655E">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b/>
                <w:color w:val="000000" w:themeColor="text1"/>
                <w:sz w:val="14"/>
                <w:szCs w:val="14"/>
              </w:rPr>
              <w:t xml:space="preserve"> </w:t>
            </w:r>
            <w:r w:rsidRPr="000F3AEF">
              <w:rPr>
                <w:rStyle w:val="normaltextrun"/>
                <w:rFonts w:ascii="Georgia" w:eastAsiaTheme="minorEastAsia" w:hAnsi="Georgia" w:cs="Arial"/>
                <w:color w:val="000000" w:themeColor="text1"/>
                <w:sz w:val="14"/>
                <w:szCs w:val="14"/>
              </w:rPr>
              <w:t>MANGILI, S., Brambilla, A. &amp; Capolongo, S. (2022). Relationship between Built Environment and Dementia. Evaluation of five Nursing Homes in Lombardy region, Italy. The Evolving Scholar | ARCH22</w:t>
            </w:r>
            <w:r w:rsidRPr="000F3AEF">
              <w:rPr>
                <w:rStyle w:val="normaltextrun"/>
                <w:rFonts w:ascii="Georgia" w:eastAsiaTheme="minorEastAsia" w:hAnsi="Georgia" w:cs="Arial"/>
                <w:b/>
                <w:color w:val="000000" w:themeColor="text1"/>
                <w:sz w:val="14"/>
                <w:szCs w:val="14"/>
              </w:rPr>
              <w:t>.</w:t>
            </w:r>
            <w:r w:rsidRPr="004C61F7">
              <w:rPr>
                <w:rStyle w:val="normaltextrun"/>
                <w:rFonts w:ascii="Georgia" w:eastAsiaTheme="minorEastAsia" w:hAnsi="Georgia" w:cs="Arial"/>
                <w:color w:val="000000" w:themeColor="text1"/>
                <w:sz w:val="14"/>
                <w:szCs w:val="14"/>
              </w:rPr>
              <w:t xml:space="preserve"> </w:t>
            </w:r>
          </w:p>
          <w:p w14:paraId="3B7A32C9" w14:textId="77777777" w:rsidR="0083655E" w:rsidRPr="004C61F7" w:rsidRDefault="0083655E" w:rsidP="0083655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59FB1EA9" w14:textId="77777777" w:rsidR="0083655E" w:rsidRDefault="0083655E" w:rsidP="0083655E">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1D42AD7" w14:textId="77777777" w:rsidR="0083655E" w:rsidRDefault="0083655E" w:rsidP="0083655E">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37C2DBC" w14:textId="4EFD9F38" w:rsidR="0083655E" w:rsidRPr="0058367F" w:rsidRDefault="0083655E" w:rsidP="0083655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w:t>
            </w:r>
            <w:r w:rsidR="00594F1D">
              <w:rPr>
                <w:rStyle w:val="normaltextrun"/>
                <w:rFonts w:ascii="Georgia" w:eastAsiaTheme="minorEastAsia" w:hAnsi="Georgia" w:cs="Arial"/>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license</w:t>
            </w:r>
            <w:r>
              <w:rPr>
                <w:rStyle w:val="normaltextrun"/>
                <w:rFonts w:ascii="Georgia" w:eastAsiaTheme="minorEastAsia" w:hAnsi="Georgia" w:cs="Arial"/>
                <w:color w:val="000000" w:themeColor="text1"/>
                <w:sz w:val="14"/>
                <w:szCs w:val="14"/>
              </w:rPr>
              <w:t xml:space="preserve"> (</w:t>
            </w:r>
            <w:r w:rsidRPr="000F3AEF">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w:t>
            </w:r>
          </w:p>
          <w:p w14:paraId="1DF33E8B" w14:textId="77777777" w:rsidR="0083655E" w:rsidRPr="004C61F7" w:rsidRDefault="0083655E" w:rsidP="0083655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17B32BA5" w14:textId="7C818562" w:rsidR="0083655E" w:rsidRPr="005C6417" w:rsidRDefault="0083655E" w:rsidP="0083655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0F3AEF">
              <w:rPr>
                <w:rStyle w:val="normaltextrun"/>
                <w:rFonts w:ascii="Georgia" w:eastAsiaTheme="minorEastAsia" w:hAnsi="Georgia" w:cs="Arial"/>
                <w:color w:val="000000" w:themeColor="text1"/>
                <w:sz w:val="14"/>
                <w:szCs w:val="14"/>
              </w:rPr>
              <w:t>MANGILI, S., Brambilla, A. &amp; Capolongo, S.</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4F9E27EA" w14:textId="77777777" w:rsidR="0083655E" w:rsidRPr="005C6417" w:rsidRDefault="0083655E" w:rsidP="0083655E">
            <w:pPr>
              <w:adjustRightInd w:val="0"/>
              <w:snapToGrid w:val="0"/>
              <w:spacing w:before="60" w:line="240" w:lineRule="atLeast"/>
              <w:ind w:right="113"/>
              <w:rPr>
                <w:rFonts w:ascii="Georgia" w:eastAsiaTheme="minorEastAsia" w:hAnsi="Georgia" w:cs="Arial"/>
                <w:bCs/>
                <w:sz w:val="14"/>
                <w:szCs w:val="14"/>
                <w:lang w:bidi="en-US"/>
              </w:rPr>
            </w:pPr>
          </w:p>
        </w:tc>
      </w:tr>
    </w:tbl>
    <w:p w14:paraId="2FA117FE" w14:textId="77777777" w:rsidR="00EA282E" w:rsidRPr="00EA282E" w:rsidRDefault="00A86E9F" w:rsidP="00EA282E">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EA282E" w:rsidRPr="00EA282E">
        <w:rPr>
          <w:rFonts w:ascii="Georgia" w:eastAsiaTheme="minorEastAsia" w:hAnsi="Georgia" w:cs="Arial"/>
        </w:rPr>
        <w:t xml:space="preserve">Background: The relationship between Built Environment and Dementia is nowadays a fundamental theme to investigate in the healthcare field because the elderly population is growing worldwide. Epidemiological data show that Alzheimer's disease incidence is forecast to increase rapidly. Furthermore, the health and socio-sanitary structures for elderly patients represent a fundamental social infrastructure that collects significant investments but must be suitable to host people with dementia. This paper aims to describe the application of a tool able to evaluate architectural design features in facilities for patients with Dementia. </w:t>
      </w:r>
    </w:p>
    <w:p w14:paraId="52224AA8" w14:textId="77777777" w:rsidR="00EA282E" w:rsidRPr="00EA282E" w:rsidRDefault="00EA282E" w:rsidP="00EA282E">
      <w:pPr>
        <w:pStyle w:val="MDPI17abstract"/>
        <w:rPr>
          <w:rFonts w:ascii="Georgia" w:eastAsiaTheme="minorEastAsia" w:hAnsi="Georgia" w:cs="Arial"/>
        </w:rPr>
      </w:pPr>
      <w:r w:rsidRPr="00EA282E">
        <w:rPr>
          <w:rFonts w:ascii="Georgia" w:eastAsiaTheme="minorEastAsia" w:hAnsi="Georgia" w:cs="Arial"/>
        </w:rPr>
        <w:t xml:space="preserve">Methodology: The evaluation framework is based on a Systematic Literature Review on the relationship between the built environment and patients with dementia, different case studies, and existing evaluation tools analysis. The tool comprises four criteria (Quality, Spaces, Activities, and Wayfinding), 19 indicators, and 71 variables validated by recognized experts in the geriatric, psychiatry, and architecture field. The tool has been applied to five facilities, all accredited to the Italian National Health System and located in Lombardy that differ in period of construction and type. </w:t>
      </w:r>
    </w:p>
    <w:p w14:paraId="1A61190F" w14:textId="77777777" w:rsidR="00EA282E" w:rsidRDefault="00EA282E" w:rsidP="00EA282E">
      <w:pPr>
        <w:pStyle w:val="MDPI17abstract"/>
        <w:rPr>
          <w:rFonts w:ascii="Georgia" w:eastAsiaTheme="minorEastAsia" w:hAnsi="Georgia" w:cs="Arial"/>
        </w:rPr>
      </w:pPr>
      <w:r w:rsidRPr="00EA282E">
        <w:rPr>
          <w:rFonts w:ascii="Georgia" w:eastAsiaTheme="minorEastAsia" w:hAnsi="Georgia" w:cs="Arial"/>
        </w:rPr>
        <w:t>Results: The maximum score is 100%, and results lower than 60% are considered inadequate, between 60 and 80% are sufficient, and more than 80 excellent. The results of the evaluation tool show that two are inadequate (47 and 54% of compliance), two sufficient (65 and 75%), and one excellent (92%). The newest building was evaluated as “excellent”, while the structure with the lowest score was created by reusing existing structures. Future applications are needed to make the results more scalable.</w:t>
      </w:r>
    </w:p>
    <w:p w14:paraId="7D941273" w14:textId="0F827221" w:rsidR="00D80CED" w:rsidRPr="00FB6CF1" w:rsidRDefault="00A86E9F" w:rsidP="00EA282E">
      <w:pPr>
        <w:pStyle w:val="MDPI17abstract"/>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D80CED">
        <w:rPr>
          <w:rFonts w:ascii="Georgia" w:eastAsiaTheme="minorEastAsia" w:hAnsi="Georgia" w:cs="Arial"/>
          <w:szCs w:val="18"/>
        </w:rPr>
        <w:t>Dementia; Evaluation tool; Evidence</w:t>
      </w:r>
      <w:r w:rsidR="00C440F2">
        <w:rPr>
          <w:rFonts w:ascii="Georgia" w:eastAsiaTheme="minorEastAsia" w:hAnsi="Georgia" w:cs="Arial"/>
          <w:szCs w:val="18"/>
        </w:rPr>
        <w:t>-</w:t>
      </w:r>
      <w:r w:rsidR="00D80CED">
        <w:rPr>
          <w:rFonts w:ascii="Georgia" w:eastAsiaTheme="minorEastAsia" w:hAnsi="Georgia" w:cs="Arial"/>
          <w:szCs w:val="18"/>
        </w:rPr>
        <w:t>Based Design</w:t>
      </w:r>
      <w:r w:rsidRPr="005C6417">
        <w:rPr>
          <w:rFonts w:ascii="Georgia" w:eastAsiaTheme="minorEastAsia" w:hAnsi="Georgia" w:cs="Arial"/>
          <w:szCs w:val="18"/>
        </w:rPr>
        <w:t xml:space="preserve">; </w:t>
      </w:r>
      <w:r w:rsidR="00D80CED">
        <w:rPr>
          <w:rFonts w:ascii="Georgia" w:eastAsiaTheme="minorEastAsia" w:hAnsi="Georgia" w:cs="Arial"/>
          <w:szCs w:val="18"/>
        </w:rPr>
        <w:t xml:space="preserve">Long Term Care; </w:t>
      </w:r>
      <w:r w:rsidR="00D80CED" w:rsidRPr="0017789E">
        <w:t>Users Centered Design</w:t>
      </w:r>
      <w:r w:rsidR="00D80CED">
        <w:rPr>
          <w:rFonts w:ascii="Georgia" w:eastAsiaTheme="minorEastAsia" w:hAnsi="Georgia" w:cs="Arial"/>
          <w:szCs w:val="18"/>
        </w:rPr>
        <w:t>.</w:t>
      </w:r>
    </w:p>
    <w:p w14:paraId="32A36C38" w14:textId="621EC2D7" w:rsidR="00A86E9F" w:rsidRPr="004F2BEA" w:rsidRDefault="00A86E9F" w:rsidP="00B51449">
      <w:pPr>
        <w:pStyle w:val="MDPI21heading1"/>
        <w:ind w:left="2040" w:firstLine="510"/>
        <w:rPr>
          <w:rFonts w:ascii="Georgia" w:eastAsiaTheme="minorEastAsia" w:hAnsi="Georgia" w:cs="Arial"/>
          <w:lang w:eastAsia="zh-CN"/>
        </w:rPr>
      </w:pPr>
      <w:r w:rsidRPr="004F2BEA">
        <w:rPr>
          <w:rFonts w:ascii="Georgia" w:eastAsiaTheme="minorEastAsia" w:hAnsi="Georgia" w:cs="Arial"/>
          <w:lang w:eastAsia="zh-CN"/>
        </w:rPr>
        <w:t>1. Introduction</w:t>
      </w:r>
    </w:p>
    <w:p w14:paraId="1E4C5382" w14:textId="563849EC" w:rsidR="00C440F2" w:rsidRPr="00D80CED" w:rsidRDefault="00C440F2" w:rsidP="00C440F2">
      <w:pPr>
        <w:pStyle w:val="MDPI31text"/>
        <w:rPr>
          <w:rFonts w:ascii="Georgia" w:eastAsiaTheme="minorEastAsia" w:hAnsi="Georgia" w:cs="Arial"/>
        </w:rPr>
      </w:pPr>
      <w:r w:rsidRPr="00D80CED">
        <w:rPr>
          <w:rFonts w:ascii="Georgia" w:eastAsiaTheme="minorEastAsia" w:hAnsi="Georgia" w:cs="Arial"/>
        </w:rPr>
        <w:t xml:space="preserve">By 2050, </w:t>
      </w:r>
      <w:r>
        <w:rPr>
          <w:rFonts w:ascii="Georgia" w:eastAsiaTheme="minorEastAsia" w:hAnsi="Georgia" w:cs="Arial"/>
        </w:rPr>
        <w:t xml:space="preserve">it is expected that </w:t>
      </w:r>
      <w:r w:rsidRPr="00D80CED">
        <w:rPr>
          <w:rFonts w:ascii="Georgia" w:eastAsiaTheme="minorEastAsia" w:hAnsi="Georgia" w:cs="Arial"/>
        </w:rPr>
        <w:t xml:space="preserve">1 in 6 people in the world will be over the age of 65, </w:t>
      </w:r>
      <w:r>
        <w:rPr>
          <w:rFonts w:ascii="Georgia" w:eastAsiaTheme="minorEastAsia" w:hAnsi="Georgia" w:cs="Arial"/>
        </w:rPr>
        <w:t>compared to</w:t>
      </w:r>
      <w:r w:rsidRPr="00D80CED">
        <w:rPr>
          <w:rFonts w:ascii="Georgia" w:eastAsiaTheme="minorEastAsia" w:hAnsi="Georgia" w:cs="Arial"/>
        </w:rPr>
        <w:t xml:space="preserve"> 1 in 11 in 2019 </w:t>
      </w:r>
      <w:r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{"citationID":"oejisnw6","properties":{"formattedCitation":"(United Nations et al., 2020)","plainCitation":"(United Nations et al., 2020)","noteIndex":0},"citationItems":[{"id":251,"uris":["http://zotero.org/users/local/I6RCzm6o/items/YPUTXHG4"],"itemData":{"id":251,"type":"book","ISBN":"978-92-1-148325-3","language":"en","note":"OCLC: 1134853628","source":"Open WorldCat","title":"World population ageing, 2019 highlights.","author":[{"literal":"United Nations"},{"literal":"Department of Economic and Social Affairs"},{"literal":"Population Division"}],"issued":{"date-parts":[["2020"]]}}}],"schema":"https://github.com/citation-style-language/schema/raw/master/csl-citation.json"} </w:instrText>
      </w:r>
      <w:r w:rsidRPr="00D80CED">
        <w:rPr>
          <w:rFonts w:ascii="Georgia" w:eastAsiaTheme="minorEastAsia" w:hAnsi="Georgia" w:cs="Arial"/>
        </w:rPr>
        <w:fldChar w:fldCharType="separate"/>
      </w:r>
      <w:r w:rsidR="00444135">
        <w:rPr>
          <w:rFonts w:ascii="Georgia" w:eastAsiaTheme="minorEastAsia" w:hAnsi="Georgia" w:cs="Arial"/>
        </w:rPr>
        <w:t>(United Nations et al., 2020)</w:t>
      </w:r>
      <w:r w:rsidRPr="00D80CED">
        <w:rPr>
          <w:rFonts w:ascii="Georgia" w:eastAsiaTheme="minorEastAsia" w:hAnsi="Georgia" w:cs="Arial"/>
        </w:rPr>
        <w:fldChar w:fldCharType="end"/>
      </w:r>
      <w:r w:rsidRPr="00D80CED">
        <w:rPr>
          <w:rFonts w:ascii="Georgia" w:eastAsiaTheme="minorEastAsia" w:hAnsi="Georgia" w:cs="Arial"/>
        </w:rPr>
        <w:t xml:space="preserve">. In fact, in recent years, thanks to advances in medicine and the role of prevention that occupy more and more space in healthcare, life expectancy has </w:t>
      </w:r>
      <w:r>
        <w:rPr>
          <w:rFonts w:ascii="Georgia" w:eastAsiaTheme="minorEastAsia" w:hAnsi="Georgia" w:cs="Arial"/>
        </w:rPr>
        <w:t>risen</w:t>
      </w:r>
      <w:r w:rsidRPr="00D80CED">
        <w:rPr>
          <w:rFonts w:ascii="Georgia" w:eastAsiaTheme="minorEastAsia" w:hAnsi="Georgia" w:cs="Arial"/>
        </w:rPr>
        <w:t xml:space="preserve"> rapid</w:t>
      </w:r>
      <w:r>
        <w:rPr>
          <w:rFonts w:ascii="Georgia" w:eastAsiaTheme="minorEastAsia" w:hAnsi="Georgia" w:cs="Arial"/>
        </w:rPr>
        <w:t xml:space="preserve">ly </w:t>
      </w:r>
      <w:r w:rsidRPr="00D80CED">
        <w:rPr>
          <w:rFonts w:ascii="Georgia" w:eastAsiaTheme="minorEastAsia" w:hAnsi="Georgia" w:cs="Arial"/>
        </w:rPr>
        <w:t xml:space="preserve">from 77.6 to 81.3 years in Europe </w:t>
      </w:r>
      <w:r>
        <w:rPr>
          <w:rFonts w:ascii="Georgia" w:eastAsiaTheme="minorEastAsia" w:hAnsi="Georgia" w:cs="Arial"/>
        </w:rPr>
        <w:t>between</w:t>
      </w:r>
      <w:r w:rsidRPr="00D80CED">
        <w:rPr>
          <w:rFonts w:ascii="Georgia" w:eastAsiaTheme="minorEastAsia" w:hAnsi="Georgia" w:cs="Arial"/>
        </w:rPr>
        <w:t xml:space="preserve"> 2002</w:t>
      </w:r>
      <w:r>
        <w:rPr>
          <w:rFonts w:ascii="Georgia" w:eastAsiaTheme="minorEastAsia" w:hAnsi="Georgia" w:cs="Arial"/>
        </w:rPr>
        <w:t xml:space="preserve"> and</w:t>
      </w:r>
      <w:r w:rsidRPr="00D80CED">
        <w:rPr>
          <w:rFonts w:ascii="Georgia" w:eastAsiaTheme="minorEastAsia" w:hAnsi="Georgia" w:cs="Arial"/>
        </w:rPr>
        <w:t xml:space="preserve"> 2019</w:t>
      </w:r>
      <w:r w:rsidR="00C07C42">
        <w:rPr>
          <w:rFonts w:ascii="Georgia" w:eastAsiaTheme="minorEastAsia" w:hAnsi="Georgia" w:cs="Arial"/>
        </w:rPr>
        <w:t xml:space="preserve"> </w:t>
      </w:r>
      <w:r w:rsidR="00C07C42">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{"citationID":"Wh7qyVtX","properties":{"formattedCitation":"(eurostat, 2021)","plainCitation":"(eurostat, 2021)","noteIndex":0},"citationItems":[{"id":293,"uris":["http://zotero.org/users/local/I6RCzm6o/items/BA8FKJKF"],"itemData":{"id":293,"type":"article-newspaper","title":"Mortality and life expectancy statistics","URL":"https://ec.europa.eu/eurostat/statistics-explained/index.php?title=Mortality_and_life_expectancy_statistics","author":[{"literal":"eurostat"}],"issued":{"date-parts":[["2021"]]}}}],"schema":"https://github.com/citation-style-language/schema/raw/master/csl-citation.json"} </w:instrText>
      </w:r>
      <w:r w:rsidR="00C07C42">
        <w:rPr>
          <w:rFonts w:ascii="Georgia" w:eastAsiaTheme="minorEastAsia" w:hAnsi="Georgia" w:cs="Arial"/>
        </w:rPr>
        <w:fldChar w:fldCharType="separate"/>
      </w:r>
      <w:r w:rsidR="00444135">
        <w:rPr>
          <w:rFonts w:ascii="Georgia" w:eastAsiaTheme="minorEastAsia" w:hAnsi="Georgia" w:cs="Arial"/>
          <w:noProof/>
        </w:rPr>
        <w:t>(eurostat, 2021)</w:t>
      </w:r>
      <w:r w:rsidR="00C07C42">
        <w:rPr>
          <w:rFonts w:ascii="Georgia" w:eastAsiaTheme="minorEastAsia" w:hAnsi="Georgia" w:cs="Arial"/>
        </w:rPr>
        <w:fldChar w:fldCharType="end"/>
      </w:r>
      <w:r w:rsidR="00C07C42">
        <w:rPr>
          <w:rFonts w:ascii="Georgia" w:eastAsiaTheme="minorEastAsia" w:hAnsi="Georgia" w:cs="Arial"/>
        </w:rPr>
        <w:t>.</w:t>
      </w:r>
      <w:r w:rsidRPr="00D80CED">
        <w:rPr>
          <w:rFonts w:ascii="Georgia" w:eastAsiaTheme="minorEastAsia" w:hAnsi="Georgia" w:cs="Arial"/>
        </w:rPr>
        <w:t xml:space="preserve"> This has led to </w:t>
      </w:r>
      <w:r>
        <w:rPr>
          <w:rFonts w:ascii="Georgia" w:eastAsiaTheme="minorEastAsia" w:hAnsi="Georgia" w:cs="Arial"/>
        </w:rPr>
        <w:t>increased</w:t>
      </w:r>
      <w:r w:rsidRPr="00D80CED">
        <w:rPr>
          <w:rFonts w:ascii="Georgia" w:eastAsiaTheme="minorEastAsia" w:hAnsi="Georgia" w:cs="Arial"/>
        </w:rPr>
        <w:t xml:space="preserve"> </w:t>
      </w:r>
      <w:r>
        <w:rPr>
          <w:rFonts w:ascii="Georgia" w:eastAsiaTheme="minorEastAsia" w:hAnsi="Georgia" w:cs="Arial"/>
        </w:rPr>
        <w:t xml:space="preserve">occurrence of </w:t>
      </w:r>
      <w:r w:rsidRPr="00D80CED">
        <w:rPr>
          <w:rFonts w:ascii="Georgia" w:eastAsiaTheme="minorEastAsia" w:hAnsi="Georgia" w:cs="Arial"/>
        </w:rPr>
        <w:t>Non-Communicable Diseases (NCDs) and years lived with disability</w:t>
      </w:r>
      <w:r w:rsidR="00C07C42">
        <w:rPr>
          <w:rFonts w:ascii="Georgia" w:eastAsiaTheme="minorEastAsia" w:hAnsi="Georgia" w:cs="Arial"/>
        </w:rPr>
        <w:t xml:space="preserve"> </w:t>
      </w:r>
      <w:r w:rsidR="00C07C42">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{"citationID":"ZGgZwHA2","properties":{"formattedCitation":"(World Health Organization, 2017)","plainCitation":"(World Health Organization, 2017)","noteIndex":0},"citationItems":[{"id":530,"uris":["http://zotero.org/users/local/I6RCzm6o/items/6LK9S8UF"],"itemData":{"id":530,"type":"document","title":"Noncommunicable Diseases","URL":"https://www.euro.who.int/__data/assets/pdf_file/0007/350278/Fact-sheet-SDG-NCD-FINAL-25-10-17.pdf","author":[{"literal":"World Health Organization"}],"issued":{"date-parts":[["2017"]]}}}],"schema":"https://github.com/citation-style-language/schema/raw/master/csl-citation.json"} </w:instrText>
      </w:r>
      <w:r w:rsidR="00C07C42">
        <w:rPr>
          <w:rFonts w:ascii="Georgia" w:eastAsiaTheme="minorEastAsia" w:hAnsi="Georgia" w:cs="Arial"/>
        </w:rPr>
        <w:fldChar w:fldCharType="separate"/>
      </w:r>
      <w:r w:rsidR="00444135">
        <w:rPr>
          <w:rFonts w:ascii="Georgia" w:eastAsiaTheme="minorEastAsia" w:hAnsi="Georgia" w:cs="Arial"/>
          <w:noProof/>
        </w:rPr>
        <w:t>(World Health Organization, 2017)</w:t>
      </w:r>
      <w:r w:rsidR="00C07C42">
        <w:rPr>
          <w:rFonts w:ascii="Georgia" w:eastAsiaTheme="minorEastAsia" w:hAnsi="Georgia" w:cs="Arial"/>
        </w:rPr>
        <w:fldChar w:fldCharType="end"/>
      </w:r>
    </w:p>
    <w:p w14:paraId="1D9D6FBF" w14:textId="4FB90A0F" w:rsidR="00D80CED" w:rsidRDefault="00C440F2" w:rsidP="006433D7">
      <w:pPr>
        <w:pStyle w:val="MDPI31text"/>
        <w:rPr>
          <w:rFonts w:ascii="Georgia" w:eastAsiaTheme="minorEastAsia" w:hAnsi="Georgia" w:cs="Arial"/>
        </w:rPr>
      </w:pPr>
      <w:r w:rsidRPr="00D80CED">
        <w:rPr>
          <w:rFonts w:ascii="Georgia" w:eastAsiaTheme="minorEastAsia" w:hAnsi="Georgia" w:cs="Arial"/>
        </w:rPr>
        <w:t xml:space="preserve">One of the most </w:t>
      </w:r>
      <w:r>
        <w:rPr>
          <w:rFonts w:ascii="Georgia" w:eastAsiaTheme="minorEastAsia" w:hAnsi="Georgia" w:cs="Arial"/>
        </w:rPr>
        <w:t>prevalent</w:t>
      </w:r>
      <w:r w:rsidRPr="00D80CED">
        <w:rPr>
          <w:rFonts w:ascii="Georgia" w:eastAsiaTheme="minorEastAsia" w:hAnsi="Georgia" w:cs="Arial"/>
        </w:rPr>
        <w:t xml:space="preserve"> NCDs is </w:t>
      </w:r>
      <w:r>
        <w:rPr>
          <w:rFonts w:ascii="Georgia" w:eastAsiaTheme="minorEastAsia" w:hAnsi="Georgia" w:cs="Arial"/>
        </w:rPr>
        <w:t>D</w:t>
      </w:r>
      <w:r w:rsidRPr="00D80CED">
        <w:rPr>
          <w:rFonts w:ascii="Georgia" w:eastAsiaTheme="minorEastAsia" w:hAnsi="Georgia" w:cs="Arial"/>
        </w:rPr>
        <w:t xml:space="preserve">ementia, with about 7 million people affected in Europe and </w:t>
      </w:r>
      <w:r>
        <w:rPr>
          <w:rFonts w:ascii="Georgia" w:eastAsiaTheme="minorEastAsia" w:hAnsi="Georgia" w:cs="Arial"/>
        </w:rPr>
        <w:t>a forecast of 14 million for</w:t>
      </w:r>
      <w:r w:rsidRPr="00D80CED">
        <w:rPr>
          <w:rFonts w:ascii="Georgia" w:eastAsiaTheme="minorEastAsia" w:hAnsi="Georgia" w:cs="Arial"/>
        </w:rPr>
        <w:t xml:space="preserve"> 2050 </w:t>
      </w:r>
      <w:r w:rsidR="004A1B50">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{"citationID":"DLGn8CRg","properties":{"formattedCitation":"(Nichols et al., 2022)","plainCitation":"(Nichols et al., 2022)","noteIndex":0},"citationItems":[{"id":531,"uris":["http://zotero.org/users/local/I6RCzm6o/items/4K8CA9WW"],"itemData":{"id":531,"type":"article-journal","container-title":"The Lancet Public Health","DOI":"10.1016/S2468-2667(21)00249-8","ISSN":"24682667","issue":"2","journalAbbreviation":"The Lancet Public Health","language":"en","page":"e105-e125","source":"DOI.org (Crossref)","title":"Estimation of the global prevalence of dementia in 2019 and forecasted prevalence in 2050: an analysis for the Global Burden of Disease Study 2019","title-short":"Estimation of the global prevalence of dementia in 2019 and forecasted prevalence in 2050","volume":"7","author":[{"family":"Nichols","given":"Emma"},{"family":"Steinmetz","given":"Jaimie D"},{"family":"Vollset","given":"Stein Emil"},{"family":"Fukutaki","given":"Kai"},{"family":"Chalek","given":"Julian"},{"family":"Abd-Allah","given":"Foad"},{"family":"Abdoli","given":"Amir"},{"family":"Abualhasan","given":"Ahmed"},{"family":"Abu-Gharbieh","given":"Eman"},{"family":"Akram","given":"Tayyaba Tayyaba"},{"family":"Al Hamad","given":"Hanadi"},{"family":"Alahdab","given":"Fares"},{"family":"Alanezi","given":"Fahad Mashhour"},{"family":"Alipour","given":"Vahid"},{"family":"Almustanyir","given":"Sami"},{"family":"Amu","given":"Hubert"},{"family":"Ansari","given":"Iman"},{"family":"Arabloo","given":"Jalal"},{"family":"Ashraf","given":"Tahira"},{"family":"Astell-Burt","given":"Thomas"},{"family":"Ayano","given":"Getinet"},{"family":"Ayuso-Mateos","given":"Jose L"},{"family":"Baig","given":"Atif Amin"},{"family":"Barnett","given":"Anthony"},{"family":"Barrow","given":"Amadou"},{"family":"Baune","given":"Bernhard T"},{"family":"Béjot","given":"Yannick"},{"family":"Bezabhe","given":"Woldesellassie M Mequanint"},{"family":"Bezabih","given":"Yihienew Mequanint"},{"family":"Bhagavathula","given":"Akshaya Srikanth"},{"family":"Bhaskar","given":"Sonu"},{"family":"Bhattacharyya","given":"Krittika"},{"family":"Bijani","given":"Ali"},{"family":"Biswas","given":"Atanu"},{"family":"Bolla","given":"Srinivasa Rao"},{"family":"Boloor","given":"Archith"},{"family":"Brayne","given":"Carol"},{"family":"Brenner","given":"Hermann"},{"family":"Burkart","given":"Katrin"},{"family":"Burns","given":"Richard A"},{"family":"Cámera","given":"Luis Alberto"},{"family":"Cao","given":"Chao"},{"family":"Carvalho","given":"Felix"},{"family":"Castro-de-Araujo","given":"Luis F S"},{"family":"Catalá-López","given":"Ferrán"},{"family":"Cerin","given":"Ester"},{"family":"Chavan","given":"Prachi P"},{"family":"Cherbuin","given":"Nicolas"},{"family":"Chu","given":"Dinh-Toi"},{"family":"Costa","given":"Vera Marisa"},{"family":"Couto","given":"Rosa A S"},{"family":"Dadras","given":"Omid"},{"family":"Dai","given":"Xiaochen"},{"family":"Dandona","given":"Lalit"},{"family":"Dandona","given":"Rakhi"},{"family":"De la Cruz-Góngora","given":"Vanessa"},{"family":"Dhamnetiya","given":"Deepak"},{"family":"Dias da Silva","given":"Diana"},{"family":"Diaz","given":"Daniel"},{"family":"Douiri","given":"Abdel"},{"family":"Edvardsson","given":"David"},{"family":"Ekholuenetale","given":"Michael"},{"family":"El Sayed","given":"Iman"},{"family":"El-Jaafary","given":"Shaimaa I"},{"family":"Eskandari","given":"Khalil"},{"family":"Eskandarieh","given":"Sharareh"},{"family":"Esmaeilnejad","given":"Saman"},{"family":"Fares","given":"Jawad"},{"family":"Faro","given":"Andre"},{"family":"Farooque","given":"Umar"},{"family":"Feigin","given":"Valery L"},{"family":"Feng","given":"Xiaoqi"},{"family":"Fereshtehnejad","given":"Seyed-Mohammad"},{"family":"Fernandes","given":"Eduarda"},{"family":"Ferrara","given":"Pietro"},{"family":"Filip","given":"Irina"},{"family":"Fillit","given":"Howard"},{"family":"Fischer","given":"Florian"},{"family":"Gaidhane","given":"Shilpa"},{"family":"Galluzzo","given":"Lucia"},{"family":"Ghashghaee","given":"Ahmad"},{"family":"Ghith","given":"Nermin"},{"family":"Gialluisi","given":"Alessandro"},{"family":"Gilani","given":"Syed Amir"},{"family":"Glavan","given":"Ionela-Roxana"},{"family":"Gnedovskaya","given":"Elena V"},{"family":"Golechha","given":"Mahaveer"},{"family":"Gupta","given":"Rajeev"},{"family":"Gupta","given":"Veer Bala"},{"family":"Gupta","given":"Vivek Kumar"},{"family":"Haider","given":"Mohammad Rifat"},{"family":"Hall","given":"Brian J"},{"family":"Hamidi","given":"Samer"},{"family":"Hanif","given":"Asif"},{"family":"Hankey","given":"Graeme J"},{"family":"Haque","given":"Shafiul"},{"family":"Hartono","given":"Risky Kusuma"},{"family":"Hasaballah","given":"Ahmed I"},{"family":"Hasan","given":"M Tasdik"},{"family":"Hassan","given":"Amr"},{"family":"Hay","given":"Simon I"},{"family":"Hayat","given":"Khezar"},{"family":"Hegazy","given":"Mohamed I"},{"family":"Heidari","given":"Golnaz"},{"family":"Heidari-Soureshjani","given":"Reza"},{"family":"Herteliu","given":"Claudiu"},{"family":"Househ","given":"Mowafa"},{"family":"Hussain","given":"Rabia"},{"family":"Hwang","given":"Bing-Fang"},{"family":"Iacoviello","given":"Licia"},{"family":"Iavicoli","given":"Ivo"},{"family":"Ilesanmi","given":"Olayinka Stephen"},{"family":"Ilic","given":"Irena M"},{"family":"Ilic","given":"Milena D"},{"family":"Irvani","given":"Seyed Sina Naghibi"},{"family":"Iso","given":"Hiroyasu"},{"family":"Iwagami","given":"Masao"},{"family":"Jabbarinejad","given":"Roxana"},{"family":"Jacob","given":"Louis"},{"family":"Jain","given":"Vardhmaan"},{"family":"Jayapal","given":"Sathish Kumar"},{"family":"Jayawardena","given":"Ranil"},{"family":"Jha","given":"Ravi Prakash"},{"family":"Jonas","given":"Jost B"},{"family":"Joseph","given":"Nitin"},{"family":"Kalani","given":"Rizwan"},{"family":"Kandel","given":"Amit"},{"family":"Kandel","given":"Himal"},{"family":"Karch","given":"André"},{"family":"Kasa","given":"Ayele Semachew"},{"family":"Kassie","given":"Gizat M"},{"family":"Keshavarz","given":"Pedram"},{"family":"Khan","given":"Moien AB"},{"family":"Khatib","given":"Mahalaqua Nazli"},{"family":"Khoja","given":"Tawfik Ahmed Muthafer"},{"family":"Khubchandani","given":"Jagdish"},{"family":"Kim","given":"Min Seo"},{"family":"Kim","given":"Yun Jin"},{"family":"Kisa","given":"Adnan"},{"family":"Kisa","given":"Sezer"},{"family":"Kivimäki","given":"Mika"},{"family":"Koroshetz","given":"Walter J"},{"family":"Koyanagi","given":"Ai"},{"family":"Kumar","given":"G Anil"},{"family":"Kumar","given":"Manasi"},{"family":"Lak","given":"Hassan Mehmood"},{"family":"Leonardi","given":"Matilde"},{"family":"Li","given":"Bingyu"},{"family":"Lim","given":"Stephen S"},{"family":"Liu","given":"Xuefeng"},{"family":"Liu","given":"Yuewei"},{"family":"Logroscino","given":"Giancarlo"},{"family":"Lorkowski","given":"Stefan"},{"family":"Lucchetti","given":"Giancarlo"},{"family":"Lutzky Saute","given":"Ricardo"},{"family":"Magnani","given":"Francesca Giulia"},{"family":"Malik","given":"Ahmad Azam"},{"family":"Massano","given":"João"},{"family":"Mehndiratta","given":"Man Mohan"},{"family":"Menezes","given":"Ritesh G"},{"family":"Meretoja","given":"Atte"},{"family":"Mohajer","given":"Bahram"},{"family":"Mohamed Ibrahim","given":"Norlinah"},{"family":"Mohammad","given":"Yousef"},{"family":"Mohammed","given":"Arif"},{"family":"Mokdad","given":"Ali H"},{"family":"Mondello","given":"Stefania"},{"family":"Moni","given":"Mohammad Ali Ali"},{"family":"Moniruzzaman","given":"Md"},{"family":"Mossie","given":"Tilahun Belete"},{"family":"Nagel","given":"Gabriele"},{"family":"Naveed","given":"Muhammad"},{"family":"Nayak","given":"Vinod C"},{"family":"Neupane Kandel","given":"Sandhya"},{"family":"Nguyen","given":"Trang Huyen"},{"family":"Oancea","given":"Bogdan"},{"family":"Otstavnov","given":"Nikita"},{"family":"Otstavnov","given":"Stanislav S"},{"family":"Owolabi","given":"Mayowa O"},{"family":"Panda-Jonas","given":"Songhomitra"},{"family":"Pashazadeh Kan","given":"Fatemeh"},{"family":"Pasovic","given":"Maja"},{"family":"Patel","given":"Urvish K"},{"family":"Pathak","given":"Mona"},{"family":"Peres","given":"Mario F P"},{"family":"Perianayagam","given":"Arokiasamy"},{"family":"Peterson","given":"Carrie B"},{"family":"Phillips","given":"Michael R"},{"family":"Pinheiro","given":"Marina"},{"family":"Piradov","given":"Michael A"},{"family":"Pond","given":"Constance Dimity"},{"family":"Potashman","given":"Michele H"},{"family":"Pottoo","given":"Faheem Hyder"},{"family":"Prada","given":"Sergio I"},{"family":"Radfar","given":"Amir"},{"family":"Raggi","given":"Alberto"},{"family":"Rahim","given":"Fakher"},{"family":"Rahman","given":"Mosiur"},{"family":"Ram","given":"Pradhum"},{"family":"Ranasinghe","given":"Priyanga"},{"family":"Rawaf","given":"David Laith"},{"family":"Rawaf","given":"Salman"},{"family":"Rezaei","given":"Nima"},{"family":"Rezapour","given":"Aziz"},{"family":"Robinson","given":"Stephen R"},{"family":"Romoli","given":"Michele"},{"family":"Roshandel","given":"Gholamreza"},{"family":"Sahathevan","given":"Ramesh"},{"family":"Sahebkar","given":"Amirhossein"},{"family":"Sahraian","given":"Mohammad Ali"},{"family":"Sathian","given":"Brijesh"},{"family":"Sattin","given":"Davide"},{"family":"Sawhney","given":"Monika"},{"family":"Saylan","given":"Mete"},{"family":"Schiavolin","given":"Silvia"},{"family":"Seylani","given":"Allen"},{"family":"Sha","given":"Feng"},{"family":"Shaikh","given":"Masood Ali"},{"family":"Shaji","given":"Ks"},{"family":"Shannawaz","given":"Mohammed"},{"family":"Shetty","given":"Jeevan K"},{"family":"Shigematsu","given":"Mika"},{"family":"Shin","given":"Jae Il"},{"family":"Shiri","given":"Rahman"},{"family":"Silva","given":"Diego Augusto Santos"},{"family":"Silva","given":"João Pedro"},{"family":"Silva","given":"Renata"},{"family":"Singh","given":"Jasvinder A"},{"family":"Skryabin","given":"Valentin Yurievich"},{"family":"Skryabina","given":"Anna Aleksandrovna"},{"family":"Smith","given":"Amanda E"},{"family":"Soshnikov","given":"Sergey"},{"family":"Spurlock","given":"Emma Elizabeth"},{"family":"Stein","given":"Dan J"},{"family":"Sun","given":"Jing"},{"family":"Tabarés-Seisdedos","given":"Rafael"},{"family":"Thakur","given":"Bhaskar"},{"family":"Timalsina","given":"Binod"},{"family":"Tovani-Palone","given":"Marcos Roberto"},{"family":"Tran","given":"Bach Xuan"},{"family":"Tsegaye","given":"Gebiyaw Wudie"},{"family":"Valadan Tahbaz","given":"Sahel"},{"family":"Valdez","given":"Pascual R"},{"family":"Venketasubramanian","given":"Narayanaswamy"},{"family":"Vlassov","given":"Vasily"},{"family":"Vu","given":"Giang Thu"},{"family":"Vu","given":"Linh Gia"},{"family":"Wang","given":"Yuan-Pang"},{"family":"Wimo","given":"Anders"},{"family":"Winkler","given":"Andrea Sylvia"},{"family":"Yadav","given":"Lalit"},{"family":"Yahyazadeh Jabbari","given":"Seyed Hossein"},{"family":"Yamagishi","given":"Kazumasa"},{"family":"Yang","given":"Lin"},{"family":"Yano","given":"Yuichiro"},{"family":"Yonemoto","given":"Naohiro"},{"family":"Yu","given":"Chuanhua"},{"family":"Yunusa","given":"Ismaeel"},{"family":"Zadey","given":"Siddhesh"},{"family":"Zastrozhin","given":"Mikhail Sergeevich"},{"family":"Zastrozhina","given":"Anasthasia"},{"family":"Zhang","given":"Zhi-Jiang"},{"family":"Murray","given":"Christopher J L"},{"family":"Vos","given":"Theo"}],"issued":{"date-parts":[["2022",2]]}}}],"schema":"https://github.com/citation-style-language/schema/raw/master/csl-citation.json"} </w:instrText>
      </w:r>
      <w:r w:rsidR="004A1B50">
        <w:rPr>
          <w:rFonts w:ascii="Georgia" w:eastAsiaTheme="minorEastAsia" w:hAnsi="Georgia" w:cs="Arial"/>
        </w:rPr>
        <w:fldChar w:fldCharType="separate"/>
      </w:r>
      <w:r w:rsidR="00444135">
        <w:rPr>
          <w:rFonts w:ascii="Georgia" w:eastAsiaTheme="minorEastAsia" w:hAnsi="Georgia" w:cs="Arial"/>
          <w:noProof/>
        </w:rPr>
        <w:t>(Nichols et al., 2022)</w:t>
      </w:r>
      <w:r w:rsidR="004A1B50">
        <w:rPr>
          <w:rFonts w:ascii="Georgia" w:eastAsiaTheme="minorEastAsia" w:hAnsi="Georgia" w:cs="Arial"/>
        </w:rPr>
        <w:fldChar w:fldCharType="end"/>
      </w:r>
      <w:r w:rsidR="004A1B50">
        <w:rPr>
          <w:rFonts w:ascii="Georgia" w:eastAsiaTheme="minorEastAsia" w:hAnsi="Georgia" w:cs="Arial"/>
        </w:rPr>
        <w:t>.</w:t>
      </w:r>
    </w:p>
    <w:p w14:paraId="4B7A0179" w14:textId="572D8544" w:rsidR="00C440F2" w:rsidRDefault="00B26537" w:rsidP="006433D7">
      <w:pPr>
        <w:pStyle w:val="MDPI31text"/>
        <w:rPr>
          <w:rFonts w:ascii="Georgia" w:eastAsiaTheme="minorEastAsia" w:hAnsi="Georgia" w:cs="Arial"/>
        </w:rPr>
      </w:pPr>
      <w:r>
        <w:rPr>
          <w:rFonts w:ascii="Georgia" w:eastAsiaTheme="minorEastAsia" w:hAnsi="Georgia" w:cs="Arial"/>
        </w:rPr>
        <w:t>Recent statistics shows that a</w:t>
      </w:r>
      <w:r w:rsidR="00D80CED" w:rsidRPr="00D80CED">
        <w:rPr>
          <w:rFonts w:ascii="Georgia" w:eastAsiaTheme="minorEastAsia" w:hAnsi="Georgia" w:cs="Arial"/>
        </w:rPr>
        <w:t xml:space="preserve">n average of 60-80% of people with dementia </w:t>
      </w:r>
      <w:r w:rsidR="00C440F2">
        <w:rPr>
          <w:rFonts w:ascii="Georgia" w:eastAsiaTheme="minorEastAsia" w:hAnsi="Georgia" w:cs="Arial"/>
        </w:rPr>
        <w:t>have</w:t>
      </w:r>
      <w:r w:rsidR="00C440F2" w:rsidRPr="00D80CED">
        <w:rPr>
          <w:rFonts w:ascii="Georgia" w:eastAsiaTheme="minorEastAsia" w:hAnsi="Georgia" w:cs="Arial"/>
        </w:rPr>
        <w:t xml:space="preserve"> </w:t>
      </w:r>
      <w:r w:rsidR="00D80CED" w:rsidRPr="00D80CED">
        <w:rPr>
          <w:rFonts w:ascii="Georgia" w:eastAsiaTheme="minorEastAsia" w:hAnsi="Georgia" w:cs="Arial"/>
        </w:rPr>
        <w:t>Alzheimer’s disease</w:t>
      </w:r>
      <w:r w:rsidR="00F1231C">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{"citationID":"4pL5hqpW","properties":{"formattedCitation":"(Alzheimer\\uc0\\u8217{}s association, 2020)","plainCitation":"(Alzheimer’s association, 2020)","noteIndex":0},"citationItems":[{"id":470,"uris":["http://zotero.org/users/local/I6RCzm6o/items/SW8LC2P6"],"itemData":{"id":470,"type":"article-journal","abstract":"This article describes the public health impact of Alzheimer’s disease (AD), including incidence and prevalence, mortality and morbidity, use and costs of care, and the overall impact on caregivers and society. The Special Report discusses the future challenges of meeting care demands for the growing number of people living with Alzheimer’s dementia in the United States with a particular emphasis on primary care. By mid-century, the number of Americans age 65 and older with Alzheimer’s dementia may grow to 13.8 million. This represents a steep increase from the estimated 5.8 million Americans age 65 and older who have Alzheimer’s dementia today. Official death certificates recorded 122,019 deaths from AD in 2018, the latest year for which data are available, making Alzheimer’s the sixth leading cause of death in the United States and the fifth leading cause of death among Americans age 65 and older. Between 2000 and 2018, deaths resulting from stroke, HIV and heart disease decreased, whereas reported deaths from Alzheimer’s increased 146.2%. In 2019, more than 16 million family members and other unpaid caregivers provided an estimated 18.6 billion hours of care to people with Alzheimer’s or other dementias. This care is valued at nearly $244 billion, but its costs extend to family caregivers’ increased risk for emotional distress and negative mental and physical health outcomes. Average per-person Medicare payments for services to beneficiaries age 65 and older with AD or other dementias are more than three times as great as payments for beneficiaries without these conditions, and Medicaid payments are more than 23 times as great. Total payments in 2020 for health care, long-term care and hospice services for people age 65 and older with dementia are estimated to be $305 billion. As the population of Americans living with Alzheimer’s dementia increases, the burden of caring for that population also increases. These challenges are exacerbated by a shortage of dementia care specialists, which places an increasing burden on primary care physicians (PCPs) to provide care for people living with dementia. Many PCPs feel underprepared and inadequately trained to handle dementia care responsibilities effectively. This report includes recommendations for maximizing quality care in the face of the shortage of specialists and training challenges in primary care.","container-title":"Alzheimer's &amp; Dementia","DOI":"10.1002/alz.12068","ISSN":"1552-5260, 1552-5279","issue":"3","journalAbbreviation":"Alzheimer's &amp;amp; Dementia","language":"en","page":"391-460","source":"DOI.org (Crossref)","title":"2020 Alzheimer's disease facts and figures","volume":"16","author":[{"literal":"Alzheimer's association"}],"issued":{"date-parts":[["2020",3]]}}}],"schema":"https://github.com/citation-style-language/schema/raw/master/csl-citation.json"} </w:instrText>
      </w:r>
      <w:r w:rsidR="00F1231C">
        <w:rPr>
          <w:rFonts w:ascii="Georgia" w:eastAsiaTheme="minorEastAsia" w:hAnsi="Georgia" w:cs="Arial"/>
        </w:rPr>
        <w:fldChar w:fldCharType="separate"/>
      </w:r>
      <w:r w:rsidR="00444135" w:rsidRPr="00444135">
        <w:rPr>
          <w:rFonts w:ascii="Georgia" w:hAnsi="Georgia"/>
        </w:rPr>
        <w:t>(Alzheimer’s association, 2020)</w:t>
      </w:r>
      <w:r w:rsidR="00F1231C">
        <w:rPr>
          <w:rFonts w:ascii="Georgia" w:eastAsiaTheme="minorEastAsia" w:hAnsi="Georgia" w:cs="Arial"/>
        </w:rPr>
        <w:fldChar w:fldCharType="end"/>
      </w:r>
      <w:r w:rsidR="00D80CED" w:rsidRPr="00D80CED">
        <w:rPr>
          <w:rFonts w:ascii="Georgia" w:eastAsiaTheme="minorEastAsia" w:hAnsi="Georgia" w:cs="Arial"/>
        </w:rPr>
        <w:t>.</w:t>
      </w:r>
      <w:r w:rsidR="00C440F2">
        <w:rPr>
          <w:rFonts w:ascii="Georgia" w:eastAsiaTheme="minorEastAsia" w:hAnsi="Georgia" w:cs="Arial"/>
        </w:rPr>
        <w:t xml:space="preserve"> </w:t>
      </w:r>
      <w:r w:rsidR="00D80CED" w:rsidRPr="00D80CED">
        <w:rPr>
          <w:rFonts w:ascii="Georgia" w:eastAsiaTheme="minorEastAsia" w:hAnsi="Georgia" w:cs="Arial"/>
        </w:rPr>
        <w:t xml:space="preserve">Alzheimer's disease is the most common </w:t>
      </w:r>
      <w:r w:rsidR="00D80CED" w:rsidRPr="00D80CED">
        <w:rPr>
          <w:rFonts w:ascii="Georgia" w:eastAsiaTheme="minorEastAsia" w:hAnsi="Georgia" w:cs="Arial"/>
        </w:rPr>
        <w:lastRenderedPageBreak/>
        <w:t>cause of dementia. Discovered for the first time in 1906 by Alois Alzheimer's, it predominantly affects people in their elderly years (over 65 years old) and the World Health Organization (WHO) estimates that about 60% affected by a state of dementia are affected by this disease. Alzheimer's affects all the parameters used by the WHO to define health status as "</w:t>
      </w:r>
      <w:r w:rsidR="00D80CED" w:rsidRPr="00D80CED">
        <w:rPr>
          <w:rFonts w:ascii="Georgia" w:eastAsiaTheme="minorEastAsia" w:hAnsi="Georgia" w:cs="Arial"/>
          <w:i/>
          <w:iCs/>
        </w:rPr>
        <w:t>a state of complete physical, mental and social wellbeing and not the physical, mental and social well-being and not merely the absence of the state of disease or infirmity"</w:t>
      </w:r>
      <w:r w:rsidR="00D80CED" w:rsidRPr="00D80CED">
        <w:rPr>
          <w:rFonts w:ascii="Georgia" w:eastAsiaTheme="minorEastAsia" w:hAnsi="Georgia" w:cs="Arial"/>
        </w:rPr>
        <w:t xml:space="preserve"> </w:t>
      </w:r>
      <w:r w:rsidR="00D80CED"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{"citationID":"eEe9oAyX","properties":{"formattedCitation":"(World Health Organization, 1946)","plainCitation":"(World Health Organization, 1946)","noteIndex":0},"citationItems":[{"id":177,"uris":["http://zotero.org/users/local/I6RCzm6o/items/Z5V456QF"],"itemData":{"id":177,"type":"document","title":"Preamble to the constitution of the world health organization","author":[{"literal":"World Health Organization"}],"issued":{"date-parts":[["1946"]]}}}],"schema":"https://github.com/citation-style-language/schema/raw/master/csl-citation.json"} </w:instrText>
      </w:r>
      <w:r w:rsidR="00D80CED" w:rsidRPr="00D80CED">
        <w:rPr>
          <w:rFonts w:ascii="Georgia" w:eastAsiaTheme="minorEastAsia" w:hAnsi="Georgia" w:cs="Arial"/>
        </w:rPr>
        <w:fldChar w:fldCharType="separate"/>
      </w:r>
      <w:r w:rsidR="00444135">
        <w:rPr>
          <w:rFonts w:ascii="Georgia" w:eastAsiaTheme="minorEastAsia" w:hAnsi="Georgia" w:cs="Arial"/>
        </w:rPr>
        <w:t>(World Health Organization, 1946)</w:t>
      </w:r>
      <w:r w:rsidR="00D80CED" w:rsidRPr="00D80CED">
        <w:rPr>
          <w:rFonts w:ascii="Georgia" w:eastAsiaTheme="minorEastAsia" w:hAnsi="Georgia" w:cs="Arial"/>
        </w:rPr>
        <w:fldChar w:fldCharType="end"/>
      </w:r>
      <w:r w:rsidR="00D80CED" w:rsidRPr="00D80CED">
        <w:rPr>
          <w:rFonts w:ascii="Georgia" w:eastAsiaTheme="minorEastAsia" w:hAnsi="Georgia" w:cs="Arial"/>
        </w:rPr>
        <w:t>.</w:t>
      </w:r>
    </w:p>
    <w:p w14:paraId="678118CA" w14:textId="129DFE42" w:rsidR="00685938" w:rsidRPr="00C440F2" w:rsidRDefault="00685938" w:rsidP="006433D7">
      <w:pPr>
        <w:pStyle w:val="MDPI31text"/>
        <w:rPr>
          <w:rFonts w:ascii="Georgia" w:eastAsiaTheme="minorEastAsia" w:hAnsi="Georgia" w:cs="Arial"/>
        </w:rPr>
      </w:pPr>
      <w:r w:rsidRPr="00685938">
        <w:rPr>
          <w:rFonts w:ascii="Georgia" w:eastAsiaTheme="minorEastAsia" w:hAnsi="Georgia" w:cs="Arial"/>
        </w:rPr>
        <w:t xml:space="preserve">Many studies have been conducted to establish what are the criteria that an environment must meet in order to be dementia friendly. </w:t>
      </w:r>
      <w:r w:rsidR="0044586A">
        <w:rPr>
          <w:rFonts w:ascii="Georgia" w:eastAsiaTheme="minorEastAsia" w:hAnsi="Georgia" w:cs="Arial"/>
        </w:rPr>
        <w:t>T</w:t>
      </w:r>
      <w:r w:rsidRPr="00685938">
        <w:rPr>
          <w:rFonts w:ascii="Georgia" w:eastAsiaTheme="minorEastAsia" w:hAnsi="Georgia" w:cs="Arial"/>
        </w:rPr>
        <w:t>his is because many evidences have emerged of how an appropriate design of the built environment can influence the well-being, quality of life, independence and well-being of people with dementia</w:t>
      </w:r>
      <w:r w:rsidR="00DD0750">
        <w:rPr>
          <w:rFonts w:ascii="Georgia" w:eastAsiaTheme="minorEastAsia" w:hAnsi="Georgia" w:cs="Arial"/>
        </w:rPr>
        <w:t xml:space="preserve"> </w:t>
      </w:r>
      <w:r w:rsidR="00DD0750">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{"citationID":"8SbXCnma","properties":{"formattedCitation":"(Fleming et al., 2008; Fleming &amp; Purandare, 2010; Grey et al., 2019; Marquardt et al., 2014)","plainCitation":"(Fleming et al., 2008; Fleming &amp; Purandare, 2010; Grey et al., 2019; Marquardt et al., 2014)","noteIndex":0},"citationItems":[{"id":259,"uris":["http://zotero.org/users/local/I6RCzm6o/items/WUTIPLFR"],"itemData":{"id":259,"type":"article-journal","language":"en","page":"66","source":"Zotero","title":"A review of the empirical literature on the design of physical environments for people with dementia","author":[{"family":"Fleming","given":"Richard"},{"family":"Crookes","given":"Patrick A"},{"family":"Sum","given":"Shima"}],"issued":{"date-parts":[["2008"]]}}},{"id":534,"uris":["http://zotero.org/users/local/I6RCzm6o/items/NBYVA9L4"],"itemData":{"id":534,"type":"article-journal","abstract":"ABSTRACT\n            \n              Background:\n              A large and growing number of people with dementia are being cared for in long-term care. The empirical literature on the design of environments for people with dementia contains findings that can be helpful in the design of these environments. A schema developed by Marshall in 2001 provides a means of reviewing the literature against a set of recommendations. The aims of this paper are to assess the strength of the evidence for these recommendations and to identify those recommendations that could be used as the basis for guidelines to assist in the design of long term care facilities for people with dementia.\n            \n            \n              Methods:\n              The literature was searched for articles published after 1980, evaluating an intervention utilizing the physical environment, focused on the care of people with dementia and incorporating a control group, pre-test-post-test, cross sectional or survey design. A total of 156 articles were identified as relevant and subjected to an evaluation of their methodological strength. Of these, 57 articles were identified as being sufficiently strong to be reviewed.\n            \n            \n              Results:\n              Designers may confidently use unobtrusive safety measures; vary ambience, size and shape of spaces; provide single rooms; maximize visual access; and control levels of stimulation. There is less agreement on the usefulness of signage, homelikeness, provision for engagement in ordinary activities, small size and the provision of outside space.\n            \n            \n              Conclusions:\n              There is sufficient evidence available to come to a consensus on guiding principles for the design of long term environments for people with dementia.","container-title":"International Psychogeriatrics","DOI":"10.1017/S1041610210000438","ISSN":"1041-6102, 1741-203X","issue":"7","journalAbbreviation":"Int. Psychogeriatr.","language":"en","page":"1084-1096","source":"DOI.org (Crossref)","title":"Long-term care for people with dementia: environmental design guidelines","title-short":"Long-term care for people with dementia","volume":"22","author":[{"family":"Fleming","given":"Richard"},{"family":"Purandare","given":"Nitin"}],"issued":{"date-parts":[["2010",11]]}}},{"id":44,"uris":["http://zotero.org/users/local/I6RCzm6o/items/SSFHKZ3S"],"itemData":{"id":44,"type":"article-journal","container-title":"Cochrane Database of Systematic Reviews","DOI":"10.1002/14651858.CD013482","ISSN":"14651858","language":"en","source":"DOI.org (Crossref)","title":"Hospital design for older people with cognitive impairment including dementia and delirium: supporting inpatients and accompanying persons","title-short":"Hospital design for older people with cognitive impairment including dementia and delirium","URL":"http://doi.wiley.com/10.1002/14651858.CD013482","author":[{"family":"Grey","given":"Thomas"},{"family":"Fleming","given":"Richard"},{"family":"Goodenough","given":"Belinda J"},{"family":"Xidous","given":"Dimitra"},{"family":"Möhler","given":"Ralph"},{"family":"O'Neill","given":"Desmond"}],"editor":[{"literal":"Cochrane Dementia and Cognitive Improvement Group"}],"accessed":{"date-parts":[["2021",3,19]]},"issued":{"date-parts":[["2019",11,20]]}}},{"id":205,"uris":["http://zotero.org/users/local/I6RCzm6o/items/RQB7BS9R"],"itemData":{"id":205,"type":"article-journal","abstract":"OBJECTIVE:\n              In this review the impact of the design of the built environment on people with dementia in long-term care settings is systematically analyzed and summarized. Architects and designers will be provided with credible evidence on which they can confidently base their design decisions. Researchers will be able to determine which environmental aspects have been well investigated and where there are gaps in the current state of the research.\n            \n            \n              BACKGROUND:\n              A great number of studies have established a relationship between the design of the physical environment of long-term care settings and outcomes of people with dementia. However, the methods employed are heterogeneous and the results are often conflicting. Consequently, the process of integrating the best evidence available into architectural designs may be hindered.\n            \n            \n              METHODS:\n              A systematic literature search was conducted reviewing studies that meet certain inclusion criteria. Using an evidence-based approach, the methodical quality of the studies was rated.\n            \n            \n              RESULTS:\n              One hundred sixty-nine studies were found. They were thematically summarized into four main categories: basic design decisions, environmental attributes, ambience, and environmental information. The effectiveness of the interventions on the behavior, cognition, function, well being, social abilities, orientation, and care outcomes on people with dementia was illustrated by matrices.\n            \n            \n              CONCLUSIONS:\n              Results of this review indicate that, with the exception of cognition, specific design interventions are beneficial to the outcomes of people with dementia. Overall, the field of environmental design for people with dementia is well researched in many aspects and only few gaps in knowledge were identified.","container-title":"HERD: Health Environments Research &amp; Design Journal","DOI":"10.1177/193758671400800111","ISSN":"1937-5867, 2167-5112","issue":"1","journalAbbreviation":"HERD","language":"en","page":"127-157","source":"DOI.org (Crossref)","title":"Impact of the Design of the Built Environment on People with Dementia: An Evidence-Based Review","title-short":"Impact of the Design of the Built Environment on People with Dementia","volume":"8","author":[{"family":"Marquardt","given":"Gesine"},{"family":"Bueter","given":"Kathrin"},{"family":"Motzek","given":"Tom"}],"issued":{"date-parts":[["2014",10]]}}}],"schema":"https://github.com/citation-style-language/schema/raw/master/csl-citation.json"} </w:instrText>
      </w:r>
      <w:r w:rsidR="00DD0750">
        <w:rPr>
          <w:rFonts w:ascii="Georgia" w:eastAsiaTheme="minorEastAsia" w:hAnsi="Georgia" w:cs="Arial"/>
        </w:rPr>
        <w:fldChar w:fldCharType="separate"/>
      </w:r>
      <w:r w:rsidR="00694F07">
        <w:rPr>
          <w:rFonts w:ascii="Georgia" w:eastAsiaTheme="minorEastAsia" w:hAnsi="Georgia" w:cs="Arial"/>
          <w:noProof/>
        </w:rPr>
        <w:t>(Fleming et al., 2008; Fleming &amp; Purandare, 2010; Grey et al., 2019; Marquardt et al., 2014)</w:t>
      </w:r>
      <w:r w:rsidR="00DD0750">
        <w:rPr>
          <w:rFonts w:ascii="Georgia" w:eastAsiaTheme="minorEastAsia" w:hAnsi="Georgia" w:cs="Arial"/>
        </w:rPr>
        <w:fldChar w:fldCharType="end"/>
      </w:r>
    </w:p>
    <w:p w14:paraId="2D17E451" w14:textId="7AB0B52E" w:rsidR="00D80CED" w:rsidRPr="00D80CED" w:rsidRDefault="00D80CED" w:rsidP="00D80CED">
      <w:pPr>
        <w:pStyle w:val="MDPI31text"/>
        <w:rPr>
          <w:rFonts w:ascii="Georgia" w:eastAsiaTheme="minorEastAsia" w:hAnsi="Georgia" w:cs="Arial"/>
        </w:rPr>
      </w:pPr>
      <w:r w:rsidRPr="00D80CED">
        <w:rPr>
          <w:rFonts w:ascii="Georgia" w:eastAsiaTheme="minorEastAsia" w:hAnsi="Georgia" w:cs="Arial"/>
        </w:rPr>
        <w:t>More and more studies allow understand</w:t>
      </w:r>
      <w:r w:rsidR="00C440F2">
        <w:rPr>
          <w:rFonts w:ascii="Georgia" w:eastAsiaTheme="minorEastAsia" w:hAnsi="Georgia" w:cs="Arial"/>
        </w:rPr>
        <w:t>ing of</w:t>
      </w:r>
      <w:r w:rsidRPr="00D80CED">
        <w:rPr>
          <w:rFonts w:ascii="Georgia" w:eastAsiaTheme="minorEastAsia" w:hAnsi="Georgia" w:cs="Arial"/>
        </w:rPr>
        <w:t xml:space="preserve"> how health is also related to </w:t>
      </w:r>
      <w:r w:rsidR="00C440F2">
        <w:rPr>
          <w:rFonts w:ascii="Georgia" w:eastAsiaTheme="minorEastAsia" w:hAnsi="Georgia" w:cs="Arial"/>
        </w:rPr>
        <w:t>people’s environment</w:t>
      </w:r>
      <w:r w:rsidRPr="00D80CED">
        <w:rPr>
          <w:rFonts w:ascii="Georgia" w:eastAsiaTheme="minorEastAsia" w:hAnsi="Georgia" w:cs="Arial"/>
        </w:rPr>
        <w:t xml:space="preserve">. In this field the most popular </w:t>
      </w:r>
      <w:r w:rsidR="00D936C1">
        <w:rPr>
          <w:rFonts w:ascii="Georgia" w:eastAsiaTheme="minorEastAsia" w:hAnsi="Georgia" w:cs="Arial"/>
        </w:rPr>
        <w:t>approach</w:t>
      </w:r>
      <w:r w:rsidRPr="00D80CED">
        <w:rPr>
          <w:rFonts w:ascii="Georgia" w:eastAsiaTheme="minorEastAsia" w:hAnsi="Georgia" w:cs="Arial"/>
        </w:rPr>
        <w:t xml:space="preserve"> is the Evidence</w:t>
      </w:r>
      <w:r w:rsidR="00C440F2">
        <w:rPr>
          <w:rFonts w:ascii="Georgia" w:eastAsiaTheme="minorEastAsia" w:hAnsi="Georgia" w:cs="Arial"/>
        </w:rPr>
        <w:t>-</w:t>
      </w:r>
      <w:r w:rsidRPr="00D80CED">
        <w:rPr>
          <w:rFonts w:ascii="Georgia" w:eastAsiaTheme="minorEastAsia" w:hAnsi="Georgia" w:cs="Arial"/>
        </w:rPr>
        <w:t>Based Design (EBD), the design based on evidence, born as an adaptation of Evidence</w:t>
      </w:r>
      <w:r w:rsidR="00C440F2">
        <w:rPr>
          <w:rFonts w:ascii="Georgia" w:eastAsiaTheme="minorEastAsia" w:hAnsi="Georgia" w:cs="Arial"/>
        </w:rPr>
        <w:t>-</w:t>
      </w:r>
      <w:r w:rsidRPr="00D80CED">
        <w:rPr>
          <w:rFonts w:ascii="Georgia" w:eastAsiaTheme="minorEastAsia" w:hAnsi="Georgia" w:cs="Arial"/>
        </w:rPr>
        <w:t xml:space="preserve">Based </w:t>
      </w:r>
      <w:r w:rsidR="00D936C1">
        <w:rPr>
          <w:rFonts w:ascii="Georgia" w:eastAsiaTheme="minorEastAsia" w:hAnsi="Georgia" w:cs="Arial"/>
        </w:rPr>
        <w:t>M</w:t>
      </w:r>
      <w:r w:rsidRPr="00D80CED">
        <w:rPr>
          <w:rFonts w:ascii="Georgia" w:eastAsiaTheme="minorEastAsia" w:hAnsi="Georgia" w:cs="Arial"/>
        </w:rPr>
        <w:t xml:space="preserve">edicine to the built environment. It demonstrates that, through measuring clinical outcomes, the built environment can have therapeutic effects on patients, both in a </w:t>
      </w:r>
      <w:proofErr w:type="spellStart"/>
      <w:r w:rsidRPr="00D80CED">
        <w:rPr>
          <w:rFonts w:ascii="Georgia" w:eastAsiaTheme="minorEastAsia" w:hAnsi="Georgia" w:cs="Arial"/>
        </w:rPr>
        <w:t>physical</w:t>
      </w:r>
      <w:r w:rsidR="00C440F2">
        <w:rPr>
          <w:rFonts w:ascii="Georgia" w:eastAsiaTheme="minorEastAsia" w:hAnsi="Georgia" w:cs="Arial"/>
        </w:rPr>
        <w:t>lly</w:t>
      </w:r>
      <w:proofErr w:type="spellEnd"/>
      <w:r w:rsidRPr="00D80CED">
        <w:rPr>
          <w:rFonts w:ascii="Georgia" w:eastAsiaTheme="minorEastAsia" w:hAnsi="Georgia" w:cs="Arial"/>
        </w:rPr>
        <w:t xml:space="preserve"> and psychological</w:t>
      </w:r>
      <w:r w:rsidR="00C440F2">
        <w:rPr>
          <w:rFonts w:ascii="Georgia" w:eastAsiaTheme="minorEastAsia" w:hAnsi="Georgia" w:cs="Arial"/>
        </w:rPr>
        <w:t>ly</w:t>
      </w:r>
      <w:r w:rsidRPr="00D80CED">
        <w:rPr>
          <w:rFonts w:ascii="Georgia" w:eastAsiaTheme="minorEastAsia" w:hAnsi="Georgia" w:cs="Arial"/>
        </w:rPr>
        <w:t xml:space="preserve">, influencing the users’ perception and wellbeing </w:t>
      </w:r>
      <w:r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{"citationID":"u61i4F5C","properties":{"formattedCitation":"(Ulrich &amp; Quan, 2004)","plainCitation":"(Ulrich &amp; Quan, 2004)","noteIndex":0},"citationItems":[{"id":175,"uris":["http://zotero.org/users/local/I6RCzm6o/items/CXPZL9E8"],"itemData":{"id":175,"type":"article-journal","language":"en","page":"69","source":"Zotero","title":"The Role of the Physical Environment in the Hospital of the 21st Century: A Once-in-a-Lifetime Opportunity","author":[{"family":"Ulrich","given":"Roger"},{"family":"Quan","given":"Xiaobo"}],"issued":{"date-parts":[["2004"]]}}}],"schema":"https://github.com/citation-style-language/schema/raw/master/csl-citation.json"} </w:instrText>
      </w:r>
      <w:r w:rsidRPr="00D80CED">
        <w:rPr>
          <w:rFonts w:ascii="Georgia" w:eastAsiaTheme="minorEastAsia" w:hAnsi="Georgia" w:cs="Arial"/>
        </w:rPr>
        <w:fldChar w:fldCharType="separate"/>
      </w:r>
      <w:r w:rsidR="00444135">
        <w:rPr>
          <w:rFonts w:ascii="Georgia" w:eastAsiaTheme="minorEastAsia" w:hAnsi="Georgia" w:cs="Arial"/>
        </w:rPr>
        <w:t>(Ulrich &amp; Quan, 2004)</w:t>
      </w:r>
      <w:r w:rsidRPr="00D80CED">
        <w:rPr>
          <w:rFonts w:ascii="Georgia" w:eastAsiaTheme="minorEastAsia" w:hAnsi="Georgia" w:cs="Arial"/>
        </w:rPr>
        <w:fldChar w:fldCharType="end"/>
      </w:r>
      <w:r w:rsidRPr="00D80CED">
        <w:rPr>
          <w:rFonts w:ascii="Georgia" w:eastAsiaTheme="minorEastAsia" w:hAnsi="Georgia" w:cs="Arial"/>
        </w:rPr>
        <w:t xml:space="preserve">. </w:t>
      </w:r>
    </w:p>
    <w:p w14:paraId="089EB34C" w14:textId="65BC8BFD" w:rsidR="00D80CED" w:rsidRPr="00D80CED" w:rsidRDefault="00D80CED" w:rsidP="00D80CED">
      <w:pPr>
        <w:pStyle w:val="MDPI31text"/>
        <w:rPr>
          <w:rFonts w:ascii="Georgia" w:eastAsiaTheme="minorEastAsia" w:hAnsi="Georgia" w:cs="Arial"/>
        </w:rPr>
      </w:pPr>
      <w:r w:rsidRPr="00D80CED">
        <w:rPr>
          <w:rFonts w:ascii="Georgia" w:eastAsiaTheme="minorEastAsia" w:hAnsi="Georgia" w:cs="Arial"/>
        </w:rPr>
        <w:t xml:space="preserve">EBD breaks down the design process into research, evaluation, and analysis of contemporary literature before carrying out the actual design. What comes out of it is </w:t>
      </w:r>
      <w:r w:rsidR="005902F0">
        <w:rPr>
          <w:rFonts w:ascii="Georgia" w:eastAsiaTheme="minorEastAsia" w:hAnsi="Georgia" w:cs="Arial"/>
        </w:rPr>
        <w:t>method</w:t>
      </w:r>
      <w:r w:rsidRPr="00D80CED">
        <w:rPr>
          <w:rFonts w:ascii="Georgia" w:eastAsiaTheme="minorEastAsia" w:hAnsi="Georgia" w:cs="Arial"/>
        </w:rPr>
        <w:t xml:space="preserve"> that allows the designer to create spaces tailored to the user, ensuring both wellbeing of the patient, who finds space for treatment in the building, and of the staff, allowing them to work in a comfortable environment and relieve the </w:t>
      </w:r>
      <w:r w:rsidR="00F26BA8">
        <w:rPr>
          <w:rFonts w:ascii="Georgia" w:eastAsiaTheme="minorEastAsia" w:hAnsi="Georgia" w:cs="Arial"/>
        </w:rPr>
        <w:t xml:space="preserve">burden </w:t>
      </w:r>
      <w:r w:rsidRPr="00D80CED">
        <w:rPr>
          <w:rFonts w:ascii="Georgia" w:eastAsiaTheme="minorEastAsia" w:hAnsi="Georgia" w:cs="Arial"/>
        </w:rPr>
        <w:t>of stress.</w:t>
      </w:r>
      <w:r w:rsidR="007C4ECD">
        <w:rPr>
          <w:rFonts w:ascii="Georgia" w:eastAsiaTheme="minorEastAsia" w:hAnsi="Georgia" w:cs="Arial"/>
        </w:rPr>
        <w:t xml:space="preserve"> </w:t>
      </w:r>
      <w:r w:rsidR="007C4EC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{"citationID":"IgYR8sfc","properties":{"formattedCitation":"(Brambilla, Morganti, et al., 2020)","plainCitation":"(Brambilla, Morganti, et al., 2020)","noteIndex":0},"citationItems":[{"id":476,"uris":["http://zotero.org/users/local/I6RCzm6o/items/RIHTBPVV"],"itemData":{"id":476,"type":"chapter","container-title":"Computational Science and Its Applications – ICCSA 2020","event-place":"Cham","ISBN":"978-3-030-58813-7","language":"en","note":"collection-title: Lecture Notes in Computer Science\nDOI: 10.1007/978-3-030-58814-4_24","page":"345-354","publisher":"Springer International Publishing","publisher-place":"Cham","source":"DOI.org (Crossref)","title":"Complex Projects Assessment. The Impact of Built Environment on Healthcare Staff Wellbeing","URL":"https://link.springer.com/10.1007/978-3-030-58814-4_24","volume":"12253","editor":[{"family":"Gervasi","given":"Osvaldo"},{"family":"Murgante","given":"Beniamino"},{"family":"Misra","given":"Sanjay"},{"family":"Garau","given":"Chiara"},{"family":"Blečić","given":"Ivan"},{"family":"Taniar","given":"David"},{"family":"Apduhan","given":"Bernady O."},{"family":"Rocha","given":"Ana Maria A. C."},{"family":"Tarantino","given":"Eufemia"},{"family":"Torre","given":"Carmelo Maria"},{"family":"Karaca","given":"Yeliz"}],"author":[{"family":"Brambilla","given":"Andrea"},{"family":"Morganti","given":"Alessandro"},{"family":"Lindahl","given":"Göran"},{"family":"Riva","given":"Andrea"},{"family":"Capolongo","given":"Stefano"}],"accessed":{"date-parts":[["2022",3,15]]},"issued":{"date-parts":[["2020"]]}}}],"schema":"https://github.com/citation-style-language/schema/raw/master/csl-citation.json"} </w:instrText>
      </w:r>
      <w:r w:rsidR="007C4ECD">
        <w:rPr>
          <w:rFonts w:ascii="Georgia" w:eastAsiaTheme="minorEastAsia" w:hAnsi="Georgia" w:cs="Arial"/>
        </w:rPr>
        <w:fldChar w:fldCharType="separate"/>
      </w:r>
      <w:r w:rsidR="00444135">
        <w:rPr>
          <w:rFonts w:ascii="Georgia" w:eastAsiaTheme="minorEastAsia" w:hAnsi="Georgia" w:cs="Arial"/>
          <w:noProof/>
        </w:rPr>
        <w:t>(Brambilla, Morganti, et al., 2020)</w:t>
      </w:r>
      <w:r w:rsidR="007C4ECD">
        <w:rPr>
          <w:rFonts w:ascii="Georgia" w:eastAsiaTheme="minorEastAsia" w:hAnsi="Georgia" w:cs="Arial"/>
        </w:rPr>
        <w:fldChar w:fldCharType="end"/>
      </w:r>
      <w:r w:rsidRPr="00D80CED">
        <w:rPr>
          <w:rFonts w:ascii="Georgia" w:eastAsiaTheme="minorEastAsia" w:hAnsi="Georgia" w:cs="Arial"/>
        </w:rPr>
        <w:t xml:space="preserve"> </w:t>
      </w:r>
    </w:p>
    <w:p w14:paraId="4B51231B" w14:textId="4532DBEF" w:rsidR="00D80CED" w:rsidRPr="00D80CED" w:rsidRDefault="00D80CED" w:rsidP="00D80CED">
      <w:pPr>
        <w:pStyle w:val="MDPI31text"/>
        <w:rPr>
          <w:rFonts w:ascii="Georgia" w:eastAsiaTheme="minorEastAsia" w:hAnsi="Georgia" w:cs="Arial"/>
        </w:rPr>
      </w:pPr>
      <w:r w:rsidRPr="00D80CED">
        <w:rPr>
          <w:rFonts w:ascii="Georgia" w:eastAsiaTheme="minorEastAsia" w:hAnsi="Georgia" w:cs="Arial"/>
        </w:rPr>
        <w:t>This methodology was popularized by the studies of Ulrich</w:t>
      </w:r>
      <w:r w:rsidR="00931650">
        <w:rPr>
          <w:rFonts w:ascii="Georgia" w:eastAsiaTheme="minorEastAsia" w:hAnsi="Georgia" w:cs="Arial"/>
        </w:rPr>
        <w:t xml:space="preserve"> (1984)</w:t>
      </w:r>
      <w:r w:rsidRPr="00D80CED">
        <w:rPr>
          <w:rFonts w:ascii="Georgia" w:eastAsiaTheme="minorEastAsia" w:hAnsi="Georgia" w:cs="Arial"/>
        </w:rPr>
        <w:t>. He noted in 1984 that the healing of surgical patients varied according to the environmental conditions of the hospital rooms in which they were placed, those who had a view of nature were discharged before whom from the bed could only see a</w:t>
      </w:r>
      <w:r w:rsidR="000C78B4">
        <w:rPr>
          <w:rFonts w:ascii="Georgia" w:eastAsiaTheme="minorEastAsia" w:hAnsi="Georgia" w:cs="Arial"/>
        </w:rPr>
        <w:t xml:space="preserve"> </w:t>
      </w:r>
      <w:r w:rsidRPr="00D80CED">
        <w:rPr>
          <w:rFonts w:ascii="Georgia" w:eastAsiaTheme="minorEastAsia" w:hAnsi="Georgia" w:cs="Arial"/>
        </w:rPr>
        <w:t xml:space="preserve">brick wall </w:t>
      </w:r>
      <w:r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{"citationID":"QTP7winm","properties":{"formattedCitation":"(Ulrich, 1984)","plainCitation":"(Ulrich, 1984)","noteIndex":0},"citationItems":[{"id":80,"uris":["http://zotero.org/users/local/I6RCzm6o/items/PDK9QEES"],"itemData":{"id":80,"type":"article-journal","container-title":"Science","DOI":"10.1126/science.6143402","ISSN":"0036-8075, 1095-9203","issue":"4647","journalAbbreviation":"Science","language":"en","page":"420-421","source":"DOI.org (Crossref)","title":"View through a window may influence recovery from surgery","volume":"224","author":[{"family":"Ulrich","given":"R."}],"issued":{"date-parts":[["1984",4,27]]}}}],"schema":"https://github.com/citation-style-language/schema/raw/master/csl-citation.json"} </w:instrText>
      </w:r>
      <w:r w:rsidRPr="00D80CED">
        <w:rPr>
          <w:rFonts w:ascii="Georgia" w:eastAsiaTheme="minorEastAsia" w:hAnsi="Georgia" w:cs="Arial"/>
        </w:rPr>
        <w:fldChar w:fldCharType="separate"/>
      </w:r>
      <w:r w:rsidR="00444135">
        <w:rPr>
          <w:rFonts w:ascii="Georgia" w:eastAsiaTheme="minorEastAsia" w:hAnsi="Georgia" w:cs="Arial"/>
        </w:rPr>
        <w:t>(Ulrich, 1984)</w:t>
      </w:r>
      <w:r w:rsidRPr="00D80CED">
        <w:rPr>
          <w:rFonts w:ascii="Georgia" w:eastAsiaTheme="minorEastAsia" w:hAnsi="Georgia" w:cs="Arial"/>
        </w:rPr>
        <w:fldChar w:fldCharType="end"/>
      </w:r>
      <w:r w:rsidRPr="00D80CED">
        <w:rPr>
          <w:rFonts w:ascii="Georgia" w:eastAsiaTheme="minorEastAsia" w:hAnsi="Georgia" w:cs="Arial"/>
        </w:rPr>
        <w:t>.</w:t>
      </w:r>
      <w:r w:rsidR="00FC6EB9">
        <w:rPr>
          <w:rFonts w:ascii="Georgia" w:eastAsiaTheme="minorEastAsia" w:hAnsi="Georgia" w:cs="Arial"/>
        </w:rPr>
        <w:t xml:space="preserve"> This approach has been further adopted and implemented in research, </w:t>
      </w:r>
      <w:r w:rsidR="009D40E1">
        <w:rPr>
          <w:rFonts w:ascii="Georgia" w:eastAsiaTheme="minorEastAsia" w:hAnsi="Georgia" w:cs="Arial"/>
        </w:rPr>
        <w:t>education and dissemination worldwide</w:t>
      </w:r>
      <w:r w:rsidR="009D40E1">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{"citationID":"NmGQOdlW","properties":{"formattedCitation":"(Gola et al., 2020)","plainCitation":"(Gola et al., 2020)","noteIndex":0},"citationItems":[{"id":"YRjjADYt/phF1jq84","uris":["http://zotero.org/users/local/AdhdAbFn/items/RW2H4MYM"],"itemData":{"id":521,"type":"article-journal","abstract":"Background \nHealthcare environments are one of the most complex and demanding fields of work. Scientific, technological and research developments along with new discoveries within health promotion and prevention strategies are increasingly requiring a multidisciplinary and interdisciplinary approach. Therefore, it is likely that the current professions will need to be significantly adapted to accommodate new and more specialized roles \n\nObjectives \nTo present an overview of the current educational and training courses of the emerging professions, such as hospital planner, physician-engineer, doctor-architect, nurse-architect or engineer, we review the present global training courses (BSc, MSc, specialization and PhD courses) related to healthcare design focusing on the fields of Medicine and Nursing, Architecture and Engineering sciences \n\nResults \nThe paper analyses the literature review and website analysis about active teaching programs and courses. Several academic institutions offer BSc, MSc and PhD degree programs in Healthcare Design, Environmental and Building Hygiene, and Public Health. In addition, there are several professional postgraduate courses, either in classroom, hybrid-based or online \nConclusion \nA considerable number of international training experiences addresses the topic of training multidisciplinary professionals. Further in-depth investigations are needed to examine the content, teaching format and impact of the courses, student outcomes and professional careers, fields of interest and the degree of collaborations with other institutions","container-title":"Annali Di Igiene: Medicina Preventiva E Di Comunita","DOI":"10.7416/ai.2020.2375","issue":"5","page":"549-566","title":"Educational Challenges in Healthcare Design: Training Multidisciplinary Professionals for Future Hospitals and Healthcare","volume":"32","author":[{"family":"Gola","given":"Marco"},{"family":"Brambilla","given":"Andrea"},{"family":"Barach","given":"Paul"},{"family":"Signorelli","given":"Carlo"},{"family":"Capolongo","given":"Stefano"}],"issued":{"date-parts":[["2020"]]}}}],"schema":"https://github.com/citation-style-language/schema/raw/master/csl-citation.json"} </w:instrText>
      </w:r>
      <w:r w:rsidR="009D40E1">
        <w:rPr>
          <w:rFonts w:ascii="Georgia" w:eastAsiaTheme="minorEastAsia" w:hAnsi="Georgia" w:cs="Arial"/>
        </w:rPr>
        <w:fldChar w:fldCharType="separate"/>
      </w:r>
      <w:r w:rsidR="009D40E1">
        <w:rPr>
          <w:rFonts w:ascii="Georgia" w:eastAsiaTheme="minorEastAsia" w:hAnsi="Georgia" w:cs="Arial"/>
          <w:noProof/>
        </w:rPr>
        <w:t>(Gola et al., 2020)</w:t>
      </w:r>
      <w:r w:rsidR="009D40E1">
        <w:rPr>
          <w:rFonts w:ascii="Georgia" w:eastAsiaTheme="minorEastAsia" w:hAnsi="Georgia" w:cs="Arial"/>
        </w:rPr>
        <w:fldChar w:fldCharType="end"/>
      </w:r>
      <w:r w:rsidR="009D40E1">
        <w:rPr>
          <w:rFonts w:ascii="Georgia" w:eastAsiaTheme="minorEastAsia" w:hAnsi="Georgia" w:cs="Arial"/>
        </w:rPr>
        <w:t>.</w:t>
      </w:r>
    </w:p>
    <w:p w14:paraId="14AEFF1B" w14:textId="7A09D994" w:rsidR="00396FCA" w:rsidRDefault="004A1B50" w:rsidP="00D80CED">
      <w:pPr>
        <w:pStyle w:val="MDPI31text"/>
        <w:rPr>
          <w:rFonts w:ascii="Georgia" w:eastAsiaTheme="minorEastAsia" w:hAnsi="Georgia" w:cs="Arial"/>
          <w:color w:val="auto"/>
        </w:rPr>
      </w:pPr>
      <w:r w:rsidRPr="004A1B50">
        <w:rPr>
          <w:rFonts w:ascii="Georgia" w:eastAsiaTheme="minorEastAsia" w:hAnsi="Georgia" w:cs="Arial"/>
          <w:color w:val="auto"/>
        </w:rPr>
        <w:t xml:space="preserve">The innovations introduced by the method are that it does not stop only at functional efficiency, sustainability, and cost reduction, but investigates the characteristics that the building, and the built environment must have </w:t>
      </w:r>
      <w:r w:rsidR="006433D7" w:rsidRPr="004A1B50">
        <w:rPr>
          <w:rFonts w:ascii="Georgia" w:eastAsiaTheme="minorEastAsia" w:hAnsi="Georgia" w:cs="Arial"/>
          <w:color w:val="auto"/>
        </w:rPr>
        <w:t>to</w:t>
      </w:r>
      <w:r w:rsidRPr="004A1B50">
        <w:rPr>
          <w:rFonts w:ascii="Georgia" w:eastAsiaTheme="minorEastAsia" w:hAnsi="Georgia" w:cs="Arial"/>
          <w:color w:val="auto"/>
        </w:rPr>
        <w:t xml:space="preserve"> put the user first.</w:t>
      </w:r>
    </w:p>
    <w:p w14:paraId="189320D3" w14:textId="03A4D098" w:rsidR="00D80CED" w:rsidRPr="00D80CED" w:rsidRDefault="006433D7" w:rsidP="00D80CED">
      <w:pPr>
        <w:pStyle w:val="MDPI31text"/>
        <w:rPr>
          <w:rFonts w:ascii="Georgia" w:eastAsiaTheme="minorEastAsia" w:hAnsi="Georgia" w:cs="Arial"/>
        </w:rPr>
      </w:pPr>
      <w:r>
        <w:rPr>
          <w:rFonts w:ascii="Georgia" w:eastAsiaTheme="minorEastAsia" w:hAnsi="Georgia" w:cs="Arial"/>
        </w:rPr>
        <w:t>T</w:t>
      </w:r>
      <w:r w:rsidR="00D80CED" w:rsidRPr="00D80CED">
        <w:rPr>
          <w:rFonts w:ascii="Georgia" w:eastAsiaTheme="minorEastAsia" w:hAnsi="Georgia" w:cs="Arial"/>
        </w:rPr>
        <w:t>he users’ wellbeing must become a priority in the design of every type of facilit</w:t>
      </w:r>
      <w:r w:rsidR="005902F0">
        <w:rPr>
          <w:rFonts w:ascii="Georgia" w:eastAsiaTheme="minorEastAsia" w:hAnsi="Georgia" w:cs="Arial"/>
        </w:rPr>
        <w:t>y</w:t>
      </w:r>
      <w:r w:rsidR="00D80CED" w:rsidRPr="00D80CED">
        <w:rPr>
          <w:rFonts w:ascii="Georgia" w:eastAsiaTheme="minorEastAsia" w:hAnsi="Georgia" w:cs="Arial"/>
        </w:rPr>
        <w:t xml:space="preserve">. This could be reached considering a plurality of aspects like green areas, wayfinding and spatial organization, soft qualities, security and privacy, flexibility, layout and management aspects </w:t>
      </w:r>
      <w:r w:rsidR="00D80CED"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{"citationID":"hA4kBkhz","properties":{"formattedCitation":"(Capolongo, 2016)","plainCitation":"(Capolongo, 2016)","noteIndex":0},"citationItems":[{"id":173,"uris":["http://zotero.org/users/local/I6RCzm6o/items/LZEP8VYC"],"itemData":{"id":173,"type":"article-journal","language":"en","page":"4","source":"Zotero","title":"Preface Social aspects and well</w:instrText>
      </w:r>
      <w:r w:rsidR="00D5322D">
        <w:rPr>
          <w:rFonts w:ascii="Cambria Math" w:eastAsiaTheme="minorEastAsia" w:hAnsi="Cambria Math" w:cs="Cambria Math"/>
        </w:rPr>
        <w:instrText>‑</w:instrText>
      </w:r>
      <w:r w:rsidR="00D5322D">
        <w:rPr>
          <w:rFonts w:ascii="Georgia" w:eastAsiaTheme="minorEastAsia" w:hAnsi="Georgia" w:cs="Arial"/>
        </w:rPr>
        <w:instrText xml:space="preserve">being for improving healing processes’ effectiveness","author":[{"family":"Capolongo","given":"Stefano"}],"issued":{"date-parts":[["2016"]]}}}],"schema":"https://github.com/citation-style-language/schema/raw/master/csl-citation.json"} </w:instrText>
      </w:r>
      <w:r w:rsidR="00D80CED" w:rsidRPr="00D80CED">
        <w:rPr>
          <w:rFonts w:ascii="Georgia" w:eastAsiaTheme="minorEastAsia" w:hAnsi="Georgia" w:cs="Arial"/>
        </w:rPr>
        <w:fldChar w:fldCharType="separate"/>
      </w:r>
      <w:r w:rsidR="00444135">
        <w:rPr>
          <w:rFonts w:ascii="Georgia" w:eastAsiaTheme="minorEastAsia" w:hAnsi="Georgia" w:cs="Arial"/>
        </w:rPr>
        <w:t>(Capolongo, 2016)</w:t>
      </w:r>
      <w:r w:rsidR="00D80CED" w:rsidRPr="00D80CED">
        <w:rPr>
          <w:rFonts w:ascii="Georgia" w:eastAsiaTheme="minorEastAsia" w:hAnsi="Georgia" w:cs="Arial"/>
        </w:rPr>
        <w:fldChar w:fldCharType="end"/>
      </w:r>
      <w:r w:rsidR="00D80CED" w:rsidRPr="00D80CED">
        <w:rPr>
          <w:rFonts w:ascii="Georgia" w:eastAsiaTheme="minorEastAsia" w:hAnsi="Georgia" w:cs="Arial"/>
        </w:rPr>
        <w:t>.</w:t>
      </w:r>
    </w:p>
    <w:p w14:paraId="5F5EFF9E" w14:textId="08BDB40F" w:rsidR="00D80CED" w:rsidRPr="00D80CED" w:rsidRDefault="00D80CED" w:rsidP="00D80CED">
      <w:pPr>
        <w:pStyle w:val="MDPI31text"/>
        <w:rPr>
          <w:rFonts w:ascii="Georgia" w:eastAsiaTheme="minorEastAsia" w:hAnsi="Georgia" w:cs="Arial"/>
        </w:rPr>
      </w:pPr>
      <w:r w:rsidRPr="00D80CED">
        <w:rPr>
          <w:rFonts w:ascii="Georgia" w:eastAsiaTheme="minorEastAsia" w:hAnsi="Georgia" w:cs="Arial"/>
        </w:rPr>
        <w:t xml:space="preserve">Usually, the main aspects that are considered are related to economic issues and lack in considering the people’s perception and experience within the space and users’ needs </w:t>
      </w:r>
      <w:r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{"citationID":"jBpz29NT","properties":{"formattedCitation":"(Buffoli et al., 2014)","plainCitation":"(Buffoli et al., 2014)","noteIndex":0},"citationItems":[{"id":179,"uris":["http://zotero.org/users/local/I6RCzm6o/items/NLY28KUC"],"itemData":{"id":179,"type":"article-journal","container-title":"Annali di Igiene Medicina Preventiva e di Comunità","DOI":"10.7416/ai.2014.2004","ISSN":"1120-9135","issue":"5","language":"eng","page":"447-455","source":"DOI.org (CSL JSON)","title":"Listening to people to cure people The LpCp – tool, an instrument to evaluate hospital humanization","author":[{"family":"Buffoli","given":"M."},{"family":"Bellini","given":"E."},{"family":"Bellagarda","given":"A."}],"issued":{"date-parts":[["2014",10,30]]}}}],"schema":"https://github.com/citation-style-language/schema/raw/master/csl-citation.json"} </w:instrText>
      </w:r>
      <w:r w:rsidRPr="00D80CED">
        <w:rPr>
          <w:rFonts w:ascii="Georgia" w:eastAsiaTheme="minorEastAsia" w:hAnsi="Georgia" w:cs="Arial"/>
        </w:rPr>
        <w:fldChar w:fldCharType="separate"/>
      </w:r>
      <w:r w:rsidR="00444135">
        <w:rPr>
          <w:rFonts w:ascii="Georgia" w:eastAsiaTheme="minorEastAsia" w:hAnsi="Georgia" w:cs="Arial"/>
        </w:rPr>
        <w:t>(Buffoli et al., 2014)</w:t>
      </w:r>
      <w:r w:rsidRPr="00D80CED">
        <w:rPr>
          <w:rFonts w:ascii="Georgia" w:eastAsiaTheme="minorEastAsia" w:hAnsi="Georgia" w:cs="Arial"/>
        </w:rPr>
        <w:fldChar w:fldCharType="end"/>
      </w:r>
      <w:r w:rsidRPr="00D80CED">
        <w:rPr>
          <w:rFonts w:ascii="Georgia" w:eastAsiaTheme="minorEastAsia" w:hAnsi="Georgia" w:cs="Arial"/>
        </w:rPr>
        <w:t xml:space="preserve">. </w:t>
      </w:r>
    </w:p>
    <w:p w14:paraId="5A812D62" w14:textId="1CA4B631" w:rsidR="00D80CED" w:rsidRPr="00D80CED" w:rsidRDefault="00D80CED" w:rsidP="00D80CED">
      <w:pPr>
        <w:pStyle w:val="MDPI31text"/>
        <w:rPr>
          <w:rFonts w:ascii="Georgia" w:eastAsiaTheme="minorEastAsia" w:hAnsi="Georgia" w:cs="Arial"/>
        </w:rPr>
      </w:pPr>
      <w:r w:rsidRPr="00D80CED">
        <w:rPr>
          <w:rFonts w:ascii="Georgia" w:eastAsiaTheme="minorEastAsia" w:hAnsi="Georgia" w:cs="Arial"/>
        </w:rPr>
        <w:t xml:space="preserve">The built environment can influence our health in several ways, directly, influencing environmental quality, or indirectly, influencing behaviors that impact disease transmission and </w:t>
      </w:r>
      <w:r w:rsidR="005902F0">
        <w:rPr>
          <w:rFonts w:ascii="Georgia" w:eastAsiaTheme="minorEastAsia" w:hAnsi="Georgia" w:cs="Arial"/>
        </w:rPr>
        <w:t>healthy lifestyles</w:t>
      </w:r>
      <w:r w:rsidRPr="00D80CED">
        <w:rPr>
          <w:rFonts w:ascii="Georgia" w:eastAsiaTheme="minorEastAsia" w:hAnsi="Georgia" w:cs="Arial"/>
        </w:rPr>
        <w:t xml:space="preserve"> </w:t>
      </w:r>
      <w:r w:rsidRPr="00D80CED">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{"citationID":"uUngqpOk","properties":{"formattedCitation":"(Fleming &amp; Purandare, 2010; Pinter-Wollman et al., 2018)","plainCitation":"(Fleming &amp; Purandare, 2010; Pinter-Wollman et al., 2018)","noteIndex":0},"citationItems":[{"id":534,"uris":["http://zotero.org/users/local/I6RCzm6o/items/NBYVA9L4"],"itemData":{"id":534,"type":"article-journal","abstract":"ABSTRACT\n            \n              Background:\n              A large and growing number of people with dementia are being cared for in long-term care. The empirical literature on the design of environments for people with dementia contains findings that can be helpful in the design of these environments. A schema developed by Marshall in 2001 provides a means of reviewing the literature against a set of recommendations. The aims of this paper are to assess the strength of the evidence for these recommendations and to identify those recommendations that could be used as the basis for guidelines to assist in the design of long term care facilities for people with dementia.\n            \n            \n              Methods:\n              The literature was searched for articles published after 1980, evaluating an intervention utilizing the physical environment, focused on the care of people with dementia and incorporating a control group, pre-test-post-test, cross sectional or survey design. A total of 156 articles were identified as relevant and subjected to an evaluation of their methodological strength. Of these, 57 articles were identified as being sufficiently strong to be reviewed.\n            \n            \n              Results:\n              Designers may confidently use unobtrusive safety measures; vary ambience, size and shape of spaces; provide single rooms; maximize visual access; and control levels of stimulation. There is less agreement on the usefulness of signage, homelikeness, provision for engagement in ordinary activities, small size and the provision of outside space.\n            \n            \n              Conclusions:\n              There is sufficient evidence available to come to a consensus on guiding principles for the design of long term environments for people with dementia.","container-title":"International Psychogeriatrics","DOI":"10.1017/S1041610210000438","ISSN":"1041-6102, 1741-203X","issue":"7","journalAbbreviation":"Int. Psychogeriatr.","language":"en","page":"1084-1096","source":"DOI.org (Crossref)","title":"Long-term care for people with dementia: environmental design guidelines","title-short":"Long-term care for people with dementia","volume":"22","author":[{"family":"Fleming","given":"Richard"},{"family":"Purandare","given":"Nitin"}],"issued":{"date-parts":[["2010",11]]}}},{"id":169,"uris":["http://zotero.org/users/local/I6RCzm6o/items/6HW6VACL"],"itemData":{"id":169,"type":"article-journal","abstract":"The environment plays an important role in disease dynamics and in determining the health of individuals. Specifically, the built environment has a large impact on the prevention and containment of both chronic and infectious disease in humans and in non-human animals. The effects of the built environment on health can be direct, for example, by influencing environmental quality, or indirect by influencing behaviours that impact disease transmission and health. Furthermore, these impacts can happen at many scales, from the individual to the society, and from the design of the plates we eat from to the design of cities. In this paper, we review the ways that the built environment affects both the prevention and the containment of chronic and infectious disease. We bring examples from both human and animal societies and attempt to identify parallels and gaps between the study of humans and animals that can be capitalized on to advance the scope and perspective of research in each respective field. By consolidating this literature, we hope to highlight the importance of built structures in determining the complex dynamics of disease and in impacting the health behaviours of both humans and animals.\n            This article is part of the theme issue ‘Interdisciplinary approaches for uncovering the impacts of architecture on collective behaviour’.","container-title":"Philosophical Transactions of the Royal Society B: Biological Sciences","DOI":"10.1098/rstb.2017.0245","ISSN":"0962-8436, 1471-2970","issue":"1753","journalAbbreviation":"Phil. Trans. R. Soc. B","language":"en","page":"20170245","source":"DOI.org (Crossref)","title":"The impact of the built environment on health behaviours and disease transmission in social systems","volume":"373","author":[{"family":"Pinter-Wollman","given":"Noa"},{"family":"Jelić","given":"Andrea"},{"family":"Wells","given":"Nancy M."}],"issued":{"date-parts":[["2018",8,19]]}}}],"schema":"https://github.com/citation-style-language/schema/raw/master/csl-citation.json"} </w:instrText>
      </w:r>
      <w:r w:rsidRPr="00D80CED">
        <w:rPr>
          <w:rFonts w:ascii="Georgia" w:eastAsiaTheme="minorEastAsia" w:hAnsi="Georgia" w:cs="Arial"/>
        </w:rPr>
        <w:fldChar w:fldCharType="separate"/>
      </w:r>
      <w:r w:rsidR="00D72CB3">
        <w:rPr>
          <w:rFonts w:ascii="Georgia" w:eastAsiaTheme="minorEastAsia" w:hAnsi="Georgia" w:cs="Arial"/>
        </w:rPr>
        <w:t>(Fleming &amp; Purandare, 2010; Pinter-Wollman et al., 2018)</w:t>
      </w:r>
      <w:r w:rsidRPr="00D80CED">
        <w:rPr>
          <w:rFonts w:ascii="Georgia" w:eastAsiaTheme="minorEastAsia" w:hAnsi="Georgia" w:cs="Arial"/>
        </w:rPr>
        <w:fldChar w:fldCharType="end"/>
      </w:r>
      <w:r w:rsidRPr="00D80CED">
        <w:rPr>
          <w:rFonts w:ascii="Georgia" w:eastAsiaTheme="minorEastAsia" w:hAnsi="Georgia" w:cs="Arial"/>
        </w:rPr>
        <w:t xml:space="preserve">. </w:t>
      </w:r>
    </w:p>
    <w:p w14:paraId="5A81B020" w14:textId="77B95A13" w:rsidR="00B43474" w:rsidRDefault="00D80CED" w:rsidP="002B0AFB">
      <w:pPr>
        <w:pStyle w:val="MDPI31text"/>
        <w:rPr>
          <w:rFonts w:ascii="Georgia" w:eastAsiaTheme="minorEastAsia" w:hAnsi="Georgia" w:cs="Arial"/>
        </w:rPr>
      </w:pPr>
      <w:r w:rsidRPr="00D80CED">
        <w:rPr>
          <w:rFonts w:ascii="Georgia" w:eastAsiaTheme="minorEastAsia" w:hAnsi="Georgia" w:cs="Arial"/>
        </w:rPr>
        <w:t xml:space="preserve">It became clear that a more holistic approach is needed to evaluate structures that deal with health </w:t>
      </w:r>
      <w:r w:rsidR="006433D7">
        <w:rPr>
          <w:rFonts w:ascii="Georgia" w:eastAsiaTheme="minorEastAsia" w:hAnsi="Georgia" w:cs="Arial"/>
        </w:rPr>
        <w:t>to</w:t>
      </w:r>
      <w:r w:rsidR="00EE2A4A">
        <w:rPr>
          <w:rFonts w:ascii="Georgia" w:eastAsiaTheme="minorEastAsia" w:hAnsi="Georgia" w:cs="Arial"/>
        </w:rPr>
        <w:t xml:space="preserve"> create </w:t>
      </w:r>
      <w:r w:rsidRPr="00D80CED">
        <w:rPr>
          <w:rFonts w:ascii="Georgia" w:eastAsiaTheme="minorEastAsia" w:hAnsi="Georgia" w:cs="Arial"/>
        </w:rPr>
        <w:t xml:space="preserve">a healing environment where people social, cognitive, and perceptive aspects </w:t>
      </w:r>
      <w:r w:rsidR="00A647CD">
        <w:rPr>
          <w:rFonts w:ascii="Georgia" w:eastAsiaTheme="minorEastAsia" w:hAnsi="Georgia" w:cs="Arial"/>
        </w:rPr>
        <w:t>can integrate the design process</w:t>
      </w:r>
      <w:r w:rsidRPr="00D80CED">
        <w:rPr>
          <w:rFonts w:ascii="Georgia" w:eastAsiaTheme="minorEastAsia" w:hAnsi="Georgia" w:cs="Arial"/>
        </w:rPr>
        <w:t xml:space="preserve">. </w:t>
      </w:r>
    </w:p>
    <w:p w14:paraId="1CC179F3" w14:textId="45701A3F" w:rsidR="00CF7B51" w:rsidRDefault="00CF7B51" w:rsidP="002B0AFB">
      <w:pPr>
        <w:pStyle w:val="MDPI31text"/>
        <w:rPr>
          <w:rFonts w:ascii="Georgia" w:eastAsiaTheme="minorEastAsia" w:hAnsi="Georgia" w:cs="Arial"/>
        </w:rPr>
      </w:pPr>
    </w:p>
    <w:p w14:paraId="6F2C2079" w14:textId="4777FA1F" w:rsidR="00CF7B51" w:rsidRPr="004F2BEA" w:rsidRDefault="00CF7B51" w:rsidP="00CF7B51">
      <w:pPr>
        <w:pStyle w:val="MDPI21heading1"/>
        <w:rPr>
          <w:rFonts w:ascii="Georgia" w:eastAsiaTheme="minorEastAsia" w:hAnsi="Georgia" w:cs="Arial"/>
        </w:rPr>
      </w:pPr>
      <w:r>
        <w:rPr>
          <w:rFonts w:ascii="Georgia" w:eastAsiaTheme="minorEastAsia" w:hAnsi="Georgia" w:cs="Arial"/>
        </w:rPr>
        <w:t>1.1 Problem statement and research objectives</w:t>
      </w:r>
    </w:p>
    <w:p w14:paraId="0AE6B5BA" w14:textId="30E412A4" w:rsidR="00CF7B51" w:rsidRPr="00DB259F" w:rsidRDefault="00CF7B51" w:rsidP="00CF7B51">
      <w:pPr>
        <w:pStyle w:val="MDPI31text"/>
        <w:rPr>
          <w:rFonts w:ascii="Georgia" w:eastAsiaTheme="minorEastAsia" w:hAnsi="Georgia" w:cs="Arial"/>
        </w:rPr>
      </w:pPr>
      <w:r w:rsidRPr="00DB259F">
        <w:rPr>
          <w:rFonts w:ascii="Georgia" w:eastAsiaTheme="minorEastAsia" w:hAnsi="Georgia" w:cs="Arial"/>
        </w:rPr>
        <w:t xml:space="preserve">The space that surrounds us </w:t>
      </w:r>
      <w:r w:rsidR="0044586A" w:rsidRPr="00DB259F">
        <w:rPr>
          <w:rFonts w:ascii="Georgia" w:eastAsiaTheme="minorEastAsia" w:hAnsi="Georgia" w:cs="Arial"/>
        </w:rPr>
        <w:t>daily</w:t>
      </w:r>
      <w:r w:rsidRPr="00DB259F">
        <w:rPr>
          <w:rFonts w:ascii="Georgia" w:eastAsiaTheme="minorEastAsia" w:hAnsi="Georgia" w:cs="Arial"/>
        </w:rPr>
        <w:t xml:space="preserve"> can not only influence daily life but helps to identify who we are. It can be said that the environment we live in defines who we are.</w:t>
      </w:r>
      <w:r>
        <w:rPr>
          <w:rFonts w:ascii="Georgia" w:eastAsiaTheme="minorEastAsia" w:hAnsi="Georgia" w:cs="Arial"/>
        </w:rPr>
        <w:t xml:space="preserve"> </w:t>
      </w:r>
      <w:r>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{"citationID":"K6nuOA2i","properties":{"formattedCitation":"(Capolongo, 2016)","plainCitation":"(Capolongo, 2016)","noteIndex":0},"citationItems":[{"id":173,"uris":["http://zotero.org/users/local/I6RCzm6o/items/LZEP8VYC"],"itemData":{"id":173,"type":"article-journal","language":"en","page":"4","source":"Zotero","title":"Preface Social aspects and well</w:instrText>
      </w:r>
      <w:r w:rsidR="00D5322D">
        <w:rPr>
          <w:rFonts w:ascii="Cambria Math" w:eastAsiaTheme="minorEastAsia" w:hAnsi="Cambria Math" w:cs="Cambria Math"/>
        </w:rPr>
        <w:instrText>‑</w:instrText>
      </w:r>
      <w:r w:rsidR="00D5322D">
        <w:rPr>
          <w:rFonts w:ascii="Georgia" w:eastAsiaTheme="minorEastAsia" w:hAnsi="Georgia" w:cs="Arial"/>
        </w:rPr>
        <w:instrText xml:space="preserve">being for improving healing processes’ effectiveness","author":[{"family":"Capolongo","given":"Stefano"}],"issued":{"date-parts":[["2016"]]}}}],"schema":"https://github.com/citation-style-language/schema/raw/master/csl-citation.json"} </w:instrText>
      </w:r>
      <w:r>
        <w:rPr>
          <w:rFonts w:ascii="Georgia" w:eastAsiaTheme="minorEastAsia" w:hAnsi="Georgia" w:cs="Arial"/>
        </w:rPr>
        <w:fldChar w:fldCharType="separate"/>
      </w:r>
      <w:r w:rsidR="00444135">
        <w:rPr>
          <w:rFonts w:ascii="Georgia" w:eastAsiaTheme="minorEastAsia" w:hAnsi="Georgia" w:cs="Arial"/>
          <w:noProof/>
        </w:rPr>
        <w:t>(Capolongo, 2016)</w:t>
      </w:r>
      <w:r>
        <w:rPr>
          <w:rFonts w:ascii="Georgia" w:eastAsiaTheme="minorEastAsia" w:hAnsi="Georgia" w:cs="Arial"/>
        </w:rPr>
        <w:fldChar w:fldCharType="end"/>
      </w:r>
    </w:p>
    <w:p w14:paraId="4FD6461C" w14:textId="1D1701DE" w:rsidR="00CF7B51" w:rsidRDefault="00CF7B51" w:rsidP="00CF7B51">
      <w:pPr>
        <w:pStyle w:val="MDPI31text"/>
        <w:rPr>
          <w:rFonts w:ascii="Georgia" w:eastAsiaTheme="minorEastAsia" w:hAnsi="Georgia" w:cs="Arial"/>
        </w:rPr>
      </w:pPr>
      <w:r w:rsidRPr="00DB259F">
        <w:rPr>
          <w:rFonts w:ascii="Georgia" w:eastAsiaTheme="minorEastAsia" w:hAnsi="Georgia" w:cs="Arial"/>
        </w:rPr>
        <w:t>We recognize the house, the neighborhood, all the spaces we live as something that belongs to us, a part of us. The patient, being neurodegenerative Alzheimer's disease, gradually loses knowledge of their places of life, of their neighborhood, of the house where he has lived for years. All of this contributes to the increase in the feelings of disorientation and anxiety typical of the disease.</w:t>
      </w:r>
    </w:p>
    <w:p w14:paraId="79430DF1" w14:textId="41938928" w:rsidR="003C7945" w:rsidRPr="003C7945" w:rsidRDefault="0044586A" w:rsidP="003C7945">
      <w:pPr>
        <w:pStyle w:val="MDPI31text"/>
        <w:rPr>
          <w:rFonts w:ascii="Georgia" w:eastAsiaTheme="minorEastAsia" w:hAnsi="Georgia" w:cs="Arial"/>
        </w:rPr>
      </w:pPr>
      <w:r>
        <w:rPr>
          <w:rFonts w:ascii="Georgia" w:eastAsiaTheme="minorEastAsia" w:hAnsi="Georgia" w:cs="Arial"/>
        </w:rPr>
        <w:t>A</w:t>
      </w:r>
      <w:r w:rsidRPr="006433D7">
        <w:rPr>
          <w:rFonts w:ascii="Georgia" w:eastAsiaTheme="minorEastAsia" w:hAnsi="Georgia" w:cs="Arial"/>
        </w:rPr>
        <w:t xml:space="preserve">lthough many studies have been conducted and the evidence-based approach appears to be growing, many studies have been conducted in a limited way and on a small scale. </w:t>
      </w:r>
      <w:r>
        <w:rPr>
          <w:rFonts w:ascii="Georgia" w:eastAsiaTheme="minorEastAsia" w:hAnsi="Georgia" w:cs="Arial"/>
        </w:rPr>
        <w:t>F</w:t>
      </w:r>
      <w:r w:rsidRPr="006433D7">
        <w:rPr>
          <w:rFonts w:ascii="Georgia" w:eastAsiaTheme="minorEastAsia" w:hAnsi="Georgia" w:cs="Arial"/>
        </w:rPr>
        <w:t>or this reason, many aspects of dementia-friendly design have become very popular despite not having solid scientific evidence, as is the case with artificial intelligence.</w:t>
      </w:r>
      <w:r>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{"citationID":"eTnrzYIi","properties":{"formattedCitation":"(Evans et al., 2022)","plainCitation":"(Evans et al., 2022)","noteIndex":0},"citationItems":[{"id":520,"uris":["http://zotero.org/users/local/I6RCzm6o/items/HK2WH8VE"],"itemData":{"id":520,"type":"article-journal","abstract":"Purpose – Recent years have seen a growing interest in and awareness of the importance of environmental design to the well-being of people living with dementia, in terms of both policy and practice. This trend has been accompanied by a plethora of advice, guidance and tools that aim to encourage and promote the development of inclusive environments. Not all of these are evidence-based, and even those that claim to be so are limited by a paucity of good quality, comprehensive research studies. This paper aims to consider the current state of knowledge in the field of dementia-friendly design and describes a project that refreshed and updated the suite of Environmental Assessment Tools originally developed by The Kings Fund and now managed by the Association for Dementia Studies.","container-title":"Working with Older People","DOI":"10.1108/WWOP-09-2021-0049","ISSN":"1366-3666, 1366-3666","issue":"2","journalAbbreviation":"WWOP","language":"en","page":"89-96","source":"DOI.org (Crossref)","title":"Designing inclusive environments for people living with dementia: how much do we really know?","title-short":"Designing inclusive environments for people living with dementia","volume":"26","author":[{"family":"Evans","given":"Simon Chester"},{"family":"Waller","given":"Sarah"},{"family":"Bray","given":"Jennifer"}],"issued":{"date-parts":[["2022",4,28]]}}}],"schema":"https://github.com/citation-style-language/schema/raw/master/csl-citation.json"} </w:instrText>
      </w:r>
      <w:r>
        <w:rPr>
          <w:rFonts w:ascii="Georgia" w:eastAsiaTheme="minorEastAsia" w:hAnsi="Georgia" w:cs="Arial"/>
        </w:rPr>
        <w:fldChar w:fldCharType="separate"/>
      </w:r>
      <w:r>
        <w:rPr>
          <w:rFonts w:ascii="Georgia" w:eastAsiaTheme="minorEastAsia" w:hAnsi="Georgia" w:cs="Arial"/>
          <w:noProof/>
        </w:rPr>
        <w:t>(Evans et al., 2022)</w:t>
      </w:r>
      <w:r>
        <w:rPr>
          <w:rFonts w:ascii="Georgia" w:eastAsiaTheme="minorEastAsia" w:hAnsi="Georgia" w:cs="Arial"/>
        </w:rPr>
        <w:fldChar w:fldCharType="end"/>
      </w:r>
      <w:r w:rsidR="003C7945">
        <w:rPr>
          <w:rFonts w:ascii="Georgia" w:eastAsiaTheme="minorEastAsia" w:hAnsi="Georgia" w:cs="Arial"/>
        </w:rPr>
        <w:t>.</w:t>
      </w:r>
      <w:r>
        <w:rPr>
          <w:rFonts w:ascii="Georgia" w:eastAsiaTheme="minorEastAsia" w:hAnsi="Georgia" w:cs="Arial"/>
        </w:rPr>
        <w:t xml:space="preserve"> </w:t>
      </w:r>
      <w:r w:rsidR="003C7945" w:rsidRPr="003C7945">
        <w:rPr>
          <w:rFonts w:ascii="Georgia" w:eastAsiaTheme="minorEastAsia" w:hAnsi="Georgia" w:cs="Arial"/>
        </w:rPr>
        <w:t xml:space="preserve">This is the case with assessment tools, which, although there are many, applicable to residences as well as hospitals or nursing homes, most are poorly applied outside the testing period. In addition, there is no specific assessment tool for Italy. In Italy, </w:t>
      </w:r>
      <w:r w:rsidR="003C7945" w:rsidRPr="003C7945">
        <w:rPr>
          <w:rFonts w:ascii="Georgia" w:eastAsiaTheme="minorEastAsia" w:hAnsi="Georgia" w:cs="Arial"/>
        </w:rPr>
        <w:lastRenderedPageBreak/>
        <w:t>an increasing number of people with dementia are living within health care facilities, an estimated 70-75% of residents</w:t>
      </w:r>
      <w:r w:rsidR="003C7945">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{"citationID":"MvVPeDi7","properties":{"formattedCitation":"(Istat, 2020)","plainCitation":"(Istat, 2020)","noteIndex":0},"citationItems":[{"id":467,"uris":["http://zotero.org/users/local/I6RCzm6o/items/ARZ477CY"],"itemData":{"id":467,"type":"document","title":"Invecchiamento attivo e condizioni di vita degli anziani in Italia","author":[{"literal":"Istat"}],"issued":{"date-parts":[["2020"]]}}}],"schema":"https://github.com/citation-style-language/schema/raw/master/csl-citation.json"} </w:instrText>
      </w:r>
      <w:r w:rsidR="003C7945">
        <w:rPr>
          <w:rFonts w:ascii="Georgia" w:eastAsiaTheme="minorEastAsia" w:hAnsi="Georgia" w:cs="Arial"/>
        </w:rPr>
        <w:fldChar w:fldCharType="separate"/>
      </w:r>
      <w:r w:rsidR="003C7945">
        <w:rPr>
          <w:rFonts w:ascii="Georgia" w:eastAsiaTheme="minorEastAsia" w:hAnsi="Georgia" w:cs="Arial"/>
          <w:noProof/>
        </w:rPr>
        <w:t>(</w:t>
      </w:r>
      <w:proofErr w:type="spellStart"/>
      <w:r w:rsidR="003C7945">
        <w:rPr>
          <w:rFonts w:ascii="Georgia" w:eastAsiaTheme="minorEastAsia" w:hAnsi="Georgia" w:cs="Arial"/>
          <w:noProof/>
        </w:rPr>
        <w:t>Istat</w:t>
      </w:r>
      <w:proofErr w:type="spellEnd"/>
      <w:r w:rsidR="003C7945">
        <w:rPr>
          <w:rFonts w:ascii="Georgia" w:eastAsiaTheme="minorEastAsia" w:hAnsi="Georgia" w:cs="Arial"/>
          <w:noProof/>
        </w:rPr>
        <w:t>, 2020)</w:t>
      </w:r>
      <w:r w:rsidR="003C7945">
        <w:rPr>
          <w:rFonts w:ascii="Georgia" w:eastAsiaTheme="minorEastAsia" w:hAnsi="Georgia" w:cs="Arial"/>
        </w:rPr>
        <w:fldChar w:fldCharType="end"/>
      </w:r>
      <w:r w:rsidR="003C7945" w:rsidRPr="003C7945">
        <w:rPr>
          <w:rFonts w:ascii="Georgia" w:eastAsiaTheme="minorEastAsia" w:hAnsi="Georgia" w:cs="Arial"/>
        </w:rPr>
        <w:t>.</w:t>
      </w:r>
    </w:p>
    <w:p w14:paraId="1C7ABF14" w14:textId="4ACE9889" w:rsidR="003C7945" w:rsidRPr="003C7945" w:rsidRDefault="003C7945" w:rsidP="003C7945">
      <w:pPr>
        <w:pStyle w:val="MDPI31text"/>
        <w:rPr>
          <w:rFonts w:ascii="Georgia" w:eastAsiaTheme="minorEastAsia" w:hAnsi="Georgia" w:cs="Arial"/>
        </w:rPr>
      </w:pPr>
      <w:r w:rsidRPr="003C7945">
        <w:rPr>
          <w:rFonts w:ascii="Georgia" w:eastAsiaTheme="minorEastAsia" w:hAnsi="Georgia" w:cs="Arial"/>
        </w:rPr>
        <w:t xml:space="preserve"> Italy now ranks second in dementia prevalence (22.5 people per 1000 of any age in 2017), preceded only by Japan (23.3 per 1000)</w:t>
      </w:r>
      <w:r>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{"citationID":"UpYblM4S","properties":{"formattedCitation":"(OECD, 2017)","plainCitation":"(OECD, 2017)","noteIndex":0},"citationItems":[{"id":536,"uris":["http://zotero.org/users/local/I6RCzm6o/items/ULTWX82T"],"itemData":{"id":536,"type":"book","collection-title":"Health at a Glance","ISBN":"978-92-64-28039-7","language":"en","note":"DOI: 10.1787/health_glance-2017-en","publisher":"OECD","source":"DOI.org (Crossref)","title":"Health at a Glance 2017: OECD Indicators","title-short":"Health at a Glance 2017","URL":"https://www.oecd-ilibrary.org/social-issues-migration-health/health-at-a-glance-2017_health_glance-2017-en","author":[{"literal":"OECD"}],"accessed":{"date-parts":[["2022",7,8]]},"issued":{"date-parts":[["2017",11,10]]}}}],"schema":"https://github.com/citation-style-language/schema/raw/master/csl-citation.json"} </w:instrText>
      </w:r>
      <w:r>
        <w:rPr>
          <w:rFonts w:ascii="Georgia" w:eastAsiaTheme="minorEastAsia" w:hAnsi="Georgia" w:cs="Arial"/>
        </w:rPr>
        <w:fldChar w:fldCharType="separate"/>
      </w:r>
      <w:r>
        <w:rPr>
          <w:rFonts w:ascii="Georgia" w:eastAsiaTheme="minorEastAsia" w:hAnsi="Georgia" w:cs="Arial"/>
          <w:noProof/>
        </w:rPr>
        <w:t>(OECD, 2017)</w:t>
      </w:r>
      <w:r>
        <w:rPr>
          <w:rFonts w:ascii="Georgia" w:eastAsiaTheme="minorEastAsia" w:hAnsi="Georgia" w:cs="Arial"/>
        </w:rPr>
        <w:fldChar w:fldCharType="end"/>
      </w:r>
      <w:r w:rsidRPr="003C7945">
        <w:rPr>
          <w:rFonts w:ascii="Georgia" w:eastAsiaTheme="minorEastAsia" w:hAnsi="Georgia" w:cs="Arial"/>
        </w:rPr>
        <w:t>. For this reason, there is an urgent need to evaluate the facilities in which these people with special needs live and create new facilities that promote the well-being and quality of life of older people with cognitive disorders and dementia.</w:t>
      </w:r>
    </w:p>
    <w:p w14:paraId="4F0FCEE0" w14:textId="4678F730" w:rsidR="00A86E9F"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22ADC00E" w14:textId="04638349" w:rsidR="006A02E4" w:rsidRDefault="006A02E4" w:rsidP="00CF7B51">
      <w:pPr>
        <w:pStyle w:val="MDPI31text"/>
        <w:ind w:left="0" w:firstLine="0"/>
        <w:rPr>
          <w:rFonts w:ascii="Georgia" w:eastAsiaTheme="minorEastAsia" w:hAnsi="Georgia" w:cs="Arial"/>
        </w:rPr>
      </w:pPr>
    </w:p>
    <w:p w14:paraId="15CFF5C3" w14:textId="0A125B5B" w:rsidR="00AB35F7" w:rsidRDefault="00AB35F7" w:rsidP="00AB35F7">
      <w:pPr>
        <w:pStyle w:val="MDPI31text"/>
        <w:rPr>
          <w:rFonts w:ascii="Georgia" w:eastAsiaTheme="minorEastAsia" w:hAnsi="Georgia" w:cs="Arial"/>
        </w:rPr>
      </w:pPr>
      <w:r w:rsidRPr="008B4F50">
        <w:rPr>
          <w:rFonts w:ascii="Georgia" w:eastAsiaTheme="minorEastAsia" w:hAnsi="Georgia" w:cs="Arial"/>
        </w:rPr>
        <w:t xml:space="preserve">The study evaluates facilities housing patients with dementia through the application of a previously validated </w:t>
      </w:r>
      <w:r w:rsidR="003C7945">
        <w:rPr>
          <w:rFonts w:ascii="Georgia" w:eastAsiaTheme="minorEastAsia" w:hAnsi="Georgia" w:cs="Arial"/>
        </w:rPr>
        <w:t>checklist</w:t>
      </w:r>
      <w:r w:rsidR="001D2D31">
        <w:rPr>
          <w:rFonts w:ascii="Georgia" w:eastAsiaTheme="minorEastAsia" w:hAnsi="Georgia" w:cs="Arial"/>
        </w:rPr>
        <w:t>, a simple assessment tool for rapid evaluation of design features frequently used in several situations related to healthcare design</w:t>
      </w:r>
      <w:r w:rsidR="006D069A">
        <w:rPr>
          <w:rFonts w:ascii="Georgia" w:eastAsiaTheme="minorEastAsia" w:hAnsi="Georgia" w:cs="Arial"/>
        </w:rPr>
        <w:t xml:space="preserve"> studies </w:t>
      </w:r>
      <w:r w:rsidR="001D2D31">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{"citationID":"DejgKetH","properties":{"formattedCitation":"(Brambilla, Lindahl, et al., 2021; Capolongo et al., 2021)","plainCitation":"(Brambilla, Lindahl, et al., 2021; Capolongo et al., 2021)","noteIndex":0},"citationItems":[{"id":"YRjjADYt/1ttijTaS","uris":["http://zotero.org/users/local/AdhdAbFn/items/LZ4YHG8Z"],"itemData":{"id":735,"type":"article-journal","abstract":"Purpose\n              Several healthcare quality assessment tools measure the processes and outcomes of the care system. The actual physical infrastructure (buildings and organizational) aspects are, however, rarely considered. The purpose of this paper is to describe the process of validation and weighting of an evidence-informed framework for the quality assessment of hospital facilities from social, environmental and organizational perspectives to complement other assessments.\n            \n            \n              Design/methodology/approach\n              Sustainable High-quality Healthcare version 2 (SustHealth v2) is the updated version of an existing framework composed of three domains (social, environmental and organizational quality). To validate and establish a relevant weighting, interviews were conducted with 15 professionals within the field of healthcare planning, design, research and management. The study has been conducted through semi-structured interviews and the application of the Simon Roy Figueras (SRF) procedure for the elicitation of weights criteria. The data collected have been processed through the DecSpace web platform.\n            \n            \n              Findings\n              Among the three domains, the organizational qualities appear to be the most important (W = 49%), followed by the environmental (W = 29%) and social aspects (W = 22%). Relevant indicators such as future-proofing, wayfinding and users’ space control emerged as the most important within each macro-area. Those results are confirmed by the outcome of the interviews that highlight user/patient-centeredness, wayfinding strategies and space functionality as the most important concepts to foster in existing healthcare facilities improvement.\n            \n            \n              Practical implications\n              The study highlights important structural and organizational aspects that hospital managers and planners can consider when dealing with healthcare facilities’ quality improvement.\n            \n            \n              Originality/value\n              The use of the SRF multicriteria method is novel in this context when used to weight an assessment tool with a focus on hospital built environment.","container-title":"Facilities","DOI":"10.1108/F-06-2020-0070","ISSN":"0263-2772, 0263-2772","issue":"5/6","journalAbbreviation":"F","language":"en","page":"434-447","source":"DOI.org (Crossref)","title":"Validation of a multiple criteria tool for healthcare facilities quality evaluation","volume":"39","author":[{"family":"Brambilla","given":"Andrea"},{"family":"Lindahl","given":"Göran"},{"family":"Dell'Ovo","given":"Marta"},{"family":"Capolongo","given":"Stefano"}],"issued":{"date-parts":[["2021",3,31]]}}},{"id":"YRjjADYt/iA9dB53f","uris":["http://zotero.org/users/local/AdhdAbFn/items/B7PN3JB8"],"itemData":{"id":738,"type":"article-journal","abstract":"Starting from the minimum requirements indicated by Lombardy Region, a validation checklist has been developed by experts in design, healthcare layout planning, hygiene and public health, planning and compliance, in order to provide managers of COVID-19 massive vaccination centers with a useful and easy-to-use tool to ensure quality, safety and efficiency of the different activities performed.","container-title":"Annali Di Igiene: Medicina Preventiva E Di Comunita","DOI":"10.7416/ai.2021.2460","ISSN":"1120-9135","title":"Validation Checklist for Massive Vaccination Centers","author":[{"family":"Capolongo","given":"Stefano"},{"family":"Brambilla","given":"Andrea"},{"family":"Girardi","given":"Alberto"},{"family":"Signorelli","given":"Carlo"}],"issued":{"date-parts":[["2021"]]}}}],"schema":"https://github.com/citation-style-language/schema/raw/master/csl-citation.json"} </w:instrText>
      </w:r>
      <w:r w:rsidR="001D2D31">
        <w:rPr>
          <w:rFonts w:ascii="Georgia" w:eastAsiaTheme="minorEastAsia" w:hAnsi="Georgia" w:cs="Arial"/>
        </w:rPr>
        <w:fldChar w:fldCharType="separate"/>
      </w:r>
      <w:r w:rsidR="00342F67">
        <w:rPr>
          <w:rFonts w:ascii="Georgia" w:eastAsiaTheme="minorEastAsia" w:hAnsi="Georgia" w:cs="Arial"/>
          <w:noProof/>
        </w:rPr>
        <w:t>(Brambilla, Lindahl, et al., 2021; Capolongo et al., 2021)</w:t>
      </w:r>
      <w:r w:rsidR="001D2D31">
        <w:rPr>
          <w:rFonts w:ascii="Georgia" w:eastAsiaTheme="minorEastAsia" w:hAnsi="Georgia" w:cs="Arial"/>
        </w:rPr>
        <w:fldChar w:fldCharType="end"/>
      </w:r>
      <w:r w:rsidRPr="008B4F50">
        <w:rPr>
          <w:rFonts w:ascii="Georgia" w:eastAsiaTheme="minorEastAsia" w:hAnsi="Georgia" w:cs="Arial"/>
        </w:rPr>
        <w:t>. The purpose is to understand how well the environments meet the space quality requirements highlighted in the literature.</w:t>
      </w:r>
    </w:p>
    <w:p w14:paraId="00CB08BD" w14:textId="63D30E52" w:rsidR="00CF7B51" w:rsidRDefault="003C7945" w:rsidP="00CF7B51">
      <w:pPr>
        <w:pStyle w:val="MDPI31text"/>
        <w:rPr>
          <w:rFonts w:ascii="Georgia" w:eastAsiaTheme="minorEastAsia" w:hAnsi="Georgia" w:cs="Arial"/>
        </w:rPr>
      </w:pPr>
      <w:r>
        <w:rPr>
          <w:rFonts w:ascii="Georgia" w:eastAsiaTheme="minorEastAsia" w:hAnsi="Georgia" w:cs="Arial"/>
        </w:rPr>
        <w:t>The checklist</w:t>
      </w:r>
      <w:r w:rsidR="00FB6CF1">
        <w:rPr>
          <w:rFonts w:ascii="Georgia" w:eastAsiaTheme="minorEastAsia" w:hAnsi="Georgia" w:cs="Arial"/>
        </w:rPr>
        <w:t xml:space="preserve"> has been created according to </w:t>
      </w:r>
      <w:r w:rsidR="00CF7B51">
        <w:rPr>
          <w:rFonts w:ascii="Georgia" w:eastAsiaTheme="minorEastAsia" w:hAnsi="Georgia" w:cs="Arial"/>
        </w:rPr>
        <w:t xml:space="preserve">design guidelines and strategies </w:t>
      </w:r>
      <w:r w:rsidR="00CF7B51">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{"citationID":"N44Ij6PB","properties":{"formattedCitation":"(Brambilla, Maino, et al., 2020)","plainCitation":"(Brambilla, Maino, et al., 2020)","noteIndex":0},"citationItems":[{"id":477,"uris":["http://zotero.org/users/local/I6RCzm6o/items/WPVQ3VCP"],"itemData":{"id":477,"type":"chapter","container-title":"New Metropolitan Perspectives","event-place":"Cham","ISBN":"978-3-030-52868-3","language":"en","note":"collection-title: Smart Innovation, Systems and Technologies\nDOI: 10.1007/978-3-030-52869-0_15","page":"178-186","publisher":"Springer International Publishing","publisher-place":"Cham","source":"DOI.org (Crossref)","title":"Built Environment and Alzheimer. Quality Evaluation of Territorial Structures for Patients with Dementia","URL":"http://link.springer.com/10.1007/978-3-030-52869-0_15","volume":"177","editor":[{"family":"Bevilacqua","given":"Carmelina"},{"family":"Calabrò","given":"Francesco"},{"family":"Della Spina","given":"Lucia"}],"author":[{"family":"Brambilla","given":"Andrea"},{"family":"Maino","given":"Roberto"},{"family":"Mangili","given":"Silvia"},{"family":"Capolongo","given":"Stefano"}],"accessed":{"date-parts":[["2022",3,15]]},"issued":{"date-parts":[["2020"]]}}}],"schema":"https://github.com/citation-style-language/schema/raw/master/csl-citation.json"} </w:instrText>
      </w:r>
      <w:r w:rsidR="00CF7B51">
        <w:rPr>
          <w:rFonts w:ascii="Georgia" w:eastAsiaTheme="minorEastAsia" w:hAnsi="Georgia" w:cs="Arial"/>
        </w:rPr>
        <w:fldChar w:fldCharType="separate"/>
      </w:r>
      <w:r w:rsidR="00444135">
        <w:rPr>
          <w:rFonts w:ascii="Georgia" w:eastAsiaTheme="minorEastAsia" w:hAnsi="Georgia" w:cs="Arial"/>
          <w:noProof/>
        </w:rPr>
        <w:t>(Brambilla, Maino, et al., 2020)</w:t>
      </w:r>
      <w:r w:rsidR="00CF7B51">
        <w:rPr>
          <w:rFonts w:ascii="Georgia" w:eastAsiaTheme="minorEastAsia" w:hAnsi="Georgia" w:cs="Arial"/>
        </w:rPr>
        <w:fldChar w:fldCharType="end"/>
      </w:r>
      <w:r w:rsidR="00CF7B51">
        <w:rPr>
          <w:rFonts w:ascii="Georgia" w:eastAsiaTheme="minorEastAsia" w:hAnsi="Georgia" w:cs="Arial"/>
        </w:rPr>
        <w:t xml:space="preserve"> derived by </w:t>
      </w:r>
      <w:r w:rsidR="00FB6CF1">
        <w:rPr>
          <w:rFonts w:ascii="Georgia" w:eastAsiaTheme="minorEastAsia" w:hAnsi="Georgia" w:cs="Arial"/>
        </w:rPr>
        <w:t>a</w:t>
      </w:r>
      <w:r w:rsidR="00CF7B51">
        <w:rPr>
          <w:rFonts w:ascii="Georgia" w:eastAsiaTheme="minorEastAsia" w:hAnsi="Georgia" w:cs="Arial"/>
        </w:rPr>
        <w:t xml:space="preserve"> systematic</w:t>
      </w:r>
      <w:r w:rsidR="00FB6CF1">
        <w:rPr>
          <w:rFonts w:ascii="Georgia" w:eastAsiaTheme="minorEastAsia" w:hAnsi="Georgia" w:cs="Arial"/>
        </w:rPr>
        <w:t xml:space="preserve"> </w:t>
      </w:r>
      <w:r w:rsidR="006A02E4" w:rsidRPr="006A02E4">
        <w:rPr>
          <w:rFonts w:ascii="Georgia" w:eastAsiaTheme="minorEastAsia" w:hAnsi="Georgia" w:cs="Arial"/>
        </w:rPr>
        <w:t>literature</w:t>
      </w:r>
      <w:r w:rsidR="00CF7B51">
        <w:rPr>
          <w:rFonts w:ascii="Georgia" w:eastAsiaTheme="minorEastAsia" w:hAnsi="Georgia" w:cs="Arial"/>
        </w:rPr>
        <w:t xml:space="preserve"> review</w:t>
      </w:r>
      <w:r w:rsidR="006A02E4" w:rsidRPr="006A02E4">
        <w:rPr>
          <w:rFonts w:ascii="Georgia" w:eastAsiaTheme="minorEastAsia" w:hAnsi="Georgia" w:cs="Arial"/>
        </w:rPr>
        <w:t xml:space="preserve">, case studies, and </w:t>
      </w:r>
      <w:r w:rsidR="00FB6CF1">
        <w:rPr>
          <w:rFonts w:ascii="Georgia" w:eastAsiaTheme="minorEastAsia" w:hAnsi="Georgia" w:cs="Arial"/>
        </w:rPr>
        <w:t>tools already in use</w:t>
      </w:r>
      <w:r w:rsidR="00CF7B51">
        <w:rPr>
          <w:rFonts w:ascii="Georgia" w:eastAsiaTheme="minorEastAsia" w:hAnsi="Georgia" w:cs="Arial"/>
        </w:rPr>
        <w:t>. This</w:t>
      </w:r>
      <w:r w:rsidR="006A02E4" w:rsidRPr="006A02E4">
        <w:rPr>
          <w:rFonts w:ascii="Georgia" w:eastAsiaTheme="minorEastAsia" w:hAnsi="Georgia" w:cs="Arial"/>
        </w:rPr>
        <w:t xml:space="preserve"> </w:t>
      </w:r>
      <w:r w:rsidR="00FB6CF1">
        <w:rPr>
          <w:rFonts w:ascii="Georgia" w:eastAsiaTheme="minorEastAsia" w:hAnsi="Georgia" w:cs="Arial"/>
        </w:rPr>
        <w:t>allowing</w:t>
      </w:r>
      <w:r w:rsidR="006A02E4" w:rsidRPr="006A02E4">
        <w:rPr>
          <w:rFonts w:ascii="Georgia" w:eastAsiaTheme="minorEastAsia" w:hAnsi="Georgia" w:cs="Arial"/>
        </w:rPr>
        <w:t xml:space="preserve"> to understand </w:t>
      </w:r>
      <w:r w:rsidR="00F30359">
        <w:rPr>
          <w:rFonts w:ascii="Georgia" w:eastAsiaTheme="minorEastAsia" w:hAnsi="Georgia" w:cs="Arial"/>
        </w:rPr>
        <w:t>which</w:t>
      </w:r>
      <w:r w:rsidR="006A02E4" w:rsidRPr="006A02E4">
        <w:rPr>
          <w:rFonts w:ascii="Georgia" w:eastAsiaTheme="minorEastAsia" w:hAnsi="Georgia" w:cs="Arial"/>
        </w:rPr>
        <w:t xml:space="preserve"> </w:t>
      </w:r>
      <w:r w:rsidR="00CF7B51">
        <w:rPr>
          <w:rFonts w:ascii="Georgia" w:eastAsiaTheme="minorEastAsia" w:hAnsi="Georgia" w:cs="Arial"/>
        </w:rPr>
        <w:t>the fundamental aspects are</w:t>
      </w:r>
      <w:r w:rsidR="00F30359" w:rsidRPr="006A02E4">
        <w:rPr>
          <w:rFonts w:ascii="Georgia" w:eastAsiaTheme="minorEastAsia" w:hAnsi="Georgia" w:cs="Arial"/>
        </w:rPr>
        <w:t xml:space="preserve"> </w:t>
      </w:r>
      <w:r w:rsidR="006A02E4" w:rsidRPr="006A02E4">
        <w:rPr>
          <w:rFonts w:ascii="Georgia" w:eastAsiaTheme="minorEastAsia" w:hAnsi="Georgia" w:cs="Arial"/>
        </w:rPr>
        <w:t xml:space="preserve">to be </w:t>
      </w:r>
      <w:r w:rsidR="00F30359" w:rsidRPr="006A02E4">
        <w:rPr>
          <w:rFonts w:ascii="Georgia" w:eastAsiaTheme="minorEastAsia" w:hAnsi="Georgia" w:cs="Arial"/>
        </w:rPr>
        <w:t>considered</w:t>
      </w:r>
      <w:r w:rsidR="006A02E4" w:rsidRPr="006A02E4">
        <w:rPr>
          <w:rFonts w:ascii="Georgia" w:eastAsiaTheme="minorEastAsia" w:hAnsi="Georgia" w:cs="Arial"/>
        </w:rPr>
        <w:t xml:space="preserve"> and implemented in a healthcare residence tha</w:t>
      </w:r>
      <w:r w:rsidR="00991F4A">
        <w:rPr>
          <w:rFonts w:ascii="Georgia" w:eastAsiaTheme="minorEastAsia" w:hAnsi="Georgia" w:cs="Arial"/>
        </w:rPr>
        <w:t xml:space="preserve">t </w:t>
      </w:r>
      <w:r w:rsidR="006A02E4" w:rsidRPr="006A02E4">
        <w:rPr>
          <w:rFonts w:ascii="Georgia" w:eastAsiaTheme="minorEastAsia" w:hAnsi="Georgia" w:cs="Arial"/>
        </w:rPr>
        <w:t>can accommodate patients with dementia and Alzheimer's disease.</w:t>
      </w:r>
      <w:r w:rsidR="00A876E6">
        <w:rPr>
          <w:rFonts w:ascii="Georgia" w:eastAsiaTheme="minorEastAsia" w:hAnsi="Georgia" w:cs="Arial"/>
        </w:rPr>
        <w:t xml:space="preserve"> </w:t>
      </w:r>
    </w:p>
    <w:p w14:paraId="15F77905" w14:textId="7DC2F8A1" w:rsidR="00396FCA" w:rsidRDefault="00CF7B51" w:rsidP="00CF7B51">
      <w:pPr>
        <w:pStyle w:val="MDPI31text"/>
        <w:rPr>
          <w:rFonts w:ascii="Georgia" w:eastAsiaTheme="minorEastAsia" w:hAnsi="Georgia" w:cs="Arial"/>
        </w:rPr>
      </w:pPr>
      <w:r w:rsidRPr="006A02E4">
        <w:rPr>
          <w:rFonts w:ascii="Georgia" w:eastAsiaTheme="minorEastAsia" w:hAnsi="Georgia" w:cs="Arial"/>
        </w:rPr>
        <w:t>In particular, the literature was the initial push that provided a general and complete picture of the specific needs for the various areas of care and the ideal therapeutic environment.</w:t>
      </w:r>
      <w:r>
        <w:rPr>
          <w:rFonts w:ascii="Georgia" w:eastAsiaTheme="minorEastAsia" w:hAnsi="Georgia" w:cs="Arial"/>
        </w:rPr>
        <w:t xml:space="preserve"> </w:t>
      </w:r>
      <w:r w:rsidRPr="006A02E4">
        <w:rPr>
          <w:rFonts w:ascii="Georgia" w:eastAsiaTheme="minorEastAsia" w:hAnsi="Georgia" w:cs="Arial"/>
        </w:rPr>
        <w:t>The case studies have confirmed and shaped the previously identified criteria, adding</w:t>
      </w:r>
      <w:r>
        <w:rPr>
          <w:rFonts w:ascii="Georgia" w:eastAsiaTheme="minorEastAsia" w:hAnsi="Georgia" w:cs="Arial"/>
        </w:rPr>
        <w:t xml:space="preserve"> </w:t>
      </w:r>
      <w:r w:rsidRPr="006A02E4">
        <w:rPr>
          <w:rFonts w:ascii="Georgia" w:eastAsiaTheme="minorEastAsia" w:hAnsi="Georgia" w:cs="Arial"/>
        </w:rPr>
        <w:t>further details for each of them. This was made possible by highlighting the spaces and the</w:t>
      </w:r>
      <w:r>
        <w:rPr>
          <w:rFonts w:ascii="Georgia" w:eastAsiaTheme="minorEastAsia" w:hAnsi="Georgia" w:cs="Arial"/>
        </w:rPr>
        <w:t xml:space="preserve"> </w:t>
      </w:r>
      <w:r w:rsidRPr="006A02E4">
        <w:rPr>
          <w:rFonts w:ascii="Georgia" w:eastAsiaTheme="minorEastAsia" w:hAnsi="Georgia" w:cs="Arial"/>
        </w:rPr>
        <w:t>percentages they occupy within the entire structures analyzed.</w:t>
      </w:r>
      <w:r>
        <w:rPr>
          <w:rFonts w:ascii="Georgia" w:eastAsiaTheme="minorEastAsia" w:hAnsi="Georgia" w:cs="Arial"/>
        </w:rPr>
        <w:t xml:space="preserve"> </w:t>
      </w:r>
      <w:r w:rsidRPr="006A02E4">
        <w:rPr>
          <w:rFonts w:ascii="Georgia" w:eastAsiaTheme="minorEastAsia" w:hAnsi="Georgia" w:cs="Arial"/>
        </w:rPr>
        <w:t>The questionnaires have had a twofold usefulness. On the one hand, they have made it possible to understand</w:t>
      </w:r>
      <w:r>
        <w:rPr>
          <w:rFonts w:ascii="Georgia" w:eastAsiaTheme="minorEastAsia" w:hAnsi="Georgia" w:cs="Arial"/>
        </w:rPr>
        <w:t xml:space="preserve"> </w:t>
      </w:r>
      <w:r w:rsidRPr="006A02E4">
        <w:rPr>
          <w:rFonts w:ascii="Georgia" w:eastAsiaTheme="minorEastAsia" w:hAnsi="Georgia" w:cs="Arial"/>
        </w:rPr>
        <w:t>in which way to put into effect the evaluative system, that is if to insert questions to multiple answer or to</w:t>
      </w:r>
      <w:r>
        <w:rPr>
          <w:rFonts w:ascii="Georgia" w:eastAsiaTheme="minorEastAsia" w:hAnsi="Georgia" w:cs="Arial"/>
        </w:rPr>
        <w:t xml:space="preserve"> </w:t>
      </w:r>
      <w:r w:rsidRPr="006A02E4">
        <w:rPr>
          <w:rFonts w:ascii="Georgia" w:eastAsiaTheme="minorEastAsia" w:hAnsi="Georgia" w:cs="Arial"/>
        </w:rPr>
        <w:t xml:space="preserve">direct response. </w:t>
      </w:r>
    </w:p>
    <w:p w14:paraId="3BC92C1A" w14:textId="77777777" w:rsidR="00CF7B51" w:rsidRDefault="00CF7B51" w:rsidP="00CF7B51">
      <w:pPr>
        <w:pStyle w:val="MDPI31text"/>
        <w:rPr>
          <w:rFonts w:ascii="Georgia" w:eastAsiaTheme="minorEastAsia" w:hAnsi="Georgia" w:cs="Arial"/>
        </w:rPr>
      </w:pPr>
    </w:p>
    <w:p w14:paraId="6D978B91" w14:textId="3ABD306B" w:rsidR="00305ED4" w:rsidRPr="00C2699A" w:rsidRDefault="00305ED4" w:rsidP="00305ED4">
      <w:pPr>
        <w:pStyle w:val="MDPI31text"/>
        <w:rPr>
          <w:rFonts w:ascii="Georgia" w:eastAsiaTheme="minorEastAsia" w:hAnsi="Georgia" w:cs="Arial"/>
        </w:rPr>
      </w:pPr>
      <w:r>
        <w:rPr>
          <w:rFonts w:ascii="Georgia" w:eastAsiaTheme="minorEastAsia" w:hAnsi="Georgia" w:cs="Arial"/>
        </w:rPr>
        <w:t xml:space="preserve">The tool is composed by </w:t>
      </w:r>
      <w:r w:rsidRPr="00C2699A">
        <w:rPr>
          <w:rFonts w:ascii="Georgia" w:eastAsiaTheme="minorEastAsia" w:hAnsi="Georgia" w:cs="Arial"/>
        </w:rPr>
        <w:t>four macro areas</w:t>
      </w:r>
      <w:r>
        <w:rPr>
          <w:rFonts w:ascii="Georgia" w:eastAsiaTheme="minorEastAsia" w:hAnsi="Georgia" w:cs="Arial"/>
        </w:rPr>
        <w:t xml:space="preserve"> and 19 criteria divided into</w:t>
      </w:r>
      <w:r w:rsidRPr="00C2699A">
        <w:rPr>
          <w:rFonts w:ascii="Georgia" w:eastAsiaTheme="minorEastAsia" w:hAnsi="Georgia" w:cs="Arial"/>
        </w:rPr>
        <w:t>:</w:t>
      </w:r>
    </w:p>
    <w:p w14:paraId="69D230E2" w14:textId="542EC38C" w:rsidR="00305ED4" w:rsidRPr="00C2699A" w:rsidRDefault="00305ED4" w:rsidP="007E58B0">
      <w:pPr>
        <w:pStyle w:val="MDPI31text"/>
        <w:rPr>
          <w:rFonts w:ascii="Georgia" w:eastAsiaTheme="minorEastAsia" w:hAnsi="Georgia" w:cs="Arial"/>
        </w:rPr>
      </w:pPr>
      <w:r w:rsidRPr="00C2699A">
        <w:rPr>
          <w:rFonts w:ascii="Georgia" w:eastAsiaTheme="minorEastAsia" w:hAnsi="Georgia" w:cs="Arial"/>
        </w:rPr>
        <w:t xml:space="preserve">- </w:t>
      </w:r>
      <w:r w:rsidR="006D069A">
        <w:rPr>
          <w:rFonts w:ascii="Georgia" w:eastAsiaTheme="minorEastAsia" w:hAnsi="Georgia" w:cs="Arial"/>
          <w:b/>
          <w:bCs/>
        </w:rPr>
        <w:t>Q</w:t>
      </w:r>
      <w:r w:rsidRPr="007E58B0">
        <w:rPr>
          <w:rFonts w:ascii="Georgia" w:eastAsiaTheme="minorEastAsia" w:hAnsi="Georgia" w:cs="Arial"/>
          <w:b/>
          <w:bCs/>
        </w:rPr>
        <w:t>uality</w:t>
      </w:r>
      <w:r>
        <w:rPr>
          <w:rFonts w:ascii="Georgia" w:eastAsiaTheme="minorEastAsia" w:hAnsi="Georgia" w:cs="Arial"/>
        </w:rPr>
        <w:t>:</w:t>
      </w:r>
      <w:r w:rsidRPr="00C2699A">
        <w:rPr>
          <w:rFonts w:ascii="Georgia" w:eastAsiaTheme="minorEastAsia" w:hAnsi="Georgia" w:cs="Arial"/>
        </w:rPr>
        <w:t xml:space="preserve"> </w:t>
      </w:r>
      <w:r w:rsidR="007E58B0">
        <w:rPr>
          <w:rFonts w:ascii="Georgia" w:eastAsiaTheme="minorEastAsia" w:hAnsi="Georgia" w:cs="Arial"/>
        </w:rPr>
        <w:t>(</w:t>
      </w:r>
      <w:r w:rsidRPr="00C2699A">
        <w:rPr>
          <w:rFonts w:ascii="Georgia" w:eastAsiaTheme="minorEastAsia" w:hAnsi="Georgia" w:cs="Arial"/>
        </w:rPr>
        <w:t>visual quality</w:t>
      </w:r>
      <w:r>
        <w:rPr>
          <w:rFonts w:ascii="Georgia" w:eastAsiaTheme="minorEastAsia" w:hAnsi="Georgia" w:cs="Arial"/>
        </w:rPr>
        <w:t>,</w:t>
      </w:r>
      <w:r w:rsidRPr="00C2699A">
        <w:rPr>
          <w:rFonts w:ascii="Georgia" w:eastAsiaTheme="minorEastAsia" w:hAnsi="Georgia" w:cs="Arial"/>
        </w:rPr>
        <w:t xml:space="preserve"> noise, smells</w:t>
      </w:r>
      <w:r>
        <w:rPr>
          <w:rFonts w:ascii="Georgia" w:eastAsiaTheme="minorEastAsia" w:hAnsi="Georgia" w:cs="Arial"/>
        </w:rPr>
        <w:t>,</w:t>
      </w:r>
      <w:r w:rsidRPr="00C2699A">
        <w:rPr>
          <w:rFonts w:ascii="Georgia" w:eastAsiaTheme="minorEastAsia" w:hAnsi="Georgia" w:cs="Arial"/>
        </w:rPr>
        <w:t xml:space="preserve"> colors, safety, domesticity, small scale and perceptions</w:t>
      </w:r>
      <w:r w:rsidR="007E58B0">
        <w:rPr>
          <w:rFonts w:ascii="Georgia" w:eastAsiaTheme="minorEastAsia" w:hAnsi="Georgia" w:cs="Arial"/>
        </w:rPr>
        <w:t xml:space="preserve">) </w:t>
      </w:r>
      <w:r w:rsidR="007E58B0" w:rsidRPr="00530657">
        <w:rPr>
          <w:rFonts w:ascii="Georgia" w:eastAsiaTheme="minorEastAsia" w:hAnsi="Georgia" w:cs="Arial"/>
        </w:rPr>
        <w:t>Patients with dementia need a place that allows them to live their</w:t>
      </w:r>
      <w:r w:rsidR="007E58B0">
        <w:rPr>
          <w:rFonts w:ascii="Georgia" w:eastAsiaTheme="minorEastAsia" w:hAnsi="Georgia" w:cs="Arial"/>
        </w:rPr>
        <w:t xml:space="preserve"> </w:t>
      </w:r>
      <w:r w:rsidR="007E58B0" w:rsidRPr="00530657">
        <w:rPr>
          <w:rFonts w:ascii="Georgia" w:eastAsiaTheme="minorEastAsia" w:hAnsi="Georgia" w:cs="Arial"/>
        </w:rPr>
        <w:t>lives in an environment designed specifically for their needs and adapted to the changes that the disease produces at sensory and perceptive level</w:t>
      </w:r>
      <w:r w:rsidR="007E58B0">
        <w:rPr>
          <w:rFonts w:ascii="Georgia" w:eastAsiaTheme="minorEastAsia" w:hAnsi="Georgia" w:cs="Arial"/>
        </w:rPr>
        <w:t>,</w:t>
      </w:r>
    </w:p>
    <w:p w14:paraId="3FAA4E01" w14:textId="2110B6F1" w:rsidR="00305ED4" w:rsidRPr="00C2699A" w:rsidRDefault="00305ED4" w:rsidP="007E58B0">
      <w:pPr>
        <w:pStyle w:val="MDPI31text"/>
        <w:rPr>
          <w:rFonts w:ascii="Georgia" w:eastAsiaTheme="minorEastAsia" w:hAnsi="Georgia" w:cs="Arial"/>
        </w:rPr>
      </w:pPr>
      <w:r w:rsidRPr="00C2699A">
        <w:rPr>
          <w:rFonts w:ascii="Georgia" w:eastAsiaTheme="minorEastAsia" w:hAnsi="Georgia" w:cs="Arial"/>
        </w:rPr>
        <w:t xml:space="preserve">- </w:t>
      </w:r>
      <w:r w:rsidR="006D069A">
        <w:rPr>
          <w:rFonts w:ascii="Georgia" w:eastAsiaTheme="minorEastAsia" w:hAnsi="Georgia" w:cs="Arial"/>
          <w:b/>
          <w:bCs/>
        </w:rPr>
        <w:t>S</w:t>
      </w:r>
      <w:r w:rsidRPr="007E58B0">
        <w:rPr>
          <w:rFonts w:ascii="Georgia" w:eastAsiaTheme="minorEastAsia" w:hAnsi="Georgia" w:cs="Arial"/>
          <w:b/>
          <w:bCs/>
        </w:rPr>
        <w:t>paces</w:t>
      </w:r>
      <w:r>
        <w:rPr>
          <w:rFonts w:ascii="Georgia" w:eastAsiaTheme="minorEastAsia" w:hAnsi="Georgia" w:cs="Arial"/>
        </w:rPr>
        <w:t xml:space="preserve">: </w:t>
      </w:r>
      <w:r w:rsidR="007E58B0">
        <w:rPr>
          <w:rFonts w:ascii="Georgia" w:eastAsiaTheme="minorEastAsia" w:hAnsi="Georgia" w:cs="Arial"/>
        </w:rPr>
        <w:t>(</w:t>
      </w:r>
      <w:r>
        <w:rPr>
          <w:rFonts w:ascii="Georgia" w:eastAsiaTheme="minorEastAsia" w:hAnsi="Georgia" w:cs="Arial"/>
        </w:rPr>
        <w:t>room, garden, and common areas</w:t>
      </w:r>
      <w:r w:rsidR="007E58B0">
        <w:rPr>
          <w:rFonts w:ascii="Georgia" w:eastAsiaTheme="minorEastAsia" w:hAnsi="Georgia" w:cs="Arial"/>
        </w:rPr>
        <w:t xml:space="preserve">) </w:t>
      </w:r>
      <w:r w:rsidR="007E58B0" w:rsidRPr="00530657">
        <w:rPr>
          <w:rFonts w:ascii="Georgia" w:eastAsiaTheme="minorEastAsia" w:hAnsi="Georgia" w:cs="Arial"/>
        </w:rPr>
        <w:t>understood as the spatial configuration of the environments needed by the patient, the staff and all those who participate in life in the facility</w:t>
      </w:r>
      <w:r>
        <w:rPr>
          <w:rFonts w:ascii="Georgia" w:eastAsiaTheme="minorEastAsia" w:hAnsi="Georgia" w:cs="Arial"/>
        </w:rPr>
        <w:t>,</w:t>
      </w:r>
    </w:p>
    <w:p w14:paraId="600B91AA" w14:textId="1946F04E" w:rsidR="00844E27" w:rsidRPr="00C2699A" w:rsidRDefault="00305ED4" w:rsidP="000734D3">
      <w:pPr>
        <w:pStyle w:val="MDPI31text"/>
        <w:rPr>
          <w:rFonts w:ascii="Georgia" w:eastAsiaTheme="minorEastAsia" w:hAnsi="Georgia" w:cs="Arial"/>
        </w:rPr>
      </w:pPr>
      <w:r w:rsidRPr="00C2699A">
        <w:rPr>
          <w:rFonts w:ascii="Georgia" w:eastAsiaTheme="minorEastAsia" w:hAnsi="Georgia" w:cs="Arial"/>
        </w:rPr>
        <w:t xml:space="preserve">- </w:t>
      </w:r>
      <w:r w:rsidR="006D069A">
        <w:rPr>
          <w:rFonts w:ascii="Georgia" w:eastAsiaTheme="minorEastAsia" w:hAnsi="Georgia" w:cs="Arial"/>
          <w:b/>
          <w:bCs/>
        </w:rPr>
        <w:t>W</w:t>
      </w:r>
      <w:r w:rsidRPr="007E58B0">
        <w:rPr>
          <w:rFonts w:ascii="Georgia" w:eastAsiaTheme="minorEastAsia" w:hAnsi="Georgia" w:cs="Arial"/>
          <w:b/>
          <w:bCs/>
        </w:rPr>
        <w:t>ayfinding</w:t>
      </w:r>
      <w:r>
        <w:rPr>
          <w:rFonts w:ascii="Georgia" w:eastAsiaTheme="minorEastAsia" w:hAnsi="Georgia" w:cs="Arial"/>
        </w:rPr>
        <w:t xml:space="preserve">: </w:t>
      </w:r>
      <w:r w:rsidR="007E58B0">
        <w:rPr>
          <w:rFonts w:ascii="Georgia" w:eastAsiaTheme="minorEastAsia" w:hAnsi="Georgia" w:cs="Arial"/>
        </w:rPr>
        <w:t>(</w:t>
      </w:r>
      <w:r w:rsidRPr="00C2699A">
        <w:rPr>
          <w:rFonts w:ascii="Georgia" w:eastAsiaTheme="minorEastAsia" w:hAnsi="Georgia" w:cs="Arial"/>
        </w:rPr>
        <w:t>access control, path</w:t>
      </w:r>
      <w:r>
        <w:rPr>
          <w:rFonts w:ascii="Georgia" w:eastAsiaTheme="minorEastAsia" w:hAnsi="Georgia" w:cs="Arial"/>
        </w:rPr>
        <w:t>s</w:t>
      </w:r>
      <w:r w:rsidRPr="00C2699A">
        <w:rPr>
          <w:rFonts w:ascii="Georgia" w:eastAsiaTheme="minorEastAsia" w:hAnsi="Georgia" w:cs="Arial"/>
        </w:rPr>
        <w:t xml:space="preserve"> and signage</w:t>
      </w:r>
      <w:r w:rsidR="007E58B0">
        <w:rPr>
          <w:rFonts w:ascii="Georgia" w:eastAsiaTheme="minorEastAsia" w:hAnsi="Georgia" w:cs="Arial"/>
        </w:rPr>
        <w:t xml:space="preserve">) </w:t>
      </w:r>
      <w:r w:rsidR="007E58B0" w:rsidRPr="00530657">
        <w:rPr>
          <w:rFonts w:ascii="Georgia" w:eastAsiaTheme="minorEastAsia" w:hAnsi="Georgia" w:cs="Arial"/>
        </w:rPr>
        <w:t>Design attention must take into account the constant movement of th</w:t>
      </w:r>
      <w:r w:rsidR="000734D3">
        <w:rPr>
          <w:rFonts w:ascii="Georgia" w:eastAsiaTheme="minorEastAsia" w:hAnsi="Georgia" w:cs="Arial"/>
        </w:rPr>
        <w:t>e patients with dementia and cognitive diseases</w:t>
      </w:r>
      <w:r w:rsidR="007E58B0" w:rsidRPr="00530657">
        <w:rPr>
          <w:rFonts w:ascii="Georgia" w:eastAsiaTheme="minorEastAsia" w:hAnsi="Georgia" w:cs="Arial"/>
        </w:rPr>
        <w:t xml:space="preserve"> and their safety in being able to do so</w:t>
      </w:r>
      <w:r>
        <w:rPr>
          <w:rFonts w:ascii="Georgia" w:eastAsiaTheme="minorEastAsia" w:hAnsi="Georgia" w:cs="Arial"/>
        </w:rPr>
        <w:t>,</w:t>
      </w:r>
    </w:p>
    <w:p w14:paraId="70EC457D" w14:textId="517D8F04" w:rsidR="00305ED4" w:rsidRDefault="00305ED4" w:rsidP="007E58B0">
      <w:pPr>
        <w:pStyle w:val="MDPI31text"/>
        <w:rPr>
          <w:rFonts w:ascii="Georgia" w:eastAsiaTheme="minorEastAsia" w:hAnsi="Georgia" w:cs="Arial"/>
        </w:rPr>
      </w:pPr>
      <w:r w:rsidRPr="00C2699A">
        <w:rPr>
          <w:rFonts w:ascii="Georgia" w:eastAsiaTheme="minorEastAsia" w:hAnsi="Georgia" w:cs="Arial"/>
        </w:rPr>
        <w:t xml:space="preserve">- </w:t>
      </w:r>
      <w:r w:rsidR="006D069A">
        <w:rPr>
          <w:rFonts w:ascii="Georgia" w:eastAsiaTheme="minorEastAsia" w:hAnsi="Georgia" w:cs="Arial"/>
          <w:b/>
          <w:bCs/>
        </w:rPr>
        <w:t>A</w:t>
      </w:r>
      <w:r w:rsidRPr="007E58B0">
        <w:rPr>
          <w:rFonts w:ascii="Georgia" w:eastAsiaTheme="minorEastAsia" w:hAnsi="Georgia" w:cs="Arial"/>
          <w:b/>
          <w:bCs/>
        </w:rPr>
        <w:t>ctivity</w:t>
      </w:r>
      <w:r>
        <w:rPr>
          <w:rFonts w:ascii="Georgia" w:eastAsiaTheme="minorEastAsia" w:hAnsi="Georgia" w:cs="Arial"/>
        </w:rPr>
        <w:t xml:space="preserve">: </w:t>
      </w:r>
      <w:r w:rsidR="007E58B0">
        <w:rPr>
          <w:rFonts w:ascii="Georgia" w:eastAsiaTheme="minorEastAsia" w:hAnsi="Georgia" w:cs="Arial"/>
        </w:rPr>
        <w:t>(</w:t>
      </w:r>
      <w:r w:rsidRPr="00C2699A">
        <w:rPr>
          <w:rFonts w:ascii="Georgia" w:eastAsiaTheme="minorEastAsia" w:hAnsi="Georgia" w:cs="Arial"/>
        </w:rPr>
        <w:t>garden-ortho therapy, relationships, food, openness to community, and physical activity</w:t>
      </w:r>
      <w:r w:rsidR="007E58B0">
        <w:rPr>
          <w:rFonts w:ascii="Georgia" w:eastAsiaTheme="minorEastAsia" w:hAnsi="Georgia" w:cs="Arial"/>
        </w:rPr>
        <w:t xml:space="preserve">) </w:t>
      </w:r>
      <w:r w:rsidR="007E58B0" w:rsidRPr="00530657">
        <w:rPr>
          <w:rFonts w:ascii="Georgia" w:eastAsiaTheme="minorEastAsia" w:hAnsi="Georgia" w:cs="Arial"/>
        </w:rPr>
        <w:t>The development of various activities during the day helps the Alzheimer's patient</w:t>
      </w:r>
      <w:r w:rsidR="007E58B0">
        <w:rPr>
          <w:rFonts w:ascii="Georgia" w:eastAsiaTheme="minorEastAsia" w:hAnsi="Georgia" w:cs="Arial"/>
        </w:rPr>
        <w:t xml:space="preserve"> </w:t>
      </w:r>
      <w:r w:rsidR="007E58B0" w:rsidRPr="00530657">
        <w:rPr>
          <w:rFonts w:ascii="Georgia" w:eastAsiaTheme="minorEastAsia" w:hAnsi="Georgia" w:cs="Arial"/>
        </w:rPr>
        <w:t>to have benefits both in the short term (they calm and engage the daily life), and</w:t>
      </w:r>
      <w:r w:rsidR="007E58B0">
        <w:rPr>
          <w:rFonts w:ascii="Georgia" w:eastAsiaTheme="minorEastAsia" w:hAnsi="Georgia" w:cs="Arial"/>
        </w:rPr>
        <w:t xml:space="preserve"> </w:t>
      </w:r>
      <w:r w:rsidR="007E58B0" w:rsidRPr="00530657">
        <w:rPr>
          <w:rFonts w:ascii="Georgia" w:eastAsiaTheme="minorEastAsia" w:hAnsi="Georgia" w:cs="Arial"/>
        </w:rPr>
        <w:t>long-term, helping the disease slow down.</w:t>
      </w:r>
    </w:p>
    <w:p w14:paraId="1C9B27C0" w14:textId="77777777" w:rsidR="000734D3" w:rsidRDefault="000734D3" w:rsidP="000734D3">
      <w:pPr>
        <w:pStyle w:val="MDPI31text"/>
        <w:ind w:left="0" w:firstLine="0"/>
        <w:rPr>
          <w:rFonts w:ascii="Georgia" w:eastAsiaTheme="minorEastAsia" w:hAnsi="Georgia" w:cs="Arial"/>
        </w:rPr>
      </w:pPr>
    </w:p>
    <w:p w14:paraId="6047040B" w14:textId="77777777" w:rsidR="00651576" w:rsidRDefault="00651576" w:rsidP="007E58B0">
      <w:pPr>
        <w:pStyle w:val="MDPI31text"/>
        <w:rPr>
          <w:rFonts w:ascii="Georgia" w:eastAsiaTheme="minorEastAsia" w:hAnsi="Georgia" w:cs="Arial"/>
        </w:rPr>
      </w:pPr>
    </w:p>
    <w:p w14:paraId="19F2740B" w14:textId="6B5B7B6F" w:rsidR="00651576" w:rsidRDefault="00651576" w:rsidP="007E58B0">
      <w:pPr>
        <w:pStyle w:val="MDPI31text"/>
        <w:rPr>
          <w:rFonts w:ascii="Georgia" w:eastAsiaTheme="minorEastAsia" w:hAnsi="Georgia" w:cs="Arial"/>
        </w:rPr>
      </w:pPr>
    </w:p>
    <w:p w14:paraId="1DCBF7B0" w14:textId="77777777" w:rsidR="00001A63" w:rsidRDefault="00784E53" w:rsidP="00001A63">
      <w:pPr>
        <w:pStyle w:val="MDPI31text"/>
        <w:keepNext/>
      </w:pPr>
      <w:r>
        <w:rPr>
          <w:rFonts w:ascii="Georgia" w:eastAsiaTheme="minorEastAsia" w:hAnsi="Georgia" w:cs="Arial"/>
          <w:noProof/>
          <w:snapToGrid/>
          <w:lang w:val="nl-NL" w:eastAsia="nl-NL" w:bidi="ar-SA"/>
        </w:rPr>
        <w:lastRenderedPageBreak/>
        <w:drawing>
          <wp:inline distT="0" distB="0" distL="0" distR="0" wp14:anchorId="7202EF0B" wp14:editId="62ADFFAD">
            <wp:extent cx="3528646" cy="3504223"/>
            <wp:effectExtent l="0" t="0" r="254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3" cstate="print">
                      <a:extLst>
                        <a:ext uri="{28A0092B-C50C-407E-A947-70E740481C1C}">
                          <a14:useLocalDpi xmlns:a14="http://schemas.microsoft.com/office/drawing/2010/main" val="0"/>
                        </a:ext>
                      </a:extLst>
                    </a:blip>
                    <a:srcRect l="8971" t="9078" r="9190" b="9649"/>
                    <a:stretch/>
                  </pic:blipFill>
                  <pic:spPr bwMode="auto">
                    <a:xfrm>
                      <a:off x="0" y="0"/>
                      <a:ext cx="3530204" cy="3505771"/>
                    </a:xfrm>
                    <a:prstGeom prst="ellipse">
                      <a:avLst/>
                    </a:prstGeom>
                    <a:ln>
                      <a:noFill/>
                    </a:ln>
                    <a:extLst>
                      <a:ext uri="{53640926-AAD7-44D8-BBD7-CCE9431645EC}">
                        <a14:shadowObscured xmlns:a14="http://schemas.microsoft.com/office/drawing/2010/main"/>
                      </a:ext>
                    </a:extLst>
                  </pic:spPr>
                </pic:pic>
              </a:graphicData>
            </a:graphic>
          </wp:inline>
        </w:drawing>
      </w:r>
    </w:p>
    <w:p w14:paraId="7DDF61DB" w14:textId="52A2156A" w:rsidR="00651576" w:rsidRPr="00001A63" w:rsidRDefault="00001A63" w:rsidP="00001A63">
      <w:pPr>
        <w:pStyle w:val="Bijschrift"/>
        <w:ind w:firstLine="2694"/>
        <w:jc w:val="both"/>
        <w:rPr>
          <w:rFonts w:cs="Arial"/>
          <w:lang w:val="en-US"/>
        </w:rPr>
      </w:pPr>
      <w:r w:rsidRPr="00001A63">
        <w:rPr>
          <w:lang w:val="en-US"/>
        </w:rPr>
        <w:t xml:space="preserve">Figure </w:t>
      </w:r>
      <w:r>
        <w:fldChar w:fldCharType="begin"/>
      </w:r>
      <w:r w:rsidRPr="00001A63">
        <w:rPr>
          <w:lang w:val="en-US"/>
        </w:rPr>
        <w:instrText xml:space="preserve"> SEQ Figure \* ARABIC </w:instrText>
      </w:r>
      <w:r>
        <w:fldChar w:fldCharType="separate"/>
      </w:r>
      <w:r w:rsidR="007C1139">
        <w:rPr>
          <w:noProof/>
          <w:lang w:val="en-US"/>
        </w:rPr>
        <w:t>1</w:t>
      </w:r>
      <w:r>
        <w:fldChar w:fldCharType="end"/>
      </w:r>
      <w:r w:rsidRPr="00001A63">
        <w:rPr>
          <w:lang w:val="en-US"/>
        </w:rPr>
        <w:t xml:space="preserve"> - The checklist</w:t>
      </w:r>
      <w:r>
        <w:rPr>
          <w:lang w:val="en-US"/>
        </w:rPr>
        <w:t>’s framework</w:t>
      </w:r>
    </w:p>
    <w:p w14:paraId="6CF6DD97" w14:textId="77777777" w:rsidR="0035249F" w:rsidRPr="0035249F" w:rsidRDefault="0035249F" w:rsidP="0035249F">
      <w:pPr>
        <w:pStyle w:val="MDPI31text"/>
        <w:rPr>
          <w:rFonts w:ascii="Georgia" w:eastAsiaTheme="minorEastAsia" w:hAnsi="Georgia" w:cs="Arial"/>
        </w:rPr>
      </w:pPr>
      <w:r w:rsidRPr="0035249F">
        <w:rPr>
          <w:rFonts w:ascii="Georgia" w:eastAsiaTheme="minorEastAsia" w:hAnsi="Georgia" w:cs="Arial"/>
        </w:rPr>
        <w:t>These have emerged as the most important characteristics that make it possible to achieve an environment that adequately meets all the physical, environmental, and social needs of the person with Alzheimer's disease.</w:t>
      </w:r>
    </w:p>
    <w:p w14:paraId="559FE928" w14:textId="31C8D39D" w:rsidR="0035249F" w:rsidRPr="0035249F" w:rsidRDefault="0035249F" w:rsidP="0035249F">
      <w:pPr>
        <w:pStyle w:val="MDPI31text"/>
        <w:rPr>
          <w:rFonts w:ascii="Georgia" w:eastAsiaTheme="minorEastAsia" w:hAnsi="Georgia" w:cs="Arial"/>
        </w:rPr>
      </w:pPr>
      <w:r w:rsidRPr="0035249F">
        <w:rPr>
          <w:rFonts w:ascii="Georgia" w:eastAsiaTheme="minorEastAsia" w:hAnsi="Georgia" w:cs="Arial"/>
        </w:rPr>
        <w:t>The purpose of creating the checklist was to provide a tool not currently present in the Italian care setting, where the demand for care facilities for dementia patients is at its highest in history</w:t>
      </w:r>
      <w:r>
        <w:rPr>
          <w:rFonts w:ascii="Georgia" w:eastAsiaTheme="minorEastAsia" w:hAnsi="Georgia" w:cs="Arial"/>
        </w:rPr>
        <w:fldChar w:fldCharType="begin"/>
      </w:r>
      <w:r w:rsidR="00D5322D">
        <w:rPr>
          <w:rFonts w:ascii="Georgia" w:eastAsiaTheme="minorEastAsia" w:hAnsi="Georgia" w:cs="Arial"/>
        </w:rPr>
        <w:instrText xml:space="preserve"> ADDIN ZOTERO_ITEM CSL_CITATION {"citationID":"3RVJD7YA","properties":{"formattedCitation":"(Alzheimer\\uc0\\u8217{}s association, 2020)","plainCitation":"(Alzheimer’s association, 2020)","noteIndex":0},"citationItems":[{"id":470,"uris":["http://zotero.org/users/local/I6RCzm6o/items/SW8LC2P6"],"itemData":{"id":470,"type":"article-journal","abstract":"This article describes the public health impact of Alzheimer’s disease (AD), including incidence and prevalence, mortality and morbidity, use and costs of care, and the overall impact on caregivers and society. The Special Report discusses the future challenges of meeting care demands for the growing number of people living with Alzheimer’s dementia in the United States with a particular emphasis on primary care. By mid-century, the number of Americans age 65 and older with Alzheimer’s dementia may grow to 13.8 million. This represents a steep increase from the estimated 5.8 million Americans age 65 and older who have Alzheimer’s dementia today. Official death certificates recorded 122,019 deaths from AD in 2018, the latest year for which data are available, making Alzheimer’s the sixth leading cause of death in the United States and the fifth leading cause of death among Americans age 65 and older. Between 2000 and 2018, deaths resulting from stroke, HIV and heart disease decreased, whereas reported deaths from Alzheimer’s increased 146.2%. In 2019, more than 16 million family members and other unpaid caregivers provided an estimated 18.6 billion hours of care to people with Alzheimer’s or other dementias. This care is valued at nearly $244 billion, but its costs extend to family caregivers’ increased risk for emotional distress and negative mental and physical health outcomes. Average per-person Medicare payments for services to beneficiaries age 65 and older with AD or other dementias are more than three times as great as payments for beneficiaries without these conditions, and Medicaid payments are more than 23 times as great. Total payments in 2020 for health care, long-term care and hospice services for people age 65 and older with dementia are estimated to be $305 billion. As the population of Americans living with Alzheimer’s dementia increases, the burden of caring for that population also increases. These challenges are exacerbated by a shortage of dementia care specialists, which places an increasing burden on primary care physicians (PCPs) to provide care for people living with dementia. Many PCPs feel underprepared and inadequately trained to handle dementia care responsibilities effectively. This report includes recommendations for maximizing quality care in the face of the shortage of specialists and training challenges in primary care.","container-title":"Alzheimer's &amp; Dementia","DOI":"10.1002/alz.12068","ISSN":"1552-5260, 1552-5279","issue":"3","journalAbbreviation":"Alzheimer's &amp;amp; Dementia","language":"en","page":"391-460","source":"DOI.org (Crossref)","title":"2020 Alzheimer's disease facts and figures","volume":"16","author":[{"literal":"Alzheimer's association"}],"issued":{"date-parts":[["2020",3]]}}}],"schema":"https://github.com/citation-style-language/schema/raw/master/csl-citation.json"} </w:instrText>
      </w:r>
      <w:r>
        <w:rPr>
          <w:rFonts w:ascii="Georgia" w:eastAsiaTheme="minorEastAsia" w:hAnsi="Georgia" w:cs="Arial"/>
        </w:rPr>
        <w:fldChar w:fldCharType="separate"/>
      </w:r>
      <w:r w:rsidRPr="0035249F">
        <w:rPr>
          <w:rFonts w:ascii="Georgia" w:hAnsi="Georgia"/>
        </w:rPr>
        <w:t>(Alzheimer’s association, 2020)</w:t>
      </w:r>
      <w:r>
        <w:rPr>
          <w:rFonts w:ascii="Georgia" w:eastAsiaTheme="minorEastAsia" w:hAnsi="Georgia" w:cs="Arial"/>
        </w:rPr>
        <w:fldChar w:fldCharType="end"/>
      </w:r>
      <w:r w:rsidRPr="0035249F">
        <w:rPr>
          <w:rFonts w:ascii="Georgia" w:eastAsiaTheme="minorEastAsia" w:hAnsi="Georgia" w:cs="Arial"/>
        </w:rPr>
        <w:t xml:space="preserve">. </w:t>
      </w:r>
    </w:p>
    <w:p w14:paraId="72C094BF" w14:textId="77777777" w:rsidR="0035249F" w:rsidRPr="0035249F" w:rsidRDefault="0035249F" w:rsidP="0035249F">
      <w:pPr>
        <w:pStyle w:val="MDPI31text"/>
        <w:rPr>
          <w:rFonts w:ascii="Georgia" w:eastAsiaTheme="minorEastAsia" w:hAnsi="Georgia" w:cs="Arial"/>
        </w:rPr>
      </w:pPr>
      <w:r w:rsidRPr="0035249F">
        <w:rPr>
          <w:rFonts w:ascii="Georgia" w:eastAsiaTheme="minorEastAsia" w:hAnsi="Georgia" w:cs="Arial"/>
        </w:rPr>
        <w:t>The tool is intended to provide facility managers with a basis for implementing small or large changes to make units more efficient and that promote the well-being of the dementia patient.</w:t>
      </w:r>
    </w:p>
    <w:p w14:paraId="61174ED5" w14:textId="77777777" w:rsidR="0035249F" w:rsidRPr="0035249F" w:rsidRDefault="0035249F" w:rsidP="0035249F">
      <w:pPr>
        <w:pStyle w:val="MDPI31text"/>
        <w:rPr>
          <w:rFonts w:ascii="Georgia" w:eastAsiaTheme="minorEastAsia" w:hAnsi="Georgia" w:cs="Arial"/>
        </w:rPr>
      </w:pPr>
      <w:r w:rsidRPr="0035249F">
        <w:rPr>
          <w:rFonts w:ascii="Georgia" w:eastAsiaTheme="minorEastAsia" w:hAnsi="Georgia" w:cs="Arial"/>
        </w:rPr>
        <w:t>The tool consists of 71 binary answer questions (Yes, No, N/A - not applicable when the function/activity is not present in the facility). The maximum score is 100%, and results are divided into inadequate if less than 60%, sufficient between 60 and 80%, and excellent if above 80%.</w:t>
      </w:r>
    </w:p>
    <w:p w14:paraId="11A10A07" w14:textId="558681C7" w:rsidR="000734D3" w:rsidRDefault="0035249F" w:rsidP="00001A63">
      <w:pPr>
        <w:pStyle w:val="MDPI31text"/>
        <w:rPr>
          <w:rFonts w:ascii="Georgia" w:eastAsiaTheme="minorEastAsia" w:hAnsi="Georgia" w:cs="Arial"/>
        </w:rPr>
      </w:pPr>
      <w:r>
        <w:rPr>
          <w:rFonts w:ascii="Georgia" w:eastAsiaTheme="minorEastAsia" w:hAnsi="Georgia" w:cs="Arial"/>
        </w:rPr>
        <w:t xml:space="preserve">Attached in Fig. 2 it’s possible to understand how the checklist works, </w:t>
      </w:r>
      <w:r w:rsidRPr="0035249F">
        <w:rPr>
          <w:rFonts w:ascii="Georgia" w:eastAsiaTheme="minorEastAsia" w:hAnsi="Georgia" w:cs="Arial"/>
        </w:rPr>
        <w:t>assesses not only the presence or absence of a criterion but how it is actually implemented in accordance with the patient's needs</w:t>
      </w:r>
      <w:r>
        <w:rPr>
          <w:rFonts w:ascii="Georgia" w:eastAsiaTheme="minorEastAsia" w:hAnsi="Georgia" w:cs="Arial"/>
        </w:rPr>
        <w:t>.</w:t>
      </w:r>
    </w:p>
    <w:p w14:paraId="70E16C21" w14:textId="2D3F5FEC" w:rsidR="003571D7" w:rsidRDefault="00001A63" w:rsidP="00001A63">
      <w:pPr>
        <w:pStyle w:val="MDPI31text"/>
        <w:rPr>
          <w:rFonts w:ascii="Calibri" w:eastAsia="SimSun" w:hAnsi="Calibri"/>
          <w:snapToGrid/>
          <w:color w:val="auto"/>
          <w:szCs w:val="20"/>
          <w:lang w:eastAsia="zh-CN" w:bidi="ar-SA"/>
        </w:rPr>
      </w:pPr>
      <w:r>
        <w:rPr>
          <w:rFonts w:eastAsiaTheme="minorEastAsia"/>
        </w:rPr>
        <w:fldChar w:fldCharType="begin"/>
      </w:r>
      <w:r>
        <w:rPr>
          <w:rFonts w:eastAsiaTheme="minorEastAsia"/>
        </w:rPr>
        <w:instrText xml:space="preserve"> LINK </w:instrText>
      </w:r>
      <w:r w:rsidR="003571D7">
        <w:rPr>
          <w:rFonts w:eastAsiaTheme="minorEastAsia"/>
        </w:rPr>
        <w:instrText xml:space="preserve">Excel.Sheet.12 "/Users/silviamangili/Documents/POLI/DOTTORATO/II ANNO/TOOL ALZ/Questionario_base_Polimi_Mangili.xlsx" Foglio1!R94C2:R96C10 </w:instrText>
      </w:r>
      <w:r>
        <w:rPr>
          <w:rFonts w:eastAsiaTheme="minorEastAsia"/>
        </w:rPr>
        <w:instrText xml:space="preserve">\a \f 4 \h  \* MERGEFORMAT </w:instrText>
      </w:r>
      <w:r>
        <w:rPr>
          <w:rFonts w:eastAsiaTheme="minorEastAsia"/>
        </w:rPr>
        <w:fldChar w:fldCharType="separate"/>
      </w:r>
    </w:p>
    <w:tbl>
      <w:tblPr>
        <w:tblStyle w:val="Mdeck5tablebodythreelines"/>
        <w:tblW w:w="9636" w:type="dxa"/>
        <w:tblLook w:val="04A0" w:firstRow="1" w:lastRow="0" w:firstColumn="1" w:lastColumn="0" w:noHBand="0" w:noVBand="1"/>
      </w:tblPr>
      <w:tblGrid>
        <w:gridCol w:w="1646"/>
        <w:gridCol w:w="3254"/>
        <w:gridCol w:w="632"/>
        <w:gridCol w:w="563"/>
        <w:gridCol w:w="708"/>
        <w:gridCol w:w="843"/>
        <w:gridCol w:w="1398"/>
        <w:gridCol w:w="265"/>
        <w:gridCol w:w="327"/>
      </w:tblGrid>
      <w:tr w:rsidR="003571D7" w:rsidRPr="003571D7" w14:paraId="3CC385AF" w14:textId="77777777" w:rsidTr="003571D7">
        <w:trPr>
          <w:cnfStyle w:val="100000000000" w:firstRow="1" w:lastRow="0" w:firstColumn="0" w:lastColumn="0" w:oddVBand="0" w:evenVBand="0" w:oddHBand="0" w:evenHBand="0" w:firstRowFirstColumn="0" w:firstRowLastColumn="0" w:lastRowFirstColumn="0" w:lastRowLastColumn="0"/>
          <w:divId w:val="674459088"/>
          <w:trHeight w:val="548"/>
        </w:trPr>
        <w:tc>
          <w:tcPr>
            <w:tcW w:w="1670" w:type="dxa"/>
            <w:hideMark/>
          </w:tcPr>
          <w:p w14:paraId="6B6B6A21" w14:textId="5D751CDF"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4.3 SIGNAGE</w:t>
            </w:r>
          </w:p>
        </w:tc>
        <w:tc>
          <w:tcPr>
            <w:tcW w:w="3292" w:type="dxa"/>
            <w:hideMark/>
          </w:tcPr>
          <w:p w14:paraId="12D37099"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en-US" w:eastAsia="it-IT"/>
              </w:rPr>
              <w:t xml:space="preserve">Are signs with signs and symbols that uniquely indicate the rooms placed along the routes? </w:t>
            </w:r>
            <w:r w:rsidRPr="003571D7">
              <w:rPr>
                <w:rFonts w:ascii="Georgia" w:hAnsi="Georgia" w:cs="Calibri"/>
                <w:sz w:val="20"/>
                <w:lang w:val="it-IT" w:eastAsia="it-IT"/>
              </w:rPr>
              <w:t>E.g. bathrooms with toilet/bedroom/common areas symbols</w:t>
            </w:r>
          </w:p>
        </w:tc>
        <w:tc>
          <w:tcPr>
            <w:tcW w:w="634" w:type="dxa"/>
            <w:hideMark/>
          </w:tcPr>
          <w:p w14:paraId="549353C1"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 </w:t>
            </w:r>
          </w:p>
        </w:tc>
        <w:tc>
          <w:tcPr>
            <w:tcW w:w="567" w:type="dxa"/>
            <w:hideMark/>
          </w:tcPr>
          <w:p w14:paraId="3300F977"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No 0 p</w:t>
            </w:r>
          </w:p>
        </w:tc>
        <w:tc>
          <w:tcPr>
            <w:tcW w:w="708" w:type="dxa"/>
            <w:hideMark/>
          </w:tcPr>
          <w:p w14:paraId="476F28B7"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Yes 1p</w:t>
            </w:r>
          </w:p>
        </w:tc>
        <w:tc>
          <w:tcPr>
            <w:tcW w:w="851" w:type="dxa"/>
            <w:hideMark/>
          </w:tcPr>
          <w:p w14:paraId="0E79D032"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 </w:t>
            </w:r>
          </w:p>
        </w:tc>
        <w:tc>
          <w:tcPr>
            <w:tcW w:w="1417" w:type="dxa"/>
            <w:hideMark/>
          </w:tcPr>
          <w:p w14:paraId="7234CE3A"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 </w:t>
            </w:r>
          </w:p>
        </w:tc>
        <w:tc>
          <w:tcPr>
            <w:tcW w:w="261" w:type="dxa"/>
            <w:hideMark/>
          </w:tcPr>
          <w:p w14:paraId="6ED86C85"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 </w:t>
            </w:r>
          </w:p>
        </w:tc>
        <w:tc>
          <w:tcPr>
            <w:tcW w:w="236" w:type="dxa"/>
            <w:hideMark/>
          </w:tcPr>
          <w:p w14:paraId="7FC8286B" w14:textId="77777777" w:rsidR="003571D7" w:rsidRPr="003571D7" w:rsidRDefault="003571D7" w:rsidP="003571D7">
            <w:pPr>
              <w:spacing w:line="240" w:lineRule="auto"/>
              <w:jc w:val="center"/>
              <w:rPr>
                <w:rFonts w:ascii="Georgia" w:hAnsi="Georgia" w:cs="Calibri"/>
                <w:sz w:val="20"/>
                <w:lang w:val="it-IT" w:eastAsia="it-IT"/>
              </w:rPr>
            </w:pPr>
            <w:r w:rsidRPr="003571D7">
              <w:rPr>
                <w:rFonts w:ascii="Georgia" w:hAnsi="Georgia" w:cs="Calibri"/>
                <w:sz w:val="20"/>
                <w:lang w:val="it-IT" w:eastAsia="it-IT"/>
              </w:rPr>
              <w:t>1</w:t>
            </w:r>
          </w:p>
        </w:tc>
      </w:tr>
      <w:tr w:rsidR="003571D7" w:rsidRPr="003571D7" w14:paraId="07D69F8B" w14:textId="77777777" w:rsidTr="003571D7">
        <w:trPr>
          <w:divId w:val="674459088"/>
          <w:trHeight w:val="1125"/>
        </w:trPr>
        <w:tc>
          <w:tcPr>
            <w:tcW w:w="1670" w:type="dxa"/>
            <w:hideMark/>
          </w:tcPr>
          <w:p w14:paraId="33EC6B4F"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3292" w:type="dxa"/>
            <w:hideMark/>
          </w:tcPr>
          <w:p w14:paraId="0FDD7C49" w14:textId="77777777" w:rsidR="003571D7" w:rsidRPr="003571D7" w:rsidRDefault="003571D7" w:rsidP="003571D7">
            <w:pPr>
              <w:spacing w:line="240" w:lineRule="auto"/>
              <w:jc w:val="center"/>
              <w:rPr>
                <w:rFonts w:ascii="Georgia" w:eastAsia="Times New Roman" w:hAnsi="Georgia" w:cs="Calibri"/>
                <w:lang w:val="en-US" w:eastAsia="it-IT"/>
              </w:rPr>
            </w:pPr>
            <w:r w:rsidRPr="003571D7">
              <w:rPr>
                <w:rFonts w:ascii="Georgia" w:eastAsia="Times New Roman" w:hAnsi="Georgia" w:cs="Calibri"/>
                <w:lang w:val="en-US" w:eastAsia="it-IT"/>
              </w:rPr>
              <w:t>Is signage also present in outdoor spaces? Indications of routes to nearest restrooms and rest areas</w:t>
            </w:r>
          </w:p>
        </w:tc>
        <w:tc>
          <w:tcPr>
            <w:tcW w:w="634" w:type="dxa"/>
            <w:hideMark/>
          </w:tcPr>
          <w:p w14:paraId="3EF5B40B"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N/A 0 p</w:t>
            </w:r>
          </w:p>
        </w:tc>
        <w:tc>
          <w:tcPr>
            <w:tcW w:w="567" w:type="dxa"/>
            <w:hideMark/>
          </w:tcPr>
          <w:p w14:paraId="7308D452"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No 0 p</w:t>
            </w:r>
          </w:p>
        </w:tc>
        <w:tc>
          <w:tcPr>
            <w:tcW w:w="708" w:type="dxa"/>
            <w:hideMark/>
          </w:tcPr>
          <w:p w14:paraId="34C6552F"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Yes 1p</w:t>
            </w:r>
          </w:p>
        </w:tc>
        <w:tc>
          <w:tcPr>
            <w:tcW w:w="851" w:type="dxa"/>
            <w:hideMark/>
          </w:tcPr>
          <w:p w14:paraId="37BECE9B"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1417" w:type="dxa"/>
            <w:hideMark/>
          </w:tcPr>
          <w:p w14:paraId="2E08E4AE"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261" w:type="dxa"/>
            <w:hideMark/>
          </w:tcPr>
          <w:p w14:paraId="2639AEEB"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236" w:type="dxa"/>
            <w:hideMark/>
          </w:tcPr>
          <w:p w14:paraId="0DF840B2"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1</w:t>
            </w:r>
          </w:p>
        </w:tc>
      </w:tr>
      <w:tr w:rsidR="003571D7" w:rsidRPr="003571D7" w14:paraId="68BEADC1" w14:textId="77777777" w:rsidTr="003571D7">
        <w:trPr>
          <w:divId w:val="674459088"/>
          <w:trHeight w:val="1560"/>
        </w:trPr>
        <w:tc>
          <w:tcPr>
            <w:tcW w:w="1670" w:type="dxa"/>
            <w:hideMark/>
          </w:tcPr>
          <w:p w14:paraId="4FB357C9"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3292" w:type="dxa"/>
            <w:hideMark/>
          </w:tcPr>
          <w:p w14:paraId="2E3B8E04" w14:textId="77777777" w:rsidR="003571D7" w:rsidRPr="003571D7" w:rsidRDefault="003571D7" w:rsidP="003571D7">
            <w:pPr>
              <w:spacing w:line="240" w:lineRule="auto"/>
              <w:jc w:val="center"/>
              <w:rPr>
                <w:rFonts w:ascii="Georgia" w:eastAsia="Times New Roman" w:hAnsi="Georgia" w:cs="Calibri"/>
                <w:lang w:val="en-US" w:eastAsia="it-IT"/>
              </w:rPr>
            </w:pPr>
            <w:r w:rsidRPr="003571D7">
              <w:rPr>
                <w:rFonts w:ascii="Georgia" w:eastAsia="Times New Roman" w:hAnsi="Georgia" w:cs="Calibri"/>
                <w:lang w:val="en-US" w:eastAsia="it-IT"/>
              </w:rPr>
              <w:t xml:space="preserve">Are rooms clearly identifiable to patients? For example, by the use of name plates, different colors, personal belongings posted outside the door </w:t>
            </w:r>
          </w:p>
        </w:tc>
        <w:tc>
          <w:tcPr>
            <w:tcW w:w="634" w:type="dxa"/>
            <w:hideMark/>
          </w:tcPr>
          <w:p w14:paraId="3DC3FAAE" w14:textId="77777777" w:rsidR="003571D7" w:rsidRPr="003571D7" w:rsidRDefault="003571D7" w:rsidP="003571D7">
            <w:pPr>
              <w:spacing w:line="240" w:lineRule="auto"/>
              <w:jc w:val="center"/>
              <w:rPr>
                <w:rFonts w:ascii="Georgia" w:eastAsia="Times New Roman" w:hAnsi="Georgia" w:cs="Calibri"/>
                <w:lang w:val="en-US" w:eastAsia="it-IT"/>
              </w:rPr>
            </w:pPr>
            <w:r w:rsidRPr="003571D7">
              <w:rPr>
                <w:rFonts w:ascii="Georgia" w:eastAsia="Times New Roman" w:hAnsi="Georgia" w:cs="Calibri"/>
                <w:lang w:val="en-US" w:eastAsia="it-IT"/>
              </w:rPr>
              <w:t> </w:t>
            </w:r>
          </w:p>
        </w:tc>
        <w:tc>
          <w:tcPr>
            <w:tcW w:w="567" w:type="dxa"/>
            <w:hideMark/>
          </w:tcPr>
          <w:p w14:paraId="2274CD23"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No 0 p</w:t>
            </w:r>
          </w:p>
        </w:tc>
        <w:tc>
          <w:tcPr>
            <w:tcW w:w="708" w:type="dxa"/>
            <w:hideMark/>
          </w:tcPr>
          <w:p w14:paraId="75EE8F14"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Yes, name 1p</w:t>
            </w:r>
          </w:p>
        </w:tc>
        <w:tc>
          <w:tcPr>
            <w:tcW w:w="851" w:type="dxa"/>
            <w:hideMark/>
          </w:tcPr>
          <w:p w14:paraId="5BF3EA86"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Yes, color 1p</w:t>
            </w:r>
          </w:p>
        </w:tc>
        <w:tc>
          <w:tcPr>
            <w:tcW w:w="1417" w:type="dxa"/>
            <w:hideMark/>
          </w:tcPr>
          <w:p w14:paraId="3779050D"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Yes personal things 1p</w:t>
            </w:r>
          </w:p>
        </w:tc>
        <w:tc>
          <w:tcPr>
            <w:tcW w:w="261" w:type="dxa"/>
            <w:hideMark/>
          </w:tcPr>
          <w:p w14:paraId="38C38C8E" w14:textId="77777777" w:rsidR="003571D7" w:rsidRPr="003571D7" w:rsidRDefault="003571D7" w:rsidP="003571D7">
            <w:pPr>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 </w:t>
            </w:r>
          </w:p>
        </w:tc>
        <w:tc>
          <w:tcPr>
            <w:tcW w:w="236" w:type="dxa"/>
            <w:hideMark/>
          </w:tcPr>
          <w:p w14:paraId="40F3EC57" w14:textId="77777777" w:rsidR="003571D7" w:rsidRPr="003571D7" w:rsidRDefault="003571D7" w:rsidP="003571D7">
            <w:pPr>
              <w:keepNext/>
              <w:spacing w:line="240" w:lineRule="auto"/>
              <w:jc w:val="center"/>
              <w:rPr>
                <w:rFonts w:ascii="Georgia" w:eastAsia="Times New Roman" w:hAnsi="Georgia" w:cs="Calibri"/>
                <w:lang w:val="it-IT" w:eastAsia="it-IT"/>
              </w:rPr>
            </w:pPr>
            <w:r w:rsidRPr="003571D7">
              <w:rPr>
                <w:rFonts w:ascii="Georgia" w:eastAsia="Times New Roman" w:hAnsi="Georgia" w:cs="Calibri"/>
                <w:lang w:val="it-IT" w:eastAsia="it-IT"/>
              </w:rPr>
              <w:t>3</w:t>
            </w:r>
          </w:p>
        </w:tc>
      </w:tr>
    </w:tbl>
    <w:p w14:paraId="229F4D55" w14:textId="77777777" w:rsidR="00001A63" w:rsidRDefault="00001A63" w:rsidP="00001A63">
      <w:pPr>
        <w:pStyle w:val="MDPI31text"/>
        <w:rPr>
          <w:rFonts w:ascii="Georgia" w:eastAsiaTheme="minorEastAsia" w:hAnsi="Georgia" w:cs="Arial"/>
          <w:color w:val="auto"/>
        </w:rPr>
      </w:pPr>
      <w:r>
        <w:rPr>
          <w:rFonts w:ascii="Georgia" w:eastAsiaTheme="minorEastAsia" w:hAnsi="Georgia" w:cs="Arial"/>
        </w:rPr>
        <w:lastRenderedPageBreak/>
        <w:fldChar w:fldCharType="end"/>
      </w:r>
      <w:r w:rsidRPr="00001A63">
        <w:rPr>
          <w:rFonts w:ascii="Georgia" w:eastAsiaTheme="minorEastAsia" w:hAnsi="Georgia" w:cs="Arial"/>
          <w:color w:val="auto"/>
        </w:rPr>
        <w:t>The criterion of objectivity was chosen in order to keep the instrument as objective as possible and to be more easily analyzable even from the point of view of the final meta-design indications. Moreover, the questionnaire can be filled in by the medical and administrative-managerial staff of the care facility, since it is based on a direct analysis of the facility and does not require prior knowledge.</w:t>
      </w:r>
      <w:r>
        <w:rPr>
          <w:rFonts w:ascii="Georgia" w:eastAsiaTheme="minorEastAsia" w:hAnsi="Georgia" w:cs="Arial"/>
          <w:color w:val="auto"/>
        </w:rPr>
        <w:t xml:space="preserve"> </w:t>
      </w:r>
      <w:r w:rsidRPr="00001A63">
        <w:rPr>
          <w:rFonts w:ascii="Georgia" w:eastAsiaTheme="minorEastAsia" w:hAnsi="Georgia" w:cs="Arial"/>
          <w:color w:val="auto"/>
        </w:rPr>
        <w:t>The administration of the questionnaire is done on paper and through direct compilation on site as it is necessary for the physical presence of the examiner inside the structure.</w:t>
      </w:r>
    </w:p>
    <w:p w14:paraId="3D064A64" w14:textId="77777777" w:rsidR="00001A63" w:rsidRDefault="00001A63" w:rsidP="00001A63">
      <w:pPr>
        <w:pStyle w:val="MDPI31text"/>
        <w:rPr>
          <w:rFonts w:ascii="Georgia" w:eastAsiaTheme="minorEastAsia" w:hAnsi="Georgia" w:cs="Arial"/>
          <w:color w:val="auto"/>
        </w:rPr>
      </w:pPr>
      <w:r w:rsidRPr="00001A63">
        <w:rPr>
          <w:rFonts w:ascii="Georgia" w:eastAsiaTheme="minorEastAsia" w:hAnsi="Georgia" w:cs="Arial"/>
          <w:color w:val="auto"/>
        </w:rPr>
        <w:t>The tool has been introduced by a general statement that explains the choice of categories and describes them to provide the stakeholder with a clear and detailed picture of the reasons for the research. It is also indicated how to enter scores for each of the questions.</w:t>
      </w:r>
    </w:p>
    <w:p w14:paraId="3C2D98CC" w14:textId="77777777" w:rsidR="00001A63" w:rsidRDefault="00001A63" w:rsidP="00001A63">
      <w:pPr>
        <w:pStyle w:val="MDPI31text"/>
        <w:rPr>
          <w:rFonts w:ascii="Georgia" w:eastAsiaTheme="minorEastAsia" w:hAnsi="Georgia" w:cs="Arial"/>
          <w:color w:val="auto"/>
        </w:rPr>
      </w:pPr>
      <w:r w:rsidRPr="00001A63">
        <w:rPr>
          <w:rFonts w:ascii="Georgia" w:eastAsiaTheme="minorEastAsia" w:hAnsi="Georgia" w:cs="Arial"/>
          <w:color w:val="auto"/>
        </w:rPr>
        <w:t>Each facility will have the option to decide whether to disclose its details or to remain anonymous within this study (to ensure the anonymity of information that could be sensitive from a commercial, managerial and economic point of view).</w:t>
      </w:r>
    </w:p>
    <w:p w14:paraId="5CB7F9C9" w14:textId="10E25FAF" w:rsidR="00001A63" w:rsidRPr="0066585A" w:rsidRDefault="00001A63" w:rsidP="0066585A">
      <w:pPr>
        <w:pStyle w:val="MDPI31text"/>
        <w:rPr>
          <w:rFonts w:ascii="Georgia" w:eastAsiaTheme="minorEastAsia" w:hAnsi="Georgia" w:cs="Arial"/>
          <w:color w:val="auto"/>
        </w:rPr>
      </w:pPr>
      <w:r w:rsidRPr="00001A63">
        <w:rPr>
          <w:rFonts w:ascii="Georgia" w:eastAsiaTheme="minorEastAsia" w:hAnsi="Georgia" w:cs="Arial"/>
          <w:color w:val="auto"/>
        </w:rPr>
        <w:t>The tool has been applied to five (5) structures which are all accredited to the National Health System and located in Lombardy, Northern Italy, but differ in terms of the period of construction and type</w:t>
      </w:r>
      <w:r w:rsidR="006905D2">
        <w:rPr>
          <w:rFonts w:ascii="Georgia" w:eastAsiaTheme="minorEastAsia" w:hAnsi="Georgia" w:cs="Arial"/>
          <w:color w:val="auto"/>
        </w:rPr>
        <w:t>s</w:t>
      </w:r>
      <w:r w:rsidR="00F42189">
        <w:rPr>
          <w:rFonts w:ascii="Georgia" w:eastAsiaTheme="minorEastAsia" w:hAnsi="Georgia" w:cs="Arial"/>
          <w:color w:val="auto"/>
        </w:rPr>
        <w:t xml:space="preserve"> of nursing homes and long-term care facilities for people with dementia and cognitive impairments</w:t>
      </w:r>
      <w:r w:rsidR="006905D2">
        <w:rPr>
          <w:rFonts w:ascii="Georgia" w:eastAsiaTheme="minorEastAsia" w:hAnsi="Georgia" w:cs="Arial"/>
          <w:color w:val="auto"/>
        </w:rPr>
        <w:t xml:space="preserve"> (</w:t>
      </w:r>
      <w:r w:rsidR="00F42189">
        <w:rPr>
          <w:rFonts w:ascii="Georgia" w:eastAsiaTheme="minorEastAsia" w:hAnsi="Georgia" w:cs="Arial"/>
          <w:color w:val="auto"/>
        </w:rPr>
        <w:t>V</w:t>
      </w:r>
      <w:r w:rsidR="006905D2">
        <w:rPr>
          <w:rFonts w:ascii="Georgia" w:eastAsiaTheme="minorEastAsia" w:hAnsi="Georgia" w:cs="Arial"/>
          <w:color w:val="auto"/>
        </w:rPr>
        <w:t>illage</w:t>
      </w:r>
      <w:r w:rsidR="00F42189">
        <w:rPr>
          <w:rFonts w:ascii="Georgia" w:eastAsiaTheme="minorEastAsia" w:hAnsi="Georgia" w:cs="Arial"/>
          <w:color w:val="auto"/>
        </w:rPr>
        <w:t xml:space="preserve"> or</w:t>
      </w:r>
      <w:r w:rsidR="006905D2">
        <w:rPr>
          <w:rFonts w:ascii="Georgia" w:eastAsiaTheme="minorEastAsia" w:hAnsi="Georgia" w:cs="Arial"/>
          <w:color w:val="auto"/>
        </w:rPr>
        <w:t xml:space="preserve"> Special Care Unit (SCU)</w:t>
      </w:r>
      <w:r w:rsidR="00F42189">
        <w:rPr>
          <w:rFonts w:ascii="Georgia" w:eastAsiaTheme="minorEastAsia" w:hAnsi="Georgia" w:cs="Arial"/>
          <w:color w:val="auto"/>
        </w:rPr>
        <w:t>, the typologies that host for people with dementia</w:t>
      </w:r>
      <w:r w:rsidR="006905D2">
        <w:rPr>
          <w:rFonts w:ascii="Georgia" w:eastAsiaTheme="minorEastAsia" w:hAnsi="Georgia" w:cs="Arial"/>
          <w:color w:val="auto"/>
        </w:rPr>
        <w:t>)</w:t>
      </w:r>
      <w:r w:rsidRPr="00001A63">
        <w:rPr>
          <w:rFonts w:ascii="Georgia" w:eastAsiaTheme="minorEastAsia" w:hAnsi="Georgia" w:cs="Arial"/>
          <w:color w:val="auto"/>
        </w:rPr>
        <w:t>. The facilities also host patients with different levels of cognition and stage of dementia.</w:t>
      </w:r>
      <w:r w:rsidR="0066585A">
        <w:rPr>
          <w:rFonts w:ascii="Georgia" w:eastAsiaTheme="minorEastAsia" w:hAnsi="Georgia" w:cs="Arial"/>
          <w:color w:val="auto"/>
        </w:rPr>
        <w:t xml:space="preserve"> </w:t>
      </w:r>
      <w:r w:rsidR="0066585A">
        <w:rPr>
          <w:rFonts w:ascii="Georgia" w:eastAsiaTheme="minorEastAsia" w:hAnsi="Georgia" w:cs="Arial"/>
        </w:rPr>
        <w:t>R</w:t>
      </w:r>
      <w:r w:rsidR="0066585A" w:rsidRPr="0066585A">
        <w:rPr>
          <w:rFonts w:ascii="Georgia" w:eastAsiaTheme="minorEastAsia" w:hAnsi="Georgia" w:cs="Arial"/>
        </w:rPr>
        <w:t>egarding excess to service all of the facilities analyzed are accredited to the national health care system and therefore provide partial coverage of the fee by the region and part by the patients. The cost for patients ranges from 60 to 100 euros per day, depending on the type of facility.</w:t>
      </w:r>
    </w:p>
    <w:p w14:paraId="531E04CC" w14:textId="054F276F" w:rsidR="00616217" w:rsidRPr="006905D2" w:rsidRDefault="00A86E9F" w:rsidP="006905D2">
      <w:pPr>
        <w:pStyle w:val="MDPI21heading1"/>
        <w:rPr>
          <w:rFonts w:ascii="Georgia" w:eastAsiaTheme="minorEastAsia" w:hAnsi="Georgia" w:cs="Arial"/>
        </w:rPr>
      </w:pPr>
      <w:r w:rsidRPr="004F2BEA">
        <w:rPr>
          <w:rFonts w:ascii="Georgia" w:eastAsiaTheme="minorEastAsia" w:hAnsi="Georgia" w:cs="Arial"/>
        </w:rPr>
        <w:t>3. Results</w:t>
      </w:r>
    </w:p>
    <w:p w14:paraId="5DCFD5EB" w14:textId="77777777" w:rsidR="00616217" w:rsidRPr="00784E53" w:rsidRDefault="00616217" w:rsidP="00784E53">
      <w:pPr>
        <w:pStyle w:val="MDPI31text"/>
        <w:rPr>
          <w:rFonts w:ascii="Georgia" w:eastAsiaTheme="minorEastAsia" w:hAnsi="Georgia" w:cs="Arial"/>
          <w:color w:val="auto"/>
        </w:rPr>
      </w:pPr>
    </w:p>
    <w:p w14:paraId="61DC7615" w14:textId="3C987FE5" w:rsidR="00BD72A4" w:rsidRPr="002E3D7F" w:rsidRDefault="00831288" w:rsidP="002E3D7F">
      <w:pPr>
        <w:pStyle w:val="MDPI31text"/>
        <w:rPr>
          <w:rFonts w:ascii="Georgia" w:eastAsiaTheme="minorEastAsia" w:hAnsi="Georgia" w:cs="Arial"/>
          <w:color w:val="7F7F7F" w:themeColor="text1" w:themeTint="80"/>
        </w:rPr>
      </w:pPr>
      <w:r>
        <w:rPr>
          <w:rFonts w:ascii="Georgia" w:eastAsiaTheme="minorEastAsia" w:hAnsi="Georgia" w:cs="Arial"/>
        </w:rPr>
        <w:t xml:space="preserve">The </w:t>
      </w:r>
      <w:r w:rsidRPr="00733D3B">
        <w:rPr>
          <w:rFonts w:ascii="Georgia" w:eastAsiaTheme="minorEastAsia" w:hAnsi="Georgia" w:cs="Arial"/>
          <w:b/>
          <w:bCs/>
        </w:rPr>
        <w:t>first</w:t>
      </w:r>
      <w:r>
        <w:rPr>
          <w:rFonts w:ascii="Georgia" w:eastAsiaTheme="minorEastAsia" w:hAnsi="Georgia" w:cs="Arial"/>
        </w:rPr>
        <w:t xml:space="preserve"> </w:t>
      </w:r>
      <w:r w:rsidR="00641407">
        <w:rPr>
          <w:rFonts w:ascii="Georgia" w:eastAsiaTheme="minorEastAsia" w:hAnsi="Georgia" w:cs="Arial"/>
        </w:rPr>
        <w:t>facility</w:t>
      </w:r>
      <w:r>
        <w:rPr>
          <w:rFonts w:ascii="Georgia" w:eastAsiaTheme="minorEastAsia" w:hAnsi="Georgia" w:cs="Arial"/>
        </w:rPr>
        <w:t xml:space="preserve"> is a</w:t>
      </w:r>
      <w:r w:rsidR="00A36A6E">
        <w:rPr>
          <w:rFonts w:ascii="Georgia" w:eastAsiaTheme="minorEastAsia" w:hAnsi="Georgia" w:cs="Arial"/>
        </w:rPr>
        <w:t xml:space="preserve"> </w:t>
      </w:r>
      <w:r w:rsidR="00BD72A4" w:rsidRPr="00BD72A4">
        <w:rPr>
          <w:rFonts w:ascii="Georgia" w:eastAsiaTheme="minorEastAsia" w:hAnsi="Georgia" w:cs="Arial"/>
        </w:rPr>
        <w:t>recently</w:t>
      </w:r>
      <w:r w:rsidR="00641407">
        <w:rPr>
          <w:rFonts w:ascii="Georgia" w:eastAsiaTheme="minorEastAsia" w:hAnsi="Georgia" w:cs="Arial"/>
        </w:rPr>
        <w:t xml:space="preserve"> </w:t>
      </w:r>
      <w:r w:rsidR="00BD72A4" w:rsidRPr="00BD72A4">
        <w:rPr>
          <w:rFonts w:ascii="Georgia" w:eastAsiaTheme="minorEastAsia" w:hAnsi="Georgia" w:cs="Arial"/>
        </w:rPr>
        <w:t>realized</w:t>
      </w:r>
      <w:r w:rsidR="006905D2">
        <w:rPr>
          <w:rFonts w:ascii="Georgia" w:eastAsiaTheme="minorEastAsia" w:hAnsi="Georgia" w:cs="Arial"/>
        </w:rPr>
        <w:t xml:space="preserve"> nursing home (a village type)</w:t>
      </w:r>
      <w:r w:rsidR="00BD72A4" w:rsidRPr="00BD72A4">
        <w:rPr>
          <w:rFonts w:ascii="Georgia" w:eastAsiaTheme="minorEastAsia" w:hAnsi="Georgia" w:cs="Arial"/>
        </w:rPr>
        <w:t xml:space="preserve"> </w:t>
      </w:r>
      <w:r w:rsidR="00641407">
        <w:rPr>
          <w:rFonts w:ascii="Georgia" w:eastAsiaTheme="minorEastAsia" w:hAnsi="Georgia" w:cs="Arial"/>
        </w:rPr>
        <w:t>following</w:t>
      </w:r>
      <w:r w:rsidR="00BD72A4" w:rsidRPr="00BD72A4">
        <w:rPr>
          <w:rFonts w:ascii="Georgia" w:eastAsiaTheme="minorEastAsia" w:hAnsi="Georgia" w:cs="Arial"/>
        </w:rPr>
        <w:t xml:space="preserve"> the latest innovations regarding the quality of the environments</w:t>
      </w:r>
      <w:r w:rsidR="00641407">
        <w:rPr>
          <w:rFonts w:ascii="Georgia" w:eastAsiaTheme="minorEastAsia" w:hAnsi="Georgia" w:cs="Arial"/>
        </w:rPr>
        <w:t xml:space="preserve"> </w:t>
      </w:r>
      <w:r w:rsidR="00BD72A4" w:rsidRPr="00BD72A4">
        <w:rPr>
          <w:rFonts w:ascii="Georgia" w:eastAsiaTheme="minorEastAsia" w:hAnsi="Georgia" w:cs="Arial"/>
        </w:rPr>
        <w:t>and the use of technological resources.</w:t>
      </w:r>
      <w:r w:rsidR="002E3D7F">
        <w:rPr>
          <w:rFonts w:ascii="Georgia" w:eastAsiaTheme="minorEastAsia" w:hAnsi="Georgia" w:cs="Arial"/>
          <w:color w:val="7F7F7F" w:themeColor="text1" w:themeTint="80"/>
        </w:rPr>
        <w:t xml:space="preserve"> </w:t>
      </w:r>
      <w:r w:rsidR="002E3D7F">
        <w:rPr>
          <w:rFonts w:ascii="Georgia" w:eastAsiaTheme="minorEastAsia" w:hAnsi="Georgia" w:cs="Arial"/>
        </w:rPr>
        <w:t>T</w:t>
      </w:r>
      <w:r w:rsidR="00BD72A4" w:rsidRPr="00BD72A4">
        <w:rPr>
          <w:rFonts w:ascii="Georgia" w:eastAsiaTheme="minorEastAsia" w:hAnsi="Georgia" w:cs="Arial"/>
        </w:rPr>
        <w:t>he structure obtained a score almost completely</w:t>
      </w:r>
      <w:r w:rsidR="00641407">
        <w:rPr>
          <w:rFonts w:ascii="Georgia" w:eastAsiaTheme="minorEastAsia" w:hAnsi="Georgia" w:cs="Arial"/>
        </w:rPr>
        <w:t xml:space="preserve"> </w:t>
      </w:r>
      <w:r w:rsidR="00BD72A4" w:rsidRPr="00BD72A4">
        <w:rPr>
          <w:rFonts w:ascii="Georgia" w:eastAsiaTheme="minorEastAsia" w:hAnsi="Georgia" w:cs="Arial"/>
        </w:rPr>
        <w:t>excellent, with an overall evaluation of 138 points out of 150, equal to 92%.</w:t>
      </w:r>
    </w:p>
    <w:p w14:paraId="293E2175" w14:textId="3B00ACC8" w:rsidR="00BD72A4" w:rsidRPr="00BD72A4" w:rsidRDefault="00BD72A4" w:rsidP="006905D2">
      <w:pPr>
        <w:pStyle w:val="MDPI31text"/>
        <w:rPr>
          <w:rFonts w:ascii="Georgia" w:eastAsiaTheme="minorEastAsia" w:hAnsi="Georgia" w:cs="Arial"/>
        </w:rPr>
      </w:pPr>
      <w:r w:rsidRPr="00BD72A4">
        <w:rPr>
          <w:rFonts w:ascii="Georgia" w:eastAsiaTheme="minorEastAsia" w:hAnsi="Georgia" w:cs="Arial"/>
        </w:rPr>
        <w:t xml:space="preserve">The same assessment tool was applied to the </w:t>
      </w:r>
      <w:r w:rsidR="00C65AFD" w:rsidRPr="00C65AFD">
        <w:rPr>
          <w:rFonts w:ascii="Georgia" w:eastAsiaTheme="minorEastAsia" w:hAnsi="Georgia" w:cs="Arial"/>
          <w:b/>
          <w:bCs/>
        </w:rPr>
        <w:t>second</w:t>
      </w:r>
      <w:r w:rsidR="00C65AFD">
        <w:rPr>
          <w:rFonts w:ascii="Georgia" w:eastAsiaTheme="minorEastAsia" w:hAnsi="Georgia" w:cs="Arial"/>
        </w:rPr>
        <w:t xml:space="preserve"> facility, a </w:t>
      </w:r>
      <w:r w:rsidR="006905D2">
        <w:rPr>
          <w:rFonts w:ascii="Georgia" w:eastAsiaTheme="minorEastAsia" w:hAnsi="Georgia" w:cs="Arial"/>
        </w:rPr>
        <w:t xml:space="preserve">SCU, specifically for </w:t>
      </w:r>
      <w:r w:rsidRPr="00BD72A4">
        <w:rPr>
          <w:rFonts w:ascii="Georgia" w:eastAsiaTheme="minorEastAsia" w:hAnsi="Georgia" w:cs="Arial"/>
        </w:rPr>
        <w:t>Alzheimer'</w:t>
      </w:r>
      <w:r w:rsidR="006905D2">
        <w:rPr>
          <w:rFonts w:ascii="Georgia" w:eastAsiaTheme="minorEastAsia" w:hAnsi="Georgia" w:cs="Arial"/>
        </w:rPr>
        <w:t xml:space="preserve">s patients, located in </w:t>
      </w:r>
      <w:r w:rsidRPr="00BD72A4">
        <w:rPr>
          <w:rFonts w:ascii="Georgia" w:eastAsiaTheme="minorEastAsia" w:hAnsi="Georgia" w:cs="Arial"/>
        </w:rPr>
        <w:t>Lombard</w:t>
      </w:r>
      <w:r w:rsidR="006905D2">
        <w:rPr>
          <w:rFonts w:ascii="Georgia" w:eastAsiaTheme="minorEastAsia" w:hAnsi="Georgia" w:cs="Arial"/>
        </w:rPr>
        <w:t xml:space="preserve">y. It was </w:t>
      </w:r>
      <w:r w:rsidRPr="00BD72A4">
        <w:rPr>
          <w:rFonts w:ascii="Georgia" w:eastAsiaTheme="minorEastAsia" w:hAnsi="Georgia" w:cs="Arial"/>
        </w:rPr>
        <w:t xml:space="preserve">built a </w:t>
      </w:r>
      <w:r w:rsidR="006905D2">
        <w:rPr>
          <w:rFonts w:ascii="Georgia" w:eastAsiaTheme="minorEastAsia" w:hAnsi="Georgia" w:cs="Arial"/>
        </w:rPr>
        <w:t>tw</w:t>
      </w:r>
      <w:r w:rsidR="00616217">
        <w:rPr>
          <w:rFonts w:ascii="Georgia" w:eastAsiaTheme="minorEastAsia" w:hAnsi="Georgia" w:cs="Arial"/>
        </w:rPr>
        <w:t>o decades</w:t>
      </w:r>
      <w:r w:rsidRPr="00BD72A4">
        <w:rPr>
          <w:rFonts w:ascii="Georgia" w:eastAsiaTheme="minorEastAsia" w:hAnsi="Georgia" w:cs="Arial"/>
        </w:rPr>
        <w:t xml:space="preserve"> ago (early 2000s).</w:t>
      </w:r>
      <w:r w:rsidR="00C65AFD">
        <w:rPr>
          <w:rFonts w:ascii="Georgia" w:eastAsiaTheme="minorEastAsia" w:hAnsi="Georgia" w:cs="Arial"/>
        </w:rPr>
        <w:t xml:space="preserve"> </w:t>
      </w:r>
      <w:r w:rsidRPr="00BD72A4">
        <w:rPr>
          <w:rFonts w:ascii="Georgia" w:eastAsiaTheme="minorEastAsia" w:hAnsi="Georgia" w:cs="Arial"/>
        </w:rPr>
        <w:t>The analyzed structure obtained a good score but much lower than the previous one,</w:t>
      </w:r>
      <w:r w:rsidR="00733D3B">
        <w:rPr>
          <w:rFonts w:ascii="Georgia" w:eastAsiaTheme="minorEastAsia" w:hAnsi="Georgia" w:cs="Arial"/>
        </w:rPr>
        <w:t xml:space="preserve"> </w:t>
      </w:r>
      <w:r w:rsidRPr="00BD72A4">
        <w:rPr>
          <w:rFonts w:ascii="Georgia" w:eastAsiaTheme="minorEastAsia" w:hAnsi="Georgia" w:cs="Arial"/>
        </w:rPr>
        <w:t>with an overall evaluation of 98 points out of 150, equal to 65%.</w:t>
      </w:r>
    </w:p>
    <w:p w14:paraId="331273A3" w14:textId="1EFB1FD9" w:rsidR="00BD72A4" w:rsidRPr="00BD72A4" w:rsidRDefault="00BD72A4" w:rsidP="00641407">
      <w:pPr>
        <w:pStyle w:val="MDPI31text"/>
        <w:rPr>
          <w:rFonts w:ascii="Georgia" w:eastAsiaTheme="minorEastAsia" w:hAnsi="Georgia" w:cs="Arial"/>
        </w:rPr>
      </w:pPr>
      <w:r w:rsidRPr="00BD72A4">
        <w:rPr>
          <w:rFonts w:ascii="Georgia" w:eastAsiaTheme="minorEastAsia" w:hAnsi="Georgia" w:cs="Arial"/>
        </w:rPr>
        <w:t>The</w:t>
      </w:r>
      <w:r w:rsidR="00641407">
        <w:rPr>
          <w:rFonts w:ascii="Georgia" w:eastAsiaTheme="minorEastAsia" w:hAnsi="Georgia" w:cs="Arial"/>
        </w:rPr>
        <w:t xml:space="preserve"> </w:t>
      </w:r>
      <w:r w:rsidR="00641407" w:rsidRPr="0005285E">
        <w:rPr>
          <w:rFonts w:ascii="Georgia" w:eastAsiaTheme="minorEastAsia" w:hAnsi="Georgia" w:cs="Arial"/>
          <w:b/>
          <w:bCs/>
        </w:rPr>
        <w:t>third</w:t>
      </w:r>
      <w:r w:rsidRPr="00BD72A4">
        <w:rPr>
          <w:rFonts w:ascii="Georgia" w:eastAsiaTheme="minorEastAsia" w:hAnsi="Georgia" w:cs="Arial"/>
        </w:rPr>
        <w:t xml:space="preserve"> structure was built in the first decade of the 2000s, by converting a</w:t>
      </w:r>
      <w:r w:rsidR="00911F64">
        <w:rPr>
          <w:rFonts w:ascii="Georgia" w:eastAsiaTheme="minorEastAsia" w:hAnsi="Georgia" w:cs="Arial"/>
        </w:rPr>
        <w:t>n existent</w:t>
      </w:r>
      <w:r w:rsidRPr="00BD72A4">
        <w:rPr>
          <w:rFonts w:ascii="Georgia" w:eastAsiaTheme="minorEastAsia" w:hAnsi="Georgia" w:cs="Arial"/>
        </w:rPr>
        <w:t xml:space="preserve"> department of a </w:t>
      </w:r>
      <w:r w:rsidR="001D173E">
        <w:rPr>
          <w:rFonts w:ascii="Georgia" w:eastAsiaTheme="minorEastAsia" w:hAnsi="Georgia" w:cs="Arial"/>
        </w:rPr>
        <w:t>Nursing Home</w:t>
      </w:r>
      <w:r w:rsidR="006905D2">
        <w:rPr>
          <w:rFonts w:ascii="Georgia" w:eastAsiaTheme="minorEastAsia" w:hAnsi="Georgia" w:cs="Arial"/>
        </w:rPr>
        <w:t xml:space="preserve"> into a SCU</w:t>
      </w:r>
      <w:r w:rsidRPr="00BD72A4">
        <w:rPr>
          <w:rFonts w:ascii="Georgia" w:eastAsiaTheme="minorEastAsia" w:hAnsi="Georgia" w:cs="Arial"/>
        </w:rPr>
        <w:t>. The analyzed structure obtained an overall sufficient evaluation with 113 points out of 150, equal to</w:t>
      </w:r>
      <w:r w:rsidR="00641407">
        <w:rPr>
          <w:rFonts w:ascii="Georgia" w:eastAsiaTheme="minorEastAsia" w:hAnsi="Georgia" w:cs="Arial"/>
        </w:rPr>
        <w:t xml:space="preserve"> </w:t>
      </w:r>
      <w:r w:rsidRPr="00BD72A4">
        <w:rPr>
          <w:rFonts w:ascii="Georgia" w:eastAsiaTheme="minorEastAsia" w:hAnsi="Georgia" w:cs="Arial"/>
        </w:rPr>
        <w:t>75%.</w:t>
      </w:r>
    </w:p>
    <w:p w14:paraId="0354FF75" w14:textId="3EBE7FAD" w:rsidR="000D486C" w:rsidRPr="00BD72A4" w:rsidRDefault="000D486C" w:rsidP="0005285E">
      <w:pPr>
        <w:pStyle w:val="MDPI31text"/>
        <w:rPr>
          <w:rFonts w:ascii="Georgia" w:eastAsiaTheme="minorEastAsia" w:hAnsi="Georgia" w:cs="Arial"/>
        </w:rPr>
      </w:pPr>
      <w:r w:rsidRPr="00BD72A4">
        <w:rPr>
          <w:rFonts w:ascii="Georgia" w:eastAsiaTheme="minorEastAsia" w:hAnsi="Georgia" w:cs="Arial"/>
        </w:rPr>
        <w:t xml:space="preserve">The structure </w:t>
      </w:r>
      <w:r w:rsidR="00641407">
        <w:rPr>
          <w:rFonts w:ascii="Georgia" w:eastAsiaTheme="minorEastAsia" w:hAnsi="Georgia" w:cs="Arial"/>
        </w:rPr>
        <w:t xml:space="preserve">number </w:t>
      </w:r>
      <w:r w:rsidR="00641407" w:rsidRPr="0005285E">
        <w:rPr>
          <w:rFonts w:ascii="Georgia" w:eastAsiaTheme="minorEastAsia" w:hAnsi="Georgia" w:cs="Arial"/>
          <w:b/>
          <w:bCs/>
        </w:rPr>
        <w:t>four</w:t>
      </w:r>
      <w:r w:rsidR="00641407">
        <w:rPr>
          <w:rFonts w:ascii="Georgia" w:eastAsiaTheme="minorEastAsia" w:hAnsi="Georgia" w:cs="Arial"/>
        </w:rPr>
        <w:t xml:space="preserve"> </w:t>
      </w:r>
      <w:r w:rsidRPr="00BD72A4">
        <w:rPr>
          <w:rFonts w:ascii="Georgia" w:eastAsiaTheme="minorEastAsia" w:hAnsi="Georgia" w:cs="Arial"/>
        </w:rPr>
        <w:t>was</w:t>
      </w:r>
      <w:r>
        <w:rPr>
          <w:rFonts w:ascii="Georgia" w:eastAsiaTheme="minorEastAsia" w:hAnsi="Georgia" w:cs="Arial"/>
        </w:rPr>
        <w:t xml:space="preserve"> recently</w:t>
      </w:r>
      <w:r w:rsidRPr="00BD72A4">
        <w:rPr>
          <w:rFonts w:ascii="Georgia" w:eastAsiaTheme="minorEastAsia" w:hAnsi="Georgia" w:cs="Arial"/>
        </w:rPr>
        <w:t xml:space="preserve"> built</w:t>
      </w:r>
      <w:r>
        <w:rPr>
          <w:rFonts w:ascii="Georgia" w:eastAsiaTheme="minorEastAsia" w:hAnsi="Georgia" w:cs="Arial"/>
        </w:rPr>
        <w:t xml:space="preserve"> and is </w:t>
      </w:r>
      <w:r w:rsidR="006905D2">
        <w:rPr>
          <w:rFonts w:ascii="Georgia" w:eastAsiaTheme="minorEastAsia" w:hAnsi="Georgia" w:cs="Arial"/>
        </w:rPr>
        <w:t xml:space="preserve">SCU in </w:t>
      </w:r>
      <w:r>
        <w:rPr>
          <w:rFonts w:ascii="Georgia" w:eastAsiaTheme="minorEastAsia" w:hAnsi="Georgia" w:cs="Arial"/>
        </w:rPr>
        <w:t>a Nursing home.</w:t>
      </w:r>
      <w:r w:rsidR="006905D2">
        <w:rPr>
          <w:rFonts w:ascii="Georgia" w:eastAsiaTheme="minorEastAsia" w:hAnsi="Georgia" w:cs="Arial"/>
        </w:rPr>
        <w:t xml:space="preserve"> </w:t>
      </w:r>
      <w:r w:rsidRPr="00BD72A4">
        <w:rPr>
          <w:rFonts w:ascii="Georgia" w:eastAsiaTheme="minorEastAsia" w:hAnsi="Georgia" w:cs="Arial"/>
        </w:rPr>
        <w:t xml:space="preserve">The analyzed structure obtained </w:t>
      </w:r>
      <w:r>
        <w:rPr>
          <w:rFonts w:ascii="Georgia" w:eastAsiaTheme="minorEastAsia" w:hAnsi="Georgia" w:cs="Arial"/>
        </w:rPr>
        <w:t>79,5</w:t>
      </w:r>
      <w:r w:rsidRPr="00BD72A4">
        <w:rPr>
          <w:rFonts w:ascii="Georgia" w:eastAsiaTheme="minorEastAsia" w:hAnsi="Georgia" w:cs="Arial"/>
        </w:rPr>
        <w:t xml:space="preserve"> points out of 150, equal to</w:t>
      </w:r>
      <w:r w:rsidR="0005285E">
        <w:rPr>
          <w:rFonts w:ascii="Georgia" w:eastAsiaTheme="minorEastAsia" w:hAnsi="Georgia" w:cs="Arial"/>
        </w:rPr>
        <w:t xml:space="preserve"> </w:t>
      </w:r>
      <w:r w:rsidRPr="00BD72A4">
        <w:rPr>
          <w:rFonts w:ascii="Georgia" w:eastAsiaTheme="minorEastAsia" w:hAnsi="Georgia" w:cs="Arial"/>
        </w:rPr>
        <w:t>5</w:t>
      </w:r>
      <w:r>
        <w:rPr>
          <w:rFonts w:ascii="Georgia" w:eastAsiaTheme="minorEastAsia" w:hAnsi="Georgia" w:cs="Arial"/>
        </w:rPr>
        <w:t>3</w:t>
      </w:r>
      <w:r w:rsidRPr="00BD72A4">
        <w:rPr>
          <w:rFonts w:ascii="Georgia" w:eastAsiaTheme="minorEastAsia" w:hAnsi="Georgia" w:cs="Arial"/>
        </w:rPr>
        <w:t>%.</w:t>
      </w:r>
    </w:p>
    <w:p w14:paraId="05C642EF" w14:textId="738D6247" w:rsidR="000D486C" w:rsidRPr="00BD72A4" w:rsidRDefault="000D486C" w:rsidP="0005285E">
      <w:pPr>
        <w:pStyle w:val="MDPI31text"/>
        <w:rPr>
          <w:rFonts w:ascii="Georgia" w:eastAsiaTheme="minorEastAsia" w:hAnsi="Georgia" w:cs="Arial"/>
        </w:rPr>
      </w:pPr>
      <w:r w:rsidRPr="00BD72A4">
        <w:rPr>
          <w:rFonts w:ascii="Georgia" w:eastAsiaTheme="minorEastAsia" w:hAnsi="Georgia" w:cs="Arial"/>
        </w:rPr>
        <w:t>The</w:t>
      </w:r>
      <w:r>
        <w:rPr>
          <w:rFonts w:ascii="Georgia" w:eastAsiaTheme="minorEastAsia" w:hAnsi="Georgia" w:cs="Arial"/>
        </w:rPr>
        <w:t xml:space="preserve"> last</w:t>
      </w:r>
      <w:r w:rsidRPr="00BD72A4">
        <w:rPr>
          <w:rFonts w:ascii="Georgia" w:eastAsiaTheme="minorEastAsia" w:hAnsi="Georgia" w:cs="Arial"/>
        </w:rPr>
        <w:t xml:space="preserve"> structure</w:t>
      </w:r>
      <w:r w:rsidR="00F42189">
        <w:rPr>
          <w:rFonts w:ascii="Georgia" w:eastAsiaTheme="minorEastAsia" w:hAnsi="Georgia" w:cs="Arial"/>
        </w:rPr>
        <w:t xml:space="preserve">, </w:t>
      </w:r>
      <w:r w:rsidR="00F42189" w:rsidRPr="00F42189">
        <w:rPr>
          <w:rFonts w:ascii="Georgia" w:eastAsiaTheme="minorEastAsia" w:hAnsi="Georgia" w:cs="Arial"/>
          <w:b/>
          <w:bCs/>
        </w:rPr>
        <w:t>five</w:t>
      </w:r>
      <w:r w:rsidR="00F42189">
        <w:rPr>
          <w:rFonts w:ascii="Georgia" w:eastAsiaTheme="minorEastAsia" w:hAnsi="Georgia" w:cs="Arial"/>
        </w:rPr>
        <w:t>,</w:t>
      </w:r>
      <w:r w:rsidRPr="00BD72A4">
        <w:rPr>
          <w:rFonts w:ascii="Georgia" w:eastAsiaTheme="minorEastAsia" w:hAnsi="Georgia" w:cs="Arial"/>
        </w:rPr>
        <w:t xml:space="preserve"> </w:t>
      </w:r>
      <w:r>
        <w:rPr>
          <w:rFonts w:ascii="Georgia" w:eastAsiaTheme="minorEastAsia" w:hAnsi="Georgia" w:cs="Arial"/>
        </w:rPr>
        <w:t xml:space="preserve">is a </w:t>
      </w:r>
      <w:r w:rsidR="00F42189">
        <w:rPr>
          <w:rFonts w:ascii="Georgia" w:eastAsiaTheme="minorEastAsia" w:hAnsi="Georgia" w:cs="Arial"/>
        </w:rPr>
        <w:t xml:space="preserve">SCU </w:t>
      </w:r>
      <w:r>
        <w:rPr>
          <w:rFonts w:ascii="Georgia" w:eastAsiaTheme="minorEastAsia" w:hAnsi="Georgia" w:cs="Arial"/>
        </w:rPr>
        <w:t xml:space="preserve">of a Nursing home built in 1970s. </w:t>
      </w:r>
      <w:r w:rsidRPr="00BD72A4">
        <w:rPr>
          <w:rFonts w:ascii="Georgia" w:eastAsiaTheme="minorEastAsia" w:hAnsi="Georgia" w:cs="Arial"/>
        </w:rPr>
        <w:t>Th</w:t>
      </w:r>
      <w:r w:rsidR="00EC2C95">
        <w:rPr>
          <w:rFonts w:ascii="Georgia" w:eastAsiaTheme="minorEastAsia" w:hAnsi="Georgia" w:cs="Arial"/>
        </w:rPr>
        <w:t xml:space="preserve">is </w:t>
      </w:r>
      <w:r w:rsidRPr="00BD72A4">
        <w:rPr>
          <w:rFonts w:ascii="Georgia" w:eastAsiaTheme="minorEastAsia" w:hAnsi="Georgia" w:cs="Arial"/>
        </w:rPr>
        <w:t xml:space="preserve">structure obtained </w:t>
      </w:r>
      <w:r>
        <w:rPr>
          <w:rFonts w:ascii="Georgia" w:eastAsiaTheme="minorEastAsia" w:hAnsi="Georgia" w:cs="Arial"/>
        </w:rPr>
        <w:t>7</w:t>
      </w:r>
      <w:r w:rsidR="00EC2C95">
        <w:rPr>
          <w:rFonts w:ascii="Georgia" w:eastAsiaTheme="minorEastAsia" w:hAnsi="Georgia" w:cs="Arial"/>
        </w:rPr>
        <w:t>0</w:t>
      </w:r>
      <w:r w:rsidRPr="00BD72A4">
        <w:rPr>
          <w:rFonts w:ascii="Georgia" w:eastAsiaTheme="minorEastAsia" w:hAnsi="Georgia" w:cs="Arial"/>
        </w:rPr>
        <w:t xml:space="preserve"> points out of 150, equal to</w:t>
      </w:r>
      <w:r w:rsidR="00641407">
        <w:rPr>
          <w:rFonts w:ascii="Georgia" w:eastAsiaTheme="minorEastAsia" w:hAnsi="Georgia" w:cs="Arial"/>
        </w:rPr>
        <w:t xml:space="preserve"> </w:t>
      </w:r>
      <w:r w:rsidR="00EC2C95">
        <w:rPr>
          <w:rFonts w:ascii="Georgia" w:eastAsiaTheme="minorEastAsia" w:hAnsi="Georgia" w:cs="Arial"/>
        </w:rPr>
        <w:t>47</w:t>
      </w:r>
      <w:r w:rsidRPr="00BD72A4">
        <w:rPr>
          <w:rFonts w:ascii="Georgia" w:eastAsiaTheme="minorEastAsia" w:hAnsi="Georgia" w:cs="Arial"/>
        </w:rPr>
        <w:t>%.</w:t>
      </w:r>
    </w:p>
    <w:p w14:paraId="5FA20DE3" w14:textId="5592ADFD" w:rsidR="00616217" w:rsidRPr="00616217" w:rsidRDefault="000B7A63" w:rsidP="00F42189">
      <w:pPr>
        <w:pStyle w:val="MDPI41tablecaption"/>
        <w:rPr>
          <w:rFonts w:ascii="Georgia" w:eastAsiaTheme="minorEastAsia" w:hAnsi="Georgia" w:cs="Arial"/>
        </w:rPr>
      </w:pPr>
      <w:r w:rsidRPr="005C6417">
        <w:rPr>
          <w:rFonts w:ascii="Georgia" w:eastAsiaTheme="minorEastAsia" w:hAnsi="Georgia" w:cs="Arial"/>
        </w:rPr>
        <w:t xml:space="preserve">Table 1. </w:t>
      </w:r>
      <w:r w:rsidR="004333AD" w:rsidRPr="004333AD">
        <w:rPr>
          <w:rFonts w:ascii="Georgia" w:eastAsiaTheme="minorEastAsia" w:hAnsi="Georgia" w:cs="Arial"/>
        </w:rPr>
        <w:t>Area-based assessments of the various facilities</w:t>
      </w:r>
    </w:p>
    <w:tbl>
      <w:tblPr>
        <w:tblStyle w:val="Tabelraster"/>
        <w:tblW w:w="0" w:type="auto"/>
        <w:tblInd w:w="2608" w:type="dxa"/>
        <w:tblLook w:val="04A0" w:firstRow="1" w:lastRow="0" w:firstColumn="1" w:lastColumn="0" w:noHBand="0" w:noVBand="1"/>
      </w:tblPr>
      <w:tblGrid>
        <w:gridCol w:w="1790"/>
        <w:gridCol w:w="1262"/>
        <w:gridCol w:w="1180"/>
        <w:gridCol w:w="1180"/>
        <w:gridCol w:w="1179"/>
        <w:gridCol w:w="1185"/>
      </w:tblGrid>
      <w:tr w:rsidR="002E3D7F" w14:paraId="76519ABD" w14:textId="350B6819" w:rsidTr="00C65AFD">
        <w:trPr>
          <w:trHeight w:val="382"/>
        </w:trPr>
        <w:tc>
          <w:tcPr>
            <w:tcW w:w="1790" w:type="dxa"/>
            <w:vAlign w:val="center"/>
          </w:tcPr>
          <w:p w14:paraId="345B8C19" w14:textId="33B9980F" w:rsidR="002E3D7F" w:rsidRPr="00911F64" w:rsidRDefault="002E3D7F" w:rsidP="008E636C">
            <w:pPr>
              <w:pStyle w:val="MDPI31text"/>
              <w:ind w:left="0" w:firstLine="0"/>
              <w:jc w:val="center"/>
              <w:rPr>
                <w:rFonts w:ascii="Georgia" w:eastAsiaTheme="minorEastAsia" w:hAnsi="Georgia" w:cs="Arial"/>
                <w:szCs w:val="20"/>
              </w:rPr>
            </w:pPr>
          </w:p>
        </w:tc>
        <w:tc>
          <w:tcPr>
            <w:tcW w:w="5986" w:type="dxa"/>
            <w:gridSpan w:val="5"/>
            <w:vAlign w:val="center"/>
          </w:tcPr>
          <w:p w14:paraId="11A54ABF" w14:textId="4BA0778B" w:rsidR="002E3D7F" w:rsidRPr="00911F64" w:rsidRDefault="002E3D7F"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CASE STUDIES SCORES</w:t>
            </w:r>
          </w:p>
        </w:tc>
      </w:tr>
      <w:tr w:rsidR="00C65AFD" w14:paraId="6AF2F323" w14:textId="0467C432" w:rsidTr="00A8660F">
        <w:trPr>
          <w:trHeight w:val="382"/>
        </w:trPr>
        <w:tc>
          <w:tcPr>
            <w:tcW w:w="1790" w:type="dxa"/>
            <w:vAlign w:val="center"/>
          </w:tcPr>
          <w:p w14:paraId="33AA3487" w14:textId="4C05CEC7" w:rsidR="00C65AFD" w:rsidRPr="00911F64" w:rsidRDefault="006905D2"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Structure n°</w:t>
            </w:r>
          </w:p>
        </w:tc>
        <w:tc>
          <w:tcPr>
            <w:tcW w:w="1262" w:type="dxa"/>
            <w:vAlign w:val="center"/>
          </w:tcPr>
          <w:p w14:paraId="23AE003A" w14:textId="332F841D"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1</w:t>
            </w:r>
          </w:p>
        </w:tc>
        <w:tc>
          <w:tcPr>
            <w:tcW w:w="1180" w:type="dxa"/>
            <w:vAlign w:val="center"/>
          </w:tcPr>
          <w:p w14:paraId="654B7B19" w14:textId="11E4690F"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2</w:t>
            </w:r>
          </w:p>
        </w:tc>
        <w:tc>
          <w:tcPr>
            <w:tcW w:w="1180" w:type="dxa"/>
            <w:vAlign w:val="center"/>
          </w:tcPr>
          <w:p w14:paraId="1BBE599B" w14:textId="029F189A"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3</w:t>
            </w:r>
          </w:p>
        </w:tc>
        <w:tc>
          <w:tcPr>
            <w:tcW w:w="1179" w:type="dxa"/>
            <w:vAlign w:val="center"/>
          </w:tcPr>
          <w:p w14:paraId="70805BE2" w14:textId="2C7F8F9B"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w:t>
            </w:r>
          </w:p>
        </w:tc>
        <w:tc>
          <w:tcPr>
            <w:tcW w:w="1185" w:type="dxa"/>
            <w:vAlign w:val="center"/>
          </w:tcPr>
          <w:p w14:paraId="0751DF5F" w14:textId="34B507FA"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5</w:t>
            </w:r>
          </w:p>
        </w:tc>
      </w:tr>
      <w:tr w:rsidR="006905D2" w14:paraId="33B38E58" w14:textId="77777777" w:rsidTr="00A8660F">
        <w:trPr>
          <w:trHeight w:val="382"/>
        </w:trPr>
        <w:tc>
          <w:tcPr>
            <w:tcW w:w="1790" w:type="dxa"/>
            <w:vAlign w:val="center"/>
          </w:tcPr>
          <w:p w14:paraId="1E11B537" w14:textId="1FC6C637" w:rsidR="006905D2" w:rsidRPr="00911F64" w:rsidRDefault="006905D2"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Date</w:t>
            </w:r>
          </w:p>
        </w:tc>
        <w:tc>
          <w:tcPr>
            <w:tcW w:w="1262" w:type="dxa"/>
            <w:vAlign w:val="center"/>
          </w:tcPr>
          <w:p w14:paraId="2861BDC6" w14:textId="07AA70A4"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2018</w:t>
            </w:r>
          </w:p>
        </w:tc>
        <w:tc>
          <w:tcPr>
            <w:tcW w:w="1180" w:type="dxa"/>
            <w:vAlign w:val="center"/>
          </w:tcPr>
          <w:p w14:paraId="48BA10A6" w14:textId="5639C30A"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2000</w:t>
            </w:r>
          </w:p>
        </w:tc>
        <w:tc>
          <w:tcPr>
            <w:tcW w:w="1180" w:type="dxa"/>
            <w:vAlign w:val="center"/>
          </w:tcPr>
          <w:p w14:paraId="251D813B" w14:textId="2223E2B4"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2010</w:t>
            </w:r>
          </w:p>
        </w:tc>
        <w:tc>
          <w:tcPr>
            <w:tcW w:w="1179" w:type="dxa"/>
            <w:vAlign w:val="center"/>
          </w:tcPr>
          <w:p w14:paraId="77F36E80" w14:textId="750381E4"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2015</w:t>
            </w:r>
          </w:p>
        </w:tc>
        <w:tc>
          <w:tcPr>
            <w:tcW w:w="1185" w:type="dxa"/>
            <w:vAlign w:val="center"/>
          </w:tcPr>
          <w:p w14:paraId="50E31BEF" w14:textId="2DAE7243"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1970</w:t>
            </w:r>
          </w:p>
        </w:tc>
      </w:tr>
      <w:tr w:rsidR="006905D2" w14:paraId="096A9B33" w14:textId="77777777" w:rsidTr="00A8660F">
        <w:trPr>
          <w:trHeight w:val="382"/>
        </w:trPr>
        <w:tc>
          <w:tcPr>
            <w:tcW w:w="1790" w:type="dxa"/>
            <w:vAlign w:val="center"/>
          </w:tcPr>
          <w:p w14:paraId="761B0D33" w14:textId="3FFC1D7A" w:rsidR="006905D2" w:rsidRPr="00911F64" w:rsidRDefault="006905D2"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Type</w:t>
            </w:r>
          </w:p>
        </w:tc>
        <w:tc>
          <w:tcPr>
            <w:tcW w:w="1262" w:type="dxa"/>
            <w:vAlign w:val="center"/>
          </w:tcPr>
          <w:p w14:paraId="06D6587D" w14:textId="593706AD"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Village</w:t>
            </w:r>
          </w:p>
        </w:tc>
        <w:tc>
          <w:tcPr>
            <w:tcW w:w="1180" w:type="dxa"/>
            <w:vAlign w:val="center"/>
          </w:tcPr>
          <w:p w14:paraId="680D69BB" w14:textId="64677CBA"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SCU</w:t>
            </w:r>
          </w:p>
        </w:tc>
        <w:tc>
          <w:tcPr>
            <w:tcW w:w="1180" w:type="dxa"/>
            <w:vAlign w:val="center"/>
          </w:tcPr>
          <w:p w14:paraId="659E1F38" w14:textId="0C78CCA5"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SCU</w:t>
            </w:r>
          </w:p>
        </w:tc>
        <w:tc>
          <w:tcPr>
            <w:tcW w:w="1179" w:type="dxa"/>
            <w:vAlign w:val="center"/>
          </w:tcPr>
          <w:p w14:paraId="7E20A3F2" w14:textId="29FFDECB"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SCU</w:t>
            </w:r>
          </w:p>
        </w:tc>
        <w:tc>
          <w:tcPr>
            <w:tcW w:w="1185" w:type="dxa"/>
            <w:vAlign w:val="center"/>
          </w:tcPr>
          <w:p w14:paraId="453E7DBD" w14:textId="36708C11"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SCU</w:t>
            </w:r>
          </w:p>
        </w:tc>
      </w:tr>
      <w:tr w:rsidR="006905D2" w14:paraId="00425D68" w14:textId="77777777" w:rsidTr="00A8660F">
        <w:trPr>
          <w:trHeight w:val="382"/>
        </w:trPr>
        <w:tc>
          <w:tcPr>
            <w:tcW w:w="1790" w:type="dxa"/>
            <w:vAlign w:val="center"/>
          </w:tcPr>
          <w:p w14:paraId="3B61FEF6" w14:textId="7A18EA98" w:rsidR="006905D2" w:rsidRDefault="006905D2"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New/renovation</w:t>
            </w:r>
          </w:p>
        </w:tc>
        <w:tc>
          <w:tcPr>
            <w:tcW w:w="1262" w:type="dxa"/>
            <w:vAlign w:val="center"/>
          </w:tcPr>
          <w:p w14:paraId="397EE694" w14:textId="2E265097"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new</w:t>
            </w:r>
          </w:p>
        </w:tc>
        <w:tc>
          <w:tcPr>
            <w:tcW w:w="1180" w:type="dxa"/>
            <w:vAlign w:val="center"/>
          </w:tcPr>
          <w:p w14:paraId="546092FB" w14:textId="3AA0EBDA"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new</w:t>
            </w:r>
          </w:p>
        </w:tc>
        <w:tc>
          <w:tcPr>
            <w:tcW w:w="1180" w:type="dxa"/>
            <w:vAlign w:val="center"/>
          </w:tcPr>
          <w:p w14:paraId="17F39182" w14:textId="559C9874" w:rsidR="006905D2" w:rsidRPr="00911F64" w:rsidRDefault="00F42189" w:rsidP="008E636C">
            <w:pPr>
              <w:pStyle w:val="MDPI31text"/>
              <w:ind w:left="0" w:firstLine="0"/>
              <w:jc w:val="center"/>
              <w:rPr>
                <w:rFonts w:ascii="Georgia" w:eastAsiaTheme="minorEastAsia" w:hAnsi="Georgia" w:cs="Arial"/>
                <w:szCs w:val="20"/>
              </w:rPr>
            </w:pPr>
            <w:proofErr w:type="spellStart"/>
            <w:r>
              <w:rPr>
                <w:rFonts w:ascii="Georgia" w:eastAsiaTheme="minorEastAsia" w:hAnsi="Georgia" w:cs="Arial"/>
                <w:szCs w:val="20"/>
              </w:rPr>
              <w:t>renov</w:t>
            </w:r>
            <w:proofErr w:type="spellEnd"/>
          </w:p>
        </w:tc>
        <w:tc>
          <w:tcPr>
            <w:tcW w:w="1179" w:type="dxa"/>
            <w:vAlign w:val="center"/>
          </w:tcPr>
          <w:p w14:paraId="7621F866" w14:textId="15B1549E" w:rsidR="006905D2" w:rsidRPr="00911F64" w:rsidRDefault="00F42189"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new</w:t>
            </w:r>
          </w:p>
        </w:tc>
        <w:tc>
          <w:tcPr>
            <w:tcW w:w="1185" w:type="dxa"/>
            <w:vAlign w:val="center"/>
          </w:tcPr>
          <w:p w14:paraId="10434889" w14:textId="47331C25" w:rsidR="006905D2" w:rsidRPr="00911F64" w:rsidRDefault="00F42189" w:rsidP="008E636C">
            <w:pPr>
              <w:pStyle w:val="MDPI31text"/>
              <w:ind w:left="0" w:firstLine="0"/>
              <w:jc w:val="center"/>
              <w:rPr>
                <w:rFonts w:ascii="Georgia" w:eastAsiaTheme="minorEastAsia" w:hAnsi="Georgia" w:cs="Arial"/>
                <w:szCs w:val="20"/>
              </w:rPr>
            </w:pPr>
            <w:proofErr w:type="spellStart"/>
            <w:r>
              <w:rPr>
                <w:rFonts w:ascii="Georgia" w:eastAsiaTheme="minorEastAsia" w:hAnsi="Georgia" w:cs="Arial"/>
                <w:szCs w:val="20"/>
              </w:rPr>
              <w:t>renov</w:t>
            </w:r>
            <w:proofErr w:type="spellEnd"/>
          </w:p>
        </w:tc>
      </w:tr>
      <w:tr w:rsidR="006905D2" w14:paraId="06C1705C" w14:textId="77777777" w:rsidTr="008E1677">
        <w:trPr>
          <w:trHeight w:val="382"/>
        </w:trPr>
        <w:tc>
          <w:tcPr>
            <w:tcW w:w="1790" w:type="dxa"/>
            <w:vAlign w:val="center"/>
          </w:tcPr>
          <w:p w14:paraId="467E9CD3" w14:textId="7075F611" w:rsidR="006905D2" w:rsidRDefault="006905D2" w:rsidP="008E636C">
            <w:pPr>
              <w:pStyle w:val="MDPI31text"/>
              <w:ind w:left="0" w:firstLine="0"/>
              <w:jc w:val="center"/>
              <w:rPr>
                <w:rFonts w:ascii="Georgia" w:eastAsiaTheme="minorEastAsia" w:hAnsi="Georgia" w:cs="Arial"/>
                <w:szCs w:val="20"/>
              </w:rPr>
            </w:pPr>
            <w:r>
              <w:rPr>
                <w:rFonts w:ascii="Georgia" w:eastAsiaTheme="minorEastAsia" w:hAnsi="Georgia" w:cs="Arial"/>
                <w:szCs w:val="20"/>
              </w:rPr>
              <w:t>Criteria</w:t>
            </w:r>
            <w:r w:rsidR="00F42189">
              <w:rPr>
                <w:rFonts w:ascii="Georgia" w:eastAsiaTheme="minorEastAsia" w:hAnsi="Georgia" w:cs="Arial"/>
                <w:szCs w:val="20"/>
              </w:rPr>
              <w:t xml:space="preserve"> scores</w:t>
            </w:r>
          </w:p>
        </w:tc>
        <w:tc>
          <w:tcPr>
            <w:tcW w:w="5986" w:type="dxa"/>
            <w:gridSpan w:val="5"/>
            <w:vAlign w:val="center"/>
          </w:tcPr>
          <w:p w14:paraId="4D6DC23D" w14:textId="77777777" w:rsidR="006905D2" w:rsidRPr="00911F64" w:rsidRDefault="006905D2" w:rsidP="008E636C">
            <w:pPr>
              <w:pStyle w:val="MDPI31text"/>
              <w:ind w:left="0" w:firstLine="0"/>
              <w:jc w:val="center"/>
              <w:rPr>
                <w:rFonts w:ascii="Georgia" w:eastAsiaTheme="minorEastAsia" w:hAnsi="Georgia" w:cs="Arial"/>
                <w:szCs w:val="20"/>
              </w:rPr>
            </w:pPr>
          </w:p>
        </w:tc>
      </w:tr>
      <w:tr w:rsidR="00C65AFD" w14:paraId="65FBACD9" w14:textId="4D4A0387" w:rsidTr="00A8660F">
        <w:trPr>
          <w:trHeight w:val="362"/>
        </w:trPr>
        <w:tc>
          <w:tcPr>
            <w:tcW w:w="1790" w:type="dxa"/>
            <w:vAlign w:val="center"/>
          </w:tcPr>
          <w:p w14:paraId="467FE6D5" w14:textId="068D5B19"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Quality</w:t>
            </w:r>
          </w:p>
        </w:tc>
        <w:tc>
          <w:tcPr>
            <w:tcW w:w="1262" w:type="dxa"/>
            <w:vAlign w:val="center"/>
          </w:tcPr>
          <w:p w14:paraId="33C74D86" w14:textId="699982B1"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89%</w:t>
            </w:r>
          </w:p>
        </w:tc>
        <w:tc>
          <w:tcPr>
            <w:tcW w:w="1180" w:type="dxa"/>
            <w:vAlign w:val="center"/>
          </w:tcPr>
          <w:p w14:paraId="7FF5E6D7" w14:textId="75DBDEBC"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63%</w:t>
            </w:r>
          </w:p>
        </w:tc>
        <w:tc>
          <w:tcPr>
            <w:tcW w:w="1180" w:type="dxa"/>
            <w:vAlign w:val="center"/>
          </w:tcPr>
          <w:p w14:paraId="17A5CC28" w14:textId="70097204"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83%</w:t>
            </w:r>
          </w:p>
        </w:tc>
        <w:tc>
          <w:tcPr>
            <w:tcW w:w="1179" w:type="dxa"/>
            <w:vAlign w:val="center"/>
          </w:tcPr>
          <w:p w14:paraId="4E95CC5C" w14:textId="03D3A16C"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39%</w:t>
            </w:r>
          </w:p>
        </w:tc>
        <w:tc>
          <w:tcPr>
            <w:tcW w:w="1185" w:type="dxa"/>
            <w:vAlign w:val="center"/>
          </w:tcPr>
          <w:p w14:paraId="63CDB73E" w14:textId="2A7234EA"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43%</w:t>
            </w:r>
          </w:p>
        </w:tc>
      </w:tr>
      <w:tr w:rsidR="00C65AFD" w14:paraId="32798902" w14:textId="086C93A1" w:rsidTr="00A8660F">
        <w:trPr>
          <w:trHeight w:val="382"/>
        </w:trPr>
        <w:tc>
          <w:tcPr>
            <w:tcW w:w="1790" w:type="dxa"/>
            <w:vAlign w:val="center"/>
          </w:tcPr>
          <w:p w14:paraId="05666554" w14:textId="7F119879"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Spaces</w:t>
            </w:r>
          </w:p>
        </w:tc>
        <w:tc>
          <w:tcPr>
            <w:tcW w:w="1262" w:type="dxa"/>
            <w:vAlign w:val="center"/>
          </w:tcPr>
          <w:p w14:paraId="4449F24D" w14:textId="25C95B23"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100%</w:t>
            </w:r>
          </w:p>
        </w:tc>
        <w:tc>
          <w:tcPr>
            <w:tcW w:w="1180" w:type="dxa"/>
            <w:vAlign w:val="center"/>
          </w:tcPr>
          <w:p w14:paraId="63E142F2" w14:textId="6915ADE8"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55%</w:t>
            </w:r>
          </w:p>
        </w:tc>
        <w:tc>
          <w:tcPr>
            <w:tcW w:w="1180" w:type="dxa"/>
            <w:vAlign w:val="center"/>
          </w:tcPr>
          <w:p w14:paraId="53D228FC" w14:textId="0278301F"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61%</w:t>
            </w:r>
          </w:p>
        </w:tc>
        <w:tc>
          <w:tcPr>
            <w:tcW w:w="1179" w:type="dxa"/>
            <w:vAlign w:val="center"/>
          </w:tcPr>
          <w:p w14:paraId="407B3B0A" w14:textId="47B1DD63"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42%</w:t>
            </w:r>
          </w:p>
        </w:tc>
        <w:tc>
          <w:tcPr>
            <w:tcW w:w="1185" w:type="dxa"/>
            <w:vAlign w:val="center"/>
          </w:tcPr>
          <w:p w14:paraId="5294D343" w14:textId="143675FF"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48%</w:t>
            </w:r>
          </w:p>
        </w:tc>
      </w:tr>
      <w:tr w:rsidR="00C65AFD" w14:paraId="776183AF" w14:textId="052671DA" w:rsidTr="00A8660F">
        <w:trPr>
          <w:trHeight w:val="382"/>
        </w:trPr>
        <w:tc>
          <w:tcPr>
            <w:tcW w:w="1790" w:type="dxa"/>
            <w:vAlign w:val="center"/>
          </w:tcPr>
          <w:p w14:paraId="7B89D921" w14:textId="26556183"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Activities</w:t>
            </w:r>
          </w:p>
        </w:tc>
        <w:tc>
          <w:tcPr>
            <w:tcW w:w="1262" w:type="dxa"/>
            <w:vAlign w:val="center"/>
          </w:tcPr>
          <w:p w14:paraId="725BCB29" w14:textId="38838419"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93%</w:t>
            </w:r>
          </w:p>
        </w:tc>
        <w:tc>
          <w:tcPr>
            <w:tcW w:w="1180" w:type="dxa"/>
            <w:vAlign w:val="center"/>
          </w:tcPr>
          <w:p w14:paraId="468DCD9E" w14:textId="7185F030"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67%</w:t>
            </w:r>
          </w:p>
        </w:tc>
        <w:tc>
          <w:tcPr>
            <w:tcW w:w="1180" w:type="dxa"/>
            <w:vAlign w:val="center"/>
          </w:tcPr>
          <w:p w14:paraId="49160BA0" w14:textId="6A530F15"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87%</w:t>
            </w:r>
          </w:p>
        </w:tc>
        <w:tc>
          <w:tcPr>
            <w:tcW w:w="1179" w:type="dxa"/>
            <w:vAlign w:val="center"/>
          </w:tcPr>
          <w:p w14:paraId="6DC8E22C" w14:textId="7188F5A5"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47%</w:t>
            </w:r>
          </w:p>
        </w:tc>
        <w:tc>
          <w:tcPr>
            <w:tcW w:w="1185" w:type="dxa"/>
            <w:vAlign w:val="center"/>
          </w:tcPr>
          <w:p w14:paraId="4E99A526" w14:textId="0E7274CD"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73%</w:t>
            </w:r>
          </w:p>
        </w:tc>
      </w:tr>
      <w:tr w:rsidR="00C65AFD" w14:paraId="13BB2062" w14:textId="6FA191AA" w:rsidTr="00A8660F">
        <w:trPr>
          <w:trHeight w:val="382"/>
        </w:trPr>
        <w:tc>
          <w:tcPr>
            <w:tcW w:w="1790" w:type="dxa"/>
            <w:vAlign w:val="center"/>
          </w:tcPr>
          <w:p w14:paraId="7305CB74" w14:textId="02E7279C"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Wayfinding</w:t>
            </w:r>
          </w:p>
        </w:tc>
        <w:tc>
          <w:tcPr>
            <w:tcW w:w="1262" w:type="dxa"/>
            <w:vAlign w:val="center"/>
          </w:tcPr>
          <w:p w14:paraId="405B1D26" w14:textId="4DE996E0"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90%</w:t>
            </w:r>
          </w:p>
        </w:tc>
        <w:tc>
          <w:tcPr>
            <w:tcW w:w="1180" w:type="dxa"/>
            <w:vAlign w:val="center"/>
          </w:tcPr>
          <w:p w14:paraId="027A05F6" w14:textId="4ED73A2A"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83%</w:t>
            </w:r>
          </w:p>
        </w:tc>
        <w:tc>
          <w:tcPr>
            <w:tcW w:w="1180" w:type="dxa"/>
            <w:vAlign w:val="center"/>
          </w:tcPr>
          <w:p w14:paraId="1E4368F7" w14:textId="684A005A"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69%</w:t>
            </w:r>
          </w:p>
        </w:tc>
        <w:tc>
          <w:tcPr>
            <w:tcW w:w="1179" w:type="dxa"/>
            <w:vAlign w:val="center"/>
          </w:tcPr>
          <w:p w14:paraId="1B1E80DC" w14:textId="69B14DC2"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31%</w:t>
            </w:r>
          </w:p>
        </w:tc>
        <w:tc>
          <w:tcPr>
            <w:tcW w:w="1185" w:type="dxa"/>
            <w:vAlign w:val="center"/>
          </w:tcPr>
          <w:p w14:paraId="7C423A15" w14:textId="18AE521B" w:rsidR="00C65AFD" w:rsidRPr="00911F64" w:rsidRDefault="00C65AFD" w:rsidP="008E636C">
            <w:pPr>
              <w:pStyle w:val="MDPI31text"/>
              <w:ind w:left="0" w:firstLine="0"/>
              <w:jc w:val="center"/>
              <w:rPr>
                <w:rFonts w:ascii="Georgia" w:eastAsiaTheme="minorEastAsia" w:hAnsi="Georgia" w:cs="Arial"/>
                <w:szCs w:val="20"/>
              </w:rPr>
            </w:pPr>
            <w:r w:rsidRPr="00911F64">
              <w:rPr>
                <w:rFonts w:ascii="Georgia" w:eastAsiaTheme="minorEastAsia" w:hAnsi="Georgia" w:cs="Arial"/>
                <w:szCs w:val="20"/>
              </w:rPr>
              <w:t>41%</w:t>
            </w:r>
          </w:p>
        </w:tc>
      </w:tr>
      <w:tr w:rsidR="00C65AFD" w14:paraId="1FE3200E" w14:textId="77777777" w:rsidTr="00A8660F">
        <w:trPr>
          <w:trHeight w:val="382"/>
        </w:trPr>
        <w:tc>
          <w:tcPr>
            <w:tcW w:w="1790" w:type="dxa"/>
            <w:vAlign w:val="center"/>
          </w:tcPr>
          <w:p w14:paraId="130146D1" w14:textId="4DD2A675" w:rsidR="00C65AFD" w:rsidRPr="0005285E" w:rsidRDefault="00C65AFD"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Total</w:t>
            </w:r>
            <w:r w:rsidR="00F42189">
              <w:rPr>
                <w:rFonts w:ascii="Georgia" w:eastAsiaTheme="minorEastAsia" w:hAnsi="Georgia" w:cs="Arial"/>
                <w:b/>
                <w:bCs/>
                <w:szCs w:val="20"/>
              </w:rPr>
              <w:t xml:space="preserve"> score</w:t>
            </w:r>
          </w:p>
        </w:tc>
        <w:tc>
          <w:tcPr>
            <w:tcW w:w="1262" w:type="dxa"/>
            <w:vAlign w:val="center"/>
          </w:tcPr>
          <w:p w14:paraId="33068430" w14:textId="5A0592C7" w:rsidR="00C65AFD" w:rsidRPr="0005285E" w:rsidRDefault="0005285E"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92%</w:t>
            </w:r>
          </w:p>
        </w:tc>
        <w:tc>
          <w:tcPr>
            <w:tcW w:w="1180" w:type="dxa"/>
            <w:vAlign w:val="center"/>
          </w:tcPr>
          <w:p w14:paraId="1C09EB20" w14:textId="6BAAF6A3" w:rsidR="00C65AFD" w:rsidRPr="0005285E" w:rsidRDefault="0005285E"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65%</w:t>
            </w:r>
          </w:p>
        </w:tc>
        <w:tc>
          <w:tcPr>
            <w:tcW w:w="1180" w:type="dxa"/>
            <w:vAlign w:val="center"/>
          </w:tcPr>
          <w:p w14:paraId="438DDB41" w14:textId="21A12127" w:rsidR="00C65AFD" w:rsidRPr="0005285E" w:rsidRDefault="0005285E"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75%</w:t>
            </w:r>
          </w:p>
        </w:tc>
        <w:tc>
          <w:tcPr>
            <w:tcW w:w="1179" w:type="dxa"/>
            <w:vAlign w:val="center"/>
          </w:tcPr>
          <w:p w14:paraId="34212208" w14:textId="6EEF4881" w:rsidR="00C65AFD" w:rsidRPr="0005285E" w:rsidRDefault="0005285E"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53%</w:t>
            </w:r>
          </w:p>
        </w:tc>
        <w:tc>
          <w:tcPr>
            <w:tcW w:w="1185" w:type="dxa"/>
            <w:vAlign w:val="center"/>
          </w:tcPr>
          <w:p w14:paraId="76236971" w14:textId="57AB22B4" w:rsidR="00C65AFD" w:rsidRPr="0005285E" w:rsidRDefault="0005285E" w:rsidP="008E636C">
            <w:pPr>
              <w:pStyle w:val="MDPI31text"/>
              <w:ind w:left="0" w:firstLine="0"/>
              <w:jc w:val="center"/>
              <w:rPr>
                <w:rFonts w:ascii="Georgia" w:eastAsiaTheme="minorEastAsia" w:hAnsi="Georgia" w:cs="Arial"/>
                <w:b/>
                <w:bCs/>
                <w:szCs w:val="20"/>
              </w:rPr>
            </w:pPr>
            <w:r w:rsidRPr="0005285E">
              <w:rPr>
                <w:rFonts w:ascii="Georgia" w:eastAsiaTheme="minorEastAsia" w:hAnsi="Georgia" w:cs="Arial"/>
                <w:b/>
                <w:bCs/>
                <w:szCs w:val="20"/>
              </w:rPr>
              <w:t>47%</w:t>
            </w:r>
          </w:p>
        </w:tc>
      </w:tr>
    </w:tbl>
    <w:p w14:paraId="69328891" w14:textId="77777777" w:rsidR="00844E27" w:rsidRPr="004F2BEA" w:rsidRDefault="00844E27" w:rsidP="0066585A">
      <w:pPr>
        <w:pStyle w:val="MDPI21heading1"/>
        <w:ind w:left="0"/>
        <w:rPr>
          <w:rFonts w:ascii="Georgia" w:eastAsiaTheme="minorEastAsia" w:hAnsi="Georgia" w:cs="Arial"/>
        </w:rPr>
      </w:pPr>
    </w:p>
    <w:p w14:paraId="41FD678F" w14:textId="77777777" w:rsidR="0066585A" w:rsidRPr="0066585A" w:rsidRDefault="0066585A" w:rsidP="0066585A">
      <w:pPr>
        <w:pStyle w:val="MDPI31text"/>
        <w:rPr>
          <w:rFonts w:ascii="Georgia" w:eastAsiaTheme="minorEastAsia" w:hAnsi="Georgia" w:cs="Arial"/>
        </w:rPr>
      </w:pPr>
      <w:r w:rsidRPr="0066585A">
        <w:rPr>
          <w:rFonts w:ascii="Georgia" w:eastAsiaTheme="minorEastAsia" w:hAnsi="Georgia" w:cs="Arial"/>
        </w:rPr>
        <w:t xml:space="preserve">Since not all facilities adhered to the reporting of data and photographs, it was chosen to keep all five facilities anonymous. </w:t>
      </w:r>
    </w:p>
    <w:p w14:paraId="51E9EE3D" w14:textId="4E23B22F" w:rsidR="00616217" w:rsidRDefault="005B584B" w:rsidP="0066585A">
      <w:pPr>
        <w:pStyle w:val="MDPI31text"/>
        <w:rPr>
          <w:rFonts w:ascii="Georgia" w:eastAsiaTheme="minorEastAsia" w:hAnsi="Georgia" w:cs="Arial"/>
        </w:rPr>
      </w:pPr>
      <w:r w:rsidRPr="005B584B">
        <w:rPr>
          <w:rFonts w:ascii="Georgia" w:eastAsiaTheme="minorEastAsia" w:hAnsi="Georgia" w:cs="Arial"/>
        </w:rPr>
        <w:t>The health structures analyzed with the evaluation questionnaire turn out to be a lot</w:t>
      </w:r>
      <w:r w:rsidR="00641407">
        <w:rPr>
          <w:rFonts w:ascii="Georgia" w:eastAsiaTheme="minorEastAsia" w:hAnsi="Georgia" w:cs="Arial"/>
        </w:rPr>
        <w:t xml:space="preserve"> </w:t>
      </w:r>
      <w:r w:rsidRPr="005B584B">
        <w:rPr>
          <w:rFonts w:ascii="Georgia" w:eastAsiaTheme="minorEastAsia" w:hAnsi="Georgia" w:cs="Arial"/>
        </w:rPr>
        <w:t>different from each other while sharing the same function of welfare residence</w:t>
      </w:r>
      <w:r w:rsidR="00641407">
        <w:rPr>
          <w:rFonts w:ascii="Georgia" w:eastAsiaTheme="minorEastAsia" w:hAnsi="Georgia" w:cs="Arial"/>
        </w:rPr>
        <w:t xml:space="preserve"> </w:t>
      </w:r>
      <w:r w:rsidRPr="005B584B">
        <w:rPr>
          <w:rFonts w:ascii="Georgia" w:eastAsiaTheme="minorEastAsia" w:hAnsi="Georgia" w:cs="Arial"/>
        </w:rPr>
        <w:t xml:space="preserve">for Alzheimer's patients. </w:t>
      </w:r>
      <w:r w:rsidR="0066585A" w:rsidRPr="0066585A">
        <w:rPr>
          <w:rFonts w:ascii="Georgia" w:eastAsiaTheme="minorEastAsia" w:hAnsi="Georgia" w:cs="Arial"/>
        </w:rPr>
        <w:t xml:space="preserve">The </w:t>
      </w:r>
      <w:r w:rsidR="00532022">
        <w:rPr>
          <w:rFonts w:ascii="Georgia" w:eastAsiaTheme="minorEastAsia" w:hAnsi="Georgia" w:cs="Arial"/>
        </w:rPr>
        <w:t>SCU</w:t>
      </w:r>
      <w:r w:rsidR="0066585A" w:rsidRPr="0066585A">
        <w:rPr>
          <w:rFonts w:ascii="Georgia" w:eastAsiaTheme="minorEastAsia" w:hAnsi="Georgia" w:cs="Arial"/>
        </w:rPr>
        <w:t xml:space="preserve"> house people with varying levels of cognitive decline while the village is home to people with even very high residual ability and are in the early stages of dementia. </w:t>
      </w:r>
    </w:p>
    <w:p w14:paraId="4A0670D9" w14:textId="1BBFD68C" w:rsidR="00BF31DA" w:rsidRPr="005E3ADB" w:rsidRDefault="00B73BE3" w:rsidP="00BF31DA">
      <w:pPr>
        <w:pStyle w:val="MDPI31text"/>
        <w:rPr>
          <w:rFonts w:ascii="Georgia" w:eastAsiaTheme="minorEastAsia" w:hAnsi="Georgia" w:cs="Arial"/>
          <w:color w:val="FF0000"/>
        </w:rPr>
      </w:pPr>
      <w:r>
        <w:rPr>
          <w:rFonts w:ascii="Georgia" w:eastAsiaTheme="minorEastAsia" w:hAnsi="Georgia" w:cs="Arial"/>
        </w:rPr>
        <w:t xml:space="preserve">The </w:t>
      </w:r>
      <w:r w:rsidR="00641407" w:rsidRPr="00A164FC">
        <w:rPr>
          <w:rFonts w:ascii="Georgia" w:eastAsiaTheme="minorEastAsia" w:hAnsi="Georgia" w:cs="Arial"/>
        </w:rPr>
        <w:t xml:space="preserve">results of the evaluation tool shows that 2 are inadequate (&lt;60%) 2 sufficient (&lt;80%) and 1 excellent (&gt;80%). The best one is the newest and is conceived based on </w:t>
      </w:r>
      <w:r w:rsidR="00641407" w:rsidRPr="0066585A">
        <w:rPr>
          <w:rFonts w:ascii="Georgia" w:eastAsiaTheme="minorEastAsia" w:hAnsi="Georgia" w:cs="Arial"/>
          <w:color w:val="auto"/>
        </w:rPr>
        <w:t xml:space="preserve">analysis of evidence in relationship between Alzheimer’s and built environment and facts this scored the maximum (100%) </w:t>
      </w:r>
      <w:r w:rsidR="00CA139A" w:rsidRPr="0066585A">
        <w:rPr>
          <w:rFonts w:ascii="Georgia" w:eastAsiaTheme="minorEastAsia" w:hAnsi="Georgia" w:cs="Arial"/>
          <w:color w:val="auto"/>
        </w:rPr>
        <w:t>in</w:t>
      </w:r>
      <w:r w:rsidR="00641407" w:rsidRPr="0066585A">
        <w:rPr>
          <w:rFonts w:ascii="Georgia" w:eastAsiaTheme="minorEastAsia" w:hAnsi="Georgia" w:cs="Arial"/>
          <w:color w:val="auto"/>
        </w:rPr>
        <w:t xml:space="preserve"> </w:t>
      </w:r>
      <w:r w:rsidR="00CA139A" w:rsidRPr="0066585A">
        <w:rPr>
          <w:rFonts w:ascii="Georgia" w:eastAsiaTheme="minorEastAsia" w:hAnsi="Georgia" w:cs="Arial"/>
          <w:color w:val="auto"/>
        </w:rPr>
        <w:t>“S</w:t>
      </w:r>
      <w:r w:rsidR="00641407" w:rsidRPr="0066585A">
        <w:rPr>
          <w:rFonts w:ascii="Georgia" w:eastAsiaTheme="minorEastAsia" w:hAnsi="Georgia" w:cs="Arial"/>
          <w:color w:val="auto"/>
        </w:rPr>
        <w:t>paces</w:t>
      </w:r>
      <w:r w:rsidR="00CA139A" w:rsidRPr="0066585A">
        <w:rPr>
          <w:rFonts w:ascii="Georgia" w:eastAsiaTheme="minorEastAsia" w:hAnsi="Georgia" w:cs="Arial"/>
          <w:color w:val="auto"/>
        </w:rPr>
        <w:t>” .</w:t>
      </w:r>
      <w:r w:rsidR="0040598A" w:rsidRPr="0066585A">
        <w:rPr>
          <w:rFonts w:ascii="Georgia" w:eastAsiaTheme="minorEastAsia" w:hAnsi="Georgia" w:cs="Arial"/>
          <w:color w:val="auto"/>
        </w:rPr>
        <w:t xml:space="preserve"> On the contrary, the older structures</w:t>
      </w:r>
      <w:r w:rsidR="00641407" w:rsidRPr="0066585A">
        <w:rPr>
          <w:rFonts w:ascii="Georgia" w:eastAsiaTheme="minorEastAsia" w:hAnsi="Georgia" w:cs="Arial"/>
          <w:color w:val="auto"/>
        </w:rPr>
        <w:t xml:space="preserve">, made by the reuse of existing spaces, results as inadequate (every structure obtained &lt;65%). </w:t>
      </w:r>
      <w:r w:rsidR="005B584B" w:rsidRPr="0066585A">
        <w:rPr>
          <w:rFonts w:ascii="Georgia" w:eastAsiaTheme="minorEastAsia" w:hAnsi="Georgia" w:cs="Arial"/>
          <w:color w:val="auto"/>
        </w:rPr>
        <w:t>The construction time difference of the buildings is evident both in size</w:t>
      </w:r>
      <w:r w:rsidR="00641407" w:rsidRPr="0066585A">
        <w:rPr>
          <w:rFonts w:ascii="Georgia" w:eastAsiaTheme="minorEastAsia" w:hAnsi="Georgia" w:cs="Arial"/>
          <w:color w:val="auto"/>
        </w:rPr>
        <w:t xml:space="preserve"> </w:t>
      </w:r>
      <w:r w:rsidR="005B584B" w:rsidRPr="0066585A">
        <w:rPr>
          <w:rFonts w:ascii="Georgia" w:eastAsiaTheme="minorEastAsia" w:hAnsi="Georgia" w:cs="Arial"/>
          <w:color w:val="auto"/>
        </w:rPr>
        <w:t xml:space="preserve">of the </w:t>
      </w:r>
      <w:r w:rsidR="0066585A" w:rsidRPr="0066585A">
        <w:rPr>
          <w:rFonts w:ascii="Georgia" w:eastAsiaTheme="minorEastAsia" w:hAnsi="Georgia" w:cs="Arial"/>
          <w:color w:val="auto"/>
        </w:rPr>
        <w:t>indoor</w:t>
      </w:r>
      <w:r w:rsidR="005B584B" w:rsidRPr="0066585A">
        <w:rPr>
          <w:rFonts w:ascii="Georgia" w:eastAsiaTheme="minorEastAsia" w:hAnsi="Georgia" w:cs="Arial"/>
          <w:color w:val="auto"/>
        </w:rPr>
        <w:t xml:space="preserve"> and </w:t>
      </w:r>
      <w:r w:rsidR="0066585A" w:rsidRPr="0066585A">
        <w:rPr>
          <w:rFonts w:ascii="Georgia" w:eastAsiaTheme="minorEastAsia" w:hAnsi="Georgia" w:cs="Arial"/>
          <w:color w:val="auto"/>
        </w:rPr>
        <w:t>outdoor</w:t>
      </w:r>
      <w:r w:rsidR="005B584B" w:rsidRPr="0066585A">
        <w:rPr>
          <w:rFonts w:ascii="Georgia" w:eastAsiaTheme="minorEastAsia" w:hAnsi="Georgia" w:cs="Arial"/>
          <w:color w:val="auto"/>
        </w:rPr>
        <w:t xml:space="preserve"> spaces</w:t>
      </w:r>
      <w:r w:rsidR="00342F67">
        <w:rPr>
          <w:rFonts w:ascii="Georgia" w:eastAsiaTheme="minorEastAsia" w:hAnsi="Georgia" w:cs="Arial"/>
          <w:color w:val="auto"/>
        </w:rPr>
        <w:t xml:space="preserve">, as well as lack of flexibility </w:t>
      </w:r>
      <w:r w:rsidR="00342F67">
        <w:rPr>
          <w:rFonts w:ascii="Georgia" w:eastAsiaTheme="minorEastAsia" w:hAnsi="Georgia" w:cs="Arial"/>
          <w:color w:val="auto"/>
        </w:rPr>
        <w:fldChar w:fldCharType="begin"/>
      </w:r>
      <w:r w:rsidR="00D5322D">
        <w:rPr>
          <w:rFonts w:ascii="Georgia" w:eastAsiaTheme="minorEastAsia" w:hAnsi="Georgia" w:cs="Arial"/>
          <w:color w:val="auto"/>
        </w:rPr>
        <w:instrText xml:space="preserve"> ADDIN ZOTERO_ITEM CSL_CITATION {"citationID":"kMSpoQ40","properties":{"formattedCitation":"(Brambilla, Sun, et al., 2021)","plainCitation":"(Brambilla, Sun, et al., 2021)","noteIndex":0},"citationItems":[{"id":"YRjjADYt/qVz5hIUj","uris":["http://zotero.org/users/local/AdhdAbFn/items/RB29JY6W"],"itemData":{"id":859,"type":"article-journal","abstract":"Healthcare facilities are facing huge challenges due to the outbreak of COVID-19. Around the world, national healthcare contingency plans have struggled to cope with the population health impact of COVID-19, with healthcare facilities and critical care systems buckling under the ex- traordinary pressures. COVID-19 has starkly highlighted the lack of reliable operational tools for assessing the level sof flexibility of a hospital building to support strategic and agile decision making. The aim of this study was to modify, improve and test an existing assessment tool for evaluating hospital facilities flexibility and resilience. We followed a five-step process for collecting data by (i) doing a literature review about flexibility principles and strategies, (ii) reviewing healthcare design guidelines, (iii) examining international healthcare facilities case studies, (iv) conducting a critical review and optimization of the existing tool, and (v) assessing the usability of the evaluation tool. The new version of the OFAT framework (Optimized Flexibility Assessment Tool) is composed of nine evaluation parameters and subdivided into measurable variables with scores ranging from 0 to 10. The pilot testing of case studies enabled the assessment and verification the OFAT validity and reliability in support of decision makers in addressing flexibility of hospital design and/or operations. Healthcare buildings need to be designed and built based on principles of flexibility to accommodate current healthcare operations, adapting to time-sensitive physical transformations and responding to contemporary and future public health emergencies.","container-title":"Int. J. Environ. Res. Public Health","DOI":"10.3390/ijerph182111478","issue":"11478","title":"Flexibility during the COVID-19 Pandemic Response: Healthcare Facility Assessment Tools for Resilient Evaluation","volume":"18","author":[{"family":"Brambilla","given":"Andrea"},{"family":"Sun","given":"Tian-zhi"},{"family":"Elshazly","given":"Waleed"},{"family":"Ghazy","given":"Ahmed"},{"family":"Barach","given":"Paul"},{"family":"Lindahl","given":"Göran"}],"issued":{"date-parts":[["2021"]]}}}],"schema":"https://github.com/citation-style-language/schema/raw/master/csl-citation.json"} </w:instrText>
      </w:r>
      <w:r w:rsidR="00342F67">
        <w:rPr>
          <w:rFonts w:ascii="Georgia" w:eastAsiaTheme="minorEastAsia" w:hAnsi="Georgia" w:cs="Arial"/>
          <w:color w:val="auto"/>
        </w:rPr>
        <w:fldChar w:fldCharType="separate"/>
      </w:r>
      <w:r w:rsidR="00342F67">
        <w:rPr>
          <w:rFonts w:ascii="Georgia" w:eastAsiaTheme="minorEastAsia" w:hAnsi="Georgia" w:cs="Arial"/>
          <w:noProof/>
          <w:color w:val="auto"/>
        </w:rPr>
        <w:t>(Brambilla, Sun, et al., 2021)</w:t>
      </w:r>
      <w:r w:rsidR="00342F67">
        <w:rPr>
          <w:rFonts w:ascii="Georgia" w:eastAsiaTheme="minorEastAsia" w:hAnsi="Georgia" w:cs="Arial"/>
          <w:color w:val="auto"/>
        </w:rPr>
        <w:fldChar w:fldCharType="end"/>
      </w:r>
      <w:r w:rsidR="005B584B" w:rsidRPr="0066585A">
        <w:rPr>
          <w:rFonts w:ascii="Georgia" w:eastAsiaTheme="minorEastAsia" w:hAnsi="Georgia" w:cs="Arial"/>
          <w:color w:val="auto"/>
        </w:rPr>
        <w:t xml:space="preserve">. </w:t>
      </w:r>
    </w:p>
    <w:p w14:paraId="5E26214F" w14:textId="59C75AF8" w:rsidR="00C66E1E" w:rsidRPr="005B584B" w:rsidRDefault="005B584B" w:rsidP="00432E64">
      <w:pPr>
        <w:pStyle w:val="MDPI31text"/>
        <w:rPr>
          <w:rFonts w:ascii="Georgia" w:eastAsiaTheme="minorEastAsia" w:hAnsi="Georgia" w:cs="Arial"/>
        </w:rPr>
      </w:pPr>
      <w:r w:rsidRPr="005B584B">
        <w:rPr>
          <w:rFonts w:ascii="Georgia" w:eastAsiaTheme="minorEastAsia" w:hAnsi="Georgia" w:cs="Arial"/>
        </w:rPr>
        <w:t>The first case is an entirely dedicated building</w:t>
      </w:r>
      <w:r w:rsidR="00641407">
        <w:rPr>
          <w:rFonts w:ascii="Georgia" w:eastAsiaTheme="minorEastAsia" w:hAnsi="Georgia" w:cs="Arial"/>
        </w:rPr>
        <w:t xml:space="preserve"> </w:t>
      </w:r>
      <w:r w:rsidRPr="005B584B">
        <w:rPr>
          <w:rFonts w:ascii="Georgia" w:eastAsiaTheme="minorEastAsia" w:hAnsi="Georgia" w:cs="Arial"/>
        </w:rPr>
        <w:t>to the care of Alzheimer's patients and has very large outdoor spaces designed for</w:t>
      </w:r>
      <w:r w:rsidR="00641407">
        <w:rPr>
          <w:rFonts w:ascii="Georgia" w:eastAsiaTheme="minorEastAsia" w:hAnsi="Georgia" w:cs="Arial"/>
        </w:rPr>
        <w:t xml:space="preserve"> </w:t>
      </w:r>
      <w:r w:rsidRPr="005B584B">
        <w:rPr>
          <w:rFonts w:ascii="Georgia" w:eastAsiaTheme="minorEastAsia" w:hAnsi="Georgia" w:cs="Arial"/>
        </w:rPr>
        <w:t>host activities such as shops that reflect the characteristics of a country and become</w:t>
      </w:r>
      <w:r w:rsidR="00641407">
        <w:rPr>
          <w:rFonts w:ascii="Georgia" w:eastAsiaTheme="minorEastAsia" w:hAnsi="Georgia" w:cs="Arial"/>
        </w:rPr>
        <w:t xml:space="preserve"> </w:t>
      </w:r>
      <w:r w:rsidRPr="005B584B">
        <w:rPr>
          <w:rFonts w:ascii="Georgia" w:eastAsiaTheme="minorEastAsia" w:hAnsi="Georgia" w:cs="Arial"/>
        </w:rPr>
        <w:t xml:space="preserve">fundamental element in the treatment of dementias. </w:t>
      </w:r>
      <w:r w:rsidR="00B73BE3">
        <w:rPr>
          <w:rFonts w:ascii="Georgia" w:eastAsiaTheme="minorEastAsia" w:hAnsi="Georgia" w:cs="Arial"/>
        </w:rPr>
        <w:t xml:space="preserve">The others present various types of outdoor spaces, like normal gardens, green spaces, patios and only the third structure has the access to an Alzheimer </w:t>
      </w:r>
      <w:r w:rsidR="00BF31DA">
        <w:rPr>
          <w:rFonts w:ascii="Georgia" w:eastAsiaTheme="minorEastAsia" w:hAnsi="Georgia" w:cs="Arial"/>
        </w:rPr>
        <w:t>Garden,</w:t>
      </w:r>
      <w:r w:rsidR="00B73BE3">
        <w:rPr>
          <w:rFonts w:ascii="Georgia" w:eastAsiaTheme="minorEastAsia" w:hAnsi="Georgia" w:cs="Arial"/>
        </w:rPr>
        <w:t xml:space="preserve"> but it is located on a different level so it’s difficult to reach</w:t>
      </w:r>
      <w:r w:rsidR="0040598A">
        <w:rPr>
          <w:rFonts w:ascii="Georgia" w:eastAsiaTheme="minorEastAsia" w:hAnsi="Georgia" w:cs="Arial"/>
        </w:rPr>
        <w:t xml:space="preserve"> for all the patients</w:t>
      </w:r>
      <w:r w:rsidR="00B73BE3">
        <w:rPr>
          <w:rFonts w:ascii="Georgia" w:eastAsiaTheme="minorEastAsia" w:hAnsi="Georgia" w:cs="Arial"/>
        </w:rPr>
        <w:t>.</w:t>
      </w:r>
    </w:p>
    <w:p w14:paraId="438BAB71" w14:textId="77777777" w:rsidR="00E07E6F" w:rsidRDefault="00E07E6F" w:rsidP="00B73BE3">
      <w:pPr>
        <w:pStyle w:val="MDPI31text"/>
        <w:rPr>
          <w:rFonts w:ascii="Georgia" w:eastAsiaTheme="minorEastAsia" w:hAnsi="Georgia" w:cs="Arial"/>
        </w:rPr>
      </w:pPr>
      <w:r w:rsidRPr="00E07E6F">
        <w:rPr>
          <w:rFonts w:ascii="Georgia" w:eastAsiaTheme="minorEastAsia" w:hAnsi="Georgia" w:cs="Arial"/>
        </w:rPr>
        <w:t xml:space="preserve">"Quality" in the first case study is the criterion that obtained the lowest value, with a score of 89% and 67 points out of 75 indicators met, due to the extensive use of natural light assisted by the use of artificial light controlled by home automation equipment. However, some areas of shade are present, the result of the high domesticity of the place, which is reminiscent of a large apartment. Safety is ensured by the use of correct materials, thanks to the masking of dangerous areas and the use of technology, with geo-location bracelets for patients that prevent escape and allow their location to be known in real time. The environment conveys a home-like warmth due to the possibility of customizing spaces, the use of personal furniture and the small number of patients, eight per apartment. </w:t>
      </w:r>
    </w:p>
    <w:p w14:paraId="1DA4AC42" w14:textId="52D8002D" w:rsidR="002F61C0" w:rsidRDefault="0009616D" w:rsidP="00B73BE3">
      <w:pPr>
        <w:pStyle w:val="MDPI31text"/>
        <w:rPr>
          <w:rFonts w:ascii="Georgia" w:eastAsiaTheme="minorEastAsia" w:hAnsi="Georgia" w:cs="Arial"/>
        </w:rPr>
      </w:pPr>
      <w:r w:rsidRPr="005B584B">
        <w:rPr>
          <w:rFonts w:ascii="Georgia" w:eastAsiaTheme="minorEastAsia" w:hAnsi="Georgia" w:cs="Arial"/>
        </w:rPr>
        <w:t>The second case study</w:t>
      </w:r>
      <w:r w:rsidR="005B584B" w:rsidRPr="005B584B">
        <w:rPr>
          <w:rFonts w:ascii="Georgia" w:eastAsiaTheme="minorEastAsia" w:hAnsi="Georgia" w:cs="Arial"/>
        </w:rPr>
        <w:t xml:space="preserve"> </w:t>
      </w:r>
      <w:r w:rsidR="00CA6B32">
        <w:rPr>
          <w:rFonts w:ascii="Georgia" w:eastAsiaTheme="minorEastAsia" w:hAnsi="Georgia" w:cs="Arial"/>
        </w:rPr>
        <w:t>obtained the maximum score in the “Wayfinding” area</w:t>
      </w:r>
      <w:r w:rsidR="005047B9">
        <w:rPr>
          <w:rFonts w:ascii="Georgia" w:eastAsiaTheme="minorEastAsia" w:hAnsi="Georgia" w:cs="Arial"/>
        </w:rPr>
        <w:t>, with 83%</w:t>
      </w:r>
      <w:r w:rsidR="005B584B" w:rsidRPr="005B584B">
        <w:rPr>
          <w:rFonts w:ascii="Georgia" w:eastAsiaTheme="minorEastAsia" w:hAnsi="Georgia" w:cs="Arial"/>
        </w:rPr>
        <w:t xml:space="preserve">, </w:t>
      </w:r>
      <w:r w:rsidR="001C770C">
        <w:rPr>
          <w:rFonts w:ascii="Georgia" w:eastAsiaTheme="minorEastAsia" w:hAnsi="Georgia" w:cs="Arial"/>
        </w:rPr>
        <w:t xml:space="preserve">thanks to the strategic use of </w:t>
      </w:r>
      <w:r w:rsidR="00321B18">
        <w:rPr>
          <w:rFonts w:ascii="Georgia" w:eastAsiaTheme="minorEastAsia" w:hAnsi="Georgia" w:cs="Arial"/>
        </w:rPr>
        <w:t xml:space="preserve">signage, with the use of name, </w:t>
      </w:r>
      <w:r w:rsidR="00F534F8">
        <w:rPr>
          <w:rFonts w:ascii="Georgia" w:eastAsiaTheme="minorEastAsia" w:hAnsi="Georgia" w:cs="Arial"/>
        </w:rPr>
        <w:t>logos,</w:t>
      </w:r>
      <w:r w:rsidR="00321B18">
        <w:rPr>
          <w:rFonts w:ascii="Georgia" w:eastAsiaTheme="minorEastAsia" w:hAnsi="Georgia" w:cs="Arial"/>
        </w:rPr>
        <w:t xml:space="preserve"> and personal belongings </w:t>
      </w:r>
      <w:r w:rsidR="00F534F8" w:rsidRPr="00F534F8">
        <w:rPr>
          <w:rFonts w:ascii="Georgia" w:eastAsiaTheme="minorEastAsia" w:hAnsi="Georgia" w:cs="Arial"/>
        </w:rPr>
        <w:t>which help the patient to identify their room</w:t>
      </w:r>
      <w:r w:rsidR="00F534F8">
        <w:rPr>
          <w:rFonts w:ascii="Georgia" w:eastAsiaTheme="minorEastAsia" w:hAnsi="Georgia" w:cs="Arial"/>
        </w:rPr>
        <w:t>.</w:t>
      </w:r>
    </w:p>
    <w:p w14:paraId="5FE78D90" w14:textId="57188176" w:rsidR="00C66E1E" w:rsidRPr="005B584B" w:rsidRDefault="00F534F8" w:rsidP="00541CA6">
      <w:pPr>
        <w:pStyle w:val="MDPI31text"/>
        <w:rPr>
          <w:rFonts w:ascii="Georgia" w:eastAsiaTheme="minorEastAsia" w:hAnsi="Georgia" w:cs="Arial"/>
        </w:rPr>
      </w:pPr>
      <w:r>
        <w:rPr>
          <w:rFonts w:ascii="Georgia" w:eastAsiaTheme="minorEastAsia" w:hAnsi="Georgia" w:cs="Arial"/>
        </w:rPr>
        <w:t>The “Spaces” obtained the lowest score, with 55%,</w:t>
      </w:r>
      <w:r w:rsidR="004747F9">
        <w:rPr>
          <w:rFonts w:ascii="Georgia" w:eastAsiaTheme="minorEastAsia" w:hAnsi="Georgia" w:cs="Arial"/>
        </w:rPr>
        <w:t xml:space="preserve"> </w:t>
      </w:r>
      <w:r w:rsidR="00C8319E" w:rsidRPr="00E221DD">
        <w:rPr>
          <w:rFonts w:ascii="Georgia" w:eastAsiaTheme="minorEastAsia" w:hAnsi="Georgia" w:cs="Arial"/>
        </w:rPr>
        <w:t>highligh</w:t>
      </w:r>
      <w:r w:rsidR="00C8319E">
        <w:rPr>
          <w:rFonts w:ascii="Georgia" w:eastAsiaTheme="minorEastAsia" w:hAnsi="Georgia" w:cs="Arial"/>
        </w:rPr>
        <w:t>ting</w:t>
      </w:r>
      <w:r w:rsidR="00E221DD" w:rsidRPr="00E221DD">
        <w:rPr>
          <w:rFonts w:ascii="Georgia" w:eastAsiaTheme="minorEastAsia" w:hAnsi="Georgia" w:cs="Arial"/>
        </w:rPr>
        <w:t xml:space="preserve"> shortcomings within the room criterion, because all the rooms are double and not all are customizable by the patients</w:t>
      </w:r>
      <w:r w:rsidR="004B7B68">
        <w:rPr>
          <w:rFonts w:ascii="Georgia" w:eastAsiaTheme="minorEastAsia" w:hAnsi="Georgia" w:cs="Arial"/>
        </w:rPr>
        <w:t>.</w:t>
      </w:r>
      <w:r w:rsidR="00E221DD" w:rsidRPr="00E221DD">
        <w:rPr>
          <w:rFonts w:ascii="Georgia" w:eastAsiaTheme="minorEastAsia" w:hAnsi="Georgia" w:cs="Arial"/>
        </w:rPr>
        <w:t xml:space="preserve"> </w:t>
      </w:r>
      <w:r w:rsidR="005B584B" w:rsidRPr="005B584B">
        <w:rPr>
          <w:rFonts w:ascii="Georgia" w:eastAsiaTheme="minorEastAsia" w:hAnsi="Georgia" w:cs="Arial"/>
        </w:rPr>
        <w:t>In this case, the number of patients per unit is very high,</w:t>
      </w:r>
      <w:r w:rsidR="00B73BE3">
        <w:rPr>
          <w:rFonts w:ascii="Georgia" w:eastAsiaTheme="minorEastAsia" w:hAnsi="Georgia" w:cs="Arial"/>
        </w:rPr>
        <w:t xml:space="preserve"> </w:t>
      </w:r>
      <w:r w:rsidR="005B584B" w:rsidRPr="005B584B">
        <w:rPr>
          <w:rFonts w:ascii="Georgia" w:eastAsiaTheme="minorEastAsia" w:hAnsi="Georgia" w:cs="Arial"/>
        </w:rPr>
        <w:t>exceeding 20. From the point of view of perceptions, deficiencies in the visual are highlighted</w:t>
      </w:r>
      <w:r w:rsidR="00B73BE3">
        <w:rPr>
          <w:rFonts w:ascii="Georgia" w:eastAsiaTheme="minorEastAsia" w:hAnsi="Georgia" w:cs="Arial"/>
        </w:rPr>
        <w:t xml:space="preserve"> </w:t>
      </w:r>
      <w:r w:rsidR="005B584B" w:rsidRPr="005B584B">
        <w:rPr>
          <w:rFonts w:ascii="Georgia" w:eastAsiaTheme="minorEastAsia" w:hAnsi="Georgia" w:cs="Arial"/>
        </w:rPr>
        <w:t>between living room and bedrooms.</w:t>
      </w:r>
    </w:p>
    <w:p w14:paraId="19DF72F5" w14:textId="2C8E2A85" w:rsidR="002A310B" w:rsidRDefault="005B584B" w:rsidP="00541CA6">
      <w:pPr>
        <w:pStyle w:val="MDPI31text"/>
        <w:rPr>
          <w:rFonts w:ascii="Georgia" w:eastAsiaTheme="minorEastAsia" w:hAnsi="Georgia" w:cs="Arial"/>
        </w:rPr>
      </w:pPr>
      <w:r w:rsidRPr="005B584B">
        <w:rPr>
          <w:rFonts w:ascii="Georgia" w:eastAsiaTheme="minorEastAsia" w:hAnsi="Georgia" w:cs="Arial"/>
        </w:rPr>
        <w:t xml:space="preserve">The third </w:t>
      </w:r>
      <w:r w:rsidR="00645533">
        <w:rPr>
          <w:rFonts w:ascii="Georgia" w:eastAsiaTheme="minorEastAsia" w:hAnsi="Georgia" w:cs="Arial"/>
        </w:rPr>
        <w:t xml:space="preserve">facility obtained </w:t>
      </w:r>
      <w:r w:rsidRPr="005B584B">
        <w:rPr>
          <w:rFonts w:ascii="Georgia" w:eastAsiaTheme="minorEastAsia" w:hAnsi="Georgia" w:cs="Arial"/>
        </w:rPr>
        <w:t>83%</w:t>
      </w:r>
      <w:r w:rsidR="00645533">
        <w:rPr>
          <w:rFonts w:ascii="Georgia" w:eastAsiaTheme="minorEastAsia" w:hAnsi="Georgia" w:cs="Arial"/>
        </w:rPr>
        <w:t xml:space="preserve"> in “Q</w:t>
      </w:r>
      <w:r w:rsidR="00645533" w:rsidRPr="005B584B">
        <w:rPr>
          <w:rFonts w:ascii="Georgia" w:eastAsiaTheme="minorEastAsia" w:hAnsi="Georgia" w:cs="Arial"/>
        </w:rPr>
        <w:t>uality</w:t>
      </w:r>
      <w:r w:rsidR="00645533">
        <w:rPr>
          <w:rFonts w:ascii="Georgia" w:eastAsiaTheme="minorEastAsia" w:hAnsi="Georgia" w:cs="Arial"/>
        </w:rPr>
        <w:t xml:space="preserve">” </w:t>
      </w:r>
      <w:r w:rsidR="001533C9">
        <w:rPr>
          <w:rFonts w:ascii="Georgia" w:eastAsiaTheme="minorEastAsia" w:hAnsi="Georgia" w:cs="Arial"/>
        </w:rPr>
        <w:t>indicator</w:t>
      </w:r>
      <w:r w:rsidR="001533C9" w:rsidRPr="005B584B">
        <w:rPr>
          <w:rFonts w:ascii="Georgia" w:eastAsiaTheme="minorEastAsia" w:hAnsi="Georgia" w:cs="Arial"/>
        </w:rPr>
        <w:t xml:space="preserve"> and</w:t>
      </w:r>
      <w:r w:rsidRPr="005B584B">
        <w:rPr>
          <w:rFonts w:ascii="Georgia" w:eastAsiaTheme="minorEastAsia" w:hAnsi="Georgia" w:cs="Arial"/>
        </w:rPr>
        <w:t xml:space="preserve"> </w:t>
      </w:r>
      <w:r w:rsidRPr="00E07E6F">
        <w:rPr>
          <w:rFonts w:ascii="Georgia" w:eastAsiaTheme="minorEastAsia" w:hAnsi="Georgia" w:cs="Arial"/>
          <w:color w:val="auto"/>
        </w:rPr>
        <w:t xml:space="preserve">excels </w:t>
      </w:r>
      <w:r w:rsidR="00E07E6F" w:rsidRPr="00E07E6F">
        <w:rPr>
          <w:rFonts w:ascii="Georgia" w:eastAsiaTheme="minorEastAsia" w:hAnsi="Georgia" w:cs="Arial"/>
          <w:color w:val="auto"/>
        </w:rPr>
        <w:t>in the criteria</w:t>
      </w:r>
      <w:r w:rsidRPr="00E07E6F">
        <w:rPr>
          <w:rFonts w:ascii="Georgia" w:eastAsiaTheme="minorEastAsia" w:hAnsi="Georgia" w:cs="Arial"/>
          <w:color w:val="auto"/>
        </w:rPr>
        <w:t xml:space="preserve"> domesticity</w:t>
      </w:r>
      <w:r w:rsidR="00B73BE3" w:rsidRPr="00E07E6F">
        <w:rPr>
          <w:rFonts w:ascii="Georgia" w:eastAsiaTheme="minorEastAsia" w:hAnsi="Georgia" w:cs="Arial"/>
          <w:color w:val="auto"/>
        </w:rPr>
        <w:t xml:space="preserve"> </w:t>
      </w:r>
      <w:r w:rsidR="00E07E6F" w:rsidRPr="00E07E6F">
        <w:rPr>
          <w:rFonts w:ascii="Georgia" w:eastAsiaTheme="minorEastAsia" w:hAnsi="Georgia" w:cs="Arial"/>
          <w:color w:val="auto"/>
        </w:rPr>
        <w:t xml:space="preserve">and </w:t>
      </w:r>
      <w:r w:rsidRPr="00E07E6F">
        <w:rPr>
          <w:rFonts w:ascii="Georgia" w:eastAsiaTheme="minorEastAsia" w:hAnsi="Georgia" w:cs="Arial"/>
          <w:color w:val="auto"/>
        </w:rPr>
        <w:t xml:space="preserve">odor control. </w:t>
      </w:r>
      <w:r w:rsidRPr="005B584B">
        <w:rPr>
          <w:rFonts w:ascii="Georgia" w:eastAsiaTheme="minorEastAsia" w:hAnsi="Georgia" w:cs="Arial"/>
        </w:rPr>
        <w:t>Artificial light can be varied in intensity only in the rooms,</w:t>
      </w:r>
      <w:r w:rsidR="00B73BE3">
        <w:rPr>
          <w:rFonts w:ascii="Georgia" w:eastAsiaTheme="minorEastAsia" w:hAnsi="Georgia" w:cs="Arial"/>
        </w:rPr>
        <w:t xml:space="preserve"> </w:t>
      </w:r>
      <w:r w:rsidRPr="005B584B">
        <w:rPr>
          <w:rFonts w:ascii="Georgia" w:eastAsiaTheme="minorEastAsia" w:hAnsi="Georgia" w:cs="Arial"/>
        </w:rPr>
        <w:t>the corridors have reflective surfaces. Also in this case, the call notices sound</w:t>
      </w:r>
      <w:r w:rsidR="00B73BE3">
        <w:rPr>
          <w:rFonts w:ascii="Georgia" w:eastAsiaTheme="minorEastAsia" w:hAnsi="Georgia" w:cs="Arial"/>
        </w:rPr>
        <w:t xml:space="preserve"> </w:t>
      </w:r>
      <w:r w:rsidRPr="005B584B">
        <w:rPr>
          <w:rFonts w:ascii="Georgia" w:eastAsiaTheme="minorEastAsia" w:hAnsi="Georgia" w:cs="Arial"/>
        </w:rPr>
        <w:t>in the hospital rooms, the floors have color changes, no technology is used</w:t>
      </w:r>
      <w:r w:rsidR="00B73BE3">
        <w:rPr>
          <w:rFonts w:ascii="Georgia" w:eastAsiaTheme="minorEastAsia" w:hAnsi="Georgia" w:cs="Arial"/>
        </w:rPr>
        <w:t xml:space="preserve"> </w:t>
      </w:r>
      <w:r w:rsidRPr="005B584B">
        <w:rPr>
          <w:rFonts w:ascii="Georgia" w:eastAsiaTheme="minorEastAsia" w:hAnsi="Georgia" w:cs="Arial"/>
        </w:rPr>
        <w:t xml:space="preserve">for the location of patients and there are deficiencies in the view between the area of </w:t>
      </w:r>
      <w:r w:rsidRPr="005B584B">
        <w:rPr>
          <w:rFonts w:ascii="Times New Roman" w:eastAsiaTheme="minorEastAsia" w:hAnsi="Times New Roman"/>
        </w:rPr>
        <w:t>​​</w:t>
      </w:r>
      <w:r w:rsidRPr="005B584B">
        <w:rPr>
          <w:rFonts w:ascii="Georgia" w:eastAsiaTheme="minorEastAsia" w:hAnsi="Georgia" w:cs="Arial"/>
        </w:rPr>
        <w:t>the rooms</w:t>
      </w:r>
      <w:r w:rsidR="00B73BE3">
        <w:rPr>
          <w:rFonts w:ascii="Georgia" w:eastAsiaTheme="minorEastAsia" w:hAnsi="Georgia" w:cs="Arial"/>
        </w:rPr>
        <w:t xml:space="preserve"> </w:t>
      </w:r>
      <w:r w:rsidRPr="005B584B">
        <w:rPr>
          <w:rFonts w:ascii="Georgia" w:eastAsiaTheme="minorEastAsia" w:hAnsi="Georgia" w:cs="Arial"/>
        </w:rPr>
        <w:t>and living room. There are 20 patients for this nucleus.</w:t>
      </w:r>
    </w:p>
    <w:p w14:paraId="2AADBEB9" w14:textId="12724BC6" w:rsidR="002A310B" w:rsidRDefault="00C66E1E" w:rsidP="00541CA6">
      <w:pPr>
        <w:pStyle w:val="MDPI31text"/>
        <w:rPr>
          <w:rFonts w:ascii="Georgia" w:eastAsiaTheme="minorEastAsia" w:hAnsi="Georgia" w:cs="Arial"/>
        </w:rPr>
      </w:pPr>
      <w:r>
        <w:rPr>
          <w:rFonts w:ascii="Georgia" w:eastAsiaTheme="minorEastAsia" w:hAnsi="Georgia" w:cs="Arial"/>
        </w:rPr>
        <w:t xml:space="preserve">The </w:t>
      </w:r>
      <w:r w:rsidR="002B747E">
        <w:rPr>
          <w:rFonts w:ascii="Georgia" w:eastAsiaTheme="minorEastAsia" w:hAnsi="Georgia" w:cs="Arial"/>
        </w:rPr>
        <w:t>facility</w:t>
      </w:r>
      <w:r>
        <w:rPr>
          <w:rFonts w:ascii="Georgia" w:eastAsiaTheme="minorEastAsia" w:hAnsi="Georgia" w:cs="Arial"/>
        </w:rPr>
        <w:t xml:space="preserve"> number four lacks mostly in </w:t>
      </w:r>
      <w:r w:rsidR="00541CA6">
        <w:rPr>
          <w:rFonts w:ascii="Georgia" w:eastAsiaTheme="minorEastAsia" w:hAnsi="Georgia" w:cs="Arial"/>
        </w:rPr>
        <w:t>“Q</w:t>
      </w:r>
      <w:r>
        <w:rPr>
          <w:rFonts w:ascii="Georgia" w:eastAsiaTheme="minorEastAsia" w:hAnsi="Georgia" w:cs="Arial"/>
        </w:rPr>
        <w:t>uality</w:t>
      </w:r>
      <w:r w:rsidR="00541CA6">
        <w:rPr>
          <w:rFonts w:ascii="Georgia" w:eastAsiaTheme="minorEastAsia" w:hAnsi="Georgia" w:cs="Arial"/>
        </w:rPr>
        <w:t>”</w:t>
      </w:r>
      <w:r>
        <w:rPr>
          <w:rFonts w:ascii="Georgia" w:eastAsiaTheme="minorEastAsia" w:hAnsi="Georgia" w:cs="Arial"/>
        </w:rPr>
        <w:t xml:space="preserve"> and </w:t>
      </w:r>
      <w:r w:rsidR="00541CA6">
        <w:rPr>
          <w:rFonts w:ascii="Georgia" w:eastAsiaTheme="minorEastAsia" w:hAnsi="Georgia" w:cs="Arial"/>
        </w:rPr>
        <w:t>“W</w:t>
      </w:r>
      <w:r>
        <w:rPr>
          <w:rFonts w:ascii="Georgia" w:eastAsiaTheme="minorEastAsia" w:hAnsi="Georgia" w:cs="Arial"/>
        </w:rPr>
        <w:t>ayfinding</w:t>
      </w:r>
      <w:r w:rsidR="00541CA6">
        <w:rPr>
          <w:rFonts w:ascii="Georgia" w:eastAsiaTheme="minorEastAsia" w:hAnsi="Georgia" w:cs="Arial"/>
        </w:rPr>
        <w:t>”</w:t>
      </w:r>
      <w:r>
        <w:rPr>
          <w:rFonts w:ascii="Georgia" w:eastAsiaTheme="minorEastAsia" w:hAnsi="Georgia" w:cs="Arial"/>
        </w:rPr>
        <w:t xml:space="preserve"> (</w:t>
      </w:r>
      <w:r w:rsidR="002B747E">
        <w:rPr>
          <w:rFonts w:ascii="Georgia" w:eastAsiaTheme="minorEastAsia" w:hAnsi="Georgia" w:cs="Arial"/>
        </w:rPr>
        <w:t xml:space="preserve">respectively </w:t>
      </w:r>
      <w:r>
        <w:rPr>
          <w:rFonts w:ascii="Georgia" w:eastAsiaTheme="minorEastAsia" w:hAnsi="Georgia" w:cs="Arial"/>
        </w:rPr>
        <w:t xml:space="preserve">39 and 31%). In this structure the major problem is the absence of an outdoor space, dedicated to patients. The </w:t>
      </w:r>
      <w:r w:rsidR="002A310B">
        <w:rPr>
          <w:rFonts w:ascii="Georgia" w:eastAsiaTheme="minorEastAsia" w:hAnsi="Georgia" w:cs="Arial"/>
        </w:rPr>
        <w:t xml:space="preserve">nucleus is located at the third floor and the outdoor space consist by a small green area without covered areas and seats. </w:t>
      </w:r>
    </w:p>
    <w:p w14:paraId="1306C2F6" w14:textId="7D88399C" w:rsidR="00A033D1" w:rsidRDefault="002A310B" w:rsidP="0005285E">
      <w:pPr>
        <w:pStyle w:val="MDPI31text"/>
        <w:rPr>
          <w:rFonts w:ascii="Georgia" w:eastAsiaTheme="minorEastAsia" w:hAnsi="Georgia" w:cs="Arial"/>
        </w:rPr>
      </w:pPr>
      <w:r>
        <w:rPr>
          <w:rFonts w:ascii="Georgia" w:eastAsiaTheme="minorEastAsia" w:hAnsi="Georgia" w:cs="Arial"/>
        </w:rPr>
        <w:t>The last structure</w:t>
      </w:r>
      <w:r w:rsidR="00734013">
        <w:rPr>
          <w:rFonts w:ascii="Georgia" w:eastAsiaTheme="minorEastAsia" w:hAnsi="Georgia" w:cs="Arial"/>
        </w:rPr>
        <w:t>, same as the previous one, lacks in quality and wayfinding (43 and 41%) due to the high number of patients (more than 20)</w:t>
      </w:r>
      <w:r w:rsidR="0022799F">
        <w:rPr>
          <w:rFonts w:ascii="Georgia" w:eastAsiaTheme="minorEastAsia" w:hAnsi="Georgia" w:cs="Arial"/>
        </w:rPr>
        <w:t>,</w:t>
      </w:r>
      <w:r w:rsidR="00734013">
        <w:rPr>
          <w:rFonts w:ascii="Georgia" w:eastAsiaTheme="minorEastAsia" w:hAnsi="Georgia" w:cs="Arial"/>
        </w:rPr>
        <w:t xml:space="preserve"> the absence of </w:t>
      </w:r>
      <w:r w:rsidR="0022799F">
        <w:rPr>
          <w:rFonts w:ascii="Georgia" w:eastAsiaTheme="minorEastAsia" w:hAnsi="Georgia" w:cs="Arial"/>
        </w:rPr>
        <w:t xml:space="preserve">homelike strategies and technologies for safety control. </w:t>
      </w:r>
    </w:p>
    <w:p w14:paraId="779B92F5" w14:textId="2E4CB62C" w:rsidR="00A033D1" w:rsidRPr="0005285E" w:rsidRDefault="00A033D1" w:rsidP="0005285E">
      <w:pPr>
        <w:pStyle w:val="MDPI31text"/>
        <w:rPr>
          <w:rFonts w:ascii="Georgia" w:eastAsiaTheme="minorEastAsia" w:hAnsi="Georgia" w:cs="Arial"/>
          <w:color w:val="auto"/>
        </w:rPr>
      </w:pPr>
      <w:r w:rsidRPr="00A033D1">
        <w:rPr>
          <w:rFonts w:ascii="Georgia" w:eastAsiaTheme="minorEastAsia" w:hAnsi="Georgia" w:cs="Arial"/>
          <w:color w:val="auto"/>
        </w:rPr>
        <w:t xml:space="preserve">The preliminary results confirm and expand the knowledge in the field of healthcare architecture by defining a built environment quality assessment tool for evaluating territorial structures. This is the first study that use assessment methodologies for the quality evaluation of socio-sanitary facilities for Alzheimer in Italian context. </w:t>
      </w:r>
    </w:p>
    <w:p w14:paraId="4255FE4F" w14:textId="7A213F77" w:rsidR="003C7945" w:rsidRDefault="00A86E9F" w:rsidP="00E07E6F">
      <w:pPr>
        <w:pStyle w:val="MDPI21heading1"/>
        <w:rPr>
          <w:rFonts w:ascii="Georgia" w:eastAsiaTheme="minorEastAsia" w:hAnsi="Georgia" w:cs="Arial"/>
        </w:rPr>
      </w:pPr>
      <w:r w:rsidRPr="004F2BEA">
        <w:rPr>
          <w:rFonts w:ascii="Georgia" w:eastAsiaTheme="minorEastAsia" w:hAnsi="Georgia" w:cs="Arial"/>
        </w:rPr>
        <w:t xml:space="preserve">5. </w:t>
      </w:r>
      <w:r w:rsidR="00C8319E">
        <w:rPr>
          <w:rFonts w:ascii="Georgia" w:eastAsiaTheme="minorEastAsia" w:hAnsi="Georgia" w:cs="Arial"/>
        </w:rPr>
        <w:t>Discussion</w:t>
      </w:r>
      <w:r w:rsidR="00616217">
        <w:rPr>
          <w:rFonts w:ascii="Georgia" w:eastAsiaTheme="minorEastAsia" w:hAnsi="Georgia" w:cs="Arial"/>
        </w:rPr>
        <w:t xml:space="preserve"> &amp; Conclusion</w:t>
      </w:r>
    </w:p>
    <w:p w14:paraId="7074FD8C" w14:textId="77777777" w:rsidR="00616217" w:rsidRDefault="00616217" w:rsidP="00A164FC">
      <w:pPr>
        <w:pStyle w:val="MDPI31text"/>
        <w:rPr>
          <w:rFonts w:ascii="Georgia" w:eastAsiaTheme="minorEastAsia" w:hAnsi="Georgia" w:cs="Arial"/>
        </w:rPr>
      </w:pPr>
    </w:p>
    <w:p w14:paraId="240AB522"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 xml:space="preserve">The survey highlights that the design of community facilities needs to be based on evidence to create better spaces for the well-being of patients. It also shows that existing buildings are not meeting the needs of dementia patients. </w:t>
      </w:r>
    </w:p>
    <w:p w14:paraId="49D3A0E8"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lastRenderedPageBreak/>
        <w:t xml:space="preserve">This research is the first to use assessment methodologies to evaluate the quality of territorial facilities dedicated to Alzheimer's patients in the Italian context. </w:t>
      </w:r>
    </w:p>
    <w:p w14:paraId="56D0D007"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Assessing a facility and adapting it to the needs of the specific patient must become the practice in an ever-evolving field such as healthcare.</w:t>
      </w:r>
    </w:p>
    <w:p w14:paraId="23C97E07"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 xml:space="preserve">By comparing the results obtained in the case studies analyzed and analyzing the critical aspects of the specifications, some of the characteristics that an environment suitable for the dementia patient, and specifically Alzheimer's, must have in order to become a prosthetic and curative space and not just a place of residence that passively assists in the development of the disease emerged. </w:t>
      </w:r>
    </w:p>
    <w:p w14:paraId="03F49216"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The aim of the analysis was therefore to outline a new assessment methodology, a tool absent in the Italian landscape and, consequently, a possible new strategy for adapting and modifying healthcare facilities. The research highlighted an extremely vivid and current problem in the field of healthcare infrastructure, namely the lack of knowledge of the issue from a regulatory point of view.</w:t>
      </w:r>
    </w:p>
    <w:p w14:paraId="68C71032" w14:textId="72913273" w:rsidR="00F23BDD" w:rsidRPr="00F23BDD" w:rsidRDefault="00F23BDD" w:rsidP="00051D9C">
      <w:pPr>
        <w:pStyle w:val="MDPI31text"/>
        <w:rPr>
          <w:rFonts w:ascii="Georgia" w:eastAsiaTheme="minorEastAsia" w:hAnsi="Georgia" w:cs="Arial"/>
        </w:rPr>
      </w:pPr>
      <w:r w:rsidRPr="00F23BDD">
        <w:rPr>
          <w:rFonts w:ascii="Georgia" w:eastAsiaTheme="minorEastAsia" w:hAnsi="Georgia" w:cs="Arial"/>
        </w:rPr>
        <w:t>With the creation of the checklist, the importance of the built environment occupies within healthcare facilities dedicated to one of the most delicate and fragile categories of people, Alzheimer's patients, was highlighted.</w:t>
      </w:r>
    </w:p>
    <w:p w14:paraId="37C53258"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 xml:space="preserve">Future applications to more facilities are needed to make the results more scientifically valid and to gather feedback from different types of facilities. </w:t>
      </w:r>
    </w:p>
    <w:p w14:paraId="23292E31" w14:textId="77777777" w:rsidR="00F23BDD" w:rsidRPr="00F23BDD" w:rsidRDefault="00F23BDD" w:rsidP="00F23BDD">
      <w:pPr>
        <w:pStyle w:val="MDPI31text"/>
        <w:rPr>
          <w:rFonts w:ascii="Georgia" w:eastAsiaTheme="minorEastAsia" w:hAnsi="Georgia" w:cs="Arial"/>
        </w:rPr>
      </w:pPr>
      <w:r w:rsidRPr="00F23BDD">
        <w:rPr>
          <w:rFonts w:ascii="Georgia" w:eastAsiaTheme="minorEastAsia" w:hAnsi="Georgia" w:cs="Arial"/>
        </w:rPr>
        <w:t>A revision of the checklist is currently underway to make it a real assessment tool, criteria and indicators weighted based on reviews with experts (architects, health care providers, ....).</w:t>
      </w:r>
    </w:p>
    <w:p w14:paraId="44ED102B" w14:textId="7DDDC791" w:rsidR="004A1B50" w:rsidRDefault="00F23BDD" w:rsidP="00F23BDD">
      <w:pPr>
        <w:pStyle w:val="MDPI31text"/>
        <w:rPr>
          <w:rFonts w:ascii="Georgia" w:eastAsiaTheme="minorEastAsia" w:hAnsi="Georgia" w:cs="Arial"/>
        </w:rPr>
      </w:pPr>
      <w:r w:rsidRPr="00F23BDD">
        <w:rPr>
          <w:rFonts w:ascii="Georgia" w:eastAsiaTheme="minorEastAsia" w:hAnsi="Georgia" w:cs="Arial"/>
        </w:rPr>
        <w:t>For this reason, internal and external validity are currently being studied. A group of expert researchers from both Italy and abroad will evaluate the framework and test the usability of the tool in order to validate it before conducting future evaluations.</w:t>
      </w:r>
    </w:p>
    <w:p w14:paraId="72A3D3EC" w14:textId="77777777" w:rsidR="00114997" w:rsidRPr="005C6417" w:rsidRDefault="00114997" w:rsidP="0029420B">
      <w:pPr>
        <w:pStyle w:val="MDPI31text"/>
        <w:rPr>
          <w:rFonts w:ascii="Georgia" w:eastAsiaTheme="minorEastAsia" w:hAnsi="Georgia" w:cs="Arial"/>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080FBF96" w14:textId="2421561D" w:rsidR="00AA1FF9" w:rsidRDefault="00C233FE" w:rsidP="00AA1FF9">
      <w:pPr>
        <w:pStyle w:val="MDPI62BackMatter"/>
        <w:rPr>
          <w:rFonts w:ascii="Georgia" w:eastAsiaTheme="minorEastAsia" w:hAnsi="Georgia" w:cs="Arial"/>
          <w:color w:val="000000" w:themeColor="text1"/>
          <w:szCs w:val="18"/>
          <w:shd w:val="clear" w:color="auto" w:fill="FFFFFF"/>
        </w:rPr>
      </w:pPr>
      <w:r w:rsidRPr="00C233FE">
        <w:rPr>
          <w:rFonts w:ascii="Georgia" w:eastAsiaTheme="minorEastAsia" w:hAnsi="Georgia" w:cs="Arial"/>
          <w:color w:val="000000" w:themeColor="text1"/>
          <w:szCs w:val="18"/>
          <w:shd w:val="clear" w:color="auto" w:fill="FFFFFF"/>
        </w:rPr>
        <w:t>Conceptualization</w:t>
      </w:r>
      <w:r w:rsidR="00AA1FF9">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 xml:space="preserve"> S</w:t>
      </w:r>
      <w:r w:rsidR="00AA1FF9">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M</w:t>
      </w:r>
      <w:r w:rsidR="00AA1FF9">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 xml:space="preserve"> </w:t>
      </w:r>
      <w:r w:rsidR="007F4F2C" w:rsidRPr="007F4F2C">
        <w:rPr>
          <w:rFonts w:ascii="Georgia" w:eastAsiaTheme="minorEastAsia" w:hAnsi="Georgia" w:cs="Arial"/>
          <w:color w:val="000000" w:themeColor="text1"/>
          <w:szCs w:val="18"/>
          <w:shd w:val="clear" w:color="auto" w:fill="FFFFFF"/>
        </w:rPr>
        <w:t>methodology, A.B</w:t>
      </w:r>
      <w:r w:rsidR="00AA1FF9">
        <w:rPr>
          <w:rFonts w:ascii="Georgia" w:eastAsiaTheme="minorEastAsia" w:hAnsi="Georgia" w:cs="Arial"/>
          <w:color w:val="000000" w:themeColor="text1"/>
          <w:szCs w:val="18"/>
          <w:shd w:val="clear" w:color="auto" w:fill="FFFFFF"/>
        </w:rPr>
        <w:t xml:space="preserve">; </w:t>
      </w:r>
      <w:r w:rsidR="007F4F2C">
        <w:rPr>
          <w:rFonts w:ascii="Georgia" w:eastAsiaTheme="minorEastAsia" w:hAnsi="Georgia" w:cs="Arial"/>
          <w:color w:val="000000" w:themeColor="text1"/>
          <w:szCs w:val="18"/>
          <w:shd w:val="clear" w:color="auto" w:fill="FFFFFF"/>
        </w:rPr>
        <w:t>f</w:t>
      </w:r>
      <w:r w:rsidR="00195BFB" w:rsidRPr="00195BFB">
        <w:rPr>
          <w:rFonts w:ascii="Georgia" w:eastAsiaTheme="minorEastAsia" w:hAnsi="Georgia" w:cs="Arial"/>
          <w:color w:val="000000" w:themeColor="text1"/>
          <w:szCs w:val="18"/>
          <w:shd w:val="clear" w:color="auto" w:fill="FFFFFF"/>
        </w:rPr>
        <w:t>ormal analysis</w:t>
      </w:r>
      <w:r w:rsidR="00AA1FF9">
        <w:rPr>
          <w:rFonts w:ascii="Georgia" w:eastAsiaTheme="minorEastAsia" w:hAnsi="Georgia" w:cs="Arial"/>
          <w:color w:val="000000" w:themeColor="text1"/>
          <w:szCs w:val="18"/>
          <w:shd w:val="clear" w:color="auto" w:fill="FFFFFF"/>
        </w:rPr>
        <w:t>,</w:t>
      </w:r>
      <w:r w:rsidR="007F4F2C">
        <w:rPr>
          <w:rFonts w:ascii="Georgia" w:eastAsiaTheme="minorEastAsia" w:hAnsi="Georgia" w:cs="Arial"/>
          <w:color w:val="000000" w:themeColor="text1"/>
          <w:szCs w:val="18"/>
          <w:shd w:val="clear" w:color="auto" w:fill="FFFFFF"/>
        </w:rPr>
        <w:t xml:space="preserve"> </w:t>
      </w:r>
      <w:r w:rsidR="00D90B24">
        <w:rPr>
          <w:rFonts w:ascii="Georgia" w:eastAsiaTheme="minorEastAsia" w:hAnsi="Georgia" w:cs="Arial"/>
          <w:color w:val="000000" w:themeColor="text1"/>
          <w:szCs w:val="18"/>
          <w:shd w:val="clear" w:color="auto" w:fill="FFFFFF"/>
        </w:rPr>
        <w:t>S</w:t>
      </w:r>
      <w:r w:rsidR="00AA1FF9">
        <w:rPr>
          <w:rFonts w:ascii="Georgia" w:eastAsiaTheme="minorEastAsia" w:hAnsi="Georgia" w:cs="Arial"/>
          <w:color w:val="000000" w:themeColor="text1"/>
          <w:szCs w:val="18"/>
          <w:shd w:val="clear" w:color="auto" w:fill="FFFFFF"/>
        </w:rPr>
        <w:t>.</w:t>
      </w:r>
      <w:r w:rsidR="00D90B24">
        <w:rPr>
          <w:rFonts w:ascii="Georgia" w:eastAsiaTheme="minorEastAsia" w:hAnsi="Georgia" w:cs="Arial"/>
          <w:color w:val="000000" w:themeColor="text1"/>
          <w:szCs w:val="18"/>
          <w:shd w:val="clear" w:color="auto" w:fill="FFFFFF"/>
        </w:rPr>
        <w:t>M</w:t>
      </w:r>
      <w:r w:rsidR="00AA1FF9">
        <w:rPr>
          <w:rFonts w:ascii="Georgia" w:eastAsiaTheme="minorEastAsia" w:hAnsi="Georgia" w:cs="Arial"/>
          <w:color w:val="000000" w:themeColor="text1"/>
          <w:szCs w:val="18"/>
          <w:shd w:val="clear" w:color="auto" w:fill="FFFFFF"/>
        </w:rPr>
        <w:t>.;</w:t>
      </w:r>
      <w:r w:rsidR="00D90B24">
        <w:rPr>
          <w:rFonts w:ascii="Georgia" w:eastAsiaTheme="minorEastAsia" w:hAnsi="Georgia" w:cs="Arial"/>
          <w:color w:val="000000" w:themeColor="text1"/>
          <w:szCs w:val="18"/>
          <w:shd w:val="clear" w:color="auto" w:fill="FFFFFF"/>
        </w:rPr>
        <w:t xml:space="preserve"> </w:t>
      </w:r>
      <w:r w:rsidR="007F4F2C" w:rsidRPr="007F4F2C">
        <w:rPr>
          <w:rFonts w:ascii="Georgia" w:eastAsiaTheme="minorEastAsia" w:hAnsi="Georgia" w:cs="Arial"/>
          <w:color w:val="000000" w:themeColor="text1"/>
          <w:szCs w:val="18"/>
          <w:shd w:val="clear" w:color="auto" w:fill="FFFFFF"/>
        </w:rPr>
        <w:t>validation, S.C.</w:t>
      </w:r>
      <w:r w:rsidR="00AA1FF9">
        <w:rPr>
          <w:rFonts w:ascii="Georgia" w:eastAsiaTheme="minorEastAsia" w:hAnsi="Georgia" w:cs="Arial"/>
          <w:color w:val="000000" w:themeColor="text1"/>
          <w:szCs w:val="18"/>
          <w:shd w:val="clear" w:color="auto" w:fill="FFFFFF"/>
        </w:rPr>
        <w:t xml:space="preserve">; </w:t>
      </w:r>
      <w:r w:rsidR="007F4F2C" w:rsidRPr="007F4F2C">
        <w:rPr>
          <w:rFonts w:ascii="Georgia" w:eastAsiaTheme="minorEastAsia" w:hAnsi="Georgia" w:cs="Arial"/>
          <w:color w:val="000000" w:themeColor="text1"/>
          <w:szCs w:val="18"/>
          <w:shd w:val="clear" w:color="auto" w:fill="FFFFFF"/>
        </w:rPr>
        <w:t>investigation</w:t>
      </w:r>
      <w:r w:rsidR="00AA1FF9">
        <w:rPr>
          <w:rFonts w:ascii="Georgia" w:eastAsiaTheme="minorEastAsia" w:hAnsi="Georgia" w:cs="Arial"/>
          <w:color w:val="000000" w:themeColor="text1"/>
          <w:szCs w:val="18"/>
          <w:shd w:val="clear" w:color="auto" w:fill="FFFFFF"/>
        </w:rPr>
        <w:t>,</w:t>
      </w:r>
      <w:r w:rsidR="007F4F2C">
        <w:rPr>
          <w:rFonts w:ascii="Georgia" w:eastAsiaTheme="minorEastAsia" w:hAnsi="Georgia" w:cs="Arial"/>
          <w:color w:val="000000" w:themeColor="text1"/>
          <w:szCs w:val="18"/>
          <w:shd w:val="clear" w:color="auto" w:fill="FFFFFF"/>
        </w:rPr>
        <w:t xml:space="preserve"> S</w:t>
      </w:r>
      <w:r w:rsidR="00AA1FF9">
        <w:rPr>
          <w:rFonts w:ascii="Georgia" w:eastAsiaTheme="minorEastAsia" w:hAnsi="Georgia" w:cs="Arial"/>
          <w:color w:val="000000" w:themeColor="text1"/>
          <w:szCs w:val="18"/>
          <w:shd w:val="clear" w:color="auto" w:fill="FFFFFF"/>
        </w:rPr>
        <w:t>.</w:t>
      </w:r>
      <w:r w:rsidR="007F4F2C">
        <w:rPr>
          <w:rFonts w:ascii="Georgia" w:eastAsiaTheme="minorEastAsia" w:hAnsi="Georgia" w:cs="Arial"/>
          <w:color w:val="000000" w:themeColor="text1"/>
          <w:szCs w:val="18"/>
          <w:shd w:val="clear" w:color="auto" w:fill="FFFFFF"/>
        </w:rPr>
        <w:t>M</w:t>
      </w:r>
      <w:r w:rsidR="00AA1FF9">
        <w:rPr>
          <w:rFonts w:ascii="Georgia" w:eastAsiaTheme="minorEastAsia" w:hAnsi="Georgia" w:cs="Arial"/>
          <w:color w:val="000000" w:themeColor="text1"/>
          <w:szCs w:val="18"/>
          <w:shd w:val="clear" w:color="auto" w:fill="FFFFFF"/>
        </w:rPr>
        <w:t xml:space="preserve">.; data curation, S.M.; </w:t>
      </w:r>
      <w:r w:rsidR="00AA1FF9" w:rsidRPr="007F4F2C">
        <w:rPr>
          <w:rFonts w:ascii="Georgia" w:eastAsiaTheme="minorEastAsia" w:hAnsi="Georgia" w:cs="Arial"/>
          <w:color w:val="000000" w:themeColor="text1"/>
          <w:szCs w:val="18"/>
          <w:shd w:val="clear" w:color="auto" w:fill="FFFFFF"/>
        </w:rPr>
        <w:t>writing—original draft preparation</w:t>
      </w:r>
      <w:r w:rsidR="00AA1FF9">
        <w:rPr>
          <w:rFonts w:ascii="Georgia" w:eastAsiaTheme="minorEastAsia" w:hAnsi="Georgia" w:cs="Arial"/>
          <w:color w:val="000000" w:themeColor="text1"/>
          <w:szCs w:val="18"/>
          <w:shd w:val="clear" w:color="auto" w:fill="FFFFFF"/>
        </w:rPr>
        <w:t xml:space="preserve">, </w:t>
      </w:r>
      <w:r w:rsidR="00AA1FF9" w:rsidRPr="007F4F2C">
        <w:rPr>
          <w:rFonts w:ascii="Georgia" w:eastAsiaTheme="minorEastAsia" w:hAnsi="Georgia" w:cs="Arial"/>
          <w:color w:val="000000" w:themeColor="text1"/>
          <w:szCs w:val="18"/>
          <w:shd w:val="clear" w:color="auto" w:fill="FFFFFF"/>
        </w:rPr>
        <w:t>S.M.</w:t>
      </w:r>
      <w:r w:rsidR="00AA1FF9">
        <w:rPr>
          <w:rFonts w:ascii="Georgia" w:eastAsiaTheme="minorEastAsia" w:hAnsi="Georgia" w:cs="Arial"/>
          <w:color w:val="000000" w:themeColor="text1"/>
          <w:szCs w:val="18"/>
          <w:shd w:val="clear" w:color="auto" w:fill="FFFFFF"/>
        </w:rPr>
        <w:t>;</w:t>
      </w:r>
      <w:r w:rsidR="00AA1FF9" w:rsidRPr="007F4F2C">
        <w:rPr>
          <w:rFonts w:ascii="Georgia" w:eastAsiaTheme="minorEastAsia" w:hAnsi="Georgia" w:cs="Arial"/>
          <w:color w:val="000000" w:themeColor="text1"/>
          <w:szCs w:val="18"/>
          <w:shd w:val="clear" w:color="auto" w:fill="FFFFFF"/>
        </w:rPr>
        <w:t xml:space="preserve"> writing—review and editing, A.B., S.C</w:t>
      </w:r>
      <w:r w:rsidR="00AA1FF9">
        <w:rPr>
          <w:rFonts w:ascii="Georgia" w:eastAsiaTheme="minorEastAsia" w:hAnsi="Georgia" w:cs="Arial"/>
          <w:color w:val="000000" w:themeColor="text1"/>
          <w:szCs w:val="18"/>
          <w:shd w:val="clear" w:color="auto" w:fill="FFFFFF"/>
        </w:rPr>
        <w:t xml:space="preserve">; visualization, S.M.; </w:t>
      </w:r>
      <w:r w:rsidR="00AA1FF9" w:rsidRPr="007F4F2C">
        <w:rPr>
          <w:rFonts w:ascii="Georgia" w:eastAsiaTheme="minorEastAsia" w:hAnsi="Georgia" w:cs="Arial"/>
          <w:color w:val="000000" w:themeColor="text1"/>
          <w:szCs w:val="18"/>
          <w:shd w:val="clear" w:color="auto" w:fill="FFFFFF"/>
        </w:rPr>
        <w:t xml:space="preserve">supervision, S.C. </w:t>
      </w:r>
    </w:p>
    <w:p w14:paraId="03CC4859" w14:textId="5533277E" w:rsidR="00353388" w:rsidRDefault="00A86E9F" w:rsidP="00353388">
      <w:pPr>
        <w:pStyle w:val="MDPI62BackMatter"/>
        <w:rPr>
          <w:rFonts w:ascii="Georgia" w:eastAsiaTheme="minorEastAsia" w:hAnsi="Georgia" w:cs="Arial"/>
        </w:rPr>
      </w:pPr>
      <w:r w:rsidRPr="004F2BEA">
        <w:rPr>
          <w:rFonts w:ascii="Georgia" w:eastAsiaTheme="minorEastAsia" w:hAnsi="Georgia" w:cs="Arial"/>
          <w:b/>
        </w:rPr>
        <w:t>Acknowledgments</w:t>
      </w:r>
    </w:p>
    <w:p w14:paraId="28854B9D" w14:textId="230E2738" w:rsidR="00353388" w:rsidRPr="00353388" w:rsidRDefault="00353388" w:rsidP="00353388">
      <w:pPr>
        <w:pStyle w:val="MDPI62BackMatter"/>
        <w:rPr>
          <w:rFonts w:ascii="Georgia" w:eastAsiaTheme="minorEastAsia" w:hAnsi="Georgia" w:cs="Arial"/>
        </w:rPr>
      </w:pPr>
      <w:r w:rsidRPr="00353388">
        <w:rPr>
          <w:rFonts w:ascii="Georgia" w:eastAsiaTheme="minorEastAsia" w:hAnsi="Georgia" w:cs="Arial"/>
        </w:rPr>
        <w:t xml:space="preserve">This research was supported by </w:t>
      </w:r>
      <w:proofErr w:type="spellStart"/>
      <w:r w:rsidRPr="00353388">
        <w:rPr>
          <w:rFonts w:ascii="Georgia" w:eastAsiaTheme="minorEastAsia" w:hAnsi="Georgia" w:cs="Arial"/>
        </w:rPr>
        <w:t>Politecnico</w:t>
      </w:r>
      <w:proofErr w:type="spellEnd"/>
      <w:r w:rsidRPr="00353388">
        <w:rPr>
          <w:rFonts w:ascii="Georgia" w:eastAsiaTheme="minorEastAsia" w:hAnsi="Georgia" w:cs="Arial"/>
        </w:rPr>
        <w:t xml:space="preserve"> di Milano Department Architecture Built Environment Construction Engineering (ABC). The author</w:t>
      </w:r>
      <w:r w:rsidR="002F33D0">
        <w:rPr>
          <w:rFonts w:ascii="Georgia" w:eastAsiaTheme="minorEastAsia" w:hAnsi="Georgia" w:cs="Arial"/>
        </w:rPr>
        <w:t>s</w:t>
      </w:r>
      <w:r w:rsidRPr="00353388">
        <w:rPr>
          <w:rFonts w:ascii="Georgia" w:eastAsiaTheme="minorEastAsia" w:hAnsi="Georgia" w:cs="Arial"/>
        </w:rPr>
        <w:t xml:space="preserve"> </w:t>
      </w:r>
      <w:r w:rsidR="002F33D0">
        <w:rPr>
          <w:rFonts w:ascii="Georgia" w:eastAsiaTheme="minorEastAsia" w:hAnsi="Georgia" w:cs="Arial"/>
        </w:rPr>
        <w:t>are</w:t>
      </w:r>
      <w:r w:rsidRPr="00353388">
        <w:rPr>
          <w:rFonts w:ascii="Georgia" w:eastAsiaTheme="minorEastAsia" w:hAnsi="Georgia" w:cs="Arial"/>
        </w:rPr>
        <w:t xml:space="preserve"> grateful to Dott. Sara </w:t>
      </w:r>
      <w:proofErr w:type="spellStart"/>
      <w:r w:rsidRPr="00353388">
        <w:rPr>
          <w:rFonts w:ascii="Georgia" w:eastAsiaTheme="minorEastAsia" w:hAnsi="Georgia" w:cs="Arial"/>
        </w:rPr>
        <w:t>Fascendini</w:t>
      </w:r>
      <w:proofErr w:type="spellEnd"/>
      <w:r w:rsidRPr="00353388">
        <w:rPr>
          <w:rFonts w:ascii="Georgia" w:eastAsiaTheme="minorEastAsia" w:hAnsi="Georgia" w:cs="Arial"/>
        </w:rPr>
        <w:t xml:space="preserve"> of the Alzheimer Centre of Gazzaniga (BG) and Prof. Marco </w:t>
      </w:r>
      <w:proofErr w:type="spellStart"/>
      <w:r w:rsidRPr="00353388">
        <w:rPr>
          <w:rFonts w:ascii="Georgia" w:eastAsiaTheme="minorEastAsia" w:hAnsi="Georgia" w:cs="Arial"/>
        </w:rPr>
        <w:t>Trabucchi</w:t>
      </w:r>
      <w:proofErr w:type="spellEnd"/>
      <w:r w:rsidRPr="00353388">
        <w:rPr>
          <w:rFonts w:ascii="Georgia" w:eastAsiaTheme="minorEastAsia" w:hAnsi="Georgia" w:cs="Arial"/>
        </w:rPr>
        <w:t xml:space="preserve"> of the GRG Geriatric Research Group. </w:t>
      </w:r>
    </w:p>
    <w:p w14:paraId="6ACE507C" w14:textId="365471A3" w:rsidR="005E3ADB" w:rsidRPr="00E63217" w:rsidRDefault="00A86E9F" w:rsidP="00DD0750">
      <w:pPr>
        <w:pStyle w:val="MDPI21heading1"/>
        <w:rPr>
          <w:rFonts w:eastAsiaTheme="minorEastAsia"/>
        </w:rPr>
      </w:pPr>
      <w:r w:rsidRPr="00E63217">
        <w:rPr>
          <w:rFonts w:eastAsiaTheme="minorEastAsia"/>
        </w:rPr>
        <w:t>References</w:t>
      </w:r>
    </w:p>
    <w:p w14:paraId="0FA5CC9E" w14:textId="77777777" w:rsidR="00D5322D" w:rsidRPr="00D5322D" w:rsidRDefault="00FD0E6D" w:rsidP="007565F4">
      <w:pPr>
        <w:pStyle w:val="Lijstalinea"/>
        <w:widowControl w:val="0"/>
        <w:numPr>
          <w:ilvl w:val="0"/>
          <w:numId w:val="24"/>
        </w:numPr>
        <w:autoSpaceDE w:val="0"/>
        <w:autoSpaceDN w:val="0"/>
        <w:adjustRightInd w:val="0"/>
      </w:pPr>
      <w:r w:rsidRPr="00E63217">
        <w:rPr>
          <w:rFonts w:eastAsiaTheme="minorEastAsia"/>
          <w:highlight w:val="yellow"/>
        </w:rPr>
        <w:fldChar w:fldCharType="begin"/>
      </w:r>
      <w:r w:rsidR="00D5322D" w:rsidRPr="007565F4">
        <w:rPr>
          <w:rFonts w:eastAsiaTheme="minorEastAsia"/>
          <w:highlight w:val="yellow"/>
        </w:rPr>
        <w:instrText xml:space="preserve"> ADDIN ZOTERO_BIBL {"uncited":[],"omitted":[],"custom":[]} CSL_BIBLIOGRAPHY </w:instrText>
      </w:r>
      <w:r w:rsidRPr="00E63217">
        <w:rPr>
          <w:rFonts w:eastAsiaTheme="minorEastAsia"/>
          <w:highlight w:val="yellow"/>
        </w:rPr>
        <w:fldChar w:fldCharType="separate"/>
      </w:r>
      <w:r w:rsidR="00D5322D" w:rsidRPr="00D5322D">
        <w:t xml:space="preserve">Alzheimer’s association. (2020). 2020 Alzheimer’s disease facts and figures. </w:t>
      </w:r>
      <w:r w:rsidR="00D5322D" w:rsidRPr="007565F4">
        <w:rPr>
          <w:i/>
          <w:iCs/>
        </w:rPr>
        <w:t>Alzheimer’s &amp; Dementia</w:t>
      </w:r>
      <w:r w:rsidR="00D5322D" w:rsidRPr="00D5322D">
        <w:t xml:space="preserve">, </w:t>
      </w:r>
      <w:r w:rsidR="00D5322D" w:rsidRPr="007565F4">
        <w:rPr>
          <w:i/>
          <w:iCs/>
        </w:rPr>
        <w:t>16</w:t>
      </w:r>
      <w:r w:rsidR="00D5322D" w:rsidRPr="00D5322D">
        <w:t>(3), 391–460. https://doi.org/10.1002/alz.12068</w:t>
      </w:r>
    </w:p>
    <w:p w14:paraId="66A78A49"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7565F4">
        <w:rPr>
          <w:lang w:val="it-IT"/>
        </w:rPr>
        <w:t xml:space="preserve">Brambilla, A., Lindahl, G., Dell’Ovo, M., &amp; Capolongo, S. (2021). </w:t>
      </w:r>
      <w:r w:rsidRPr="00D5322D">
        <w:t xml:space="preserve">Validation of a multiple criteria tool for healthcare facilities quality evaluation. </w:t>
      </w:r>
      <w:r w:rsidRPr="007565F4">
        <w:rPr>
          <w:i/>
          <w:iCs/>
          <w:lang w:val="it-IT"/>
        </w:rPr>
        <w:t>Facilities</w:t>
      </w:r>
      <w:r w:rsidRPr="007565F4">
        <w:rPr>
          <w:lang w:val="it-IT"/>
        </w:rPr>
        <w:t xml:space="preserve">, </w:t>
      </w:r>
      <w:r w:rsidRPr="007565F4">
        <w:rPr>
          <w:i/>
          <w:iCs/>
          <w:lang w:val="it-IT"/>
        </w:rPr>
        <w:t>39</w:t>
      </w:r>
      <w:r w:rsidRPr="007565F4">
        <w:rPr>
          <w:lang w:val="it-IT"/>
        </w:rPr>
        <w:t>(5/6), 434–447. https://doi.org/10.1108/F-06-2020-0070</w:t>
      </w:r>
    </w:p>
    <w:p w14:paraId="4470F7E6" w14:textId="77777777" w:rsidR="00D5322D" w:rsidRPr="00D5322D" w:rsidRDefault="00D5322D" w:rsidP="007565F4">
      <w:pPr>
        <w:pStyle w:val="Lijstalinea"/>
        <w:widowControl w:val="0"/>
        <w:numPr>
          <w:ilvl w:val="0"/>
          <w:numId w:val="24"/>
        </w:numPr>
        <w:autoSpaceDE w:val="0"/>
        <w:autoSpaceDN w:val="0"/>
        <w:adjustRightInd w:val="0"/>
      </w:pPr>
      <w:r w:rsidRPr="007565F4">
        <w:rPr>
          <w:lang w:val="it-IT"/>
        </w:rPr>
        <w:t xml:space="preserve">Brambilla, A., Maino, R., Mangili, S., &amp; Capolongo, S. (2020). </w:t>
      </w:r>
      <w:r w:rsidRPr="00D5322D">
        <w:t xml:space="preserve">Built Environment and Alzheimer. Quality Evaluation of Territorial Structures for Patients with Dementia. </w:t>
      </w:r>
      <w:r w:rsidRPr="007565F4">
        <w:rPr>
          <w:lang w:val="it-IT"/>
        </w:rPr>
        <w:t xml:space="preserve">In C. Bevilacqua, F. Calabrò, &amp; L. Della Spina (Eds.), </w:t>
      </w:r>
      <w:r w:rsidRPr="007565F4">
        <w:rPr>
          <w:i/>
          <w:iCs/>
          <w:lang w:val="it-IT"/>
        </w:rPr>
        <w:t>New Metropolitan Perspectives</w:t>
      </w:r>
      <w:r w:rsidRPr="007565F4">
        <w:rPr>
          <w:lang w:val="it-IT"/>
        </w:rPr>
        <w:t xml:space="preserve"> (Vol. 177, pp. 178–186). </w:t>
      </w:r>
      <w:r w:rsidRPr="00D5322D">
        <w:t>Springer International Publishing. https://doi.org/10.1007/978-3-030-52869-0_15</w:t>
      </w:r>
    </w:p>
    <w:p w14:paraId="3CE3032E" w14:textId="77777777" w:rsidR="00D5322D" w:rsidRPr="00D5322D" w:rsidRDefault="00D5322D" w:rsidP="007565F4">
      <w:pPr>
        <w:pStyle w:val="Lijstalinea"/>
        <w:widowControl w:val="0"/>
        <w:numPr>
          <w:ilvl w:val="0"/>
          <w:numId w:val="24"/>
        </w:numPr>
        <w:autoSpaceDE w:val="0"/>
        <w:autoSpaceDN w:val="0"/>
        <w:adjustRightInd w:val="0"/>
      </w:pPr>
      <w:r w:rsidRPr="003571D7">
        <w:rPr>
          <w:lang w:val="it-IT"/>
        </w:rPr>
        <w:t xml:space="preserve">Brambilla, A., Morganti, A., Lindahl, G., Riva, A., &amp; Capolongo, S. (2020). </w:t>
      </w:r>
      <w:r w:rsidRPr="00D5322D">
        <w:t xml:space="preserve">Complex Projects Assessment. The Impact of Built Environment on Healthcare Staff Wellbeing. In O. Gervasi, B. Murgante, S. Misra, C. Garau, I. Blečić, D. Taniar, B. O. Apduhan, A. M. A. C. Rocha, E. Tarantino, C. M. Torre, &amp; Y. Karaca (Eds.), </w:t>
      </w:r>
      <w:r w:rsidRPr="007565F4">
        <w:rPr>
          <w:i/>
          <w:iCs/>
        </w:rPr>
        <w:t>Computational Science and Its Applications – ICCSA 2020</w:t>
      </w:r>
      <w:r w:rsidRPr="00D5322D">
        <w:t xml:space="preserve"> (Vol. 12253, pp. 345–354). Springer International Publishing. https://doi.org/10.1007/978-3-030-58814-4_24</w:t>
      </w:r>
    </w:p>
    <w:p w14:paraId="6BFDC045"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Brambilla, A., Sun, T., Elshazly, W., Ghazy, A., Barach, P., &amp; Lindahl, G. (2021). Flexibility during the COVID-19 Pandemic Response: Healthcare Facility Assessment Tools for Resilient Evaluation. </w:t>
      </w:r>
      <w:r w:rsidRPr="007565F4">
        <w:rPr>
          <w:i/>
          <w:iCs/>
        </w:rPr>
        <w:t>Int. J. Environ. Res. Public Health</w:t>
      </w:r>
      <w:r w:rsidRPr="00D5322D">
        <w:t xml:space="preserve">, </w:t>
      </w:r>
      <w:r w:rsidRPr="007565F4">
        <w:rPr>
          <w:i/>
          <w:iCs/>
        </w:rPr>
        <w:t>18</w:t>
      </w:r>
      <w:r w:rsidRPr="00D5322D">
        <w:t>(11478). https://doi.org/10.3390/ijerph182111478</w:t>
      </w:r>
    </w:p>
    <w:p w14:paraId="00C5F8A1"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3571D7">
        <w:rPr>
          <w:lang w:val="it-IT"/>
        </w:rPr>
        <w:t xml:space="preserve">Buffoli, M., Bellini, E., &amp; Bellagarda, A. (2014). </w:t>
      </w:r>
      <w:r w:rsidRPr="00D5322D">
        <w:t xml:space="preserve">Listening to people to cure people The LpCp – tool, an instrument </w:t>
      </w:r>
      <w:r w:rsidRPr="00D5322D">
        <w:lastRenderedPageBreak/>
        <w:t xml:space="preserve">to evaluate hospital humanization. </w:t>
      </w:r>
      <w:r w:rsidRPr="007565F4">
        <w:rPr>
          <w:i/>
          <w:iCs/>
          <w:lang w:val="it-IT"/>
        </w:rPr>
        <w:t>Annali Di Igiene Medicina Preventiva e Di Comunità</w:t>
      </w:r>
      <w:r w:rsidRPr="007565F4">
        <w:rPr>
          <w:lang w:val="it-IT"/>
        </w:rPr>
        <w:t xml:space="preserve">, </w:t>
      </w:r>
      <w:r w:rsidRPr="007565F4">
        <w:rPr>
          <w:i/>
          <w:iCs/>
          <w:lang w:val="it-IT"/>
        </w:rPr>
        <w:t>5</w:t>
      </w:r>
      <w:r w:rsidRPr="007565F4">
        <w:rPr>
          <w:lang w:val="it-IT"/>
        </w:rPr>
        <w:t>, 447–455. https://doi.org/10.7416/ai.2014.2004</w:t>
      </w:r>
    </w:p>
    <w:p w14:paraId="45DFD8C8"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D5322D">
        <w:t xml:space="preserve">Capolongo, S. (2016). </w:t>
      </w:r>
      <w:r w:rsidRPr="007565F4">
        <w:rPr>
          <w:i/>
          <w:iCs/>
        </w:rPr>
        <w:t>Preface Social aspects and well‑being for improving healing processes’ effectiveness</w:t>
      </w:r>
      <w:r w:rsidRPr="00D5322D">
        <w:t xml:space="preserve">. </w:t>
      </w:r>
      <w:r w:rsidRPr="007565F4">
        <w:rPr>
          <w:lang w:val="it-IT"/>
        </w:rPr>
        <w:t>4.</w:t>
      </w:r>
    </w:p>
    <w:p w14:paraId="378C5583"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7565F4">
        <w:rPr>
          <w:lang w:val="it-IT"/>
        </w:rPr>
        <w:t xml:space="preserve">Capolongo, S., Brambilla, A., Girardi, A., &amp; Signorelli, C. (2021). Validation Checklist for Massive Vaccination Centers. </w:t>
      </w:r>
      <w:r w:rsidRPr="007565F4">
        <w:rPr>
          <w:i/>
          <w:iCs/>
          <w:lang w:val="it-IT"/>
        </w:rPr>
        <w:t>Annali Di Igiene: Medicina Preventiva E Di Comunita</w:t>
      </w:r>
      <w:r w:rsidRPr="007565F4">
        <w:rPr>
          <w:lang w:val="it-IT"/>
        </w:rPr>
        <w:t>. https://doi.org/10.7416/ai.2021.2460</w:t>
      </w:r>
    </w:p>
    <w:p w14:paraId="1DB95444"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eurostat. (2021). </w:t>
      </w:r>
      <w:r w:rsidRPr="007565F4">
        <w:rPr>
          <w:i/>
          <w:iCs/>
        </w:rPr>
        <w:t>Mortality and life expectancy statistics</w:t>
      </w:r>
      <w:r w:rsidRPr="00D5322D">
        <w:t>. https://ec.europa.eu/eurostat/statistics-explained/index.php?title=Mortality_and_life_expectancy_statistics</w:t>
      </w:r>
    </w:p>
    <w:p w14:paraId="69E267BA"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Evans, S. C., Waller, S., &amp; Bray, J. (2022). Designing inclusive environments for people living with dementia: How much do we really know? </w:t>
      </w:r>
      <w:r w:rsidRPr="007565F4">
        <w:rPr>
          <w:i/>
          <w:iCs/>
        </w:rPr>
        <w:t>Working with Older People</w:t>
      </w:r>
      <w:r w:rsidRPr="00D5322D">
        <w:t xml:space="preserve">, </w:t>
      </w:r>
      <w:r w:rsidRPr="007565F4">
        <w:rPr>
          <w:i/>
          <w:iCs/>
        </w:rPr>
        <w:t>26</w:t>
      </w:r>
      <w:r w:rsidRPr="00D5322D">
        <w:t>(2), 89–96. https://doi.org/10.1108/WWOP-09-2021-0049</w:t>
      </w:r>
    </w:p>
    <w:p w14:paraId="2DB23F29"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Fleming, R., Crookes, P. A., &amp; Sum, S. (2008). </w:t>
      </w:r>
      <w:r w:rsidRPr="007565F4">
        <w:rPr>
          <w:i/>
          <w:iCs/>
        </w:rPr>
        <w:t>A review of the empirical literature on the design of physical environments for people with dementia</w:t>
      </w:r>
      <w:r w:rsidRPr="00D5322D">
        <w:t>. 66.</w:t>
      </w:r>
    </w:p>
    <w:p w14:paraId="2A2DD3A6"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Fleming, R., &amp; Purandare, N. (2010). Long-term care for people with dementia: Environmental design guidelines. </w:t>
      </w:r>
      <w:r w:rsidRPr="007565F4">
        <w:rPr>
          <w:i/>
          <w:iCs/>
        </w:rPr>
        <w:t>International Psychogeriatrics</w:t>
      </w:r>
      <w:r w:rsidRPr="00D5322D">
        <w:t xml:space="preserve">, </w:t>
      </w:r>
      <w:r w:rsidRPr="007565F4">
        <w:rPr>
          <w:i/>
          <w:iCs/>
        </w:rPr>
        <w:t>22</w:t>
      </w:r>
      <w:r w:rsidRPr="00D5322D">
        <w:t>(7), 1084–1096. https://doi.org/10.1017/S1041610210000438</w:t>
      </w:r>
    </w:p>
    <w:p w14:paraId="3B1D5348"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3571D7">
        <w:rPr>
          <w:lang w:val="it-IT"/>
        </w:rPr>
        <w:t xml:space="preserve">Gola, M., Brambilla, A., Barach, P., Signorelli, C., &amp; Capolongo, S. (2020). </w:t>
      </w:r>
      <w:r w:rsidRPr="00D5322D">
        <w:t xml:space="preserve">Educational Challenges in Healthcare Design: Training Multidisciplinary Professionals for Future Hospitals and Healthcare. </w:t>
      </w:r>
      <w:r w:rsidRPr="007565F4">
        <w:rPr>
          <w:i/>
          <w:iCs/>
          <w:lang w:val="it-IT"/>
        </w:rPr>
        <w:t>Annali Di Igiene: Medicina Preventiva E Di Comunita</w:t>
      </w:r>
      <w:r w:rsidRPr="007565F4">
        <w:rPr>
          <w:lang w:val="it-IT"/>
        </w:rPr>
        <w:t xml:space="preserve">, </w:t>
      </w:r>
      <w:r w:rsidRPr="007565F4">
        <w:rPr>
          <w:i/>
          <w:iCs/>
          <w:lang w:val="it-IT"/>
        </w:rPr>
        <w:t>32</w:t>
      </w:r>
      <w:r w:rsidRPr="007565F4">
        <w:rPr>
          <w:lang w:val="it-IT"/>
        </w:rPr>
        <w:t>(5), 549–566. https://doi.org/10.7416/ai.2020.2375</w:t>
      </w:r>
    </w:p>
    <w:p w14:paraId="6F10D209"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Grey, T., Fleming, R., Goodenough, B. J., Xidous, D., Möhler, R., &amp; O’Neill, D. (2019). Hospital design for older people with cognitive impairment including dementia and delirium: Supporting inpatients and accompanying persons. </w:t>
      </w:r>
      <w:r w:rsidRPr="007565F4">
        <w:rPr>
          <w:i/>
          <w:iCs/>
        </w:rPr>
        <w:t>Cochrane Database of Systematic Reviews</w:t>
      </w:r>
      <w:r w:rsidRPr="00D5322D">
        <w:t>. https://doi.org/10.1002/14651858.CD013482</w:t>
      </w:r>
    </w:p>
    <w:p w14:paraId="73569E26" w14:textId="77777777" w:rsidR="00D5322D" w:rsidRPr="007565F4" w:rsidRDefault="00D5322D" w:rsidP="007565F4">
      <w:pPr>
        <w:pStyle w:val="Lijstalinea"/>
        <w:widowControl w:val="0"/>
        <w:numPr>
          <w:ilvl w:val="0"/>
          <w:numId w:val="24"/>
        </w:numPr>
        <w:autoSpaceDE w:val="0"/>
        <w:autoSpaceDN w:val="0"/>
        <w:adjustRightInd w:val="0"/>
        <w:rPr>
          <w:lang w:val="it-IT"/>
        </w:rPr>
      </w:pPr>
      <w:r w:rsidRPr="003571D7">
        <w:rPr>
          <w:lang w:val="it-IT"/>
        </w:rPr>
        <w:t xml:space="preserve">Istat. </w:t>
      </w:r>
      <w:r w:rsidRPr="007565F4">
        <w:rPr>
          <w:lang w:val="it-IT"/>
        </w:rPr>
        <w:t xml:space="preserve">(2020). </w:t>
      </w:r>
      <w:r w:rsidRPr="007565F4">
        <w:rPr>
          <w:i/>
          <w:iCs/>
          <w:lang w:val="it-IT"/>
        </w:rPr>
        <w:t>Invecchiamento attivo e condizioni di vita degli anziani in Italia</w:t>
      </w:r>
      <w:r w:rsidRPr="007565F4">
        <w:rPr>
          <w:lang w:val="it-IT"/>
        </w:rPr>
        <w:t>.</w:t>
      </w:r>
    </w:p>
    <w:p w14:paraId="5CFE13CF"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Marquardt, G., Bueter, K., &amp; Motzek, T. (2014). Impact of the Design of the Built Environment on People with Dementia: An Evidence-Based Review. </w:t>
      </w:r>
      <w:r w:rsidRPr="007565F4">
        <w:rPr>
          <w:i/>
          <w:iCs/>
        </w:rPr>
        <w:t>HERD: Health Environments Research &amp; Design Journal</w:t>
      </w:r>
      <w:r w:rsidRPr="00D5322D">
        <w:t xml:space="preserve">, </w:t>
      </w:r>
      <w:r w:rsidRPr="007565F4">
        <w:rPr>
          <w:i/>
          <w:iCs/>
        </w:rPr>
        <w:t>8</w:t>
      </w:r>
      <w:r w:rsidRPr="00D5322D">
        <w:t>(1), 127–157. https://doi.org/10.1177/193758671400800111</w:t>
      </w:r>
    </w:p>
    <w:p w14:paraId="1A4ADDB8"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Nichols, E., Steinmetz, J. D., Vollset, S. E., Fukutaki, K., Chalek, J., Abd-Allah, F., Abdoli, A., Abualhasan, A., Abu-Gharbieh, E., Akram, T. T., Al Hamad, H., Alahdab, F., Alanezi, F. M., Alipour, V., Almustanyir, S., Amu, H., Ansari, I., Arabloo, J., Ashraf, T., … Vos, T. (2022). Estimation of the global prevalence of dementia in 2019 and forecasted prevalence in 2050: An analysis for the Global Burden of Disease Study 2019. </w:t>
      </w:r>
      <w:r w:rsidRPr="007565F4">
        <w:rPr>
          <w:i/>
          <w:iCs/>
        </w:rPr>
        <w:t>The Lancet Public Health</w:t>
      </w:r>
      <w:r w:rsidRPr="00D5322D">
        <w:t xml:space="preserve">, </w:t>
      </w:r>
      <w:r w:rsidRPr="007565F4">
        <w:rPr>
          <w:i/>
          <w:iCs/>
        </w:rPr>
        <w:t>7</w:t>
      </w:r>
      <w:r w:rsidRPr="00D5322D">
        <w:t>(2), e105–e125. https://doi.org/10.1016/S2468-2667(21)00249-8</w:t>
      </w:r>
    </w:p>
    <w:p w14:paraId="45289670" w14:textId="77777777" w:rsidR="00D5322D" w:rsidRPr="006565C9" w:rsidRDefault="00D5322D" w:rsidP="007565F4">
      <w:pPr>
        <w:pStyle w:val="Lijstalinea"/>
        <w:widowControl w:val="0"/>
        <w:numPr>
          <w:ilvl w:val="0"/>
          <w:numId w:val="24"/>
        </w:numPr>
        <w:autoSpaceDE w:val="0"/>
        <w:autoSpaceDN w:val="0"/>
        <w:adjustRightInd w:val="0"/>
        <w:rPr>
          <w:lang w:val="nl-NL"/>
        </w:rPr>
      </w:pPr>
      <w:r w:rsidRPr="00D5322D">
        <w:t xml:space="preserve">OECD. (2017). </w:t>
      </w:r>
      <w:r w:rsidRPr="007565F4">
        <w:rPr>
          <w:i/>
          <w:iCs/>
        </w:rPr>
        <w:t>Health at a Glance 2017: OECD Indicators</w:t>
      </w:r>
      <w:r w:rsidRPr="00D5322D">
        <w:t xml:space="preserve">. </w:t>
      </w:r>
      <w:r w:rsidRPr="006565C9">
        <w:rPr>
          <w:lang w:val="nl-NL"/>
        </w:rPr>
        <w:t>OECD. https://doi.org/10.1787/health_glance-2017-en</w:t>
      </w:r>
    </w:p>
    <w:p w14:paraId="4120222D"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Pinter-Wollman, N., Jelić, A., &amp; Wells, N. M. (2018). The impact of the built environment on health behaviours and disease transmission in social systems. </w:t>
      </w:r>
      <w:r w:rsidRPr="007565F4">
        <w:rPr>
          <w:i/>
          <w:iCs/>
        </w:rPr>
        <w:t>Philosophical Transactions of the Royal Society B: Biological Sciences</w:t>
      </w:r>
      <w:r w:rsidRPr="00D5322D">
        <w:t xml:space="preserve">, </w:t>
      </w:r>
      <w:r w:rsidRPr="007565F4">
        <w:rPr>
          <w:i/>
          <w:iCs/>
        </w:rPr>
        <w:t>373</w:t>
      </w:r>
      <w:r w:rsidRPr="00D5322D">
        <w:t>(1753), 20170245. https://doi.org/10.1098/rstb.2017.0245</w:t>
      </w:r>
    </w:p>
    <w:p w14:paraId="08CBE9E0"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Ulrich, R. (1984). View through a window may influence recovery from surgery. </w:t>
      </w:r>
      <w:r w:rsidRPr="007565F4">
        <w:rPr>
          <w:i/>
          <w:iCs/>
        </w:rPr>
        <w:t>Science</w:t>
      </w:r>
      <w:r w:rsidRPr="00D5322D">
        <w:t xml:space="preserve">, </w:t>
      </w:r>
      <w:r w:rsidRPr="007565F4">
        <w:rPr>
          <w:i/>
          <w:iCs/>
        </w:rPr>
        <w:t>224</w:t>
      </w:r>
      <w:r w:rsidRPr="00D5322D">
        <w:t>(4647), 420–421. https://doi.org/10.1126/science.6143402</w:t>
      </w:r>
    </w:p>
    <w:p w14:paraId="11D7DB78"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Ulrich, R., &amp; Quan, X. (2004). </w:t>
      </w:r>
      <w:r w:rsidRPr="007565F4">
        <w:rPr>
          <w:i/>
          <w:iCs/>
        </w:rPr>
        <w:t>The Role of the Physical Environment in the Hospital of the 21st Century: A Once-in-a-Lifetime Opportunity</w:t>
      </w:r>
      <w:r w:rsidRPr="00D5322D">
        <w:t>. 69.</w:t>
      </w:r>
    </w:p>
    <w:p w14:paraId="210B3AB3"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United Nations, Department of Economic and Social Affairs, &amp; Population Division. (2020). </w:t>
      </w:r>
      <w:r w:rsidRPr="007565F4">
        <w:rPr>
          <w:i/>
          <w:iCs/>
        </w:rPr>
        <w:t>World population ageing, 2019 highlights.</w:t>
      </w:r>
    </w:p>
    <w:p w14:paraId="46D7B008"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World Health Organization. (1946). </w:t>
      </w:r>
      <w:r w:rsidRPr="007565F4">
        <w:rPr>
          <w:i/>
          <w:iCs/>
        </w:rPr>
        <w:t>Preamble to the constitution of the world health organization</w:t>
      </w:r>
      <w:r w:rsidRPr="00D5322D">
        <w:t>.</w:t>
      </w:r>
    </w:p>
    <w:p w14:paraId="5B88F5ED" w14:textId="77777777" w:rsidR="00D5322D" w:rsidRPr="00D5322D" w:rsidRDefault="00D5322D" w:rsidP="007565F4">
      <w:pPr>
        <w:pStyle w:val="Lijstalinea"/>
        <w:widowControl w:val="0"/>
        <w:numPr>
          <w:ilvl w:val="0"/>
          <w:numId w:val="24"/>
        </w:numPr>
        <w:autoSpaceDE w:val="0"/>
        <w:autoSpaceDN w:val="0"/>
        <w:adjustRightInd w:val="0"/>
      </w:pPr>
      <w:r w:rsidRPr="00D5322D">
        <w:t xml:space="preserve">World Health Organization. (2017). </w:t>
      </w:r>
      <w:r w:rsidRPr="007565F4">
        <w:rPr>
          <w:i/>
          <w:iCs/>
        </w:rPr>
        <w:t>Noncommunicable Diseases</w:t>
      </w:r>
      <w:r w:rsidRPr="00D5322D">
        <w:t>. https://www.euro.who.int/__data/assets/pdf_file/0007/350278/Fact-sheet-SDG-NCD-FINAL-25-10-17.pdf</w:t>
      </w:r>
    </w:p>
    <w:p w14:paraId="0E27B00A" w14:textId="76FE4A8D" w:rsidR="00A86E9F" w:rsidRPr="005C6417" w:rsidRDefault="00FD0E6D" w:rsidP="007565F4">
      <w:pPr>
        <w:pStyle w:val="MDPI31text"/>
        <w:ind w:left="0" w:firstLine="0"/>
        <w:rPr>
          <w:rFonts w:eastAsiaTheme="minorEastAsia" w:cs="Arial"/>
          <w:highlight w:val="yellow"/>
        </w:rPr>
      </w:pPr>
      <w:r w:rsidRPr="00E63217">
        <w:rPr>
          <w:rFonts w:eastAsiaTheme="minorEastAsia"/>
          <w:highlight w:val="yellow"/>
        </w:rPr>
        <w:lastRenderedPageBreak/>
        <w:fldChar w:fldCharType="end"/>
      </w:r>
    </w:p>
    <w:sectPr w:rsidR="00A86E9F" w:rsidRPr="005C6417" w:rsidSect="004D3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EBB9" w14:textId="77777777" w:rsidR="004D3615" w:rsidRDefault="004D3615">
      <w:pPr>
        <w:spacing w:line="240" w:lineRule="auto"/>
      </w:pPr>
      <w:r>
        <w:separator/>
      </w:r>
    </w:p>
  </w:endnote>
  <w:endnote w:type="continuationSeparator" w:id="0">
    <w:p w14:paraId="6B2D0BDB" w14:textId="77777777" w:rsidR="004D3615" w:rsidRDefault="004D3615">
      <w:pPr>
        <w:spacing w:line="240" w:lineRule="auto"/>
      </w:pPr>
      <w:r>
        <w:continuationSeparator/>
      </w:r>
    </w:p>
  </w:endnote>
  <w:endnote w:type="continuationNotice" w:id="1">
    <w:p w14:paraId="6351C62B" w14:textId="77777777" w:rsidR="004D3615" w:rsidRDefault="004D36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74D3" w14:textId="77777777" w:rsidR="000F3AEF" w:rsidRDefault="000F3A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1B7" w14:textId="77777777" w:rsidR="000F3AEF" w:rsidRDefault="000F3A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55A5E6CB" w:rsidR="00C45F1E" w:rsidRPr="0021700B" w:rsidRDefault="004E4F93" w:rsidP="00BA570C">
    <w:pPr>
      <w:pStyle w:val="MDPIfooterfirstpage"/>
      <w:tabs>
        <w:tab w:val="clear" w:pos="8845"/>
        <w:tab w:val="right" w:pos="10466"/>
      </w:tabs>
      <w:spacing w:line="240" w:lineRule="auto"/>
      <w:jc w:val="both"/>
    </w:pPr>
    <w:hyperlink r:id="rId1" w:history="1">
      <w:r w:rsidRPr="00183919">
        <w:rPr>
          <w:rStyle w:val="Hyperlink"/>
          <w:bCs/>
          <w:iCs/>
          <w:szCs w:val="16"/>
        </w:rPr>
        <w:t>https://doi.org/10.24404/6230a64f59007c84b02b57e0</w:t>
      </w:r>
    </w:hyperlink>
    <w:r>
      <w:rPr>
        <w:bCs/>
        <w:iCs/>
        <w:szCs w:val="16"/>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380E" w14:textId="77777777" w:rsidR="004D3615" w:rsidRDefault="004D3615">
      <w:pPr>
        <w:spacing w:line="240" w:lineRule="auto"/>
      </w:pPr>
      <w:r>
        <w:separator/>
      </w:r>
    </w:p>
  </w:footnote>
  <w:footnote w:type="continuationSeparator" w:id="0">
    <w:p w14:paraId="17C99237" w14:textId="77777777" w:rsidR="004D3615" w:rsidRDefault="004D3615">
      <w:pPr>
        <w:spacing w:line="240" w:lineRule="auto"/>
      </w:pPr>
      <w:r>
        <w:continuationSeparator/>
      </w:r>
    </w:p>
  </w:footnote>
  <w:footnote w:type="continuationNotice" w:id="1">
    <w:p w14:paraId="7C258B4C" w14:textId="77777777" w:rsidR="004D3615" w:rsidRDefault="004D36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477C8275"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2A0601">
      <w:rPr>
        <w:noProof/>
        <w:sz w:val="16"/>
      </w:rPr>
      <w:t>4</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2A0601">
      <w:rPr>
        <w:noProof/>
        <w:sz w:val="16"/>
      </w:rPr>
      <w:t>9</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noProof/>
              <w:lang w:val="nl-NL"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noProof/>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041C19"/>
    <w:multiLevelType w:val="hybridMultilevel"/>
    <w:tmpl w:val="5384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712029479">
    <w:abstractNumId w:val="3"/>
  </w:num>
  <w:num w:numId="2" w16cid:durableId="1855656037">
    <w:abstractNumId w:val="5"/>
  </w:num>
  <w:num w:numId="3" w16cid:durableId="1964843527">
    <w:abstractNumId w:val="2"/>
  </w:num>
  <w:num w:numId="4" w16cid:durableId="1091662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645713">
    <w:abstractNumId w:val="4"/>
  </w:num>
  <w:num w:numId="6" w16cid:durableId="1876574956">
    <w:abstractNumId w:val="7"/>
  </w:num>
  <w:num w:numId="7" w16cid:durableId="2079400855">
    <w:abstractNumId w:val="1"/>
  </w:num>
  <w:num w:numId="8" w16cid:durableId="1643925666">
    <w:abstractNumId w:val="7"/>
  </w:num>
  <w:num w:numId="9" w16cid:durableId="325287887">
    <w:abstractNumId w:val="1"/>
  </w:num>
  <w:num w:numId="10" w16cid:durableId="1980761875">
    <w:abstractNumId w:val="7"/>
  </w:num>
  <w:num w:numId="11" w16cid:durableId="2030716436">
    <w:abstractNumId w:val="1"/>
  </w:num>
  <w:num w:numId="12" w16cid:durableId="379596305">
    <w:abstractNumId w:val="10"/>
  </w:num>
  <w:num w:numId="13" w16cid:durableId="1006979474">
    <w:abstractNumId w:val="7"/>
  </w:num>
  <w:num w:numId="14" w16cid:durableId="1323313935">
    <w:abstractNumId w:val="1"/>
  </w:num>
  <w:num w:numId="15" w16cid:durableId="837502833">
    <w:abstractNumId w:val="0"/>
  </w:num>
  <w:num w:numId="16" w16cid:durableId="1252347652">
    <w:abstractNumId w:val="6"/>
  </w:num>
  <w:num w:numId="17" w16cid:durableId="219367333">
    <w:abstractNumId w:val="8"/>
  </w:num>
  <w:num w:numId="18" w16cid:durableId="2057928230">
    <w:abstractNumId w:val="0"/>
  </w:num>
  <w:num w:numId="19" w16cid:durableId="1861355893">
    <w:abstractNumId w:val="0"/>
  </w:num>
  <w:num w:numId="20" w16cid:durableId="1258440999">
    <w:abstractNumId w:val="0"/>
  </w:num>
  <w:num w:numId="21" w16cid:durableId="2136018198">
    <w:abstractNumId w:val="0"/>
  </w:num>
  <w:num w:numId="22" w16cid:durableId="1208180259">
    <w:abstractNumId w:val="0"/>
  </w:num>
  <w:num w:numId="23" w16cid:durableId="924460068">
    <w:abstractNumId w:val="0"/>
  </w:num>
  <w:num w:numId="24" w16cid:durableId="643509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1A63"/>
    <w:rsid w:val="00003802"/>
    <w:rsid w:val="00003C7F"/>
    <w:rsid w:val="000142CA"/>
    <w:rsid w:val="00020CE2"/>
    <w:rsid w:val="00037AE6"/>
    <w:rsid w:val="00051876"/>
    <w:rsid w:val="00051D9C"/>
    <w:rsid w:val="0005285E"/>
    <w:rsid w:val="000547D8"/>
    <w:rsid w:val="00064772"/>
    <w:rsid w:val="00071218"/>
    <w:rsid w:val="000734D3"/>
    <w:rsid w:val="00080EFC"/>
    <w:rsid w:val="000855EA"/>
    <w:rsid w:val="000925CA"/>
    <w:rsid w:val="00093E7F"/>
    <w:rsid w:val="0009616D"/>
    <w:rsid w:val="000B144B"/>
    <w:rsid w:val="000B7A63"/>
    <w:rsid w:val="000C1BF3"/>
    <w:rsid w:val="000C3248"/>
    <w:rsid w:val="000C78B4"/>
    <w:rsid w:val="000D486C"/>
    <w:rsid w:val="000E4695"/>
    <w:rsid w:val="000F3AEF"/>
    <w:rsid w:val="00104D24"/>
    <w:rsid w:val="001109AA"/>
    <w:rsid w:val="00114997"/>
    <w:rsid w:val="00120E2E"/>
    <w:rsid w:val="0014459E"/>
    <w:rsid w:val="001520D8"/>
    <w:rsid w:val="001533C9"/>
    <w:rsid w:val="00165C16"/>
    <w:rsid w:val="001664C3"/>
    <w:rsid w:val="00173D3A"/>
    <w:rsid w:val="00174FB3"/>
    <w:rsid w:val="00185980"/>
    <w:rsid w:val="00195BFB"/>
    <w:rsid w:val="001A1BB3"/>
    <w:rsid w:val="001A27B2"/>
    <w:rsid w:val="001A57BF"/>
    <w:rsid w:val="001B38D4"/>
    <w:rsid w:val="001C770C"/>
    <w:rsid w:val="001C7DC1"/>
    <w:rsid w:val="001D057B"/>
    <w:rsid w:val="001D173E"/>
    <w:rsid w:val="001D2D31"/>
    <w:rsid w:val="001E2AEB"/>
    <w:rsid w:val="001F2C7A"/>
    <w:rsid w:val="001F3D88"/>
    <w:rsid w:val="00204327"/>
    <w:rsid w:val="00206552"/>
    <w:rsid w:val="0021700B"/>
    <w:rsid w:val="002175AE"/>
    <w:rsid w:val="0022638C"/>
    <w:rsid w:val="002266AA"/>
    <w:rsid w:val="0022799F"/>
    <w:rsid w:val="002316BB"/>
    <w:rsid w:val="00242FE3"/>
    <w:rsid w:val="00247D4E"/>
    <w:rsid w:val="00253CA3"/>
    <w:rsid w:val="00256E65"/>
    <w:rsid w:val="00270776"/>
    <w:rsid w:val="002770D0"/>
    <w:rsid w:val="00281E5B"/>
    <w:rsid w:val="00290057"/>
    <w:rsid w:val="00291EF1"/>
    <w:rsid w:val="00292E55"/>
    <w:rsid w:val="0029420B"/>
    <w:rsid w:val="002A0601"/>
    <w:rsid w:val="002A1066"/>
    <w:rsid w:val="002A310B"/>
    <w:rsid w:val="002A613B"/>
    <w:rsid w:val="002B0AFB"/>
    <w:rsid w:val="002B747E"/>
    <w:rsid w:val="002D650D"/>
    <w:rsid w:val="002E1968"/>
    <w:rsid w:val="002E2E25"/>
    <w:rsid w:val="002E3D7F"/>
    <w:rsid w:val="002E4118"/>
    <w:rsid w:val="002E57DB"/>
    <w:rsid w:val="002E5B86"/>
    <w:rsid w:val="002F1BFE"/>
    <w:rsid w:val="002F29E8"/>
    <w:rsid w:val="002F33D0"/>
    <w:rsid w:val="002F61C0"/>
    <w:rsid w:val="00305ED4"/>
    <w:rsid w:val="00316C89"/>
    <w:rsid w:val="00321B18"/>
    <w:rsid w:val="00326141"/>
    <w:rsid w:val="00330A75"/>
    <w:rsid w:val="003337EA"/>
    <w:rsid w:val="00334369"/>
    <w:rsid w:val="003350E9"/>
    <w:rsid w:val="00337833"/>
    <w:rsid w:val="00342F67"/>
    <w:rsid w:val="00352240"/>
    <w:rsid w:val="0035249F"/>
    <w:rsid w:val="00353388"/>
    <w:rsid w:val="00354A5A"/>
    <w:rsid w:val="003571D7"/>
    <w:rsid w:val="0036654E"/>
    <w:rsid w:val="00366CD5"/>
    <w:rsid w:val="00377A21"/>
    <w:rsid w:val="00382228"/>
    <w:rsid w:val="00385F5C"/>
    <w:rsid w:val="003869F1"/>
    <w:rsid w:val="00396FCA"/>
    <w:rsid w:val="003C7945"/>
    <w:rsid w:val="003D1D40"/>
    <w:rsid w:val="003D60EE"/>
    <w:rsid w:val="003D6477"/>
    <w:rsid w:val="003E61CD"/>
    <w:rsid w:val="003E6B29"/>
    <w:rsid w:val="003E7640"/>
    <w:rsid w:val="003F4EFE"/>
    <w:rsid w:val="003F57E7"/>
    <w:rsid w:val="003F6C3A"/>
    <w:rsid w:val="0040015C"/>
    <w:rsid w:val="00401235"/>
    <w:rsid w:val="00401D30"/>
    <w:rsid w:val="0040598A"/>
    <w:rsid w:val="0041133D"/>
    <w:rsid w:val="00414EC5"/>
    <w:rsid w:val="004215E7"/>
    <w:rsid w:val="00425371"/>
    <w:rsid w:val="00431D81"/>
    <w:rsid w:val="00432E64"/>
    <w:rsid w:val="004333AD"/>
    <w:rsid w:val="00444135"/>
    <w:rsid w:val="0044586A"/>
    <w:rsid w:val="00462D4D"/>
    <w:rsid w:val="00473872"/>
    <w:rsid w:val="004747F9"/>
    <w:rsid w:val="004752C1"/>
    <w:rsid w:val="0048108F"/>
    <w:rsid w:val="004A1B50"/>
    <w:rsid w:val="004B0B17"/>
    <w:rsid w:val="004B4287"/>
    <w:rsid w:val="004B7B68"/>
    <w:rsid w:val="004C3F57"/>
    <w:rsid w:val="004C46B1"/>
    <w:rsid w:val="004D3615"/>
    <w:rsid w:val="004E0F98"/>
    <w:rsid w:val="004E21A1"/>
    <w:rsid w:val="004E4F93"/>
    <w:rsid w:val="004E7893"/>
    <w:rsid w:val="004F0E02"/>
    <w:rsid w:val="004F2BEA"/>
    <w:rsid w:val="005028E5"/>
    <w:rsid w:val="00502EEE"/>
    <w:rsid w:val="005047B9"/>
    <w:rsid w:val="00511E44"/>
    <w:rsid w:val="00530657"/>
    <w:rsid w:val="00532022"/>
    <w:rsid w:val="005327C9"/>
    <w:rsid w:val="00541CA6"/>
    <w:rsid w:val="00545188"/>
    <w:rsid w:val="005464EB"/>
    <w:rsid w:val="005539D4"/>
    <w:rsid w:val="005542F8"/>
    <w:rsid w:val="00562D20"/>
    <w:rsid w:val="005660F6"/>
    <w:rsid w:val="00583714"/>
    <w:rsid w:val="005849AC"/>
    <w:rsid w:val="005852CA"/>
    <w:rsid w:val="005902F0"/>
    <w:rsid w:val="00594F1D"/>
    <w:rsid w:val="005B584B"/>
    <w:rsid w:val="005C6417"/>
    <w:rsid w:val="005D0CD8"/>
    <w:rsid w:val="005D13A9"/>
    <w:rsid w:val="005D3043"/>
    <w:rsid w:val="005E0240"/>
    <w:rsid w:val="005E14E8"/>
    <w:rsid w:val="005E1CAB"/>
    <w:rsid w:val="005E3ADB"/>
    <w:rsid w:val="005E6C90"/>
    <w:rsid w:val="00604EDE"/>
    <w:rsid w:val="00607F24"/>
    <w:rsid w:val="00616217"/>
    <w:rsid w:val="0061648D"/>
    <w:rsid w:val="006204BC"/>
    <w:rsid w:val="00627492"/>
    <w:rsid w:val="00632077"/>
    <w:rsid w:val="00632AA3"/>
    <w:rsid w:val="00641407"/>
    <w:rsid w:val="006429BB"/>
    <w:rsid w:val="006433D7"/>
    <w:rsid w:val="00645533"/>
    <w:rsid w:val="00651576"/>
    <w:rsid w:val="00652971"/>
    <w:rsid w:val="006565C9"/>
    <w:rsid w:val="0066370A"/>
    <w:rsid w:val="0066585A"/>
    <w:rsid w:val="006744FB"/>
    <w:rsid w:val="006777A9"/>
    <w:rsid w:val="00682BEC"/>
    <w:rsid w:val="00685938"/>
    <w:rsid w:val="006905D2"/>
    <w:rsid w:val="00692393"/>
    <w:rsid w:val="00694F07"/>
    <w:rsid w:val="006A02E4"/>
    <w:rsid w:val="006A7FF4"/>
    <w:rsid w:val="006D069A"/>
    <w:rsid w:val="006E142A"/>
    <w:rsid w:val="006E71F7"/>
    <w:rsid w:val="007043AE"/>
    <w:rsid w:val="00726439"/>
    <w:rsid w:val="00733D3B"/>
    <w:rsid w:val="00734013"/>
    <w:rsid w:val="0073613B"/>
    <w:rsid w:val="00740B6F"/>
    <w:rsid w:val="007413C0"/>
    <w:rsid w:val="007523E6"/>
    <w:rsid w:val="007565F4"/>
    <w:rsid w:val="0075794E"/>
    <w:rsid w:val="007628E6"/>
    <w:rsid w:val="00764E89"/>
    <w:rsid w:val="00766733"/>
    <w:rsid w:val="0076686D"/>
    <w:rsid w:val="007674BF"/>
    <w:rsid w:val="00770948"/>
    <w:rsid w:val="0077402B"/>
    <w:rsid w:val="00784E53"/>
    <w:rsid w:val="00795707"/>
    <w:rsid w:val="007A108C"/>
    <w:rsid w:val="007A283C"/>
    <w:rsid w:val="007A2999"/>
    <w:rsid w:val="007C1139"/>
    <w:rsid w:val="007C4ECD"/>
    <w:rsid w:val="007D2775"/>
    <w:rsid w:val="007D4360"/>
    <w:rsid w:val="007E1AD0"/>
    <w:rsid w:val="007E5740"/>
    <w:rsid w:val="007E58B0"/>
    <w:rsid w:val="007F4F2C"/>
    <w:rsid w:val="00800DD5"/>
    <w:rsid w:val="00822B3D"/>
    <w:rsid w:val="008230D4"/>
    <w:rsid w:val="00823B4A"/>
    <w:rsid w:val="00831288"/>
    <w:rsid w:val="00832857"/>
    <w:rsid w:val="0083655E"/>
    <w:rsid w:val="00840934"/>
    <w:rsid w:val="00841933"/>
    <w:rsid w:val="00844E27"/>
    <w:rsid w:val="008473BB"/>
    <w:rsid w:val="008523BB"/>
    <w:rsid w:val="00855507"/>
    <w:rsid w:val="008814C7"/>
    <w:rsid w:val="008838CF"/>
    <w:rsid w:val="0089344C"/>
    <w:rsid w:val="008A23A8"/>
    <w:rsid w:val="008A7CF3"/>
    <w:rsid w:val="008B4F50"/>
    <w:rsid w:val="008B5125"/>
    <w:rsid w:val="008D4597"/>
    <w:rsid w:val="008E1677"/>
    <w:rsid w:val="008E636C"/>
    <w:rsid w:val="008F446B"/>
    <w:rsid w:val="00904696"/>
    <w:rsid w:val="00911F64"/>
    <w:rsid w:val="00926986"/>
    <w:rsid w:val="00931650"/>
    <w:rsid w:val="00933E2C"/>
    <w:rsid w:val="00936546"/>
    <w:rsid w:val="00953371"/>
    <w:rsid w:val="00956613"/>
    <w:rsid w:val="00964A28"/>
    <w:rsid w:val="00982453"/>
    <w:rsid w:val="00991F4A"/>
    <w:rsid w:val="00993A21"/>
    <w:rsid w:val="009A5E43"/>
    <w:rsid w:val="009A6299"/>
    <w:rsid w:val="009B16DB"/>
    <w:rsid w:val="009B7A35"/>
    <w:rsid w:val="009D0576"/>
    <w:rsid w:val="009D0DA8"/>
    <w:rsid w:val="009D2B30"/>
    <w:rsid w:val="009D40E1"/>
    <w:rsid w:val="009D5560"/>
    <w:rsid w:val="009E7E90"/>
    <w:rsid w:val="009F20EC"/>
    <w:rsid w:val="009F70E6"/>
    <w:rsid w:val="009F7DD2"/>
    <w:rsid w:val="00A033D1"/>
    <w:rsid w:val="00A04FD6"/>
    <w:rsid w:val="00A0751C"/>
    <w:rsid w:val="00A07536"/>
    <w:rsid w:val="00A132A9"/>
    <w:rsid w:val="00A164FC"/>
    <w:rsid w:val="00A3319C"/>
    <w:rsid w:val="00A36565"/>
    <w:rsid w:val="00A36A6E"/>
    <w:rsid w:val="00A5024F"/>
    <w:rsid w:val="00A52DE0"/>
    <w:rsid w:val="00A55054"/>
    <w:rsid w:val="00A55A1E"/>
    <w:rsid w:val="00A647CD"/>
    <w:rsid w:val="00A65307"/>
    <w:rsid w:val="00A70B08"/>
    <w:rsid w:val="00A80275"/>
    <w:rsid w:val="00A80316"/>
    <w:rsid w:val="00A80D0E"/>
    <w:rsid w:val="00A8660F"/>
    <w:rsid w:val="00A86E9F"/>
    <w:rsid w:val="00A872B3"/>
    <w:rsid w:val="00A876E6"/>
    <w:rsid w:val="00AA1FF9"/>
    <w:rsid w:val="00AA684A"/>
    <w:rsid w:val="00AB35F7"/>
    <w:rsid w:val="00AE752A"/>
    <w:rsid w:val="00AF0644"/>
    <w:rsid w:val="00AF5A91"/>
    <w:rsid w:val="00B00AFB"/>
    <w:rsid w:val="00B21347"/>
    <w:rsid w:val="00B25022"/>
    <w:rsid w:val="00B26537"/>
    <w:rsid w:val="00B26AE4"/>
    <w:rsid w:val="00B43474"/>
    <w:rsid w:val="00B471AF"/>
    <w:rsid w:val="00B4734C"/>
    <w:rsid w:val="00B51449"/>
    <w:rsid w:val="00B73BE3"/>
    <w:rsid w:val="00B80B1B"/>
    <w:rsid w:val="00B84F5A"/>
    <w:rsid w:val="00B850EB"/>
    <w:rsid w:val="00BA4770"/>
    <w:rsid w:val="00BA570C"/>
    <w:rsid w:val="00BA5954"/>
    <w:rsid w:val="00BB5981"/>
    <w:rsid w:val="00BC48F9"/>
    <w:rsid w:val="00BC5801"/>
    <w:rsid w:val="00BD2405"/>
    <w:rsid w:val="00BD5735"/>
    <w:rsid w:val="00BD5BEB"/>
    <w:rsid w:val="00BD72A4"/>
    <w:rsid w:val="00BE0791"/>
    <w:rsid w:val="00BF1682"/>
    <w:rsid w:val="00BF2E9D"/>
    <w:rsid w:val="00BF31DA"/>
    <w:rsid w:val="00C02A07"/>
    <w:rsid w:val="00C036E8"/>
    <w:rsid w:val="00C0462B"/>
    <w:rsid w:val="00C07C42"/>
    <w:rsid w:val="00C233FE"/>
    <w:rsid w:val="00C2699A"/>
    <w:rsid w:val="00C3152E"/>
    <w:rsid w:val="00C33A16"/>
    <w:rsid w:val="00C34D12"/>
    <w:rsid w:val="00C43255"/>
    <w:rsid w:val="00C440F2"/>
    <w:rsid w:val="00C45F1E"/>
    <w:rsid w:val="00C600B5"/>
    <w:rsid w:val="00C657A9"/>
    <w:rsid w:val="00C65AFD"/>
    <w:rsid w:val="00C66E1E"/>
    <w:rsid w:val="00C733EC"/>
    <w:rsid w:val="00C74C48"/>
    <w:rsid w:val="00C7753A"/>
    <w:rsid w:val="00C8316E"/>
    <w:rsid w:val="00C8319E"/>
    <w:rsid w:val="00C90EAB"/>
    <w:rsid w:val="00C90F92"/>
    <w:rsid w:val="00C93149"/>
    <w:rsid w:val="00C9601A"/>
    <w:rsid w:val="00CA139A"/>
    <w:rsid w:val="00CA6896"/>
    <w:rsid w:val="00CA6A7F"/>
    <w:rsid w:val="00CA6B32"/>
    <w:rsid w:val="00CB5FDE"/>
    <w:rsid w:val="00CD3203"/>
    <w:rsid w:val="00CE1104"/>
    <w:rsid w:val="00CE7302"/>
    <w:rsid w:val="00CF7B51"/>
    <w:rsid w:val="00D07230"/>
    <w:rsid w:val="00D223A8"/>
    <w:rsid w:val="00D2684C"/>
    <w:rsid w:val="00D26E27"/>
    <w:rsid w:val="00D32E9B"/>
    <w:rsid w:val="00D43224"/>
    <w:rsid w:val="00D45B62"/>
    <w:rsid w:val="00D5322D"/>
    <w:rsid w:val="00D622FA"/>
    <w:rsid w:val="00D72CB3"/>
    <w:rsid w:val="00D80CED"/>
    <w:rsid w:val="00D90B24"/>
    <w:rsid w:val="00D90B38"/>
    <w:rsid w:val="00D92691"/>
    <w:rsid w:val="00D936C1"/>
    <w:rsid w:val="00D94F8A"/>
    <w:rsid w:val="00DB04E8"/>
    <w:rsid w:val="00DB259F"/>
    <w:rsid w:val="00DB5F88"/>
    <w:rsid w:val="00DC0733"/>
    <w:rsid w:val="00DC1B34"/>
    <w:rsid w:val="00DC200D"/>
    <w:rsid w:val="00DC426C"/>
    <w:rsid w:val="00DC5535"/>
    <w:rsid w:val="00DD007D"/>
    <w:rsid w:val="00DD0750"/>
    <w:rsid w:val="00DE29B3"/>
    <w:rsid w:val="00E034CE"/>
    <w:rsid w:val="00E07E6F"/>
    <w:rsid w:val="00E11356"/>
    <w:rsid w:val="00E16B0D"/>
    <w:rsid w:val="00E221DD"/>
    <w:rsid w:val="00E22508"/>
    <w:rsid w:val="00E30E54"/>
    <w:rsid w:val="00E63217"/>
    <w:rsid w:val="00E70428"/>
    <w:rsid w:val="00E70628"/>
    <w:rsid w:val="00E93430"/>
    <w:rsid w:val="00E943BD"/>
    <w:rsid w:val="00E94AAD"/>
    <w:rsid w:val="00EA282E"/>
    <w:rsid w:val="00EA2E4A"/>
    <w:rsid w:val="00EA77BB"/>
    <w:rsid w:val="00EC2C95"/>
    <w:rsid w:val="00EE2A4A"/>
    <w:rsid w:val="00EF7C2A"/>
    <w:rsid w:val="00F1231C"/>
    <w:rsid w:val="00F23BDD"/>
    <w:rsid w:val="00F25D88"/>
    <w:rsid w:val="00F26BA8"/>
    <w:rsid w:val="00F30359"/>
    <w:rsid w:val="00F34258"/>
    <w:rsid w:val="00F34A08"/>
    <w:rsid w:val="00F42189"/>
    <w:rsid w:val="00F5090F"/>
    <w:rsid w:val="00F528DD"/>
    <w:rsid w:val="00F534F8"/>
    <w:rsid w:val="00F543BF"/>
    <w:rsid w:val="00F577FD"/>
    <w:rsid w:val="00F57906"/>
    <w:rsid w:val="00F658F9"/>
    <w:rsid w:val="00F7755F"/>
    <w:rsid w:val="00F822A1"/>
    <w:rsid w:val="00F9176B"/>
    <w:rsid w:val="00F9599C"/>
    <w:rsid w:val="00FB4895"/>
    <w:rsid w:val="00FB49FC"/>
    <w:rsid w:val="00FB6CF1"/>
    <w:rsid w:val="00FC6EB9"/>
    <w:rsid w:val="00FD00D8"/>
    <w:rsid w:val="00FD0E6D"/>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8EC64173-3E7E-EE43-8CD0-567EDB32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link w:val="MDPI71ReferencesCarattere"/>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Menzionenonrisolta1">
    <w:name w:val="Menzione non risolta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8D4597"/>
    <w:rPr>
      <w:rFonts w:ascii="Palatino Linotype" w:hAnsi="Palatino Linotype"/>
      <w:noProof/>
      <w:color w:val="000000"/>
    </w:rPr>
  </w:style>
  <w:style w:type="character" w:customStyle="1" w:styleId="Menzionenonrisolta2">
    <w:name w:val="Menzione non risolta2"/>
    <w:basedOn w:val="Standaardalinea-lettertype"/>
    <w:uiPriority w:val="99"/>
    <w:semiHidden/>
    <w:unhideWhenUsed/>
    <w:rsid w:val="000E4695"/>
    <w:rPr>
      <w:color w:val="605E5C"/>
      <w:shd w:val="clear" w:color="auto" w:fill="E1DFDD"/>
    </w:rPr>
  </w:style>
  <w:style w:type="paragraph" w:styleId="Bijschrift">
    <w:name w:val="caption"/>
    <w:basedOn w:val="Standaard"/>
    <w:next w:val="Standaard"/>
    <w:uiPriority w:val="35"/>
    <w:unhideWhenUsed/>
    <w:qFormat/>
    <w:rsid w:val="00D80CED"/>
    <w:pPr>
      <w:spacing w:after="200" w:line="240" w:lineRule="auto"/>
      <w:jc w:val="left"/>
    </w:pPr>
    <w:rPr>
      <w:rFonts w:ascii="Georgia" w:eastAsiaTheme="minorEastAsia" w:hAnsi="Georgia"/>
      <w:i/>
      <w:iCs/>
      <w:color w:val="44546A" w:themeColor="text2"/>
      <w:sz w:val="18"/>
      <w:szCs w:val="18"/>
      <w:lang w:val="it-IT" w:eastAsia="it-IT"/>
    </w:rPr>
  </w:style>
  <w:style w:type="paragraph" w:customStyle="1" w:styleId="Bibliografia1">
    <w:name w:val="Bibliografia1"/>
    <w:basedOn w:val="Standaard"/>
    <w:link w:val="BibliographyCarattere"/>
    <w:rsid w:val="00A033D1"/>
    <w:pPr>
      <w:spacing w:line="480" w:lineRule="atLeast"/>
      <w:ind w:left="720" w:hanging="720"/>
    </w:pPr>
    <w:rPr>
      <w:rFonts w:ascii="Georgia" w:eastAsiaTheme="minorEastAsia" w:hAnsi="Georgia" w:cs="Arial"/>
      <w:sz w:val="18"/>
      <w:lang w:eastAsia="de-DE" w:bidi="en-US"/>
    </w:rPr>
  </w:style>
  <w:style w:type="character" w:customStyle="1" w:styleId="MDPI71ReferencesCarattere">
    <w:name w:val="MDPI_7.1_References Carattere"/>
    <w:basedOn w:val="Standaardalinea-lettertype"/>
    <w:link w:val="MDPI71References"/>
    <w:rsid w:val="00A033D1"/>
    <w:rPr>
      <w:rFonts w:ascii="Palatino Linotype" w:eastAsia="Times New Roman" w:hAnsi="Palatino Linotype"/>
      <w:color w:val="000000"/>
      <w:sz w:val="18"/>
      <w:lang w:eastAsia="de-DE" w:bidi="en-US"/>
    </w:rPr>
  </w:style>
  <w:style w:type="character" w:customStyle="1" w:styleId="BibliographyCarattere">
    <w:name w:val="Bibliography Carattere"/>
    <w:basedOn w:val="MDPI71ReferencesCarattere"/>
    <w:link w:val="Bibliografia1"/>
    <w:rsid w:val="00A033D1"/>
    <w:rPr>
      <w:rFonts w:ascii="Georgia" w:eastAsiaTheme="minorEastAsia" w:hAnsi="Georgia" w:cs="Arial"/>
      <w:noProof/>
      <w:color w:val="000000"/>
      <w:sz w:val="18"/>
      <w:lang w:eastAsia="de-DE" w:bidi="en-US"/>
    </w:rPr>
  </w:style>
  <w:style w:type="paragraph" w:customStyle="1" w:styleId="Bibliography1">
    <w:name w:val="Bibliography1"/>
    <w:basedOn w:val="Standaard"/>
    <w:link w:val="BibliographyCarattere1"/>
    <w:rsid w:val="006433D7"/>
    <w:pPr>
      <w:widowControl w:val="0"/>
      <w:tabs>
        <w:tab w:val="left" w:pos="500"/>
      </w:tabs>
      <w:autoSpaceDE w:val="0"/>
      <w:autoSpaceDN w:val="0"/>
      <w:adjustRightInd w:val="0"/>
      <w:spacing w:line="480" w:lineRule="atLeast"/>
      <w:ind w:left="720" w:hanging="720"/>
    </w:pPr>
  </w:style>
  <w:style w:type="character" w:customStyle="1" w:styleId="BibliographyCarattere1">
    <w:name w:val="Bibliography Carattere1"/>
    <w:basedOn w:val="Standaardalinea-lettertype"/>
    <w:link w:val="Bibliography1"/>
    <w:rsid w:val="006433D7"/>
    <w:rPr>
      <w:rFonts w:ascii="Palatino Linotype" w:hAnsi="Palatino Linotype"/>
      <w:color w:val="000000"/>
    </w:rPr>
  </w:style>
  <w:style w:type="character" w:styleId="Onopgelostemelding">
    <w:name w:val="Unresolved Mention"/>
    <w:basedOn w:val="Standaardalinea-lettertype"/>
    <w:uiPriority w:val="99"/>
    <w:semiHidden/>
    <w:unhideWhenUsed/>
    <w:rsid w:val="004E4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375">
      <w:bodyDiv w:val="1"/>
      <w:marLeft w:val="0"/>
      <w:marRight w:val="0"/>
      <w:marTop w:val="0"/>
      <w:marBottom w:val="0"/>
      <w:divBdr>
        <w:top w:val="none" w:sz="0" w:space="0" w:color="auto"/>
        <w:left w:val="none" w:sz="0" w:space="0" w:color="auto"/>
        <w:bottom w:val="none" w:sz="0" w:space="0" w:color="auto"/>
        <w:right w:val="none" w:sz="0" w:space="0" w:color="auto"/>
      </w:divBdr>
    </w:div>
    <w:div w:id="139731605">
      <w:bodyDiv w:val="1"/>
      <w:marLeft w:val="0"/>
      <w:marRight w:val="0"/>
      <w:marTop w:val="0"/>
      <w:marBottom w:val="0"/>
      <w:divBdr>
        <w:top w:val="none" w:sz="0" w:space="0" w:color="auto"/>
        <w:left w:val="none" w:sz="0" w:space="0" w:color="auto"/>
        <w:bottom w:val="none" w:sz="0" w:space="0" w:color="auto"/>
        <w:right w:val="none" w:sz="0" w:space="0" w:color="auto"/>
      </w:divBdr>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96567507">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91203873">
      <w:bodyDiv w:val="1"/>
      <w:marLeft w:val="0"/>
      <w:marRight w:val="0"/>
      <w:marTop w:val="0"/>
      <w:marBottom w:val="0"/>
      <w:divBdr>
        <w:top w:val="none" w:sz="0" w:space="0" w:color="auto"/>
        <w:left w:val="none" w:sz="0" w:space="0" w:color="auto"/>
        <w:bottom w:val="none" w:sz="0" w:space="0" w:color="auto"/>
        <w:right w:val="none" w:sz="0" w:space="0" w:color="auto"/>
      </w:divBdr>
      <w:divsChild>
        <w:div w:id="1479031176">
          <w:marLeft w:val="0"/>
          <w:marRight w:val="0"/>
          <w:marTop w:val="0"/>
          <w:marBottom w:val="0"/>
          <w:divBdr>
            <w:top w:val="none" w:sz="0" w:space="0" w:color="auto"/>
            <w:left w:val="none" w:sz="0" w:space="0" w:color="auto"/>
            <w:bottom w:val="none" w:sz="0" w:space="0" w:color="auto"/>
            <w:right w:val="none" w:sz="0" w:space="0" w:color="auto"/>
          </w:divBdr>
          <w:divsChild>
            <w:div w:id="778986115">
              <w:marLeft w:val="0"/>
              <w:marRight w:val="0"/>
              <w:marTop w:val="0"/>
              <w:marBottom w:val="0"/>
              <w:divBdr>
                <w:top w:val="none" w:sz="0" w:space="0" w:color="auto"/>
                <w:left w:val="none" w:sz="0" w:space="0" w:color="auto"/>
                <w:bottom w:val="none" w:sz="0" w:space="0" w:color="auto"/>
                <w:right w:val="none" w:sz="0" w:space="0" w:color="auto"/>
              </w:divBdr>
              <w:divsChild>
                <w:div w:id="19591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674459088">
      <w:bodyDiv w:val="1"/>
      <w:marLeft w:val="0"/>
      <w:marRight w:val="0"/>
      <w:marTop w:val="0"/>
      <w:marBottom w:val="0"/>
      <w:divBdr>
        <w:top w:val="none" w:sz="0" w:space="0" w:color="auto"/>
        <w:left w:val="none" w:sz="0" w:space="0" w:color="auto"/>
        <w:bottom w:val="none" w:sz="0" w:space="0" w:color="auto"/>
        <w:right w:val="none" w:sz="0" w:space="0" w:color="auto"/>
      </w:divBdr>
    </w:div>
    <w:div w:id="730347742">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02885302">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78940576">
      <w:bodyDiv w:val="1"/>
      <w:marLeft w:val="0"/>
      <w:marRight w:val="0"/>
      <w:marTop w:val="0"/>
      <w:marBottom w:val="0"/>
      <w:divBdr>
        <w:top w:val="none" w:sz="0" w:space="0" w:color="auto"/>
        <w:left w:val="none" w:sz="0" w:space="0" w:color="auto"/>
        <w:bottom w:val="none" w:sz="0" w:space="0" w:color="auto"/>
        <w:right w:val="none" w:sz="0" w:space="0" w:color="auto"/>
      </w:divBdr>
    </w:div>
    <w:div w:id="1169054888">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388606567">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39836958">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18159746">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73754280">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807627591">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23243877">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 w:id="2135636622">
      <w:bodyDiv w:val="1"/>
      <w:marLeft w:val="0"/>
      <w:marRight w:val="0"/>
      <w:marTop w:val="0"/>
      <w:marBottom w:val="0"/>
      <w:divBdr>
        <w:top w:val="none" w:sz="0" w:space="0" w:color="auto"/>
        <w:left w:val="none" w:sz="0" w:space="0" w:color="auto"/>
        <w:bottom w:val="none" w:sz="0" w:space="0" w:color="auto"/>
        <w:right w:val="none" w:sz="0" w:space="0" w:color="auto"/>
      </w:divBdr>
    </w:div>
    <w:div w:id="2135709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efano.capolongo@polimi.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1.brambilla@polimi.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ilvia.mangili@polimi.i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30a64f59007c84b02b57e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12541</Words>
  <Characters>68979</Characters>
  <Application>Microsoft Office Word</Application>
  <DocSecurity>0</DocSecurity>
  <Lines>574</Lines>
  <Paragraphs>162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81358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2022-07-12T09:46:00Z</cp:lastPrinted>
  <dcterms:created xsi:type="dcterms:W3CDTF">2024-03-22T09:06:00Z</dcterms:created>
  <dcterms:modified xsi:type="dcterms:W3CDTF">2024-03-22T09:06:00Z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ZOTERO_PREF_1">
    <vt:lpwstr>&lt;data data-version="3" zotero-version="6.0.8"&gt;&lt;session id="YRjjADYt"/&gt;&lt;style id="http://www.zotero.org/styles/apa" locale="en-US" hasBibliography="1" bibliographyStyleHasBeenSet="1"/&gt;&lt;prefs&gt;&lt;pref name="fieldType" value="Field"/&gt;&lt;/prefs&gt;&lt;/data&gt;</vt:lpwstr>
  </property>
  <property fmtid="{D5CDD505-2E9C-101B-9397-08002B2CF9AE}" pid="4" name="ZOTERO_PREF_2">
    <vt:lpwstr/>
  </property>
</Properties>
</file>