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0CEE" w14:textId="231FDDB9" w:rsidR="00A86E9F" w:rsidRPr="005C6417" w:rsidRDefault="00A86E9F" w:rsidP="58F3FFA2">
      <w:pPr>
        <w:pStyle w:val="MDPI11articletype"/>
        <w:rPr>
          <w:rFonts w:ascii="Georgia" w:eastAsiaTheme="minorEastAsia" w:hAnsi="Georgia" w:cs="Arial"/>
          <w:i w:val="0"/>
          <w:sz w:val="18"/>
          <w:szCs w:val="18"/>
        </w:rPr>
      </w:pPr>
      <w:r w:rsidRPr="00BA4714">
        <w:rPr>
          <w:rFonts w:ascii="Georgia" w:eastAsiaTheme="minorEastAsia" w:hAnsi="Georgia" w:cs="Arial"/>
          <w:i w:val="0"/>
          <w:sz w:val="18"/>
          <w:szCs w:val="18"/>
          <w:highlight w:val="lightGray"/>
        </w:rPr>
        <w:t>Type of the Paper</w:t>
      </w:r>
      <w:r w:rsidR="004752C1" w:rsidRPr="00BA4714">
        <w:rPr>
          <w:rFonts w:ascii="Georgia" w:eastAsiaTheme="minorEastAsia" w:hAnsi="Georgia" w:cs="Arial"/>
          <w:i w:val="0"/>
          <w:sz w:val="18"/>
          <w:szCs w:val="18"/>
          <w:highlight w:val="lightGray"/>
        </w:rPr>
        <w:t xml:space="preserve">: </w:t>
      </w:r>
      <w:r w:rsidR="00F762E9" w:rsidRPr="00BA4714">
        <w:rPr>
          <w:rFonts w:ascii="Georgia" w:eastAsiaTheme="minorEastAsia" w:hAnsi="Georgia" w:cs="Arial"/>
          <w:i w:val="0"/>
          <w:sz w:val="18"/>
          <w:szCs w:val="18"/>
          <w:highlight w:val="lightGray"/>
        </w:rPr>
        <w:t>Peer</w:t>
      </w:r>
      <w:r w:rsidR="00FD053A" w:rsidRPr="00BA4714">
        <w:rPr>
          <w:rFonts w:ascii="Georgia" w:eastAsiaTheme="minorEastAsia" w:hAnsi="Georgia" w:cs="Arial"/>
          <w:i w:val="0"/>
          <w:sz w:val="18"/>
          <w:szCs w:val="18"/>
          <w:highlight w:val="lightGray"/>
        </w:rPr>
        <w:t>-</w:t>
      </w:r>
      <w:r w:rsidR="00F762E9" w:rsidRPr="00BA4714">
        <w:rPr>
          <w:rFonts w:ascii="Georgia" w:eastAsiaTheme="minorEastAsia" w:hAnsi="Georgia" w:cs="Arial"/>
          <w:i w:val="0"/>
          <w:sz w:val="18"/>
          <w:szCs w:val="18"/>
          <w:highlight w:val="lightGray"/>
        </w:rPr>
        <w:t xml:space="preserve">reviewed </w:t>
      </w:r>
      <w:r w:rsidR="4B80F3B5" w:rsidRPr="00BA4714">
        <w:rPr>
          <w:rFonts w:ascii="Georgia" w:eastAsiaTheme="minorEastAsia" w:hAnsi="Georgia" w:cs="Arial"/>
          <w:i w:val="0"/>
          <w:sz w:val="18"/>
          <w:szCs w:val="18"/>
          <w:highlight w:val="lightGray"/>
        </w:rPr>
        <w:t xml:space="preserve">Conference Paper/ </w:t>
      </w:r>
      <w:r w:rsidR="00206552" w:rsidRPr="00BA4714">
        <w:rPr>
          <w:rFonts w:ascii="Georgia" w:eastAsiaTheme="minorEastAsia" w:hAnsi="Georgia" w:cs="Arial"/>
          <w:i w:val="0"/>
          <w:sz w:val="18"/>
          <w:szCs w:val="18"/>
          <w:highlight w:val="lightGray"/>
        </w:rPr>
        <w:t xml:space="preserve">Short </w:t>
      </w:r>
      <w:r w:rsidR="00C97DA5" w:rsidRPr="00BA4714">
        <w:rPr>
          <w:rFonts w:ascii="Georgia" w:eastAsiaTheme="minorEastAsia" w:hAnsi="Georgia" w:cs="Arial"/>
          <w:i w:val="0"/>
          <w:sz w:val="18"/>
          <w:szCs w:val="18"/>
          <w:highlight w:val="lightGray"/>
        </w:rPr>
        <w:t>P</w:t>
      </w:r>
      <w:r w:rsidR="00206552" w:rsidRPr="00BA4714">
        <w:rPr>
          <w:rFonts w:ascii="Georgia" w:eastAsiaTheme="minorEastAsia" w:hAnsi="Georgia" w:cs="Arial"/>
          <w:i w:val="0"/>
          <w:sz w:val="18"/>
          <w:szCs w:val="18"/>
          <w:highlight w:val="lightGray"/>
        </w:rPr>
        <w:t>aper</w:t>
      </w:r>
    </w:p>
    <w:p w14:paraId="37C53096" w14:textId="47305982" w:rsidR="004752C1" w:rsidRPr="005C6417" w:rsidRDefault="004752C1" w:rsidP="004752C1">
      <w:pPr>
        <w:pStyle w:val="MDPI11articletype"/>
        <w:rPr>
          <w:rFonts w:ascii="Georgia" w:eastAsiaTheme="minorEastAsia" w:hAnsi="Georgia" w:cs="Arial"/>
          <w:i w:val="0"/>
        </w:rPr>
      </w:pPr>
      <w:r w:rsidRPr="00C97DA5">
        <w:rPr>
          <w:rFonts w:ascii="Georgia" w:eastAsiaTheme="minorEastAsia" w:hAnsi="Georgia" w:cs="Arial"/>
          <w:i w:val="0"/>
          <w:highlight w:val="lightGray"/>
        </w:rPr>
        <w:t>Track title:</w:t>
      </w:r>
      <w:r w:rsidRPr="005C6417">
        <w:rPr>
          <w:rFonts w:ascii="Georgia" w:eastAsiaTheme="minorEastAsia" w:hAnsi="Georgia" w:cs="Arial"/>
          <w:i w:val="0"/>
        </w:rPr>
        <w:t xml:space="preserve"> </w:t>
      </w:r>
      <w:r w:rsidR="00C97DA5">
        <w:rPr>
          <w:rFonts w:ascii="Georgia" w:eastAsiaTheme="minorEastAsia" w:hAnsi="Georgia" w:cs="Arial"/>
          <w:i w:val="0"/>
        </w:rPr>
        <w:t>please fill in your track title here</w:t>
      </w:r>
    </w:p>
    <w:p w14:paraId="672A6659" w14:textId="77777777" w:rsidR="004752C1" w:rsidRPr="005C6417" w:rsidRDefault="004752C1" w:rsidP="004752C1">
      <w:pPr>
        <w:rPr>
          <w:rFonts w:ascii="Georgia" w:eastAsiaTheme="minorEastAsia" w:hAnsi="Georgia" w:cs="Arial"/>
          <w:lang w:eastAsia="de-DE" w:bidi="en-US"/>
        </w:rPr>
      </w:pPr>
    </w:p>
    <w:p w14:paraId="1A6ED6BA" w14:textId="1AF61EED" w:rsidR="00A86E9F" w:rsidRPr="005C6417" w:rsidRDefault="004138CE" w:rsidP="00A86E9F">
      <w:pPr>
        <w:pStyle w:val="MDPI12title"/>
        <w:rPr>
          <w:rFonts w:ascii="Georgia" w:eastAsiaTheme="minorEastAsia" w:hAnsi="Georgia" w:cs="Arial"/>
          <w:b w:val="0"/>
        </w:rPr>
      </w:pPr>
      <w:r>
        <w:rPr>
          <w:rFonts w:ascii="Georgia" w:eastAsiaTheme="minorEastAsia" w:hAnsi="Georgia" w:cs="Arial"/>
          <w:b w:val="0"/>
        </w:rPr>
        <w:t xml:space="preserve">Is the therapeutic value of hospital waiting areas </w:t>
      </w:r>
      <w:proofErr w:type="spellStart"/>
      <w:r>
        <w:rPr>
          <w:rFonts w:ascii="Georgia" w:eastAsiaTheme="minorEastAsia" w:hAnsi="Georgia" w:cs="Arial"/>
          <w:b w:val="0"/>
        </w:rPr>
        <w:t>recognised</w:t>
      </w:r>
      <w:proofErr w:type="spellEnd"/>
      <w:r>
        <w:rPr>
          <w:rFonts w:ascii="Georgia" w:eastAsiaTheme="minorEastAsia" w:hAnsi="Georgia" w:cs="Arial"/>
          <w:b w:val="0"/>
        </w:rPr>
        <w:t xml:space="preserve"> and endorsed by healthcare design guidelines? </w:t>
      </w:r>
    </w:p>
    <w:p w14:paraId="1E4E8E64" w14:textId="4F30A317" w:rsidR="00AA684A" w:rsidRPr="005C6417" w:rsidRDefault="004138CE" w:rsidP="00A86E9F">
      <w:pPr>
        <w:pStyle w:val="MDPI13authornames"/>
        <w:rPr>
          <w:rFonts w:ascii="Georgia" w:eastAsiaTheme="minorEastAsia" w:hAnsi="Georgia" w:cs="Arial"/>
          <w:b w:val="0"/>
        </w:rPr>
      </w:pPr>
      <w:r>
        <w:rPr>
          <w:rFonts w:ascii="Georgia" w:eastAsiaTheme="minorEastAsia" w:hAnsi="Georgia" w:cs="Arial"/>
          <w:b w:val="0"/>
        </w:rPr>
        <w:t>Eleni</w:t>
      </w:r>
      <w:r w:rsidR="00A86E9F" w:rsidRPr="005C6417">
        <w:rPr>
          <w:rFonts w:ascii="Georgia" w:eastAsiaTheme="minorEastAsia" w:hAnsi="Georgia" w:cs="Arial"/>
          <w:b w:val="0"/>
        </w:rPr>
        <w:t xml:space="preserve"> </w:t>
      </w:r>
      <w:proofErr w:type="spellStart"/>
      <w:r>
        <w:rPr>
          <w:rFonts w:ascii="Georgia" w:eastAsiaTheme="minorEastAsia" w:hAnsi="Georgia" w:cs="Arial"/>
          <w:b w:val="0"/>
        </w:rPr>
        <w:t>Tsiantou</w:t>
      </w:r>
      <w:proofErr w:type="spellEnd"/>
      <w:r w:rsidR="006C2087" w:rsidRPr="005C6417">
        <w:rPr>
          <w:rFonts w:ascii="Georgia" w:eastAsiaTheme="minorEastAsia" w:hAnsi="Georgia" w:cs="Arial"/>
          <w:b w:val="0"/>
        </w:rPr>
        <w:t xml:space="preserve"> </w:t>
      </w:r>
      <w:r w:rsidR="006C2087">
        <w:rPr>
          <w:rFonts w:ascii="Georgia" w:eastAsiaTheme="minorEastAsia" w:hAnsi="Georgia" w:cs="Arial"/>
          <w:b w:val="0"/>
          <w:vertAlign w:val="superscript"/>
        </w:rPr>
        <w:t>1</w:t>
      </w:r>
      <w:r w:rsidR="00A86E9F" w:rsidRPr="005C6417">
        <w:rPr>
          <w:rFonts w:ascii="Georgia" w:eastAsiaTheme="minorEastAsia" w:hAnsi="Georgia" w:cs="Arial"/>
          <w:b w:val="0"/>
        </w:rPr>
        <w:t>,</w:t>
      </w:r>
      <w:r w:rsidR="00C132FD">
        <w:rPr>
          <w:rFonts w:ascii="Georgia" w:eastAsiaTheme="minorEastAsia" w:hAnsi="Georgia" w:cs="Arial"/>
          <w:b w:val="0"/>
        </w:rPr>
        <w:t xml:space="preserve"> </w:t>
      </w:r>
      <w:r>
        <w:rPr>
          <w:rFonts w:ascii="Georgia" w:eastAsiaTheme="minorEastAsia" w:hAnsi="Georgia" w:cs="Arial"/>
          <w:b w:val="0"/>
        </w:rPr>
        <w:t>Evangelia</w:t>
      </w:r>
      <w:r w:rsidR="00A86E9F" w:rsidRPr="005C6417">
        <w:rPr>
          <w:rFonts w:ascii="Georgia" w:eastAsiaTheme="minorEastAsia" w:hAnsi="Georgia" w:cs="Arial"/>
          <w:b w:val="0"/>
        </w:rPr>
        <w:t xml:space="preserve"> </w:t>
      </w:r>
      <w:proofErr w:type="spellStart"/>
      <w:r>
        <w:rPr>
          <w:rFonts w:ascii="Georgia" w:eastAsiaTheme="minorEastAsia" w:hAnsi="Georgia" w:cs="Arial"/>
          <w:b w:val="0"/>
        </w:rPr>
        <w:t>Chrysikou</w:t>
      </w:r>
      <w:proofErr w:type="spellEnd"/>
      <w:r w:rsidR="00A86E9F" w:rsidRPr="005C6417">
        <w:rPr>
          <w:rFonts w:ascii="Georgia" w:eastAsiaTheme="minorEastAsia" w:hAnsi="Georgia" w:cs="Arial"/>
          <w:b w:val="0"/>
        </w:rPr>
        <w:t xml:space="preserve"> </w:t>
      </w:r>
      <w:r w:rsidR="006C2087">
        <w:rPr>
          <w:rFonts w:ascii="Georgia" w:eastAsiaTheme="minorEastAsia" w:hAnsi="Georgia" w:cs="Arial"/>
          <w:b w:val="0"/>
          <w:vertAlign w:val="superscript"/>
        </w:rPr>
        <w:t>2</w:t>
      </w:r>
      <w:r w:rsidR="00A86E9F" w:rsidRPr="005C6417">
        <w:rPr>
          <w:rFonts w:ascii="Georgia" w:eastAsiaTheme="minorEastAsia" w:hAnsi="Georgia" w:cs="Arial"/>
          <w:b w:val="0"/>
        </w:rPr>
        <w:t xml:space="preserve"> and</w:t>
      </w:r>
      <w:r w:rsidR="00C132FD">
        <w:rPr>
          <w:rFonts w:ascii="Georgia" w:eastAsiaTheme="minorEastAsia" w:hAnsi="Georgia" w:cs="Arial"/>
          <w:b w:val="0"/>
        </w:rPr>
        <w:t xml:space="preserve"> </w:t>
      </w:r>
      <w:proofErr w:type="spellStart"/>
      <w:r>
        <w:rPr>
          <w:rFonts w:ascii="Georgia" w:eastAsiaTheme="minorEastAsia" w:hAnsi="Georgia" w:cs="Arial"/>
          <w:b w:val="0"/>
        </w:rPr>
        <w:t>Hina</w:t>
      </w:r>
      <w:proofErr w:type="spellEnd"/>
      <w:r>
        <w:rPr>
          <w:rFonts w:ascii="Georgia" w:eastAsiaTheme="minorEastAsia" w:hAnsi="Georgia" w:cs="Arial"/>
          <w:b w:val="0"/>
        </w:rPr>
        <w:t xml:space="preserve"> Lad</w:t>
      </w:r>
      <w:r w:rsidR="00A86E9F" w:rsidRPr="005C6417">
        <w:rPr>
          <w:rFonts w:ascii="Georgia" w:eastAsiaTheme="minorEastAsia" w:hAnsi="Georgia" w:cs="Arial"/>
          <w:b w:val="0"/>
        </w:rPr>
        <w:t xml:space="preserve"> </w:t>
      </w:r>
      <w:r w:rsidR="006C2087">
        <w:rPr>
          <w:rFonts w:ascii="Georgia" w:eastAsiaTheme="minorEastAsia" w:hAnsi="Georgia" w:cs="Arial"/>
          <w:b w:val="0"/>
          <w:vertAlign w:val="superscript"/>
        </w:rPr>
        <w:t>3</w:t>
      </w:r>
      <w:r w:rsidR="00A86E9F" w:rsidRPr="005C6417">
        <w:rPr>
          <w:rFonts w:ascii="Georgia" w:eastAsiaTheme="minorEastAsia" w:hAnsi="Georgia" w:cs="Arial"/>
          <w:b w:val="0"/>
          <w:vertAlign w:val="superscript"/>
        </w:rPr>
        <w:t>,</w:t>
      </w:r>
    </w:p>
    <w:tbl>
      <w:tblPr>
        <w:tblpPr w:leftFromText="198" w:rightFromText="198" w:vertAnchor="page" w:horzAnchor="margin" w:tblpY="9286"/>
        <w:tblW w:w="2410" w:type="dxa"/>
        <w:tblLayout w:type="fixed"/>
        <w:tblCellMar>
          <w:left w:w="0" w:type="dxa"/>
          <w:right w:w="0" w:type="dxa"/>
        </w:tblCellMar>
        <w:tblLook w:val="04A0" w:firstRow="1" w:lastRow="0" w:firstColumn="1" w:lastColumn="0" w:noHBand="0" w:noVBand="1"/>
      </w:tblPr>
      <w:tblGrid>
        <w:gridCol w:w="2410"/>
      </w:tblGrid>
      <w:tr w:rsidR="00AA684A" w:rsidRPr="005C6417" w14:paraId="2A123C0F" w14:textId="77777777" w:rsidTr="125D4863">
        <w:tc>
          <w:tcPr>
            <w:tcW w:w="2410" w:type="dxa"/>
            <w:shd w:val="clear" w:color="auto" w:fill="auto"/>
          </w:tcPr>
          <w:p w14:paraId="60AC87F0" w14:textId="47457314" w:rsidR="004752C1" w:rsidRPr="00520E91" w:rsidRDefault="004752C1" w:rsidP="125D4863">
            <w:pPr>
              <w:spacing w:line="240" w:lineRule="auto"/>
              <w:jc w:val="left"/>
              <w:rPr>
                <w:rFonts w:ascii="Georgia" w:eastAsiaTheme="minorEastAsia" w:hAnsi="Georgia" w:cs="Arial"/>
                <w:b/>
                <w:bCs/>
                <w:noProof w:val="0"/>
                <w:color w:val="auto"/>
                <w:sz w:val="14"/>
                <w:szCs w:val="14"/>
                <w:highlight w:val="lightGray"/>
              </w:rPr>
            </w:pPr>
            <w:r w:rsidRPr="00520E91">
              <w:rPr>
                <w:rFonts w:ascii="Georgia" w:eastAsiaTheme="minorEastAsia" w:hAnsi="Georgia" w:cs="Arial"/>
                <w:b/>
                <w:bCs/>
                <w:noProof w:val="0"/>
                <w:color w:val="auto"/>
                <w:sz w:val="14"/>
                <w:szCs w:val="14"/>
                <w:highlight w:val="lightGray"/>
              </w:rPr>
              <w:t xml:space="preserve">Names of the </w:t>
            </w:r>
            <w:r w:rsidR="569C023D" w:rsidRPr="00520E91">
              <w:rPr>
                <w:rFonts w:ascii="Georgia" w:eastAsiaTheme="minorEastAsia" w:hAnsi="Georgia" w:cs="Arial"/>
                <w:b/>
                <w:bCs/>
                <w:noProof w:val="0"/>
                <w:color w:val="auto"/>
                <w:sz w:val="14"/>
                <w:szCs w:val="14"/>
                <w:highlight w:val="lightGray"/>
              </w:rPr>
              <w:t xml:space="preserve">track </w:t>
            </w:r>
            <w:r w:rsidRPr="00520E91">
              <w:rPr>
                <w:rFonts w:ascii="Georgia" w:eastAsiaTheme="minorEastAsia" w:hAnsi="Georgia" w:cs="Arial"/>
                <w:b/>
                <w:bCs/>
                <w:noProof w:val="0"/>
                <w:color w:val="auto"/>
                <w:sz w:val="14"/>
                <w:szCs w:val="14"/>
                <w:highlight w:val="lightGray"/>
              </w:rPr>
              <w:t xml:space="preserve">editors: </w:t>
            </w:r>
          </w:p>
          <w:p w14:paraId="06A2E58C" w14:textId="5D1C8C98" w:rsidR="004752C1" w:rsidRPr="00520E91" w:rsidRDefault="004752C1" w:rsidP="00B47D7D">
            <w:pPr>
              <w:adjustRightInd w:val="0"/>
              <w:snapToGrid w:val="0"/>
              <w:spacing w:line="240" w:lineRule="auto"/>
              <w:jc w:val="left"/>
              <w:rPr>
                <w:rFonts w:ascii="Georgia" w:eastAsiaTheme="minorEastAsia" w:hAnsi="Georgia" w:cs="Arial"/>
                <w:noProof w:val="0"/>
                <w:color w:val="auto"/>
                <w:sz w:val="14"/>
                <w:szCs w:val="22"/>
                <w:highlight w:val="lightGray"/>
              </w:rPr>
            </w:pPr>
            <w:proofErr w:type="spellStart"/>
            <w:r w:rsidRPr="00520E91">
              <w:rPr>
                <w:rFonts w:ascii="Georgia" w:eastAsiaTheme="minorEastAsia" w:hAnsi="Georgia" w:cs="Arial"/>
                <w:noProof w:val="0"/>
                <w:color w:val="auto"/>
                <w:sz w:val="14"/>
                <w:szCs w:val="22"/>
                <w:highlight w:val="lightGray"/>
              </w:rPr>
              <w:t>Firstname</w:t>
            </w:r>
            <w:proofErr w:type="spellEnd"/>
            <w:r w:rsidRPr="00520E91">
              <w:rPr>
                <w:rFonts w:ascii="Georgia" w:eastAsiaTheme="minorEastAsia" w:hAnsi="Georgia" w:cs="Arial"/>
                <w:noProof w:val="0"/>
                <w:color w:val="auto"/>
                <w:sz w:val="14"/>
                <w:szCs w:val="22"/>
                <w:highlight w:val="lightGray"/>
              </w:rPr>
              <w:t xml:space="preserve"> </w:t>
            </w:r>
            <w:proofErr w:type="spellStart"/>
            <w:r w:rsidRPr="00520E91">
              <w:rPr>
                <w:rFonts w:ascii="Georgia" w:eastAsiaTheme="minorEastAsia" w:hAnsi="Georgia" w:cs="Arial"/>
                <w:noProof w:val="0"/>
                <w:color w:val="auto"/>
                <w:sz w:val="14"/>
                <w:szCs w:val="22"/>
                <w:highlight w:val="lightGray"/>
              </w:rPr>
              <w:t>Lastname</w:t>
            </w:r>
            <w:proofErr w:type="spellEnd"/>
          </w:p>
          <w:p w14:paraId="2B4A9809" w14:textId="0C1C2D3C" w:rsidR="00B47D7D" w:rsidRPr="00520E91" w:rsidRDefault="00B47D7D" w:rsidP="00B47D7D">
            <w:pPr>
              <w:adjustRightInd w:val="0"/>
              <w:snapToGrid w:val="0"/>
              <w:spacing w:line="240" w:lineRule="auto"/>
              <w:jc w:val="left"/>
              <w:rPr>
                <w:rFonts w:ascii="Georgia" w:eastAsiaTheme="minorEastAsia" w:hAnsi="Georgia" w:cs="Arial"/>
                <w:noProof w:val="0"/>
                <w:color w:val="auto"/>
                <w:sz w:val="14"/>
                <w:szCs w:val="22"/>
                <w:highlight w:val="lightGray"/>
              </w:rPr>
            </w:pPr>
            <w:proofErr w:type="spellStart"/>
            <w:r w:rsidRPr="00520E91">
              <w:rPr>
                <w:rFonts w:ascii="Georgia" w:eastAsiaTheme="minorEastAsia" w:hAnsi="Georgia" w:cs="Arial"/>
                <w:noProof w:val="0"/>
                <w:color w:val="auto"/>
                <w:sz w:val="14"/>
                <w:szCs w:val="22"/>
                <w:highlight w:val="lightGray"/>
              </w:rPr>
              <w:t>Firstname</w:t>
            </w:r>
            <w:proofErr w:type="spellEnd"/>
            <w:r w:rsidRPr="00520E91">
              <w:rPr>
                <w:rFonts w:ascii="Georgia" w:eastAsiaTheme="minorEastAsia" w:hAnsi="Georgia" w:cs="Arial"/>
                <w:noProof w:val="0"/>
                <w:color w:val="auto"/>
                <w:sz w:val="14"/>
                <w:szCs w:val="22"/>
                <w:highlight w:val="lightGray"/>
              </w:rPr>
              <w:t xml:space="preserve"> </w:t>
            </w:r>
            <w:proofErr w:type="spellStart"/>
            <w:r w:rsidRPr="00520E91">
              <w:rPr>
                <w:rFonts w:ascii="Georgia" w:eastAsiaTheme="minorEastAsia" w:hAnsi="Georgia" w:cs="Arial"/>
                <w:noProof w:val="0"/>
                <w:color w:val="auto"/>
                <w:sz w:val="14"/>
                <w:szCs w:val="22"/>
                <w:highlight w:val="lightGray"/>
              </w:rPr>
              <w:t>Lastname</w:t>
            </w:r>
            <w:proofErr w:type="spellEnd"/>
          </w:p>
          <w:p w14:paraId="2A86B3A5" w14:textId="77777777" w:rsidR="004752C1" w:rsidRPr="00520E91" w:rsidRDefault="004752C1" w:rsidP="0BCF47E0">
            <w:pPr>
              <w:spacing w:line="240" w:lineRule="auto"/>
              <w:jc w:val="left"/>
              <w:rPr>
                <w:rFonts w:ascii="Georgia" w:eastAsiaTheme="minorEastAsia" w:hAnsi="Georgia" w:cs="Arial"/>
                <w:b/>
                <w:bCs/>
                <w:noProof w:val="0"/>
                <w:color w:val="auto"/>
                <w:sz w:val="14"/>
                <w:szCs w:val="14"/>
                <w:highlight w:val="lightGray"/>
              </w:rPr>
            </w:pPr>
            <w:r w:rsidRPr="00520E91">
              <w:rPr>
                <w:rFonts w:ascii="Georgia" w:eastAsiaTheme="minorEastAsia" w:hAnsi="Georgia" w:cs="Arial"/>
                <w:b/>
                <w:bCs/>
                <w:noProof w:val="0"/>
                <w:color w:val="auto"/>
                <w:sz w:val="14"/>
                <w:szCs w:val="14"/>
                <w:highlight w:val="lightGray"/>
              </w:rPr>
              <w:t xml:space="preserve">Names of the reviewers: </w:t>
            </w:r>
          </w:p>
          <w:p w14:paraId="15C03BF2" w14:textId="05448012" w:rsidR="004752C1" w:rsidRPr="00520E91" w:rsidRDefault="004752C1" w:rsidP="00B47D7D">
            <w:pPr>
              <w:adjustRightInd w:val="0"/>
              <w:snapToGrid w:val="0"/>
              <w:spacing w:line="240" w:lineRule="auto"/>
              <w:jc w:val="left"/>
              <w:rPr>
                <w:rFonts w:ascii="Georgia" w:eastAsiaTheme="minorEastAsia" w:hAnsi="Georgia" w:cs="Arial"/>
                <w:noProof w:val="0"/>
                <w:color w:val="auto"/>
                <w:sz w:val="14"/>
                <w:szCs w:val="22"/>
                <w:highlight w:val="lightGray"/>
              </w:rPr>
            </w:pPr>
            <w:proofErr w:type="spellStart"/>
            <w:r w:rsidRPr="00520E91">
              <w:rPr>
                <w:rFonts w:ascii="Georgia" w:eastAsiaTheme="minorEastAsia" w:hAnsi="Georgia" w:cs="Arial"/>
                <w:noProof w:val="0"/>
                <w:color w:val="auto"/>
                <w:sz w:val="14"/>
                <w:szCs w:val="22"/>
                <w:highlight w:val="lightGray"/>
              </w:rPr>
              <w:t>Firstname</w:t>
            </w:r>
            <w:proofErr w:type="spellEnd"/>
            <w:r w:rsidRPr="00520E91">
              <w:rPr>
                <w:rFonts w:ascii="Georgia" w:eastAsiaTheme="minorEastAsia" w:hAnsi="Georgia" w:cs="Arial"/>
                <w:noProof w:val="0"/>
                <w:color w:val="auto"/>
                <w:sz w:val="14"/>
                <w:szCs w:val="22"/>
                <w:highlight w:val="lightGray"/>
              </w:rPr>
              <w:t xml:space="preserve"> </w:t>
            </w:r>
            <w:proofErr w:type="spellStart"/>
            <w:r w:rsidRPr="00520E91">
              <w:rPr>
                <w:rFonts w:ascii="Georgia" w:eastAsiaTheme="minorEastAsia" w:hAnsi="Georgia" w:cs="Arial"/>
                <w:noProof w:val="0"/>
                <w:color w:val="auto"/>
                <w:sz w:val="14"/>
                <w:szCs w:val="22"/>
                <w:highlight w:val="lightGray"/>
              </w:rPr>
              <w:t>Lastname</w:t>
            </w:r>
            <w:proofErr w:type="spellEnd"/>
          </w:p>
          <w:p w14:paraId="2FF1DEAC" w14:textId="131606E8" w:rsidR="00B47D7D" w:rsidRPr="00520E91" w:rsidRDefault="00B47D7D" w:rsidP="00B47D7D">
            <w:pPr>
              <w:adjustRightInd w:val="0"/>
              <w:snapToGrid w:val="0"/>
              <w:spacing w:line="240" w:lineRule="auto"/>
              <w:jc w:val="left"/>
              <w:rPr>
                <w:rFonts w:ascii="Georgia" w:eastAsiaTheme="minorEastAsia" w:hAnsi="Georgia" w:cs="Arial"/>
                <w:noProof w:val="0"/>
                <w:color w:val="auto"/>
                <w:sz w:val="14"/>
                <w:szCs w:val="22"/>
                <w:highlight w:val="lightGray"/>
              </w:rPr>
            </w:pPr>
            <w:proofErr w:type="spellStart"/>
            <w:r w:rsidRPr="00520E91">
              <w:rPr>
                <w:rFonts w:ascii="Georgia" w:eastAsiaTheme="minorEastAsia" w:hAnsi="Georgia" w:cs="Arial"/>
                <w:noProof w:val="0"/>
                <w:color w:val="auto"/>
                <w:sz w:val="14"/>
                <w:szCs w:val="22"/>
                <w:highlight w:val="lightGray"/>
              </w:rPr>
              <w:t>Firstname</w:t>
            </w:r>
            <w:proofErr w:type="spellEnd"/>
            <w:r w:rsidRPr="00520E91">
              <w:rPr>
                <w:rFonts w:ascii="Georgia" w:eastAsiaTheme="minorEastAsia" w:hAnsi="Georgia" w:cs="Arial"/>
                <w:noProof w:val="0"/>
                <w:color w:val="auto"/>
                <w:sz w:val="14"/>
                <w:szCs w:val="22"/>
                <w:highlight w:val="lightGray"/>
              </w:rPr>
              <w:t xml:space="preserve"> </w:t>
            </w:r>
            <w:proofErr w:type="spellStart"/>
            <w:r w:rsidRPr="00520E91">
              <w:rPr>
                <w:rFonts w:ascii="Georgia" w:eastAsiaTheme="minorEastAsia" w:hAnsi="Georgia" w:cs="Arial"/>
                <w:noProof w:val="0"/>
                <w:color w:val="auto"/>
                <w:sz w:val="14"/>
                <w:szCs w:val="22"/>
                <w:highlight w:val="lightGray"/>
              </w:rPr>
              <w:t>Lastname</w:t>
            </w:r>
            <w:proofErr w:type="spellEnd"/>
          </w:p>
          <w:p w14:paraId="7976437C" w14:textId="77777777" w:rsidR="004752C1" w:rsidRPr="00520E91" w:rsidRDefault="004752C1" w:rsidP="004752C1">
            <w:pPr>
              <w:spacing w:line="240" w:lineRule="auto"/>
              <w:jc w:val="left"/>
              <w:rPr>
                <w:rFonts w:ascii="Georgia" w:eastAsiaTheme="minorEastAsia" w:hAnsi="Georgia" w:cs="Arial"/>
                <w:noProof w:val="0"/>
                <w:color w:val="auto"/>
                <w:sz w:val="14"/>
                <w:szCs w:val="22"/>
                <w:highlight w:val="lightGray"/>
              </w:rPr>
            </w:pPr>
            <w:r w:rsidRPr="00520E91">
              <w:rPr>
                <w:rFonts w:ascii="Georgia" w:eastAsiaTheme="minorEastAsia" w:hAnsi="Georgia" w:cs="Arial"/>
                <w:b/>
                <w:noProof w:val="0"/>
                <w:color w:val="auto"/>
                <w:sz w:val="14"/>
                <w:szCs w:val="22"/>
                <w:highlight w:val="lightGray"/>
              </w:rPr>
              <w:t>Journal:</w:t>
            </w:r>
            <w:r w:rsidRPr="00520E91">
              <w:rPr>
                <w:rFonts w:ascii="Georgia" w:eastAsiaTheme="minorEastAsia" w:hAnsi="Georgia" w:cs="Arial"/>
                <w:noProof w:val="0"/>
                <w:color w:val="auto"/>
                <w:sz w:val="14"/>
                <w:szCs w:val="22"/>
                <w:highlight w:val="lightGray"/>
              </w:rPr>
              <w:t xml:space="preserve"> </w:t>
            </w:r>
            <w:r w:rsidRPr="00520E91">
              <w:rPr>
                <w:rFonts w:ascii="Georgia" w:eastAsiaTheme="minorEastAsia" w:hAnsi="Georgia" w:cs="Arial"/>
                <w:sz w:val="14"/>
                <w:szCs w:val="22"/>
                <w:highlight w:val="lightGray"/>
              </w:rPr>
              <w:t>The Evolving Scholar </w:t>
            </w:r>
          </w:p>
          <w:p w14:paraId="797DBF6D" w14:textId="77777777" w:rsidR="00AA684A" w:rsidRPr="00520E91" w:rsidRDefault="004752C1" w:rsidP="004B4287">
            <w:pPr>
              <w:pStyle w:val="MDPI61Citation"/>
              <w:spacing w:line="240" w:lineRule="exact"/>
              <w:rPr>
                <w:rFonts w:ascii="Georgia" w:eastAsiaTheme="minorEastAsia" w:hAnsi="Georgia" w:cs="Arial"/>
                <w:highlight w:val="lightGray"/>
              </w:rPr>
            </w:pPr>
            <w:r w:rsidRPr="00520E91">
              <w:rPr>
                <w:rFonts w:ascii="Georgia" w:eastAsiaTheme="minorEastAsia" w:hAnsi="Georgia" w:cs="Arial"/>
                <w:b/>
                <w:highlight w:val="lightGray"/>
              </w:rPr>
              <w:t>DOI</w:t>
            </w:r>
            <w:r w:rsidR="00AA684A" w:rsidRPr="00520E91">
              <w:rPr>
                <w:rFonts w:ascii="Georgia" w:eastAsiaTheme="minorEastAsia" w:hAnsi="Georgia" w:cs="Arial"/>
                <w:b/>
                <w:highlight w:val="lightGray"/>
              </w:rPr>
              <w:t>:</w:t>
            </w:r>
            <w:r w:rsidR="00AA684A" w:rsidRPr="00520E91">
              <w:rPr>
                <w:rFonts w:ascii="Georgia" w:eastAsiaTheme="minorEastAsia" w:hAnsi="Georgia" w:cs="Arial"/>
                <w:highlight w:val="lightGray"/>
              </w:rPr>
              <w:t xml:space="preserve"> https://doi.org/</w:t>
            </w:r>
            <w:r w:rsidRPr="00520E91">
              <w:rPr>
                <w:rFonts w:ascii="Georgia" w:eastAsiaTheme="minorEastAsia" w:hAnsi="Georgia" w:cs="Arial"/>
                <w:highlight w:val="lightGray"/>
              </w:rPr>
              <w:t>xxxxx</w:t>
            </w:r>
            <w:r w:rsidR="00AA684A" w:rsidRPr="00520E91">
              <w:rPr>
                <w:rFonts w:ascii="Georgia" w:eastAsiaTheme="minorEastAsia" w:hAnsi="Georgia" w:cs="Arial"/>
                <w:highlight w:val="lightGray"/>
              </w:rPr>
              <w:t>/xxxxx</w:t>
            </w:r>
          </w:p>
          <w:p w14:paraId="0A37501D" w14:textId="77777777" w:rsidR="00F822A1" w:rsidRPr="00520E91" w:rsidRDefault="00F822A1" w:rsidP="004B4287">
            <w:pPr>
              <w:pStyle w:val="MDPI14history"/>
              <w:rPr>
                <w:rFonts w:ascii="Georgia" w:eastAsiaTheme="minorEastAsia" w:hAnsi="Georgia" w:cs="Arial"/>
                <w:highlight w:val="lightGray"/>
              </w:rPr>
            </w:pPr>
          </w:p>
          <w:p w14:paraId="25F4192D" w14:textId="77777777" w:rsidR="00AA684A" w:rsidRPr="00520E91" w:rsidRDefault="00165C16" w:rsidP="004B4287">
            <w:pPr>
              <w:pStyle w:val="MDPI14history"/>
              <w:rPr>
                <w:rFonts w:ascii="Georgia" w:eastAsiaTheme="minorEastAsia" w:hAnsi="Georgia" w:cs="Arial"/>
                <w:highlight w:val="lightGray"/>
              </w:rPr>
            </w:pPr>
            <w:r w:rsidRPr="00520E91">
              <w:rPr>
                <w:rFonts w:ascii="Georgia" w:eastAsiaTheme="minorEastAsia" w:hAnsi="Georgia" w:cs="Arial"/>
                <w:szCs w:val="14"/>
                <w:highlight w:val="lightGray"/>
              </w:rPr>
              <w:t xml:space="preserve">Submitted: 01 January 2021 </w:t>
            </w:r>
          </w:p>
          <w:p w14:paraId="58AAC821" w14:textId="77777777" w:rsidR="00AA684A" w:rsidRPr="00520E91" w:rsidRDefault="00AA684A" w:rsidP="004B4287">
            <w:pPr>
              <w:pStyle w:val="MDPI14history"/>
              <w:rPr>
                <w:rFonts w:ascii="Georgia" w:eastAsiaTheme="minorEastAsia" w:hAnsi="Georgia" w:cs="Arial"/>
                <w:szCs w:val="14"/>
                <w:highlight w:val="lightGray"/>
              </w:rPr>
            </w:pPr>
            <w:r w:rsidRPr="00520E91">
              <w:rPr>
                <w:rFonts w:ascii="Georgia" w:eastAsiaTheme="minorEastAsia" w:hAnsi="Georgia" w:cs="Arial"/>
                <w:szCs w:val="14"/>
                <w:highlight w:val="lightGray"/>
              </w:rPr>
              <w:t xml:space="preserve">Accepted: </w:t>
            </w:r>
            <w:r w:rsidR="00165C16" w:rsidRPr="00520E91">
              <w:rPr>
                <w:rFonts w:ascii="Georgia" w:eastAsiaTheme="minorEastAsia" w:hAnsi="Georgia" w:cs="Arial"/>
                <w:szCs w:val="14"/>
                <w:highlight w:val="lightGray"/>
              </w:rPr>
              <w:t>01 June 2021</w:t>
            </w:r>
          </w:p>
          <w:p w14:paraId="24D1D540" w14:textId="77777777" w:rsidR="00AA684A" w:rsidRPr="00520E91" w:rsidRDefault="00165C16" w:rsidP="004B4287">
            <w:pPr>
              <w:pStyle w:val="MDPI14history"/>
              <w:spacing w:after="240"/>
              <w:rPr>
                <w:rFonts w:ascii="Georgia" w:eastAsiaTheme="minorEastAsia" w:hAnsi="Georgia" w:cs="Arial"/>
                <w:szCs w:val="14"/>
                <w:highlight w:val="lightGray"/>
              </w:rPr>
            </w:pPr>
            <w:r w:rsidRPr="00520E91">
              <w:rPr>
                <w:rFonts w:ascii="Georgia" w:eastAsiaTheme="minorEastAsia" w:hAnsi="Georgia" w:cs="Arial"/>
                <w:szCs w:val="14"/>
                <w:highlight w:val="lightGray"/>
              </w:rPr>
              <w:t>Published: 02 June 2021</w:t>
            </w:r>
          </w:p>
          <w:p w14:paraId="1CD80B8D" w14:textId="77777777" w:rsidR="00165C16" w:rsidRPr="00520E91" w:rsidRDefault="00165C16" w:rsidP="00165C16">
            <w:pPr>
              <w:pStyle w:val="paragraph"/>
              <w:adjustRightInd w:val="0"/>
              <w:snapToGrid w:val="0"/>
              <w:spacing w:before="0" w:beforeAutospacing="0" w:after="0" w:afterAutospacing="0"/>
              <w:textAlignment w:val="baseline"/>
              <w:rPr>
                <w:rStyle w:val="eop"/>
                <w:rFonts w:ascii="Georgia" w:eastAsiaTheme="minorEastAsia" w:hAnsi="Georgia" w:cs="Arial"/>
                <w:color w:val="000000" w:themeColor="text1"/>
                <w:sz w:val="14"/>
                <w:szCs w:val="14"/>
                <w:highlight w:val="lightGray"/>
              </w:rPr>
            </w:pPr>
            <w:r w:rsidRPr="0079016D">
              <w:rPr>
                <w:rStyle w:val="normaltextrun"/>
                <w:rFonts w:ascii="Georgia" w:eastAsiaTheme="minorEastAsia" w:hAnsi="Georgia" w:cs="Arial"/>
                <w:b/>
                <w:bCs/>
                <w:color w:val="000000" w:themeColor="text1"/>
                <w:sz w:val="14"/>
                <w:szCs w:val="14"/>
                <w:highlight w:val="lightGray"/>
              </w:rPr>
              <w:t>Citation</w:t>
            </w:r>
            <w:r w:rsidRPr="0079016D">
              <w:rPr>
                <w:rStyle w:val="normaltextrun"/>
                <w:rFonts w:ascii="Georgia" w:eastAsiaTheme="minorEastAsia" w:hAnsi="Georgia" w:cs="Arial"/>
                <w:b/>
                <w:color w:val="000000" w:themeColor="text1"/>
                <w:sz w:val="14"/>
                <w:szCs w:val="14"/>
                <w:highlight w:val="lightGray"/>
              </w:rPr>
              <w:t>:</w:t>
            </w:r>
            <w:r w:rsidRPr="00520E91">
              <w:rPr>
                <w:rStyle w:val="normaltextrun"/>
                <w:rFonts w:ascii="Georgia" w:eastAsiaTheme="minorEastAsia" w:hAnsi="Georgia" w:cs="Arial"/>
                <w:color w:val="000000" w:themeColor="text1"/>
                <w:sz w:val="14"/>
                <w:szCs w:val="14"/>
                <w:highlight w:val="lightGray"/>
              </w:rPr>
              <w:t xml:space="preserve"> name of authors [if more than 3 authors use the name of the 1</w:t>
            </w:r>
            <w:r w:rsidRPr="00520E91">
              <w:rPr>
                <w:rStyle w:val="normaltextrun"/>
                <w:rFonts w:ascii="Georgia" w:eastAsiaTheme="minorEastAsia" w:hAnsi="Georgia" w:cs="Arial"/>
                <w:color w:val="000000" w:themeColor="text1"/>
                <w:sz w:val="14"/>
                <w:szCs w:val="14"/>
                <w:highlight w:val="lightGray"/>
                <w:vertAlign w:val="superscript"/>
              </w:rPr>
              <w:t>st</w:t>
            </w:r>
            <w:r w:rsidRPr="00520E91">
              <w:rPr>
                <w:rStyle w:val="normaltextrun"/>
                <w:rFonts w:ascii="Georgia" w:eastAsiaTheme="minorEastAsia" w:hAnsi="Georgia" w:cs="Arial"/>
                <w:color w:val="000000" w:themeColor="text1"/>
                <w:sz w:val="14"/>
                <w:szCs w:val="14"/>
                <w:highlight w:val="lightGray"/>
              </w:rPr>
              <w:t> author followed by </w:t>
            </w:r>
            <w:r w:rsidRPr="00520E91">
              <w:rPr>
                <w:rStyle w:val="normaltextrun"/>
                <w:rFonts w:ascii="Georgia" w:eastAsiaTheme="minorEastAsia" w:hAnsi="Georgia" w:cs="Arial"/>
                <w:iCs/>
                <w:color w:val="000000" w:themeColor="text1"/>
                <w:sz w:val="14"/>
                <w:szCs w:val="14"/>
                <w:highlight w:val="lightGray"/>
              </w:rPr>
              <w:t>et al</w:t>
            </w:r>
            <w:r w:rsidRPr="00520E91">
              <w:rPr>
                <w:rStyle w:val="normaltextrun"/>
                <w:rFonts w:ascii="Georgia" w:eastAsiaTheme="minorEastAsia" w:hAnsi="Georgia" w:cs="Arial"/>
                <w:color w:val="000000" w:themeColor="text1"/>
                <w:sz w:val="14"/>
                <w:szCs w:val="14"/>
                <w:highlight w:val="lightGray"/>
              </w:rPr>
              <w:t>. </w:t>
            </w:r>
            <w:proofErr w:type="spellStart"/>
            <w:r w:rsidRPr="00520E91">
              <w:rPr>
                <w:rStyle w:val="normaltextrun"/>
                <w:rFonts w:ascii="Georgia" w:eastAsiaTheme="minorEastAsia" w:hAnsi="Georgia" w:cs="Arial"/>
                <w:color w:val="000000" w:themeColor="text1"/>
                <w:sz w:val="14"/>
                <w:szCs w:val="14"/>
                <w:highlight w:val="lightGray"/>
              </w:rPr>
              <w:t>e.g</w:t>
            </w:r>
            <w:proofErr w:type="spellEnd"/>
            <w:r w:rsidRPr="00520E91">
              <w:rPr>
                <w:rStyle w:val="normaltextrun"/>
                <w:rFonts w:ascii="Georgia" w:eastAsiaTheme="minorEastAsia" w:hAnsi="Georgia" w:cs="Arial"/>
                <w:color w:val="000000" w:themeColor="text1"/>
                <w:sz w:val="14"/>
                <w:szCs w:val="14"/>
                <w:highlight w:val="lightGray"/>
              </w:rPr>
              <w:t> </w:t>
            </w:r>
            <w:r w:rsidRPr="00520E91">
              <w:rPr>
                <w:rStyle w:val="normaltextrun"/>
                <w:rFonts w:ascii="Georgia" w:eastAsiaTheme="minorEastAsia" w:hAnsi="Georgia" w:cs="Arial"/>
                <w:bCs/>
                <w:color w:val="000000" w:themeColor="text1"/>
                <w:sz w:val="14"/>
                <w:szCs w:val="14"/>
                <w:highlight w:val="lightGray"/>
              </w:rPr>
              <w:t>smith </w:t>
            </w:r>
            <w:r w:rsidRPr="00520E91">
              <w:rPr>
                <w:rStyle w:val="normaltextrun"/>
                <w:rFonts w:ascii="Georgia" w:eastAsiaTheme="minorEastAsia" w:hAnsi="Georgia" w:cs="Arial"/>
                <w:bCs/>
                <w:iCs/>
                <w:color w:val="000000" w:themeColor="text1"/>
                <w:sz w:val="14"/>
                <w:szCs w:val="14"/>
                <w:highlight w:val="lightGray"/>
              </w:rPr>
              <w:t>et al.</w:t>
            </w:r>
            <w:r w:rsidRPr="00520E91">
              <w:rPr>
                <w:rStyle w:val="normaltextrun"/>
                <w:rFonts w:ascii="Georgia" w:eastAsiaTheme="minorEastAsia" w:hAnsi="Georgia" w:cs="Arial"/>
                <w:color w:val="000000" w:themeColor="text1"/>
                <w:sz w:val="14"/>
                <w:szCs w:val="14"/>
                <w:highlight w:val="lightGray"/>
              </w:rPr>
              <w:t>]</w:t>
            </w:r>
            <w:r w:rsidRPr="00520E91">
              <w:rPr>
                <w:rStyle w:val="normaltextrun"/>
                <w:rFonts w:ascii="Georgia" w:eastAsiaTheme="minorEastAsia" w:hAnsi="Georgia" w:cs="Arial"/>
                <w:bCs/>
                <w:color w:val="000000" w:themeColor="text1"/>
                <w:sz w:val="14"/>
                <w:szCs w:val="14"/>
                <w:highlight w:val="lightGray"/>
              </w:rPr>
              <w:t>,</w:t>
            </w:r>
            <w:r w:rsidRPr="00520E91">
              <w:rPr>
                <w:rStyle w:val="normaltextrun"/>
                <w:rFonts w:ascii="Georgia" w:eastAsiaTheme="minorEastAsia" w:hAnsi="Georgia" w:cs="Arial"/>
                <w:color w:val="000000" w:themeColor="text1"/>
                <w:sz w:val="14"/>
                <w:szCs w:val="14"/>
                <w:highlight w:val="lightGray"/>
              </w:rPr>
              <w:t> title of the article, name of the journal, volume, year, DOI</w:t>
            </w:r>
            <w:r w:rsidRPr="00520E91">
              <w:rPr>
                <w:rStyle w:val="eop"/>
                <w:rFonts w:ascii="Georgia" w:eastAsiaTheme="minorEastAsia" w:hAnsi="Georgia" w:cs="Arial"/>
                <w:color w:val="000000" w:themeColor="text1"/>
                <w:sz w:val="14"/>
                <w:szCs w:val="14"/>
                <w:highlight w:val="lightGray"/>
              </w:rPr>
              <w:t> </w:t>
            </w:r>
          </w:p>
          <w:p w14:paraId="5DAB6C7B" w14:textId="77777777" w:rsidR="00F822A1" w:rsidRPr="00520E91" w:rsidRDefault="00F822A1" w:rsidP="00165C1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highlight w:val="lightGray"/>
              </w:rPr>
            </w:pPr>
          </w:p>
          <w:p w14:paraId="3FE676F8" w14:textId="77777777" w:rsidR="00165C16" w:rsidRPr="00520E91" w:rsidRDefault="00165C16" w:rsidP="00165C1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highlight w:val="lightGray"/>
              </w:rPr>
            </w:pPr>
            <w:r w:rsidRPr="00520E91">
              <w:rPr>
                <w:rStyle w:val="normaltextrun"/>
                <w:rFonts w:ascii="Georgia" w:eastAsiaTheme="minorEastAsia" w:hAnsi="Georgia" w:cs="Arial"/>
                <w:color w:val="000000" w:themeColor="text1"/>
                <w:sz w:val="14"/>
                <w:szCs w:val="14"/>
                <w:highlight w:val="lightGray"/>
              </w:rPr>
              <w:t xml:space="preserve">This work is licensed under a Creative Commons Attribution </w:t>
            </w:r>
            <w:r w:rsidR="00BC5801" w:rsidRPr="00520E91">
              <w:rPr>
                <w:rStyle w:val="normaltextrun"/>
                <w:rFonts w:ascii="Georgia" w:eastAsiaTheme="minorEastAsia" w:hAnsi="Georgia" w:cs="Arial"/>
                <w:color w:val="000000" w:themeColor="text1"/>
                <w:sz w:val="14"/>
                <w:szCs w:val="14"/>
                <w:highlight w:val="lightGray"/>
              </w:rPr>
              <w:t>xxx</w:t>
            </w:r>
            <w:r w:rsidRPr="00520E91">
              <w:rPr>
                <w:rStyle w:val="normaltextrun"/>
                <w:rFonts w:ascii="Georgia" w:eastAsiaTheme="minorEastAsia" w:hAnsi="Georgia" w:cs="Arial"/>
                <w:color w:val="000000" w:themeColor="text1"/>
                <w:sz w:val="14"/>
                <w:szCs w:val="14"/>
                <w:highlight w:val="lightGray"/>
              </w:rPr>
              <w:t xml:space="preserve"> (CC </w:t>
            </w:r>
            <w:proofErr w:type="spellStart"/>
            <w:r w:rsidR="00BC5801" w:rsidRPr="00520E91">
              <w:rPr>
                <w:rStyle w:val="normaltextrun"/>
                <w:rFonts w:ascii="Georgia" w:eastAsiaTheme="minorEastAsia" w:hAnsi="Georgia" w:cs="Arial"/>
                <w:color w:val="000000" w:themeColor="text1"/>
                <w:sz w:val="14"/>
                <w:szCs w:val="14"/>
                <w:highlight w:val="lightGray"/>
              </w:rPr>
              <w:t>xxxx</w:t>
            </w:r>
            <w:proofErr w:type="spellEnd"/>
            <w:r w:rsidRPr="00520E91">
              <w:rPr>
                <w:rStyle w:val="normaltextrun"/>
                <w:rFonts w:ascii="Georgia" w:eastAsiaTheme="minorEastAsia" w:hAnsi="Georgia" w:cs="Arial"/>
                <w:color w:val="000000" w:themeColor="text1"/>
                <w:sz w:val="14"/>
                <w:szCs w:val="14"/>
                <w:highlight w:val="lightGray"/>
              </w:rPr>
              <w:t>) li</w:t>
            </w:r>
            <w:r w:rsidR="00BC5801" w:rsidRPr="00520E91">
              <w:rPr>
                <w:rStyle w:val="normaltextrun"/>
                <w:rFonts w:ascii="Georgia" w:eastAsiaTheme="minorEastAsia" w:hAnsi="Georgia" w:cs="Arial"/>
                <w:color w:val="000000" w:themeColor="text1"/>
                <w:sz w:val="14"/>
                <w:szCs w:val="14"/>
                <w:highlight w:val="lightGray"/>
              </w:rPr>
              <w:t>cens</w:t>
            </w:r>
            <w:r w:rsidRPr="00520E91">
              <w:rPr>
                <w:rStyle w:val="normaltextrun"/>
                <w:rFonts w:ascii="Georgia" w:eastAsiaTheme="minorEastAsia" w:hAnsi="Georgia" w:cs="Arial"/>
                <w:color w:val="000000" w:themeColor="text1"/>
                <w:sz w:val="14"/>
                <w:szCs w:val="14"/>
                <w:highlight w:val="lightGray"/>
              </w:rPr>
              <w:t>e.</w:t>
            </w:r>
            <w:r w:rsidRPr="00520E91">
              <w:rPr>
                <w:rStyle w:val="eop"/>
                <w:rFonts w:ascii="Georgia" w:eastAsiaTheme="minorEastAsia" w:hAnsi="Georgia" w:cs="Arial"/>
                <w:color w:val="000000" w:themeColor="text1"/>
                <w:sz w:val="14"/>
                <w:szCs w:val="14"/>
                <w:highlight w:val="lightGray"/>
              </w:rPr>
              <w:t> </w:t>
            </w:r>
          </w:p>
          <w:p w14:paraId="0DA9B59F" w14:textId="77777777" w:rsidR="00165C16" w:rsidRPr="005C6417" w:rsidRDefault="00165C16" w:rsidP="00165C1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520E91">
              <w:rPr>
                <w:rStyle w:val="normaltextrun"/>
                <w:rFonts w:ascii="Georgia" w:eastAsiaTheme="minorEastAsia" w:hAnsi="Georgia" w:cs="Arial"/>
                <w:color w:val="000000" w:themeColor="text1"/>
                <w:sz w:val="14"/>
                <w:szCs w:val="14"/>
                <w:highlight w:val="lightGray"/>
              </w:rPr>
              <w:t>©year [name of the author(s)] published by TU Delft OPEN on behalf of the authors</w:t>
            </w:r>
            <w:r w:rsidRPr="005C6417">
              <w:rPr>
                <w:rStyle w:val="eop"/>
                <w:rFonts w:ascii="Georgia" w:eastAsiaTheme="minorEastAsia" w:hAnsi="Georgia" w:cs="Arial"/>
                <w:color w:val="000000" w:themeColor="text1"/>
                <w:sz w:val="14"/>
                <w:szCs w:val="14"/>
              </w:rPr>
              <w:t> </w:t>
            </w:r>
          </w:p>
          <w:p w14:paraId="02EB378F" w14:textId="77777777" w:rsidR="00AA684A" w:rsidRPr="005C6417" w:rsidRDefault="00AA684A" w:rsidP="004B4287">
            <w:pPr>
              <w:adjustRightInd w:val="0"/>
              <w:snapToGrid w:val="0"/>
              <w:spacing w:before="60" w:line="240" w:lineRule="atLeast"/>
              <w:ind w:right="113"/>
              <w:rPr>
                <w:rFonts w:ascii="Georgia" w:eastAsiaTheme="minorEastAsia" w:hAnsi="Georgia" w:cs="Arial"/>
                <w:bCs/>
                <w:sz w:val="14"/>
                <w:szCs w:val="14"/>
                <w:lang w:bidi="en-US"/>
              </w:rPr>
            </w:pPr>
          </w:p>
        </w:tc>
      </w:tr>
    </w:tbl>
    <w:p w14:paraId="5B8EEFC4" w14:textId="19D1593E" w:rsidR="0089673E" w:rsidRDefault="00AA684A" w:rsidP="0089673E">
      <w:pPr>
        <w:pStyle w:val="MDPI16affiliation"/>
        <w:rPr>
          <w:rFonts w:ascii="Georgia" w:eastAsiaTheme="minorEastAsia" w:hAnsi="Georgia" w:cs="Arial"/>
        </w:rPr>
      </w:pPr>
      <w:r w:rsidRPr="005C6417">
        <w:rPr>
          <w:rFonts w:ascii="Georgia" w:eastAsiaTheme="minorEastAsia" w:hAnsi="Georgia" w:cs="Arial"/>
          <w:vertAlign w:val="superscript"/>
        </w:rPr>
        <w:t>1</w:t>
      </w:r>
      <w:r w:rsidR="00A86E9F" w:rsidRPr="005C6417">
        <w:rPr>
          <w:rFonts w:ascii="Georgia" w:eastAsiaTheme="minorEastAsia" w:hAnsi="Georgia" w:cs="Arial"/>
        </w:rPr>
        <w:tab/>
      </w:r>
      <w:r w:rsidR="002D08CA">
        <w:rPr>
          <w:rFonts w:ascii="Georgia" w:eastAsiaTheme="minorEastAsia" w:hAnsi="Georgia" w:cs="Arial"/>
        </w:rPr>
        <w:t>The Bartlett School of Sustainable Construction, UCL, London, UK</w:t>
      </w:r>
      <w:r w:rsidR="002D08CA" w:rsidRPr="005C6417">
        <w:rPr>
          <w:rFonts w:ascii="Georgia" w:eastAsiaTheme="minorEastAsia" w:hAnsi="Georgia" w:cs="Arial"/>
        </w:rPr>
        <w:t xml:space="preserve">; </w:t>
      </w:r>
      <w:hyperlink r:id="rId10" w:history="1">
        <w:r w:rsidR="0089673E" w:rsidRPr="00876AFF">
          <w:rPr>
            <w:rStyle w:val="Hyperlink"/>
            <w:rFonts w:ascii="Georgia" w:eastAsiaTheme="minorEastAsia" w:hAnsi="Georgia" w:cs="Arial"/>
          </w:rPr>
          <w:t>elenatsiantou@gmail.com</w:t>
        </w:r>
      </w:hyperlink>
    </w:p>
    <w:p w14:paraId="49440248" w14:textId="3DAEB62F" w:rsidR="006C2087" w:rsidRDefault="00A86E9F" w:rsidP="004752C1">
      <w:pPr>
        <w:pStyle w:val="MDPI16affiliation"/>
        <w:rPr>
          <w:rFonts w:ascii="Georgia" w:eastAsiaTheme="minorEastAsia" w:hAnsi="Georgia" w:cs="Arial"/>
        </w:rPr>
      </w:pPr>
      <w:r w:rsidRPr="005C6417">
        <w:rPr>
          <w:rFonts w:ascii="Georgia" w:eastAsiaTheme="minorEastAsia" w:hAnsi="Georgia" w:cs="Arial"/>
          <w:vertAlign w:val="superscript"/>
        </w:rPr>
        <w:t>2</w:t>
      </w:r>
      <w:r w:rsidRPr="005C6417">
        <w:rPr>
          <w:rFonts w:ascii="Georgia" w:eastAsiaTheme="minorEastAsia" w:hAnsi="Georgia" w:cs="Arial"/>
        </w:rPr>
        <w:tab/>
      </w:r>
      <w:r w:rsidR="006C2087">
        <w:rPr>
          <w:rFonts w:ascii="Georgia" w:eastAsiaTheme="minorEastAsia" w:hAnsi="Georgia" w:cs="Arial"/>
        </w:rPr>
        <w:t>The Bartlett School of Sustainable Construction, UCL, London, UK</w:t>
      </w:r>
      <w:r w:rsidR="006C2087" w:rsidRPr="005C6417">
        <w:rPr>
          <w:rFonts w:ascii="Georgia" w:eastAsiaTheme="minorEastAsia" w:hAnsi="Georgia" w:cs="Arial"/>
        </w:rPr>
        <w:t xml:space="preserve">; </w:t>
      </w:r>
      <w:hyperlink r:id="rId11" w:history="1">
        <w:r w:rsidR="0089673E" w:rsidRPr="00876AFF">
          <w:rPr>
            <w:rStyle w:val="Hyperlink"/>
            <w:rFonts w:ascii="Georgia" w:eastAsiaTheme="minorEastAsia" w:hAnsi="Georgia" w:cs="Arial"/>
          </w:rPr>
          <w:t>e.chrysikou@ucl.ac.uk</w:t>
        </w:r>
      </w:hyperlink>
    </w:p>
    <w:p w14:paraId="7D04539E" w14:textId="7BC84E7A" w:rsidR="00E57008" w:rsidRPr="005C6417" w:rsidRDefault="006C2087" w:rsidP="00E57008">
      <w:pPr>
        <w:pStyle w:val="MDPI16affiliation"/>
        <w:rPr>
          <w:rFonts w:ascii="Georgia" w:eastAsiaTheme="minorEastAsia" w:hAnsi="Georgia" w:cs="Arial"/>
        </w:rPr>
      </w:pPr>
      <w:r>
        <w:rPr>
          <w:rFonts w:ascii="Georgia" w:eastAsiaTheme="minorEastAsia" w:hAnsi="Georgia" w:cs="Arial"/>
          <w:vertAlign w:val="superscript"/>
        </w:rPr>
        <w:t>3</w:t>
      </w:r>
      <w:r w:rsidRPr="005C6417">
        <w:rPr>
          <w:rFonts w:ascii="Georgia" w:eastAsiaTheme="minorEastAsia" w:hAnsi="Georgia" w:cs="Arial"/>
        </w:rPr>
        <w:tab/>
      </w:r>
      <w:r>
        <w:rPr>
          <w:rFonts w:ascii="Georgia" w:eastAsiaTheme="minorEastAsia" w:hAnsi="Georgia" w:cs="Arial"/>
        </w:rPr>
        <w:t>The Bartlett School of Architecture, UCL, London, UK</w:t>
      </w:r>
      <w:r w:rsidRPr="005C6417">
        <w:rPr>
          <w:rFonts w:ascii="Georgia" w:eastAsiaTheme="minorEastAsia" w:hAnsi="Georgia" w:cs="Arial"/>
        </w:rPr>
        <w:t xml:space="preserve">; </w:t>
      </w:r>
      <w:hyperlink r:id="rId12" w:history="1">
        <w:r w:rsidRPr="00876AFF">
          <w:rPr>
            <w:rStyle w:val="Hyperlink"/>
            <w:rFonts w:ascii="Georgia" w:eastAsiaTheme="minorEastAsia" w:hAnsi="Georgia" w:cs="Arial"/>
          </w:rPr>
          <w:t>hina.lad.13@ucl.ac.uk</w:t>
        </w:r>
      </w:hyperlink>
      <w:r w:rsidR="00E57008">
        <w:rPr>
          <w:rStyle w:val="Hyperlink"/>
          <w:rFonts w:ascii="Georgia" w:eastAsiaTheme="minorEastAsia" w:hAnsi="Georgia" w:cs="Arial"/>
        </w:rPr>
        <w:t xml:space="preserve"> </w:t>
      </w:r>
    </w:p>
    <w:p w14:paraId="35986719" w14:textId="6FA1B1C7" w:rsidR="00A86E9F" w:rsidRDefault="00A86E9F" w:rsidP="00E57008">
      <w:pPr>
        <w:pStyle w:val="MDPI16affiliation"/>
        <w:ind w:left="0" w:firstLine="0"/>
        <w:rPr>
          <w:rFonts w:ascii="Georgia" w:eastAsiaTheme="minorEastAsia" w:hAnsi="Georgia" w:cs="Arial"/>
        </w:rPr>
      </w:pPr>
    </w:p>
    <w:p w14:paraId="3FADCEFE" w14:textId="15D56CAB" w:rsidR="27831D6B" w:rsidRDefault="27831D6B" w:rsidP="0036222B">
      <w:pPr>
        <w:pStyle w:val="MDPI16affiliation"/>
        <w:ind w:left="0" w:firstLine="0"/>
        <w:rPr>
          <w:color w:val="000000" w:themeColor="text1"/>
          <w:szCs w:val="16"/>
        </w:rPr>
      </w:pPr>
    </w:p>
    <w:tbl>
      <w:tblPr>
        <w:tblStyle w:val="TableGrid"/>
        <w:tblW w:w="0" w:type="auto"/>
        <w:tblInd w:w="2608" w:type="dxa"/>
        <w:tblLayout w:type="fixed"/>
        <w:tblLook w:val="06A0" w:firstRow="1" w:lastRow="0" w:firstColumn="1" w:lastColumn="0" w:noHBand="1" w:noVBand="1"/>
      </w:tblPr>
      <w:tblGrid>
        <w:gridCol w:w="7860"/>
      </w:tblGrid>
      <w:tr w:rsidR="1698EAD0" w14:paraId="5B7AC904" w14:textId="77777777" w:rsidTr="0023763A">
        <w:tc>
          <w:tcPr>
            <w:tcW w:w="7860" w:type="dxa"/>
            <w:shd w:val="clear" w:color="auto" w:fill="auto"/>
          </w:tcPr>
          <w:p w14:paraId="4CF95A63" w14:textId="6711F84F" w:rsidR="00A86E9F" w:rsidRDefault="137EBC0B" w:rsidP="1698EAD0">
            <w:pPr>
              <w:pStyle w:val="MDPI62BackMatter"/>
              <w:ind w:left="0"/>
              <w:rPr>
                <w:rFonts w:ascii="Georgia" w:eastAsiaTheme="minorEastAsia" w:hAnsi="Georgia" w:cs="Arial"/>
                <w:b/>
                <w:bCs/>
              </w:rPr>
            </w:pPr>
            <w:r w:rsidRPr="27831D6B">
              <w:rPr>
                <w:rFonts w:ascii="Georgia" w:eastAsiaTheme="minorEastAsia" w:hAnsi="Georgia" w:cs="Arial"/>
                <w:b/>
                <w:bCs/>
              </w:rPr>
              <w:t>Research highlights</w:t>
            </w:r>
          </w:p>
          <w:p w14:paraId="44B8AB4A" w14:textId="360C6829" w:rsidR="00C5719B" w:rsidRDefault="00C5719B" w:rsidP="00405212">
            <w:pPr>
              <w:pStyle w:val="MDPI31text"/>
              <w:numPr>
                <w:ilvl w:val="0"/>
                <w:numId w:val="40"/>
              </w:numPr>
              <w:rPr>
                <w:rFonts w:ascii="Georgia" w:eastAsiaTheme="minorEastAsia" w:hAnsi="Georgia" w:cs="Arial"/>
                <w:sz w:val="18"/>
                <w:szCs w:val="20"/>
                <w:lang w:eastAsia="en-US"/>
              </w:rPr>
            </w:pPr>
            <w:r w:rsidRPr="00FB36C1">
              <w:rPr>
                <w:rFonts w:ascii="Georgia" w:eastAsiaTheme="minorEastAsia" w:hAnsi="Georgia" w:cs="Arial"/>
                <w:sz w:val="18"/>
                <w:szCs w:val="20"/>
                <w:lang w:eastAsia="en-US"/>
              </w:rPr>
              <w:t xml:space="preserve">There is a range of information offered through the different guidelines </w:t>
            </w:r>
            <w:r>
              <w:rPr>
                <w:rFonts w:ascii="Georgia" w:eastAsiaTheme="minorEastAsia" w:hAnsi="Georgia" w:cs="Arial"/>
                <w:sz w:val="18"/>
                <w:szCs w:val="20"/>
                <w:lang w:eastAsia="en-US"/>
              </w:rPr>
              <w:t xml:space="preserve">but the majority of them is focused </w:t>
            </w:r>
            <w:r w:rsidRPr="00FB36C1">
              <w:rPr>
                <w:rFonts w:ascii="Georgia" w:eastAsiaTheme="minorEastAsia" w:hAnsi="Georgia" w:cs="Arial"/>
                <w:sz w:val="18"/>
                <w:szCs w:val="20"/>
                <w:lang w:eastAsia="en-US"/>
              </w:rPr>
              <w:t>on the functionality of waiting areas</w:t>
            </w:r>
            <w:r>
              <w:rPr>
                <w:rFonts w:ascii="Georgia" w:eastAsiaTheme="minorEastAsia" w:hAnsi="Georgia" w:cs="Arial"/>
                <w:sz w:val="18"/>
                <w:szCs w:val="20"/>
                <w:lang w:eastAsia="en-US"/>
              </w:rPr>
              <w:t>.</w:t>
            </w:r>
            <w:r w:rsidRPr="00FB36C1">
              <w:rPr>
                <w:rFonts w:ascii="Georgia" w:eastAsiaTheme="minorEastAsia" w:hAnsi="Georgia" w:cs="Arial"/>
                <w:sz w:val="18"/>
                <w:szCs w:val="20"/>
                <w:lang w:eastAsia="en-US"/>
              </w:rPr>
              <w:t xml:space="preserve"> </w:t>
            </w:r>
          </w:p>
          <w:p w14:paraId="1504B50E" w14:textId="5AD8CC37" w:rsidR="00C5719B" w:rsidRPr="00C5719B" w:rsidRDefault="00C5719B" w:rsidP="00C5719B">
            <w:pPr>
              <w:pStyle w:val="MDPI31text"/>
              <w:numPr>
                <w:ilvl w:val="0"/>
                <w:numId w:val="40"/>
              </w:numPr>
              <w:rPr>
                <w:rFonts w:ascii="Georgia" w:eastAsiaTheme="minorEastAsia" w:hAnsi="Georgia" w:cs="Arial"/>
                <w:sz w:val="18"/>
                <w:szCs w:val="20"/>
                <w:lang w:eastAsia="en-US"/>
              </w:rPr>
            </w:pPr>
            <w:r w:rsidRPr="0022690C">
              <w:rPr>
                <w:rFonts w:ascii="Georgia" w:eastAsiaTheme="minorEastAsia" w:hAnsi="Georgia" w:cs="Arial"/>
                <w:sz w:val="18"/>
                <w:szCs w:val="20"/>
                <w:lang w:eastAsia="en-US"/>
              </w:rPr>
              <w:t xml:space="preserve">The research </w:t>
            </w:r>
            <w:r>
              <w:rPr>
                <w:rFonts w:ascii="Georgia" w:eastAsiaTheme="minorEastAsia" w:hAnsi="Georgia" w:cs="Arial"/>
                <w:sz w:val="18"/>
                <w:szCs w:val="20"/>
                <w:lang w:eastAsia="en-US"/>
              </w:rPr>
              <w:t>indicates</w:t>
            </w:r>
            <w:r w:rsidRPr="0022690C">
              <w:rPr>
                <w:rFonts w:ascii="Georgia" w:eastAsiaTheme="minorEastAsia" w:hAnsi="Georgia" w:cs="Arial"/>
                <w:sz w:val="18"/>
                <w:szCs w:val="20"/>
                <w:lang w:eastAsia="en-US"/>
              </w:rPr>
              <w:t xml:space="preserve"> that the therapeutic qualities of</w:t>
            </w:r>
            <w:r>
              <w:rPr>
                <w:rFonts w:ascii="Georgia" w:eastAsiaTheme="minorEastAsia" w:hAnsi="Georgia" w:cs="Arial"/>
                <w:sz w:val="18"/>
                <w:szCs w:val="20"/>
                <w:lang w:eastAsia="en-US"/>
              </w:rPr>
              <w:t xml:space="preserve"> physical design elements in hospital waiting areas </w:t>
            </w:r>
            <w:r w:rsidRPr="0022690C">
              <w:rPr>
                <w:rFonts w:ascii="Georgia" w:eastAsiaTheme="minorEastAsia" w:hAnsi="Georgia" w:cs="Arial"/>
                <w:sz w:val="18"/>
                <w:szCs w:val="20"/>
                <w:lang w:eastAsia="en-US"/>
              </w:rPr>
              <w:t xml:space="preserve">have been ignored by regulators. </w:t>
            </w:r>
          </w:p>
          <w:p w14:paraId="4F73831D" w14:textId="4DDB7E0A" w:rsidR="00405212" w:rsidRPr="00405212" w:rsidRDefault="00DD7662" w:rsidP="00405212">
            <w:pPr>
              <w:pStyle w:val="MDPI31text"/>
              <w:numPr>
                <w:ilvl w:val="0"/>
                <w:numId w:val="40"/>
              </w:numPr>
              <w:rPr>
                <w:rFonts w:ascii="Georgia" w:eastAsiaTheme="minorEastAsia" w:hAnsi="Georgia" w:cs="Arial"/>
                <w:sz w:val="18"/>
                <w:szCs w:val="20"/>
                <w:lang w:eastAsia="en-US"/>
              </w:rPr>
            </w:pPr>
            <w:r w:rsidRPr="00405212">
              <w:rPr>
                <w:rFonts w:ascii="Georgia" w:eastAsiaTheme="minorEastAsia" w:hAnsi="Georgia" w:cs="Arial"/>
                <w:sz w:val="18"/>
                <w:szCs w:val="20"/>
                <w:lang w:eastAsia="en-US"/>
              </w:rPr>
              <w:t>Actions to improve healthcare design guidelines could be beneficial for patients’ wellbeing</w:t>
            </w:r>
            <w:r w:rsidR="00C5719B">
              <w:rPr>
                <w:rFonts w:ascii="Georgia" w:eastAsiaTheme="minorEastAsia" w:hAnsi="Georgia" w:cs="Arial"/>
                <w:sz w:val="18"/>
                <w:szCs w:val="20"/>
                <w:lang w:eastAsia="en-US"/>
              </w:rPr>
              <w:t>.</w:t>
            </w:r>
          </w:p>
          <w:p w14:paraId="79529394" w14:textId="4B27AE85" w:rsidR="0022690C" w:rsidRDefault="0022690C" w:rsidP="003753C8">
            <w:pPr>
              <w:pStyle w:val="MDPI31text"/>
              <w:ind w:left="0" w:firstLine="0"/>
              <w:rPr>
                <w:rFonts w:ascii="Georgia" w:eastAsiaTheme="minorEastAsia" w:hAnsi="Georgia" w:cs="Arial"/>
              </w:rPr>
            </w:pPr>
          </w:p>
        </w:tc>
      </w:tr>
    </w:tbl>
    <w:p w14:paraId="55CE36C4" w14:textId="577938EE" w:rsidR="00A86E9F" w:rsidRPr="005C6417" w:rsidRDefault="00A86E9F" w:rsidP="00A86E9F">
      <w:pPr>
        <w:pStyle w:val="MDPI18keywords"/>
        <w:rPr>
          <w:rFonts w:ascii="Georgia" w:eastAsiaTheme="minorEastAsia" w:hAnsi="Georgia" w:cs="Arial"/>
          <w:szCs w:val="18"/>
        </w:rPr>
      </w:pPr>
      <w:r w:rsidRPr="004F2BEA">
        <w:rPr>
          <w:rFonts w:ascii="Georgia" w:eastAsiaTheme="minorEastAsia" w:hAnsi="Georgia" w:cs="Arial"/>
          <w:b/>
          <w:szCs w:val="18"/>
        </w:rPr>
        <w:t>Keywords:</w:t>
      </w:r>
      <w:r w:rsidRPr="005C6417">
        <w:rPr>
          <w:rFonts w:ascii="Georgia" w:eastAsiaTheme="minorEastAsia" w:hAnsi="Georgia" w:cs="Arial"/>
          <w:szCs w:val="18"/>
        </w:rPr>
        <w:t xml:space="preserve"> </w:t>
      </w:r>
      <w:r w:rsidR="00AC6BF8">
        <w:rPr>
          <w:rFonts w:ascii="Georgia" w:eastAsiaTheme="minorEastAsia" w:hAnsi="Georgia" w:cs="Arial"/>
          <w:szCs w:val="18"/>
        </w:rPr>
        <w:t>waiting areas</w:t>
      </w:r>
      <w:r w:rsidRPr="005C6417">
        <w:rPr>
          <w:rFonts w:ascii="Georgia" w:eastAsiaTheme="minorEastAsia" w:hAnsi="Georgia" w:cs="Arial"/>
          <w:szCs w:val="18"/>
        </w:rPr>
        <w:t xml:space="preserve">; </w:t>
      </w:r>
      <w:r w:rsidR="00AC6BF8">
        <w:rPr>
          <w:rFonts w:ascii="Georgia" w:eastAsiaTheme="minorEastAsia" w:hAnsi="Georgia" w:cs="Arial"/>
          <w:szCs w:val="18"/>
        </w:rPr>
        <w:t>healthcare design guidelines</w:t>
      </w:r>
      <w:r w:rsidRPr="005C6417">
        <w:rPr>
          <w:rFonts w:ascii="Georgia" w:eastAsiaTheme="minorEastAsia" w:hAnsi="Georgia" w:cs="Arial"/>
          <w:szCs w:val="18"/>
        </w:rPr>
        <w:t>;</w:t>
      </w:r>
      <w:r w:rsidR="00AC6BF8">
        <w:rPr>
          <w:rFonts w:ascii="Georgia" w:eastAsiaTheme="minorEastAsia" w:hAnsi="Georgia" w:cs="Arial"/>
          <w:szCs w:val="18"/>
        </w:rPr>
        <w:t xml:space="preserve"> evidence-based design</w:t>
      </w:r>
      <w:r w:rsidR="00AC6BF8" w:rsidRPr="005C6417">
        <w:rPr>
          <w:rFonts w:ascii="Georgia" w:eastAsiaTheme="minorEastAsia" w:hAnsi="Georgia" w:cs="Arial"/>
          <w:szCs w:val="18"/>
        </w:rPr>
        <w:t>;</w:t>
      </w:r>
      <w:r w:rsidR="00AC6BF8">
        <w:rPr>
          <w:rFonts w:ascii="Georgia" w:eastAsiaTheme="minorEastAsia" w:hAnsi="Georgia" w:cs="Arial"/>
          <w:szCs w:val="18"/>
        </w:rPr>
        <w:t xml:space="preserve"> therapeutic environment</w:t>
      </w:r>
      <w:r w:rsidR="00AC6BF8" w:rsidRPr="005C6417">
        <w:rPr>
          <w:rFonts w:ascii="Georgia" w:eastAsiaTheme="minorEastAsia" w:hAnsi="Georgia" w:cs="Arial"/>
          <w:szCs w:val="18"/>
        </w:rPr>
        <w:t>;</w:t>
      </w:r>
      <w:r w:rsidR="00AC6BF8">
        <w:rPr>
          <w:rFonts w:ascii="Georgia" w:eastAsiaTheme="minorEastAsia" w:hAnsi="Georgia" w:cs="Arial"/>
          <w:szCs w:val="18"/>
        </w:rPr>
        <w:t xml:space="preserve"> hospitals</w:t>
      </w:r>
      <w:r w:rsidR="004752C1" w:rsidRPr="005C6417">
        <w:rPr>
          <w:rFonts w:ascii="Georgia" w:eastAsiaTheme="minorEastAsia" w:hAnsi="Georgia" w:cs="Arial"/>
          <w:szCs w:val="18"/>
        </w:rPr>
        <w:t xml:space="preserve"> </w:t>
      </w:r>
    </w:p>
    <w:p w14:paraId="6A05A809" w14:textId="77777777" w:rsidR="00A86E9F" w:rsidRPr="005C6417" w:rsidRDefault="00A86E9F" w:rsidP="00A86E9F">
      <w:pPr>
        <w:pStyle w:val="MDPI19line"/>
        <w:rPr>
          <w:rFonts w:ascii="Georgia" w:eastAsiaTheme="minorEastAsia" w:hAnsi="Georgia" w:cs="Arial"/>
        </w:rPr>
      </w:pPr>
    </w:p>
    <w:p w14:paraId="1EB5580A" w14:textId="3800BEA4" w:rsidR="00711B21" w:rsidRPr="00711B21" w:rsidRDefault="00A86E9F" w:rsidP="00711B21">
      <w:pPr>
        <w:pStyle w:val="MDPI21heading1"/>
        <w:numPr>
          <w:ilvl w:val="0"/>
          <w:numId w:val="39"/>
        </w:numPr>
        <w:ind w:left="2968"/>
        <w:rPr>
          <w:rFonts w:ascii="Georgia" w:eastAsiaTheme="minorEastAsia" w:hAnsi="Georgia" w:cs="Arial"/>
          <w:lang w:eastAsia="zh-CN"/>
        </w:rPr>
      </w:pPr>
      <w:r w:rsidRPr="004F2BEA">
        <w:rPr>
          <w:rFonts w:ascii="Georgia" w:eastAsiaTheme="minorEastAsia" w:hAnsi="Georgia" w:cs="Arial"/>
          <w:lang w:eastAsia="zh-CN"/>
        </w:rPr>
        <w:t>Introductio</w:t>
      </w:r>
      <w:r w:rsidR="00711B21">
        <w:rPr>
          <w:rFonts w:ascii="Georgia" w:eastAsiaTheme="minorEastAsia" w:hAnsi="Georgia" w:cs="Arial"/>
          <w:lang w:eastAsia="zh-CN"/>
        </w:rPr>
        <w:t>n</w:t>
      </w:r>
    </w:p>
    <w:p w14:paraId="4BE9EB1D" w14:textId="77777777" w:rsidR="00711B21" w:rsidRDefault="00711B21" w:rsidP="00711B21">
      <w:pPr>
        <w:pStyle w:val="MDPI31text"/>
        <w:rPr>
          <w:rFonts w:ascii="Georgia" w:eastAsiaTheme="minorEastAsia" w:hAnsi="Georgia" w:cs="Arial"/>
          <w:color w:val="000000" w:themeColor="text1"/>
        </w:rPr>
      </w:pPr>
    </w:p>
    <w:p w14:paraId="4F4F7576" w14:textId="77777777" w:rsidR="00613B04" w:rsidRPr="00613B04" w:rsidRDefault="00613B04" w:rsidP="00613B04">
      <w:pPr>
        <w:pStyle w:val="MDPI31text"/>
        <w:rPr>
          <w:rFonts w:ascii="Georgia" w:eastAsiaTheme="minorEastAsia" w:hAnsi="Georgia" w:cs="Arial"/>
          <w:color w:val="000000" w:themeColor="text1"/>
        </w:rPr>
      </w:pPr>
      <w:r w:rsidRPr="00613B04">
        <w:rPr>
          <w:rFonts w:ascii="Georgia" w:eastAsiaTheme="minorEastAsia" w:hAnsi="Georgia" w:cs="Arial"/>
          <w:color w:val="000000" w:themeColor="text1"/>
        </w:rPr>
        <w:t xml:space="preserve">The waiting area is an indispensable part of the healthcare experience. It belongs to the non-clinical spaces of a hospital where people spend many ‘in-between moments’ such as waiting until their appointment begins, waiting to receive results, having a medical procedure or seeing a family member that is hospitalized (Harkness, 2019). Patients usually have increased biological metrics when entering healthcare environments as a response to stress. The waiting area acts as a priming experience for them and priming them with nice settings before consultation or procedure might benefit their health. </w:t>
      </w:r>
    </w:p>
    <w:p w14:paraId="3659FEC5" w14:textId="77777777" w:rsidR="00613B04" w:rsidRPr="00613B04" w:rsidRDefault="00613B04" w:rsidP="00613B04">
      <w:pPr>
        <w:pStyle w:val="MDPI31text"/>
        <w:rPr>
          <w:rFonts w:ascii="Georgia" w:eastAsiaTheme="minorEastAsia" w:hAnsi="Georgia" w:cs="Arial"/>
          <w:color w:val="000000" w:themeColor="text1"/>
        </w:rPr>
      </w:pPr>
      <w:r w:rsidRPr="00613B04">
        <w:rPr>
          <w:rFonts w:ascii="Georgia" w:eastAsiaTheme="minorEastAsia" w:hAnsi="Georgia" w:cs="Arial"/>
          <w:color w:val="000000" w:themeColor="text1"/>
        </w:rPr>
        <w:t xml:space="preserve">According to </w:t>
      </w:r>
      <w:proofErr w:type="spellStart"/>
      <w:r w:rsidRPr="00613B04">
        <w:rPr>
          <w:rFonts w:ascii="Georgia" w:eastAsiaTheme="minorEastAsia" w:hAnsi="Georgia" w:cs="Arial"/>
          <w:color w:val="000000" w:themeColor="text1"/>
        </w:rPr>
        <w:t>Goelitz</w:t>
      </w:r>
      <w:proofErr w:type="spellEnd"/>
      <w:r w:rsidRPr="00613B04">
        <w:rPr>
          <w:rFonts w:ascii="Georgia" w:eastAsiaTheme="minorEastAsia" w:hAnsi="Georgia" w:cs="Arial"/>
          <w:color w:val="000000" w:themeColor="text1"/>
        </w:rPr>
        <w:t xml:space="preserve"> &amp; Kahn (2008), humans are connected and influenced by their external environment without consciously </w:t>
      </w:r>
      <w:proofErr w:type="spellStart"/>
      <w:r w:rsidRPr="00613B04">
        <w:rPr>
          <w:rFonts w:ascii="Georgia" w:eastAsiaTheme="minorEastAsia" w:hAnsi="Georgia" w:cs="Arial"/>
          <w:color w:val="000000" w:themeColor="text1"/>
        </w:rPr>
        <w:t>realising</w:t>
      </w:r>
      <w:proofErr w:type="spellEnd"/>
      <w:r w:rsidRPr="00613B04">
        <w:rPr>
          <w:rFonts w:ascii="Georgia" w:eastAsiaTheme="minorEastAsia" w:hAnsi="Georgia" w:cs="Arial"/>
          <w:color w:val="000000" w:themeColor="text1"/>
        </w:rPr>
        <w:t xml:space="preserve"> it. Psychological stress except for the anxiety about the unknown can be provoked by a poorly designed physical environment (</w:t>
      </w:r>
      <w:proofErr w:type="spellStart"/>
      <w:r w:rsidRPr="00613B04">
        <w:rPr>
          <w:rFonts w:ascii="Georgia" w:eastAsiaTheme="minorEastAsia" w:hAnsi="Georgia" w:cs="Arial"/>
          <w:color w:val="000000" w:themeColor="text1"/>
        </w:rPr>
        <w:t>Zraati</w:t>
      </w:r>
      <w:proofErr w:type="spellEnd"/>
      <w:r w:rsidRPr="00613B04">
        <w:rPr>
          <w:rFonts w:ascii="Georgia" w:eastAsiaTheme="minorEastAsia" w:hAnsi="Georgia" w:cs="Arial"/>
          <w:color w:val="000000" w:themeColor="text1"/>
        </w:rPr>
        <w:t>, 2013). That is why it is considered important a therapeutic environment that strengthens the self-healing capacity of patients, improves staff efficiency, alleviates stress, reduces pain, and enhances patient comfort and safety (</w:t>
      </w:r>
      <w:proofErr w:type="spellStart"/>
      <w:r w:rsidRPr="00613B04">
        <w:rPr>
          <w:rFonts w:ascii="Georgia" w:eastAsiaTheme="minorEastAsia" w:hAnsi="Georgia" w:cs="Arial"/>
          <w:color w:val="000000" w:themeColor="text1"/>
        </w:rPr>
        <w:t>Iyendo</w:t>
      </w:r>
      <w:proofErr w:type="spellEnd"/>
      <w:r w:rsidRPr="00613B04">
        <w:rPr>
          <w:rFonts w:ascii="Georgia" w:eastAsiaTheme="minorEastAsia" w:hAnsi="Georgia" w:cs="Arial"/>
          <w:color w:val="000000" w:themeColor="text1"/>
        </w:rPr>
        <w:t xml:space="preserve">, </w:t>
      </w:r>
      <w:proofErr w:type="spellStart"/>
      <w:r w:rsidRPr="00613B04">
        <w:rPr>
          <w:rFonts w:ascii="Georgia" w:eastAsiaTheme="minorEastAsia" w:hAnsi="Georgia" w:cs="Arial"/>
          <w:color w:val="000000" w:themeColor="text1"/>
        </w:rPr>
        <w:t>Uwajeh</w:t>
      </w:r>
      <w:proofErr w:type="spellEnd"/>
      <w:r w:rsidRPr="00613B04">
        <w:rPr>
          <w:rFonts w:ascii="Georgia" w:eastAsiaTheme="minorEastAsia" w:hAnsi="Georgia" w:cs="Arial"/>
          <w:color w:val="000000" w:themeColor="text1"/>
        </w:rPr>
        <w:t xml:space="preserve">, &amp; Ikenna, 2016). There are plenty of studies proving that specific design elements have a positive effect on patients and occupants, and value the healing atmosphere of a hospital waiting area even if that happens unconsciously sometimes. </w:t>
      </w:r>
    </w:p>
    <w:p w14:paraId="358F894F" w14:textId="77777777" w:rsidR="00613B04" w:rsidRPr="00613B04" w:rsidRDefault="00613B04" w:rsidP="00613B04">
      <w:pPr>
        <w:pStyle w:val="MDPI31text"/>
        <w:rPr>
          <w:rFonts w:ascii="Georgia" w:eastAsiaTheme="minorEastAsia" w:hAnsi="Georgia" w:cs="Arial"/>
          <w:color w:val="000000" w:themeColor="text1"/>
        </w:rPr>
      </w:pPr>
      <w:r w:rsidRPr="00613B04">
        <w:rPr>
          <w:rFonts w:ascii="Georgia" w:eastAsiaTheme="minorEastAsia" w:hAnsi="Georgia" w:cs="Arial"/>
          <w:color w:val="000000" w:themeColor="text1"/>
        </w:rPr>
        <w:t xml:space="preserve">A healing environment works complementary to medical care by enhancing it and not substituting it (Henderson, 2008). There is a growing body of research that surpasses the functional value of healthcare facilities and examines the intangible value of their environment and the impact on patients. One good example is the evidence-based design approach which focuses on the significance of interior physical elements and how they connect to patients’ wellbeing. The evidence-based design was developed by Ulrich (1991) and in the last years, many healthcare stakeholders acknowledge the benefits of its implementation. </w:t>
      </w:r>
    </w:p>
    <w:p w14:paraId="5E9368F3" w14:textId="56B95356" w:rsidR="00613B04" w:rsidRPr="00613B04" w:rsidRDefault="00613B04" w:rsidP="00613B04">
      <w:pPr>
        <w:pStyle w:val="MDPI31text"/>
        <w:rPr>
          <w:rFonts w:ascii="Georgia" w:eastAsiaTheme="minorEastAsia" w:hAnsi="Georgia" w:cs="Arial"/>
          <w:color w:val="000000" w:themeColor="text1"/>
        </w:rPr>
      </w:pPr>
      <w:r w:rsidRPr="00613B04">
        <w:rPr>
          <w:rFonts w:ascii="Georgia" w:eastAsiaTheme="minorEastAsia" w:hAnsi="Georgia" w:cs="Arial"/>
          <w:color w:val="000000" w:themeColor="text1"/>
        </w:rPr>
        <w:lastRenderedPageBreak/>
        <w:t>Many countries provide architects and designers of healthcare facilities with guidelines which intend to support the design process as well as to give examples of best practices and guidance on the design and planning of newly constructed healthcare buildings or renovations in existing buildings</w:t>
      </w:r>
      <w:r w:rsidR="00123C0F">
        <w:rPr>
          <w:rFonts w:ascii="Georgia" w:eastAsiaTheme="minorEastAsia" w:hAnsi="Georgia" w:cs="Arial"/>
          <w:color w:val="000000" w:themeColor="text1"/>
        </w:rPr>
        <w:t xml:space="preserve"> </w:t>
      </w:r>
      <w:r w:rsidRPr="00613B04">
        <w:rPr>
          <w:rFonts w:ascii="Georgia" w:eastAsiaTheme="minorEastAsia" w:hAnsi="Georgia" w:cs="Arial"/>
          <w:color w:val="000000" w:themeColor="text1"/>
        </w:rPr>
        <w:t xml:space="preserve">(HBN 00-01 Department of Health, 2014, p.4). Usually, these documents focus on the clinical areas such as consulting and treatment rooms, patient rooms, operating theatres etc. </w:t>
      </w:r>
      <w:r w:rsidR="00123C0F">
        <w:rPr>
          <w:rFonts w:ascii="Georgia" w:eastAsiaTheme="minorEastAsia" w:hAnsi="Georgia" w:cs="Arial"/>
          <w:color w:val="000000" w:themeColor="text1"/>
        </w:rPr>
        <w:t>which</w:t>
      </w:r>
      <w:r w:rsidRPr="00613B04">
        <w:rPr>
          <w:rFonts w:ascii="Georgia" w:eastAsiaTheme="minorEastAsia" w:hAnsi="Georgia" w:cs="Arial"/>
          <w:color w:val="000000" w:themeColor="text1"/>
        </w:rPr>
        <w:t xml:space="preserve"> is a result of the limitation of studies that are usually restricted to clinical areas of healthcare facilities. </w:t>
      </w:r>
    </w:p>
    <w:p w14:paraId="13F81814" w14:textId="582E1688" w:rsidR="00613B04" w:rsidRDefault="00613B04" w:rsidP="00613B04">
      <w:pPr>
        <w:pStyle w:val="MDPI31text"/>
        <w:rPr>
          <w:rFonts w:ascii="Georgia" w:eastAsiaTheme="minorEastAsia" w:hAnsi="Georgia" w:cs="Arial"/>
          <w:color w:val="000000" w:themeColor="text1"/>
        </w:rPr>
      </w:pPr>
      <w:r w:rsidRPr="00613B04">
        <w:rPr>
          <w:rFonts w:ascii="Georgia" w:eastAsiaTheme="minorEastAsia" w:hAnsi="Georgia" w:cs="Arial"/>
          <w:color w:val="000000" w:themeColor="text1"/>
        </w:rPr>
        <w:t>The aim of this study is to identify if the design of the non-clinical spaces of hospitals, particularly the waiting areas, is considered equally important in the healing process as the clinical areas by regulators as well as if the therapeutic value of waiting areas is endorsed through healthcare design guidelines.</w:t>
      </w:r>
    </w:p>
    <w:p w14:paraId="089E9642" w14:textId="77777777" w:rsidR="00711B21" w:rsidRDefault="00711B21" w:rsidP="00613B04">
      <w:pPr>
        <w:pStyle w:val="MDPI31text"/>
        <w:ind w:left="0" w:firstLine="0"/>
        <w:rPr>
          <w:rFonts w:ascii="Georgia" w:eastAsiaTheme="minorEastAsia" w:hAnsi="Georgia" w:cs="Arial"/>
        </w:rPr>
      </w:pPr>
    </w:p>
    <w:p w14:paraId="0E66A72E" w14:textId="5E541CBD" w:rsidR="00711B21" w:rsidRDefault="0040015C" w:rsidP="00711B21">
      <w:pPr>
        <w:pStyle w:val="MDPI21heading1"/>
        <w:numPr>
          <w:ilvl w:val="0"/>
          <w:numId w:val="39"/>
        </w:numPr>
        <w:rPr>
          <w:rFonts w:ascii="Georgia" w:eastAsiaTheme="minorEastAsia" w:hAnsi="Georgia" w:cs="Arial"/>
        </w:rPr>
      </w:pPr>
      <w:r w:rsidRPr="004F2BEA">
        <w:rPr>
          <w:rFonts w:ascii="Georgia" w:eastAsiaTheme="minorEastAsia" w:hAnsi="Georgia" w:cs="Arial"/>
        </w:rPr>
        <w:t>Theories</w:t>
      </w:r>
      <w:r w:rsidR="00A86E9F" w:rsidRPr="004F2BEA">
        <w:rPr>
          <w:rFonts w:ascii="Georgia" w:eastAsiaTheme="minorEastAsia" w:hAnsi="Georgia" w:cs="Arial"/>
        </w:rPr>
        <w:t xml:space="preserve"> and Methods</w:t>
      </w:r>
    </w:p>
    <w:p w14:paraId="61A2CEA9" w14:textId="77777777" w:rsidR="00711B21" w:rsidRDefault="00711B21" w:rsidP="00711B21">
      <w:pPr>
        <w:pStyle w:val="MDPI31text"/>
        <w:rPr>
          <w:rFonts w:ascii="Georgia" w:eastAsiaTheme="minorEastAsia" w:hAnsi="Georgia" w:cs="Arial"/>
          <w:color w:val="000000" w:themeColor="text1"/>
        </w:rPr>
      </w:pPr>
    </w:p>
    <w:p w14:paraId="4B5376EC" w14:textId="54D08160" w:rsidR="00613B04" w:rsidRPr="00613B04" w:rsidRDefault="00613B04" w:rsidP="00123C0F">
      <w:pPr>
        <w:pStyle w:val="MDPI31text"/>
        <w:rPr>
          <w:rFonts w:ascii="Georgia" w:eastAsiaTheme="minorEastAsia" w:hAnsi="Georgia" w:cs="Arial"/>
          <w:color w:val="000000" w:themeColor="text1"/>
        </w:rPr>
      </w:pPr>
      <w:r w:rsidRPr="00613B04">
        <w:rPr>
          <w:rFonts w:ascii="Georgia" w:eastAsiaTheme="minorEastAsia" w:hAnsi="Georgia" w:cs="Arial"/>
          <w:color w:val="000000" w:themeColor="text1"/>
        </w:rPr>
        <w:t xml:space="preserve">A trustworthy way to examine if the therapeutic value of waiting areas is </w:t>
      </w:r>
      <w:proofErr w:type="spellStart"/>
      <w:r w:rsidRPr="00613B04">
        <w:rPr>
          <w:rFonts w:ascii="Georgia" w:eastAsiaTheme="minorEastAsia" w:hAnsi="Georgia" w:cs="Arial"/>
          <w:color w:val="000000" w:themeColor="text1"/>
        </w:rPr>
        <w:t>recognised</w:t>
      </w:r>
      <w:proofErr w:type="spellEnd"/>
      <w:r w:rsidRPr="00613B04">
        <w:rPr>
          <w:rFonts w:ascii="Georgia" w:eastAsiaTheme="minorEastAsia" w:hAnsi="Georgia" w:cs="Arial"/>
          <w:color w:val="000000" w:themeColor="text1"/>
        </w:rPr>
        <w:t xml:space="preserve"> by regulators and endorsed by healthcare design guidelines was an analysis and juxtaposition of three different countries' healthcare design guidelines</w:t>
      </w:r>
      <w:r w:rsidR="00123C0F">
        <w:rPr>
          <w:rFonts w:ascii="Georgia" w:eastAsiaTheme="minorEastAsia" w:hAnsi="Georgia" w:cs="Arial"/>
          <w:color w:val="000000" w:themeColor="text1"/>
        </w:rPr>
        <w:t xml:space="preserve"> </w:t>
      </w:r>
      <w:r w:rsidR="00123C0F" w:rsidRPr="00613B04">
        <w:rPr>
          <w:rFonts w:ascii="Georgia" w:eastAsiaTheme="minorEastAsia" w:hAnsi="Georgia" w:cs="Arial"/>
          <w:color w:val="000000" w:themeColor="text1"/>
        </w:rPr>
        <w:t>under the scope of specific evidence-based design features</w:t>
      </w:r>
      <w:r w:rsidR="00123C0F">
        <w:rPr>
          <w:rFonts w:ascii="Georgia" w:eastAsiaTheme="minorEastAsia" w:hAnsi="Georgia" w:cs="Arial"/>
          <w:color w:val="000000" w:themeColor="text1"/>
        </w:rPr>
        <w:t xml:space="preserve">. </w:t>
      </w:r>
      <w:r w:rsidRPr="00613B04">
        <w:rPr>
          <w:rFonts w:ascii="Georgia" w:eastAsiaTheme="minorEastAsia" w:hAnsi="Georgia" w:cs="Arial"/>
          <w:color w:val="000000" w:themeColor="text1"/>
        </w:rPr>
        <w:t>The selected guidelines were all written in English, from countries with no significant cultural differences because culture plays an important role in the design of waiting spaces. In particular, the three chosen countries were the UK, USA and Australia. The documents used for each are for the UK; Health Building Note 00-01 General design guidance for healthcare buildings, for the USA; guidelines for design and construction of hospital and healthcare facilities and for Australia: Australasian Health Facility Guidelines.</w:t>
      </w:r>
    </w:p>
    <w:p w14:paraId="7ACD88C5" w14:textId="625B4CE3" w:rsidR="00613B04" w:rsidRDefault="00613B04" w:rsidP="00613B04">
      <w:pPr>
        <w:pStyle w:val="MDPI31text"/>
        <w:rPr>
          <w:rFonts w:ascii="Georgia" w:eastAsiaTheme="minorEastAsia" w:hAnsi="Georgia" w:cs="Arial"/>
          <w:color w:val="000000" w:themeColor="text1"/>
        </w:rPr>
      </w:pPr>
      <w:r w:rsidRPr="00613B04">
        <w:rPr>
          <w:rFonts w:ascii="Georgia" w:eastAsiaTheme="minorEastAsia" w:hAnsi="Georgia" w:cs="Arial"/>
          <w:color w:val="000000" w:themeColor="text1"/>
        </w:rPr>
        <w:t>The first part of the methodology was to find out if there are equally detailed descriptions for the design of waiting</w:t>
      </w:r>
      <w:r w:rsidR="00123C0F">
        <w:rPr>
          <w:rFonts w:ascii="Georgia" w:eastAsiaTheme="minorEastAsia" w:hAnsi="Georgia" w:cs="Arial"/>
          <w:color w:val="000000" w:themeColor="text1"/>
        </w:rPr>
        <w:t xml:space="preserve"> are</w:t>
      </w:r>
      <w:r w:rsidRPr="00613B04">
        <w:rPr>
          <w:rFonts w:ascii="Georgia" w:eastAsiaTheme="minorEastAsia" w:hAnsi="Georgia" w:cs="Arial"/>
          <w:color w:val="000000" w:themeColor="text1"/>
        </w:rPr>
        <w:t>as</w:t>
      </w:r>
      <w:r w:rsidR="00123C0F">
        <w:rPr>
          <w:rFonts w:ascii="Georgia" w:eastAsiaTheme="minorEastAsia" w:hAnsi="Georgia" w:cs="Arial"/>
          <w:color w:val="000000" w:themeColor="text1"/>
        </w:rPr>
        <w:t xml:space="preserve"> as</w:t>
      </w:r>
      <w:r w:rsidRPr="00613B04">
        <w:rPr>
          <w:rFonts w:ascii="Georgia" w:eastAsiaTheme="minorEastAsia" w:hAnsi="Georgia" w:cs="Arial"/>
          <w:color w:val="000000" w:themeColor="text1"/>
        </w:rPr>
        <w:t xml:space="preserve"> for clinical spaces in hospitals in the healthcare design guidelines. Followed by an analysis among the chosen documents as far as the type of information and instructions given to architects about the design of waiting areas sco</w:t>
      </w:r>
      <w:r w:rsidR="00123C0F">
        <w:rPr>
          <w:rFonts w:ascii="Georgia" w:eastAsiaTheme="minorEastAsia" w:hAnsi="Georgia" w:cs="Arial"/>
          <w:color w:val="000000" w:themeColor="text1"/>
        </w:rPr>
        <w:t>p</w:t>
      </w:r>
      <w:r w:rsidRPr="00613B04">
        <w:rPr>
          <w:rFonts w:ascii="Georgia" w:eastAsiaTheme="minorEastAsia" w:hAnsi="Georgia" w:cs="Arial"/>
          <w:color w:val="000000" w:themeColor="text1"/>
        </w:rPr>
        <w:t xml:space="preserve">ing in finding references to specific physical features </w:t>
      </w:r>
      <w:r w:rsidR="00123C0F">
        <w:rPr>
          <w:rFonts w:ascii="Georgia" w:eastAsiaTheme="minorEastAsia" w:hAnsi="Georgia" w:cs="Arial"/>
          <w:color w:val="000000" w:themeColor="text1"/>
        </w:rPr>
        <w:t xml:space="preserve">that the </w:t>
      </w:r>
      <w:r w:rsidR="00123C0F" w:rsidRPr="00613B04">
        <w:rPr>
          <w:rFonts w:ascii="Georgia" w:eastAsiaTheme="minorEastAsia" w:hAnsi="Georgia" w:cs="Arial"/>
          <w:color w:val="000000" w:themeColor="text1"/>
        </w:rPr>
        <w:t>therapeutic concept emphasizes</w:t>
      </w:r>
      <w:r w:rsidR="00123C0F">
        <w:rPr>
          <w:rFonts w:ascii="Georgia" w:eastAsiaTheme="minorEastAsia" w:hAnsi="Georgia" w:cs="Arial"/>
          <w:color w:val="000000" w:themeColor="text1"/>
        </w:rPr>
        <w:t xml:space="preserve"> </w:t>
      </w:r>
      <w:r w:rsidRPr="00613B04">
        <w:rPr>
          <w:rFonts w:ascii="Georgia" w:eastAsiaTheme="minorEastAsia" w:hAnsi="Georgia" w:cs="Arial"/>
          <w:color w:val="000000" w:themeColor="text1"/>
        </w:rPr>
        <w:t xml:space="preserve">such as natural light, artwork, good air quality, plants, views to the landscape, nice shooting </w:t>
      </w:r>
      <w:proofErr w:type="spellStart"/>
      <w:r w:rsidRPr="00613B04">
        <w:rPr>
          <w:rFonts w:ascii="Georgia" w:eastAsiaTheme="minorEastAsia" w:hAnsi="Georgia" w:cs="Arial"/>
          <w:color w:val="000000" w:themeColor="text1"/>
        </w:rPr>
        <w:t>colours</w:t>
      </w:r>
      <w:proofErr w:type="spellEnd"/>
      <w:r w:rsidRPr="00613B04">
        <w:rPr>
          <w:rFonts w:ascii="Georgia" w:eastAsiaTheme="minorEastAsia" w:hAnsi="Georgia" w:cs="Arial"/>
          <w:color w:val="000000" w:themeColor="text1"/>
        </w:rPr>
        <w:t>, comfortable furniture etc.</w:t>
      </w:r>
      <w:r w:rsidR="00123C0F">
        <w:rPr>
          <w:rFonts w:ascii="Georgia" w:eastAsiaTheme="minorEastAsia" w:hAnsi="Georgia" w:cs="Arial"/>
          <w:color w:val="000000" w:themeColor="text1"/>
        </w:rPr>
        <w:t xml:space="preserve"> </w:t>
      </w:r>
      <w:r w:rsidRPr="00613B04">
        <w:rPr>
          <w:rFonts w:ascii="Georgia" w:eastAsiaTheme="minorEastAsia" w:hAnsi="Georgia" w:cs="Arial"/>
          <w:color w:val="000000" w:themeColor="text1"/>
        </w:rPr>
        <w:t>(</w:t>
      </w:r>
      <w:proofErr w:type="spellStart"/>
      <w:r w:rsidRPr="00613B04">
        <w:rPr>
          <w:rFonts w:ascii="Georgia" w:eastAsiaTheme="minorEastAsia" w:hAnsi="Georgia" w:cs="Arial"/>
          <w:color w:val="000000" w:themeColor="text1"/>
        </w:rPr>
        <w:t>Iyendo</w:t>
      </w:r>
      <w:proofErr w:type="spellEnd"/>
      <w:r w:rsidRPr="00613B04">
        <w:rPr>
          <w:rFonts w:ascii="Georgia" w:eastAsiaTheme="minorEastAsia" w:hAnsi="Georgia" w:cs="Arial"/>
          <w:color w:val="000000" w:themeColor="text1"/>
        </w:rPr>
        <w:t xml:space="preserve">, </w:t>
      </w:r>
      <w:proofErr w:type="spellStart"/>
      <w:r w:rsidRPr="00613B04">
        <w:rPr>
          <w:rFonts w:ascii="Georgia" w:eastAsiaTheme="minorEastAsia" w:hAnsi="Georgia" w:cs="Arial"/>
          <w:color w:val="000000" w:themeColor="text1"/>
        </w:rPr>
        <w:t>Uwajeh</w:t>
      </w:r>
      <w:proofErr w:type="spellEnd"/>
      <w:r w:rsidRPr="00613B04">
        <w:rPr>
          <w:rFonts w:ascii="Georgia" w:eastAsiaTheme="minorEastAsia" w:hAnsi="Georgia" w:cs="Arial"/>
          <w:color w:val="000000" w:themeColor="text1"/>
        </w:rPr>
        <w:t>, &amp; Ikenna, 2016).</w:t>
      </w:r>
    </w:p>
    <w:p w14:paraId="56A5DB26" w14:textId="33D525F5" w:rsidR="006F41A4" w:rsidRDefault="006F41A4" w:rsidP="001F003C">
      <w:pPr>
        <w:pStyle w:val="MDPI31text"/>
        <w:ind w:left="0" w:firstLine="0"/>
        <w:rPr>
          <w:rFonts w:ascii="Georgia" w:eastAsiaTheme="minorEastAsia" w:hAnsi="Georgia" w:cs="Arial"/>
          <w:color w:val="4472C4" w:themeColor="accent1"/>
        </w:rPr>
      </w:pPr>
    </w:p>
    <w:p w14:paraId="663677EE" w14:textId="5C047BE3" w:rsidR="007E2FFF" w:rsidRPr="007E2FFF" w:rsidRDefault="00A86E9F" w:rsidP="007E2FFF">
      <w:pPr>
        <w:pStyle w:val="MDPI21heading1"/>
        <w:rPr>
          <w:rFonts w:ascii="Georgia" w:eastAsiaTheme="minorEastAsia" w:hAnsi="Georgia" w:cs="Arial"/>
        </w:rPr>
      </w:pPr>
      <w:r w:rsidRPr="004F2BEA">
        <w:rPr>
          <w:rFonts w:ascii="Georgia" w:eastAsiaTheme="minorEastAsia" w:hAnsi="Georgia" w:cs="Arial"/>
        </w:rPr>
        <w:t>3. Results</w:t>
      </w:r>
    </w:p>
    <w:p w14:paraId="72D711A3" w14:textId="3FCC8B48" w:rsidR="007E2FFF" w:rsidRDefault="007E2FFF" w:rsidP="00B624F9">
      <w:pPr>
        <w:pStyle w:val="MDPI31text"/>
        <w:rPr>
          <w:rFonts w:ascii="Georgia" w:eastAsiaTheme="minorEastAsia" w:hAnsi="Georgia" w:cs="Arial"/>
          <w:noProof/>
          <w:snapToGrid/>
          <w:lang w:eastAsia="zh-CN"/>
        </w:rPr>
      </w:pPr>
    </w:p>
    <w:p w14:paraId="1F074FF2" w14:textId="77777777" w:rsidR="00613B04" w:rsidRDefault="00613B04" w:rsidP="007E2FFF">
      <w:pPr>
        <w:pStyle w:val="MDPI31text"/>
        <w:rPr>
          <w:rFonts w:ascii="Georgia" w:eastAsiaTheme="minorEastAsia" w:hAnsi="Georgia" w:cs="Arial"/>
        </w:rPr>
      </w:pPr>
    </w:p>
    <w:p w14:paraId="268B3F8A" w14:textId="77777777" w:rsidR="00613B04" w:rsidRPr="00613B04" w:rsidRDefault="00613B04" w:rsidP="00613B04">
      <w:pPr>
        <w:pStyle w:val="MDPI31text"/>
        <w:rPr>
          <w:rFonts w:ascii="Georgia" w:eastAsiaTheme="minorEastAsia" w:hAnsi="Georgia" w:cs="Arial"/>
        </w:rPr>
      </w:pPr>
      <w:r w:rsidRPr="00613B04">
        <w:rPr>
          <w:rFonts w:ascii="Georgia" w:eastAsiaTheme="minorEastAsia" w:hAnsi="Georgia" w:cs="Arial"/>
        </w:rPr>
        <w:t>There is a range of information offered through the different guidelines, with the UK being the most inclusive, Australia being limited to functional requirements and the USA ignoring the waiting spaces design in the guidelines of healthcare facilities.</w:t>
      </w:r>
    </w:p>
    <w:p w14:paraId="471152C5" w14:textId="77777777" w:rsidR="00613B04" w:rsidRPr="00613B04" w:rsidRDefault="00613B04" w:rsidP="00613B04">
      <w:pPr>
        <w:pStyle w:val="MDPI31text"/>
        <w:rPr>
          <w:rFonts w:ascii="Georgia" w:eastAsiaTheme="minorEastAsia" w:hAnsi="Georgia" w:cs="Arial"/>
        </w:rPr>
      </w:pPr>
    </w:p>
    <w:p w14:paraId="7EA12DE6" w14:textId="77777777" w:rsidR="00613B04" w:rsidRPr="00613B04" w:rsidRDefault="00613B04" w:rsidP="00613B04">
      <w:pPr>
        <w:pStyle w:val="MDPI31text"/>
        <w:rPr>
          <w:rFonts w:ascii="Georgia" w:eastAsiaTheme="minorEastAsia" w:hAnsi="Georgia" w:cs="Arial"/>
        </w:rPr>
      </w:pPr>
      <w:r w:rsidRPr="00613B04">
        <w:rPr>
          <w:rFonts w:ascii="Georgia" w:eastAsiaTheme="minorEastAsia" w:hAnsi="Georgia" w:cs="Arial"/>
        </w:rPr>
        <w:t xml:space="preserve">1. UK’s healthcare design guidelines </w:t>
      </w:r>
    </w:p>
    <w:p w14:paraId="086AC4B3" w14:textId="77777777" w:rsidR="00613B04" w:rsidRPr="00613B04" w:rsidRDefault="00613B04" w:rsidP="00613B04">
      <w:pPr>
        <w:pStyle w:val="MDPI31text"/>
        <w:rPr>
          <w:rFonts w:ascii="Georgia" w:eastAsiaTheme="minorEastAsia" w:hAnsi="Georgia" w:cs="Arial"/>
        </w:rPr>
      </w:pPr>
    </w:p>
    <w:p w14:paraId="77A445B9" w14:textId="356C81FF" w:rsidR="00613B04" w:rsidRDefault="00613B04" w:rsidP="00613B04">
      <w:pPr>
        <w:pStyle w:val="MDPI31text"/>
        <w:rPr>
          <w:rFonts w:ascii="Georgia" w:eastAsiaTheme="minorEastAsia" w:hAnsi="Georgia" w:cs="Arial"/>
        </w:rPr>
      </w:pPr>
      <w:r w:rsidRPr="00613B04">
        <w:rPr>
          <w:rFonts w:ascii="Georgia" w:eastAsiaTheme="minorEastAsia" w:hAnsi="Georgia" w:cs="Arial"/>
        </w:rPr>
        <w:t>In the Health Building Note, 00-01 General design guidance for healthcare buildings document there is one page that is dedicated to waiting areas design. This page includes many recommendations for waiting areas design features and in particular, a variety of comfortable seating and tables to ease individuals perform their duties and different arrangements to give the opportunity of choice between privacy and social interaction recommended</w:t>
      </w:r>
      <w:r w:rsidR="00CB117D">
        <w:rPr>
          <w:rFonts w:ascii="Georgia" w:eastAsiaTheme="minorEastAsia" w:hAnsi="Georgia" w:cs="Arial"/>
        </w:rPr>
        <w:t xml:space="preserve"> (Figure 1)</w:t>
      </w:r>
      <w:r w:rsidRPr="00613B04">
        <w:rPr>
          <w:rFonts w:ascii="Georgia" w:eastAsiaTheme="minorEastAsia" w:hAnsi="Georgia" w:cs="Arial"/>
        </w:rPr>
        <w:t>. Also, double-height space is suggested to provide a view of the external environment and if there is the possibility that should be a natural landscape to enhance calm. In the HBN 00-01, some complementary amenities that are considered significant are proposed such as a connection to the reception area, the existence of a telephone view to a clock, internet access, refreshments and toilets available near the waiting area</w:t>
      </w:r>
      <w:r w:rsidR="00CB117D">
        <w:rPr>
          <w:rFonts w:ascii="Georgia" w:eastAsiaTheme="minorEastAsia" w:hAnsi="Georgia" w:cs="Arial"/>
        </w:rPr>
        <w:t xml:space="preserve"> </w:t>
      </w:r>
      <w:r w:rsidR="00CB117D" w:rsidRPr="00613B04">
        <w:rPr>
          <w:rFonts w:ascii="Georgia" w:eastAsiaTheme="minorEastAsia" w:hAnsi="Georgia" w:cs="Arial"/>
        </w:rPr>
        <w:t>(Department of Health, 2014, p.35)</w:t>
      </w:r>
      <w:r w:rsidRPr="00613B04">
        <w:rPr>
          <w:rFonts w:ascii="Georgia" w:eastAsiaTheme="minorEastAsia" w:hAnsi="Georgia" w:cs="Arial"/>
        </w:rPr>
        <w:t xml:space="preserve">. Moreover, there is an image which illustrates a mock-up of a waiting area </w:t>
      </w:r>
      <w:r w:rsidR="00CB117D">
        <w:rPr>
          <w:rFonts w:ascii="Georgia" w:eastAsiaTheme="minorEastAsia" w:hAnsi="Georgia" w:cs="Arial"/>
        </w:rPr>
        <w:t xml:space="preserve">(Figure 1) </w:t>
      </w:r>
      <w:r w:rsidRPr="00613B04">
        <w:rPr>
          <w:rFonts w:ascii="Georgia" w:eastAsiaTheme="minorEastAsia" w:hAnsi="Georgia" w:cs="Arial"/>
        </w:rPr>
        <w:t>and two existing waiting spaces as visual examples to help architects that use the guidelines in their projects as a visual display of the important design features is easier understandable than written recommendations.</w:t>
      </w:r>
    </w:p>
    <w:p w14:paraId="36B06B3D" w14:textId="77777777" w:rsidR="00613B04" w:rsidRDefault="00613B04" w:rsidP="007E2FFF">
      <w:pPr>
        <w:pStyle w:val="MDPI31text"/>
        <w:rPr>
          <w:rFonts w:ascii="Georgia" w:eastAsiaTheme="minorEastAsia" w:hAnsi="Georgia" w:cs="Arial"/>
        </w:rPr>
      </w:pPr>
    </w:p>
    <w:p w14:paraId="27542398" w14:textId="61E64027" w:rsidR="00695B28" w:rsidRDefault="00695B28" w:rsidP="00613B04">
      <w:pPr>
        <w:pStyle w:val="MDPI31text"/>
        <w:ind w:left="0" w:firstLine="0"/>
        <w:rPr>
          <w:rFonts w:ascii="Georgia" w:eastAsiaTheme="minorEastAsia" w:hAnsi="Georgia" w:cs="Arial"/>
          <w:noProof/>
          <w:snapToGrid/>
          <w:lang w:eastAsia="zh-CN"/>
        </w:rPr>
      </w:pPr>
    </w:p>
    <w:p w14:paraId="59381260" w14:textId="5725D087" w:rsidR="00695B28" w:rsidRDefault="00695B28" w:rsidP="007E2FFF">
      <w:pPr>
        <w:pStyle w:val="MDPI31text"/>
        <w:rPr>
          <w:rFonts w:ascii="Georgia" w:eastAsiaTheme="minorEastAsia" w:hAnsi="Georgia" w:cs="Arial"/>
          <w:noProof/>
          <w:snapToGrid/>
          <w:lang w:eastAsia="zh-CN"/>
        </w:rPr>
      </w:pPr>
    </w:p>
    <w:p w14:paraId="3A03CE44" w14:textId="236B3F0F" w:rsidR="005D473A" w:rsidRPr="005D473A" w:rsidRDefault="00695B28" w:rsidP="005D473A">
      <w:pPr>
        <w:pStyle w:val="NormalWeb"/>
        <w:jc w:val="center"/>
        <w:rPr>
          <w:rFonts w:ascii="Georgia" w:eastAsiaTheme="minorEastAsia" w:hAnsi="Georgia" w:cs="Arial"/>
          <w:sz w:val="18"/>
          <w:szCs w:val="18"/>
        </w:rPr>
      </w:pPr>
      <w:r w:rsidRPr="00695B28">
        <w:rPr>
          <w:rFonts w:ascii="Times New Roman" w:eastAsia="Times New Roman" w:hAnsi="Times New Roman"/>
          <w:color w:val="auto"/>
          <w:sz w:val="24"/>
          <w:lang w:val="en-GR" w:eastAsia="en-GB"/>
        </w:rPr>
        <w:lastRenderedPageBreak/>
        <w:drawing>
          <wp:anchor distT="0" distB="0" distL="114300" distR="114300" simplePos="0" relativeHeight="251658240" behindDoc="0" locked="0" layoutInCell="1" allowOverlap="1" wp14:anchorId="0020FE8D" wp14:editId="554C4311">
            <wp:simplePos x="0" y="0"/>
            <wp:positionH relativeFrom="column">
              <wp:posOffset>1529369</wp:posOffset>
            </wp:positionH>
            <wp:positionV relativeFrom="paragraph">
              <wp:posOffset>461</wp:posOffset>
            </wp:positionV>
            <wp:extent cx="5186680" cy="3348990"/>
            <wp:effectExtent l="0" t="0" r="0" b="3810"/>
            <wp:wrapTopAndBottom/>
            <wp:docPr id="1" name="Picture 1" descr="page26image59642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6image596425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6680" cy="3348990"/>
                    </a:xfrm>
                    <a:prstGeom prst="rect">
                      <a:avLst/>
                    </a:prstGeom>
                    <a:noFill/>
                    <a:ln>
                      <a:noFill/>
                    </a:ln>
                  </pic:spPr>
                </pic:pic>
              </a:graphicData>
            </a:graphic>
            <wp14:sizeRelH relativeFrom="page">
              <wp14:pctWidth>0</wp14:pctWidth>
            </wp14:sizeRelH>
            <wp14:sizeRelV relativeFrom="page">
              <wp14:pctHeight>0</wp14:pctHeight>
            </wp14:sizeRelV>
          </wp:anchor>
        </w:drawing>
      </w:r>
      <w:r w:rsidR="005D473A">
        <w:rPr>
          <w:rFonts w:ascii="Georgia" w:eastAsiaTheme="minorEastAsia" w:hAnsi="Georgia" w:cs="Arial"/>
        </w:rPr>
        <w:t xml:space="preserve">                        </w:t>
      </w:r>
      <w:r w:rsidRPr="005D473A">
        <w:rPr>
          <w:rFonts w:ascii="Georgia" w:eastAsiaTheme="minorEastAsia" w:hAnsi="Georgia" w:cs="Arial"/>
          <w:sz w:val="18"/>
          <w:szCs w:val="18"/>
        </w:rPr>
        <w:t>Figure 1.</w:t>
      </w:r>
      <w:r w:rsidR="005D473A" w:rsidRPr="005D473A">
        <w:rPr>
          <w:rFonts w:ascii="Georgia" w:eastAsiaTheme="minorEastAsia" w:hAnsi="Georgia" w:cs="Arial"/>
          <w:sz w:val="18"/>
          <w:szCs w:val="18"/>
        </w:rPr>
        <w:t xml:space="preserve"> Mock-up of a waiting area (Health Building Note 00-01, p.35)</w:t>
      </w:r>
    </w:p>
    <w:p w14:paraId="60BDBB35" w14:textId="62170F07" w:rsidR="00695B28" w:rsidRPr="005D473A" w:rsidRDefault="00695B28" w:rsidP="005D473A">
      <w:pPr>
        <w:spacing w:line="240" w:lineRule="auto"/>
        <w:jc w:val="left"/>
        <w:rPr>
          <w:rFonts w:ascii="Georgia" w:eastAsiaTheme="minorEastAsia" w:hAnsi="Georgia" w:cs="Arial"/>
          <w:szCs w:val="24"/>
        </w:rPr>
      </w:pPr>
      <w:r w:rsidRPr="00695B28">
        <w:rPr>
          <w:rFonts w:ascii="Georgia" w:eastAsiaTheme="minorEastAsia" w:hAnsi="Georgia" w:cs="Arial"/>
          <w:szCs w:val="24"/>
        </w:rPr>
        <w:fldChar w:fldCharType="begin"/>
      </w:r>
      <w:r w:rsidRPr="00695B28">
        <w:rPr>
          <w:rFonts w:ascii="Georgia" w:eastAsiaTheme="minorEastAsia" w:hAnsi="Georgia" w:cs="Arial"/>
          <w:szCs w:val="24"/>
        </w:rPr>
        <w:instrText xml:space="preserve"> INCLUDEPICTURE "/var/folders/hp/ltqnv9h97wgfxd6f452823xh0000gn/T/com.microsoft.Word/WebArchiveCopyPasteTempFiles/page26image59642544" \* MERGEFORMATINET </w:instrText>
      </w:r>
      <w:r w:rsidR="00F74AD9">
        <w:rPr>
          <w:rFonts w:ascii="Georgia" w:eastAsiaTheme="minorEastAsia" w:hAnsi="Georgia" w:cs="Arial"/>
          <w:szCs w:val="24"/>
        </w:rPr>
        <w:fldChar w:fldCharType="separate"/>
      </w:r>
      <w:r w:rsidRPr="00695B28">
        <w:rPr>
          <w:rFonts w:ascii="Georgia" w:eastAsiaTheme="minorEastAsia" w:hAnsi="Georgia" w:cs="Arial"/>
          <w:szCs w:val="24"/>
        </w:rPr>
        <w:fldChar w:fldCharType="end"/>
      </w:r>
    </w:p>
    <w:p w14:paraId="405CCA79" w14:textId="65E8789A" w:rsidR="007E2FFF" w:rsidRDefault="007E2FFF" w:rsidP="007E2FFF">
      <w:pPr>
        <w:pStyle w:val="MDPI31text"/>
        <w:rPr>
          <w:rFonts w:ascii="Georgia" w:eastAsiaTheme="minorEastAsia" w:hAnsi="Georgia" w:cs="Arial"/>
        </w:rPr>
      </w:pPr>
    </w:p>
    <w:p w14:paraId="22678D81" w14:textId="79AC545E" w:rsidR="00613B04" w:rsidRDefault="00613B04" w:rsidP="007E2FFF">
      <w:pPr>
        <w:pStyle w:val="MDPI31text"/>
        <w:rPr>
          <w:rFonts w:ascii="Georgia" w:eastAsiaTheme="minorEastAsia" w:hAnsi="Georgia" w:cs="Arial"/>
        </w:rPr>
      </w:pPr>
    </w:p>
    <w:p w14:paraId="275BB658" w14:textId="77777777" w:rsidR="00613B04" w:rsidRPr="00613B04" w:rsidRDefault="00613B04" w:rsidP="00613B04">
      <w:pPr>
        <w:pStyle w:val="MDPI31text"/>
        <w:rPr>
          <w:rFonts w:ascii="Georgia" w:eastAsiaTheme="minorEastAsia" w:hAnsi="Georgia" w:cs="Arial"/>
        </w:rPr>
      </w:pPr>
      <w:r w:rsidRPr="00613B04">
        <w:rPr>
          <w:rFonts w:ascii="Georgia" w:eastAsiaTheme="minorEastAsia" w:hAnsi="Georgia" w:cs="Arial"/>
        </w:rPr>
        <w:t xml:space="preserve">2. USA’s healthcare design guidelines </w:t>
      </w:r>
    </w:p>
    <w:p w14:paraId="046F03EC" w14:textId="77777777" w:rsidR="00613B04" w:rsidRPr="00613B04" w:rsidRDefault="00613B04" w:rsidP="00613B04">
      <w:pPr>
        <w:pStyle w:val="MDPI31text"/>
        <w:rPr>
          <w:rFonts w:ascii="Georgia" w:eastAsiaTheme="minorEastAsia" w:hAnsi="Georgia" w:cs="Arial"/>
        </w:rPr>
      </w:pPr>
    </w:p>
    <w:p w14:paraId="31F61FD2" w14:textId="77777777" w:rsidR="00613B04" w:rsidRPr="00613B04" w:rsidRDefault="00613B04" w:rsidP="00613B04">
      <w:pPr>
        <w:pStyle w:val="MDPI31text"/>
        <w:rPr>
          <w:rFonts w:ascii="Georgia" w:eastAsiaTheme="minorEastAsia" w:hAnsi="Georgia" w:cs="Arial"/>
        </w:rPr>
      </w:pPr>
      <w:r w:rsidRPr="00613B04">
        <w:rPr>
          <w:rFonts w:ascii="Georgia" w:eastAsiaTheme="minorEastAsia" w:hAnsi="Georgia" w:cs="Arial"/>
        </w:rPr>
        <w:t xml:space="preserve">In comparison to the UK guidance, the American document Guidelines for design and construction of hospital and health care facilities (The AIA, 2001) is structured differently. There is no dedicated chapter for waiting areas, instead within each section, describing individual departments such as intensive care units, surgical facilities, emergency services etc. design principles about specialist service waiting areas were described. Within these, there are recommendations about size, capacity, and extra amenities like access to toilets, drinking fountains, telephones, separate children waiting spaces or separate inpatient and outpatient waiting spaces. Also, good ventilation to avoid airborne infections if needed in some departments, wheelchairs access only to the rehabilitation therapy department and privacy are suggested but no design guidance about any features that could be </w:t>
      </w:r>
      <w:proofErr w:type="spellStart"/>
      <w:r w:rsidRPr="00613B04">
        <w:rPr>
          <w:rFonts w:ascii="Georgia" w:eastAsiaTheme="minorEastAsia" w:hAnsi="Georgia" w:cs="Arial"/>
        </w:rPr>
        <w:t>recognised</w:t>
      </w:r>
      <w:proofErr w:type="spellEnd"/>
      <w:r w:rsidRPr="00613B04">
        <w:rPr>
          <w:rFonts w:ascii="Georgia" w:eastAsiaTheme="minorEastAsia" w:hAnsi="Georgia" w:cs="Arial"/>
        </w:rPr>
        <w:t xml:space="preserve"> as therapeutic such as shooting </w:t>
      </w:r>
      <w:proofErr w:type="spellStart"/>
      <w:r w:rsidRPr="00613B04">
        <w:rPr>
          <w:rFonts w:ascii="Georgia" w:eastAsiaTheme="minorEastAsia" w:hAnsi="Georgia" w:cs="Arial"/>
        </w:rPr>
        <w:t>colours</w:t>
      </w:r>
      <w:proofErr w:type="spellEnd"/>
      <w:r w:rsidRPr="00613B04">
        <w:rPr>
          <w:rFonts w:ascii="Georgia" w:eastAsiaTheme="minorEastAsia" w:hAnsi="Georgia" w:cs="Arial"/>
        </w:rPr>
        <w:t>, comfortable furniture etc.</w:t>
      </w:r>
    </w:p>
    <w:p w14:paraId="4A2F7FC6" w14:textId="77777777" w:rsidR="00613B04" w:rsidRPr="00613B04" w:rsidRDefault="00613B04" w:rsidP="00613B04">
      <w:pPr>
        <w:pStyle w:val="MDPI31text"/>
        <w:rPr>
          <w:rFonts w:ascii="Georgia" w:eastAsiaTheme="minorEastAsia" w:hAnsi="Georgia" w:cs="Arial"/>
        </w:rPr>
      </w:pPr>
    </w:p>
    <w:p w14:paraId="1B45A985" w14:textId="77777777" w:rsidR="00613B04" w:rsidRPr="00613B04" w:rsidRDefault="00613B04" w:rsidP="00613B04">
      <w:pPr>
        <w:pStyle w:val="MDPI31text"/>
        <w:rPr>
          <w:rFonts w:ascii="Georgia" w:eastAsiaTheme="minorEastAsia" w:hAnsi="Georgia" w:cs="Arial"/>
        </w:rPr>
      </w:pPr>
    </w:p>
    <w:p w14:paraId="5A851DF2" w14:textId="77777777" w:rsidR="00613B04" w:rsidRPr="00613B04" w:rsidRDefault="00613B04" w:rsidP="00613B04">
      <w:pPr>
        <w:pStyle w:val="MDPI31text"/>
        <w:rPr>
          <w:rFonts w:ascii="Georgia" w:eastAsiaTheme="minorEastAsia" w:hAnsi="Georgia" w:cs="Arial"/>
        </w:rPr>
      </w:pPr>
      <w:r w:rsidRPr="00613B04">
        <w:rPr>
          <w:rFonts w:ascii="Georgia" w:eastAsiaTheme="minorEastAsia" w:hAnsi="Georgia" w:cs="Arial"/>
        </w:rPr>
        <w:t xml:space="preserve">3. AUSTRALIA’s healthcare design guidelines </w:t>
      </w:r>
    </w:p>
    <w:p w14:paraId="3FDAA375" w14:textId="77777777" w:rsidR="00613B04" w:rsidRPr="00613B04" w:rsidRDefault="00613B04" w:rsidP="00613B04">
      <w:pPr>
        <w:pStyle w:val="MDPI31text"/>
        <w:rPr>
          <w:rFonts w:ascii="Georgia" w:eastAsiaTheme="minorEastAsia" w:hAnsi="Georgia" w:cs="Arial"/>
        </w:rPr>
      </w:pPr>
    </w:p>
    <w:p w14:paraId="4ABBB829" w14:textId="165C92A8" w:rsidR="005D473A" w:rsidRDefault="00613B04" w:rsidP="00613B04">
      <w:pPr>
        <w:pStyle w:val="MDPI31text"/>
        <w:rPr>
          <w:rFonts w:ascii="Georgia" w:eastAsiaTheme="minorEastAsia" w:hAnsi="Georgia" w:cs="Arial"/>
        </w:rPr>
      </w:pPr>
      <w:r w:rsidRPr="00613B04">
        <w:rPr>
          <w:rFonts w:ascii="Georgia" w:eastAsiaTheme="minorEastAsia" w:hAnsi="Georgia" w:cs="Arial"/>
        </w:rPr>
        <w:t>The Australasian Health Facility Guidelines (</w:t>
      </w:r>
      <w:proofErr w:type="spellStart"/>
      <w:r w:rsidRPr="00613B04">
        <w:rPr>
          <w:rFonts w:ascii="Georgia" w:eastAsiaTheme="minorEastAsia" w:hAnsi="Georgia" w:cs="Arial"/>
        </w:rPr>
        <w:t>AusHFG</w:t>
      </w:r>
      <w:proofErr w:type="spellEnd"/>
      <w:r w:rsidRPr="00613B04">
        <w:rPr>
          <w:rFonts w:ascii="Georgia" w:eastAsiaTheme="minorEastAsia" w:hAnsi="Georgia" w:cs="Arial"/>
        </w:rPr>
        <w:t xml:space="preserve">) (AHIA, 2016) are a series of documents where there are five different examples of waiting area design categorized by their capacity. The therapeutic elements that are identified in the principles for all the sizes of waiting areas are the views of the outside and daylight through the window but also there is a detailed description of the type of artificial light that is needed. There is an indirect reference to positive distractions as in equipment section bracket for the TV screen, fixed noticeboard and rack for magazines and pamphlets are proposed. There are no principles about the therapeutic value of </w:t>
      </w:r>
      <w:proofErr w:type="spellStart"/>
      <w:r w:rsidRPr="00613B04">
        <w:rPr>
          <w:rFonts w:ascii="Georgia" w:eastAsiaTheme="minorEastAsia" w:hAnsi="Georgia" w:cs="Arial"/>
        </w:rPr>
        <w:t>colours</w:t>
      </w:r>
      <w:proofErr w:type="spellEnd"/>
      <w:r w:rsidRPr="00613B04">
        <w:rPr>
          <w:rFonts w:ascii="Georgia" w:eastAsiaTheme="minorEastAsia" w:hAnsi="Georgia" w:cs="Arial"/>
        </w:rPr>
        <w:t>, artwork and plants in a hospital setting. As far as furniture is concerned there is only a list of them and no important features of them like comfort or any proposed arrangement. Moreover, an amenity that is of paramount importance and is referred to in all sizes of waiting areas is wheelchair access. There are some diagrams (</w:t>
      </w:r>
      <w:r w:rsidR="00FF1609">
        <w:rPr>
          <w:rFonts w:ascii="Georgia" w:eastAsiaTheme="minorEastAsia" w:hAnsi="Georgia" w:cs="Arial"/>
        </w:rPr>
        <w:t>Figure 2 and 3</w:t>
      </w:r>
      <w:r w:rsidRPr="00613B04">
        <w:rPr>
          <w:rFonts w:ascii="Georgia" w:eastAsiaTheme="minorEastAsia" w:hAnsi="Georgia" w:cs="Arial"/>
        </w:rPr>
        <w:t>) that display a design suggestion of two different size waiting areas, in particular, 10 m</w:t>
      </w:r>
      <w:r w:rsidR="00FF1609" w:rsidRPr="00FF1609">
        <w:rPr>
          <w:rFonts w:ascii="Georgia" w:eastAsiaTheme="minorEastAsia" w:hAnsi="Georgia" w:cs="Arial"/>
          <w:vertAlign w:val="superscript"/>
        </w:rPr>
        <w:t>2</w:t>
      </w:r>
      <w:r w:rsidRPr="00613B04">
        <w:rPr>
          <w:rFonts w:ascii="Georgia" w:eastAsiaTheme="minorEastAsia" w:hAnsi="Georgia" w:cs="Arial"/>
        </w:rPr>
        <w:t xml:space="preserve"> and 20</w:t>
      </w:r>
      <w:r w:rsidR="00FF1609" w:rsidRPr="00FF1609">
        <w:rPr>
          <w:rFonts w:ascii="Georgia" w:eastAsiaTheme="minorEastAsia" w:hAnsi="Georgia" w:cs="Arial"/>
        </w:rPr>
        <w:t xml:space="preserve"> </w:t>
      </w:r>
      <w:r w:rsidR="00FF1609" w:rsidRPr="00613B04">
        <w:rPr>
          <w:rFonts w:ascii="Georgia" w:eastAsiaTheme="minorEastAsia" w:hAnsi="Georgia" w:cs="Arial"/>
        </w:rPr>
        <w:t>m</w:t>
      </w:r>
      <w:r w:rsidR="00FF1609" w:rsidRPr="00FF1609">
        <w:rPr>
          <w:rFonts w:ascii="Georgia" w:eastAsiaTheme="minorEastAsia" w:hAnsi="Georgia" w:cs="Arial"/>
          <w:vertAlign w:val="superscript"/>
        </w:rPr>
        <w:t>2</w:t>
      </w:r>
      <w:r w:rsidRPr="00613B04">
        <w:rPr>
          <w:rFonts w:ascii="Georgia" w:eastAsiaTheme="minorEastAsia" w:hAnsi="Georgia" w:cs="Arial"/>
        </w:rPr>
        <w:t xml:space="preserve">, using a 3d model and a plan for each to be easily understandable. The diagrams are black and white so no conclusions about suggested </w:t>
      </w:r>
      <w:proofErr w:type="spellStart"/>
      <w:r w:rsidRPr="00613B04">
        <w:rPr>
          <w:rFonts w:ascii="Georgia" w:eastAsiaTheme="minorEastAsia" w:hAnsi="Georgia" w:cs="Arial"/>
        </w:rPr>
        <w:t>c</w:t>
      </w:r>
      <w:r w:rsidR="00FF1609">
        <w:rPr>
          <w:rFonts w:ascii="Georgia" w:eastAsiaTheme="minorEastAsia" w:hAnsi="Georgia" w:cs="Arial"/>
        </w:rPr>
        <w:t>ol</w:t>
      </w:r>
      <w:r w:rsidRPr="00613B04">
        <w:rPr>
          <w:rFonts w:ascii="Georgia" w:eastAsiaTheme="minorEastAsia" w:hAnsi="Georgia" w:cs="Arial"/>
        </w:rPr>
        <w:t>ours</w:t>
      </w:r>
      <w:proofErr w:type="spellEnd"/>
      <w:r w:rsidRPr="00613B04">
        <w:rPr>
          <w:rFonts w:ascii="Georgia" w:eastAsiaTheme="minorEastAsia" w:hAnsi="Georgia" w:cs="Arial"/>
        </w:rPr>
        <w:t>, textures and materials can be made but from the type of furniture and their arrangement, the atmosphere seems institutional</w:t>
      </w:r>
      <w:r w:rsidR="00FF1609">
        <w:rPr>
          <w:rFonts w:ascii="Georgia" w:eastAsiaTheme="minorEastAsia" w:hAnsi="Georgia" w:cs="Arial"/>
        </w:rPr>
        <w:t xml:space="preserve"> </w:t>
      </w:r>
      <w:r w:rsidR="00FF1609" w:rsidRPr="00613B04">
        <w:rPr>
          <w:rFonts w:ascii="Georgia" w:eastAsiaTheme="minorEastAsia" w:hAnsi="Georgia" w:cs="Arial"/>
        </w:rPr>
        <w:t>(AHIA, 2016, p.29)</w:t>
      </w:r>
      <w:r w:rsidR="00FF1609">
        <w:rPr>
          <w:rFonts w:ascii="Georgia" w:eastAsiaTheme="minorEastAsia" w:hAnsi="Georgia" w:cs="Arial"/>
        </w:rPr>
        <w:t>.</w:t>
      </w:r>
    </w:p>
    <w:p w14:paraId="4018177F" w14:textId="2A81AB07" w:rsidR="005D473A" w:rsidRPr="005D473A" w:rsidRDefault="005D473A" w:rsidP="005D473A">
      <w:pPr>
        <w:spacing w:line="240" w:lineRule="auto"/>
        <w:jc w:val="left"/>
        <w:rPr>
          <w:rFonts w:ascii="Times New Roman" w:eastAsia="Times New Roman" w:hAnsi="Times New Roman"/>
          <w:noProof w:val="0"/>
          <w:color w:val="auto"/>
          <w:sz w:val="24"/>
          <w:szCs w:val="24"/>
          <w:lang w:val="en-GR" w:eastAsia="en-GB"/>
        </w:rPr>
      </w:pPr>
      <w:r w:rsidRPr="005D473A">
        <w:rPr>
          <w:rFonts w:ascii="Times New Roman" w:eastAsia="Times New Roman" w:hAnsi="Times New Roman"/>
          <w:color w:val="auto"/>
          <w:sz w:val="24"/>
          <w:szCs w:val="24"/>
          <w:lang w:val="en-GR" w:eastAsia="en-GB"/>
        </w:rPr>
        <w:lastRenderedPageBreak/>
        <w:drawing>
          <wp:anchor distT="0" distB="0" distL="114300" distR="114300" simplePos="0" relativeHeight="251659264" behindDoc="0" locked="0" layoutInCell="1" allowOverlap="1" wp14:anchorId="11294174" wp14:editId="4257865D">
            <wp:simplePos x="0" y="0"/>
            <wp:positionH relativeFrom="column">
              <wp:posOffset>2227753</wp:posOffset>
            </wp:positionH>
            <wp:positionV relativeFrom="paragraph">
              <wp:posOffset>66040</wp:posOffset>
            </wp:positionV>
            <wp:extent cx="4064635" cy="2967355"/>
            <wp:effectExtent l="0" t="0" r="0" b="4445"/>
            <wp:wrapTopAndBottom/>
            <wp:docPr id="2" name="Picture 2" descr="page28image59640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8image596402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635" cy="2967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73A">
        <w:rPr>
          <w:rFonts w:ascii="Times New Roman" w:eastAsia="Times New Roman" w:hAnsi="Times New Roman"/>
          <w:noProof w:val="0"/>
          <w:color w:val="auto"/>
          <w:sz w:val="24"/>
          <w:szCs w:val="24"/>
          <w:lang w:val="en-GR" w:eastAsia="en-GB"/>
        </w:rPr>
        <w:fldChar w:fldCharType="begin"/>
      </w:r>
      <w:r w:rsidRPr="005D473A">
        <w:rPr>
          <w:rFonts w:ascii="Times New Roman" w:eastAsia="Times New Roman" w:hAnsi="Times New Roman"/>
          <w:noProof w:val="0"/>
          <w:color w:val="auto"/>
          <w:sz w:val="24"/>
          <w:szCs w:val="24"/>
          <w:lang w:val="en-GR" w:eastAsia="en-GB"/>
        </w:rPr>
        <w:instrText xml:space="preserve"> INCLUDEPICTURE "/var/folders/hp/ltqnv9h97wgfxd6f452823xh0000gn/T/com.microsoft.Word/WebArchiveCopyPasteTempFiles/page28image59640256" \* MERGEFORMATINET </w:instrText>
      </w:r>
      <w:r w:rsidR="00F74AD9">
        <w:rPr>
          <w:rFonts w:ascii="Times New Roman" w:eastAsia="Times New Roman" w:hAnsi="Times New Roman"/>
          <w:noProof w:val="0"/>
          <w:color w:val="auto"/>
          <w:sz w:val="24"/>
          <w:szCs w:val="24"/>
          <w:lang w:val="en-GR" w:eastAsia="en-GB"/>
        </w:rPr>
        <w:fldChar w:fldCharType="separate"/>
      </w:r>
      <w:r w:rsidRPr="005D473A">
        <w:rPr>
          <w:rFonts w:ascii="Times New Roman" w:eastAsia="Times New Roman" w:hAnsi="Times New Roman"/>
          <w:noProof w:val="0"/>
          <w:color w:val="auto"/>
          <w:sz w:val="24"/>
          <w:szCs w:val="24"/>
          <w:lang w:val="en-GR" w:eastAsia="en-GB"/>
        </w:rPr>
        <w:fldChar w:fldCharType="end"/>
      </w:r>
    </w:p>
    <w:p w14:paraId="461D3C37" w14:textId="177FB9C2" w:rsidR="00046236" w:rsidRDefault="005D473A" w:rsidP="00046236">
      <w:pPr>
        <w:pStyle w:val="NormalWeb"/>
        <w:rPr>
          <w:rFonts w:ascii="Georgia" w:eastAsiaTheme="minorEastAsia" w:hAnsi="Georgia" w:cs="Arial"/>
          <w:sz w:val="18"/>
          <w:szCs w:val="18"/>
        </w:rPr>
      </w:pPr>
      <w:r>
        <w:rPr>
          <w:rFonts w:ascii="Georgia" w:eastAsiaTheme="minorEastAsia" w:hAnsi="Georgia" w:cs="Arial"/>
          <w:sz w:val="18"/>
          <w:szCs w:val="18"/>
        </w:rPr>
        <w:t xml:space="preserve">                                            </w:t>
      </w:r>
      <w:r w:rsidRPr="005D473A">
        <w:rPr>
          <w:rFonts w:ascii="Georgia" w:eastAsiaTheme="minorEastAsia" w:hAnsi="Georgia" w:cs="Arial"/>
          <w:sz w:val="18"/>
          <w:szCs w:val="18"/>
        </w:rPr>
        <w:t xml:space="preserve">Figure </w:t>
      </w:r>
      <w:r>
        <w:rPr>
          <w:rFonts w:ascii="Georgia" w:eastAsiaTheme="minorEastAsia" w:hAnsi="Georgia" w:cs="Arial"/>
          <w:sz w:val="18"/>
          <w:szCs w:val="18"/>
        </w:rPr>
        <w:t>2</w:t>
      </w:r>
      <w:r w:rsidRPr="005D473A">
        <w:rPr>
          <w:rFonts w:ascii="Georgia" w:eastAsiaTheme="minorEastAsia" w:hAnsi="Georgia" w:cs="Arial"/>
          <w:sz w:val="18"/>
          <w:szCs w:val="18"/>
        </w:rPr>
        <w:t xml:space="preserve">. </w:t>
      </w:r>
      <w:r w:rsidR="00046236">
        <w:rPr>
          <w:rFonts w:ascii="Georgia" w:eastAsiaTheme="minorEastAsia" w:hAnsi="Georgia" w:cs="Arial"/>
          <w:sz w:val="18"/>
          <w:szCs w:val="18"/>
        </w:rPr>
        <w:t xml:space="preserve">3d perspective of </w:t>
      </w:r>
      <w:r w:rsidR="00046236" w:rsidRPr="00046236">
        <w:rPr>
          <w:rFonts w:ascii="Georgia" w:eastAsiaTheme="minorEastAsia" w:hAnsi="Georgia" w:cs="Arial"/>
          <w:sz w:val="18"/>
          <w:szCs w:val="18"/>
        </w:rPr>
        <w:t>proposed 10m</w:t>
      </w:r>
      <w:r w:rsidR="00046236" w:rsidRPr="00FF1609">
        <w:rPr>
          <w:rFonts w:ascii="Georgia" w:eastAsiaTheme="minorEastAsia" w:hAnsi="Georgia" w:cs="Arial"/>
          <w:sz w:val="18"/>
          <w:szCs w:val="18"/>
          <w:vertAlign w:val="superscript"/>
        </w:rPr>
        <w:t>2</w:t>
      </w:r>
      <w:r w:rsidR="00046236" w:rsidRPr="00046236">
        <w:rPr>
          <w:rFonts w:ascii="Georgia" w:eastAsiaTheme="minorEastAsia" w:hAnsi="Georgia" w:cs="Arial"/>
          <w:sz w:val="18"/>
          <w:szCs w:val="18"/>
        </w:rPr>
        <w:t xml:space="preserve"> waiting area</w:t>
      </w:r>
    </w:p>
    <w:p w14:paraId="2DABE873" w14:textId="1ED2A6BC" w:rsidR="00046236" w:rsidRPr="00046236" w:rsidRDefault="00046236" w:rsidP="00046236">
      <w:pPr>
        <w:pStyle w:val="NormalWeb"/>
        <w:rPr>
          <w:rFonts w:ascii="Georgia" w:eastAsiaTheme="minorEastAsia" w:hAnsi="Georgia" w:cs="Arial"/>
          <w:sz w:val="18"/>
          <w:szCs w:val="18"/>
        </w:rPr>
      </w:pPr>
      <w:r>
        <w:rPr>
          <w:rFonts w:ascii="Georgia" w:eastAsiaTheme="minorEastAsia" w:hAnsi="Georgia" w:cs="Arial"/>
          <w:sz w:val="18"/>
          <w:szCs w:val="18"/>
        </w:rPr>
        <w:t xml:space="preserve">                                                    </w:t>
      </w:r>
      <w:r w:rsidRPr="00046236">
        <w:rPr>
          <w:rFonts w:ascii="Georgia" w:eastAsiaTheme="minorEastAsia" w:hAnsi="Georgia" w:cs="Arial"/>
          <w:sz w:val="18"/>
          <w:szCs w:val="18"/>
        </w:rPr>
        <w:t>(Australasian Health</w:t>
      </w:r>
      <w:r>
        <w:rPr>
          <w:rFonts w:ascii="Georgia" w:eastAsiaTheme="minorEastAsia" w:hAnsi="Georgia" w:cs="Arial"/>
          <w:sz w:val="18"/>
          <w:szCs w:val="18"/>
        </w:rPr>
        <w:t xml:space="preserve"> </w:t>
      </w:r>
      <w:r w:rsidRPr="00046236">
        <w:rPr>
          <w:rFonts w:ascii="Georgia" w:eastAsiaTheme="minorEastAsia" w:hAnsi="Georgia" w:cs="Arial"/>
          <w:sz w:val="18"/>
          <w:szCs w:val="18"/>
        </w:rPr>
        <w:t xml:space="preserve">Facility Guidelines) </w:t>
      </w:r>
    </w:p>
    <w:p w14:paraId="4E6F2C90" w14:textId="3701426B" w:rsidR="005D473A" w:rsidRPr="00046236" w:rsidRDefault="005D473A" w:rsidP="005D473A">
      <w:pPr>
        <w:spacing w:line="240" w:lineRule="auto"/>
        <w:jc w:val="left"/>
        <w:rPr>
          <w:rFonts w:ascii="Georgia" w:eastAsiaTheme="minorEastAsia" w:hAnsi="Georgia" w:cs="Arial"/>
          <w:sz w:val="18"/>
          <w:szCs w:val="18"/>
        </w:rPr>
      </w:pPr>
    </w:p>
    <w:p w14:paraId="43456AF8" w14:textId="00749F0C" w:rsidR="005D473A" w:rsidRPr="005D473A" w:rsidRDefault="005D473A" w:rsidP="005D473A">
      <w:pPr>
        <w:spacing w:line="240" w:lineRule="auto"/>
        <w:jc w:val="left"/>
        <w:rPr>
          <w:rFonts w:ascii="Times New Roman" w:eastAsia="Times New Roman" w:hAnsi="Times New Roman"/>
          <w:noProof w:val="0"/>
          <w:color w:val="auto"/>
          <w:sz w:val="24"/>
          <w:szCs w:val="24"/>
          <w:lang w:val="en-GR" w:eastAsia="en-GB"/>
        </w:rPr>
      </w:pPr>
      <w:r w:rsidRPr="005D473A">
        <w:rPr>
          <w:rFonts w:ascii="Times New Roman" w:eastAsia="Times New Roman" w:hAnsi="Times New Roman"/>
          <w:color w:val="auto"/>
          <w:sz w:val="24"/>
          <w:szCs w:val="24"/>
          <w:lang w:val="en-GR" w:eastAsia="en-GB"/>
        </w:rPr>
        <w:drawing>
          <wp:anchor distT="0" distB="0" distL="114300" distR="114300" simplePos="0" relativeHeight="251660288" behindDoc="0" locked="0" layoutInCell="1" allowOverlap="1" wp14:anchorId="30F7266E" wp14:editId="38FB4EEE">
            <wp:simplePos x="0" y="0"/>
            <wp:positionH relativeFrom="column">
              <wp:posOffset>2618451</wp:posOffset>
            </wp:positionH>
            <wp:positionV relativeFrom="paragraph">
              <wp:posOffset>245919</wp:posOffset>
            </wp:positionV>
            <wp:extent cx="3391535" cy="2360930"/>
            <wp:effectExtent l="0" t="0" r="0" b="1270"/>
            <wp:wrapTopAndBottom/>
            <wp:docPr id="5" name="Picture 5" descr="page28image59643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8image596437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1535" cy="2360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73A">
        <w:rPr>
          <w:rFonts w:ascii="Times New Roman" w:eastAsia="Times New Roman" w:hAnsi="Times New Roman"/>
          <w:noProof w:val="0"/>
          <w:color w:val="auto"/>
          <w:sz w:val="24"/>
          <w:szCs w:val="24"/>
          <w:lang w:val="en-GR" w:eastAsia="en-GB"/>
        </w:rPr>
        <w:fldChar w:fldCharType="begin"/>
      </w:r>
      <w:r w:rsidRPr="005D473A">
        <w:rPr>
          <w:rFonts w:ascii="Times New Roman" w:eastAsia="Times New Roman" w:hAnsi="Times New Roman"/>
          <w:noProof w:val="0"/>
          <w:color w:val="auto"/>
          <w:sz w:val="24"/>
          <w:szCs w:val="24"/>
          <w:lang w:val="en-GR" w:eastAsia="en-GB"/>
        </w:rPr>
        <w:instrText xml:space="preserve"> INCLUDEPICTURE "/var/folders/hp/ltqnv9h97wgfxd6f452823xh0000gn/T/com.microsoft.Word/WebArchiveCopyPasteTempFiles/page28image59643792" \* MERGEFORMATINET </w:instrText>
      </w:r>
      <w:r w:rsidR="00F74AD9">
        <w:rPr>
          <w:rFonts w:ascii="Times New Roman" w:eastAsia="Times New Roman" w:hAnsi="Times New Roman"/>
          <w:noProof w:val="0"/>
          <w:color w:val="auto"/>
          <w:sz w:val="24"/>
          <w:szCs w:val="24"/>
          <w:lang w:val="en-GR" w:eastAsia="en-GB"/>
        </w:rPr>
        <w:fldChar w:fldCharType="separate"/>
      </w:r>
      <w:r w:rsidRPr="005D473A">
        <w:rPr>
          <w:rFonts w:ascii="Times New Roman" w:eastAsia="Times New Roman" w:hAnsi="Times New Roman"/>
          <w:noProof w:val="0"/>
          <w:color w:val="auto"/>
          <w:sz w:val="24"/>
          <w:szCs w:val="24"/>
          <w:lang w:val="en-GR" w:eastAsia="en-GB"/>
        </w:rPr>
        <w:fldChar w:fldCharType="end"/>
      </w:r>
    </w:p>
    <w:p w14:paraId="311340D2" w14:textId="1905607E" w:rsidR="00046236" w:rsidRDefault="005D473A" w:rsidP="00046236">
      <w:pPr>
        <w:pStyle w:val="NormalWeb"/>
        <w:rPr>
          <w:rFonts w:ascii="Georgia" w:eastAsiaTheme="minorEastAsia" w:hAnsi="Georgia" w:cs="Arial"/>
          <w:sz w:val="18"/>
          <w:szCs w:val="18"/>
        </w:rPr>
      </w:pPr>
      <w:r>
        <w:rPr>
          <w:rFonts w:ascii="Georgia" w:eastAsiaTheme="minorEastAsia" w:hAnsi="Georgia" w:cs="Arial"/>
          <w:sz w:val="18"/>
          <w:szCs w:val="18"/>
        </w:rPr>
        <w:t xml:space="preserve">          </w:t>
      </w:r>
      <w:r w:rsidR="00046236">
        <w:rPr>
          <w:rFonts w:ascii="Georgia" w:eastAsiaTheme="minorEastAsia" w:hAnsi="Georgia" w:cs="Arial"/>
          <w:sz w:val="18"/>
          <w:szCs w:val="18"/>
        </w:rPr>
        <w:t xml:space="preserve">                                     </w:t>
      </w:r>
      <w:r w:rsidRPr="005D473A">
        <w:rPr>
          <w:rFonts w:ascii="Georgia" w:eastAsiaTheme="minorEastAsia" w:hAnsi="Georgia" w:cs="Arial"/>
          <w:sz w:val="18"/>
          <w:szCs w:val="18"/>
        </w:rPr>
        <w:t xml:space="preserve">Figure </w:t>
      </w:r>
      <w:r>
        <w:rPr>
          <w:rFonts w:ascii="Georgia" w:eastAsiaTheme="minorEastAsia" w:hAnsi="Georgia" w:cs="Arial"/>
          <w:sz w:val="18"/>
          <w:szCs w:val="18"/>
        </w:rPr>
        <w:t>3</w:t>
      </w:r>
      <w:r w:rsidRPr="005D473A">
        <w:rPr>
          <w:rFonts w:ascii="Georgia" w:eastAsiaTheme="minorEastAsia" w:hAnsi="Georgia" w:cs="Arial"/>
          <w:sz w:val="18"/>
          <w:szCs w:val="18"/>
        </w:rPr>
        <w:t xml:space="preserve">. </w:t>
      </w:r>
      <w:r w:rsidR="00046236">
        <w:rPr>
          <w:rFonts w:ascii="Georgia" w:eastAsiaTheme="minorEastAsia" w:hAnsi="Georgia" w:cs="Arial"/>
          <w:sz w:val="18"/>
          <w:szCs w:val="18"/>
        </w:rPr>
        <w:t xml:space="preserve">Floor plan of </w:t>
      </w:r>
      <w:r w:rsidR="00046236" w:rsidRPr="00046236">
        <w:rPr>
          <w:rFonts w:ascii="Georgia" w:eastAsiaTheme="minorEastAsia" w:hAnsi="Georgia" w:cs="Arial"/>
          <w:sz w:val="18"/>
          <w:szCs w:val="18"/>
        </w:rPr>
        <w:t>proposed 10m</w:t>
      </w:r>
      <w:r w:rsidR="00046236" w:rsidRPr="00FF1609">
        <w:rPr>
          <w:rFonts w:ascii="Georgia" w:eastAsiaTheme="minorEastAsia" w:hAnsi="Georgia" w:cs="Arial"/>
          <w:sz w:val="18"/>
          <w:szCs w:val="18"/>
          <w:vertAlign w:val="superscript"/>
        </w:rPr>
        <w:t>2</w:t>
      </w:r>
      <w:r w:rsidR="00046236" w:rsidRPr="00046236">
        <w:rPr>
          <w:rFonts w:ascii="Georgia" w:eastAsiaTheme="minorEastAsia" w:hAnsi="Georgia" w:cs="Arial"/>
          <w:sz w:val="18"/>
          <w:szCs w:val="18"/>
        </w:rPr>
        <w:t xml:space="preserve"> waiting area</w:t>
      </w:r>
    </w:p>
    <w:p w14:paraId="4AAA80D2" w14:textId="13C7EA3D" w:rsidR="00046236" w:rsidRPr="00046236" w:rsidRDefault="00046236" w:rsidP="00046236">
      <w:pPr>
        <w:pStyle w:val="NormalWeb"/>
        <w:rPr>
          <w:rFonts w:ascii="Georgia" w:eastAsiaTheme="minorEastAsia" w:hAnsi="Georgia" w:cs="Arial"/>
          <w:sz w:val="18"/>
          <w:szCs w:val="18"/>
        </w:rPr>
      </w:pPr>
      <w:r>
        <w:rPr>
          <w:rFonts w:ascii="Georgia" w:eastAsiaTheme="minorEastAsia" w:hAnsi="Georgia" w:cs="Arial"/>
          <w:sz w:val="18"/>
          <w:szCs w:val="18"/>
        </w:rPr>
        <w:t xml:space="preserve">                                                       </w:t>
      </w:r>
      <w:r w:rsidRPr="00046236">
        <w:rPr>
          <w:rFonts w:ascii="Georgia" w:eastAsiaTheme="minorEastAsia" w:hAnsi="Georgia" w:cs="Arial"/>
          <w:sz w:val="18"/>
          <w:szCs w:val="18"/>
        </w:rPr>
        <w:t>(Australasian Health</w:t>
      </w:r>
      <w:r>
        <w:rPr>
          <w:rFonts w:ascii="Georgia" w:eastAsiaTheme="minorEastAsia" w:hAnsi="Georgia" w:cs="Arial"/>
          <w:sz w:val="18"/>
          <w:szCs w:val="18"/>
        </w:rPr>
        <w:t xml:space="preserve"> </w:t>
      </w:r>
      <w:r w:rsidRPr="00046236">
        <w:rPr>
          <w:rFonts w:ascii="Georgia" w:eastAsiaTheme="minorEastAsia" w:hAnsi="Georgia" w:cs="Arial"/>
          <w:sz w:val="18"/>
          <w:szCs w:val="18"/>
        </w:rPr>
        <w:t xml:space="preserve">Facility Guidelines) </w:t>
      </w:r>
    </w:p>
    <w:p w14:paraId="2ACAC900" w14:textId="77777777" w:rsidR="005D473A" w:rsidRDefault="005D473A" w:rsidP="007E2FFF">
      <w:pPr>
        <w:pStyle w:val="MDPI31text"/>
        <w:rPr>
          <w:rFonts w:ascii="Georgia" w:eastAsiaTheme="minorEastAsia" w:hAnsi="Georgia" w:cs="Arial"/>
        </w:rPr>
      </w:pPr>
    </w:p>
    <w:p w14:paraId="06AC2501" w14:textId="3AFA66DC" w:rsidR="00C01A39" w:rsidRDefault="0043151A" w:rsidP="00C01A39">
      <w:pPr>
        <w:pStyle w:val="MDPI21heading1"/>
        <w:numPr>
          <w:ilvl w:val="0"/>
          <w:numId w:val="41"/>
        </w:numPr>
        <w:rPr>
          <w:rFonts w:ascii="Georgia" w:eastAsiaTheme="minorEastAsia" w:hAnsi="Georgia" w:cs="Arial"/>
        </w:rPr>
      </w:pPr>
      <w:r>
        <w:rPr>
          <w:rFonts w:ascii="Georgia" w:eastAsiaTheme="minorEastAsia" w:hAnsi="Georgia" w:cs="Arial"/>
        </w:rPr>
        <w:t>Discussion</w:t>
      </w:r>
    </w:p>
    <w:p w14:paraId="72A3D3EC" w14:textId="521155B4" w:rsidR="00114997" w:rsidRDefault="00114997" w:rsidP="0029420B">
      <w:pPr>
        <w:pStyle w:val="MDPI31text"/>
        <w:rPr>
          <w:rFonts w:ascii="Georgia" w:eastAsiaTheme="minorEastAsia" w:hAnsi="Georgia" w:cs="Arial"/>
        </w:rPr>
      </w:pPr>
    </w:p>
    <w:p w14:paraId="23E0268A" w14:textId="6F8681C3" w:rsidR="00F32508" w:rsidRPr="00F32508" w:rsidRDefault="00F32508" w:rsidP="00F32508">
      <w:pPr>
        <w:pStyle w:val="MDPI31text"/>
        <w:rPr>
          <w:rFonts w:ascii="Georgia" w:eastAsiaTheme="minorEastAsia" w:hAnsi="Georgia" w:cs="Arial"/>
        </w:rPr>
      </w:pPr>
      <w:r w:rsidRPr="00F32508">
        <w:rPr>
          <w:rFonts w:ascii="Georgia" w:eastAsiaTheme="minorEastAsia" w:hAnsi="Georgia" w:cs="Arial"/>
        </w:rPr>
        <w:t xml:space="preserve">Not all regulators seem to </w:t>
      </w:r>
      <w:proofErr w:type="spellStart"/>
      <w:r w:rsidRPr="00F32508">
        <w:rPr>
          <w:rFonts w:ascii="Georgia" w:eastAsiaTheme="minorEastAsia" w:hAnsi="Georgia" w:cs="Arial"/>
        </w:rPr>
        <w:t>recogni</w:t>
      </w:r>
      <w:r w:rsidR="00FF1609">
        <w:rPr>
          <w:rFonts w:ascii="Georgia" w:eastAsiaTheme="minorEastAsia" w:hAnsi="Georgia" w:cs="Arial"/>
        </w:rPr>
        <w:t>s</w:t>
      </w:r>
      <w:r w:rsidRPr="00F32508">
        <w:rPr>
          <w:rFonts w:ascii="Georgia" w:eastAsiaTheme="minorEastAsia" w:hAnsi="Georgia" w:cs="Arial"/>
        </w:rPr>
        <w:t>e</w:t>
      </w:r>
      <w:proofErr w:type="spellEnd"/>
      <w:r w:rsidRPr="00F32508">
        <w:rPr>
          <w:rFonts w:ascii="Georgia" w:eastAsiaTheme="minorEastAsia" w:hAnsi="Georgia" w:cs="Arial"/>
        </w:rPr>
        <w:t xml:space="preserve"> the therapeutic aspect of waiting areas. In particular, in the USA guidelines, even a reference to the influence that design features such as natural light, artwork, </w:t>
      </w:r>
      <w:proofErr w:type="spellStart"/>
      <w:r w:rsidRPr="00F32508">
        <w:rPr>
          <w:rFonts w:ascii="Georgia" w:eastAsiaTheme="minorEastAsia" w:hAnsi="Georgia" w:cs="Arial"/>
        </w:rPr>
        <w:t>colours</w:t>
      </w:r>
      <w:proofErr w:type="spellEnd"/>
      <w:r w:rsidRPr="00F32508">
        <w:rPr>
          <w:rFonts w:ascii="Georgia" w:eastAsiaTheme="minorEastAsia" w:hAnsi="Georgia" w:cs="Arial"/>
        </w:rPr>
        <w:t>, nature etc. have on patients’ wellbeing would provoke architects to think over that aspect of evidence-based design in their projects. The UK regulators, on the other hand, seem to value the positive outcomes that the physical environment can have on occupants. As for the Australasian Health Facility Guidelines (</w:t>
      </w:r>
      <w:proofErr w:type="spellStart"/>
      <w:r w:rsidRPr="00F32508">
        <w:rPr>
          <w:rFonts w:ascii="Georgia" w:eastAsiaTheme="minorEastAsia" w:hAnsi="Georgia" w:cs="Arial"/>
        </w:rPr>
        <w:t>AusHFG</w:t>
      </w:r>
      <w:proofErr w:type="spellEnd"/>
      <w:r w:rsidRPr="00F32508">
        <w:rPr>
          <w:rFonts w:ascii="Georgia" w:eastAsiaTheme="minorEastAsia" w:hAnsi="Georgia" w:cs="Arial"/>
        </w:rPr>
        <w:t xml:space="preserve">) more descriptive recommendations and the use of existing examples would ease architects’ work on creating a healing environment. </w:t>
      </w:r>
    </w:p>
    <w:p w14:paraId="1BF0CE38" w14:textId="693350E0" w:rsidR="00F32508" w:rsidRDefault="00F32508" w:rsidP="00F32508">
      <w:pPr>
        <w:pStyle w:val="MDPI31text"/>
        <w:rPr>
          <w:rFonts w:ascii="Georgia" w:eastAsiaTheme="minorEastAsia" w:hAnsi="Georgia" w:cs="Arial"/>
        </w:rPr>
      </w:pPr>
      <w:r w:rsidRPr="00F32508">
        <w:rPr>
          <w:rFonts w:ascii="Georgia" w:eastAsiaTheme="minorEastAsia" w:hAnsi="Georgia" w:cs="Arial"/>
        </w:rPr>
        <w:lastRenderedPageBreak/>
        <w:t>The welcoming factor of health spaces pre-consultation has been ignored by regulations. Healthcare design guidelines as far as the waiting spaces are concerned are focused on functional characteristics like size and access to amenities and do not introduce enough therapeutic features which could take part in the healing process (</w:t>
      </w:r>
      <w:proofErr w:type="spellStart"/>
      <w:r w:rsidRPr="00F32508">
        <w:rPr>
          <w:rFonts w:ascii="Georgia" w:eastAsiaTheme="minorEastAsia" w:hAnsi="Georgia" w:cs="Arial"/>
        </w:rPr>
        <w:t>Selami</w:t>
      </w:r>
      <w:proofErr w:type="spellEnd"/>
      <w:r w:rsidRPr="00F32508">
        <w:rPr>
          <w:rFonts w:ascii="Georgia" w:eastAsiaTheme="minorEastAsia" w:hAnsi="Georgia" w:cs="Arial"/>
        </w:rPr>
        <w:t xml:space="preserve"> </w:t>
      </w:r>
      <w:proofErr w:type="spellStart"/>
      <w:r w:rsidRPr="00F32508">
        <w:rPr>
          <w:rFonts w:ascii="Georgia" w:eastAsiaTheme="minorEastAsia" w:hAnsi="Georgia" w:cs="Arial"/>
        </w:rPr>
        <w:t>Cifter</w:t>
      </w:r>
      <w:proofErr w:type="spellEnd"/>
      <w:r w:rsidRPr="00F32508">
        <w:rPr>
          <w:rFonts w:ascii="Georgia" w:eastAsiaTheme="minorEastAsia" w:hAnsi="Georgia" w:cs="Arial"/>
        </w:rPr>
        <w:t xml:space="preserve"> &amp; </w:t>
      </w:r>
      <w:proofErr w:type="spellStart"/>
      <w:r w:rsidRPr="00F32508">
        <w:rPr>
          <w:rFonts w:ascii="Georgia" w:eastAsiaTheme="minorEastAsia" w:hAnsi="Georgia" w:cs="Arial"/>
        </w:rPr>
        <w:t>Cifter</w:t>
      </w:r>
      <w:proofErr w:type="spellEnd"/>
      <w:r w:rsidRPr="00F32508">
        <w:rPr>
          <w:rFonts w:ascii="Georgia" w:eastAsiaTheme="minorEastAsia" w:hAnsi="Georgia" w:cs="Arial"/>
        </w:rPr>
        <w:t>, 2017). As Ulrich states, “many healthcare facilities are functionally effective but missing the psychological support aspect” (Ulrich, 1991, p. 97) and often they are considered institutional, stressful and unsuitable for occupants’ emotional needs (Salonen et al., 2013).</w:t>
      </w:r>
    </w:p>
    <w:p w14:paraId="0B3DB44E" w14:textId="77777777" w:rsidR="009234FE" w:rsidRDefault="009234FE" w:rsidP="00C01A39">
      <w:pPr>
        <w:pStyle w:val="MDPI31text"/>
        <w:ind w:left="0" w:firstLine="0"/>
        <w:rPr>
          <w:rFonts w:ascii="Georgia" w:eastAsiaTheme="minorEastAsia" w:hAnsi="Georgia" w:cs="Arial"/>
        </w:rPr>
      </w:pPr>
    </w:p>
    <w:p w14:paraId="4ACB51BD" w14:textId="77777777" w:rsidR="00C01A39" w:rsidRPr="004F2BEA" w:rsidRDefault="00C01A39" w:rsidP="002E3957">
      <w:pPr>
        <w:pStyle w:val="MDPI21heading1"/>
        <w:rPr>
          <w:rFonts w:ascii="Georgia" w:eastAsiaTheme="minorEastAsia" w:hAnsi="Georgia" w:cs="Arial"/>
        </w:rPr>
      </w:pPr>
      <w:r w:rsidRPr="004F2BEA">
        <w:rPr>
          <w:rFonts w:ascii="Georgia" w:eastAsiaTheme="minorEastAsia" w:hAnsi="Georgia" w:cs="Arial"/>
        </w:rPr>
        <w:t>5. Conclusions</w:t>
      </w:r>
    </w:p>
    <w:p w14:paraId="50600CC7" w14:textId="77777777" w:rsidR="00F32508" w:rsidRDefault="00F32508" w:rsidP="00F32508">
      <w:pPr>
        <w:pStyle w:val="MDPI31text"/>
        <w:ind w:left="0" w:firstLine="0"/>
        <w:rPr>
          <w:rFonts w:ascii="Georgia" w:eastAsiaTheme="minorEastAsia" w:hAnsi="Georgia" w:cs="Arial"/>
        </w:rPr>
      </w:pPr>
    </w:p>
    <w:p w14:paraId="1A6A658C" w14:textId="77777777" w:rsidR="00F32508" w:rsidRPr="00F32508" w:rsidRDefault="00F32508" w:rsidP="00F32508">
      <w:pPr>
        <w:pStyle w:val="MDPI31text"/>
        <w:rPr>
          <w:rFonts w:ascii="Georgia" w:eastAsiaTheme="minorEastAsia" w:hAnsi="Georgia" w:cs="Arial"/>
        </w:rPr>
      </w:pPr>
      <w:r w:rsidRPr="00F32508">
        <w:rPr>
          <w:rFonts w:ascii="Georgia" w:eastAsiaTheme="minorEastAsia" w:hAnsi="Georgia" w:cs="Arial"/>
        </w:rPr>
        <w:t>Even if regulators have theoretical knowledge of healing environments, they do not effectively guide architects by instructions and principles during the design process. Actions to improve them could be beneficial for architects during the design process and consequently for the waiting areas environment and patients’ wellbeing. They could even have longer-term benefits supporting early detection of disease by reducing the fear and stigma that people feel when engaging with healthcare services.</w:t>
      </w:r>
    </w:p>
    <w:p w14:paraId="46A7DA4D" w14:textId="7EC66DCB" w:rsidR="00F32508" w:rsidRDefault="00F32508" w:rsidP="00F32508">
      <w:pPr>
        <w:pStyle w:val="MDPI31text"/>
        <w:rPr>
          <w:rFonts w:ascii="Georgia" w:eastAsiaTheme="minorEastAsia" w:hAnsi="Georgia" w:cs="Arial"/>
        </w:rPr>
      </w:pPr>
      <w:r w:rsidRPr="00F32508">
        <w:rPr>
          <w:rFonts w:ascii="Georgia" w:eastAsiaTheme="minorEastAsia" w:hAnsi="Georgia" w:cs="Arial"/>
        </w:rPr>
        <w:t xml:space="preserve">For further research related to waiting areas, I propose that more countries' healthcare design guideline documents could be </w:t>
      </w:r>
      <w:proofErr w:type="spellStart"/>
      <w:r w:rsidRPr="00F32508">
        <w:rPr>
          <w:rFonts w:ascii="Georgia" w:eastAsiaTheme="minorEastAsia" w:hAnsi="Georgia" w:cs="Arial"/>
        </w:rPr>
        <w:t>analysed</w:t>
      </w:r>
      <w:proofErr w:type="spellEnd"/>
      <w:r w:rsidRPr="00F32508">
        <w:rPr>
          <w:rFonts w:ascii="Georgia" w:eastAsiaTheme="minorEastAsia" w:hAnsi="Georgia" w:cs="Arial"/>
        </w:rPr>
        <w:t xml:space="preserve"> taking into consideration the factor of cultural differences. Also, on an even broader scale, similar research and review on the guidelines about other non-clinical parts of hospitals such as cafés, restaurants, doctor offices etc. could be interesting as a comparison to the design guidance offered for clinical spaces.</w:t>
      </w:r>
    </w:p>
    <w:p w14:paraId="1CACE74A" w14:textId="77777777" w:rsidR="00F32508" w:rsidRDefault="00F32508" w:rsidP="002E3957">
      <w:pPr>
        <w:pStyle w:val="MDPI31text"/>
        <w:rPr>
          <w:rFonts w:ascii="Georgia" w:eastAsiaTheme="minorEastAsia" w:hAnsi="Georgia" w:cs="Arial"/>
        </w:rPr>
      </w:pPr>
    </w:p>
    <w:p w14:paraId="00F2BA79" w14:textId="77777777" w:rsidR="00F32508" w:rsidRDefault="00F32508" w:rsidP="002E3957">
      <w:pPr>
        <w:pStyle w:val="MDPI31text"/>
        <w:rPr>
          <w:rFonts w:ascii="Georgia" w:eastAsiaTheme="minorEastAsia" w:hAnsi="Georgia" w:cs="Arial"/>
        </w:rPr>
      </w:pPr>
    </w:p>
    <w:p w14:paraId="412B1B1E" w14:textId="77777777" w:rsidR="00F32508" w:rsidRDefault="00F32508" w:rsidP="002E3957">
      <w:pPr>
        <w:pStyle w:val="MDPI31text"/>
        <w:rPr>
          <w:rFonts w:ascii="Georgia" w:eastAsiaTheme="minorEastAsia" w:hAnsi="Georgia" w:cs="Arial"/>
        </w:rPr>
      </w:pPr>
    </w:p>
    <w:p w14:paraId="3FC8F6EF" w14:textId="4E77A5A4" w:rsidR="002E3957" w:rsidRDefault="002E3957" w:rsidP="002E3957">
      <w:pPr>
        <w:pStyle w:val="MDPI21heading1"/>
        <w:rPr>
          <w:rFonts w:ascii="Georgia" w:eastAsiaTheme="minorEastAsia" w:hAnsi="Georgia" w:cs="Arial"/>
        </w:rPr>
      </w:pPr>
    </w:p>
    <w:p w14:paraId="5F1A6037" w14:textId="11E9FD71" w:rsidR="007C1CA7" w:rsidRDefault="007C1CA7" w:rsidP="002E3957">
      <w:pPr>
        <w:pStyle w:val="MDPI21heading1"/>
        <w:rPr>
          <w:rFonts w:ascii="Georgia" w:eastAsiaTheme="minorEastAsia" w:hAnsi="Georgia" w:cs="Arial"/>
        </w:rPr>
      </w:pPr>
    </w:p>
    <w:p w14:paraId="385415AA" w14:textId="77777777" w:rsidR="007C1CA7" w:rsidRDefault="007C1CA7" w:rsidP="007C1CA7">
      <w:pPr>
        <w:pStyle w:val="MDPI21heading1"/>
        <w:ind w:left="0"/>
        <w:rPr>
          <w:rFonts w:ascii="Georgia" w:eastAsiaTheme="minorEastAsia" w:hAnsi="Georgia" w:cs="Arial"/>
        </w:rPr>
      </w:pPr>
    </w:p>
    <w:p w14:paraId="7537C4A7" w14:textId="0075BC64" w:rsidR="002E3957" w:rsidRPr="002E3957" w:rsidRDefault="006A561A" w:rsidP="002E3957">
      <w:pPr>
        <w:pStyle w:val="MDPI21heading1"/>
        <w:rPr>
          <w:rFonts w:ascii="Georgia" w:eastAsiaTheme="minorEastAsia" w:hAnsi="Georgia" w:cs="Arial"/>
        </w:rPr>
      </w:pPr>
      <w:r w:rsidRPr="004F2BEA">
        <w:rPr>
          <w:rFonts w:ascii="Georgia" w:eastAsiaTheme="minorEastAsia" w:hAnsi="Georgia" w:cs="Arial"/>
        </w:rPr>
        <w:t>Data Availability Statement</w:t>
      </w:r>
    </w:p>
    <w:p w14:paraId="4ADBA97E" w14:textId="77777777" w:rsidR="002E3957" w:rsidRDefault="002E3957" w:rsidP="002E3957">
      <w:pPr>
        <w:pStyle w:val="MDPI31text"/>
        <w:rPr>
          <w:rFonts w:ascii="Georgia" w:eastAsiaTheme="minorEastAsia" w:hAnsi="Georgia" w:cs="Arial"/>
        </w:rPr>
      </w:pPr>
    </w:p>
    <w:p w14:paraId="6A630C5E" w14:textId="611DEDE7" w:rsidR="006A561A" w:rsidRPr="002E3957" w:rsidRDefault="006A561A" w:rsidP="002E3957">
      <w:pPr>
        <w:pStyle w:val="MDPI31text"/>
        <w:rPr>
          <w:rFonts w:ascii="Georgia" w:eastAsiaTheme="minorEastAsia" w:hAnsi="Georgia" w:cs="Arial"/>
        </w:rPr>
      </w:pPr>
      <w:r>
        <w:rPr>
          <w:rFonts w:ascii="Georgia" w:eastAsiaTheme="minorEastAsia" w:hAnsi="Georgia" w:cs="Arial"/>
        </w:rPr>
        <w:t xml:space="preserve">All the healthcare design </w:t>
      </w:r>
      <w:r w:rsidRPr="00AC7568">
        <w:rPr>
          <w:rFonts w:ascii="Georgia" w:eastAsiaTheme="minorEastAsia" w:hAnsi="Georgia" w:cs="Arial"/>
        </w:rPr>
        <w:t>guideline</w:t>
      </w:r>
      <w:r>
        <w:rPr>
          <w:rFonts w:ascii="Georgia" w:eastAsiaTheme="minorEastAsia" w:hAnsi="Georgia" w:cs="Arial"/>
        </w:rPr>
        <w:t xml:space="preserve"> documents that were used for this paper are open to public access and can be found in the following links: </w:t>
      </w:r>
      <w:r w:rsidRPr="002E3957">
        <w:rPr>
          <w:rFonts w:ascii="Georgia" w:eastAsiaTheme="minorEastAsia" w:hAnsi="Georgia" w:cs="Arial"/>
        </w:rPr>
        <w:t xml:space="preserve">for the UK; Health Building Note 00-01 General design guidance for healthcare buildings link: https://www.england.nhs.uk/wp-content/uploads/2021/05/HBN_00-01-2.pdf, for the USA; guidelines for design and construction of hospital and healthcare facilities link: https://fgiguidelines.org/wp-content/uploads/2015/08/2001guidelines.pdf and for Australia: Australasian Health Facility Guidelines under the scope of specific evidence-based design features used as a method to demonstrate the consideration given to the design of waiting spaces are accessible through the following link: </w:t>
      </w:r>
      <w:hyperlink r:id="rId16" w:history="1">
        <w:r w:rsidR="002D08CA" w:rsidRPr="002E3957">
          <w:rPr>
            <w:rFonts w:eastAsiaTheme="minorEastAsia"/>
          </w:rPr>
          <w:t>https://healthfacilityguidelines.com.au</w:t>
        </w:r>
      </w:hyperlink>
      <w:r w:rsidRPr="002E3957">
        <w:rPr>
          <w:rFonts w:ascii="Georgia" w:eastAsiaTheme="minorEastAsia" w:hAnsi="Georgia" w:cs="Arial"/>
        </w:rPr>
        <w:t>.</w:t>
      </w:r>
    </w:p>
    <w:p w14:paraId="0A7DB0D6" w14:textId="4E6B7AB4" w:rsidR="002D08CA" w:rsidRDefault="002D08CA" w:rsidP="006A561A">
      <w:pPr>
        <w:pStyle w:val="MDPI31text"/>
        <w:rPr>
          <w:rFonts w:ascii="Georgia" w:eastAsiaTheme="minorEastAsia" w:hAnsi="Georgia" w:cs="Arial"/>
          <w:color w:val="000000" w:themeColor="text1"/>
        </w:rPr>
      </w:pPr>
    </w:p>
    <w:p w14:paraId="0E014CE6" w14:textId="77777777" w:rsidR="002E3957" w:rsidRDefault="002D08CA" w:rsidP="002E3957">
      <w:pPr>
        <w:pStyle w:val="MDPI21heading1"/>
        <w:rPr>
          <w:rFonts w:ascii="Georgia" w:eastAsiaTheme="minorEastAsia" w:hAnsi="Georgia" w:cs="Arial"/>
        </w:rPr>
      </w:pPr>
      <w:r w:rsidRPr="004F2BEA">
        <w:rPr>
          <w:rFonts w:ascii="Georgia" w:eastAsiaTheme="minorEastAsia" w:hAnsi="Georgia" w:cs="Arial"/>
        </w:rPr>
        <w:t>Contributor statement</w:t>
      </w:r>
      <w:r w:rsidRPr="005C6417">
        <w:rPr>
          <w:rFonts w:ascii="Georgia" w:eastAsiaTheme="minorEastAsia" w:hAnsi="Georgia" w:cs="Arial"/>
        </w:rPr>
        <w:t xml:space="preserve"> </w:t>
      </w:r>
    </w:p>
    <w:p w14:paraId="67D230C6" w14:textId="57D396D9" w:rsidR="007C1CA7" w:rsidRDefault="002E3957" w:rsidP="007C1CA7">
      <w:pPr>
        <w:pStyle w:val="MDPI21heading1"/>
        <w:rPr>
          <w:rFonts w:ascii="Georgia" w:eastAsiaTheme="minorEastAsia" w:hAnsi="Georgia" w:cs="Arial"/>
          <w:b w:val="0"/>
        </w:rPr>
      </w:pPr>
      <w:r>
        <w:rPr>
          <w:rFonts w:ascii="Georgia" w:eastAsiaTheme="minorEastAsia" w:hAnsi="Georgia" w:cs="Arial"/>
          <w:b w:val="0"/>
        </w:rPr>
        <w:t xml:space="preserve">    </w:t>
      </w:r>
      <w:r w:rsidR="007923B3">
        <w:rPr>
          <w:rFonts w:ascii="Georgia" w:eastAsiaTheme="minorEastAsia" w:hAnsi="Georgia" w:cs="Arial"/>
          <w:b w:val="0"/>
        </w:rPr>
        <w:t>ET conceived the original idea of this paper which was discussed with EC. All authors contributed to the design of the study. ET discussed the methodology with HL.</w:t>
      </w:r>
      <w:r w:rsidR="005F13B1">
        <w:rPr>
          <w:rFonts w:ascii="Georgia" w:eastAsiaTheme="minorEastAsia" w:hAnsi="Georgia" w:cs="Arial"/>
          <w:b w:val="0"/>
        </w:rPr>
        <w:t xml:space="preserve"> ET</w:t>
      </w:r>
      <w:r w:rsidR="00F32508">
        <w:rPr>
          <w:rFonts w:ascii="Georgia" w:eastAsiaTheme="minorEastAsia" w:hAnsi="Georgia" w:cs="Arial"/>
          <w:b w:val="0"/>
        </w:rPr>
        <w:t xml:space="preserve"> </w:t>
      </w:r>
      <w:r w:rsidR="005F13B1">
        <w:rPr>
          <w:rFonts w:ascii="Georgia" w:eastAsiaTheme="minorEastAsia" w:hAnsi="Georgia" w:cs="Arial"/>
          <w:b w:val="0"/>
        </w:rPr>
        <w:t>conducted the analysis of the dat</w:t>
      </w:r>
      <w:r w:rsidR="00FF1609">
        <w:rPr>
          <w:rFonts w:ascii="Georgia" w:eastAsiaTheme="minorEastAsia" w:hAnsi="Georgia" w:cs="Arial"/>
          <w:b w:val="0"/>
        </w:rPr>
        <w:t>a</w:t>
      </w:r>
      <w:r w:rsidR="005F13B1">
        <w:rPr>
          <w:rFonts w:ascii="Georgia" w:eastAsiaTheme="minorEastAsia" w:hAnsi="Georgia" w:cs="Arial"/>
          <w:b w:val="0"/>
        </w:rPr>
        <w:t xml:space="preserve"> and drafted the first manuscript. EC and HL revised the manuscript multiple times. ET wrote the final paper. </w:t>
      </w:r>
      <w:r w:rsidR="007923B3">
        <w:rPr>
          <w:rFonts w:ascii="Georgia" w:eastAsiaTheme="minorEastAsia" w:hAnsi="Georgia" w:cs="Arial"/>
          <w:b w:val="0"/>
        </w:rPr>
        <w:t>All authors</w:t>
      </w:r>
      <w:r w:rsidR="005F13B1">
        <w:rPr>
          <w:rFonts w:ascii="Georgia" w:eastAsiaTheme="minorEastAsia" w:hAnsi="Georgia" w:cs="Arial"/>
          <w:b w:val="0"/>
        </w:rPr>
        <w:t xml:space="preserve"> </w:t>
      </w:r>
      <w:r w:rsidR="007923B3">
        <w:rPr>
          <w:rFonts w:ascii="Georgia" w:eastAsiaTheme="minorEastAsia" w:hAnsi="Georgia" w:cs="Arial"/>
          <w:b w:val="0"/>
        </w:rPr>
        <w:t>read and approved the final version of the manuscript</w:t>
      </w:r>
      <w:r w:rsidR="005F13B1">
        <w:rPr>
          <w:rFonts w:ascii="Georgia" w:eastAsiaTheme="minorEastAsia" w:hAnsi="Georgia" w:cs="Arial"/>
          <w:b w:val="0"/>
        </w:rPr>
        <w:t>.</w:t>
      </w:r>
    </w:p>
    <w:p w14:paraId="27D74893" w14:textId="0907FD7B" w:rsidR="007C1CA7" w:rsidRDefault="007C1CA7" w:rsidP="007C1CA7">
      <w:pPr>
        <w:pStyle w:val="MDPI21heading1"/>
        <w:rPr>
          <w:rFonts w:ascii="Georgia" w:eastAsiaTheme="minorEastAsia" w:hAnsi="Georgia" w:cs="Arial"/>
          <w:b w:val="0"/>
        </w:rPr>
      </w:pPr>
    </w:p>
    <w:p w14:paraId="12941581" w14:textId="5609A3B8" w:rsidR="007C1CA7" w:rsidRDefault="007C1CA7" w:rsidP="007C1CA7">
      <w:pPr>
        <w:pStyle w:val="MDPI21heading1"/>
        <w:rPr>
          <w:rFonts w:ascii="Georgia" w:eastAsiaTheme="minorEastAsia" w:hAnsi="Georgia" w:cs="Arial"/>
          <w:b w:val="0"/>
        </w:rPr>
      </w:pPr>
    </w:p>
    <w:p w14:paraId="4ADAA9FA" w14:textId="41B7B762" w:rsidR="007C1CA7" w:rsidRDefault="007C1CA7" w:rsidP="007C1CA7">
      <w:pPr>
        <w:pStyle w:val="MDPI21heading1"/>
        <w:rPr>
          <w:rFonts w:ascii="Georgia" w:eastAsiaTheme="minorEastAsia" w:hAnsi="Georgia" w:cs="Arial"/>
          <w:b w:val="0"/>
        </w:rPr>
      </w:pPr>
    </w:p>
    <w:p w14:paraId="16D60491" w14:textId="77777777" w:rsidR="007C1CA7" w:rsidRPr="007C1CA7" w:rsidRDefault="007C1CA7" w:rsidP="00FF1609">
      <w:pPr>
        <w:pStyle w:val="MDPI21heading1"/>
        <w:ind w:left="0"/>
        <w:rPr>
          <w:rFonts w:ascii="Georgia" w:eastAsiaTheme="minorEastAsia" w:hAnsi="Georgia" w:cs="Arial"/>
          <w:b w:val="0"/>
        </w:rPr>
      </w:pPr>
    </w:p>
    <w:p w14:paraId="071E4E01" w14:textId="52675B8C" w:rsidR="00A86E9F" w:rsidRPr="004F2BEA" w:rsidRDefault="00A86E9F" w:rsidP="000855EA">
      <w:pPr>
        <w:pStyle w:val="MDPI21heading1"/>
        <w:ind w:left="0"/>
        <w:rPr>
          <w:rFonts w:ascii="Georgia" w:eastAsiaTheme="minorEastAsia" w:hAnsi="Georgia" w:cs="Arial"/>
        </w:rPr>
      </w:pPr>
      <w:r w:rsidRPr="004F2BEA">
        <w:rPr>
          <w:rFonts w:ascii="Georgia" w:eastAsiaTheme="minorEastAsia" w:hAnsi="Georgia" w:cs="Arial"/>
        </w:rPr>
        <w:lastRenderedPageBreak/>
        <w:t>Reference</w:t>
      </w:r>
    </w:p>
    <w:p w14:paraId="4F770451" w14:textId="23ED7FCE" w:rsidR="000E112C" w:rsidRDefault="000E112C" w:rsidP="00366D78">
      <w:pPr>
        <w:pStyle w:val="MDPI71References"/>
        <w:numPr>
          <w:ilvl w:val="0"/>
          <w:numId w:val="0"/>
        </w:numPr>
        <w:rPr>
          <w:rFonts w:ascii="Georgia" w:eastAsiaTheme="minorEastAsia" w:hAnsi="Georgia" w:cs="Arial"/>
          <w:highlight w:val="yellow"/>
        </w:rPr>
      </w:pPr>
    </w:p>
    <w:p w14:paraId="775E3D2D" w14:textId="77777777" w:rsidR="00406763" w:rsidRDefault="00406763" w:rsidP="00406763">
      <w:pPr>
        <w:pStyle w:val="MDPI71References"/>
        <w:numPr>
          <w:ilvl w:val="0"/>
          <w:numId w:val="4"/>
        </w:numPr>
        <w:ind w:left="425" w:hanging="425"/>
        <w:rPr>
          <w:rFonts w:ascii="Georgia" w:eastAsiaTheme="minorEastAsia" w:hAnsi="Georgia" w:cs="Arial"/>
        </w:rPr>
      </w:pPr>
      <w:r w:rsidRPr="00D30C50">
        <w:rPr>
          <w:rFonts w:ascii="Georgia" w:eastAsiaTheme="minorEastAsia" w:hAnsi="Georgia" w:cs="Arial"/>
        </w:rPr>
        <w:t xml:space="preserve">Australasian Health Infrastructure Alliance (AHIA) (2016). Australasian Health Facility Guidelines, North Sydney, Australasian Health Infrastructure Alliance (AHIA). Retrieved from </w:t>
      </w:r>
      <w:hyperlink r:id="rId17" w:history="1">
        <w:r w:rsidRPr="00F01BC7">
          <w:rPr>
            <w:rFonts w:ascii="Georgia" w:eastAsiaTheme="minorEastAsia" w:hAnsi="Georgia" w:cs="Arial"/>
          </w:rPr>
          <w:t>https://healthfacilityguidelines.com.au</w:t>
        </w:r>
      </w:hyperlink>
      <w:r w:rsidRPr="00D30C50">
        <w:rPr>
          <w:rFonts w:ascii="Georgia" w:eastAsiaTheme="minorEastAsia" w:hAnsi="Georgia" w:cs="Arial"/>
        </w:rPr>
        <w:t>.</w:t>
      </w:r>
    </w:p>
    <w:p w14:paraId="58FD5EDC" w14:textId="6C82F4E5" w:rsidR="00D30C50" w:rsidRPr="00406763" w:rsidRDefault="000E112C" w:rsidP="00406763">
      <w:pPr>
        <w:pStyle w:val="MDPI71References"/>
        <w:numPr>
          <w:ilvl w:val="0"/>
          <w:numId w:val="4"/>
        </w:numPr>
        <w:ind w:left="425" w:hanging="425"/>
        <w:rPr>
          <w:rFonts w:ascii="Georgia" w:eastAsiaTheme="minorEastAsia" w:hAnsi="Georgia" w:cs="Arial"/>
        </w:rPr>
      </w:pPr>
      <w:r w:rsidRPr="00406763">
        <w:rPr>
          <w:rFonts w:ascii="Georgia" w:eastAsiaTheme="minorEastAsia" w:hAnsi="Georgia" w:cs="Arial"/>
        </w:rPr>
        <w:t>Department of Health (2014)</w:t>
      </w:r>
      <w:r w:rsidR="00D30C50" w:rsidRPr="00406763">
        <w:rPr>
          <w:rFonts w:ascii="Georgia" w:eastAsiaTheme="minorEastAsia" w:hAnsi="Georgia" w:cs="Arial"/>
        </w:rPr>
        <w:t>.</w:t>
      </w:r>
      <w:r w:rsidRPr="00406763">
        <w:rPr>
          <w:rFonts w:ascii="Georgia" w:eastAsiaTheme="minorEastAsia" w:hAnsi="Georgia" w:cs="Arial"/>
        </w:rPr>
        <w:t xml:space="preserve"> Health Building Note 00-</w:t>
      </w:r>
      <w:proofErr w:type="gramStart"/>
      <w:r w:rsidRPr="00406763">
        <w:rPr>
          <w:rFonts w:ascii="Georgia" w:eastAsiaTheme="minorEastAsia" w:hAnsi="Georgia" w:cs="Arial"/>
        </w:rPr>
        <w:t>01:General</w:t>
      </w:r>
      <w:proofErr w:type="gramEnd"/>
      <w:r w:rsidRPr="00406763">
        <w:rPr>
          <w:rFonts w:ascii="Georgia" w:eastAsiaTheme="minorEastAsia" w:hAnsi="Georgia" w:cs="Arial"/>
        </w:rPr>
        <w:t xml:space="preserve"> design guidance for healthcare buildings. London, Crown copyright</w:t>
      </w:r>
      <w:r w:rsidR="00D30C50" w:rsidRPr="00406763">
        <w:rPr>
          <w:rFonts w:ascii="Georgia" w:eastAsiaTheme="minorEastAsia" w:hAnsi="Georgia" w:cs="Arial"/>
        </w:rPr>
        <w:t xml:space="preserve">. Retrieved from </w:t>
      </w:r>
      <w:hyperlink r:id="rId18" w:history="1">
        <w:r w:rsidR="00D30C50" w:rsidRPr="00F01BC7">
          <w:rPr>
            <w:rFonts w:ascii="Georgia" w:eastAsiaTheme="minorEastAsia" w:hAnsi="Georgia" w:cs="Arial"/>
          </w:rPr>
          <w:t>https://www.england.nhs.uk/wp-content/uploads/2021/05/HBN_00-01-2.pdf</w:t>
        </w:r>
      </w:hyperlink>
    </w:p>
    <w:p w14:paraId="7E6E0794" w14:textId="2F3314CA" w:rsidR="007E5610" w:rsidRPr="007E5610" w:rsidRDefault="00406763" w:rsidP="007E5610">
      <w:pPr>
        <w:pStyle w:val="MDPI71References"/>
        <w:numPr>
          <w:ilvl w:val="0"/>
          <w:numId w:val="4"/>
        </w:numPr>
        <w:ind w:left="425" w:hanging="425"/>
        <w:rPr>
          <w:rFonts w:ascii="Georgia" w:eastAsiaTheme="minorEastAsia" w:hAnsi="Georgia" w:cs="Arial"/>
        </w:rPr>
      </w:pPr>
      <w:proofErr w:type="spellStart"/>
      <w:r w:rsidRPr="006C2087">
        <w:rPr>
          <w:rFonts w:ascii="Georgia" w:eastAsiaTheme="minorEastAsia" w:hAnsi="Georgia" w:cs="Arial"/>
          <w:lang w:val="es-ES"/>
        </w:rPr>
        <w:t>Goelitz</w:t>
      </w:r>
      <w:proofErr w:type="spellEnd"/>
      <w:r w:rsidRPr="006C2087">
        <w:rPr>
          <w:rFonts w:ascii="Georgia" w:eastAsiaTheme="minorEastAsia" w:hAnsi="Georgia" w:cs="Arial"/>
          <w:lang w:val="es-ES"/>
        </w:rPr>
        <w:t xml:space="preserve">, A., &amp; </w:t>
      </w:r>
      <w:proofErr w:type="spellStart"/>
      <w:r w:rsidRPr="006C2087">
        <w:rPr>
          <w:rFonts w:ascii="Georgia" w:eastAsiaTheme="minorEastAsia" w:hAnsi="Georgia" w:cs="Arial"/>
          <w:lang w:val="es-ES"/>
        </w:rPr>
        <w:t>Kahn</w:t>
      </w:r>
      <w:proofErr w:type="spellEnd"/>
      <w:r w:rsidRPr="006C2087">
        <w:rPr>
          <w:rFonts w:ascii="Georgia" w:eastAsiaTheme="minorEastAsia" w:hAnsi="Georgia" w:cs="Arial"/>
          <w:lang w:val="es-ES"/>
        </w:rPr>
        <w:t>, A. S. (2008)</w:t>
      </w:r>
      <w:r w:rsidR="00FC20C6" w:rsidRPr="006C2087">
        <w:rPr>
          <w:rFonts w:ascii="Georgia" w:eastAsiaTheme="minorEastAsia" w:hAnsi="Georgia" w:cs="Arial"/>
          <w:lang w:val="es-ES"/>
        </w:rPr>
        <w:t>.</w:t>
      </w:r>
      <w:r w:rsidRPr="006C2087">
        <w:rPr>
          <w:rFonts w:ascii="Georgia" w:eastAsiaTheme="minorEastAsia" w:hAnsi="Georgia" w:cs="Arial"/>
          <w:lang w:val="es-ES"/>
        </w:rPr>
        <w:t xml:space="preserve"> </w:t>
      </w:r>
      <w:r w:rsidRPr="00406763">
        <w:rPr>
          <w:rFonts w:ascii="Georgia" w:eastAsiaTheme="minorEastAsia" w:hAnsi="Georgia" w:cs="Arial"/>
        </w:rPr>
        <w:t xml:space="preserve">Therapeutic use of space: One agency's transformation project. Journal of Creativity in Mental Health, 2(4), 31-44. </w:t>
      </w:r>
      <w:r w:rsidR="00FC20C6">
        <w:rPr>
          <w:rFonts w:ascii="Georgia" w:eastAsiaTheme="minorEastAsia" w:hAnsi="Georgia" w:cs="Arial"/>
        </w:rPr>
        <w:t>Retrieved</w:t>
      </w:r>
      <w:r w:rsidRPr="00406763">
        <w:rPr>
          <w:rFonts w:ascii="Georgia" w:eastAsiaTheme="minorEastAsia" w:hAnsi="Georgia" w:cs="Arial"/>
        </w:rPr>
        <w:t xml:space="preserve"> from:</w:t>
      </w:r>
      <w:r w:rsidR="007E5610">
        <w:rPr>
          <w:rFonts w:ascii="Georgia" w:eastAsiaTheme="minorEastAsia" w:hAnsi="Georgia" w:cs="Arial"/>
        </w:rPr>
        <w:t xml:space="preserve"> </w:t>
      </w:r>
      <w:r w:rsidR="007E5610" w:rsidRPr="007E5610">
        <w:rPr>
          <w:rFonts w:ascii="Georgia" w:eastAsiaTheme="minorEastAsia" w:hAnsi="Georgia" w:cs="Arial"/>
        </w:rPr>
        <w:t>https://www.tandfonline.com/doi/abs/10.1300/J456v02n04_04</w:t>
      </w:r>
    </w:p>
    <w:p w14:paraId="649AD473" w14:textId="69FD37C1" w:rsidR="00406763" w:rsidRPr="00406763" w:rsidRDefault="00406763" w:rsidP="00406763">
      <w:pPr>
        <w:pStyle w:val="MDPI71References"/>
        <w:numPr>
          <w:ilvl w:val="0"/>
          <w:numId w:val="4"/>
        </w:numPr>
        <w:ind w:left="425" w:hanging="425"/>
        <w:rPr>
          <w:rFonts w:ascii="Georgia" w:eastAsiaTheme="minorEastAsia" w:hAnsi="Georgia" w:cs="Arial"/>
        </w:rPr>
      </w:pPr>
      <w:r w:rsidRPr="00406763">
        <w:rPr>
          <w:rFonts w:ascii="Georgia" w:eastAsiaTheme="minorEastAsia" w:hAnsi="Georgia" w:cs="Arial"/>
        </w:rPr>
        <w:t xml:space="preserve">Harkness, N. R. (2019) BETWEEN MOMENTS Using virtual reality with participatory processes to design healthcare waiting places, Master thesis, Victoria University of Wellington, New Zealand. </w:t>
      </w:r>
      <w:r w:rsidR="007E5610" w:rsidRPr="00D30C50">
        <w:rPr>
          <w:rFonts w:ascii="Georgia" w:eastAsiaTheme="minorEastAsia" w:hAnsi="Georgia" w:cs="Arial"/>
        </w:rPr>
        <w:t>Retrieved</w:t>
      </w:r>
      <w:r w:rsidR="007E5610" w:rsidRPr="00406763">
        <w:rPr>
          <w:rFonts w:ascii="Georgia" w:eastAsiaTheme="minorEastAsia" w:hAnsi="Georgia" w:cs="Arial"/>
        </w:rPr>
        <w:t xml:space="preserve"> </w:t>
      </w:r>
      <w:r w:rsidRPr="00406763">
        <w:rPr>
          <w:rFonts w:ascii="Georgia" w:eastAsiaTheme="minorEastAsia" w:hAnsi="Georgia" w:cs="Arial"/>
        </w:rPr>
        <w:t>from: http://hdl.handle.net/10063/8273</w:t>
      </w:r>
    </w:p>
    <w:p w14:paraId="3D603F5A" w14:textId="58007656" w:rsidR="00406763" w:rsidRPr="00406763" w:rsidRDefault="00406763" w:rsidP="00406763">
      <w:pPr>
        <w:pStyle w:val="MDPI71References"/>
        <w:numPr>
          <w:ilvl w:val="0"/>
          <w:numId w:val="4"/>
        </w:numPr>
        <w:ind w:left="425" w:hanging="425"/>
        <w:rPr>
          <w:rFonts w:ascii="Georgia" w:eastAsiaTheme="minorEastAsia" w:hAnsi="Georgia" w:cs="Arial"/>
        </w:rPr>
      </w:pPr>
      <w:r w:rsidRPr="00406763">
        <w:rPr>
          <w:rFonts w:ascii="Georgia" w:eastAsiaTheme="minorEastAsia" w:hAnsi="Georgia" w:cs="Arial"/>
        </w:rPr>
        <w:t xml:space="preserve">Henderson, W. M. (2008) ‘User Satisfaction in PFI and Non-PFI Hospitals in the UK: In Particular the Outpatients’ Department Reception/Waiting Areas’, </w:t>
      </w:r>
      <w:proofErr w:type="spellStart"/>
      <w:r w:rsidRPr="00406763">
        <w:rPr>
          <w:rFonts w:ascii="Georgia" w:eastAsiaTheme="minorEastAsia" w:hAnsi="Georgia" w:cs="Arial"/>
        </w:rPr>
        <w:t>Phd</w:t>
      </w:r>
      <w:proofErr w:type="spellEnd"/>
      <w:r w:rsidRPr="00406763">
        <w:rPr>
          <w:rFonts w:ascii="Georgia" w:eastAsiaTheme="minorEastAsia" w:hAnsi="Georgia" w:cs="Arial"/>
        </w:rPr>
        <w:t xml:space="preserve"> </w:t>
      </w:r>
      <w:proofErr w:type="spellStart"/>
      <w:proofErr w:type="gramStart"/>
      <w:r w:rsidRPr="00406763">
        <w:rPr>
          <w:rFonts w:ascii="Georgia" w:eastAsiaTheme="minorEastAsia" w:hAnsi="Georgia" w:cs="Arial"/>
        </w:rPr>
        <w:t>thesis,University</w:t>
      </w:r>
      <w:proofErr w:type="spellEnd"/>
      <w:proofErr w:type="gramEnd"/>
      <w:r w:rsidRPr="00406763">
        <w:rPr>
          <w:rFonts w:ascii="Georgia" w:eastAsiaTheme="minorEastAsia" w:hAnsi="Georgia" w:cs="Arial"/>
        </w:rPr>
        <w:t xml:space="preserve"> of Bedfordshire, Bedfordshire. </w:t>
      </w:r>
      <w:r w:rsidR="007E5610" w:rsidRPr="00D30C50">
        <w:rPr>
          <w:rFonts w:ascii="Georgia" w:eastAsiaTheme="minorEastAsia" w:hAnsi="Georgia" w:cs="Arial"/>
        </w:rPr>
        <w:t>Retrieved</w:t>
      </w:r>
      <w:r w:rsidR="007E5610" w:rsidRPr="00406763">
        <w:rPr>
          <w:rFonts w:ascii="Georgia" w:eastAsiaTheme="minorEastAsia" w:hAnsi="Georgia" w:cs="Arial"/>
        </w:rPr>
        <w:t xml:space="preserve"> </w:t>
      </w:r>
      <w:r w:rsidRPr="00406763">
        <w:rPr>
          <w:rFonts w:ascii="Georgia" w:eastAsiaTheme="minorEastAsia" w:hAnsi="Georgia" w:cs="Arial"/>
        </w:rPr>
        <w:t xml:space="preserve">from: https://uobrep.openrepository.com/handle/10547/300624 </w:t>
      </w:r>
    </w:p>
    <w:p w14:paraId="7B23CCDD" w14:textId="2E951F11" w:rsidR="00D7752B" w:rsidRPr="00D7752B" w:rsidRDefault="00D7752B" w:rsidP="00D7752B">
      <w:pPr>
        <w:pStyle w:val="MDPI71References"/>
        <w:numPr>
          <w:ilvl w:val="0"/>
          <w:numId w:val="4"/>
        </w:numPr>
        <w:ind w:left="425" w:hanging="425"/>
        <w:rPr>
          <w:rFonts w:ascii="Georgia" w:eastAsiaTheme="minorEastAsia" w:hAnsi="Georgia" w:cs="Arial"/>
        </w:rPr>
      </w:pPr>
      <w:proofErr w:type="spellStart"/>
      <w:r w:rsidRPr="00D7752B">
        <w:rPr>
          <w:rFonts w:ascii="Georgia" w:eastAsiaTheme="minorEastAsia" w:hAnsi="Georgia" w:cs="Arial"/>
        </w:rPr>
        <w:t>Iyendo</w:t>
      </w:r>
      <w:proofErr w:type="spellEnd"/>
      <w:r w:rsidRPr="00D7752B">
        <w:rPr>
          <w:rFonts w:ascii="Georgia" w:eastAsiaTheme="minorEastAsia" w:hAnsi="Georgia" w:cs="Arial"/>
        </w:rPr>
        <w:t xml:space="preserve">, T., </w:t>
      </w:r>
      <w:proofErr w:type="spellStart"/>
      <w:r w:rsidRPr="00D7752B">
        <w:rPr>
          <w:rFonts w:ascii="Georgia" w:eastAsiaTheme="minorEastAsia" w:hAnsi="Georgia" w:cs="Arial"/>
        </w:rPr>
        <w:t>Uwajeh</w:t>
      </w:r>
      <w:proofErr w:type="spellEnd"/>
      <w:r w:rsidRPr="00D7752B">
        <w:rPr>
          <w:rFonts w:ascii="Georgia" w:eastAsiaTheme="minorEastAsia" w:hAnsi="Georgia" w:cs="Arial"/>
        </w:rPr>
        <w:t xml:space="preserve">, P., &amp; Ikenna, E. (2016) The therapeutic impacts of environmental design interventions on wellness in clinical settings: A narrative review. Complementary Therapies in Clinical Practice, 24, 174-188. </w:t>
      </w:r>
      <w:r w:rsidR="007E5610" w:rsidRPr="00D30C50">
        <w:rPr>
          <w:rFonts w:ascii="Georgia" w:eastAsiaTheme="minorEastAsia" w:hAnsi="Georgia" w:cs="Arial"/>
        </w:rPr>
        <w:t>Retrieved</w:t>
      </w:r>
      <w:r w:rsidR="007E5610">
        <w:rPr>
          <w:rFonts w:ascii="Georgia" w:eastAsiaTheme="minorEastAsia" w:hAnsi="Georgia" w:cs="Arial"/>
        </w:rPr>
        <w:t xml:space="preserve"> </w:t>
      </w:r>
      <w:r w:rsidRPr="00D7752B">
        <w:rPr>
          <w:rFonts w:ascii="Georgia" w:eastAsiaTheme="minorEastAsia" w:hAnsi="Georgia" w:cs="Arial"/>
        </w:rPr>
        <w:t xml:space="preserve">from: </w:t>
      </w:r>
      <w:r w:rsidR="007E5610" w:rsidRPr="007E5610">
        <w:rPr>
          <w:rFonts w:ascii="Georgia" w:eastAsiaTheme="minorEastAsia" w:hAnsi="Georgia" w:cs="Arial"/>
        </w:rPr>
        <w:t>https://www.sciencedirect.com/science/article/abs/pii/S1744388116300536</w:t>
      </w:r>
    </w:p>
    <w:p w14:paraId="67C2A684" w14:textId="4C8AF8C1" w:rsidR="00FE33F2" w:rsidRPr="00FE33F2" w:rsidRDefault="00D7752B" w:rsidP="00FE33F2">
      <w:pPr>
        <w:pStyle w:val="MDPI71References"/>
        <w:numPr>
          <w:ilvl w:val="0"/>
          <w:numId w:val="4"/>
        </w:numPr>
        <w:ind w:left="425" w:hanging="425"/>
        <w:rPr>
          <w:rFonts w:ascii="Georgia" w:eastAsiaTheme="minorEastAsia" w:hAnsi="Georgia" w:cs="Arial"/>
        </w:rPr>
      </w:pPr>
      <w:r w:rsidRPr="00D7752B">
        <w:rPr>
          <w:rFonts w:ascii="Georgia" w:eastAsiaTheme="minorEastAsia" w:hAnsi="Georgia" w:cs="Arial"/>
        </w:rPr>
        <w:t xml:space="preserve">Salonen, H., </w:t>
      </w:r>
      <w:proofErr w:type="spellStart"/>
      <w:r w:rsidRPr="00D7752B">
        <w:rPr>
          <w:rFonts w:ascii="Georgia" w:eastAsiaTheme="minorEastAsia" w:hAnsi="Georgia" w:cs="Arial"/>
        </w:rPr>
        <w:t>Lahtinen</w:t>
      </w:r>
      <w:proofErr w:type="spellEnd"/>
      <w:r w:rsidRPr="00D7752B">
        <w:rPr>
          <w:rFonts w:ascii="Georgia" w:eastAsiaTheme="minorEastAsia" w:hAnsi="Georgia" w:cs="Arial"/>
        </w:rPr>
        <w:t xml:space="preserve">, M., </w:t>
      </w:r>
      <w:proofErr w:type="spellStart"/>
      <w:r w:rsidRPr="00D7752B">
        <w:rPr>
          <w:rFonts w:ascii="Georgia" w:eastAsiaTheme="minorEastAsia" w:hAnsi="Georgia" w:cs="Arial"/>
        </w:rPr>
        <w:t>Lappalainen</w:t>
      </w:r>
      <w:proofErr w:type="spellEnd"/>
      <w:r w:rsidRPr="00D7752B">
        <w:rPr>
          <w:rFonts w:ascii="Georgia" w:eastAsiaTheme="minorEastAsia" w:hAnsi="Georgia" w:cs="Arial"/>
        </w:rPr>
        <w:t xml:space="preserve">, S., </w:t>
      </w:r>
      <w:proofErr w:type="spellStart"/>
      <w:r w:rsidRPr="00D7752B">
        <w:rPr>
          <w:rFonts w:ascii="Georgia" w:eastAsiaTheme="minorEastAsia" w:hAnsi="Georgia" w:cs="Arial"/>
        </w:rPr>
        <w:t>Nevala</w:t>
      </w:r>
      <w:proofErr w:type="spellEnd"/>
      <w:r w:rsidRPr="00D7752B">
        <w:rPr>
          <w:rFonts w:ascii="Georgia" w:eastAsiaTheme="minorEastAsia" w:hAnsi="Georgia" w:cs="Arial"/>
        </w:rPr>
        <w:t xml:space="preserve">, N., </w:t>
      </w:r>
      <w:proofErr w:type="spellStart"/>
      <w:r w:rsidRPr="00D7752B">
        <w:rPr>
          <w:rFonts w:ascii="Georgia" w:eastAsiaTheme="minorEastAsia" w:hAnsi="Georgia" w:cs="Arial"/>
        </w:rPr>
        <w:t>Knibbs</w:t>
      </w:r>
      <w:proofErr w:type="spellEnd"/>
      <w:r w:rsidRPr="00D7752B">
        <w:rPr>
          <w:rFonts w:ascii="Georgia" w:eastAsiaTheme="minorEastAsia" w:hAnsi="Georgia" w:cs="Arial"/>
        </w:rPr>
        <w:t xml:space="preserve">, L. D., </w:t>
      </w:r>
      <w:proofErr w:type="spellStart"/>
      <w:r w:rsidRPr="00D7752B">
        <w:rPr>
          <w:rFonts w:ascii="Georgia" w:eastAsiaTheme="minorEastAsia" w:hAnsi="Georgia" w:cs="Arial"/>
        </w:rPr>
        <w:t>Morawska</w:t>
      </w:r>
      <w:proofErr w:type="spellEnd"/>
      <w:r w:rsidRPr="00D7752B">
        <w:rPr>
          <w:rFonts w:ascii="Georgia" w:eastAsiaTheme="minorEastAsia" w:hAnsi="Georgia" w:cs="Arial"/>
        </w:rPr>
        <w:t xml:space="preserve">, L., &amp; </w:t>
      </w:r>
      <w:proofErr w:type="spellStart"/>
      <w:r w:rsidRPr="00D7752B">
        <w:rPr>
          <w:rFonts w:ascii="Georgia" w:eastAsiaTheme="minorEastAsia" w:hAnsi="Georgia" w:cs="Arial"/>
        </w:rPr>
        <w:t>Reijula</w:t>
      </w:r>
      <w:proofErr w:type="spellEnd"/>
      <w:r w:rsidRPr="00D7752B">
        <w:rPr>
          <w:rFonts w:ascii="Georgia" w:eastAsiaTheme="minorEastAsia" w:hAnsi="Georgia" w:cs="Arial"/>
        </w:rPr>
        <w:t xml:space="preserve">, K. (2013) Physical characteristics of the indoor environment that affect health and wellbeing in healthcare facilities: A review. Intelligent Buildings International, 5(1), 3-25. </w:t>
      </w:r>
      <w:r w:rsidR="007E5610" w:rsidRPr="00D30C50">
        <w:rPr>
          <w:rFonts w:ascii="Georgia" w:eastAsiaTheme="minorEastAsia" w:hAnsi="Georgia" w:cs="Arial"/>
        </w:rPr>
        <w:t>Retrieved</w:t>
      </w:r>
      <w:r w:rsidR="007E5610" w:rsidRPr="00D7752B">
        <w:rPr>
          <w:rFonts w:ascii="Georgia" w:eastAsiaTheme="minorEastAsia" w:hAnsi="Georgia" w:cs="Arial"/>
        </w:rPr>
        <w:t xml:space="preserve"> </w:t>
      </w:r>
      <w:r w:rsidRPr="00D7752B">
        <w:rPr>
          <w:rFonts w:ascii="Georgia" w:eastAsiaTheme="minorEastAsia" w:hAnsi="Georgia" w:cs="Arial"/>
        </w:rPr>
        <w:t xml:space="preserve">from: </w:t>
      </w:r>
      <w:r w:rsidR="007E5610" w:rsidRPr="007E5610">
        <w:rPr>
          <w:rFonts w:ascii="Georgia" w:eastAsiaTheme="minorEastAsia" w:hAnsi="Georgia" w:cs="Arial"/>
        </w:rPr>
        <w:t>https://www.tandfonline.com/doi/abs/10.1080/17508975.2013.764838</w:t>
      </w:r>
    </w:p>
    <w:p w14:paraId="369779D4" w14:textId="4DA2D317" w:rsidR="00FE33F2" w:rsidRPr="00D7752B" w:rsidRDefault="00D7752B" w:rsidP="00FE33F2">
      <w:pPr>
        <w:pStyle w:val="MDPI71References"/>
        <w:numPr>
          <w:ilvl w:val="0"/>
          <w:numId w:val="4"/>
        </w:numPr>
        <w:ind w:left="425" w:hanging="425"/>
        <w:rPr>
          <w:rFonts w:ascii="Georgia" w:eastAsiaTheme="minorEastAsia" w:hAnsi="Georgia" w:cs="Arial"/>
        </w:rPr>
      </w:pPr>
      <w:proofErr w:type="spellStart"/>
      <w:r w:rsidRPr="00D7752B">
        <w:rPr>
          <w:rFonts w:ascii="Georgia" w:eastAsiaTheme="minorEastAsia" w:hAnsi="Georgia" w:cs="Arial"/>
        </w:rPr>
        <w:t>Selami</w:t>
      </w:r>
      <w:proofErr w:type="spellEnd"/>
      <w:r w:rsidRPr="00D7752B">
        <w:rPr>
          <w:rFonts w:ascii="Georgia" w:eastAsiaTheme="minorEastAsia" w:hAnsi="Georgia" w:cs="Arial"/>
        </w:rPr>
        <w:t xml:space="preserve"> </w:t>
      </w:r>
      <w:proofErr w:type="spellStart"/>
      <w:r w:rsidRPr="00D7752B">
        <w:rPr>
          <w:rFonts w:ascii="Georgia" w:eastAsiaTheme="minorEastAsia" w:hAnsi="Georgia" w:cs="Arial"/>
        </w:rPr>
        <w:t>Cifter</w:t>
      </w:r>
      <w:proofErr w:type="spellEnd"/>
      <w:r w:rsidRPr="00D7752B">
        <w:rPr>
          <w:rFonts w:ascii="Georgia" w:eastAsiaTheme="minorEastAsia" w:hAnsi="Georgia" w:cs="Arial"/>
        </w:rPr>
        <w:t xml:space="preserve">, A. &amp; </w:t>
      </w:r>
      <w:proofErr w:type="spellStart"/>
      <w:r w:rsidRPr="00D7752B">
        <w:rPr>
          <w:rFonts w:ascii="Georgia" w:eastAsiaTheme="minorEastAsia" w:hAnsi="Georgia" w:cs="Arial"/>
        </w:rPr>
        <w:t>Cifter</w:t>
      </w:r>
      <w:proofErr w:type="spellEnd"/>
      <w:r w:rsidRPr="00D7752B">
        <w:rPr>
          <w:rFonts w:ascii="Georgia" w:eastAsiaTheme="minorEastAsia" w:hAnsi="Georgia" w:cs="Arial"/>
        </w:rPr>
        <w:t>, M., (2017) A Review on Future Directions in Hospital Spatial Designs with a Focus on Patient Experience,</w:t>
      </w:r>
      <w:r w:rsidR="00F01BC7">
        <w:rPr>
          <w:rFonts w:ascii="Georgia" w:eastAsiaTheme="minorEastAsia" w:hAnsi="Georgia" w:cs="Arial"/>
        </w:rPr>
        <w:t xml:space="preserve"> </w:t>
      </w:r>
      <w:r w:rsidRPr="00D7752B">
        <w:rPr>
          <w:rFonts w:ascii="Georgia" w:eastAsiaTheme="minorEastAsia" w:hAnsi="Georgia" w:cs="Arial"/>
        </w:rPr>
        <w:t>The</w:t>
      </w:r>
      <w:r w:rsidR="00F01BC7">
        <w:rPr>
          <w:rFonts w:ascii="Georgia" w:eastAsiaTheme="minorEastAsia" w:hAnsi="Georgia" w:cs="Arial"/>
        </w:rPr>
        <w:t xml:space="preserve"> </w:t>
      </w:r>
      <w:r w:rsidRPr="00D7752B">
        <w:rPr>
          <w:rFonts w:ascii="Georgia" w:eastAsiaTheme="minorEastAsia" w:hAnsi="Georgia" w:cs="Arial"/>
        </w:rPr>
        <w:t>Design Journal, 20(1),</w:t>
      </w:r>
      <w:r w:rsidR="00F01BC7">
        <w:rPr>
          <w:rFonts w:ascii="Georgia" w:eastAsiaTheme="minorEastAsia" w:hAnsi="Georgia" w:cs="Arial"/>
        </w:rPr>
        <w:t xml:space="preserve"> </w:t>
      </w:r>
      <w:r w:rsidRPr="00D7752B">
        <w:rPr>
          <w:rFonts w:ascii="Georgia" w:eastAsiaTheme="minorEastAsia" w:hAnsi="Georgia" w:cs="Arial"/>
        </w:rPr>
        <w:t xml:space="preserve">1998–2009. </w:t>
      </w:r>
      <w:r w:rsidR="007E5610" w:rsidRPr="00D30C50">
        <w:rPr>
          <w:rFonts w:ascii="Georgia" w:eastAsiaTheme="minorEastAsia" w:hAnsi="Georgia" w:cs="Arial"/>
        </w:rPr>
        <w:t>Retrieved</w:t>
      </w:r>
      <w:r w:rsidR="007E5610" w:rsidRPr="00D7752B">
        <w:rPr>
          <w:rFonts w:ascii="Georgia" w:eastAsiaTheme="minorEastAsia" w:hAnsi="Georgia" w:cs="Arial"/>
        </w:rPr>
        <w:t xml:space="preserve"> </w:t>
      </w:r>
      <w:r w:rsidRPr="00D7752B">
        <w:rPr>
          <w:rFonts w:ascii="Georgia" w:eastAsiaTheme="minorEastAsia" w:hAnsi="Georgia" w:cs="Arial"/>
        </w:rPr>
        <w:t xml:space="preserve">from: </w:t>
      </w:r>
      <w:r w:rsidR="00FE33F2" w:rsidRPr="00FE33F2">
        <w:rPr>
          <w:rFonts w:ascii="Georgia" w:eastAsiaTheme="minorEastAsia" w:hAnsi="Georgia" w:cs="Arial"/>
        </w:rPr>
        <w:t>https://www.tandfonline.com/doi/abs/10.1080/14606925.2017.1352719</w:t>
      </w:r>
    </w:p>
    <w:p w14:paraId="2B19CBAE" w14:textId="45F5198C" w:rsidR="00D7752B" w:rsidRPr="00D7752B" w:rsidRDefault="00D7752B" w:rsidP="00D7752B">
      <w:pPr>
        <w:pStyle w:val="MDPI71References"/>
        <w:numPr>
          <w:ilvl w:val="0"/>
          <w:numId w:val="4"/>
        </w:numPr>
        <w:ind w:left="425" w:hanging="425"/>
        <w:rPr>
          <w:rFonts w:ascii="Georgia" w:eastAsiaTheme="minorEastAsia" w:hAnsi="Georgia" w:cs="Arial"/>
        </w:rPr>
      </w:pPr>
      <w:r w:rsidRPr="00D7752B">
        <w:rPr>
          <w:rFonts w:ascii="Georgia" w:eastAsiaTheme="minorEastAsia" w:hAnsi="Georgia" w:cs="Arial"/>
        </w:rPr>
        <w:t xml:space="preserve">Ulrich, R. S. (1991) Effects of interior design on wellness: Theory and recent scientific research. Journal of health care interior design, 3(1), 97-109. </w:t>
      </w:r>
      <w:r w:rsidR="007E5610" w:rsidRPr="00D30C50">
        <w:rPr>
          <w:rFonts w:ascii="Georgia" w:eastAsiaTheme="minorEastAsia" w:hAnsi="Georgia" w:cs="Arial"/>
        </w:rPr>
        <w:t>Retrieved</w:t>
      </w:r>
      <w:r w:rsidR="007E5610" w:rsidRPr="00D7752B">
        <w:rPr>
          <w:rFonts w:ascii="Georgia" w:eastAsiaTheme="minorEastAsia" w:hAnsi="Georgia" w:cs="Arial"/>
        </w:rPr>
        <w:t xml:space="preserve"> </w:t>
      </w:r>
      <w:r w:rsidRPr="00D7752B">
        <w:rPr>
          <w:rFonts w:ascii="Georgia" w:eastAsiaTheme="minorEastAsia" w:hAnsi="Georgia" w:cs="Arial"/>
        </w:rPr>
        <w:t xml:space="preserve">from: https://www.researchgate.net/publication/273354344_Effects_of_Healthcare_E </w:t>
      </w:r>
      <w:proofErr w:type="spellStart"/>
      <w:r w:rsidRPr="00D7752B">
        <w:rPr>
          <w:rFonts w:ascii="Georgia" w:eastAsiaTheme="minorEastAsia" w:hAnsi="Georgia" w:cs="Arial"/>
        </w:rPr>
        <w:t>nvironmental_Design_on_Medical_Outcomes</w:t>
      </w:r>
      <w:proofErr w:type="spellEnd"/>
    </w:p>
    <w:p w14:paraId="76F9E4E8" w14:textId="586AE27A" w:rsidR="00406763" w:rsidRPr="00D7752B" w:rsidRDefault="00D7752B" w:rsidP="00D7752B">
      <w:pPr>
        <w:pStyle w:val="MDPI71References"/>
        <w:numPr>
          <w:ilvl w:val="0"/>
          <w:numId w:val="4"/>
        </w:numPr>
        <w:ind w:left="425" w:hanging="425"/>
        <w:rPr>
          <w:rFonts w:ascii="Georgia" w:eastAsiaTheme="minorEastAsia" w:hAnsi="Georgia" w:cs="Arial"/>
        </w:rPr>
      </w:pPr>
      <w:proofErr w:type="spellStart"/>
      <w:r w:rsidRPr="00D7752B">
        <w:rPr>
          <w:rFonts w:ascii="Georgia" w:eastAsiaTheme="minorEastAsia" w:hAnsi="Georgia" w:cs="Arial"/>
        </w:rPr>
        <w:t>Zraati</w:t>
      </w:r>
      <w:proofErr w:type="spellEnd"/>
      <w:r w:rsidRPr="00D7752B">
        <w:rPr>
          <w:rFonts w:ascii="Georgia" w:eastAsiaTheme="minorEastAsia" w:hAnsi="Georgia" w:cs="Arial"/>
        </w:rPr>
        <w:t xml:space="preserve">, P. (2013) Color consideration for waiting areas in Hospitals. International Journal of Advancements in Research &amp; Technology, 1(3), 1369-1379. </w:t>
      </w:r>
      <w:r w:rsidR="007E5610" w:rsidRPr="00D30C50">
        <w:rPr>
          <w:rFonts w:ascii="Georgia" w:eastAsiaTheme="minorEastAsia" w:hAnsi="Georgia" w:cs="Arial"/>
        </w:rPr>
        <w:t>Retrieved</w:t>
      </w:r>
      <w:r w:rsidR="007E5610" w:rsidRPr="00D7752B">
        <w:rPr>
          <w:rFonts w:ascii="Georgia" w:eastAsiaTheme="minorEastAsia" w:hAnsi="Georgia" w:cs="Arial"/>
        </w:rPr>
        <w:t xml:space="preserve"> </w:t>
      </w:r>
      <w:r w:rsidRPr="00D7752B">
        <w:rPr>
          <w:rFonts w:ascii="Georgia" w:eastAsiaTheme="minorEastAsia" w:hAnsi="Georgia" w:cs="Arial"/>
        </w:rPr>
        <w:t xml:space="preserve">from: http://www.ijoart.org/docs/Colour-Consideration-for-Waiting- areas-in-hospitals.pdf </w:t>
      </w:r>
    </w:p>
    <w:p w14:paraId="7A5415DE" w14:textId="67C05741" w:rsidR="00F031CB" w:rsidRDefault="00F031CB" w:rsidP="00F031CB">
      <w:pPr>
        <w:pStyle w:val="MDPI71References"/>
        <w:numPr>
          <w:ilvl w:val="0"/>
          <w:numId w:val="4"/>
        </w:numPr>
        <w:ind w:left="425" w:hanging="425"/>
        <w:rPr>
          <w:rFonts w:ascii="Georgia" w:eastAsiaTheme="minorEastAsia" w:hAnsi="Georgia" w:cs="Arial"/>
        </w:rPr>
      </w:pPr>
      <w:r w:rsidRPr="00F031CB">
        <w:rPr>
          <w:rFonts w:ascii="Georgia" w:eastAsiaTheme="minorEastAsia" w:hAnsi="Georgia" w:cs="Arial"/>
        </w:rPr>
        <w:t>The American Institute of Architects, Academy of Architecture for Health, the Facility Guidelines Institute with assistance from the U.S. Department of Health and Human Services (2001)</w:t>
      </w:r>
      <w:r w:rsidR="00D30C50">
        <w:rPr>
          <w:rFonts w:ascii="Georgia" w:eastAsiaTheme="minorEastAsia" w:hAnsi="Georgia" w:cs="Arial"/>
        </w:rPr>
        <w:t>.</w:t>
      </w:r>
      <w:r w:rsidRPr="00F031CB">
        <w:rPr>
          <w:rFonts w:ascii="Georgia" w:eastAsiaTheme="minorEastAsia" w:hAnsi="Georgia" w:cs="Arial"/>
        </w:rPr>
        <w:t xml:space="preserve"> Guidelines for design and construction of hospital and health care facilities.</w:t>
      </w:r>
      <w:r w:rsidR="00D30C50">
        <w:rPr>
          <w:rFonts w:ascii="Georgia" w:eastAsiaTheme="minorEastAsia" w:hAnsi="Georgia" w:cs="Arial"/>
        </w:rPr>
        <w:t xml:space="preserve"> </w:t>
      </w:r>
      <w:r w:rsidRPr="00F031CB">
        <w:rPr>
          <w:rFonts w:ascii="Georgia" w:eastAsiaTheme="minorEastAsia" w:hAnsi="Georgia" w:cs="Arial"/>
        </w:rPr>
        <w:t>Washington, D.C., The American Institute of Architects</w:t>
      </w:r>
      <w:r w:rsidR="00D30C50">
        <w:rPr>
          <w:rFonts w:ascii="Georgia" w:eastAsiaTheme="minorEastAsia" w:hAnsi="Georgia" w:cs="Arial"/>
        </w:rPr>
        <w:t>.</w:t>
      </w:r>
      <w:r w:rsidR="00D30C50" w:rsidRPr="00D30C50">
        <w:rPr>
          <w:rFonts w:ascii="Georgia" w:eastAsiaTheme="minorEastAsia" w:hAnsi="Georgia" w:cs="Arial"/>
        </w:rPr>
        <w:t xml:space="preserve"> </w:t>
      </w:r>
      <w:r w:rsidR="00D30C50">
        <w:rPr>
          <w:rFonts w:ascii="Georgia" w:eastAsiaTheme="minorEastAsia" w:hAnsi="Georgia" w:cs="Arial"/>
        </w:rPr>
        <w:t>Retrieved from</w:t>
      </w:r>
      <w:r w:rsidRPr="00F031CB">
        <w:rPr>
          <w:rFonts w:ascii="Georgia" w:eastAsiaTheme="minorEastAsia" w:hAnsi="Georgia" w:cs="Arial"/>
        </w:rPr>
        <w:t xml:space="preserve"> </w:t>
      </w:r>
      <w:hyperlink r:id="rId19" w:history="1">
        <w:r w:rsidR="00D30C50" w:rsidRPr="00F01BC7">
          <w:rPr>
            <w:rFonts w:ascii="Georgia" w:eastAsiaTheme="minorEastAsia" w:hAnsi="Georgia" w:cs="Arial"/>
          </w:rPr>
          <w:t>https://fgiguidelines.org/wp-content/uploads/2015/08/2001guidelines.pdf</w:t>
        </w:r>
      </w:hyperlink>
    </w:p>
    <w:p w14:paraId="150B6F75" w14:textId="61DCB24C" w:rsidR="00F031CB" w:rsidRPr="00F01BC7" w:rsidRDefault="00F031CB" w:rsidP="003E61CD">
      <w:pPr>
        <w:pStyle w:val="MDPI71References"/>
        <w:numPr>
          <w:ilvl w:val="0"/>
          <w:numId w:val="0"/>
        </w:numPr>
        <w:ind w:left="425"/>
        <w:rPr>
          <w:rFonts w:ascii="Georgia" w:eastAsiaTheme="minorEastAsia" w:hAnsi="Georgia" w:cs="Arial"/>
        </w:rPr>
      </w:pPr>
    </w:p>
    <w:p w14:paraId="6AB0F4EF" w14:textId="35734425" w:rsidR="00F031CB" w:rsidRPr="00F01BC7" w:rsidRDefault="00F031CB" w:rsidP="003E61CD">
      <w:pPr>
        <w:pStyle w:val="MDPI71References"/>
        <w:numPr>
          <w:ilvl w:val="0"/>
          <w:numId w:val="0"/>
        </w:numPr>
        <w:ind w:left="425"/>
        <w:rPr>
          <w:rFonts w:ascii="Georgia" w:eastAsiaTheme="minorEastAsia" w:hAnsi="Georgia" w:cs="Arial"/>
        </w:rPr>
      </w:pPr>
    </w:p>
    <w:p w14:paraId="2209FFE2" w14:textId="74AA3CAB" w:rsidR="00941BA9" w:rsidRPr="00F01BC7" w:rsidRDefault="00941BA9" w:rsidP="003E61CD">
      <w:pPr>
        <w:pStyle w:val="MDPI71References"/>
        <w:numPr>
          <w:ilvl w:val="0"/>
          <w:numId w:val="0"/>
        </w:numPr>
        <w:ind w:left="425"/>
        <w:rPr>
          <w:rFonts w:ascii="Georgia" w:eastAsiaTheme="minorEastAsia" w:hAnsi="Georgia" w:cs="Arial"/>
        </w:rPr>
      </w:pPr>
    </w:p>
    <w:p w14:paraId="41E65578" w14:textId="3C69C56B" w:rsidR="00941BA9" w:rsidRPr="00F01BC7" w:rsidRDefault="00941BA9" w:rsidP="003E61CD">
      <w:pPr>
        <w:pStyle w:val="MDPI71References"/>
        <w:numPr>
          <w:ilvl w:val="0"/>
          <w:numId w:val="0"/>
        </w:numPr>
        <w:ind w:left="425"/>
        <w:rPr>
          <w:rFonts w:ascii="Georgia" w:eastAsiaTheme="minorEastAsia" w:hAnsi="Georgia" w:cs="Arial"/>
        </w:rPr>
      </w:pPr>
    </w:p>
    <w:p w14:paraId="3FE02C52" w14:textId="16112A1F" w:rsidR="00941BA9" w:rsidRPr="00F01BC7" w:rsidRDefault="00941BA9" w:rsidP="003E61CD">
      <w:pPr>
        <w:pStyle w:val="MDPI71References"/>
        <w:numPr>
          <w:ilvl w:val="0"/>
          <w:numId w:val="0"/>
        </w:numPr>
        <w:ind w:left="425"/>
        <w:rPr>
          <w:rFonts w:ascii="Georgia" w:eastAsiaTheme="minorEastAsia" w:hAnsi="Georgia" w:cs="Arial"/>
        </w:rPr>
      </w:pPr>
    </w:p>
    <w:p w14:paraId="2B89A30E" w14:textId="5A4127FA" w:rsidR="00941BA9" w:rsidRPr="00F01BC7" w:rsidRDefault="00941BA9" w:rsidP="003E61CD">
      <w:pPr>
        <w:pStyle w:val="MDPI71References"/>
        <w:numPr>
          <w:ilvl w:val="0"/>
          <w:numId w:val="0"/>
        </w:numPr>
        <w:ind w:left="425"/>
        <w:rPr>
          <w:rFonts w:ascii="Georgia" w:eastAsiaTheme="minorEastAsia" w:hAnsi="Georgia" w:cs="Arial"/>
        </w:rPr>
      </w:pPr>
    </w:p>
    <w:p w14:paraId="3E186A1F" w14:textId="77777777" w:rsidR="00406763" w:rsidRPr="00D7752B" w:rsidRDefault="00406763" w:rsidP="00941BA9">
      <w:pPr>
        <w:pStyle w:val="MDPI71References"/>
        <w:numPr>
          <w:ilvl w:val="0"/>
          <w:numId w:val="0"/>
        </w:numPr>
        <w:rPr>
          <w:rFonts w:ascii="Georgia" w:eastAsiaTheme="minorEastAsia" w:hAnsi="Georgia" w:cs="Arial"/>
        </w:rPr>
      </w:pPr>
    </w:p>
    <w:p w14:paraId="7A133656" w14:textId="77777777" w:rsidR="00941BA9" w:rsidRPr="00F01BC7" w:rsidRDefault="00941BA9" w:rsidP="003E61CD">
      <w:pPr>
        <w:pStyle w:val="MDPI71References"/>
        <w:numPr>
          <w:ilvl w:val="0"/>
          <w:numId w:val="0"/>
        </w:numPr>
        <w:ind w:left="425"/>
        <w:rPr>
          <w:rFonts w:ascii="Georgia" w:eastAsiaTheme="minorEastAsia" w:hAnsi="Georgia" w:cs="Arial"/>
        </w:rPr>
      </w:pPr>
    </w:p>
    <w:sectPr w:rsidR="00941BA9" w:rsidRPr="00F01BC7" w:rsidSect="002315A2">
      <w:headerReference w:type="even" r:id="rId20"/>
      <w:headerReference w:type="default" r:id="rId21"/>
      <w:headerReference w:type="first" r:id="rId22"/>
      <w:footerReference w:type="first" r:id="rId23"/>
      <w:type w:val="continuous"/>
      <w:pgSz w:w="11906" w:h="16838" w:code="9"/>
      <w:pgMar w:top="1418" w:right="720" w:bottom="1077" w:left="720"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39531" w14:textId="77777777" w:rsidR="00F74AD9" w:rsidRDefault="00F74AD9">
      <w:pPr>
        <w:spacing w:line="240" w:lineRule="auto"/>
      </w:pPr>
      <w:r>
        <w:separator/>
      </w:r>
    </w:p>
  </w:endnote>
  <w:endnote w:type="continuationSeparator" w:id="0">
    <w:p w14:paraId="5A01C36C" w14:textId="77777777" w:rsidR="00F74AD9" w:rsidRDefault="00F74A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odoni SvtyTwo OS ITC TT-Book">
    <w:altName w:val="Cambria"/>
    <w:panose1 w:val="000004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59A4BB1A" w14:textId="77777777" w:rsidR="00C45F1E" w:rsidRPr="008B308E" w:rsidRDefault="00165C16" w:rsidP="00BA570C">
    <w:pPr>
      <w:pStyle w:val="MDPIfooterfirstpage"/>
      <w:tabs>
        <w:tab w:val="clear" w:pos="8845"/>
        <w:tab w:val="right" w:pos="10466"/>
      </w:tabs>
      <w:spacing w:line="240" w:lineRule="auto"/>
      <w:jc w:val="both"/>
      <w:rPr>
        <w:lang w:val="fr-CH"/>
      </w:rPr>
    </w:pPr>
    <w:r w:rsidRPr="006A72B6">
      <w:rPr>
        <w:bCs/>
        <w:iCs/>
        <w:szCs w:val="16"/>
        <w:highlight w:val="lightGray"/>
      </w:rPr>
      <w:t xml:space="preserve">DOI: </w:t>
    </w:r>
    <w:r w:rsidR="00281E5B" w:rsidRPr="006A72B6">
      <w:rPr>
        <w:bCs/>
        <w:iCs/>
        <w:szCs w:val="16"/>
        <w:highlight w:val="lightGray"/>
      </w:rPr>
      <w:t>https://doi.org/</w:t>
    </w:r>
    <w:r w:rsidRPr="006A72B6">
      <w:rPr>
        <w:bCs/>
        <w:iCs/>
        <w:szCs w:val="16"/>
        <w:highlight w:val="lightGray"/>
      </w:rPr>
      <w:t>xxxxx</w:t>
    </w:r>
    <w:r w:rsidR="00281E5B" w:rsidRPr="006A72B6">
      <w:rPr>
        <w:bCs/>
        <w:iCs/>
        <w:szCs w:val="16"/>
        <w:highlight w:val="lightGray"/>
      </w:rPr>
      <w:t>/xxxxx</w:t>
    </w:r>
    <w:r w:rsidR="00BA570C" w:rsidRPr="008B308E">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48CA" w14:textId="77777777" w:rsidR="00F74AD9" w:rsidRDefault="00F74AD9">
      <w:pPr>
        <w:spacing w:line="240" w:lineRule="auto"/>
      </w:pPr>
      <w:r>
        <w:separator/>
      </w:r>
    </w:p>
  </w:footnote>
  <w:footnote w:type="continuationSeparator" w:id="0">
    <w:p w14:paraId="75349D7E" w14:textId="77777777" w:rsidR="00F74AD9" w:rsidRDefault="00F74A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C45F1E" w:rsidRDefault="00C45F1E" w:rsidP="00C45F1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222B" w14:textId="7F6C1416" w:rsidR="00281E5B" w:rsidRDefault="00BA570C" w:rsidP="00BA570C">
    <w:pPr>
      <w:tabs>
        <w:tab w:val="right" w:pos="10466"/>
      </w:tabs>
      <w:adjustRightInd w:val="0"/>
      <w:snapToGrid w:val="0"/>
      <w:spacing w:line="240" w:lineRule="auto"/>
      <w:rPr>
        <w:sz w:val="16"/>
      </w:rPr>
    </w:pPr>
    <w:r>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573461">
      <w:rPr>
        <w:sz w:val="16"/>
      </w:rPr>
      <w:t>4</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573461">
      <w:rPr>
        <w:sz w:val="16"/>
      </w:rPr>
      <w:t>4</w:t>
    </w:r>
    <w:r w:rsidR="00A36565">
      <w:rPr>
        <w:sz w:val="16"/>
      </w:rPr>
      <w:fldChar w:fldCharType="end"/>
    </w:r>
  </w:p>
  <w:p w14:paraId="4101652C" w14:textId="77777777"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7" w:type="dxa"/>
      <w:tblCellMar>
        <w:left w:w="0" w:type="dxa"/>
        <w:right w:w="0" w:type="dxa"/>
      </w:tblCellMar>
      <w:tblLook w:val="04A0" w:firstRow="1" w:lastRow="0" w:firstColumn="1" w:lastColumn="0" w:noHBand="0" w:noVBand="1"/>
    </w:tblPr>
    <w:tblGrid>
      <w:gridCol w:w="5103"/>
      <w:gridCol w:w="5384"/>
      <w:gridCol w:w="20"/>
    </w:tblGrid>
    <w:tr w:rsidR="00573461" w:rsidRPr="00BA570C" w14:paraId="3EF37230" w14:textId="77777777" w:rsidTr="00784D96">
      <w:trPr>
        <w:trHeight w:val="686"/>
      </w:trPr>
      <w:tc>
        <w:tcPr>
          <w:tcW w:w="5103" w:type="dxa"/>
          <w:shd w:val="clear" w:color="auto" w:fill="auto"/>
          <w:vAlign w:val="center"/>
        </w:tcPr>
        <w:p w14:paraId="423B16B4" w14:textId="77777777" w:rsidR="00573461" w:rsidRPr="00401235" w:rsidRDefault="00573461" w:rsidP="00573461">
          <w:pPr>
            <w:pStyle w:val="Header"/>
            <w:pBdr>
              <w:bottom w:val="none" w:sz="0" w:space="0" w:color="auto"/>
            </w:pBdr>
            <w:jc w:val="left"/>
            <w:rPr>
              <w:rFonts w:eastAsia="DengXian"/>
              <w:b/>
              <w:bCs/>
            </w:rPr>
          </w:pPr>
          <w:r>
            <w:rPr>
              <w:lang w:val="en-GB" w:eastAsia="en-GB"/>
            </w:rPr>
            <w:drawing>
              <wp:inline distT="0" distB="0" distL="0" distR="0" wp14:anchorId="1C708324" wp14:editId="2363BE8B">
                <wp:extent cx="451796" cy="739302"/>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451796" cy="739302"/>
                        </a:xfrm>
                        <a:prstGeom prst="rect">
                          <a:avLst/>
                        </a:prstGeom>
                      </pic:spPr>
                    </pic:pic>
                  </a:graphicData>
                </a:graphic>
              </wp:inline>
            </w:drawing>
          </w:r>
          <w:r w:rsidRPr="177542A6">
            <w:rPr>
              <w:rFonts w:eastAsia="DengXian"/>
              <w:b/>
              <w:bCs/>
            </w:rPr>
            <w:t xml:space="preserve"> </w:t>
          </w:r>
          <w:r>
            <w:rPr>
              <w:lang w:val="en-GB" w:eastAsia="en-GB"/>
            </w:rPr>
            <w:drawing>
              <wp:inline distT="0" distB="0" distL="0" distR="0" wp14:anchorId="44919265" wp14:editId="1FA9F380">
                <wp:extent cx="1541417" cy="618309"/>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5384" w:type="dxa"/>
          <w:shd w:val="clear" w:color="auto" w:fill="auto"/>
          <w:vAlign w:val="center"/>
        </w:tcPr>
        <w:p w14:paraId="6FE2BD99" w14:textId="77777777" w:rsidR="00573461" w:rsidRDefault="00573461" w:rsidP="00573461">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ARCH22 ‘</w:t>
          </w:r>
          <w:r w:rsidRPr="000547D8">
            <w:rPr>
              <w:rFonts w:ascii="Palatino Linotype" w:hAnsi="Palatino Linotype" w:cs="Segoe UI"/>
              <w:sz w:val="16"/>
              <w:szCs w:val="16"/>
            </w:rPr>
            <w:t>Enabling health, care and well-being through design research'</w:t>
          </w:r>
        </w:p>
        <w:p w14:paraId="689077FD" w14:textId="77777777" w:rsidR="00573461" w:rsidRDefault="00573461" w:rsidP="00573461">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w:t>
          </w:r>
          <w:r w:rsidRPr="000547D8">
            <w:rPr>
              <w:rFonts w:ascii="Palatino Linotype" w:hAnsi="Palatino Linotype" w:cs="Segoe UI"/>
              <w:sz w:val="16"/>
              <w:szCs w:val="16"/>
            </w:rPr>
            <w:t xml:space="preserve">5th Architecture Research Care and Health conference </w:t>
          </w:r>
        </w:p>
        <w:p w14:paraId="095803D9" w14:textId="77777777" w:rsidR="00573461" w:rsidRPr="004752C1" w:rsidRDefault="00573461" w:rsidP="00573461">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Delft / </w:t>
          </w:r>
          <w:r w:rsidRPr="000547D8">
            <w:rPr>
              <w:rFonts w:ascii="Palatino Linotype" w:hAnsi="Palatino Linotype" w:cs="Segoe UI"/>
              <w:sz w:val="16"/>
              <w:szCs w:val="16"/>
            </w:rPr>
            <w:t>Rotterdam – the Netherlands – 22nd until 24th of August 2022.</w:t>
          </w:r>
        </w:p>
      </w:tc>
      <w:tc>
        <w:tcPr>
          <w:tcW w:w="20" w:type="dxa"/>
          <w:shd w:val="clear" w:color="auto" w:fill="auto"/>
          <w:vAlign w:val="center"/>
        </w:tcPr>
        <w:p w14:paraId="109854A2" w14:textId="77777777" w:rsidR="00573461" w:rsidRPr="00401235" w:rsidRDefault="00573461" w:rsidP="00573461">
          <w:pPr>
            <w:pStyle w:val="Header"/>
            <w:pBdr>
              <w:bottom w:val="none" w:sz="0" w:space="0" w:color="auto"/>
            </w:pBdr>
            <w:jc w:val="right"/>
            <w:rPr>
              <w:rFonts w:eastAsia="DengXian"/>
              <w:b/>
              <w:bCs/>
            </w:rPr>
          </w:pPr>
        </w:p>
      </w:tc>
    </w:tr>
  </w:tbl>
  <w:p w14:paraId="62486C05" w14:textId="77777777" w:rsidR="00C45F1E" w:rsidRPr="00281E5B" w:rsidRDefault="00C45F1E"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03"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480F6C"/>
    <w:multiLevelType w:val="hybridMultilevel"/>
    <w:tmpl w:val="4C6C474C"/>
    <w:lvl w:ilvl="0" w:tplc="A9EEC334">
      <w:start w:val="4"/>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54DD58CC"/>
    <w:multiLevelType w:val="hybridMultilevel"/>
    <w:tmpl w:val="6BAC442E"/>
    <w:lvl w:ilvl="0" w:tplc="59A48150">
      <w:start w:val="1"/>
      <w:numFmt w:val="decimal"/>
      <w:lvlText w:val="%1."/>
      <w:lvlJc w:val="left"/>
      <w:pPr>
        <w:ind w:left="2968" w:hanging="360"/>
      </w:pPr>
      <w:rPr>
        <w:rFonts w:hint="default"/>
      </w:rPr>
    </w:lvl>
    <w:lvl w:ilvl="1" w:tplc="08090019" w:tentative="1">
      <w:start w:val="1"/>
      <w:numFmt w:val="lowerLetter"/>
      <w:lvlText w:val="%2."/>
      <w:lvlJc w:val="left"/>
      <w:pPr>
        <w:ind w:left="3688" w:hanging="360"/>
      </w:pPr>
    </w:lvl>
    <w:lvl w:ilvl="2" w:tplc="0809001B" w:tentative="1">
      <w:start w:val="1"/>
      <w:numFmt w:val="lowerRoman"/>
      <w:lvlText w:val="%3."/>
      <w:lvlJc w:val="right"/>
      <w:pPr>
        <w:ind w:left="4408" w:hanging="180"/>
      </w:pPr>
    </w:lvl>
    <w:lvl w:ilvl="3" w:tplc="0809000F" w:tentative="1">
      <w:start w:val="1"/>
      <w:numFmt w:val="decimal"/>
      <w:lvlText w:val="%4."/>
      <w:lvlJc w:val="left"/>
      <w:pPr>
        <w:ind w:left="5128" w:hanging="360"/>
      </w:pPr>
    </w:lvl>
    <w:lvl w:ilvl="4" w:tplc="08090019" w:tentative="1">
      <w:start w:val="1"/>
      <w:numFmt w:val="lowerLetter"/>
      <w:lvlText w:val="%5."/>
      <w:lvlJc w:val="left"/>
      <w:pPr>
        <w:ind w:left="5848" w:hanging="360"/>
      </w:pPr>
    </w:lvl>
    <w:lvl w:ilvl="5" w:tplc="0809001B" w:tentative="1">
      <w:start w:val="1"/>
      <w:numFmt w:val="lowerRoman"/>
      <w:lvlText w:val="%6."/>
      <w:lvlJc w:val="right"/>
      <w:pPr>
        <w:ind w:left="6568" w:hanging="180"/>
      </w:pPr>
    </w:lvl>
    <w:lvl w:ilvl="6" w:tplc="0809000F" w:tentative="1">
      <w:start w:val="1"/>
      <w:numFmt w:val="decimal"/>
      <w:lvlText w:val="%7."/>
      <w:lvlJc w:val="left"/>
      <w:pPr>
        <w:ind w:left="7288" w:hanging="360"/>
      </w:pPr>
    </w:lvl>
    <w:lvl w:ilvl="7" w:tplc="08090019" w:tentative="1">
      <w:start w:val="1"/>
      <w:numFmt w:val="lowerLetter"/>
      <w:lvlText w:val="%8."/>
      <w:lvlJc w:val="left"/>
      <w:pPr>
        <w:ind w:left="8008" w:hanging="360"/>
      </w:pPr>
    </w:lvl>
    <w:lvl w:ilvl="8" w:tplc="0809001B" w:tentative="1">
      <w:start w:val="1"/>
      <w:numFmt w:val="lowerRoman"/>
      <w:lvlText w:val="%9."/>
      <w:lvlJc w:val="right"/>
      <w:pPr>
        <w:ind w:left="8728" w:hanging="180"/>
      </w:pPr>
    </w:lvl>
  </w:abstractNum>
  <w:abstractNum w:abstractNumId="10"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FA63C9"/>
    <w:multiLevelType w:val="hybridMultilevel"/>
    <w:tmpl w:val="BE3E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3" w15:restartNumberingAfterBreak="0">
    <w:nsid w:val="79D11A48"/>
    <w:multiLevelType w:val="hybridMultilevel"/>
    <w:tmpl w:val="0336A698"/>
    <w:lvl w:ilvl="0" w:tplc="2584B450">
      <w:start w:val="1"/>
      <w:numFmt w:val="decimal"/>
      <w:lvlText w:val="%1."/>
      <w:lvlJc w:val="left"/>
      <w:pPr>
        <w:ind w:left="3053" w:hanging="360"/>
      </w:pPr>
      <w:rPr>
        <w:rFonts w:hint="default"/>
      </w:rPr>
    </w:lvl>
    <w:lvl w:ilvl="1" w:tplc="08090019" w:tentative="1">
      <w:start w:val="1"/>
      <w:numFmt w:val="lowerLetter"/>
      <w:lvlText w:val="%2."/>
      <w:lvlJc w:val="left"/>
      <w:pPr>
        <w:ind w:left="3688" w:hanging="360"/>
      </w:pPr>
    </w:lvl>
    <w:lvl w:ilvl="2" w:tplc="0809001B" w:tentative="1">
      <w:start w:val="1"/>
      <w:numFmt w:val="lowerRoman"/>
      <w:lvlText w:val="%3."/>
      <w:lvlJc w:val="right"/>
      <w:pPr>
        <w:ind w:left="4408" w:hanging="180"/>
      </w:pPr>
    </w:lvl>
    <w:lvl w:ilvl="3" w:tplc="0809000F" w:tentative="1">
      <w:start w:val="1"/>
      <w:numFmt w:val="decimal"/>
      <w:lvlText w:val="%4."/>
      <w:lvlJc w:val="left"/>
      <w:pPr>
        <w:ind w:left="5128" w:hanging="360"/>
      </w:pPr>
    </w:lvl>
    <w:lvl w:ilvl="4" w:tplc="08090019" w:tentative="1">
      <w:start w:val="1"/>
      <w:numFmt w:val="lowerLetter"/>
      <w:lvlText w:val="%5."/>
      <w:lvlJc w:val="left"/>
      <w:pPr>
        <w:ind w:left="5848" w:hanging="360"/>
      </w:pPr>
    </w:lvl>
    <w:lvl w:ilvl="5" w:tplc="0809001B" w:tentative="1">
      <w:start w:val="1"/>
      <w:numFmt w:val="lowerRoman"/>
      <w:lvlText w:val="%6."/>
      <w:lvlJc w:val="right"/>
      <w:pPr>
        <w:ind w:left="6568" w:hanging="180"/>
      </w:pPr>
    </w:lvl>
    <w:lvl w:ilvl="6" w:tplc="0809000F" w:tentative="1">
      <w:start w:val="1"/>
      <w:numFmt w:val="decimal"/>
      <w:lvlText w:val="%7."/>
      <w:lvlJc w:val="left"/>
      <w:pPr>
        <w:ind w:left="7288" w:hanging="360"/>
      </w:pPr>
    </w:lvl>
    <w:lvl w:ilvl="7" w:tplc="08090019" w:tentative="1">
      <w:start w:val="1"/>
      <w:numFmt w:val="lowerLetter"/>
      <w:lvlText w:val="%8."/>
      <w:lvlJc w:val="left"/>
      <w:pPr>
        <w:ind w:left="8008" w:hanging="360"/>
      </w:pPr>
    </w:lvl>
    <w:lvl w:ilvl="8" w:tplc="0809001B" w:tentative="1">
      <w:start w:val="1"/>
      <w:numFmt w:val="lowerRoman"/>
      <w:lvlText w:val="%9."/>
      <w:lvlJc w:val="right"/>
      <w:pPr>
        <w:ind w:left="8728" w:hanging="180"/>
      </w:pPr>
    </w:lvl>
  </w:abstractNum>
  <w:num w:numId="1">
    <w:abstractNumId w:val="3"/>
  </w:num>
  <w:num w:numId="2">
    <w:abstractNumId w:val="6"/>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8"/>
  </w:num>
  <w:num w:numId="9">
    <w:abstractNumId w:val="1"/>
  </w:num>
  <w:num w:numId="10">
    <w:abstractNumId w:val="8"/>
  </w:num>
  <w:num w:numId="11">
    <w:abstractNumId w:val="1"/>
  </w:num>
  <w:num w:numId="12">
    <w:abstractNumId w:val="12"/>
  </w:num>
  <w:num w:numId="13">
    <w:abstractNumId w:val="8"/>
  </w:num>
  <w:num w:numId="14">
    <w:abstractNumId w:val="1"/>
  </w:num>
  <w:num w:numId="15">
    <w:abstractNumId w:val="0"/>
  </w:num>
  <w:num w:numId="16">
    <w:abstractNumId w:val="7"/>
  </w:num>
  <w:num w:numId="17">
    <w:abstractNumId w:val="1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9"/>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3"/>
  </w:num>
  <w:num w:numId="40">
    <w:abstractNumId w:val="11"/>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52"/>
    <w:rsid w:val="00000B70"/>
    <w:rsid w:val="000142CA"/>
    <w:rsid w:val="00020CE2"/>
    <w:rsid w:val="00035002"/>
    <w:rsid w:val="00037AE6"/>
    <w:rsid w:val="00045CFE"/>
    <w:rsid w:val="00046236"/>
    <w:rsid w:val="00051876"/>
    <w:rsid w:val="00064772"/>
    <w:rsid w:val="00071218"/>
    <w:rsid w:val="00080EFC"/>
    <w:rsid w:val="000855EA"/>
    <w:rsid w:val="000869C0"/>
    <w:rsid w:val="000925CA"/>
    <w:rsid w:val="00093E7F"/>
    <w:rsid w:val="00097FC9"/>
    <w:rsid w:val="000A6161"/>
    <w:rsid w:val="000B3B24"/>
    <w:rsid w:val="000C6389"/>
    <w:rsid w:val="000E112C"/>
    <w:rsid w:val="000E1D66"/>
    <w:rsid w:val="000F6980"/>
    <w:rsid w:val="00104D24"/>
    <w:rsid w:val="00114997"/>
    <w:rsid w:val="001207EB"/>
    <w:rsid w:val="00123C0F"/>
    <w:rsid w:val="001359EA"/>
    <w:rsid w:val="0014459E"/>
    <w:rsid w:val="00146E2E"/>
    <w:rsid w:val="0015665C"/>
    <w:rsid w:val="00165C16"/>
    <w:rsid w:val="00174FB3"/>
    <w:rsid w:val="001825D2"/>
    <w:rsid w:val="00185980"/>
    <w:rsid w:val="001A051E"/>
    <w:rsid w:val="001A1BB3"/>
    <w:rsid w:val="001A27B2"/>
    <w:rsid w:val="001A57BF"/>
    <w:rsid w:val="001B38D4"/>
    <w:rsid w:val="001D057B"/>
    <w:rsid w:val="001D5A7D"/>
    <w:rsid w:val="001E2AEB"/>
    <w:rsid w:val="001F003C"/>
    <w:rsid w:val="001F2D1E"/>
    <w:rsid w:val="00204327"/>
    <w:rsid w:val="00206552"/>
    <w:rsid w:val="0022638C"/>
    <w:rsid w:val="002266AA"/>
    <w:rsid w:val="0022690C"/>
    <w:rsid w:val="002315A2"/>
    <w:rsid w:val="002316BB"/>
    <w:rsid w:val="0023763A"/>
    <w:rsid w:val="00247D4E"/>
    <w:rsid w:val="00253CA3"/>
    <w:rsid w:val="00256E65"/>
    <w:rsid w:val="00281063"/>
    <w:rsid w:val="00281E5B"/>
    <w:rsid w:val="00291EF1"/>
    <w:rsid w:val="0029420B"/>
    <w:rsid w:val="002D08CA"/>
    <w:rsid w:val="002D31A5"/>
    <w:rsid w:val="002D650D"/>
    <w:rsid w:val="002E3957"/>
    <w:rsid w:val="002E57DB"/>
    <w:rsid w:val="002E5B86"/>
    <w:rsid w:val="002F1BFE"/>
    <w:rsid w:val="002F4C55"/>
    <w:rsid w:val="00316C89"/>
    <w:rsid w:val="00326141"/>
    <w:rsid w:val="00330A75"/>
    <w:rsid w:val="003337EA"/>
    <w:rsid w:val="00334369"/>
    <w:rsid w:val="00337833"/>
    <w:rsid w:val="003408C1"/>
    <w:rsid w:val="00352240"/>
    <w:rsid w:val="00354A5A"/>
    <w:rsid w:val="0036222B"/>
    <w:rsid w:val="00363C39"/>
    <w:rsid w:val="00366D78"/>
    <w:rsid w:val="003753C8"/>
    <w:rsid w:val="003A037B"/>
    <w:rsid w:val="003C5D81"/>
    <w:rsid w:val="003D1D40"/>
    <w:rsid w:val="003D60BC"/>
    <w:rsid w:val="003D60EE"/>
    <w:rsid w:val="003E61CD"/>
    <w:rsid w:val="003E7640"/>
    <w:rsid w:val="003F4EFE"/>
    <w:rsid w:val="003F6C3A"/>
    <w:rsid w:val="003F7D27"/>
    <w:rsid w:val="0040015C"/>
    <w:rsid w:val="00401235"/>
    <w:rsid w:val="00401D30"/>
    <w:rsid w:val="00405212"/>
    <w:rsid w:val="00406763"/>
    <w:rsid w:val="004138CE"/>
    <w:rsid w:val="00425371"/>
    <w:rsid w:val="0043151A"/>
    <w:rsid w:val="004317D8"/>
    <w:rsid w:val="00431D81"/>
    <w:rsid w:val="004372A9"/>
    <w:rsid w:val="00442E48"/>
    <w:rsid w:val="004752C1"/>
    <w:rsid w:val="0048108F"/>
    <w:rsid w:val="004900E2"/>
    <w:rsid w:val="0049133C"/>
    <w:rsid w:val="004B0B17"/>
    <w:rsid w:val="004B4287"/>
    <w:rsid w:val="004C3F57"/>
    <w:rsid w:val="004C46B1"/>
    <w:rsid w:val="004E0F98"/>
    <w:rsid w:val="004E21A1"/>
    <w:rsid w:val="004F0E02"/>
    <w:rsid w:val="004F2BEA"/>
    <w:rsid w:val="005028E5"/>
    <w:rsid w:val="00502EEE"/>
    <w:rsid w:val="00511E44"/>
    <w:rsid w:val="00515F67"/>
    <w:rsid w:val="00520E91"/>
    <w:rsid w:val="00523056"/>
    <w:rsid w:val="005327C9"/>
    <w:rsid w:val="005660F6"/>
    <w:rsid w:val="00566A57"/>
    <w:rsid w:val="00567B95"/>
    <w:rsid w:val="00573461"/>
    <w:rsid w:val="00583714"/>
    <w:rsid w:val="00583728"/>
    <w:rsid w:val="005C6417"/>
    <w:rsid w:val="005D13A9"/>
    <w:rsid w:val="005D473A"/>
    <w:rsid w:val="005E0240"/>
    <w:rsid w:val="005E14E8"/>
    <w:rsid w:val="005E1CAB"/>
    <w:rsid w:val="005F13B1"/>
    <w:rsid w:val="006010D5"/>
    <w:rsid w:val="00604EDE"/>
    <w:rsid w:val="00605586"/>
    <w:rsid w:val="00607F24"/>
    <w:rsid w:val="00613B04"/>
    <w:rsid w:val="006204BC"/>
    <w:rsid w:val="00632077"/>
    <w:rsid w:val="00641DCC"/>
    <w:rsid w:val="006429BB"/>
    <w:rsid w:val="00643D2C"/>
    <w:rsid w:val="0066370A"/>
    <w:rsid w:val="006707B5"/>
    <w:rsid w:val="00692393"/>
    <w:rsid w:val="00695B28"/>
    <w:rsid w:val="006A561A"/>
    <w:rsid w:val="006A72B6"/>
    <w:rsid w:val="006A7FF4"/>
    <w:rsid w:val="006C2087"/>
    <w:rsid w:val="006E142A"/>
    <w:rsid w:val="006F2356"/>
    <w:rsid w:val="006F41A4"/>
    <w:rsid w:val="00711B21"/>
    <w:rsid w:val="00740B6F"/>
    <w:rsid w:val="0074792F"/>
    <w:rsid w:val="0075794E"/>
    <w:rsid w:val="007628E6"/>
    <w:rsid w:val="0076686D"/>
    <w:rsid w:val="007674BF"/>
    <w:rsid w:val="00770948"/>
    <w:rsid w:val="0077402B"/>
    <w:rsid w:val="0079016D"/>
    <w:rsid w:val="007923B3"/>
    <w:rsid w:val="007A108C"/>
    <w:rsid w:val="007A283C"/>
    <w:rsid w:val="007A591E"/>
    <w:rsid w:val="007C1CA7"/>
    <w:rsid w:val="007D2775"/>
    <w:rsid w:val="007D3207"/>
    <w:rsid w:val="007E1AD0"/>
    <w:rsid w:val="007E2FFF"/>
    <w:rsid w:val="007E5610"/>
    <w:rsid w:val="007E5740"/>
    <w:rsid w:val="0081241C"/>
    <w:rsid w:val="00822B3D"/>
    <w:rsid w:val="00832857"/>
    <w:rsid w:val="00840934"/>
    <w:rsid w:val="00841933"/>
    <w:rsid w:val="00841C20"/>
    <w:rsid w:val="008523BB"/>
    <w:rsid w:val="008723A1"/>
    <w:rsid w:val="008838CF"/>
    <w:rsid w:val="0088777C"/>
    <w:rsid w:val="0089344C"/>
    <w:rsid w:val="0089673E"/>
    <w:rsid w:val="008B5125"/>
    <w:rsid w:val="008C137C"/>
    <w:rsid w:val="008E0C56"/>
    <w:rsid w:val="008E7315"/>
    <w:rsid w:val="008F446B"/>
    <w:rsid w:val="008F4D09"/>
    <w:rsid w:val="008F7A4A"/>
    <w:rsid w:val="00911877"/>
    <w:rsid w:val="009234FE"/>
    <w:rsid w:val="00933E2C"/>
    <w:rsid w:val="00941BA9"/>
    <w:rsid w:val="00956613"/>
    <w:rsid w:val="00964A28"/>
    <w:rsid w:val="00965156"/>
    <w:rsid w:val="00993A21"/>
    <w:rsid w:val="009B4A6B"/>
    <w:rsid w:val="009D0DA8"/>
    <w:rsid w:val="009D143A"/>
    <w:rsid w:val="009D5560"/>
    <w:rsid w:val="009D5E08"/>
    <w:rsid w:val="009E0C3E"/>
    <w:rsid w:val="009E7E90"/>
    <w:rsid w:val="009F70E6"/>
    <w:rsid w:val="00A04FD6"/>
    <w:rsid w:val="00A0751C"/>
    <w:rsid w:val="00A07614"/>
    <w:rsid w:val="00A15A70"/>
    <w:rsid w:val="00A21832"/>
    <w:rsid w:val="00A306C2"/>
    <w:rsid w:val="00A36565"/>
    <w:rsid w:val="00A422E0"/>
    <w:rsid w:val="00A52DE0"/>
    <w:rsid w:val="00A65307"/>
    <w:rsid w:val="00A70B08"/>
    <w:rsid w:val="00A84DA2"/>
    <w:rsid w:val="00A86E9F"/>
    <w:rsid w:val="00A90EE0"/>
    <w:rsid w:val="00AA1330"/>
    <w:rsid w:val="00AA684A"/>
    <w:rsid w:val="00AC6BF8"/>
    <w:rsid w:val="00AC7568"/>
    <w:rsid w:val="00AF0644"/>
    <w:rsid w:val="00AF495A"/>
    <w:rsid w:val="00AF5A91"/>
    <w:rsid w:val="00B00AFB"/>
    <w:rsid w:val="00B21347"/>
    <w:rsid w:val="00B4734C"/>
    <w:rsid w:val="00B47D7D"/>
    <w:rsid w:val="00B624F9"/>
    <w:rsid w:val="00B83E27"/>
    <w:rsid w:val="00B84F5A"/>
    <w:rsid w:val="00B93EE9"/>
    <w:rsid w:val="00BA4714"/>
    <w:rsid w:val="00BA570C"/>
    <w:rsid w:val="00BB0D0F"/>
    <w:rsid w:val="00BB5981"/>
    <w:rsid w:val="00BC5801"/>
    <w:rsid w:val="00BC6F02"/>
    <w:rsid w:val="00BD0A8F"/>
    <w:rsid w:val="00BD2405"/>
    <w:rsid w:val="00BD2BB5"/>
    <w:rsid w:val="00BD5735"/>
    <w:rsid w:val="00BE0791"/>
    <w:rsid w:val="00C01A39"/>
    <w:rsid w:val="00C02A07"/>
    <w:rsid w:val="00C036E8"/>
    <w:rsid w:val="00C0462B"/>
    <w:rsid w:val="00C132FD"/>
    <w:rsid w:val="00C43255"/>
    <w:rsid w:val="00C45F1E"/>
    <w:rsid w:val="00C5719B"/>
    <w:rsid w:val="00C600B5"/>
    <w:rsid w:val="00C64CA3"/>
    <w:rsid w:val="00C8316E"/>
    <w:rsid w:val="00C90EAB"/>
    <w:rsid w:val="00C90F92"/>
    <w:rsid w:val="00C9601A"/>
    <w:rsid w:val="00C97DA5"/>
    <w:rsid w:val="00CA6896"/>
    <w:rsid w:val="00CB117D"/>
    <w:rsid w:val="00CB1FE4"/>
    <w:rsid w:val="00CB3DB9"/>
    <w:rsid w:val="00CC5D4E"/>
    <w:rsid w:val="00CD3203"/>
    <w:rsid w:val="00CE1104"/>
    <w:rsid w:val="00CE7302"/>
    <w:rsid w:val="00CF4ADD"/>
    <w:rsid w:val="00D07230"/>
    <w:rsid w:val="00D223A8"/>
    <w:rsid w:val="00D2684C"/>
    <w:rsid w:val="00D30C50"/>
    <w:rsid w:val="00D32E9B"/>
    <w:rsid w:val="00D7752B"/>
    <w:rsid w:val="00D92691"/>
    <w:rsid w:val="00D94F8A"/>
    <w:rsid w:val="00DB04E8"/>
    <w:rsid w:val="00DC1B34"/>
    <w:rsid w:val="00DC426C"/>
    <w:rsid w:val="00DC5535"/>
    <w:rsid w:val="00DC5BA1"/>
    <w:rsid w:val="00DD73B0"/>
    <w:rsid w:val="00DD7662"/>
    <w:rsid w:val="00DE61D9"/>
    <w:rsid w:val="00E034CE"/>
    <w:rsid w:val="00E066DC"/>
    <w:rsid w:val="00E11356"/>
    <w:rsid w:val="00E15175"/>
    <w:rsid w:val="00E22508"/>
    <w:rsid w:val="00E30AF6"/>
    <w:rsid w:val="00E30E54"/>
    <w:rsid w:val="00E32480"/>
    <w:rsid w:val="00E532B2"/>
    <w:rsid w:val="00E57008"/>
    <w:rsid w:val="00E65ADE"/>
    <w:rsid w:val="00E70428"/>
    <w:rsid w:val="00E943BD"/>
    <w:rsid w:val="00E94AAD"/>
    <w:rsid w:val="00EA77BB"/>
    <w:rsid w:val="00EF7C2A"/>
    <w:rsid w:val="00F01BC7"/>
    <w:rsid w:val="00F031CB"/>
    <w:rsid w:val="00F25D88"/>
    <w:rsid w:val="00F32508"/>
    <w:rsid w:val="00F34DA7"/>
    <w:rsid w:val="00F528DD"/>
    <w:rsid w:val="00F57906"/>
    <w:rsid w:val="00F65221"/>
    <w:rsid w:val="00F658F9"/>
    <w:rsid w:val="00F74AD9"/>
    <w:rsid w:val="00F762E9"/>
    <w:rsid w:val="00F81145"/>
    <w:rsid w:val="00F822A1"/>
    <w:rsid w:val="00F8767E"/>
    <w:rsid w:val="00F9599C"/>
    <w:rsid w:val="00FC20C6"/>
    <w:rsid w:val="00FD00D8"/>
    <w:rsid w:val="00FD053A"/>
    <w:rsid w:val="00FE33F2"/>
    <w:rsid w:val="00FE3D8E"/>
    <w:rsid w:val="00FE6213"/>
    <w:rsid w:val="00FF00B3"/>
    <w:rsid w:val="00FF1609"/>
    <w:rsid w:val="00FF63EE"/>
    <w:rsid w:val="033AE399"/>
    <w:rsid w:val="036CAE65"/>
    <w:rsid w:val="0377873B"/>
    <w:rsid w:val="0BCF47E0"/>
    <w:rsid w:val="0EBF29E1"/>
    <w:rsid w:val="0EF8B5DC"/>
    <w:rsid w:val="125D4863"/>
    <w:rsid w:val="137EBC0B"/>
    <w:rsid w:val="15E26512"/>
    <w:rsid w:val="1698EAD0"/>
    <w:rsid w:val="178F00A8"/>
    <w:rsid w:val="1D501D25"/>
    <w:rsid w:val="1D81DB7A"/>
    <w:rsid w:val="21C83407"/>
    <w:rsid w:val="27831D6B"/>
    <w:rsid w:val="2B073A08"/>
    <w:rsid w:val="354D9CF4"/>
    <w:rsid w:val="3859E061"/>
    <w:rsid w:val="3AD8CF7D"/>
    <w:rsid w:val="46B877E6"/>
    <w:rsid w:val="4B80F3B5"/>
    <w:rsid w:val="51F9FF90"/>
    <w:rsid w:val="54545848"/>
    <w:rsid w:val="569C023D"/>
    <w:rsid w:val="58F3FFA2"/>
    <w:rsid w:val="62CF2E16"/>
    <w:rsid w:val="6969D592"/>
    <w:rsid w:val="71298AFD"/>
    <w:rsid w:val="75AE2800"/>
    <w:rsid w:val="77C55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80668"/>
  <w15:chartTrackingRefBased/>
  <w15:docId w15:val="{E8D42A79-1D9F-8340-9122-42D740B4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E9F"/>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A86E9F"/>
    <w:rPr>
      <w:rFonts w:cs="Tahoma"/>
      <w:szCs w:val="18"/>
    </w:rPr>
  </w:style>
  <w:style w:type="character" w:customStyle="1" w:styleId="BalloonTextChar">
    <w:name w:val="Balloon Text Char"/>
    <w:link w:val="BalloonText"/>
    <w:uiPriority w:val="99"/>
    <w:rsid w:val="00A86E9F"/>
    <w:rPr>
      <w:rFonts w:ascii="Palatino Linotype" w:hAnsi="Palatino Linotype" w:cs="Tahoma"/>
      <w:noProof/>
      <w:color w:val="000000"/>
      <w:szCs w:val="18"/>
    </w:rPr>
  </w:style>
  <w:style w:type="character" w:styleId="LineNumber">
    <w:name w:val="line number"/>
    <w:uiPriority w:val="99"/>
    <w:rsid w:val="00AF0644"/>
    <w:rPr>
      <w:rFonts w:ascii="Palatino Linotype" w:hAnsi="Palatino Linotype"/>
      <w:sz w:val="16"/>
    </w:rPr>
  </w:style>
  <w:style w:type="table" w:customStyle="1" w:styleId="MDPI41threelinetable">
    <w:name w:val="MDPI_4.1_three_line_table"/>
    <w:basedOn w:val="TableNorma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UnresolvedMention1">
    <w:name w:val="Unresolved Mention1"/>
    <w:uiPriority w:val="99"/>
    <w:semiHidden/>
    <w:unhideWhenUsed/>
    <w:rsid w:val="004C46B1"/>
    <w:rPr>
      <w:color w:val="605E5C"/>
      <w:shd w:val="clear" w:color="auto" w:fill="E1DFDD"/>
    </w:rPr>
  </w:style>
  <w:style w:type="paragraph" w:styleId="Footer">
    <w:name w:val="footer"/>
    <w:basedOn w:val="Normal"/>
    <w:link w:val="FooterChar"/>
    <w:uiPriority w:val="99"/>
    <w:rsid w:val="00A86E9F"/>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86E9F"/>
    <w:rPr>
      <w:rFonts w:ascii="Palatino Linotype" w:hAnsi="Palatino Linotype"/>
      <w:noProof/>
      <w:color w:val="000000"/>
      <w:szCs w:val="18"/>
    </w:rPr>
  </w:style>
  <w:style w:type="table" w:styleId="PlainTable4">
    <w:name w:val="Plain Table 4"/>
    <w:basedOn w:val="TableNorma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phy">
    <w:name w:val="Bibliography"/>
    <w:basedOn w:val="Normal"/>
    <w:next w:val="Normal"/>
    <w:uiPriority w:val="37"/>
    <w:semiHidden/>
    <w:unhideWhenUsed/>
    <w:rsid w:val="00A86E9F"/>
  </w:style>
  <w:style w:type="paragraph" w:styleId="BodyText">
    <w:name w:val="Body Text"/>
    <w:link w:val="BodyTextChar"/>
    <w:rsid w:val="00A86E9F"/>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86E9F"/>
    <w:rPr>
      <w:rFonts w:ascii="Palatino Linotype" w:hAnsi="Palatino Linotype"/>
      <w:color w:val="000000"/>
      <w:sz w:val="24"/>
      <w:lang w:eastAsia="de-DE"/>
    </w:rPr>
  </w:style>
  <w:style w:type="character" w:styleId="CommentReference">
    <w:name w:val="annotation reference"/>
    <w:rsid w:val="00A86E9F"/>
    <w:rPr>
      <w:sz w:val="21"/>
      <w:szCs w:val="21"/>
    </w:rPr>
  </w:style>
  <w:style w:type="paragraph" w:styleId="CommentText">
    <w:name w:val="annotation text"/>
    <w:basedOn w:val="Normal"/>
    <w:link w:val="CommentTextChar"/>
    <w:rsid w:val="00A86E9F"/>
  </w:style>
  <w:style w:type="character" w:customStyle="1" w:styleId="CommentTextChar">
    <w:name w:val="Comment Text Char"/>
    <w:link w:val="CommentText"/>
    <w:rsid w:val="00A86E9F"/>
    <w:rPr>
      <w:rFonts w:ascii="Palatino Linotype" w:hAnsi="Palatino Linotype"/>
      <w:noProof/>
      <w:color w:val="000000"/>
    </w:rPr>
  </w:style>
  <w:style w:type="paragraph" w:styleId="CommentSubject">
    <w:name w:val="annotation subject"/>
    <w:basedOn w:val="CommentText"/>
    <w:next w:val="CommentText"/>
    <w:link w:val="CommentSubjectChar"/>
    <w:rsid w:val="00A86E9F"/>
    <w:rPr>
      <w:b/>
      <w:bCs/>
    </w:rPr>
  </w:style>
  <w:style w:type="character" w:customStyle="1" w:styleId="CommentSubjectChar">
    <w:name w:val="Comment Subject Char"/>
    <w:link w:val="CommentSubject"/>
    <w:rsid w:val="00A86E9F"/>
    <w:rPr>
      <w:rFonts w:ascii="Palatino Linotype" w:hAnsi="Palatino Linotype"/>
      <w:b/>
      <w:bCs/>
      <w:noProof/>
      <w:color w:val="000000"/>
    </w:rPr>
  </w:style>
  <w:style w:type="character" w:styleId="EndnoteReference">
    <w:name w:val="endnote reference"/>
    <w:rsid w:val="00A86E9F"/>
    <w:rPr>
      <w:vertAlign w:val="superscript"/>
    </w:rPr>
  </w:style>
  <w:style w:type="paragraph" w:styleId="EndnoteText">
    <w:name w:val="endnote text"/>
    <w:basedOn w:val="Normal"/>
    <w:link w:val="EndnoteTextChar"/>
    <w:semiHidden/>
    <w:unhideWhenUsed/>
    <w:rsid w:val="00A86E9F"/>
    <w:pPr>
      <w:spacing w:line="240" w:lineRule="auto"/>
    </w:pPr>
  </w:style>
  <w:style w:type="character" w:customStyle="1" w:styleId="EndnoteTextChar">
    <w:name w:val="Endnote Text Char"/>
    <w:link w:val="EndnoteText"/>
    <w:semiHidden/>
    <w:rsid w:val="00A86E9F"/>
    <w:rPr>
      <w:rFonts w:ascii="Palatino Linotype" w:hAnsi="Palatino Linotype"/>
      <w:noProof/>
      <w:color w:val="000000"/>
    </w:rPr>
  </w:style>
  <w:style w:type="character" w:styleId="FollowedHyperlink">
    <w:name w:val="FollowedHyperlink"/>
    <w:rsid w:val="00A86E9F"/>
    <w:rPr>
      <w:color w:val="954F72"/>
      <w:u w:val="single"/>
    </w:rPr>
  </w:style>
  <w:style w:type="paragraph" w:styleId="FootnoteText">
    <w:name w:val="footnote text"/>
    <w:basedOn w:val="Normal"/>
    <w:link w:val="FootnoteTextChar"/>
    <w:semiHidden/>
    <w:unhideWhenUsed/>
    <w:rsid w:val="00A86E9F"/>
    <w:pPr>
      <w:spacing w:line="240" w:lineRule="auto"/>
    </w:pPr>
  </w:style>
  <w:style w:type="character" w:customStyle="1" w:styleId="FootnoteTextChar">
    <w:name w:val="Footnote Text Char"/>
    <w:link w:val="FootnoteText"/>
    <w:semiHidden/>
    <w:rsid w:val="00A86E9F"/>
    <w:rPr>
      <w:rFonts w:ascii="Palatino Linotype" w:hAnsi="Palatino Linotype"/>
      <w:noProof/>
      <w:color w:val="000000"/>
    </w:rPr>
  </w:style>
  <w:style w:type="paragraph" w:styleId="NormalWeb">
    <w:name w:val="Normal (Web)"/>
    <w:basedOn w:val="Normal"/>
    <w:uiPriority w:val="99"/>
    <w:rsid w:val="00A86E9F"/>
    <w:rPr>
      <w:szCs w:val="24"/>
    </w:rPr>
  </w:style>
  <w:style w:type="paragraph" w:customStyle="1" w:styleId="MsoFootnoteText0">
    <w:name w:val="MsoFootnoteText"/>
    <w:basedOn w:val="NormalWeb"/>
    <w:qFormat/>
    <w:rsid w:val="00A86E9F"/>
    <w:rPr>
      <w:rFonts w:ascii="Times New Roman" w:hAnsi="Times New Roman"/>
    </w:rPr>
  </w:style>
  <w:style w:type="character" w:styleId="PageNumber">
    <w:name w:val="page number"/>
    <w:rsid w:val="00A86E9F"/>
  </w:style>
  <w:style w:type="character" w:styleId="PlaceholderText">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Normal"/>
    <w:rsid w:val="00206552"/>
    <w:pPr>
      <w:spacing w:before="100" w:beforeAutospacing="1" w:after="100" w:afterAutospacing="1" w:line="240" w:lineRule="auto"/>
      <w:jc w:val="left"/>
    </w:pPr>
    <w:rPr>
      <w:rFonts w:ascii="Times New Roman" w:eastAsia="Times New Roman" w:hAnsi="Times New Roman"/>
      <w:noProof w:val="0"/>
      <w:color w:val="auto"/>
      <w:sz w:val="24"/>
      <w:szCs w:val="24"/>
    </w:rPr>
  </w:style>
  <w:style w:type="character" w:customStyle="1" w:styleId="normaltextrun">
    <w:name w:val="normaltextrun"/>
    <w:basedOn w:val="DefaultParagraphFont"/>
    <w:rsid w:val="00206552"/>
  </w:style>
  <w:style w:type="character" w:customStyle="1" w:styleId="eop">
    <w:name w:val="eop"/>
    <w:basedOn w:val="DefaultParagraphFont"/>
    <w:rsid w:val="00206552"/>
  </w:style>
  <w:style w:type="paragraph" w:customStyle="1" w:styleId="References">
    <w:name w:val="References"/>
    <w:basedOn w:val="Normal"/>
    <w:qFormat/>
    <w:rsid w:val="00DC1B34"/>
    <w:pPr>
      <w:spacing w:line="240" w:lineRule="auto"/>
      <w:ind w:left="720" w:hanging="720"/>
    </w:pPr>
    <w:rPr>
      <w:rFonts w:ascii="Bodoni SvtyTwo OS ITC TT-Book" w:eastAsia="Times New Roman" w:hAnsi="Bodoni SvtyTwo OS ITC TT-Book"/>
      <w:noProof w:val="0"/>
      <w:color w:val="auto"/>
      <w:szCs w:val="24"/>
      <w:lang w:val="en-GB" w:eastAsia="en-US"/>
    </w:rPr>
  </w:style>
  <w:style w:type="character" w:styleId="Emphasis">
    <w:name w:val="Emphasis"/>
    <w:basedOn w:val="DefaultParagraphFont"/>
    <w:uiPriority w:val="20"/>
    <w:qFormat/>
    <w:rsid w:val="00FD00D8"/>
    <w:rPr>
      <w:i/>
      <w:iCs/>
    </w:rPr>
  </w:style>
  <w:style w:type="paragraph" w:styleId="ListParagraph">
    <w:name w:val="List Paragraph"/>
    <w:basedOn w:val="Normal"/>
    <w:uiPriority w:val="34"/>
    <w:qFormat/>
    <w:rsid w:val="00FD00D8"/>
    <w:pPr>
      <w:ind w:left="720"/>
      <w:contextualSpacing/>
    </w:pPr>
  </w:style>
  <w:style w:type="character" w:styleId="UnresolvedMention">
    <w:name w:val="Unresolved Mention"/>
    <w:basedOn w:val="DefaultParagraphFont"/>
    <w:uiPriority w:val="99"/>
    <w:semiHidden/>
    <w:unhideWhenUsed/>
    <w:rsid w:val="00F03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0048">
      <w:bodyDiv w:val="1"/>
      <w:marLeft w:val="0"/>
      <w:marRight w:val="0"/>
      <w:marTop w:val="0"/>
      <w:marBottom w:val="0"/>
      <w:divBdr>
        <w:top w:val="none" w:sz="0" w:space="0" w:color="auto"/>
        <w:left w:val="none" w:sz="0" w:space="0" w:color="auto"/>
        <w:bottom w:val="none" w:sz="0" w:space="0" w:color="auto"/>
        <w:right w:val="none" w:sz="0" w:space="0" w:color="auto"/>
      </w:divBdr>
      <w:divsChild>
        <w:div w:id="86317501">
          <w:marLeft w:val="0"/>
          <w:marRight w:val="0"/>
          <w:marTop w:val="0"/>
          <w:marBottom w:val="0"/>
          <w:divBdr>
            <w:top w:val="none" w:sz="0" w:space="0" w:color="auto"/>
            <w:left w:val="none" w:sz="0" w:space="0" w:color="auto"/>
            <w:bottom w:val="none" w:sz="0" w:space="0" w:color="auto"/>
            <w:right w:val="none" w:sz="0" w:space="0" w:color="auto"/>
          </w:divBdr>
          <w:divsChild>
            <w:div w:id="2048292028">
              <w:marLeft w:val="0"/>
              <w:marRight w:val="0"/>
              <w:marTop w:val="0"/>
              <w:marBottom w:val="0"/>
              <w:divBdr>
                <w:top w:val="none" w:sz="0" w:space="0" w:color="auto"/>
                <w:left w:val="none" w:sz="0" w:space="0" w:color="auto"/>
                <w:bottom w:val="none" w:sz="0" w:space="0" w:color="auto"/>
                <w:right w:val="none" w:sz="0" w:space="0" w:color="auto"/>
              </w:divBdr>
              <w:divsChild>
                <w:div w:id="14034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4046">
      <w:bodyDiv w:val="1"/>
      <w:marLeft w:val="0"/>
      <w:marRight w:val="0"/>
      <w:marTop w:val="0"/>
      <w:marBottom w:val="0"/>
      <w:divBdr>
        <w:top w:val="none" w:sz="0" w:space="0" w:color="auto"/>
        <w:left w:val="none" w:sz="0" w:space="0" w:color="auto"/>
        <w:bottom w:val="none" w:sz="0" w:space="0" w:color="auto"/>
        <w:right w:val="none" w:sz="0" w:space="0" w:color="auto"/>
      </w:divBdr>
      <w:divsChild>
        <w:div w:id="1790775444">
          <w:marLeft w:val="0"/>
          <w:marRight w:val="0"/>
          <w:marTop w:val="0"/>
          <w:marBottom w:val="0"/>
          <w:divBdr>
            <w:top w:val="none" w:sz="0" w:space="0" w:color="auto"/>
            <w:left w:val="none" w:sz="0" w:space="0" w:color="auto"/>
            <w:bottom w:val="none" w:sz="0" w:space="0" w:color="auto"/>
            <w:right w:val="none" w:sz="0" w:space="0" w:color="auto"/>
          </w:divBdr>
          <w:divsChild>
            <w:div w:id="2123303149">
              <w:marLeft w:val="0"/>
              <w:marRight w:val="0"/>
              <w:marTop w:val="0"/>
              <w:marBottom w:val="0"/>
              <w:divBdr>
                <w:top w:val="none" w:sz="0" w:space="0" w:color="auto"/>
                <w:left w:val="none" w:sz="0" w:space="0" w:color="auto"/>
                <w:bottom w:val="none" w:sz="0" w:space="0" w:color="auto"/>
                <w:right w:val="none" w:sz="0" w:space="0" w:color="auto"/>
              </w:divBdr>
              <w:divsChild>
                <w:div w:id="10566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175732006">
      <w:bodyDiv w:val="1"/>
      <w:marLeft w:val="0"/>
      <w:marRight w:val="0"/>
      <w:marTop w:val="0"/>
      <w:marBottom w:val="0"/>
      <w:divBdr>
        <w:top w:val="none" w:sz="0" w:space="0" w:color="auto"/>
        <w:left w:val="none" w:sz="0" w:space="0" w:color="auto"/>
        <w:bottom w:val="none" w:sz="0" w:space="0" w:color="auto"/>
        <w:right w:val="none" w:sz="0" w:space="0" w:color="auto"/>
      </w:divBdr>
      <w:divsChild>
        <w:div w:id="1098255564">
          <w:marLeft w:val="0"/>
          <w:marRight w:val="0"/>
          <w:marTop w:val="0"/>
          <w:marBottom w:val="0"/>
          <w:divBdr>
            <w:top w:val="none" w:sz="0" w:space="0" w:color="auto"/>
            <w:left w:val="none" w:sz="0" w:space="0" w:color="auto"/>
            <w:bottom w:val="none" w:sz="0" w:space="0" w:color="auto"/>
            <w:right w:val="none" w:sz="0" w:space="0" w:color="auto"/>
          </w:divBdr>
          <w:divsChild>
            <w:div w:id="58945235">
              <w:marLeft w:val="0"/>
              <w:marRight w:val="0"/>
              <w:marTop w:val="0"/>
              <w:marBottom w:val="0"/>
              <w:divBdr>
                <w:top w:val="none" w:sz="0" w:space="0" w:color="auto"/>
                <w:left w:val="none" w:sz="0" w:space="0" w:color="auto"/>
                <w:bottom w:val="none" w:sz="0" w:space="0" w:color="auto"/>
                <w:right w:val="none" w:sz="0" w:space="0" w:color="auto"/>
              </w:divBdr>
              <w:divsChild>
                <w:div w:id="17934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204145171">
      <w:bodyDiv w:val="1"/>
      <w:marLeft w:val="0"/>
      <w:marRight w:val="0"/>
      <w:marTop w:val="0"/>
      <w:marBottom w:val="0"/>
      <w:divBdr>
        <w:top w:val="none" w:sz="0" w:space="0" w:color="auto"/>
        <w:left w:val="none" w:sz="0" w:space="0" w:color="auto"/>
        <w:bottom w:val="none" w:sz="0" w:space="0" w:color="auto"/>
        <w:right w:val="none" w:sz="0" w:space="0" w:color="auto"/>
      </w:divBdr>
    </w:div>
    <w:div w:id="357320502">
      <w:bodyDiv w:val="1"/>
      <w:marLeft w:val="0"/>
      <w:marRight w:val="0"/>
      <w:marTop w:val="0"/>
      <w:marBottom w:val="0"/>
      <w:divBdr>
        <w:top w:val="none" w:sz="0" w:space="0" w:color="auto"/>
        <w:left w:val="none" w:sz="0" w:space="0" w:color="auto"/>
        <w:bottom w:val="none" w:sz="0" w:space="0" w:color="auto"/>
        <w:right w:val="none" w:sz="0" w:space="0" w:color="auto"/>
      </w:divBdr>
      <w:divsChild>
        <w:div w:id="392772232">
          <w:marLeft w:val="0"/>
          <w:marRight w:val="0"/>
          <w:marTop w:val="0"/>
          <w:marBottom w:val="0"/>
          <w:divBdr>
            <w:top w:val="none" w:sz="0" w:space="0" w:color="auto"/>
            <w:left w:val="none" w:sz="0" w:space="0" w:color="auto"/>
            <w:bottom w:val="none" w:sz="0" w:space="0" w:color="auto"/>
            <w:right w:val="none" w:sz="0" w:space="0" w:color="auto"/>
          </w:divBdr>
          <w:divsChild>
            <w:div w:id="1409184246">
              <w:marLeft w:val="0"/>
              <w:marRight w:val="0"/>
              <w:marTop w:val="0"/>
              <w:marBottom w:val="0"/>
              <w:divBdr>
                <w:top w:val="none" w:sz="0" w:space="0" w:color="auto"/>
                <w:left w:val="none" w:sz="0" w:space="0" w:color="auto"/>
                <w:bottom w:val="none" w:sz="0" w:space="0" w:color="auto"/>
                <w:right w:val="none" w:sz="0" w:space="0" w:color="auto"/>
              </w:divBdr>
              <w:divsChild>
                <w:div w:id="8697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37146">
      <w:bodyDiv w:val="1"/>
      <w:marLeft w:val="0"/>
      <w:marRight w:val="0"/>
      <w:marTop w:val="0"/>
      <w:marBottom w:val="0"/>
      <w:divBdr>
        <w:top w:val="none" w:sz="0" w:space="0" w:color="auto"/>
        <w:left w:val="none" w:sz="0" w:space="0" w:color="auto"/>
        <w:bottom w:val="none" w:sz="0" w:space="0" w:color="auto"/>
        <w:right w:val="none" w:sz="0" w:space="0" w:color="auto"/>
      </w:divBdr>
      <w:divsChild>
        <w:div w:id="889919216">
          <w:marLeft w:val="0"/>
          <w:marRight w:val="0"/>
          <w:marTop w:val="0"/>
          <w:marBottom w:val="0"/>
          <w:divBdr>
            <w:top w:val="none" w:sz="0" w:space="0" w:color="auto"/>
            <w:left w:val="none" w:sz="0" w:space="0" w:color="auto"/>
            <w:bottom w:val="none" w:sz="0" w:space="0" w:color="auto"/>
            <w:right w:val="none" w:sz="0" w:space="0" w:color="auto"/>
          </w:divBdr>
          <w:divsChild>
            <w:div w:id="1180850243">
              <w:marLeft w:val="0"/>
              <w:marRight w:val="0"/>
              <w:marTop w:val="0"/>
              <w:marBottom w:val="0"/>
              <w:divBdr>
                <w:top w:val="none" w:sz="0" w:space="0" w:color="auto"/>
                <w:left w:val="none" w:sz="0" w:space="0" w:color="auto"/>
                <w:bottom w:val="none" w:sz="0" w:space="0" w:color="auto"/>
                <w:right w:val="none" w:sz="0" w:space="0" w:color="auto"/>
              </w:divBdr>
              <w:divsChild>
                <w:div w:id="791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09729">
      <w:bodyDiv w:val="1"/>
      <w:marLeft w:val="0"/>
      <w:marRight w:val="0"/>
      <w:marTop w:val="0"/>
      <w:marBottom w:val="0"/>
      <w:divBdr>
        <w:top w:val="none" w:sz="0" w:space="0" w:color="auto"/>
        <w:left w:val="none" w:sz="0" w:space="0" w:color="auto"/>
        <w:bottom w:val="none" w:sz="0" w:space="0" w:color="auto"/>
        <w:right w:val="none" w:sz="0" w:space="0" w:color="auto"/>
      </w:divBdr>
      <w:divsChild>
        <w:div w:id="1043604343">
          <w:marLeft w:val="0"/>
          <w:marRight w:val="0"/>
          <w:marTop w:val="0"/>
          <w:marBottom w:val="0"/>
          <w:divBdr>
            <w:top w:val="none" w:sz="0" w:space="0" w:color="auto"/>
            <w:left w:val="none" w:sz="0" w:space="0" w:color="auto"/>
            <w:bottom w:val="none" w:sz="0" w:space="0" w:color="auto"/>
            <w:right w:val="none" w:sz="0" w:space="0" w:color="auto"/>
          </w:divBdr>
          <w:divsChild>
            <w:div w:id="1975139043">
              <w:marLeft w:val="0"/>
              <w:marRight w:val="0"/>
              <w:marTop w:val="0"/>
              <w:marBottom w:val="0"/>
              <w:divBdr>
                <w:top w:val="none" w:sz="0" w:space="0" w:color="auto"/>
                <w:left w:val="none" w:sz="0" w:space="0" w:color="auto"/>
                <w:bottom w:val="none" w:sz="0" w:space="0" w:color="auto"/>
                <w:right w:val="none" w:sz="0" w:space="0" w:color="auto"/>
              </w:divBdr>
              <w:divsChild>
                <w:div w:id="144685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611672435">
      <w:bodyDiv w:val="1"/>
      <w:marLeft w:val="0"/>
      <w:marRight w:val="0"/>
      <w:marTop w:val="0"/>
      <w:marBottom w:val="0"/>
      <w:divBdr>
        <w:top w:val="none" w:sz="0" w:space="0" w:color="auto"/>
        <w:left w:val="none" w:sz="0" w:space="0" w:color="auto"/>
        <w:bottom w:val="none" w:sz="0" w:space="0" w:color="auto"/>
        <w:right w:val="none" w:sz="0" w:space="0" w:color="auto"/>
      </w:divBdr>
      <w:divsChild>
        <w:div w:id="561797217">
          <w:marLeft w:val="0"/>
          <w:marRight w:val="0"/>
          <w:marTop w:val="0"/>
          <w:marBottom w:val="0"/>
          <w:divBdr>
            <w:top w:val="none" w:sz="0" w:space="0" w:color="auto"/>
            <w:left w:val="none" w:sz="0" w:space="0" w:color="auto"/>
            <w:bottom w:val="none" w:sz="0" w:space="0" w:color="auto"/>
            <w:right w:val="none" w:sz="0" w:space="0" w:color="auto"/>
          </w:divBdr>
          <w:divsChild>
            <w:div w:id="251083717">
              <w:marLeft w:val="0"/>
              <w:marRight w:val="0"/>
              <w:marTop w:val="0"/>
              <w:marBottom w:val="0"/>
              <w:divBdr>
                <w:top w:val="none" w:sz="0" w:space="0" w:color="auto"/>
                <w:left w:val="none" w:sz="0" w:space="0" w:color="auto"/>
                <w:bottom w:val="none" w:sz="0" w:space="0" w:color="auto"/>
                <w:right w:val="none" w:sz="0" w:space="0" w:color="auto"/>
              </w:divBdr>
              <w:divsChild>
                <w:div w:id="19573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29561">
      <w:bodyDiv w:val="1"/>
      <w:marLeft w:val="0"/>
      <w:marRight w:val="0"/>
      <w:marTop w:val="0"/>
      <w:marBottom w:val="0"/>
      <w:divBdr>
        <w:top w:val="none" w:sz="0" w:space="0" w:color="auto"/>
        <w:left w:val="none" w:sz="0" w:space="0" w:color="auto"/>
        <w:bottom w:val="none" w:sz="0" w:space="0" w:color="auto"/>
        <w:right w:val="none" w:sz="0" w:space="0" w:color="auto"/>
      </w:divBdr>
      <w:divsChild>
        <w:div w:id="1377587604">
          <w:marLeft w:val="0"/>
          <w:marRight w:val="0"/>
          <w:marTop w:val="0"/>
          <w:marBottom w:val="0"/>
          <w:divBdr>
            <w:top w:val="none" w:sz="0" w:space="0" w:color="auto"/>
            <w:left w:val="none" w:sz="0" w:space="0" w:color="auto"/>
            <w:bottom w:val="none" w:sz="0" w:space="0" w:color="auto"/>
            <w:right w:val="none" w:sz="0" w:space="0" w:color="auto"/>
          </w:divBdr>
          <w:divsChild>
            <w:div w:id="1737779022">
              <w:marLeft w:val="0"/>
              <w:marRight w:val="0"/>
              <w:marTop w:val="0"/>
              <w:marBottom w:val="0"/>
              <w:divBdr>
                <w:top w:val="none" w:sz="0" w:space="0" w:color="auto"/>
                <w:left w:val="none" w:sz="0" w:space="0" w:color="auto"/>
                <w:bottom w:val="none" w:sz="0" w:space="0" w:color="auto"/>
                <w:right w:val="none" w:sz="0" w:space="0" w:color="auto"/>
              </w:divBdr>
              <w:divsChild>
                <w:div w:id="17886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26624">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1973901446">
          <w:marLeft w:val="0"/>
          <w:marRight w:val="0"/>
          <w:marTop w:val="0"/>
          <w:marBottom w:val="0"/>
          <w:divBdr>
            <w:top w:val="none" w:sz="0" w:space="0" w:color="auto"/>
            <w:left w:val="none" w:sz="0" w:space="0" w:color="auto"/>
            <w:bottom w:val="none" w:sz="0" w:space="0" w:color="auto"/>
            <w:right w:val="none" w:sz="0" w:space="0" w:color="auto"/>
          </w:divBdr>
        </w:div>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2135018">
      <w:bodyDiv w:val="1"/>
      <w:marLeft w:val="0"/>
      <w:marRight w:val="0"/>
      <w:marTop w:val="0"/>
      <w:marBottom w:val="0"/>
      <w:divBdr>
        <w:top w:val="none" w:sz="0" w:space="0" w:color="auto"/>
        <w:left w:val="none" w:sz="0" w:space="0" w:color="auto"/>
        <w:bottom w:val="none" w:sz="0" w:space="0" w:color="auto"/>
        <w:right w:val="none" w:sz="0" w:space="0" w:color="auto"/>
      </w:divBdr>
      <w:divsChild>
        <w:div w:id="1058817323">
          <w:marLeft w:val="0"/>
          <w:marRight w:val="0"/>
          <w:marTop w:val="0"/>
          <w:marBottom w:val="0"/>
          <w:divBdr>
            <w:top w:val="none" w:sz="0" w:space="0" w:color="auto"/>
            <w:left w:val="none" w:sz="0" w:space="0" w:color="auto"/>
            <w:bottom w:val="none" w:sz="0" w:space="0" w:color="auto"/>
            <w:right w:val="none" w:sz="0" w:space="0" w:color="auto"/>
          </w:divBdr>
          <w:divsChild>
            <w:div w:id="1653755681">
              <w:marLeft w:val="0"/>
              <w:marRight w:val="0"/>
              <w:marTop w:val="0"/>
              <w:marBottom w:val="0"/>
              <w:divBdr>
                <w:top w:val="none" w:sz="0" w:space="0" w:color="auto"/>
                <w:left w:val="none" w:sz="0" w:space="0" w:color="auto"/>
                <w:bottom w:val="none" w:sz="0" w:space="0" w:color="auto"/>
                <w:right w:val="none" w:sz="0" w:space="0" w:color="auto"/>
              </w:divBdr>
              <w:divsChild>
                <w:div w:id="11946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836461347">
      <w:bodyDiv w:val="1"/>
      <w:marLeft w:val="0"/>
      <w:marRight w:val="0"/>
      <w:marTop w:val="0"/>
      <w:marBottom w:val="0"/>
      <w:divBdr>
        <w:top w:val="none" w:sz="0" w:space="0" w:color="auto"/>
        <w:left w:val="none" w:sz="0" w:space="0" w:color="auto"/>
        <w:bottom w:val="none" w:sz="0" w:space="0" w:color="auto"/>
        <w:right w:val="none" w:sz="0" w:space="0" w:color="auto"/>
      </w:divBdr>
      <w:divsChild>
        <w:div w:id="973755786">
          <w:marLeft w:val="0"/>
          <w:marRight w:val="0"/>
          <w:marTop w:val="0"/>
          <w:marBottom w:val="0"/>
          <w:divBdr>
            <w:top w:val="none" w:sz="0" w:space="0" w:color="auto"/>
            <w:left w:val="none" w:sz="0" w:space="0" w:color="auto"/>
            <w:bottom w:val="none" w:sz="0" w:space="0" w:color="auto"/>
            <w:right w:val="none" w:sz="0" w:space="0" w:color="auto"/>
          </w:divBdr>
          <w:divsChild>
            <w:div w:id="747113050">
              <w:marLeft w:val="0"/>
              <w:marRight w:val="0"/>
              <w:marTop w:val="0"/>
              <w:marBottom w:val="0"/>
              <w:divBdr>
                <w:top w:val="none" w:sz="0" w:space="0" w:color="auto"/>
                <w:left w:val="none" w:sz="0" w:space="0" w:color="auto"/>
                <w:bottom w:val="none" w:sz="0" w:space="0" w:color="auto"/>
                <w:right w:val="none" w:sz="0" w:space="0" w:color="auto"/>
              </w:divBdr>
              <w:divsChild>
                <w:div w:id="57674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96030">
      <w:bodyDiv w:val="1"/>
      <w:marLeft w:val="0"/>
      <w:marRight w:val="0"/>
      <w:marTop w:val="0"/>
      <w:marBottom w:val="0"/>
      <w:divBdr>
        <w:top w:val="none" w:sz="0" w:space="0" w:color="auto"/>
        <w:left w:val="none" w:sz="0" w:space="0" w:color="auto"/>
        <w:bottom w:val="none" w:sz="0" w:space="0" w:color="auto"/>
        <w:right w:val="none" w:sz="0" w:space="0" w:color="auto"/>
      </w:divBdr>
      <w:divsChild>
        <w:div w:id="981346989">
          <w:marLeft w:val="0"/>
          <w:marRight w:val="0"/>
          <w:marTop w:val="0"/>
          <w:marBottom w:val="0"/>
          <w:divBdr>
            <w:top w:val="none" w:sz="0" w:space="0" w:color="auto"/>
            <w:left w:val="none" w:sz="0" w:space="0" w:color="auto"/>
            <w:bottom w:val="none" w:sz="0" w:space="0" w:color="auto"/>
            <w:right w:val="none" w:sz="0" w:space="0" w:color="auto"/>
          </w:divBdr>
          <w:divsChild>
            <w:div w:id="671303743">
              <w:marLeft w:val="0"/>
              <w:marRight w:val="0"/>
              <w:marTop w:val="0"/>
              <w:marBottom w:val="0"/>
              <w:divBdr>
                <w:top w:val="none" w:sz="0" w:space="0" w:color="auto"/>
                <w:left w:val="none" w:sz="0" w:space="0" w:color="auto"/>
                <w:bottom w:val="none" w:sz="0" w:space="0" w:color="auto"/>
                <w:right w:val="none" w:sz="0" w:space="0" w:color="auto"/>
              </w:divBdr>
              <w:divsChild>
                <w:div w:id="16762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71475">
      <w:bodyDiv w:val="1"/>
      <w:marLeft w:val="0"/>
      <w:marRight w:val="0"/>
      <w:marTop w:val="0"/>
      <w:marBottom w:val="0"/>
      <w:divBdr>
        <w:top w:val="none" w:sz="0" w:space="0" w:color="auto"/>
        <w:left w:val="none" w:sz="0" w:space="0" w:color="auto"/>
        <w:bottom w:val="none" w:sz="0" w:space="0" w:color="auto"/>
        <w:right w:val="none" w:sz="0" w:space="0" w:color="auto"/>
      </w:divBdr>
      <w:divsChild>
        <w:div w:id="901595969">
          <w:marLeft w:val="0"/>
          <w:marRight w:val="0"/>
          <w:marTop w:val="0"/>
          <w:marBottom w:val="0"/>
          <w:divBdr>
            <w:top w:val="none" w:sz="0" w:space="0" w:color="auto"/>
            <w:left w:val="none" w:sz="0" w:space="0" w:color="auto"/>
            <w:bottom w:val="none" w:sz="0" w:space="0" w:color="auto"/>
            <w:right w:val="none" w:sz="0" w:space="0" w:color="auto"/>
          </w:divBdr>
          <w:divsChild>
            <w:div w:id="956986998">
              <w:marLeft w:val="0"/>
              <w:marRight w:val="0"/>
              <w:marTop w:val="0"/>
              <w:marBottom w:val="0"/>
              <w:divBdr>
                <w:top w:val="none" w:sz="0" w:space="0" w:color="auto"/>
                <w:left w:val="none" w:sz="0" w:space="0" w:color="auto"/>
                <w:bottom w:val="none" w:sz="0" w:space="0" w:color="auto"/>
                <w:right w:val="none" w:sz="0" w:space="0" w:color="auto"/>
              </w:divBdr>
              <w:divsChild>
                <w:div w:id="14232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8288">
      <w:bodyDiv w:val="1"/>
      <w:marLeft w:val="0"/>
      <w:marRight w:val="0"/>
      <w:marTop w:val="0"/>
      <w:marBottom w:val="0"/>
      <w:divBdr>
        <w:top w:val="none" w:sz="0" w:space="0" w:color="auto"/>
        <w:left w:val="none" w:sz="0" w:space="0" w:color="auto"/>
        <w:bottom w:val="none" w:sz="0" w:space="0" w:color="auto"/>
        <w:right w:val="none" w:sz="0" w:space="0" w:color="auto"/>
      </w:divBdr>
      <w:divsChild>
        <w:div w:id="332030400">
          <w:marLeft w:val="0"/>
          <w:marRight w:val="0"/>
          <w:marTop w:val="0"/>
          <w:marBottom w:val="0"/>
          <w:divBdr>
            <w:top w:val="none" w:sz="0" w:space="0" w:color="auto"/>
            <w:left w:val="none" w:sz="0" w:space="0" w:color="auto"/>
            <w:bottom w:val="none" w:sz="0" w:space="0" w:color="auto"/>
            <w:right w:val="none" w:sz="0" w:space="0" w:color="auto"/>
          </w:divBdr>
          <w:divsChild>
            <w:div w:id="468282806">
              <w:marLeft w:val="0"/>
              <w:marRight w:val="0"/>
              <w:marTop w:val="0"/>
              <w:marBottom w:val="0"/>
              <w:divBdr>
                <w:top w:val="none" w:sz="0" w:space="0" w:color="auto"/>
                <w:left w:val="none" w:sz="0" w:space="0" w:color="auto"/>
                <w:bottom w:val="none" w:sz="0" w:space="0" w:color="auto"/>
                <w:right w:val="none" w:sz="0" w:space="0" w:color="auto"/>
              </w:divBdr>
              <w:divsChild>
                <w:div w:id="16831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98794">
      <w:bodyDiv w:val="1"/>
      <w:marLeft w:val="0"/>
      <w:marRight w:val="0"/>
      <w:marTop w:val="0"/>
      <w:marBottom w:val="0"/>
      <w:divBdr>
        <w:top w:val="none" w:sz="0" w:space="0" w:color="auto"/>
        <w:left w:val="none" w:sz="0" w:space="0" w:color="auto"/>
        <w:bottom w:val="none" w:sz="0" w:space="0" w:color="auto"/>
        <w:right w:val="none" w:sz="0" w:space="0" w:color="auto"/>
      </w:divBdr>
      <w:divsChild>
        <w:div w:id="1855415238">
          <w:marLeft w:val="0"/>
          <w:marRight w:val="0"/>
          <w:marTop w:val="0"/>
          <w:marBottom w:val="0"/>
          <w:divBdr>
            <w:top w:val="none" w:sz="0" w:space="0" w:color="auto"/>
            <w:left w:val="none" w:sz="0" w:space="0" w:color="auto"/>
            <w:bottom w:val="none" w:sz="0" w:space="0" w:color="auto"/>
            <w:right w:val="none" w:sz="0" w:space="0" w:color="auto"/>
          </w:divBdr>
          <w:divsChild>
            <w:div w:id="2146777809">
              <w:marLeft w:val="0"/>
              <w:marRight w:val="0"/>
              <w:marTop w:val="0"/>
              <w:marBottom w:val="0"/>
              <w:divBdr>
                <w:top w:val="none" w:sz="0" w:space="0" w:color="auto"/>
                <w:left w:val="none" w:sz="0" w:space="0" w:color="auto"/>
                <w:bottom w:val="none" w:sz="0" w:space="0" w:color="auto"/>
                <w:right w:val="none" w:sz="0" w:space="0" w:color="auto"/>
              </w:divBdr>
              <w:divsChild>
                <w:div w:id="7822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040015956">
      <w:bodyDiv w:val="1"/>
      <w:marLeft w:val="0"/>
      <w:marRight w:val="0"/>
      <w:marTop w:val="0"/>
      <w:marBottom w:val="0"/>
      <w:divBdr>
        <w:top w:val="none" w:sz="0" w:space="0" w:color="auto"/>
        <w:left w:val="none" w:sz="0" w:space="0" w:color="auto"/>
        <w:bottom w:val="none" w:sz="0" w:space="0" w:color="auto"/>
        <w:right w:val="none" w:sz="0" w:space="0" w:color="auto"/>
      </w:divBdr>
      <w:divsChild>
        <w:div w:id="1494103966">
          <w:marLeft w:val="0"/>
          <w:marRight w:val="0"/>
          <w:marTop w:val="0"/>
          <w:marBottom w:val="0"/>
          <w:divBdr>
            <w:top w:val="none" w:sz="0" w:space="0" w:color="auto"/>
            <w:left w:val="none" w:sz="0" w:space="0" w:color="auto"/>
            <w:bottom w:val="none" w:sz="0" w:space="0" w:color="auto"/>
            <w:right w:val="none" w:sz="0" w:space="0" w:color="auto"/>
          </w:divBdr>
          <w:divsChild>
            <w:div w:id="1035883351">
              <w:marLeft w:val="0"/>
              <w:marRight w:val="0"/>
              <w:marTop w:val="0"/>
              <w:marBottom w:val="0"/>
              <w:divBdr>
                <w:top w:val="none" w:sz="0" w:space="0" w:color="auto"/>
                <w:left w:val="none" w:sz="0" w:space="0" w:color="auto"/>
                <w:bottom w:val="none" w:sz="0" w:space="0" w:color="auto"/>
                <w:right w:val="none" w:sz="0" w:space="0" w:color="auto"/>
              </w:divBdr>
              <w:divsChild>
                <w:div w:id="761923432">
                  <w:marLeft w:val="0"/>
                  <w:marRight w:val="0"/>
                  <w:marTop w:val="0"/>
                  <w:marBottom w:val="0"/>
                  <w:divBdr>
                    <w:top w:val="none" w:sz="0" w:space="0" w:color="auto"/>
                    <w:left w:val="none" w:sz="0" w:space="0" w:color="auto"/>
                    <w:bottom w:val="none" w:sz="0" w:space="0" w:color="auto"/>
                    <w:right w:val="none" w:sz="0" w:space="0" w:color="auto"/>
                  </w:divBdr>
                  <w:divsChild>
                    <w:div w:id="7918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286535">
      <w:bodyDiv w:val="1"/>
      <w:marLeft w:val="0"/>
      <w:marRight w:val="0"/>
      <w:marTop w:val="0"/>
      <w:marBottom w:val="0"/>
      <w:divBdr>
        <w:top w:val="none" w:sz="0" w:space="0" w:color="auto"/>
        <w:left w:val="none" w:sz="0" w:space="0" w:color="auto"/>
        <w:bottom w:val="none" w:sz="0" w:space="0" w:color="auto"/>
        <w:right w:val="none" w:sz="0" w:space="0" w:color="auto"/>
      </w:divBdr>
      <w:divsChild>
        <w:div w:id="719062985">
          <w:marLeft w:val="0"/>
          <w:marRight w:val="0"/>
          <w:marTop w:val="0"/>
          <w:marBottom w:val="0"/>
          <w:divBdr>
            <w:top w:val="none" w:sz="0" w:space="0" w:color="auto"/>
            <w:left w:val="none" w:sz="0" w:space="0" w:color="auto"/>
            <w:bottom w:val="none" w:sz="0" w:space="0" w:color="auto"/>
            <w:right w:val="none" w:sz="0" w:space="0" w:color="auto"/>
          </w:divBdr>
          <w:divsChild>
            <w:div w:id="1609313304">
              <w:marLeft w:val="0"/>
              <w:marRight w:val="0"/>
              <w:marTop w:val="0"/>
              <w:marBottom w:val="0"/>
              <w:divBdr>
                <w:top w:val="none" w:sz="0" w:space="0" w:color="auto"/>
                <w:left w:val="none" w:sz="0" w:space="0" w:color="auto"/>
                <w:bottom w:val="none" w:sz="0" w:space="0" w:color="auto"/>
                <w:right w:val="none" w:sz="0" w:space="0" w:color="auto"/>
              </w:divBdr>
              <w:divsChild>
                <w:div w:id="18670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17661">
      <w:bodyDiv w:val="1"/>
      <w:marLeft w:val="0"/>
      <w:marRight w:val="0"/>
      <w:marTop w:val="0"/>
      <w:marBottom w:val="0"/>
      <w:divBdr>
        <w:top w:val="none" w:sz="0" w:space="0" w:color="auto"/>
        <w:left w:val="none" w:sz="0" w:space="0" w:color="auto"/>
        <w:bottom w:val="none" w:sz="0" w:space="0" w:color="auto"/>
        <w:right w:val="none" w:sz="0" w:space="0" w:color="auto"/>
      </w:divBdr>
      <w:divsChild>
        <w:div w:id="1526097095">
          <w:marLeft w:val="0"/>
          <w:marRight w:val="0"/>
          <w:marTop w:val="0"/>
          <w:marBottom w:val="0"/>
          <w:divBdr>
            <w:top w:val="none" w:sz="0" w:space="0" w:color="auto"/>
            <w:left w:val="none" w:sz="0" w:space="0" w:color="auto"/>
            <w:bottom w:val="none" w:sz="0" w:space="0" w:color="auto"/>
            <w:right w:val="none" w:sz="0" w:space="0" w:color="auto"/>
          </w:divBdr>
          <w:divsChild>
            <w:div w:id="1545561638">
              <w:marLeft w:val="0"/>
              <w:marRight w:val="0"/>
              <w:marTop w:val="0"/>
              <w:marBottom w:val="0"/>
              <w:divBdr>
                <w:top w:val="none" w:sz="0" w:space="0" w:color="auto"/>
                <w:left w:val="none" w:sz="0" w:space="0" w:color="auto"/>
                <w:bottom w:val="none" w:sz="0" w:space="0" w:color="auto"/>
                <w:right w:val="none" w:sz="0" w:space="0" w:color="auto"/>
              </w:divBdr>
              <w:divsChild>
                <w:div w:id="11582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89598">
      <w:bodyDiv w:val="1"/>
      <w:marLeft w:val="0"/>
      <w:marRight w:val="0"/>
      <w:marTop w:val="0"/>
      <w:marBottom w:val="0"/>
      <w:divBdr>
        <w:top w:val="none" w:sz="0" w:space="0" w:color="auto"/>
        <w:left w:val="none" w:sz="0" w:space="0" w:color="auto"/>
        <w:bottom w:val="none" w:sz="0" w:space="0" w:color="auto"/>
        <w:right w:val="none" w:sz="0" w:space="0" w:color="auto"/>
      </w:divBdr>
      <w:divsChild>
        <w:div w:id="1676566997">
          <w:marLeft w:val="0"/>
          <w:marRight w:val="0"/>
          <w:marTop w:val="0"/>
          <w:marBottom w:val="0"/>
          <w:divBdr>
            <w:top w:val="none" w:sz="0" w:space="0" w:color="auto"/>
            <w:left w:val="none" w:sz="0" w:space="0" w:color="auto"/>
            <w:bottom w:val="none" w:sz="0" w:space="0" w:color="auto"/>
            <w:right w:val="none" w:sz="0" w:space="0" w:color="auto"/>
          </w:divBdr>
          <w:divsChild>
            <w:div w:id="1306931833">
              <w:marLeft w:val="0"/>
              <w:marRight w:val="0"/>
              <w:marTop w:val="0"/>
              <w:marBottom w:val="0"/>
              <w:divBdr>
                <w:top w:val="none" w:sz="0" w:space="0" w:color="auto"/>
                <w:left w:val="none" w:sz="0" w:space="0" w:color="auto"/>
                <w:bottom w:val="none" w:sz="0" w:space="0" w:color="auto"/>
                <w:right w:val="none" w:sz="0" w:space="0" w:color="auto"/>
              </w:divBdr>
              <w:divsChild>
                <w:div w:id="179767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268124817">
      <w:bodyDiv w:val="1"/>
      <w:marLeft w:val="0"/>
      <w:marRight w:val="0"/>
      <w:marTop w:val="0"/>
      <w:marBottom w:val="0"/>
      <w:divBdr>
        <w:top w:val="none" w:sz="0" w:space="0" w:color="auto"/>
        <w:left w:val="none" w:sz="0" w:space="0" w:color="auto"/>
        <w:bottom w:val="none" w:sz="0" w:space="0" w:color="auto"/>
        <w:right w:val="none" w:sz="0" w:space="0" w:color="auto"/>
      </w:divBdr>
      <w:divsChild>
        <w:div w:id="1178546735">
          <w:marLeft w:val="0"/>
          <w:marRight w:val="0"/>
          <w:marTop w:val="0"/>
          <w:marBottom w:val="0"/>
          <w:divBdr>
            <w:top w:val="none" w:sz="0" w:space="0" w:color="auto"/>
            <w:left w:val="none" w:sz="0" w:space="0" w:color="auto"/>
            <w:bottom w:val="none" w:sz="0" w:space="0" w:color="auto"/>
            <w:right w:val="none" w:sz="0" w:space="0" w:color="auto"/>
          </w:divBdr>
          <w:divsChild>
            <w:div w:id="159779589">
              <w:marLeft w:val="0"/>
              <w:marRight w:val="0"/>
              <w:marTop w:val="0"/>
              <w:marBottom w:val="0"/>
              <w:divBdr>
                <w:top w:val="none" w:sz="0" w:space="0" w:color="auto"/>
                <w:left w:val="none" w:sz="0" w:space="0" w:color="auto"/>
                <w:bottom w:val="none" w:sz="0" w:space="0" w:color="auto"/>
                <w:right w:val="none" w:sz="0" w:space="0" w:color="auto"/>
              </w:divBdr>
              <w:divsChild>
                <w:div w:id="8597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846666">
      <w:bodyDiv w:val="1"/>
      <w:marLeft w:val="0"/>
      <w:marRight w:val="0"/>
      <w:marTop w:val="0"/>
      <w:marBottom w:val="0"/>
      <w:divBdr>
        <w:top w:val="none" w:sz="0" w:space="0" w:color="auto"/>
        <w:left w:val="none" w:sz="0" w:space="0" w:color="auto"/>
        <w:bottom w:val="none" w:sz="0" w:space="0" w:color="auto"/>
        <w:right w:val="none" w:sz="0" w:space="0" w:color="auto"/>
      </w:divBdr>
      <w:divsChild>
        <w:div w:id="669868878">
          <w:marLeft w:val="0"/>
          <w:marRight w:val="0"/>
          <w:marTop w:val="0"/>
          <w:marBottom w:val="0"/>
          <w:divBdr>
            <w:top w:val="none" w:sz="0" w:space="0" w:color="auto"/>
            <w:left w:val="none" w:sz="0" w:space="0" w:color="auto"/>
            <w:bottom w:val="none" w:sz="0" w:space="0" w:color="auto"/>
            <w:right w:val="none" w:sz="0" w:space="0" w:color="auto"/>
          </w:divBdr>
          <w:divsChild>
            <w:div w:id="1544756217">
              <w:marLeft w:val="0"/>
              <w:marRight w:val="0"/>
              <w:marTop w:val="0"/>
              <w:marBottom w:val="0"/>
              <w:divBdr>
                <w:top w:val="none" w:sz="0" w:space="0" w:color="auto"/>
                <w:left w:val="none" w:sz="0" w:space="0" w:color="auto"/>
                <w:bottom w:val="none" w:sz="0" w:space="0" w:color="auto"/>
                <w:right w:val="none" w:sz="0" w:space="0" w:color="auto"/>
              </w:divBdr>
              <w:divsChild>
                <w:div w:id="811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62161">
      <w:bodyDiv w:val="1"/>
      <w:marLeft w:val="0"/>
      <w:marRight w:val="0"/>
      <w:marTop w:val="0"/>
      <w:marBottom w:val="0"/>
      <w:divBdr>
        <w:top w:val="none" w:sz="0" w:space="0" w:color="auto"/>
        <w:left w:val="none" w:sz="0" w:space="0" w:color="auto"/>
        <w:bottom w:val="none" w:sz="0" w:space="0" w:color="auto"/>
        <w:right w:val="none" w:sz="0" w:space="0" w:color="auto"/>
      </w:divBdr>
      <w:divsChild>
        <w:div w:id="1310210651">
          <w:marLeft w:val="0"/>
          <w:marRight w:val="0"/>
          <w:marTop w:val="0"/>
          <w:marBottom w:val="0"/>
          <w:divBdr>
            <w:top w:val="none" w:sz="0" w:space="0" w:color="auto"/>
            <w:left w:val="none" w:sz="0" w:space="0" w:color="auto"/>
            <w:bottom w:val="none" w:sz="0" w:space="0" w:color="auto"/>
            <w:right w:val="none" w:sz="0" w:space="0" w:color="auto"/>
          </w:divBdr>
          <w:divsChild>
            <w:div w:id="590700196">
              <w:marLeft w:val="0"/>
              <w:marRight w:val="0"/>
              <w:marTop w:val="0"/>
              <w:marBottom w:val="0"/>
              <w:divBdr>
                <w:top w:val="none" w:sz="0" w:space="0" w:color="auto"/>
                <w:left w:val="none" w:sz="0" w:space="0" w:color="auto"/>
                <w:bottom w:val="none" w:sz="0" w:space="0" w:color="auto"/>
                <w:right w:val="none" w:sz="0" w:space="0" w:color="auto"/>
              </w:divBdr>
              <w:divsChild>
                <w:div w:id="16238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937814">
      <w:bodyDiv w:val="1"/>
      <w:marLeft w:val="0"/>
      <w:marRight w:val="0"/>
      <w:marTop w:val="0"/>
      <w:marBottom w:val="0"/>
      <w:divBdr>
        <w:top w:val="none" w:sz="0" w:space="0" w:color="auto"/>
        <w:left w:val="none" w:sz="0" w:space="0" w:color="auto"/>
        <w:bottom w:val="none" w:sz="0" w:space="0" w:color="auto"/>
        <w:right w:val="none" w:sz="0" w:space="0" w:color="auto"/>
      </w:divBdr>
      <w:divsChild>
        <w:div w:id="1223058314">
          <w:marLeft w:val="0"/>
          <w:marRight w:val="0"/>
          <w:marTop w:val="0"/>
          <w:marBottom w:val="0"/>
          <w:divBdr>
            <w:top w:val="none" w:sz="0" w:space="0" w:color="auto"/>
            <w:left w:val="none" w:sz="0" w:space="0" w:color="auto"/>
            <w:bottom w:val="none" w:sz="0" w:space="0" w:color="auto"/>
            <w:right w:val="none" w:sz="0" w:space="0" w:color="auto"/>
          </w:divBdr>
          <w:divsChild>
            <w:div w:id="135921682">
              <w:marLeft w:val="0"/>
              <w:marRight w:val="0"/>
              <w:marTop w:val="0"/>
              <w:marBottom w:val="0"/>
              <w:divBdr>
                <w:top w:val="none" w:sz="0" w:space="0" w:color="auto"/>
                <w:left w:val="none" w:sz="0" w:space="0" w:color="auto"/>
                <w:bottom w:val="none" w:sz="0" w:space="0" w:color="auto"/>
                <w:right w:val="none" w:sz="0" w:space="0" w:color="auto"/>
              </w:divBdr>
              <w:divsChild>
                <w:div w:id="17145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77336">
      <w:bodyDiv w:val="1"/>
      <w:marLeft w:val="0"/>
      <w:marRight w:val="0"/>
      <w:marTop w:val="0"/>
      <w:marBottom w:val="0"/>
      <w:divBdr>
        <w:top w:val="none" w:sz="0" w:space="0" w:color="auto"/>
        <w:left w:val="none" w:sz="0" w:space="0" w:color="auto"/>
        <w:bottom w:val="none" w:sz="0" w:space="0" w:color="auto"/>
        <w:right w:val="none" w:sz="0" w:space="0" w:color="auto"/>
      </w:divBdr>
      <w:divsChild>
        <w:div w:id="1189372296">
          <w:marLeft w:val="0"/>
          <w:marRight w:val="0"/>
          <w:marTop w:val="0"/>
          <w:marBottom w:val="0"/>
          <w:divBdr>
            <w:top w:val="none" w:sz="0" w:space="0" w:color="auto"/>
            <w:left w:val="none" w:sz="0" w:space="0" w:color="auto"/>
            <w:bottom w:val="none" w:sz="0" w:space="0" w:color="auto"/>
            <w:right w:val="none" w:sz="0" w:space="0" w:color="auto"/>
          </w:divBdr>
          <w:divsChild>
            <w:div w:id="1434204196">
              <w:marLeft w:val="0"/>
              <w:marRight w:val="0"/>
              <w:marTop w:val="0"/>
              <w:marBottom w:val="0"/>
              <w:divBdr>
                <w:top w:val="none" w:sz="0" w:space="0" w:color="auto"/>
                <w:left w:val="none" w:sz="0" w:space="0" w:color="auto"/>
                <w:bottom w:val="none" w:sz="0" w:space="0" w:color="auto"/>
                <w:right w:val="none" w:sz="0" w:space="0" w:color="auto"/>
              </w:divBdr>
              <w:divsChild>
                <w:div w:id="19336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40101591">
      <w:bodyDiv w:val="1"/>
      <w:marLeft w:val="0"/>
      <w:marRight w:val="0"/>
      <w:marTop w:val="0"/>
      <w:marBottom w:val="0"/>
      <w:divBdr>
        <w:top w:val="none" w:sz="0" w:space="0" w:color="auto"/>
        <w:left w:val="none" w:sz="0" w:space="0" w:color="auto"/>
        <w:bottom w:val="none" w:sz="0" w:space="0" w:color="auto"/>
        <w:right w:val="none" w:sz="0" w:space="0" w:color="auto"/>
      </w:divBdr>
      <w:divsChild>
        <w:div w:id="1295018747">
          <w:marLeft w:val="0"/>
          <w:marRight w:val="0"/>
          <w:marTop w:val="0"/>
          <w:marBottom w:val="0"/>
          <w:divBdr>
            <w:top w:val="none" w:sz="0" w:space="0" w:color="auto"/>
            <w:left w:val="none" w:sz="0" w:space="0" w:color="auto"/>
            <w:bottom w:val="none" w:sz="0" w:space="0" w:color="auto"/>
            <w:right w:val="none" w:sz="0" w:space="0" w:color="auto"/>
          </w:divBdr>
          <w:divsChild>
            <w:div w:id="237521740">
              <w:marLeft w:val="0"/>
              <w:marRight w:val="0"/>
              <w:marTop w:val="0"/>
              <w:marBottom w:val="0"/>
              <w:divBdr>
                <w:top w:val="none" w:sz="0" w:space="0" w:color="auto"/>
                <w:left w:val="none" w:sz="0" w:space="0" w:color="auto"/>
                <w:bottom w:val="none" w:sz="0" w:space="0" w:color="auto"/>
                <w:right w:val="none" w:sz="0" w:space="0" w:color="auto"/>
              </w:divBdr>
              <w:divsChild>
                <w:div w:id="11342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6806">
      <w:bodyDiv w:val="1"/>
      <w:marLeft w:val="0"/>
      <w:marRight w:val="0"/>
      <w:marTop w:val="0"/>
      <w:marBottom w:val="0"/>
      <w:divBdr>
        <w:top w:val="none" w:sz="0" w:space="0" w:color="auto"/>
        <w:left w:val="none" w:sz="0" w:space="0" w:color="auto"/>
        <w:bottom w:val="none" w:sz="0" w:space="0" w:color="auto"/>
        <w:right w:val="none" w:sz="0" w:space="0" w:color="auto"/>
      </w:divBdr>
      <w:divsChild>
        <w:div w:id="927344858">
          <w:marLeft w:val="0"/>
          <w:marRight w:val="0"/>
          <w:marTop w:val="0"/>
          <w:marBottom w:val="0"/>
          <w:divBdr>
            <w:top w:val="none" w:sz="0" w:space="0" w:color="auto"/>
            <w:left w:val="none" w:sz="0" w:space="0" w:color="auto"/>
            <w:bottom w:val="none" w:sz="0" w:space="0" w:color="auto"/>
            <w:right w:val="none" w:sz="0" w:space="0" w:color="auto"/>
          </w:divBdr>
          <w:divsChild>
            <w:div w:id="804398047">
              <w:marLeft w:val="0"/>
              <w:marRight w:val="0"/>
              <w:marTop w:val="0"/>
              <w:marBottom w:val="0"/>
              <w:divBdr>
                <w:top w:val="none" w:sz="0" w:space="0" w:color="auto"/>
                <w:left w:val="none" w:sz="0" w:space="0" w:color="auto"/>
                <w:bottom w:val="none" w:sz="0" w:space="0" w:color="auto"/>
                <w:right w:val="none" w:sz="0" w:space="0" w:color="auto"/>
              </w:divBdr>
              <w:divsChild>
                <w:div w:id="10821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473061404">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632589335">
      <w:bodyDiv w:val="1"/>
      <w:marLeft w:val="0"/>
      <w:marRight w:val="0"/>
      <w:marTop w:val="0"/>
      <w:marBottom w:val="0"/>
      <w:divBdr>
        <w:top w:val="none" w:sz="0" w:space="0" w:color="auto"/>
        <w:left w:val="none" w:sz="0" w:space="0" w:color="auto"/>
        <w:bottom w:val="none" w:sz="0" w:space="0" w:color="auto"/>
        <w:right w:val="none" w:sz="0" w:space="0" w:color="auto"/>
      </w:divBdr>
      <w:divsChild>
        <w:div w:id="1363166649">
          <w:marLeft w:val="0"/>
          <w:marRight w:val="0"/>
          <w:marTop w:val="0"/>
          <w:marBottom w:val="0"/>
          <w:divBdr>
            <w:top w:val="none" w:sz="0" w:space="0" w:color="auto"/>
            <w:left w:val="none" w:sz="0" w:space="0" w:color="auto"/>
            <w:bottom w:val="none" w:sz="0" w:space="0" w:color="auto"/>
            <w:right w:val="none" w:sz="0" w:space="0" w:color="auto"/>
          </w:divBdr>
          <w:divsChild>
            <w:div w:id="619603427">
              <w:marLeft w:val="0"/>
              <w:marRight w:val="0"/>
              <w:marTop w:val="0"/>
              <w:marBottom w:val="0"/>
              <w:divBdr>
                <w:top w:val="none" w:sz="0" w:space="0" w:color="auto"/>
                <w:left w:val="none" w:sz="0" w:space="0" w:color="auto"/>
                <w:bottom w:val="none" w:sz="0" w:space="0" w:color="auto"/>
                <w:right w:val="none" w:sz="0" w:space="0" w:color="auto"/>
              </w:divBdr>
              <w:divsChild>
                <w:div w:id="7444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02011">
      <w:bodyDiv w:val="1"/>
      <w:marLeft w:val="0"/>
      <w:marRight w:val="0"/>
      <w:marTop w:val="0"/>
      <w:marBottom w:val="0"/>
      <w:divBdr>
        <w:top w:val="none" w:sz="0" w:space="0" w:color="auto"/>
        <w:left w:val="none" w:sz="0" w:space="0" w:color="auto"/>
        <w:bottom w:val="none" w:sz="0" w:space="0" w:color="auto"/>
        <w:right w:val="none" w:sz="0" w:space="0" w:color="auto"/>
      </w:divBdr>
      <w:divsChild>
        <w:div w:id="2024697843">
          <w:marLeft w:val="0"/>
          <w:marRight w:val="0"/>
          <w:marTop w:val="0"/>
          <w:marBottom w:val="0"/>
          <w:divBdr>
            <w:top w:val="none" w:sz="0" w:space="0" w:color="auto"/>
            <w:left w:val="none" w:sz="0" w:space="0" w:color="auto"/>
            <w:bottom w:val="none" w:sz="0" w:space="0" w:color="auto"/>
            <w:right w:val="none" w:sz="0" w:space="0" w:color="auto"/>
          </w:divBdr>
          <w:divsChild>
            <w:div w:id="1460370514">
              <w:marLeft w:val="0"/>
              <w:marRight w:val="0"/>
              <w:marTop w:val="0"/>
              <w:marBottom w:val="0"/>
              <w:divBdr>
                <w:top w:val="none" w:sz="0" w:space="0" w:color="auto"/>
                <w:left w:val="none" w:sz="0" w:space="0" w:color="auto"/>
                <w:bottom w:val="none" w:sz="0" w:space="0" w:color="auto"/>
                <w:right w:val="none" w:sz="0" w:space="0" w:color="auto"/>
              </w:divBdr>
              <w:divsChild>
                <w:div w:id="17706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80890">
      <w:bodyDiv w:val="1"/>
      <w:marLeft w:val="0"/>
      <w:marRight w:val="0"/>
      <w:marTop w:val="0"/>
      <w:marBottom w:val="0"/>
      <w:divBdr>
        <w:top w:val="none" w:sz="0" w:space="0" w:color="auto"/>
        <w:left w:val="none" w:sz="0" w:space="0" w:color="auto"/>
        <w:bottom w:val="none" w:sz="0" w:space="0" w:color="auto"/>
        <w:right w:val="none" w:sz="0" w:space="0" w:color="auto"/>
      </w:divBdr>
      <w:divsChild>
        <w:div w:id="439764763">
          <w:marLeft w:val="0"/>
          <w:marRight w:val="0"/>
          <w:marTop w:val="0"/>
          <w:marBottom w:val="0"/>
          <w:divBdr>
            <w:top w:val="none" w:sz="0" w:space="0" w:color="auto"/>
            <w:left w:val="none" w:sz="0" w:space="0" w:color="auto"/>
            <w:bottom w:val="none" w:sz="0" w:space="0" w:color="auto"/>
            <w:right w:val="none" w:sz="0" w:space="0" w:color="auto"/>
          </w:divBdr>
          <w:divsChild>
            <w:div w:id="315645903">
              <w:marLeft w:val="0"/>
              <w:marRight w:val="0"/>
              <w:marTop w:val="0"/>
              <w:marBottom w:val="0"/>
              <w:divBdr>
                <w:top w:val="none" w:sz="0" w:space="0" w:color="auto"/>
                <w:left w:val="none" w:sz="0" w:space="0" w:color="auto"/>
                <w:bottom w:val="none" w:sz="0" w:space="0" w:color="auto"/>
                <w:right w:val="none" w:sz="0" w:space="0" w:color="auto"/>
              </w:divBdr>
              <w:divsChild>
                <w:div w:id="6333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4114">
      <w:bodyDiv w:val="1"/>
      <w:marLeft w:val="0"/>
      <w:marRight w:val="0"/>
      <w:marTop w:val="0"/>
      <w:marBottom w:val="0"/>
      <w:divBdr>
        <w:top w:val="none" w:sz="0" w:space="0" w:color="auto"/>
        <w:left w:val="none" w:sz="0" w:space="0" w:color="auto"/>
        <w:bottom w:val="none" w:sz="0" w:space="0" w:color="auto"/>
        <w:right w:val="none" w:sz="0" w:space="0" w:color="auto"/>
      </w:divBdr>
      <w:divsChild>
        <w:div w:id="637415363">
          <w:marLeft w:val="0"/>
          <w:marRight w:val="0"/>
          <w:marTop w:val="0"/>
          <w:marBottom w:val="0"/>
          <w:divBdr>
            <w:top w:val="none" w:sz="0" w:space="0" w:color="auto"/>
            <w:left w:val="none" w:sz="0" w:space="0" w:color="auto"/>
            <w:bottom w:val="none" w:sz="0" w:space="0" w:color="auto"/>
            <w:right w:val="none" w:sz="0" w:space="0" w:color="auto"/>
          </w:divBdr>
        </w:div>
      </w:divsChild>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1822964705">
      <w:bodyDiv w:val="1"/>
      <w:marLeft w:val="0"/>
      <w:marRight w:val="0"/>
      <w:marTop w:val="0"/>
      <w:marBottom w:val="0"/>
      <w:divBdr>
        <w:top w:val="none" w:sz="0" w:space="0" w:color="auto"/>
        <w:left w:val="none" w:sz="0" w:space="0" w:color="auto"/>
        <w:bottom w:val="none" w:sz="0" w:space="0" w:color="auto"/>
        <w:right w:val="none" w:sz="0" w:space="0" w:color="auto"/>
      </w:divBdr>
      <w:divsChild>
        <w:div w:id="936140025">
          <w:marLeft w:val="0"/>
          <w:marRight w:val="0"/>
          <w:marTop w:val="0"/>
          <w:marBottom w:val="0"/>
          <w:divBdr>
            <w:top w:val="none" w:sz="0" w:space="0" w:color="auto"/>
            <w:left w:val="none" w:sz="0" w:space="0" w:color="auto"/>
            <w:bottom w:val="none" w:sz="0" w:space="0" w:color="auto"/>
            <w:right w:val="none" w:sz="0" w:space="0" w:color="auto"/>
          </w:divBdr>
        </w:div>
      </w:divsChild>
    </w:div>
    <w:div w:id="1850099021">
      <w:bodyDiv w:val="1"/>
      <w:marLeft w:val="0"/>
      <w:marRight w:val="0"/>
      <w:marTop w:val="0"/>
      <w:marBottom w:val="0"/>
      <w:divBdr>
        <w:top w:val="none" w:sz="0" w:space="0" w:color="auto"/>
        <w:left w:val="none" w:sz="0" w:space="0" w:color="auto"/>
        <w:bottom w:val="none" w:sz="0" w:space="0" w:color="auto"/>
        <w:right w:val="none" w:sz="0" w:space="0" w:color="auto"/>
      </w:divBdr>
      <w:divsChild>
        <w:div w:id="1577594909">
          <w:marLeft w:val="0"/>
          <w:marRight w:val="0"/>
          <w:marTop w:val="0"/>
          <w:marBottom w:val="0"/>
          <w:divBdr>
            <w:top w:val="none" w:sz="0" w:space="0" w:color="auto"/>
            <w:left w:val="none" w:sz="0" w:space="0" w:color="auto"/>
            <w:bottom w:val="none" w:sz="0" w:space="0" w:color="auto"/>
            <w:right w:val="none" w:sz="0" w:space="0" w:color="auto"/>
          </w:divBdr>
          <w:divsChild>
            <w:div w:id="164052692">
              <w:marLeft w:val="0"/>
              <w:marRight w:val="0"/>
              <w:marTop w:val="0"/>
              <w:marBottom w:val="0"/>
              <w:divBdr>
                <w:top w:val="none" w:sz="0" w:space="0" w:color="auto"/>
                <w:left w:val="none" w:sz="0" w:space="0" w:color="auto"/>
                <w:bottom w:val="none" w:sz="0" w:space="0" w:color="auto"/>
                <w:right w:val="none" w:sz="0" w:space="0" w:color="auto"/>
              </w:divBdr>
              <w:divsChild>
                <w:div w:id="16973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5576">
      <w:bodyDiv w:val="1"/>
      <w:marLeft w:val="0"/>
      <w:marRight w:val="0"/>
      <w:marTop w:val="0"/>
      <w:marBottom w:val="0"/>
      <w:divBdr>
        <w:top w:val="none" w:sz="0" w:space="0" w:color="auto"/>
        <w:left w:val="none" w:sz="0" w:space="0" w:color="auto"/>
        <w:bottom w:val="none" w:sz="0" w:space="0" w:color="auto"/>
        <w:right w:val="none" w:sz="0" w:space="0" w:color="auto"/>
      </w:divBdr>
      <w:divsChild>
        <w:div w:id="1370643432">
          <w:marLeft w:val="0"/>
          <w:marRight w:val="0"/>
          <w:marTop w:val="0"/>
          <w:marBottom w:val="0"/>
          <w:divBdr>
            <w:top w:val="none" w:sz="0" w:space="0" w:color="auto"/>
            <w:left w:val="none" w:sz="0" w:space="0" w:color="auto"/>
            <w:bottom w:val="none" w:sz="0" w:space="0" w:color="auto"/>
            <w:right w:val="none" w:sz="0" w:space="0" w:color="auto"/>
          </w:divBdr>
          <w:divsChild>
            <w:div w:id="1184592105">
              <w:marLeft w:val="0"/>
              <w:marRight w:val="0"/>
              <w:marTop w:val="0"/>
              <w:marBottom w:val="0"/>
              <w:divBdr>
                <w:top w:val="none" w:sz="0" w:space="0" w:color="auto"/>
                <w:left w:val="none" w:sz="0" w:space="0" w:color="auto"/>
                <w:bottom w:val="none" w:sz="0" w:space="0" w:color="auto"/>
                <w:right w:val="none" w:sz="0" w:space="0" w:color="auto"/>
              </w:divBdr>
              <w:divsChild>
                <w:div w:id="12127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1210">
      <w:bodyDiv w:val="1"/>
      <w:marLeft w:val="0"/>
      <w:marRight w:val="0"/>
      <w:marTop w:val="0"/>
      <w:marBottom w:val="0"/>
      <w:divBdr>
        <w:top w:val="none" w:sz="0" w:space="0" w:color="auto"/>
        <w:left w:val="none" w:sz="0" w:space="0" w:color="auto"/>
        <w:bottom w:val="none" w:sz="0" w:space="0" w:color="auto"/>
        <w:right w:val="none" w:sz="0" w:space="0" w:color="auto"/>
      </w:divBdr>
      <w:divsChild>
        <w:div w:id="2009940736">
          <w:marLeft w:val="0"/>
          <w:marRight w:val="0"/>
          <w:marTop w:val="0"/>
          <w:marBottom w:val="0"/>
          <w:divBdr>
            <w:top w:val="none" w:sz="0" w:space="0" w:color="auto"/>
            <w:left w:val="none" w:sz="0" w:space="0" w:color="auto"/>
            <w:bottom w:val="none" w:sz="0" w:space="0" w:color="auto"/>
            <w:right w:val="none" w:sz="0" w:space="0" w:color="auto"/>
          </w:divBdr>
        </w:div>
      </w:divsChild>
    </w:div>
    <w:div w:id="2007899087">
      <w:bodyDiv w:val="1"/>
      <w:marLeft w:val="0"/>
      <w:marRight w:val="0"/>
      <w:marTop w:val="0"/>
      <w:marBottom w:val="0"/>
      <w:divBdr>
        <w:top w:val="none" w:sz="0" w:space="0" w:color="auto"/>
        <w:left w:val="none" w:sz="0" w:space="0" w:color="auto"/>
        <w:bottom w:val="none" w:sz="0" w:space="0" w:color="auto"/>
        <w:right w:val="none" w:sz="0" w:space="0" w:color="auto"/>
      </w:divBdr>
      <w:divsChild>
        <w:div w:id="412819691">
          <w:marLeft w:val="0"/>
          <w:marRight w:val="0"/>
          <w:marTop w:val="0"/>
          <w:marBottom w:val="0"/>
          <w:divBdr>
            <w:top w:val="none" w:sz="0" w:space="0" w:color="auto"/>
            <w:left w:val="none" w:sz="0" w:space="0" w:color="auto"/>
            <w:bottom w:val="none" w:sz="0" w:space="0" w:color="auto"/>
            <w:right w:val="none" w:sz="0" w:space="0" w:color="auto"/>
          </w:divBdr>
          <w:divsChild>
            <w:div w:id="1309435141">
              <w:marLeft w:val="0"/>
              <w:marRight w:val="0"/>
              <w:marTop w:val="0"/>
              <w:marBottom w:val="0"/>
              <w:divBdr>
                <w:top w:val="none" w:sz="0" w:space="0" w:color="auto"/>
                <w:left w:val="none" w:sz="0" w:space="0" w:color="auto"/>
                <w:bottom w:val="none" w:sz="0" w:space="0" w:color="auto"/>
                <w:right w:val="none" w:sz="0" w:space="0" w:color="auto"/>
              </w:divBdr>
              <w:divsChild>
                <w:div w:id="262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069299955">
      <w:bodyDiv w:val="1"/>
      <w:marLeft w:val="0"/>
      <w:marRight w:val="0"/>
      <w:marTop w:val="0"/>
      <w:marBottom w:val="0"/>
      <w:divBdr>
        <w:top w:val="none" w:sz="0" w:space="0" w:color="auto"/>
        <w:left w:val="none" w:sz="0" w:space="0" w:color="auto"/>
        <w:bottom w:val="none" w:sz="0" w:space="0" w:color="auto"/>
        <w:right w:val="none" w:sz="0" w:space="0" w:color="auto"/>
      </w:divBdr>
      <w:divsChild>
        <w:div w:id="941841151">
          <w:marLeft w:val="0"/>
          <w:marRight w:val="0"/>
          <w:marTop w:val="0"/>
          <w:marBottom w:val="0"/>
          <w:divBdr>
            <w:top w:val="none" w:sz="0" w:space="0" w:color="auto"/>
            <w:left w:val="none" w:sz="0" w:space="0" w:color="auto"/>
            <w:bottom w:val="none" w:sz="0" w:space="0" w:color="auto"/>
            <w:right w:val="none" w:sz="0" w:space="0" w:color="auto"/>
          </w:divBdr>
          <w:divsChild>
            <w:div w:id="215359642">
              <w:marLeft w:val="0"/>
              <w:marRight w:val="0"/>
              <w:marTop w:val="0"/>
              <w:marBottom w:val="0"/>
              <w:divBdr>
                <w:top w:val="none" w:sz="0" w:space="0" w:color="auto"/>
                <w:left w:val="none" w:sz="0" w:space="0" w:color="auto"/>
                <w:bottom w:val="none" w:sz="0" w:space="0" w:color="auto"/>
                <w:right w:val="none" w:sz="0" w:space="0" w:color="auto"/>
              </w:divBdr>
              <w:divsChild>
                <w:div w:id="18953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7232">
      <w:bodyDiv w:val="1"/>
      <w:marLeft w:val="0"/>
      <w:marRight w:val="0"/>
      <w:marTop w:val="0"/>
      <w:marBottom w:val="0"/>
      <w:divBdr>
        <w:top w:val="none" w:sz="0" w:space="0" w:color="auto"/>
        <w:left w:val="none" w:sz="0" w:space="0" w:color="auto"/>
        <w:bottom w:val="none" w:sz="0" w:space="0" w:color="auto"/>
        <w:right w:val="none" w:sz="0" w:space="0" w:color="auto"/>
      </w:divBdr>
      <w:divsChild>
        <w:div w:id="2104179983">
          <w:marLeft w:val="0"/>
          <w:marRight w:val="0"/>
          <w:marTop w:val="0"/>
          <w:marBottom w:val="0"/>
          <w:divBdr>
            <w:top w:val="none" w:sz="0" w:space="0" w:color="auto"/>
            <w:left w:val="none" w:sz="0" w:space="0" w:color="auto"/>
            <w:bottom w:val="none" w:sz="0" w:space="0" w:color="auto"/>
            <w:right w:val="none" w:sz="0" w:space="0" w:color="auto"/>
          </w:divBdr>
          <w:divsChild>
            <w:div w:id="330986117">
              <w:marLeft w:val="0"/>
              <w:marRight w:val="0"/>
              <w:marTop w:val="0"/>
              <w:marBottom w:val="0"/>
              <w:divBdr>
                <w:top w:val="none" w:sz="0" w:space="0" w:color="auto"/>
                <w:left w:val="none" w:sz="0" w:space="0" w:color="auto"/>
                <w:bottom w:val="none" w:sz="0" w:space="0" w:color="auto"/>
                <w:right w:val="none" w:sz="0" w:space="0" w:color="auto"/>
              </w:divBdr>
              <w:divsChild>
                <w:div w:id="148658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https://www.england.nhs.uk/wp-content/uploads/2021/05/HBN_00-01-2.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hina.lad.13@ucl.ac.uk" TargetMode="External"/><Relationship Id="rId17" Type="http://schemas.openxmlformats.org/officeDocument/2006/relationships/hyperlink" Target="https://healthfacilityguidelines.com.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ealthfacilityguidelines.com.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chrysikou@ucl.ac.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mailto:elenatsiantou@gmail.com" TargetMode="External"/><Relationship Id="rId19" Type="http://schemas.openxmlformats.org/officeDocument/2006/relationships/hyperlink" Target="https://fgiguidelines.org/wp-content/uploads/2015/08/2001guidelin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Create a new document." ma:contentTypeScope="" ma:versionID="2c8f3bf137d826df336a9e1d7abbadf2">
  <xsd:schema xmlns:xsd="http://www.w3.org/2001/XMLSchema" xmlns:xs="http://www.w3.org/2001/XMLSchema" xmlns:p="http://schemas.microsoft.com/office/2006/metadata/properties" xmlns:ns2="67c15d2d-f8be-4a85-8e2d-170f51619020" targetNamespace="http://schemas.microsoft.com/office/2006/metadata/properties" ma:root="true" ma:fieldsID="80b2c922e76f2fd5bb540473be454357"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C7EAA1-11D4-476F-866D-96D4212BBD1A}">
  <ds:schemaRefs>
    <ds:schemaRef ds:uri="http://schemas.microsoft.com/sharepoint/v3/contenttype/forms"/>
  </ds:schemaRefs>
</ds:datastoreItem>
</file>

<file path=customXml/itemProps2.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C1D676-C423-4F48-8F1F-D2DEC60F1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6</Pages>
  <Words>2683</Words>
  <Characters>15297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elena tsi</cp:lastModifiedBy>
  <cp:revision>68</cp:revision>
  <dcterms:created xsi:type="dcterms:W3CDTF">2021-11-24T09:56:00Z</dcterms:created>
  <dcterms:modified xsi:type="dcterms:W3CDTF">2022-07-15T17:19:00Z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ies>
</file>