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2D0CEE" w14:textId="40FE7AA5" w:rsidR="00A86E9F" w:rsidRPr="0021700B" w:rsidRDefault="00A86E9F" w:rsidP="06E4EE12">
      <w:pPr>
        <w:pStyle w:val="MDPI11articletype"/>
        <w:rPr>
          <w:rFonts w:ascii="Georgia" w:eastAsiaTheme="minorEastAsia" w:hAnsi="Georgia" w:cs="Arial"/>
          <w:i w:val="0"/>
          <w:sz w:val="18"/>
          <w:szCs w:val="18"/>
        </w:rPr>
      </w:pPr>
      <w:r w:rsidRPr="0021700B">
        <w:rPr>
          <w:rFonts w:ascii="Georgia" w:eastAsiaTheme="minorEastAsia" w:hAnsi="Georgia" w:cs="Arial"/>
          <w:i w:val="0"/>
          <w:sz w:val="18"/>
          <w:szCs w:val="18"/>
        </w:rPr>
        <w:t>Type of the Paper</w:t>
      </w:r>
      <w:r w:rsidR="004752C1" w:rsidRPr="0021700B">
        <w:rPr>
          <w:rFonts w:ascii="Georgia" w:eastAsiaTheme="minorEastAsia" w:hAnsi="Georgia" w:cs="Arial"/>
          <w:i w:val="0"/>
          <w:sz w:val="18"/>
          <w:szCs w:val="18"/>
        </w:rPr>
        <w:t xml:space="preserve">: </w:t>
      </w:r>
      <w:r w:rsidR="009B16DB" w:rsidRPr="0021700B">
        <w:rPr>
          <w:rFonts w:ascii="Georgia" w:eastAsiaTheme="minorEastAsia" w:hAnsi="Georgia" w:cs="Arial"/>
          <w:i w:val="0"/>
          <w:sz w:val="18"/>
          <w:szCs w:val="18"/>
        </w:rPr>
        <w:t xml:space="preserve">Peer-reviewed Conference Paper </w:t>
      </w:r>
      <w:r w:rsidR="3ED7D62B" w:rsidRPr="0021700B">
        <w:rPr>
          <w:rFonts w:ascii="Georgia" w:eastAsiaTheme="minorEastAsia" w:hAnsi="Georgia" w:cs="Arial"/>
          <w:i w:val="0"/>
          <w:sz w:val="18"/>
          <w:szCs w:val="18"/>
        </w:rPr>
        <w:t>/</w:t>
      </w:r>
      <w:r w:rsidR="068D4D45" w:rsidRPr="0021700B">
        <w:rPr>
          <w:rFonts w:ascii="Georgia" w:eastAsiaTheme="minorEastAsia" w:hAnsi="Georgia" w:cs="Arial"/>
          <w:i w:val="0"/>
          <w:sz w:val="18"/>
          <w:szCs w:val="18"/>
        </w:rPr>
        <w:t xml:space="preserve"> </w:t>
      </w:r>
      <w:r w:rsidR="00206552" w:rsidRPr="0021700B">
        <w:rPr>
          <w:rFonts w:ascii="Georgia" w:eastAsiaTheme="minorEastAsia" w:hAnsi="Georgia" w:cs="Arial"/>
          <w:i w:val="0"/>
          <w:sz w:val="18"/>
          <w:szCs w:val="18"/>
        </w:rPr>
        <w:t xml:space="preserve">Full </w:t>
      </w:r>
      <w:r w:rsidR="33E51B6E" w:rsidRPr="0021700B">
        <w:rPr>
          <w:rFonts w:ascii="Georgia" w:eastAsiaTheme="minorEastAsia" w:hAnsi="Georgia" w:cs="Arial"/>
          <w:i w:val="0"/>
          <w:sz w:val="18"/>
          <w:szCs w:val="18"/>
        </w:rPr>
        <w:t>P</w:t>
      </w:r>
      <w:r w:rsidR="00206552" w:rsidRPr="0021700B">
        <w:rPr>
          <w:rFonts w:ascii="Georgia" w:eastAsiaTheme="minorEastAsia" w:hAnsi="Georgia" w:cs="Arial"/>
          <w:i w:val="0"/>
          <w:sz w:val="18"/>
          <w:szCs w:val="18"/>
        </w:rPr>
        <w:t>aper</w:t>
      </w:r>
    </w:p>
    <w:p w14:paraId="37C53096" w14:textId="60F6FCE5" w:rsidR="004752C1" w:rsidRPr="005C6417" w:rsidRDefault="004752C1" w:rsidP="004752C1">
      <w:pPr>
        <w:pStyle w:val="MDPI11articletype"/>
        <w:rPr>
          <w:rFonts w:ascii="Georgia" w:eastAsiaTheme="minorEastAsia" w:hAnsi="Georgia" w:cs="Arial"/>
          <w:i w:val="0"/>
        </w:rPr>
      </w:pPr>
      <w:r w:rsidRPr="0021700B">
        <w:rPr>
          <w:rFonts w:ascii="Georgia" w:eastAsiaTheme="minorEastAsia" w:hAnsi="Georgia" w:cs="Arial"/>
          <w:i w:val="0"/>
        </w:rPr>
        <w:t>Track title:</w:t>
      </w:r>
      <w:r w:rsidRPr="00F34258">
        <w:rPr>
          <w:rFonts w:ascii="Georgia" w:eastAsiaTheme="minorEastAsia" w:hAnsi="Georgia" w:cs="Arial"/>
          <w:i w:val="0"/>
        </w:rPr>
        <w:t xml:space="preserve"> </w:t>
      </w:r>
      <w:r w:rsidR="00B47329">
        <w:rPr>
          <w:rFonts w:ascii="Georgia" w:eastAsiaTheme="minorEastAsia" w:hAnsi="Georgia" w:cs="Arial"/>
          <w:i w:val="0"/>
        </w:rPr>
        <w:t xml:space="preserve">healthcare design and change </w:t>
      </w:r>
    </w:p>
    <w:p w14:paraId="672A6659" w14:textId="77777777" w:rsidR="004752C1" w:rsidRPr="005C6417" w:rsidRDefault="004752C1" w:rsidP="004752C1">
      <w:pPr>
        <w:rPr>
          <w:rFonts w:ascii="Georgia" w:eastAsiaTheme="minorEastAsia" w:hAnsi="Georgia" w:cs="Arial"/>
          <w:lang w:eastAsia="de-DE" w:bidi="en-US"/>
        </w:rPr>
      </w:pPr>
    </w:p>
    <w:p w14:paraId="79643F3E" w14:textId="46BFAF7F" w:rsidR="00B47329" w:rsidRPr="005C6417" w:rsidRDefault="00B47329" w:rsidP="00B47329">
      <w:pPr>
        <w:pStyle w:val="MDPI12title"/>
        <w:rPr>
          <w:rFonts w:ascii="Georgia" w:eastAsiaTheme="minorEastAsia" w:hAnsi="Georgia" w:cs="Arial"/>
          <w:b w:val="0"/>
        </w:rPr>
      </w:pPr>
      <w:r>
        <w:rPr>
          <w:rFonts w:ascii="Georgia" w:eastAsiaTheme="minorEastAsia" w:hAnsi="Georgia" w:cs="Arial"/>
          <w:b w:val="0"/>
        </w:rPr>
        <w:t>Preferences and satisfaction with social comfort of outpatient workers in six hospitals before and during the COVID-19 pandemic</w:t>
      </w:r>
    </w:p>
    <w:p w14:paraId="1E4E8E64" w14:textId="2F4EF9D0" w:rsidR="00AA684A" w:rsidRPr="000D369A" w:rsidRDefault="000D369A" w:rsidP="000D369A">
      <w:pPr>
        <w:rPr>
          <w:rFonts w:ascii="Times New Roman" w:hAnsi="Times New Roman"/>
          <w:lang w:val="nl-NL"/>
        </w:rPr>
      </w:pPr>
      <w:proofErr w:type="spellStart"/>
      <w:r w:rsidRPr="000D369A">
        <w:rPr>
          <w:rFonts w:ascii="Times New Roman" w:hAnsi="Times New Roman"/>
          <w:lang w:val="nl-NL"/>
        </w:rPr>
        <w:t>AnneMarie</w:t>
      </w:r>
      <w:proofErr w:type="spellEnd"/>
      <w:r w:rsidRPr="000D369A">
        <w:rPr>
          <w:rFonts w:ascii="Times New Roman" w:hAnsi="Times New Roman"/>
          <w:lang w:val="nl-NL"/>
        </w:rPr>
        <w:t xml:space="preserve"> Eijkelenboom </w:t>
      </w:r>
      <w:r w:rsidRPr="000D369A">
        <w:rPr>
          <w:rFonts w:ascii="Times New Roman" w:hAnsi="Times New Roman"/>
          <w:vertAlign w:val="superscript"/>
          <w:lang w:val="nl-NL"/>
        </w:rPr>
        <w:t>1,2,*</w:t>
      </w:r>
      <w:r>
        <w:rPr>
          <w:rFonts w:ascii="Times New Roman" w:hAnsi="Times New Roman"/>
          <w:vertAlign w:val="superscript"/>
          <w:lang w:val="nl-NL"/>
        </w:rPr>
        <w:br/>
      </w:r>
    </w:p>
    <w:p w14:paraId="59BB19DF" w14:textId="77777777" w:rsidR="000D369A" w:rsidRDefault="000D369A" w:rsidP="00A86E9F">
      <w:pPr>
        <w:pStyle w:val="MDPI16affiliation"/>
        <w:rPr>
          <w:lang w:val="nl-NL"/>
        </w:rPr>
      </w:pPr>
      <w:r w:rsidRPr="00380D28">
        <w:rPr>
          <w:rFonts w:ascii="Times New Roman" w:hAnsi="Times New Roman"/>
          <w:vertAlign w:val="superscript"/>
          <w:lang w:val="nl-NL"/>
        </w:rPr>
        <w:t xml:space="preserve">1 </w:t>
      </w:r>
      <w:r w:rsidRPr="000D369A">
        <w:rPr>
          <w:lang w:val="nl-NL"/>
        </w:rPr>
        <w:t xml:space="preserve">EGM </w:t>
      </w:r>
      <w:proofErr w:type="spellStart"/>
      <w:r w:rsidRPr="000D369A">
        <w:rPr>
          <w:lang w:val="nl-NL"/>
        </w:rPr>
        <w:t>Architects</w:t>
      </w:r>
      <w:proofErr w:type="spellEnd"/>
      <w:r w:rsidRPr="000D369A">
        <w:rPr>
          <w:lang w:val="nl-NL"/>
        </w:rPr>
        <w:t>, Dordrecht, Netherlands.</w:t>
      </w:r>
    </w:p>
    <w:p w14:paraId="3632F3FA" w14:textId="77777777" w:rsidR="000D369A" w:rsidRDefault="000D369A" w:rsidP="00A86E9F">
      <w:pPr>
        <w:pStyle w:val="MDPI16affiliation"/>
        <w:rPr>
          <w:rFonts w:ascii="Times New Roman" w:hAnsi="Times New Roman"/>
          <w:lang w:val="en-GB"/>
        </w:rPr>
      </w:pPr>
      <w:r w:rsidRPr="0011495D">
        <w:rPr>
          <w:rFonts w:ascii="Times New Roman" w:hAnsi="Times New Roman"/>
          <w:vertAlign w:val="superscript"/>
          <w:lang w:val="en-GB"/>
        </w:rPr>
        <w:t>2</w:t>
      </w:r>
      <w:r>
        <w:rPr>
          <w:rFonts w:ascii="Times New Roman" w:hAnsi="Times New Roman"/>
          <w:vertAlign w:val="superscript"/>
          <w:lang w:val="en-GB"/>
        </w:rPr>
        <w:t xml:space="preserve"> </w:t>
      </w:r>
      <w:r w:rsidRPr="0011495D">
        <w:rPr>
          <w:rFonts w:ascii="Times New Roman" w:hAnsi="Times New Roman"/>
          <w:lang w:val="en-GB"/>
        </w:rPr>
        <w:t>Architectural Engineering + Technology, Faculty of Architecture and the Built Environment, TU Delft</w:t>
      </w:r>
      <w:r>
        <w:rPr>
          <w:rFonts w:ascii="Times New Roman" w:hAnsi="Times New Roman"/>
          <w:lang w:val="en-GB"/>
        </w:rPr>
        <w:t>, Delft, Netherlands</w:t>
      </w:r>
      <w:r w:rsidRPr="0011495D">
        <w:rPr>
          <w:rFonts w:ascii="Times New Roman" w:hAnsi="Times New Roman"/>
          <w:lang w:val="en-GB"/>
        </w:rPr>
        <w:t>.</w:t>
      </w:r>
    </w:p>
    <w:p w14:paraId="36B87632" w14:textId="0E4D0D4E" w:rsidR="00A86E9F" w:rsidRPr="000D369A" w:rsidRDefault="000D369A" w:rsidP="00A86E9F">
      <w:pPr>
        <w:pStyle w:val="MDPI16affiliation"/>
        <w:rPr>
          <w:rFonts w:ascii="Georgia" w:eastAsiaTheme="minorEastAsia" w:hAnsi="Georgia" w:cs="Arial"/>
          <w:lang w:val="en-GB"/>
        </w:rPr>
      </w:pPr>
      <w:r w:rsidRPr="000D369A">
        <w:rPr>
          <w:lang w:val="en-GB"/>
        </w:rPr>
        <w:t xml:space="preserve">* Correspondence: </w:t>
      </w:r>
      <w:hyperlink r:id="rId10" w:history="1">
        <w:r w:rsidR="000B4772" w:rsidRPr="00A94FB9">
          <w:rPr>
            <w:rStyle w:val="Hyperlink"/>
            <w:lang w:val="en-GB"/>
          </w:rPr>
          <w:t>annemarie.eijkelenboom@egm.nl</w:t>
        </w:r>
      </w:hyperlink>
      <w:r w:rsidR="000B4772">
        <w:rPr>
          <w:lang w:val="en-GB"/>
        </w:rPr>
        <w:t>;</w:t>
      </w:r>
      <w:r w:rsidRPr="000D369A">
        <w:rPr>
          <w:lang w:val="en-GB"/>
        </w:rPr>
        <w:t xml:space="preserve"> ORCID ID 0000-0002-7998-8773</w:t>
      </w:r>
      <w:r w:rsidRPr="000D369A">
        <w:rPr>
          <w:lang w:val="en-GB"/>
        </w:rPr>
        <w:br/>
      </w:r>
      <w:r w:rsidR="00B47329" w:rsidRPr="000D369A">
        <w:rPr>
          <w:lang w:val="en-GB"/>
        </w:rPr>
        <w:t xml:space="preserve"> </w:t>
      </w:r>
    </w:p>
    <w:p w14:paraId="7B8BF5E6" w14:textId="31300682" w:rsidR="00093C0B" w:rsidRPr="000D369A" w:rsidRDefault="00A86E9F" w:rsidP="00E8235D">
      <w:pPr>
        <w:pStyle w:val="MDPI17abstract"/>
        <w:ind w:left="0"/>
        <w:rPr>
          <w:rFonts w:ascii="Georgia" w:eastAsiaTheme="minorEastAsia" w:hAnsi="Georgia" w:cs="Arial"/>
          <w:lang w:val="en-GB"/>
        </w:rPr>
      </w:pPr>
      <w:r w:rsidRPr="000D369A">
        <w:rPr>
          <w:rFonts w:ascii="Georgia" w:eastAsiaTheme="minorEastAsia" w:hAnsi="Georgia" w:cs="Arial"/>
          <w:lang w:val="en-GB"/>
        </w:rPr>
        <w:t xml:space="preserve"> </w:t>
      </w:r>
    </w:p>
    <w:tbl>
      <w:tblPr>
        <w:tblpPr w:leftFromText="198" w:rightFromText="198" w:vertAnchor="page" w:horzAnchor="margin" w:tblpY="7321"/>
        <w:tblW w:w="2410" w:type="dxa"/>
        <w:tblLayout w:type="fixed"/>
        <w:tblCellMar>
          <w:left w:w="0" w:type="dxa"/>
          <w:right w:w="0" w:type="dxa"/>
        </w:tblCellMar>
        <w:tblLook w:val="04A0" w:firstRow="1" w:lastRow="0" w:firstColumn="1" w:lastColumn="0" w:noHBand="0" w:noVBand="1"/>
      </w:tblPr>
      <w:tblGrid>
        <w:gridCol w:w="2410"/>
      </w:tblGrid>
      <w:tr w:rsidR="00017337" w:rsidRPr="005C6417" w14:paraId="2F759573" w14:textId="77777777" w:rsidTr="000D369A">
        <w:tc>
          <w:tcPr>
            <w:tcW w:w="2410" w:type="dxa"/>
            <w:shd w:val="clear" w:color="auto" w:fill="auto"/>
          </w:tcPr>
          <w:p w14:paraId="7E30B107" w14:textId="77777777" w:rsidR="00017337" w:rsidRPr="004C61F7" w:rsidRDefault="00017337" w:rsidP="000D369A">
            <w:pPr>
              <w:spacing w:line="240" w:lineRule="auto"/>
              <w:jc w:val="left"/>
              <w:rPr>
                <w:rFonts w:ascii="Georgia" w:eastAsiaTheme="minorEastAsia" w:hAnsi="Georgia" w:cs="Arial"/>
                <w:b/>
                <w:bCs/>
                <w:color w:val="auto"/>
                <w:sz w:val="14"/>
                <w:szCs w:val="14"/>
              </w:rPr>
            </w:pPr>
            <w:bookmarkStart w:id="0" w:name="_Hlk108106082"/>
            <w:bookmarkStart w:id="1" w:name="_Hlk108105954"/>
            <w:r w:rsidRPr="004C61F7">
              <w:rPr>
                <w:rFonts w:ascii="Georgia" w:eastAsiaTheme="minorEastAsia" w:hAnsi="Georgia" w:cs="Arial"/>
                <w:b/>
                <w:bCs/>
                <w:color w:val="auto"/>
                <w:sz w:val="14"/>
                <w:szCs w:val="14"/>
              </w:rPr>
              <w:t xml:space="preserve">Names of the </w:t>
            </w:r>
            <w:r>
              <w:rPr>
                <w:rFonts w:ascii="Georgia" w:eastAsiaTheme="minorEastAsia" w:hAnsi="Georgia" w:cs="Arial"/>
                <w:b/>
                <w:bCs/>
                <w:color w:val="auto"/>
                <w:sz w:val="14"/>
                <w:szCs w:val="14"/>
              </w:rPr>
              <w:t>Topic</w:t>
            </w:r>
            <w:r w:rsidRPr="004C61F7">
              <w:rPr>
                <w:rFonts w:ascii="Georgia" w:eastAsiaTheme="minorEastAsia" w:hAnsi="Georgia" w:cs="Arial"/>
                <w:b/>
                <w:bCs/>
                <w:color w:val="auto"/>
                <w:sz w:val="14"/>
                <w:szCs w:val="14"/>
              </w:rPr>
              <w:t xml:space="preserve"> editors: </w:t>
            </w:r>
          </w:p>
          <w:p w14:paraId="2D046702" w14:textId="77777777" w:rsidR="00017337" w:rsidRPr="004C61F7" w:rsidRDefault="00017337" w:rsidP="000D369A">
            <w:pPr>
              <w:adjustRightInd w:val="0"/>
              <w:snapToGrid w:val="0"/>
              <w:spacing w:line="240" w:lineRule="auto"/>
              <w:jc w:val="left"/>
              <w:rPr>
                <w:rFonts w:ascii="Georgia" w:eastAsiaTheme="minorEastAsia" w:hAnsi="Georgia" w:cs="Arial"/>
                <w:color w:val="auto"/>
                <w:sz w:val="14"/>
                <w:szCs w:val="22"/>
              </w:rPr>
            </w:pPr>
            <w:r>
              <w:rPr>
                <w:rFonts w:ascii="Georgia" w:eastAsiaTheme="minorEastAsia" w:hAnsi="Georgia" w:cs="Arial"/>
                <w:color w:val="auto"/>
                <w:sz w:val="14"/>
                <w:szCs w:val="22"/>
              </w:rPr>
              <w:t>Clarine van Oel</w:t>
            </w:r>
          </w:p>
          <w:p w14:paraId="1CF08F2C" w14:textId="77777777" w:rsidR="00017337" w:rsidRDefault="00017337" w:rsidP="000D369A">
            <w:pPr>
              <w:spacing w:line="240" w:lineRule="auto"/>
              <w:jc w:val="left"/>
              <w:rPr>
                <w:rFonts w:ascii="Georgia" w:eastAsiaTheme="minorEastAsia" w:hAnsi="Georgia" w:cs="Arial"/>
                <w:color w:val="auto"/>
                <w:sz w:val="14"/>
                <w:szCs w:val="22"/>
              </w:rPr>
            </w:pPr>
            <w:r w:rsidRPr="004C61F7">
              <w:rPr>
                <w:rFonts w:ascii="Georgia" w:eastAsiaTheme="minorEastAsia" w:hAnsi="Georgia" w:cs="Arial"/>
                <w:b/>
                <w:bCs/>
                <w:color w:val="auto"/>
                <w:sz w:val="14"/>
                <w:szCs w:val="14"/>
              </w:rPr>
              <w:t xml:space="preserve">Names of the reviewers: </w:t>
            </w:r>
          </w:p>
          <w:p w14:paraId="53B13D7C" w14:textId="77777777" w:rsidR="00017337" w:rsidRDefault="00017337" w:rsidP="000D369A">
            <w:pPr>
              <w:adjustRightInd w:val="0"/>
              <w:snapToGrid w:val="0"/>
              <w:spacing w:line="240" w:lineRule="auto"/>
              <w:jc w:val="left"/>
              <w:rPr>
                <w:rFonts w:ascii="Georgia" w:eastAsiaTheme="minorEastAsia" w:hAnsi="Georgia" w:cs="Arial"/>
                <w:color w:val="auto"/>
                <w:sz w:val="14"/>
                <w:szCs w:val="22"/>
              </w:rPr>
            </w:pPr>
            <w:r>
              <w:rPr>
                <w:rFonts w:ascii="Georgia" w:eastAsiaTheme="minorEastAsia" w:hAnsi="Georgia" w:cs="Arial"/>
                <w:color w:val="auto"/>
                <w:sz w:val="14"/>
                <w:szCs w:val="22"/>
              </w:rPr>
              <w:t xml:space="preserve">Evangelia </w:t>
            </w:r>
            <w:proofErr w:type="spellStart"/>
            <w:r>
              <w:rPr>
                <w:rFonts w:ascii="Georgia" w:eastAsiaTheme="minorEastAsia" w:hAnsi="Georgia" w:cs="Arial"/>
                <w:color w:val="auto"/>
                <w:sz w:val="14"/>
                <w:szCs w:val="22"/>
              </w:rPr>
              <w:t>Chrysikou</w:t>
            </w:r>
            <w:proofErr w:type="spellEnd"/>
          </w:p>
          <w:p w14:paraId="5190A838" w14:textId="77777777" w:rsidR="00017337" w:rsidRPr="004C61F7" w:rsidRDefault="00017337" w:rsidP="000D369A">
            <w:pPr>
              <w:adjustRightInd w:val="0"/>
              <w:snapToGrid w:val="0"/>
              <w:spacing w:line="240" w:lineRule="auto"/>
              <w:jc w:val="left"/>
              <w:rPr>
                <w:rFonts w:ascii="Georgia" w:eastAsiaTheme="minorEastAsia" w:hAnsi="Georgia" w:cs="Arial"/>
                <w:color w:val="auto"/>
                <w:sz w:val="14"/>
                <w:szCs w:val="22"/>
              </w:rPr>
            </w:pPr>
            <w:r>
              <w:rPr>
                <w:rFonts w:ascii="Georgia" w:eastAsiaTheme="minorEastAsia" w:hAnsi="Georgia" w:cs="Arial"/>
                <w:color w:val="auto"/>
                <w:sz w:val="14"/>
                <w:szCs w:val="22"/>
              </w:rPr>
              <w:t xml:space="preserve">Milee </w:t>
            </w:r>
            <w:proofErr w:type="spellStart"/>
            <w:r>
              <w:rPr>
                <w:rFonts w:ascii="Georgia" w:eastAsiaTheme="minorEastAsia" w:hAnsi="Georgia" w:cs="Arial"/>
                <w:color w:val="auto"/>
                <w:sz w:val="14"/>
                <w:szCs w:val="22"/>
              </w:rPr>
              <w:t>Herweijer</w:t>
            </w:r>
            <w:proofErr w:type="spellEnd"/>
          </w:p>
          <w:p w14:paraId="359254F2" w14:textId="77777777" w:rsidR="00017337" w:rsidRPr="004C61F7" w:rsidRDefault="00017337" w:rsidP="000D369A">
            <w:pPr>
              <w:spacing w:line="240" w:lineRule="auto"/>
              <w:jc w:val="left"/>
              <w:rPr>
                <w:rFonts w:ascii="Georgia" w:eastAsiaTheme="minorEastAsia" w:hAnsi="Georgia" w:cs="Arial"/>
                <w:color w:val="auto"/>
                <w:sz w:val="14"/>
                <w:szCs w:val="22"/>
              </w:rPr>
            </w:pPr>
            <w:r w:rsidRPr="004C61F7">
              <w:rPr>
                <w:rFonts w:ascii="Georgia" w:eastAsiaTheme="minorEastAsia" w:hAnsi="Georgia" w:cs="Arial"/>
                <w:b/>
                <w:color w:val="auto"/>
                <w:sz w:val="14"/>
                <w:szCs w:val="22"/>
              </w:rPr>
              <w:t>Journal:</w:t>
            </w:r>
            <w:r w:rsidRPr="004C61F7">
              <w:rPr>
                <w:rFonts w:ascii="Georgia" w:eastAsiaTheme="minorEastAsia" w:hAnsi="Georgia" w:cs="Arial"/>
                <w:color w:val="auto"/>
                <w:sz w:val="14"/>
                <w:szCs w:val="22"/>
              </w:rPr>
              <w:t xml:space="preserve"> </w:t>
            </w:r>
            <w:r w:rsidRPr="004C61F7">
              <w:rPr>
                <w:rFonts w:ascii="Georgia" w:eastAsiaTheme="minorEastAsia" w:hAnsi="Georgia" w:cs="Arial"/>
                <w:sz w:val="14"/>
                <w:szCs w:val="22"/>
              </w:rPr>
              <w:t>The Evolving Scholar</w:t>
            </w:r>
          </w:p>
          <w:p w14:paraId="49D19145" w14:textId="5F2AD43C" w:rsidR="00017337" w:rsidRDefault="00017337" w:rsidP="000D369A">
            <w:pPr>
              <w:pStyle w:val="MDPI14history"/>
              <w:rPr>
                <w:rFonts w:ascii="Georgia" w:eastAsiaTheme="minorEastAsia" w:hAnsi="Georgia" w:cs="Arial"/>
                <w:lang w:val="en-GB"/>
              </w:rPr>
            </w:pPr>
            <w:r w:rsidRPr="0021700B">
              <w:rPr>
                <w:rFonts w:ascii="Georgia" w:eastAsiaTheme="minorEastAsia" w:hAnsi="Georgia" w:cs="Arial"/>
                <w:b/>
                <w:lang w:val="en-GB"/>
              </w:rPr>
              <w:t>DOI:</w:t>
            </w:r>
            <w:r w:rsidR="000D369A" w:rsidRPr="000D369A">
              <w:rPr>
                <w:rFonts w:ascii="Georgia" w:eastAsiaTheme="minorEastAsia" w:hAnsi="Georgia" w:cs="Arial"/>
                <w:bCs/>
                <w:lang w:val="en-GB"/>
              </w:rPr>
              <w:t>10.24404/6232471c68135cebc564ffe4</w:t>
            </w:r>
            <w:r w:rsidRPr="0021700B">
              <w:rPr>
                <w:rFonts w:ascii="Georgia" w:eastAsiaTheme="minorEastAsia" w:hAnsi="Georgia" w:cs="Arial"/>
                <w:lang w:val="en-GB"/>
              </w:rPr>
              <w:t xml:space="preserve"> </w:t>
            </w:r>
          </w:p>
          <w:p w14:paraId="3F540A77" w14:textId="666243E0" w:rsidR="00017337" w:rsidRPr="004C61F7" w:rsidRDefault="00017337" w:rsidP="000D369A">
            <w:pPr>
              <w:pStyle w:val="MDPI14history"/>
              <w:rPr>
                <w:rFonts w:ascii="Georgia" w:eastAsiaTheme="minorEastAsia" w:hAnsi="Georgia" w:cs="Arial"/>
              </w:rPr>
            </w:pPr>
            <w:r>
              <w:rPr>
                <w:rFonts w:ascii="Georgia" w:eastAsiaTheme="minorEastAsia" w:hAnsi="Georgia" w:cs="Arial"/>
                <w:b/>
                <w:szCs w:val="14"/>
              </w:rPr>
              <w:br/>
            </w:r>
            <w:r w:rsidRPr="004C61F7">
              <w:rPr>
                <w:rFonts w:ascii="Georgia" w:eastAsiaTheme="minorEastAsia" w:hAnsi="Georgia" w:cs="Arial"/>
                <w:b/>
                <w:szCs w:val="14"/>
              </w:rPr>
              <w:t>Submitted:</w:t>
            </w:r>
            <w:r w:rsidRPr="004C61F7">
              <w:rPr>
                <w:rFonts w:ascii="Georgia" w:eastAsiaTheme="minorEastAsia" w:hAnsi="Georgia" w:cs="Arial"/>
                <w:szCs w:val="14"/>
              </w:rPr>
              <w:t xml:space="preserve"> </w:t>
            </w:r>
            <w:r>
              <w:rPr>
                <w:rFonts w:ascii="Georgia" w:eastAsiaTheme="minorEastAsia" w:hAnsi="Georgia" w:cs="Arial"/>
                <w:szCs w:val="14"/>
              </w:rPr>
              <w:t>1</w:t>
            </w:r>
            <w:r w:rsidR="000734EA">
              <w:rPr>
                <w:rFonts w:ascii="Georgia" w:eastAsiaTheme="minorEastAsia" w:hAnsi="Georgia" w:cs="Arial"/>
                <w:szCs w:val="14"/>
              </w:rPr>
              <w:t>6 Mar</w:t>
            </w:r>
            <w:r>
              <w:rPr>
                <w:rFonts w:ascii="Georgia" w:eastAsiaTheme="minorEastAsia" w:hAnsi="Georgia" w:cs="Arial"/>
                <w:szCs w:val="14"/>
              </w:rPr>
              <w:t xml:space="preserve"> </w:t>
            </w:r>
            <w:r w:rsidRPr="004C61F7">
              <w:rPr>
                <w:rFonts w:ascii="Georgia" w:eastAsiaTheme="minorEastAsia" w:hAnsi="Georgia" w:cs="Arial"/>
                <w:szCs w:val="14"/>
              </w:rPr>
              <w:t>202</w:t>
            </w:r>
            <w:r>
              <w:rPr>
                <w:rFonts w:ascii="Georgia" w:eastAsiaTheme="minorEastAsia" w:hAnsi="Georgia" w:cs="Arial"/>
                <w:szCs w:val="14"/>
              </w:rPr>
              <w:t>2</w:t>
            </w:r>
          </w:p>
          <w:p w14:paraId="16223FC4" w14:textId="1681B05A" w:rsidR="00017337" w:rsidRPr="004C61F7" w:rsidRDefault="000734EA" w:rsidP="000D369A">
            <w:pPr>
              <w:pStyle w:val="MDPI14history"/>
              <w:rPr>
                <w:rFonts w:ascii="Georgia" w:eastAsiaTheme="minorEastAsia" w:hAnsi="Georgia" w:cs="Arial"/>
                <w:szCs w:val="14"/>
              </w:rPr>
            </w:pPr>
            <w:r>
              <w:rPr>
                <w:rFonts w:ascii="Georgia" w:eastAsiaTheme="minorEastAsia" w:hAnsi="Georgia" w:cs="Arial"/>
                <w:b/>
                <w:szCs w:val="14"/>
              </w:rPr>
              <w:t>Revised</w:t>
            </w:r>
            <w:r w:rsidR="00017337" w:rsidRPr="004C61F7">
              <w:rPr>
                <w:rFonts w:ascii="Georgia" w:eastAsiaTheme="minorEastAsia" w:hAnsi="Georgia" w:cs="Arial"/>
                <w:b/>
                <w:szCs w:val="14"/>
              </w:rPr>
              <w:t xml:space="preserve">: </w:t>
            </w:r>
            <w:r w:rsidR="00027D9B">
              <w:rPr>
                <w:rFonts w:ascii="Georgia" w:eastAsiaTheme="minorEastAsia" w:hAnsi="Georgia" w:cs="Arial"/>
                <w:bCs/>
                <w:szCs w:val="14"/>
              </w:rPr>
              <w:t>7</w:t>
            </w:r>
            <w:r>
              <w:rPr>
                <w:rFonts w:ascii="Georgia" w:eastAsiaTheme="minorEastAsia" w:hAnsi="Georgia" w:cs="Arial"/>
                <w:bCs/>
                <w:szCs w:val="14"/>
              </w:rPr>
              <w:t xml:space="preserve"> May </w:t>
            </w:r>
            <w:r w:rsidR="00017337" w:rsidRPr="00017337">
              <w:rPr>
                <w:rFonts w:ascii="Georgia" w:eastAsiaTheme="minorEastAsia" w:hAnsi="Georgia" w:cs="Arial"/>
                <w:bCs/>
                <w:szCs w:val="14"/>
              </w:rPr>
              <w:t>2022</w:t>
            </w:r>
          </w:p>
          <w:p w14:paraId="3AF4EF16" w14:textId="07834FA9" w:rsidR="00017337" w:rsidRPr="004C61F7" w:rsidRDefault="000734EA" w:rsidP="000D369A">
            <w:pPr>
              <w:pStyle w:val="MDPI14history"/>
              <w:spacing w:after="240"/>
              <w:rPr>
                <w:rFonts w:ascii="Georgia" w:eastAsiaTheme="minorEastAsia" w:hAnsi="Georgia" w:cs="Arial"/>
                <w:szCs w:val="14"/>
              </w:rPr>
            </w:pPr>
            <w:r>
              <w:rPr>
                <w:rFonts w:ascii="Georgia" w:eastAsiaTheme="minorEastAsia" w:hAnsi="Georgia" w:cs="Arial"/>
                <w:b/>
                <w:szCs w:val="14"/>
              </w:rPr>
              <w:t>Accepted</w:t>
            </w:r>
            <w:r w:rsidR="00017337" w:rsidRPr="004C61F7">
              <w:rPr>
                <w:rFonts w:ascii="Georgia" w:eastAsiaTheme="minorEastAsia" w:hAnsi="Georgia" w:cs="Arial"/>
                <w:b/>
                <w:szCs w:val="14"/>
              </w:rPr>
              <w:t>:</w:t>
            </w:r>
            <w:r w:rsidR="00017337" w:rsidRPr="004C61F7">
              <w:rPr>
                <w:rFonts w:ascii="Georgia" w:eastAsiaTheme="minorEastAsia" w:hAnsi="Georgia" w:cs="Arial"/>
                <w:szCs w:val="14"/>
              </w:rPr>
              <w:t xml:space="preserve"> </w:t>
            </w:r>
            <w:r>
              <w:rPr>
                <w:rFonts w:ascii="Georgia" w:eastAsiaTheme="minorEastAsia" w:hAnsi="Georgia" w:cs="Arial"/>
                <w:szCs w:val="14"/>
              </w:rPr>
              <w:t>30 May 2022</w:t>
            </w:r>
            <w:r w:rsidR="00E26AAE">
              <w:rPr>
                <w:rFonts w:ascii="Georgia" w:eastAsiaTheme="minorEastAsia" w:hAnsi="Georgia" w:cs="Arial"/>
                <w:szCs w:val="14"/>
              </w:rPr>
              <w:br/>
            </w:r>
            <w:r w:rsidR="00E26AAE" w:rsidRPr="00E26AAE">
              <w:rPr>
                <w:rFonts w:ascii="Georgia" w:eastAsiaTheme="minorEastAsia" w:hAnsi="Georgia" w:cs="Arial"/>
                <w:b/>
                <w:bCs/>
                <w:szCs w:val="14"/>
              </w:rPr>
              <w:t>Published</w:t>
            </w:r>
            <w:r w:rsidR="00E26AAE">
              <w:rPr>
                <w:rFonts w:ascii="Georgia" w:eastAsiaTheme="minorEastAsia" w:hAnsi="Georgia" w:cs="Arial"/>
                <w:szCs w:val="14"/>
              </w:rPr>
              <w:t>: 6 Mar 2024</w:t>
            </w:r>
          </w:p>
          <w:p w14:paraId="6184F143" w14:textId="15D0050F" w:rsidR="00017337" w:rsidRPr="004C61F7" w:rsidRDefault="00017337" w:rsidP="000D369A">
            <w:pPr>
              <w:pStyle w:val="paragraph"/>
              <w:adjustRightInd w:val="0"/>
              <w:snapToGrid w:val="0"/>
              <w:spacing w:before="0" w:beforeAutospacing="0" w:after="0" w:afterAutospacing="0"/>
              <w:textAlignment w:val="baseline"/>
              <w:rPr>
                <w:rFonts w:ascii="Georgia" w:eastAsiaTheme="minorEastAsia" w:hAnsi="Georgia" w:cs="Arial"/>
                <w:color w:val="000000" w:themeColor="text1"/>
                <w:sz w:val="14"/>
                <w:szCs w:val="14"/>
              </w:rPr>
            </w:pPr>
            <w:r w:rsidRPr="004C61F7">
              <w:rPr>
                <w:rStyle w:val="normaltextrun"/>
                <w:rFonts w:ascii="Georgia" w:eastAsiaTheme="minorEastAsia" w:hAnsi="Georgia" w:cs="Arial"/>
                <w:b/>
                <w:bCs/>
                <w:color w:val="000000" w:themeColor="text1"/>
                <w:sz w:val="14"/>
                <w:szCs w:val="14"/>
              </w:rPr>
              <w:t>Citation</w:t>
            </w:r>
            <w:r w:rsidRPr="004C61F7">
              <w:rPr>
                <w:rStyle w:val="normaltextrun"/>
                <w:rFonts w:ascii="Georgia" w:eastAsiaTheme="minorEastAsia" w:hAnsi="Georgia" w:cs="Arial"/>
                <w:b/>
                <w:color w:val="000000" w:themeColor="text1"/>
                <w:sz w:val="14"/>
                <w:szCs w:val="14"/>
              </w:rPr>
              <w:t>:</w:t>
            </w:r>
            <w:r w:rsidRPr="004C61F7">
              <w:rPr>
                <w:rStyle w:val="normaltextrun"/>
                <w:rFonts w:ascii="Georgia" w:eastAsiaTheme="minorEastAsia" w:hAnsi="Georgia" w:cs="Arial"/>
                <w:color w:val="000000" w:themeColor="text1"/>
                <w:sz w:val="14"/>
                <w:szCs w:val="14"/>
              </w:rPr>
              <w:t xml:space="preserve"> </w:t>
            </w:r>
            <w:proofErr w:type="spellStart"/>
            <w:r w:rsidRPr="00017337">
              <w:rPr>
                <w:rStyle w:val="normaltextrun"/>
                <w:rFonts w:ascii="Georgia" w:eastAsiaTheme="minorEastAsia" w:hAnsi="Georgia" w:cs="Arial"/>
                <w:color w:val="000000" w:themeColor="text1"/>
                <w:sz w:val="14"/>
                <w:szCs w:val="14"/>
              </w:rPr>
              <w:t>Eijkelenboom</w:t>
            </w:r>
            <w:proofErr w:type="spellEnd"/>
            <w:r w:rsidRPr="00017337">
              <w:rPr>
                <w:rStyle w:val="normaltextrun"/>
                <w:rFonts w:ascii="Georgia" w:eastAsiaTheme="minorEastAsia" w:hAnsi="Georgia" w:cs="Arial"/>
                <w:color w:val="000000" w:themeColor="text1"/>
                <w:sz w:val="14"/>
                <w:szCs w:val="14"/>
              </w:rPr>
              <w:t xml:space="preserve">, A. (2022). Preferences and satisfaction with social comfort of outpatient workers in six hospitals before and during the COVID-19 pandemic. The Evolving Scholar | ARCH22. </w:t>
            </w:r>
          </w:p>
          <w:p w14:paraId="4428821D" w14:textId="77777777" w:rsidR="00017337" w:rsidRDefault="00017337" w:rsidP="000D369A">
            <w:pPr>
              <w:pStyle w:val="paragraph"/>
              <w:adjustRightInd w:val="0"/>
              <w:snapToGrid w:val="0"/>
              <w:spacing w:before="0" w:beforeAutospacing="0" w:after="0" w:afterAutospacing="0"/>
              <w:textAlignment w:val="baseline"/>
              <w:rPr>
                <w:rStyle w:val="normaltextrun"/>
                <w:rFonts w:ascii="Georgia" w:eastAsiaTheme="minorEastAsia" w:hAnsi="Georgia" w:cs="Arial"/>
                <w:color w:val="000000" w:themeColor="text1"/>
                <w:sz w:val="14"/>
                <w:szCs w:val="14"/>
              </w:rPr>
            </w:pPr>
          </w:p>
          <w:p w14:paraId="61146627" w14:textId="77777777" w:rsidR="00017337" w:rsidRDefault="00017337" w:rsidP="000D369A">
            <w:pPr>
              <w:pStyle w:val="paragraph"/>
              <w:adjustRightInd w:val="0"/>
              <w:snapToGrid w:val="0"/>
              <w:spacing w:before="0" w:beforeAutospacing="0" w:after="0" w:afterAutospacing="0"/>
              <w:textAlignment w:val="baseline"/>
              <w:rPr>
                <w:rStyle w:val="normaltextrun"/>
                <w:rFonts w:ascii="Georgia" w:eastAsiaTheme="minorEastAsia" w:hAnsi="Georgia" w:cs="Arial"/>
                <w:color w:val="000000" w:themeColor="text1"/>
                <w:sz w:val="14"/>
                <w:szCs w:val="14"/>
              </w:rPr>
            </w:pPr>
          </w:p>
          <w:p w14:paraId="669FDB47" w14:textId="77777777" w:rsidR="00017337" w:rsidRPr="0058367F" w:rsidRDefault="00017337" w:rsidP="000D369A">
            <w:pPr>
              <w:pStyle w:val="paragraph"/>
              <w:adjustRightInd w:val="0"/>
              <w:snapToGrid w:val="0"/>
              <w:spacing w:before="0" w:beforeAutospacing="0" w:after="0" w:afterAutospacing="0"/>
              <w:textAlignment w:val="baseline"/>
              <w:rPr>
                <w:rFonts w:ascii="Georgia" w:eastAsiaTheme="minorEastAsia" w:hAnsi="Georgia" w:cs="Arial"/>
                <w:color w:val="000000" w:themeColor="text1"/>
                <w:sz w:val="14"/>
                <w:szCs w:val="14"/>
              </w:rPr>
            </w:pPr>
            <w:r w:rsidRPr="004C61F7">
              <w:rPr>
                <w:rStyle w:val="normaltextrun"/>
                <w:rFonts w:ascii="Georgia" w:eastAsiaTheme="minorEastAsia" w:hAnsi="Georgia" w:cs="Arial"/>
                <w:color w:val="000000" w:themeColor="text1"/>
                <w:sz w:val="14"/>
                <w:szCs w:val="14"/>
              </w:rPr>
              <w:t>This work is licensed under a Creative Commons Attribution BY license</w:t>
            </w:r>
            <w:r>
              <w:rPr>
                <w:rStyle w:val="normaltextrun"/>
                <w:rFonts w:ascii="Georgia" w:eastAsiaTheme="minorEastAsia" w:hAnsi="Georgia" w:cs="Arial"/>
                <w:color w:val="000000" w:themeColor="text1"/>
                <w:sz w:val="14"/>
                <w:szCs w:val="14"/>
              </w:rPr>
              <w:t xml:space="preserve"> (CC BY).</w:t>
            </w:r>
          </w:p>
          <w:p w14:paraId="1DAC2F54" w14:textId="77777777" w:rsidR="00017337" w:rsidRPr="004C61F7" w:rsidRDefault="00017337" w:rsidP="000D369A">
            <w:pPr>
              <w:pStyle w:val="paragraph"/>
              <w:adjustRightInd w:val="0"/>
              <w:snapToGrid w:val="0"/>
              <w:spacing w:before="0" w:beforeAutospacing="0" w:after="0" w:afterAutospacing="0"/>
              <w:textAlignment w:val="baseline"/>
              <w:rPr>
                <w:rFonts w:ascii="Georgia" w:eastAsiaTheme="minorEastAsia" w:hAnsi="Georgia" w:cs="Arial"/>
                <w:color w:val="000000" w:themeColor="text1"/>
                <w:sz w:val="14"/>
                <w:szCs w:val="14"/>
              </w:rPr>
            </w:pPr>
          </w:p>
          <w:p w14:paraId="71A058A5" w14:textId="11AA0407" w:rsidR="00017337" w:rsidRPr="005C6417" w:rsidRDefault="00017337" w:rsidP="000D369A">
            <w:pPr>
              <w:pStyle w:val="paragraph"/>
              <w:adjustRightInd w:val="0"/>
              <w:snapToGrid w:val="0"/>
              <w:spacing w:before="0" w:beforeAutospacing="0" w:after="0" w:afterAutospacing="0"/>
              <w:textAlignment w:val="baseline"/>
              <w:rPr>
                <w:rFonts w:ascii="Georgia" w:eastAsiaTheme="minorEastAsia" w:hAnsi="Georgia" w:cs="Arial"/>
                <w:bCs/>
                <w:sz w:val="14"/>
                <w:szCs w:val="14"/>
                <w:lang w:bidi="en-US"/>
              </w:rPr>
            </w:pPr>
            <w:r w:rsidRPr="004C61F7">
              <w:rPr>
                <w:rStyle w:val="normaltextrun"/>
                <w:rFonts w:ascii="Georgia" w:eastAsiaTheme="minorEastAsia" w:hAnsi="Georgia" w:cs="Arial"/>
                <w:color w:val="000000" w:themeColor="text1"/>
                <w:sz w:val="14"/>
                <w:szCs w:val="14"/>
              </w:rPr>
              <w:t>©</w:t>
            </w:r>
            <w:r>
              <w:rPr>
                <w:rStyle w:val="normaltextrun"/>
                <w:rFonts w:ascii="Georgia" w:eastAsiaTheme="minorEastAsia" w:hAnsi="Georgia" w:cs="Arial"/>
                <w:color w:val="000000" w:themeColor="text1"/>
                <w:sz w:val="14"/>
                <w:szCs w:val="14"/>
              </w:rPr>
              <w:t xml:space="preserve"> 202</w:t>
            </w:r>
            <w:r w:rsidR="00E26AAE">
              <w:rPr>
                <w:rStyle w:val="normaltextrun"/>
                <w:rFonts w:ascii="Georgia" w:eastAsiaTheme="minorEastAsia" w:hAnsi="Georgia" w:cs="Arial"/>
                <w:color w:val="000000" w:themeColor="text1"/>
                <w:sz w:val="14"/>
                <w:szCs w:val="14"/>
              </w:rPr>
              <w:t>2</w:t>
            </w:r>
            <w:r w:rsidR="000D369A">
              <w:rPr>
                <w:rStyle w:val="normaltextrun"/>
                <w:rFonts w:ascii="Georgia" w:eastAsiaTheme="minorEastAsia" w:hAnsi="Georgia" w:cs="Arial"/>
                <w:color w:val="000000" w:themeColor="text1"/>
                <w:sz w:val="14"/>
                <w:szCs w:val="14"/>
              </w:rPr>
              <w:t xml:space="preserve"> [</w:t>
            </w:r>
            <w:proofErr w:type="spellStart"/>
            <w:r>
              <w:rPr>
                <w:rStyle w:val="normaltextrun"/>
                <w:rFonts w:ascii="Georgia" w:eastAsiaTheme="minorEastAsia" w:hAnsi="Georgia" w:cs="Arial"/>
                <w:color w:val="000000" w:themeColor="text1"/>
                <w:sz w:val="14"/>
                <w:szCs w:val="14"/>
              </w:rPr>
              <w:t>AnneMarie</w:t>
            </w:r>
            <w:proofErr w:type="spellEnd"/>
            <w:r>
              <w:rPr>
                <w:rStyle w:val="normaltextrun"/>
                <w:rFonts w:ascii="Georgia" w:eastAsiaTheme="minorEastAsia" w:hAnsi="Georgia" w:cs="Arial"/>
                <w:color w:val="000000" w:themeColor="text1"/>
                <w:sz w:val="14"/>
                <w:szCs w:val="14"/>
              </w:rPr>
              <w:t xml:space="preserve"> </w:t>
            </w:r>
            <w:proofErr w:type="spellStart"/>
            <w:r>
              <w:rPr>
                <w:rStyle w:val="normaltextrun"/>
                <w:rFonts w:ascii="Georgia" w:eastAsiaTheme="minorEastAsia" w:hAnsi="Georgia" w:cs="Arial"/>
                <w:color w:val="000000" w:themeColor="text1"/>
                <w:sz w:val="14"/>
                <w:szCs w:val="14"/>
              </w:rPr>
              <w:t>Eijkelenboo</w:t>
            </w:r>
            <w:r w:rsidR="000D369A">
              <w:rPr>
                <w:rStyle w:val="normaltextrun"/>
                <w:rFonts w:ascii="Georgia" w:eastAsiaTheme="minorEastAsia" w:hAnsi="Georgia" w:cs="Arial"/>
                <w:color w:val="000000" w:themeColor="text1"/>
                <w:sz w:val="14"/>
                <w:szCs w:val="14"/>
              </w:rPr>
              <w:t>m</w:t>
            </w:r>
            <w:proofErr w:type="spellEnd"/>
            <w:r w:rsidR="00D1229E" w:rsidRPr="00D1229E">
              <w:rPr>
                <w:rStyle w:val="normaltextrun"/>
                <w:rFonts w:ascii="Georgia" w:eastAsiaTheme="minorEastAsia" w:hAnsi="Georgia" w:cs="Arial"/>
                <w:color w:val="000000" w:themeColor="text1"/>
                <w:sz w:val="14"/>
                <w:szCs w:val="14"/>
              </w:rPr>
              <w:t>]</w:t>
            </w:r>
            <w:r w:rsidR="00D1229E">
              <w:rPr>
                <w:rStyle w:val="normaltextrun"/>
                <w:rFonts w:ascii="Georgia" w:eastAsiaTheme="minorEastAsia" w:hAnsi="Georgia" w:cs="Arial"/>
                <w:color w:val="000000" w:themeColor="text1"/>
                <w:sz w:val="14"/>
                <w:szCs w:val="14"/>
              </w:rPr>
              <w:t xml:space="preserve"> </w:t>
            </w:r>
            <w:r w:rsidR="000D369A">
              <w:rPr>
                <w:rStyle w:val="normaltextrun"/>
                <w:rFonts w:ascii="Georgia" w:eastAsiaTheme="minorEastAsia" w:hAnsi="Georgia" w:cs="Arial"/>
                <w:color w:val="000000" w:themeColor="text1"/>
                <w:sz w:val="14"/>
                <w:szCs w:val="14"/>
              </w:rPr>
              <w:t>p</w:t>
            </w:r>
            <w:r w:rsidRPr="004C61F7">
              <w:rPr>
                <w:rStyle w:val="normaltextrun"/>
                <w:rFonts w:ascii="Georgia" w:eastAsiaTheme="minorEastAsia" w:hAnsi="Georgia" w:cs="Arial"/>
                <w:color w:val="000000" w:themeColor="text1"/>
                <w:sz w:val="14"/>
                <w:szCs w:val="14"/>
              </w:rPr>
              <w:t>ublished by TU Delft OPEN on behalf of the authors.</w:t>
            </w:r>
          </w:p>
        </w:tc>
      </w:tr>
    </w:tbl>
    <w:p w14:paraId="40573840" w14:textId="619A8C95" w:rsidR="00B47329" w:rsidRDefault="00E8235D" w:rsidP="00B47329">
      <w:pPr>
        <w:pStyle w:val="MDPI17abstract"/>
        <w:rPr>
          <w:rFonts w:ascii="Georgia" w:eastAsiaTheme="minorEastAsia" w:hAnsi="Georgia" w:cs="Arial"/>
        </w:rPr>
      </w:pPr>
      <w:r>
        <w:rPr>
          <w:rFonts w:ascii="Georgia" w:eastAsiaTheme="minorEastAsia" w:hAnsi="Georgia" w:cs="Arial"/>
          <w:b/>
          <w:bCs/>
        </w:rPr>
        <w:t xml:space="preserve">Abstract: </w:t>
      </w:r>
      <w:r w:rsidR="00B47329">
        <w:rPr>
          <w:rFonts w:ascii="Georgia" w:eastAsiaTheme="minorEastAsia" w:hAnsi="Georgia" w:cs="Arial"/>
        </w:rPr>
        <w:t xml:space="preserve">A PhD study was </w:t>
      </w:r>
      <w:r w:rsidR="00B47F20">
        <w:rPr>
          <w:rFonts w:ascii="Georgia" w:eastAsiaTheme="minorEastAsia" w:hAnsi="Georgia" w:cs="Arial"/>
        </w:rPr>
        <w:t>conducted</w:t>
      </w:r>
      <w:r w:rsidR="00B47329">
        <w:rPr>
          <w:rFonts w:ascii="Georgia" w:eastAsiaTheme="minorEastAsia" w:hAnsi="Georgia" w:cs="Arial"/>
        </w:rPr>
        <w:t xml:space="preserve"> on comfort and health of workers in outpatient areas because hospital workers are </w:t>
      </w:r>
      <w:r w:rsidR="00C01E61">
        <w:rPr>
          <w:rFonts w:ascii="Georgia" w:eastAsiaTheme="minorEastAsia" w:hAnsi="Georgia" w:cs="Arial"/>
        </w:rPr>
        <w:t>less</w:t>
      </w:r>
      <w:r w:rsidR="00B47329">
        <w:rPr>
          <w:rFonts w:ascii="Georgia" w:eastAsiaTheme="minorEastAsia" w:hAnsi="Georgia" w:cs="Arial"/>
        </w:rPr>
        <w:t xml:space="preserve"> satisfied with comfort than patients and outpatient areas were understudied. To better understand differences in preferences and satisfaction of individuals, profiles were produced with Two-Step Cluster </w:t>
      </w:r>
      <w:r w:rsidR="001A39F1">
        <w:rPr>
          <w:rFonts w:ascii="Georgia" w:eastAsiaTheme="minorEastAsia" w:hAnsi="Georgia" w:cs="Arial"/>
        </w:rPr>
        <w:t>A</w:t>
      </w:r>
      <w:r w:rsidR="00B47329">
        <w:rPr>
          <w:rFonts w:ascii="Georgia" w:eastAsiaTheme="minorEastAsia" w:hAnsi="Georgia" w:cs="Arial"/>
        </w:rPr>
        <w:t xml:space="preserve">nalysis, based on a questionnaire responded by 556 outpatient workers and building inspection of six hospital locations. </w:t>
      </w:r>
      <w:bookmarkStart w:id="2" w:name="_Hlk108106126"/>
      <w:bookmarkEnd w:id="0"/>
      <w:r w:rsidR="00B47329">
        <w:rPr>
          <w:rFonts w:ascii="Georgia" w:eastAsiaTheme="minorEastAsia" w:hAnsi="Georgia" w:cs="Arial"/>
        </w:rPr>
        <w:t xml:space="preserve">Thereafter, interviews were performed to explain the preferences. As the COVID-19 pandemic started after </w:t>
      </w:r>
      <w:r w:rsidR="007A4AFF">
        <w:rPr>
          <w:rFonts w:ascii="Georgia" w:eastAsiaTheme="minorEastAsia" w:hAnsi="Georgia" w:cs="Arial"/>
        </w:rPr>
        <w:t xml:space="preserve">the </w:t>
      </w:r>
      <w:r w:rsidR="00B47329">
        <w:rPr>
          <w:rFonts w:ascii="Georgia" w:eastAsiaTheme="minorEastAsia" w:hAnsi="Georgia" w:cs="Arial"/>
        </w:rPr>
        <w:t xml:space="preserve">production of the profiles, changes due to </w:t>
      </w:r>
      <w:r w:rsidR="007A4AFF">
        <w:rPr>
          <w:rFonts w:ascii="Georgia" w:eastAsiaTheme="minorEastAsia" w:hAnsi="Georgia" w:cs="Arial"/>
        </w:rPr>
        <w:t xml:space="preserve">the </w:t>
      </w:r>
      <w:r w:rsidR="00B47329">
        <w:rPr>
          <w:rFonts w:ascii="Georgia" w:eastAsiaTheme="minorEastAsia" w:hAnsi="Georgia" w:cs="Arial"/>
        </w:rPr>
        <w:t xml:space="preserve">pandemic were included. A gap between preferences and satisfaction was identified for all profiles. Also, those with similar preferences for social comfort (privacy, interaction, </w:t>
      </w:r>
      <w:r w:rsidR="007A4AFF">
        <w:rPr>
          <w:rFonts w:ascii="Georgia" w:eastAsiaTheme="minorEastAsia" w:hAnsi="Georgia" w:cs="Arial"/>
        </w:rPr>
        <w:t xml:space="preserve">and </w:t>
      </w:r>
      <w:r w:rsidR="00B47329">
        <w:rPr>
          <w:rFonts w:ascii="Georgia" w:eastAsiaTheme="minorEastAsia" w:hAnsi="Georgia" w:cs="Arial"/>
        </w:rPr>
        <w:t xml:space="preserve">distraction) performed similar activities. Contact with others was for all profiles important, while satisfaction was overall high before the COVID-19 pandemic. </w:t>
      </w:r>
      <w:bookmarkStart w:id="3" w:name="_Hlk108106149"/>
      <w:bookmarkStart w:id="4" w:name="_Hlk108106138"/>
      <w:bookmarkEnd w:id="2"/>
      <w:r w:rsidR="00B47329">
        <w:rPr>
          <w:rFonts w:ascii="Georgia" w:eastAsiaTheme="minorEastAsia" w:hAnsi="Georgia" w:cs="Arial"/>
        </w:rPr>
        <w:t>Due to the shift to digital care during the COVID-19 pandemic, impoverished interaction was a main concern of the outpatient workers. In conclusion</w:t>
      </w:r>
      <w:r w:rsidR="005722DB">
        <w:rPr>
          <w:rFonts w:ascii="Georgia" w:eastAsiaTheme="minorEastAsia" w:hAnsi="Georgia" w:cs="Arial"/>
        </w:rPr>
        <w:t>,</w:t>
      </w:r>
      <w:r w:rsidR="00B47329">
        <w:rPr>
          <w:rFonts w:ascii="Georgia" w:eastAsiaTheme="minorEastAsia" w:hAnsi="Georgia" w:cs="Arial"/>
        </w:rPr>
        <w:t xml:space="preserve"> </w:t>
      </w:r>
      <w:r w:rsidR="00B47329">
        <w:rPr>
          <w:rFonts w:ascii="Georgia" w:hAnsi="Georgia"/>
        </w:rPr>
        <w:t xml:space="preserve">the profiles for social comfort show that preferences for social comfort are associated with work-related aspects and can change. </w:t>
      </w:r>
      <w:bookmarkEnd w:id="3"/>
      <w:r w:rsidR="00B47329" w:rsidRPr="00C7794F">
        <w:rPr>
          <w:rFonts w:ascii="Georgia" w:hAnsi="Georgia"/>
        </w:rPr>
        <w:t>Th</w:t>
      </w:r>
      <w:r w:rsidR="00B47329">
        <w:rPr>
          <w:rFonts w:ascii="Georgia" w:hAnsi="Georgia"/>
        </w:rPr>
        <w:t>e profiles</w:t>
      </w:r>
      <w:r w:rsidR="00B47329" w:rsidRPr="00C7794F">
        <w:rPr>
          <w:rFonts w:ascii="Georgia" w:hAnsi="Georgia"/>
        </w:rPr>
        <w:t xml:space="preserve"> may open a new horizon to accommodate flexibility and variety beyond standardized solutions</w:t>
      </w:r>
      <w:r w:rsidR="00B47329">
        <w:rPr>
          <w:rFonts w:ascii="Georgia" w:hAnsi="Georgia"/>
        </w:rPr>
        <w:t>.</w:t>
      </w:r>
      <w:bookmarkEnd w:id="4"/>
    </w:p>
    <w:bookmarkEnd w:id="1"/>
    <w:p w14:paraId="55CE36C4" w14:textId="09F9CCEE" w:rsidR="00A86E9F" w:rsidRPr="005C6417" w:rsidRDefault="00A86E9F" w:rsidP="009B1665">
      <w:pPr>
        <w:pStyle w:val="MDPI18keywords"/>
        <w:rPr>
          <w:rFonts w:ascii="Georgia" w:eastAsiaTheme="minorEastAsia" w:hAnsi="Georgia" w:cs="Arial"/>
          <w:szCs w:val="18"/>
        </w:rPr>
      </w:pPr>
      <w:r w:rsidRPr="004F2BEA">
        <w:rPr>
          <w:rFonts w:ascii="Georgia" w:eastAsiaTheme="minorEastAsia" w:hAnsi="Georgia" w:cs="Arial"/>
          <w:b/>
          <w:szCs w:val="18"/>
        </w:rPr>
        <w:t>Keywords:</w:t>
      </w:r>
      <w:r w:rsidRPr="005C6417">
        <w:rPr>
          <w:rFonts w:ascii="Georgia" w:eastAsiaTheme="minorEastAsia" w:hAnsi="Georgia" w:cs="Arial"/>
          <w:szCs w:val="18"/>
        </w:rPr>
        <w:t xml:space="preserve"> </w:t>
      </w:r>
      <w:bookmarkStart w:id="5" w:name="_Hlk108106707"/>
      <w:r w:rsidR="00B47329">
        <w:rPr>
          <w:rFonts w:ascii="Georgia" w:eastAsiaTheme="minorEastAsia" w:hAnsi="Georgia" w:cs="Arial"/>
          <w:szCs w:val="18"/>
        </w:rPr>
        <w:t>social comfort, hospital staff, COVID-19 pandemic, preference</w:t>
      </w:r>
      <w:bookmarkEnd w:id="5"/>
    </w:p>
    <w:p w14:paraId="6A05A809" w14:textId="77777777" w:rsidR="00A86E9F" w:rsidRPr="005C6417" w:rsidRDefault="00A86E9F" w:rsidP="00030633">
      <w:pPr>
        <w:pStyle w:val="MDPI19line"/>
        <w:pBdr>
          <w:bottom w:val="single" w:sz="6" w:space="0" w:color="auto"/>
        </w:pBdr>
        <w:ind w:left="0"/>
        <w:rPr>
          <w:rFonts w:ascii="Georgia" w:eastAsiaTheme="minorEastAsia" w:hAnsi="Georgia" w:cs="Arial"/>
        </w:rPr>
      </w:pPr>
    </w:p>
    <w:p w14:paraId="32A36C38" w14:textId="77777777" w:rsidR="00A86E9F" w:rsidRPr="004F2BEA" w:rsidRDefault="00A86E9F" w:rsidP="00A86E9F">
      <w:pPr>
        <w:pStyle w:val="MDPI21heading1"/>
        <w:rPr>
          <w:rFonts w:ascii="Georgia" w:eastAsiaTheme="minorEastAsia" w:hAnsi="Georgia" w:cs="Arial"/>
          <w:lang w:eastAsia="zh-CN"/>
        </w:rPr>
      </w:pPr>
      <w:r w:rsidRPr="004F2BEA">
        <w:rPr>
          <w:rFonts w:ascii="Georgia" w:eastAsiaTheme="minorEastAsia" w:hAnsi="Georgia" w:cs="Arial"/>
          <w:lang w:eastAsia="zh-CN"/>
        </w:rPr>
        <w:t>1. Introduction</w:t>
      </w:r>
    </w:p>
    <w:p w14:paraId="1072AC15" w14:textId="4E96CE88" w:rsidR="00692740" w:rsidRPr="00554251" w:rsidRDefault="00692740" w:rsidP="00692740">
      <w:pPr>
        <w:pStyle w:val="MDPI31text"/>
        <w:rPr>
          <w:lang w:val="en-GB"/>
        </w:rPr>
      </w:pPr>
      <w:r w:rsidRPr="00554251">
        <w:rPr>
          <w:rFonts w:cs="Arial"/>
          <w:bCs/>
          <w:szCs w:val="24"/>
        </w:rPr>
        <w:t>While the pressure on hospital staff is increasing due to staff shortage</w:t>
      </w:r>
      <w:r w:rsidR="00DD3995">
        <w:rPr>
          <w:rFonts w:cs="Arial"/>
          <w:bCs/>
          <w:szCs w:val="24"/>
        </w:rPr>
        <w:t>s</w:t>
      </w:r>
      <w:r w:rsidRPr="00554251">
        <w:rPr>
          <w:rFonts w:cs="Arial"/>
          <w:bCs/>
          <w:szCs w:val="24"/>
        </w:rPr>
        <w:t xml:space="preserve"> and the increasing complexity of tasks (Barker, 2011), staff </w:t>
      </w:r>
      <w:r w:rsidR="00DD3995">
        <w:rPr>
          <w:rFonts w:cs="Arial"/>
          <w:bCs/>
          <w:szCs w:val="24"/>
        </w:rPr>
        <w:t>are</w:t>
      </w:r>
      <w:r w:rsidR="00DD3995" w:rsidRPr="00554251">
        <w:rPr>
          <w:rFonts w:cs="Arial"/>
          <w:bCs/>
          <w:szCs w:val="24"/>
        </w:rPr>
        <w:t xml:space="preserve"> </w:t>
      </w:r>
      <w:r w:rsidR="00B47F20" w:rsidRPr="00554251">
        <w:rPr>
          <w:rFonts w:cs="Arial"/>
          <w:bCs/>
          <w:szCs w:val="24"/>
        </w:rPr>
        <w:t>less</w:t>
      </w:r>
      <w:r w:rsidRPr="00554251">
        <w:rPr>
          <w:rFonts w:cs="Arial"/>
          <w:bCs/>
          <w:szCs w:val="24"/>
        </w:rPr>
        <w:t xml:space="preserve"> satisfied with comfort than patients </w:t>
      </w:r>
      <w:r w:rsidRPr="00554251">
        <w:rPr>
          <w:rFonts w:cs="Arial"/>
          <w:bCs/>
          <w:noProof/>
          <w:szCs w:val="24"/>
        </w:rPr>
        <w:t>(Eijkelenboom and Bluyssen, 2019). Satisfaction with comfort can vary between different departments, such as inpatient wards or outpatient areas, due to different activities, duration of stay</w:t>
      </w:r>
      <w:r w:rsidR="007E6BE1">
        <w:rPr>
          <w:rFonts w:cs="Arial"/>
          <w:bCs/>
          <w:noProof/>
          <w:szCs w:val="24"/>
        </w:rPr>
        <w:t>,</w:t>
      </w:r>
      <w:r w:rsidRPr="00554251">
        <w:rPr>
          <w:rFonts w:cs="Arial"/>
          <w:bCs/>
          <w:noProof/>
          <w:szCs w:val="24"/>
        </w:rPr>
        <w:t xml:space="preserve"> and building characteristics</w:t>
      </w:r>
      <w:r>
        <w:rPr>
          <w:rFonts w:cs="Arial"/>
          <w:bCs/>
          <w:noProof/>
          <w:szCs w:val="24"/>
        </w:rPr>
        <w:t xml:space="preserve"> (Rashid and Zimring, 2008)</w:t>
      </w:r>
      <w:r w:rsidRPr="00554251">
        <w:rPr>
          <w:rFonts w:cs="Arial"/>
          <w:bCs/>
          <w:noProof/>
          <w:szCs w:val="24"/>
        </w:rPr>
        <w:t xml:space="preserve">. As limited studies were found in outpatient areas, a PhD study was carried out on health and comfort of workers in outpatient areas. </w:t>
      </w:r>
    </w:p>
    <w:p w14:paraId="61749BE8" w14:textId="257A18C4" w:rsidR="006777A9" w:rsidRDefault="00692740" w:rsidP="00030633">
      <w:pPr>
        <w:pStyle w:val="MDPI31text"/>
        <w:rPr>
          <w:rFonts w:eastAsiaTheme="minorEastAsia" w:cs="Arial"/>
        </w:rPr>
      </w:pPr>
      <w:r w:rsidRPr="00554251">
        <w:t>Comfort was defined in this PhD study as a multifactorial construct, including indoor environmental quality (IEQ) and social comfort. This was done because several authors suggested that both the physiological perception of IEQ (thermal, indoor air, acoustic, lighting aspects) and social comfort aspects (privacy, crowding, distraction) contribute to satisfaction with the physical environment (Visscher, 200</w:t>
      </w:r>
      <w:r>
        <w:t>7;</w:t>
      </w:r>
      <w:r w:rsidRPr="00554251">
        <w:t xml:space="preserve"> Shin, 2016). Also, personal, work and building-related aspects were included to capture a view that justifies the com</w:t>
      </w:r>
      <w:r w:rsidRPr="00554251">
        <w:lastRenderedPageBreak/>
        <w:t>plexity of the outpatient workers’ perceptions. The PhD study identified differences in satisfaction</w:t>
      </w:r>
      <w:r>
        <w:t xml:space="preserve"> with room types between </w:t>
      </w:r>
      <w:r w:rsidRPr="00554251">
        <w:t>IEQ and social comfort, associations of building-related aspects with health complaints, changes in comfort due to the COVID-19 pandemic and profiles for IEQ and social comfort. As the social comfort profiles were mostly related to work activities and these can change in future, this paper focusses on social comfort</w:t>
      </w:r>
      <w:r w:rsidR="00C754D7">
        <w:t>.</w:t>
      </w:r>
    </w:p>
    <w:p w14:paraId="5A81B020" w14:textId="77777777" w:rsidR="00B43474" w:rsidRPr="005C6417" w:rsidRDefault="00B43474" w:rsidP="0029420B">
      <w:pPr>
        <w:pStyle w:val="MDPI31text"/>
        <w:rPr>
          <w:rFonts w:eastAsiaTheme="minorEastAsia" w:cs="Arial"/>
        </w:rPr>
      </w:pPr>
    </w:p>
    <w:p w14:paraId="4F0FCEE0" w14:textId="77777777" w:rsidR="00A86E9F" w:rsidRPr="004F2BEA" w:rsidRDefault="00A86E9F" w:rsidP="005C6417">
      <w:pPr>
        <w:pStyle w:val="MDPI21heading1"/>
        <w:rPr>
          <w:rFonts w:ascii="Georgia" w:eastAsiaTheme="minorEastAsia" w:hAnsi="Georgia" w:cs="Arial"/>
        </w:rPr>
      </w:pPr>
      <w:r w:rsidRPr="004F2BEA">
        <w:rPr>
          <w:rFonts w:ascii="Georgia" w:eastAsiaTheme="minorEastAsia" w:hAnsi="Georgia" w:cs="Arial"/>
          <w:lang w:eastAsia="zh-CN"/>
        </w:rPr>
        <w:t xml:space="preserve">2. </w:t>
      </w:r>
      <w:r w:rsidR="0040015C" w:rsidRPr="004F2BEA">
        <w:rPr>
          <w:rFonts w:ascii="Georgia" w:eastAsiaTheme="minorEastAsia" w:hAnsi="Georgia" w:cs="Arial"/>
        </w:rPr>
        <w:t>Theories</w:t>
      </w:r>
      <w:r w:rsidRPr="004F2BEA">
        <w:rPr>
          <w:rFonts w:ascii="Georgia" w:eastAsiaTheme="minorEastAsia" w:hAnsi="Georgia" w:cs="Arial"/>
        </w:rPr>
        <w:t xml:space="preserve"> and Methods</w:t>
      </w:r>
    </w:p>
    <w:p w14:paraId="774E553B" w14:textId="77777777" w:rsidR="00692740" w:rsidRPr="00554251" w:rsidRDefault="00692740" w:rsidP="00692740">
      <w:pPr>
        <w:pStyle w:val="MDPI22heading2"/>
        <w:spacing w:before="240"/>
        <w:rPr>
          <w:rFonts w:eastAsiaTheme="minorEastAsia" w:cs="Arial"/>
          <w:i/>
        </w:rPr>
      </w:pPr>
      <w:r w:rsidRPr="00554251">
        <w:rPr>
          <w:rFonts w:eastAsiaTheme="minorEastAsia" w:cs="Arial"/>
        </w:rPr>
        <w:t xml:space="preserve">2.1. Rationale </w:t>
      </w:r>
    </w:p>
    <w:p w14:paraId="1328A622" w14:textId="47504010" w:rsidR="00692740" w:rsidRPr="00554251" w:rsidRDefault="00692740" w:rsidP="00692740">
      <w:pPr>
        <w:pStyle w:val="MDPI31text"/>
        <w:rPr>
          <w:rFonts w:cs="Arial"/>
          <w:bCs/>
          <w:noProof/>
          <w:szCs w:val="24"/>
        </w:rPr>
      </w:pPr>
      <w:r w:rsidRPr="00554251">
        <w:t xml:space="preserve">It is important to understand differences between individuals for improved wellbeing in hospitals, as the sensitivity to environmental stimuli can vary between individuals. </w:t>
      </w:r>
      <w:r w:rsidRPr="00554251">
        <w:rPr>
          <w:rFonts w:cs="Arial"/>
          <w:bCs/>
          <w:noProof/>
          <w:szCs w:val="24"/>
        </w:rPr>
        <w:t>For example, in a study on the perception of acitvity</w:t>
      </w:r>
      <w:r w:rsidR="005866E3">
        <w:rPr>
          <w:rFonts w:cs="Arial"/>
          <w:bCs/>
          <w:noProof/>
          <w:szCs w:val="24"/>
        </w:rPr>
        <w:t>-</w:t>
      </w:r>
      <w:r w:rsidRPr="00554251">
        <w:rPr>
          <w:rFonts w:cs="Arial"/>
          <w:bCs/>
          <w:noProof/>
          <w:szCs w:val="24"/>
        </w:rPr>
        <w:t xml:space="preserve">based offices, </w:t>
      </w:r>
      <w:r w:rsidRPr="00554251">
        <w:rPr>
          <w:rFonts w:cs="Arial"/>
          <w:bCs/>
          <w:noProof/>
          <w:szCs w:val="20"/>
        </w:rPr>
        <w:t xml:space="preserve">Hoendervanger, </w:t>
      </w:r>
      <w:r w:rsidRPr="00554251">
        <w:rPr>
          <w:szCs w:val="20"/>
        </w:rPr>
        <w:t xml:space="preserve">Ernst, Albers, </w:t>
      </w:r>
      <w:proofErr w:type="spellStart"/>
      <w:r w:rsidRPr="00554251">
        <w:rPr>
          <w:szCs w:val="20"/>
        </w:rPr>
        <w:t>Mobach</w:t>
      </w:r>
      <w:proofErr w:type="spellEnd"/>
      <w:r w:rsidRPr="00554251">
        <w:rPr>
          <w:szCs w:val="20"/>
        </w:rPr>
        <w:t xml:space="preserve">, and Van </w:t>
      </w:r>
      <w:proofErr w:type="spellStart"/>
      <w:r w:rsidRPr="00554251">
        <w:rPr>
          <w:szCs w:val="20"/>
        </w:rPr>
        <w:t>Yperen</w:t>
      </w:r>
      <w:proofErr w:type="spellEnd"/>
      <w:r w:rsidRPr="00554251">
        <w:rPr>
          <w:sz w:val="18"/>
          <w:szCs w:val="18"/>
        </w:rPr>
        <w:t xml:space="preserve"> </w:t>
      </w:r>
      <w:r w:rsidRPr="00554251">
        <w:rPr>
          <w:rFonts w:cs="Arial"/>
          <w:bCs/>
          <w:noProof/>
          <w:szCs w:val="24"/>
        </w:rPr>
        <w:t>(2018) indicated that satisfaction with the physical environment was related to differences in preferences for privacy between individual occupants. To justify differences in preferences</w:t>
      </w:r>
      <w:r>
        <w:rPr>
          <w:rFonts w:cs="Arial"/>
          <w:bCs/>
          <w:noProof/>
          <w:szCs w:val="24"/>
        </w:rPr>
        <w:t xml:space="preserve"> and satisfaction</w:t>
      </w:r>
      <w:r w:rsidRPr="00554251">
        <w:rPr>
          <w:rFonts w:cs="Arial"/>
          <w:bCs/>
          <w:noProof/>
          <w:szCs w:val="24"/>
        </w:rPr>
        <w:t xml:space="preserve"> between individuals, profiling can be used (Bluyssen, 2019). While previous studies in hospitals mostly focussed on satisfaction with comfort aspects, understanding of the preferences can contribute to the design practice. Therefore, this paper aims to provide insights into differences in perceived importance and satisfaction between groups with similar preferences (profiles). Furthermore</w:t>
      </w:r>
      <w:r w:rsidR="00100D18">
        <w:rPr>
          <w:rFonts w:cs="Arial"/>
          <w:bCs/>
          <w:noProof/>
          <w:szCs w:val="24"/>
        </w:rPr>
        <w:t>,</w:t>
      </w:r>
      <w:r w:rsidRPr="00554251">
        <w:rPr>
          <w:rFonts w:cs="Arial"/>
          <w:bCs/>
          <w:noProof/>
          <w:szCs w:val="24"/>
        </w:rPr>
        <w:t xml:space="preserve"> changes in social comfort due to the COVID-19 pandemic are explained. </w:t>
      </w:r>
    </w:p>
    <w:p w14:paraId="197A16D5" w14:textId="77777777" w:rsidR="00692740" w:rsidRPr="00554251" w:rsidRDefault="00692740" w:rsidP="00692740">
      <w:pPr>
        <w:pStyle w:val="MDPI31text"/>
        <w:rPr>
          <w:rFonts w:cs="Arial"/>
          <w:bCs/>
          <w:noProof/>
          <w:szCs w:val="24"/>
        </w:rPr>
      </w:pPr>
      <w:r w:rsidRPr="00554251">
        <w:rPr>
          <w:rFonts w:cs="Arial"/>
          <w:bCs/>
          <w:noProof/>
          <w:szCs w:val="24"/>
        </w:rPr>
        <w:t>This paper presents detailed information on social comfort and discusses the main results of social comfort</w:t>
      </w:r>
      <w:r>
        <w:rPr>
          <w:rFonts w:cs="Arial"/>
          <w:bCs/>
          <w:noProof/>
          <w:szCs w:val="24"/>
        </w:rPr>
        <w:t>, which were part of the PhD study.</w:t>
      </w:r>
    </w:p>
    <w:p w14:paraId="7BCAB0DB" w14:textId="77777777" w:rsidR="00692740" w:rsidRPr="00554251" w:rsidRDefault="00692740" w:rsidP="00692740">
      <w:pPr>
        <w:pStyle w:val="MDPI22heading2"/>
        <w:spacing w:before="240"/>
        <w:rPr>
          <w:rFonts w:eastAsiaTheme="minorEastAsia" w:cs="Arial"/>
          <w:i/>
        </w:rPr>
      </w:pPr>
      <w:r w:rsidRPr="00554251">
        <w:rPr>
          <w:rFonts w:eastAsiaTheme="minorEastAsia" w:cs="Arial"/>
        </w:rPr>
        <w:t>2.2. Study design</w:t>
      </w:r>
    </w:p>
    <w:p w14:paraId="29EFCCB4" w14:textId="26949F4A" w:rsidR="00692740" w:rsidRPr="00554251" w:rsidRDefault="00692740" w:rsidP="00692740">
      <w:pPr>
        <w:pStyle w:val="MDPI31text"/>
        <w:rPr>
          <w:lang w:val="en-GB"/>
        </w:rPr>
      </w:pPr>
      <w:r w:rsidRPr="00554251">
        <w:rPr>
          <w:lang w:val="en-GB"/>
        </w:rPr>
        <w:t xml:space="preserve">A field study was </w:t>
      </w:r>
      <w:r w:rsidR="00B47F20" w:rsidRPr="00554251">
        <w:rPr>
          <w:lang w:val="en-GB"/>
        </w:rPr>
        <w:t>conducted</w:t>
      </w:r>
      <w:r w:rsidRPr="00554251">
        <w:rPr>
          <w:lang w:val="en-GB"/>
        </w:rPr>
        <w:t xml:space="preserve"> in two phases: a quantitative phase in the spring of 2019 and a qualitative phase in the autumn of 2020. This mixed methods approach was used to gain broad and in-depth insights into comfort and health of staff in hospitals. Only teaching hospitals were included to avoid bias due to organizational differences between academic, </w:t>
      </w:r>
      <w:r w:rsidR="0075023D" w:rsidRPr="00554251">
        <w:rPr>
          <w:lang w:val="en-GB"/>
        </w:rPr>
        <w:t>general,</w:t>
      </w:r>
      <w:r w:rsidRPr="00554251">
        <w:rPr>
          <w:lang w:val="en-GB"/>
        </w:rPr>
        <w:t xml:space="preserve"> and teaching hospitals. Three hospitals participated, all </w:t>
      </w:r>
      <w:r w:rsidR="00246F1A">
        <w:rPr>
          <w:lang w:val="en-GB"/>
        </w:rPr>
        <w:t xml:space="preserve">including </w:t>
      </w:r>
      <w:r w:rsidRPr="00554251">
        <w:rPr>
          <w:lang w:val="en-GB"/>
        </w:rPr>
        <w:t xml:space="preserve">the main and one </w:t>
      </w:r>
      <w:r>
        <w:rPr>
          <w:lang w:val="en-GB"/>
        </w:rPr>
        <w:t>smaller</w:t>
      </w:r>
      <w:r w:rsidRPr="00554251">
        <w:rPr>
          <w:lang w:val="en-GB"/>
        </w:rPr>
        <w:t xml:space="preserve"> location.</w:t>
      </w:r>
    </w:p>
    <w:p w14:paraId="6F8CD4B4" w14:textId="4A8320CB" w:rsidR="00692740" w:rsidRPr="00554251" w:rsidRDefault="00692740" w:rsidP="00692740">
      <w:pPr>
        <w:pStyle w:val="MDPI31text"/>
        <w:rPr>
          <w:lang w:val="en-GB"/>
        </w:rPr>
      </w:pPr>
      <w:r w:rsidRPr="00554251">
        <w:rPr>
          <w:lang w:val="en-GB"/>
        </w:rPr>
        <w:t xml:space="preserve">In the spring of 2019, </w:t>
      </w:r>
      <w:r>
        <w:rPr>
          <w:lang w:val="en-GB"/>
        </w:rPr>
        <w:t xml:space="preserve">the hospital organizations </w:t>
      </w:r>
      <w:r w:rsidR="009B2B10">
        <w:rPr>
          <w:lang w:val="en-GB"/>
        </w:rPr>
        <w:t xml:space="preserve">distributed a digital questionnaire </w:t>
      </w:r>
      <w:r w:rsidRPr="00554251">
        <w:rPr>
          <w:lang w:val="en-GB"/>
        </w:rPr>
        <w:t>among 1.694 outpatient workers at six hospital locations. The questionnaire included validated questions on IEQ and health based on OFFICAIR (Bluyssen et al. 2016), a translated set of questions on the perceived esthetical quality (Fisher, 1974)</w:t>
      </w:r>
      <w:r w:rsidR="007B66C4">
        <w:rPr>
          <w:lang w:val="en-GB"/>
        </w:rPr>
        <w:t>,</w:t>
      </w:r>
      <w:r w:rsidRPr="00554251">
        <w:rPr>
          <w:lang w:val="en-GB"/>
        </w:rPr>
        <w:t xml:space="preserve"> and a new set of questions on social comfort. These questions were based on literature. Also, </w:t>
      </w:r>
      <w:r>
        <w:rPr>
          <w:lang w:val="en-GB"/>
        </w:rPr>
        <w:t xml:space="preserve">the questionnaire comprised </w:t>
      </w:r>
      <w:r w:rsidRPr="00554251">
        <w:rPr>
          <w:lang w:val="en-GB"/>
        </w:rPr>
        <w:t xml:space="preserve">a new set of questions on preferences, related to the questions on IEQ and social comfort. The questionnaire was evaluated in a pilot study with outpatient workers </w:t>
      </w:r>
      <w:r w:rsidR="007B66C4">
        <w:rPr>
          <w:lang w:val="en-GB"/>
        </w:rPr>
        <w:t>at</w:t>
      </w:r>
      <w:r w:rsidR="007B66C4" w:rsidRPr="00554251">
        <w:rPr>
          <w:lang w:val="en-GB"/>
        </w:rPr>
        <w:t xml:space="preserve"> </w:t>
      </w:r>
      <w:r w:rsidRPr="00554251">
        <w:rPr>
          <w:lang w:val="en-GB"/>
        </w:rPr>
        <w:t>a general hospital. Th</w:t>
      </w:r>
      <w:r>
        <w:rPr>
          <w:lang w:val="en-GB"/>
        </w:rPr>
        <w:t xml:space="preserve">ese outpatient workers were </w:t>
      </w:r>
      <w:r w:rsidRPr="00554251">
        <w:rPr>
          <w:lang w:val="en-GB"/>
        </w:rPr>
        <w:t xml:space="preserve">not included in the main study. Also, checklists were used to collect data </w:t>
      </w:r>
      <w:r w:rsidR="007B66C4">
        <w:rPr>
          <w:lang w:val="en-GB"/>
        </w:rPr>
        <w:t>on</w:t>
      </w:r>
      <w:r w:rsidR="007B66C4" w:rsidRPr="00554251">
        <w:rPr>
          <w:lang w:val="en-GB"/>
        </w:rPr>
        <w:t xml:space="preserve"> </w:t>
      </w:r>
      <w:r w:rsidRPr="00554251">
        <w:rPr>
          <w:lang w:val="en-GB"/>
        </w:rPr>
        <w:t xml:space="preserve">building-related aspects such as </w:t>
      </w:r>
      <w:r w:rsidR="000D489C">
        <w:rPr>
          <w:lang w:val="en-GB"/>
        </w:rPr>
        <w:t xml:space="preserve">the </w:t>
      </w:r>
      <w:r w:rsidRPr="00554251">
        <w:rPr>
          <w:lang w:val="en-GB"/>
        </w:rPr>
        <w:t xml:space="preserve">enclosure of rooms, </w:t>
      </w:r>
      <w:r w:rsidR="000D489C">
        <w:rPr>
          <w:lang w:val="en-GB"/>
        </w:rPr>
        <w:t xml:space="preserve">the </w:t>
      </w:r>
      <w:r w:rsidRPr="00554251">
        <w:rPr>
          <w:lang w:val="en-GB"/>
        </w:rPr>
        <w:t>direction of lighting, finishing materials, HVAC-systems, potential pollutants, etc.</w:t>
      </w:r>
    </w:p>
    <w:p w14:paraId="08C8E9E4" w14:textId="701840E9" w:rsidR="00692740" w:rsidRPr="00554251" w:rsidRDefault="00692740" w:rsidP="00692740">
      <w:pPr>
        <w:pStyle w:val="MDPI31text"/>
        <w:rPr>
          <w:rFonts w:eastAsiaTheme="minorEastAsia"/>
        </w:rPr>
      </w:pPr>
      <w:r w:rsidRPr="00554251">
        <w:rPr>
          <w:lang w:val="en-GB"/>
        </w:rPr>
        <w:t xml:space="preserve">A representative group of the participants from the first phase was recruited for the qualitative follow-up. </w:t>
      </w:r>
      <w:r w:rsidRPr="00554251">
        <w:rPr>
          <w:rFonts w:eastAsiaTheme="minorEastAsia"/>
        </w:rPr>
        <w:t xml:space="preserve">Semi-structured interviews were conducted in the autumn of 2020, during the COVID-19 pandemic. </w:t>
      </w:r>
      <w:r w:rsidRPr="00554251">
        <w:rPr>
          <w:lang w:val="en-GB"/>
        </w:rPr>
        <w:t>The semi-structured interviews included explanation</w:t>
      </w:r>
      <w:r w:rsidR="000D489C">
        <w:rPr>
          <w:lang w:val="en-GB"/>
        </w:rPr>
        <w:t>s</w:t>
      </w:r>
      <w:r w:rsidRPr="00554251">
        <w:rPr>
          <w:lang w:val="en-GB"/>
        </w:rPr>
        <w:t xml:space="preserve"> of work activities, changes during the COVID-19 pandemic, preferences for IEQ and social comfort, </w:t>
      </w:r>
      <w:r>
        <w:rPr>
          <w:lang w:val="en-GB"/>
        </w:rPr>
        <w:t xml:space="preserve">and </w:t>
      </w:r>
      <w:r w:rsidRPr="00554251">
        <w:rPr>
          <w:lang w:val="en-GB"/>
        </w:rPr>
        <w:t xml:space="preserve">ranking of preferences. </w:t>
      </w:r>
      <w:r w:rsidRPr="00554251">
        <w:rPr>
          <w:rFonts w:eastAsiaTheme="minorEastAsia"/>
        </w:rPr>
        <w:t xml:space="preserve">For comparison with the survey, the outpatient workers were asked to rank the comfort aspects that were used to produce the profiles. </w:t>
      </w:r>
    </w:p>
    <w:p w14:paraId="00EE17FA" w14:textId="13DEB1FD" w:rsidR="00692740" w:rsidRDefault="00692740" w:rsidP="00331B9F">
      <w:pPr>
        <w:pStyle w:val="MDPI31text"/>
        <w:rPr>
          <w:lang w:val="en-GB"/>
        </w:rPr>
      </w:pPr>
      <w:r w:rsidRPr="00554251">
        <w:rPr>
          <w:lang w:val="en-GB"/>
        </w:rPr>
        <w:t>Before the interviews, the participants were instructed to send photos of comfort aspects in the</w:t>
      </w:r>
      <w:r>
        <w:rPr>
          <w:lang w:val="en-GB"/>
        </w:rPr>
        <w:t>ir</w:t>
      </w:r>
      <w:r w:rsidRPr="00554251">
        <w:rPr>
          <w:lang w:val="en-GB"/>
        </w:rPr>
        <w:t xml:space="preserve"> most frequently used rooms. These were used to support communication of experiences and preferences (Wilhoit, 2017). A pilot test was performed with outpatient workers</w:t>
      </w:r>
      <w:r>
        <w:rPr>
          <w:lang w:val="en-GB"/>
        </w:rPr>
        <w:t xml:space="preserve"> who</w:t>
      </w:r>
      <w:r w:rsidRPr="00554251">
        <w:rPr>
          <w:lang w:val="en-GB"/>
        </w:rPr>
        <w:t xml:space="preserve"> did not participate in the main study. The interviews were audio-taped with Microsoft Teams and transcribed verbatim. </w:t>
      </w:r>
    </w:p>
    <w:p w14:paraId="0366C635" w14:textId="77777777" w:rsidR="00C754D7" w:rsidRPr="00554251" w:rsidRDefault="00C754D7" w:rsidP="00331B9F">
      <w:pPr>
        <w:pStyle w:val="MDPI31text"/>
        <w:rPr>
          <w:lang w:val="en-GB"/>
        </w:rPr>
      </w:pPr>
    </w:p>
    <w:p w14:paraId="491A8A3E" w14:textId="77777777" w:rsidR="00692740" w:rsidRPr="00554251" w:rsidRDefault="00692740" w:rsidP="001C45F3">
      <w:pPr>
        <w:pStyle w:val="MDPI22heading2"/>
        <w:rPr>
          <w:color w:val="538135" w:themeColor="accent6" w:themeShade="BF"/>
          <w:lang w:val="en-GB"/>
        </w:rPr>
      </w:pPr>
      <w:r w:rsidRPr="00554251">
        <w:rPr>
          <w:lang w:val="en-GB"/>
        </w:rPr>
        <w:t>2.3. Ethical approval</w:t>
      </w:r>
    </w:p>
    <w:p w14:paraId="1A363DC0" w14:textId="3AC1FD12" w:rsidR="00692740" w:rsidRPr="00554251" w:rsidRDefault="00692740" w:rsidP="00692740">
      <w:pPr>
        <w:pStyle w:val="MDPI31text"/>
        <w:rPr>
          <w:lang w:val="en-GB"/>
        </w:rPr>
      </w:pPr>
      <w:r w:rsidRPr="00554251">
        <w:rPr>
          <w:lang w:val="en-GB"/>
        </w:rPr>
        <w:t xml:space="preserve">Participation was voluntary. The participants could only participate after their approval of informed consent. The data </w:t>
      </w:r>
      <w:r w:rsidR="00D65A36">
        <w:rPr>
          <w:lang w:val="en-GB"/>
        </w:rPr>
        <w:t>was</w:t>
      </w:r>
      <w:r w:rsidR="00D65A36" w:rsidRPr="00554251">
        <w:rPr>
          <w:lang w:val="en-GB"/>
        </w:rPr>
        <w:t xml:space="preserve"> </w:t>
      </w:r>
      <w:r w:rsidRPr="00554251">
        <w:rPr>
          <w:lang w:val="en-GB"/>
        </w:rPr>
        <w:t>stored on a secured server. The study design was approved by the Ethics Committee of Delft University of Technology</w:t>
      </w:r>
      <w:r>
        <w:rPr>
          <w:lang w:val="en-GB"/>
        </w:rPr>
        <w:t xml:space="preserve"> in October 2018</w:t>
      </w:r>
      <w:r w:rsidRPr="00554251">
        <w:rPr>
          <w:lang w:val="en-GB"/>
        </w:rPr>
        <w:t xml:space="preserve">. </w:t>
      </w:r>
    </w:p>
    <w:p w14:paraId="2DEBA9CC" w14:textId="77777777" w:rsidR="00692740" w:rsidRPr="00554251" w:rsidRDefault="00692740" w:rsidP="00692740">
      <w:pPr>
        <w:pStyle w:val="MDPI31text"/>
        <w:rPr>
          <w:lang w:val="en-GB"/>
        </w:rPr>
      </w:pPr>
    </w:p>
    <w:p w14:paraId="44DDAFAE" w14:textId="77777777" w:rsidR="00692740" w:rsidRPr="00554251" w:rsidRDefault="00692740" w:rsidP="00FE2F9F">
      <w:pPr>
        <w:pStyle w:val="MDPI22heading2"/>
        <w:rPr>
          <w:lang w:val="en-GB"/>
        </w:rPr>
      </w:pPr>
      <w:r w:rsidRPr="00554251">
        <w:rPr>
          <w:lang w:val="en-GB"/>
        </w:rPr>
        <w:t>2.4. Data analysis</w:t>
      </w:r>
    </w:p>
    <w:p w14:paraId="07A98560" w14:textId="5934F7D8" w:rsidR="00692740" w:rsidRPr="009B1665" w:rsidRDefault="00692740" w:rsidP="009B1665">
      <w:pPr>
        <w:pStyle w:val="MDPI31text"/>
        <w:rPr>
          <w:rStyle w:val="PlattetekstChar"/>
          <w:rFonts w:ascii="Georgia" w:hAnsi="Georgia"/>
          <w:sz w:val="20"/>
        </w:rPr>
      </w:pPr>
      <w:r w:rsidRPr="009B1665">
        <w:rPr>
          <w:rStyle w:val="PlattetekstChar"/>
          <w:rFonts w:ascii="Georgia" w:hAnsi="Georgia"/>
          <w:sz w:val="20"/>
        </w:rPr>
        <w:t xml:space="preserve">Data from the questionnaire </w:t>
      </w:r>
      <w:r w:rsidR="00D65A36">
        <w:rPr>
          <w:rStyle w:val="PlattetekstChar"/>
          <w:rFonts w:ascii="Georgia" w:hAnsi="Georgia"/>
          <w:sz w:val="20"/>
        </w:rPr>
        <w:t>was</w:t>
      </w:r>
      <w:r w:rsidR="00D65A36" w:rsidRPr="009B1665">
        <w:rPr>
          <w:rStyle w:val="PlattetekstChar"/>
          <w:rFonts w:ascii="Georgia" w:hAnsi="Georgia"/>
          <w:sz w:val="20"/>
        </w:rPr>
        <w:t xml:space="preserve"> </w:t>
      </w:r>
      <w:r w:rsidRPr="009B1665">
        <w:rPr>
          <w:rStyle w:val="PlattetekstChar"/>
          <w:rFonts w:ascii="Georgia" w:hAnsi="Georgia"/>
          <w:sz w:val="20"/>
        </w:rPr>
        <w:t xml:space="preserve">imported from Qualtrics XM platform into IBM SPSS Statistics 25. Data from </w:t>
      </w:r>
      <w:r w:rsidR="00D65A36">
        <w:rPr>
          <w:rStyle w:val="PlattetekstChar"/>
          <w:rFonts w:ascii="Georgia" w:hAnsi="Georgia"/>
          <w:sz w:val="20"/>
        </w:rPr>
        <w:t xml:space="preserve">the </w:t>
      </w:r>
      <w:r w:rsidRPr="009B1665">
        <w:rPr>
          <w:rStyle w:val="PlattetekstChar"/>
          <w:rFonts w:ascii="Georgia" w:hAnsi="Georgia"/>
          <w:sz w:val="20"/>
        </w:rPr>
        <w:t xml:space="preserve">building inspection </w:t>
      </w:r>
      <w:r w:rsidR="00D65A36">
        <w:rPr>
          <w:rStyle w:val="PlattetekstChar"/>
          <w:rFonts w:ascii="Georgia" w:hAnsi="Georgia"/>
          <w:sz w:val="20"/>
        </w:rPr>
        <w:t>was</w:t>
      </w:r>
      <w:r w:rsidR="00D65A36" w:rsidRPr="009B1665">
        <w:rPr>
          <w:rStyle w:val="PlattetekstChar"/>
          <w:rFonts w:ascii="Georgia" w:hAnsi="Georgia"/>
          <w:sz w:val="20"/>
        </w:rPr>
        <w:t xml:space="preserve"> </w:t>
      </w:r>
      <w:r w:rsidRPr="009B1665">
        <w:rPr>
          <w:rStyle w:val="PlattetekstChar"/>
          <w:rFonts w:ascii="Georgia" w:hAnsi="Georgia"/>
          <w:sz w:val="20"/>
        </w:rPr>
        <w:t xml:space="preserve">manually put into IBM SPSS </w:t>
      </w:r>
      <w:r w:rsidRPr="009B1665">
        <w:rPr>
          <w:rStyle w:val="PlattetekstChar"/>
          <w:rFonts w:ascii="Georgia" w:hAnsi="Georgia"/>
          <w:sz w:val="20"/>
        </w:rPr>
        <w:lastRenderedPageBreak/>
        <w:t xml:space="preserve">Statistics 25. Building-related aspects were assigned to the respondents when the inspected variables were consistent. Consistency was identified with crosstabs of building-related aspects on different scale levels, such as organization, location, building-wing, room type, presence of a facade window, etc. The interviews were transcribed verbatim. Meaningful text fragments were manually put into Microsoft 365 Excel. </w:t>
      </w:r>
    </w:p>
    <w:p w14:paraId="0D6E5B37" w14:textId="1FE0A2B3" w:rsidR="00692740" w:rsidRPr="00554251" w:rsidRDefault="00692740" w:rsidP="00692740">
      <w:pPr>
        <w:pStyle w:val="MDPI31text"/>
        <w:rPr>
          <w:rFonts w:eastAsiaTheme="minorEastAsia"/>
          <w:i/>
        </w:rPr>
      </w:pPr>
      <w:r w:rsidRPr="00554251">
        <w:rPr>
          <w:rStyle w:val="PlattetekstChar"/>
          <w:rFonts w:ascii="Georgia" w:hAnsi="Georgia"/>
          <w:sz w:val="20"/>
          <w:szCs w:val="20"/>
          <w:lang w:val="en-GB"/>
        </w:rPr>
        <w:t xml:space="preserve">The main preferences and satisfaction were identified through descriptive statistics. Two-Step Cluster </w:t>
      </w:r>
      <w:r w:rsidR="00D65A36">
        <w:rPr>
          <w:rStyle w:val="PlattetekstChar"/>
          <w:rFonts w:ascii="Georgia" w:hAnsi="Georgia"/>
          <w:sz w:val="20"/>
          <w:szCs w:val="20"/>
          <w:lang w:val="en-GB"/>
        </w:rPr>
        <w:t>A</w:t>
      </w:r>
      <w:r w:rsidRPr="00554251">
        <w:rPr>
          <w:rStyle w:val="PlattetekstChar"/>
          <w:rFonts w:ascii="Georgia" w:hAnsi="Georgia"/>
          <w:sz w:val="20"/>
          <w:szCs w:val="20"/>
          <w:lang w:val="en-GB"/>
        </w:rPr>
        <w:t xml:space="preserve">nalysis was used to produce clusters, which were differentiated by preferences and satisfaction with comfort. This was done for IEQ and social comfort separately. </w:t>
      </w:r>
      <w:r w:rsidRPr="00554251">
        <w:rPr>
          <w:rFonts w:eastAsiaTheme="minorEastAsia"/>
        </w:rPr>
        <w:t>For the profiles, all preferences, satisfaction, personal, work, and building-related aspects</w:t>
      </w:r>
      <w:r>
        <w:rPr>
          <w:rFonts w:eastAsiaTheme="minorEastAsia"/>
        </w:rPr>
        <w:t>,</w:t>
      </w:r>
      <w:r w:rsidRPr="00554251">
        <w:rPr>
          <w:rFonts w:eastAsiaTheme="minorEastAsia"/>
        </w:rPr>
        <w:t xml:space="preserve"> were compared between the clusters. </w:t>
      </w:r>
    </w:p>
    <w:p w14:paraId="5DAE0E51" w14:textId="77777777" w:rsidR="00692740" w:rsidRPr="00554251" w:rsidRDefault="00692740" w:rsidP="00692740">
      <w:pPr>
        <w:pStyle w:val="MDPI31text"/>
        <w:rPr>
          <w:szCs w:val="20"/>
          <w:lang w:val="en-GB"/>
        </w:rPr>
      </w:pPr>
      <w:r w:rsidRPr="00554251">
        <w:rPr>
          <w:rStyle w:val="PlattetekstChar"/>
          <w:rFonts w:ascii="Georgia" w:hAnsi="Georgia"/>
          <w:sz w:val="20"/>
          <w:szCs w:val="20"/>
          <w:lang w:val="en-GB"/>
        </w:rPr>
        <w:t xml:space="preserve">Inductive analysis, according to the steps defined by Gioia (2013), was used to identify changes due to the COVID-19 pandemic. The codes from the inductive analysis were compared with the data of the individuals from the survey. See </w:t>
      </w:r>
      <w:proofErr w:type="spellStart"/>
      <w:r w:rsidRPr="00554251">
        <w:rPr>
          <w:rStyle w:val="PlattetekstChar"/>
          <w:rFonts w:ascii="Georgia" w:hAnsi="Georgia"/>
          <w:sz w:val="20"/>
          <w:szCs w:val="20"/>
          <w:lang w:val="en-GB"/>
        </w:rPr>
        <w:t>Eijkelenboom</w:t>
      </w:r>
      <w:proofErr w:type="spellEnd"/>
      <w:r w:rsidRPr="00554251">
        <w:rPr>
          <w:rStyle w:val="PlattetekstChar"/>
          <w:rFonts w:ascii="Georgia" w:hAnsi="Georgia"/>
          <w:sz w:val="20"/>
          <w:szCs w:val="20"/>
          <w:lang w:val="en-GB"/>
        </w:rPr>
        <w:t xml:space="preserve"> and Bluyssen (2020) and </w:t>
      </w:r>
      <w:proofErr w:type="spellStart"/>
      <w:r w:rsidRPr="00554251">
        <w:rPr>
          <w:rStyle w:val="PlattetekstChar"/>
          <w:rFonts w:ascii="Georgia" w:hAnsi="Georgia"/>
          <w:sz w:val="20"/>
          <w:szCs w:val="20"/>
          <w:lang w:val="en-GB"/>
        </w:rPr>
        <w:t>Eijkelenboom</w:t>
      </w:r>
      <w:proofErr w:type="spellEnd"/>
      <w:r w:rsidRPr="00554251">
        <w:rPr>
          <w:rStyle w:val="PlattetekstChar"/>
          <w:rFonts w:ascii="Georgia" w:hAnsi="Georgia"/>
          <w:sz w:val="20"/>
          <w:szCs w:val="20"/>
          <w:lang w:val="en-GB"/>
        </w:rPr>
        <w:t>, Ortiz, and Bluyssen (2021) for detailed information on the study design and analysis.</w:t>
      </w:r>
    </w:p>
    <w:p w14:paraId="656FF3E5" w14:textId="77777777" w:rsidR="00A86E9F" w:rsidRPr="004F2BEA" w:rsidRDefault="00A86E9F" w:rsidP="0029420B">
      <w:pPr>
        <w:pStyle w:val="MDPI21heading1"/>
        <w:rPr>
          <w:rFonts w:ascii="Georgia" w:eastAsiaTheme="minorEastAsia" w:hAnsi="Georgia" w:cs="Arial"/>
        </w:rPr>
      </w:pPr>
      <w:r w:rsidRPr="004F2BEA">
        <w:rPr>
          <w:rFonts w:ascii="Georgia" w:eastAsiaTheme="minorEastAsia" w:hAnsi="Georgia" w:cs="Arial"/>
        </w:rPr>
        <w:t>3. Results</w:t>
      </w:r>
    </w:p>
    <w:p w14:paraId="51635397" w14:textId="2B65810A" w:rsidR="0075023D" w:rsidRPr="00554251" w:rsidRDefault="0075023D" w:rsidP="0075023D">
      <w:pPr>
        <w:pStyle w:val="MDPI31text"/>
        <w:rPr>
          <w:lang w:val="en-GB"/>
        </w:rPr>
      </w:pPr>
      <w:r w:rsidRPr="00554251">
        <w:t xml:space="preserve">The questionnaire was responded by 556 workers from outpatient areas at six hospital locations in the spring of 2019. </w:t>
      </w:r>
      <w:r w:rsidRPr="00554251">
        <w:rPr>
          <w:lang w:val="en-GB"/>
        </w:rPr>
        <w:t xml:space="preserve">The preferences and perceptions of those working at the </w:t>
      </w:r>
      <w:r w:rsidR="00C01E61" w:rsidRPr="00554251">
        <w:rPr>
          <w:lang w:val="en-GB"/>
        </w:rPr>
        <w:t>various locations</w:t>
      </w:r>
      <w:r w:rsidRPr="00554251">
        <w:rPr>
          <w:lang w:val="en-GB"/>
        </w:rPr>
        <w:t xml:space="preserve"> could be compared, as personal aspects, such as age or sex, did not vary between them</w:t>
      </w:r>
      <w:r w:rsidR="00A36DBE">
        <w:rPr>
          <w:lang w:val="en-GB"/>
        </w:rPr>
        <w:t>. See for detailed information</w:t>
      </w:r>
      <w:r w:rsidR="00531E80">
        <w:rPr>
          <w:lang w:val="en-GB"/>
        </w:rPr>
        <w:t xml:space="preserve"> </w:t>
      </w:r>
      <w:r w:rsidR="00920AA6">
        <w:rPr>
          <w:lang w:val="en-GB"/>
        </w:rPr>
        <w:t>about</w:t>
      </w:r>
      <w:r w:rsidR="00531E80">
        <w:rPr>
          <w:lang w:val="en-GB"/>
        </w:rPr>
        <w:t xml:space="preserve"> the participants</w:t>
      </w:r>
      <w:r w:rsidR="00D855C4">
        <w:rPr>
          <w:lang w:val="en-GB"/>
        </w:rPr>
        <w:t xml:space="preserve"> </w:t>
      </w:r>
      <w:proofErr w:type="spellStart"/>
      <w:r>
        <w:rPr>
          <w:lang w:val="en-GB"/>
        </w:rPr>
        <w:t>Eijkelenboom</w:t>
      </w:r>
      <w:proofErr w:type="spellEnd"/>
      <w:r>
        <w:rPr>
          <w:lang w:val="en-GB"/>
        </w:rPr>
        <w:t>, Kim</w:t>
      </w:r>
      <w:r w:rsidR="00212F90">
        <w:rPr>
          <w:lang w:val="en-GB"/>
        </w:rPr>
        <w:t>,</w:t>
      </w:r>
      <w:r>
        <w:rPr>
          <w:lang w:val="en-GB"/>
        </w:rPr>
        <w:t xml:space="preserve"> and Bluyssen</w:t>
      </w:r>
      <w:r w:rsidR="00212F90">
        <w:rPr>
          <w:lang w:val="en-GB"/>
        </w:rPr>
        <w:t>,</w:t>
      </w:r>
      <w:r>
        <w:rPr>
          <w:lang w:val="en-GB"/>
        </w:rPr>
        <w:t xml:space="preserve"> 2020</w:t>
      </w:r>
      <w:r w:rsidRPr="00554251">
        <w:rPr>
          <w:lang w:val="en-GB"/>
        </w:rPr>
        <w:t>.</w:t>
      </w:r>
    </w:p>
    <w:p w14:paraId="6A8AAAE9" w14:textId="77777777" w:rsidR="0075023D" w:rsidRPr="00554251" w:rsidRDefault="0075023D" w:rsidP="0075023D">
      <w:pPr>
        <w:pStyle w:val="MDPI22heading2"/>
        <w:spacing w:before="240"/>
        <w:rPr>
          <w:rFonts w:eastAsiaTheme="minorEastAsia" w:cs="Arial"/>
          <w:i/>
        </w:rPr>
      </w:pPr>
      <w:r w:rsidRPr="00554251">
        <w:rPr>
          <w:rFonts w:eastAsiaTheme="minorEastAsia" w:cs="Arial"/>
        </w:rPr>
        <w:t>3.1. Preferences before the pandemic</w:t>
      </w:r>
    </w:p>
    <w:p w14:paraId="64CB8B6D" w14:textId="0BF2F0CF" w:rsidR="0075023D" w:rsidRDefault="0075023D" w:rsidP="0075023D">
      <w:pPr>
        <w:pStyle w:val="MDPI31text"/>
        <w:rPr>
          <w:rFonts w:eastAsiaTheme="minorEastAsia"/>
        </w:rPr>
      </w:pPr>
      <w:r w:rsidRPr="00554251">
        <w:rPr>
          <w:rFonts w:eastAsiaTheme="minorEastAsia"/>
        </w:rPr>
        <w:t>Figure 1 shows the main preferences of the outpatient workers for social comfort aspects. Also, physical aspects</w:t>
      </w:r>
      <w:r w:rsidR="00C754D7">
        <w:rPr>
          <w:rFonts w:eastAsiaTheme="minorEastAsia"/>
        </w:rPr>
        <w:t>,</w:t>
      </w:r>
      <w:r w:rsidRPr="00554251">
        <w:rPr>
          <w:rFonts w:eastAsiaTheme="minorEastAsia"/>
        </w:rPr>
        <w:t xml:space="preserve"> </w:t>
      </w:r>
      <w:r w:rsidR="001D3D05">
        <w:rPr>
          <w:rFonts w:eastAsiaTheme="minorEastAsia"/>
        </w:rPr>
        <w:t xml:space="preserve">such as </w:t>
      </w:r>
      <w:r w:rsidR="00C754D7">
        <w:rPr>
          <w:rFonts w:eastAsiaTheme="minorEastAsia"/>
        </w:rPr>
        <w:t xml:space="preserve">the </w:t>
      </w:r>
      <w:r w:rsidRPr="00554251">
        <w:rPr>
          <w:rFonts w:eastAsiaTheme="minorEastAsia"/>
        </w:rPr>
        <w:t xml:space="preserve">size of the workplace and </w:t>
      </w:r>
      <w:r w:rsidR="001D3D05">
        <w:rPr>
          <w:rFonts w:eastAsiaTheme="minorEastAsia"/>
        </w:rPr>
        <w:t xml:space="preserve">the </w:t>
      </w:r>
      <w:r w:rsidRPr="00554251">
        <w:rPr>
          <w:rFonts w:eastAsiaTheme="minorEastAsia"/>
        </w:rPr>
        <w:t xml:space="preserve">size of </w:t>
      </w:r>
      <w:r w:rsidR="001D3D05">
        <w:rPr>
          <w:rFonts w:eastAsiaTheme="minorEastAsia"/>
        </w:rPr>
        <w:t xml:space="preserve">the </w:t>
      </w:r>
      <w:r w:rsidRPr="00554251">
        <w:rPr>
          <w:rFonts w:eastAsiaTheme="minorEastAsia"/>
        </w:rPr>
        <w:t>storage place</w:t>
      </w:r>
      <w:r w:rsidR="00C754D7">
        <w:rPr>
          <w:rFonts w:eastAsiaTheme="minorEastAsia"/>
        </w:rPr>
        <w:t>,</w:t>
      </w:r>
      <w:r w:rsidRPr="00554251">
        <w:rPr>
          <w:rFonts w:eastAsiaTheme="minorEastAsia"/>
        </w:rPr>
        <w:t xml:space="preserve"> are included. The importance of the </w:t>
      </w:r>
      <w:r w:rsidR="00C01E61" w:rsidRPr="00554251">
        <w:rPr>
          <w:rFonts w:eastAsiaTheme="minorEastAsia"/>
        </w:rPr>
        <w:t>distinct aspects</w:t>
      </w:r>
      <w:r w:rsidRPr="00554251">
        <w:rPr>
          <w:rFonts w:eastAsiaTheme="minorEastAsia"/>
        </w:rPr>
        <w:t xml:space="preserve"> varied between the outpatient workers. For example, two</w:t>
      </w:r>
      <w:r w:rsidR="001D3D05">
        <w:rPr>
          <w:rFonts w:eastAsiaTheme="minorEastAsia"/>
        </w:rPr>
        <w:t>-</w:t>
      </w:r>
      <w:r w:rsidRPr="00554251">
        <w:rPr>
          <w:rFonts w:eastAsiaTheme="minorEastAsia"/>
        </w:rPr>
        <w:t>third</w:t>
      </w:r>
      <w:r w:rsidR="001D3D05">
        <w:rPr>
          <w:rFonts w:eastAsiaTheme="minorEastAsia"/>
        </w:rPr>
        <w:t>s</w:t>
      </w:r>
      <w:r w:rsidRPr="00554251">
        <w:rPr>
          <w:rFonts w:eastAsiaTheme="minorEastAsia"/>
        </w:rPr>
        <w:t xml:space="preserve"> of the outpatient workers regarded contact with colleagues and patients </w:t>
      </w:r>
      <w:r w:rsidR="00416B82">
        <w:rPr>
          <w:rFonts w:eastAsiaTheme="minorEastAsia"/>
        </w:rPr>
        <w:t>as one of</w:t>
      </w:r>
      <w:r w:rsidR="00416B82" w:rsidRPr="00554251">
        <w:rPr>
          <w:rFonts w:eastAsiaTheme="minorEastAsia"/>
        </w:rPr>
        <w:t xml:space="preserve"> </w:t>
      </w:r>
      <w:r w:rsidRPr="00554251">
        <w:rPr>
          <w:rFonts w:eastAsiaTheme="minorEastAsia"/>
        </w:rPr>
        <w:t xml:space="preserve">the three most important aspects </w:t>
      </w:r>
      <w:r w:rsidR="00416B82">
        <w:rPr>
          <w:rFonts w:eastAsiaTheme="minorEastAsia"/>
        </w:rPr>
        <w:t>of</w:t>
      </w:r>
      <w:r w:rsidR="00416B82" w:rsidRPr="00554251">
        <w:rPr>
          <w:rFonts w:eastAsiaTheme="minorEastAsia"/>
        </w:rPr>
        <w:t xml:space="preserve"> </w:t>
      </w:r>
      <w:r w:rsidRPr="00554251">
        <w:rPr>
          <w:rFonts w:eastAsiaTheme="minorEastAsia"/>
        </w:rPr>
        <w:t xml:space="preserve">their work performance, while less than 2% regarded the size of </w:t>
      </w:r>
      <w:r w:rsidR="00416B82">
        <w:rPr>
          <w:rFonts w:eastAsiaTheme="minorEastAsia"/>
        </w:rPr>
        <w:t xml:space="preserve">the </w:t>
      </w:r>
      <w:r w:rsidRPr="00554251">
        <w:rPr>
          <w:rFonts w:eastAsiaTheme="minorEastAsia"/>
        </w:rPr>
        <w:t xml:space="preserve">storage place or </w:t>
      </w:r>
      <w:r w:rsidR="00416B82">
        <w:rPr>
          <w:rFonts w:eastAsiaTheme="minorEastAsia"/>
        </w:rPr>
        <w:t>the lack of</w:t>
      </w:r>
      <w:r w:rsidR="00416B82" w:rsidRPr="00554251">
        <w:rPr>
          <w:rFonts w:eastAsiaTheme="minorEastAsia"/>
        </w:rPr>
        <w:t xml:space="preserve"> </w:t>
      </w:r>
      <w:r w:rsidRPr="00554251">
        <w:rPr>
          <w:rFonts w:eastAsiaTheme="minorEastAsia"/>
        </w:rPr>
        <w:t xml:space="preserve">crowding in the building </w:t>
      </w:r>
      <w:r w:rsidR="00416B82">
        <w:rPr>
          <w:rFonts w:eastAsiaTheme="minorEastAsia"/>
        </w:rPr>
        <w:t xml:space="preserve">as </w:t>
      </w:r>
      <w:r w:rsidRPr="00554251">
        <w:rPr>
          <w:rFonts w:eastAsiaTheme="minorEastAsia"/>
        </w:rPr>
        <w:t xml:space="preserve">important. Another aspect that was only </w:t>
      </w:r>
      <w:r w:rsidR="008C33CC">
        <w:rPr>
          <w:rFonts w:eastAsiaTheme="minorEastAsia"/>
        </w:rPr>
        <w:t>important to</w:t>
      </w:r>
      <w:r w:rsidR="008C33CC" w:rsidRPr="00554251">
        <w:rPr>
          <w:rFonts w:eastAsiaTheme="minorEastAsia"/>
        </w:rPr>
        <w:t xml:space="preserve"> </w:t>
      </w:r>
      <w:r w:rsidRPr="00554251">
        <w:rPr>
          <w:rFonts w:eastAsiaTheme="minorEastAsia"/>
        </w:rPr>
        <w:t xml:space="preserve">a minority (less than 10%) was the length of the walking distances. Aspects that were important for a </w:t>
      </w:r>
      <w:r w:rsidR="00B47F20" w:rsidRPr="00554251">
        <w:rPr>
          <w:rFonts w:eastAsiaTheme="minorEastAsia"/>
        </w:rPr>
        <w:t>large</w:t>
      </w:r>
      <w:r w:rsidRPr="00554251">
        <w:rPr>
          <w:rFonts w:eastAsiaTheme="minorEastAsia"/>
        </w:rPr>
        <w:t xml:space="preserve"> group were a safe workplace (over 50%), patient privacy (over 40%)</w:t>
      </w:r>
      <w:r w:rsidR="006C4586">
        <w:rPr>
          <w:rFonts w:eastAsiaTheme="minorEastAsia"/>
        </w:rPr>
        <w:t>,</w:t>
      </w:r>
      <w:r w:rsidRPr="00554251">
        <w:rPr>
          <w:rFonts w:eastAsiaTheme="minorEastAsia"/>
        </w:rPr>
        <w:t xml:space="preserve"> and no distraction by noise (over 25%).</w:t>
      </w:r>
    </w:p>
    <w:p w14:paraId="36F5616F" w14:textId="2B7F2C59" w:rsidR="00D54F79" w:rsidRPr="005C6417" w:rsidRDefault="00D54F79" w:rsidP="00D92691">
      <w:pPr>
        <w:pStyle w:val="MDPI52figure"/>
        <w:ind w:left="2608"/>
        <w:jc w:val="left"/>
        <w:rPr>
          <w:rFonts w:ascii="Georgia" w:eastAsiaTheme="minorEastAsia" w:hAnsi="Georgia" w:cs="Arial"/>
        </w:rPr>
      </w:pPr>
      <w:r w:rsidRPr="00554251">
        <w:rPr>
          <w:noProof/>
        </w:rPr>
        <w:lastRenderedPageBreak/>
        <w:drawing>
          <wp:inline distT="0" distB="0" distL="0" distR="0" wp14:anchorId="48D5152B" wp14:editId="5EC2DEF6">
            <wp:extent cx="4981575" cy="4276725"/>
            <wp:effectExtent l="0" t="0" r="9525" b="9525"/>
            <wp:docPr id="2" name="Grafiek 2">
              <a:extLst xmlns:a="http://schemas.openxmlformats.org/drawingml/2006/main">
                <a:ext uri="{FF2B5EF4-FFF2-40B4-BE49-F238E27FC236}">
                  <a16:creationId xmlns:a16="http://schemas.microsoft.com/office/drawing/2014/main" id="{7FD65565-91AC-4A46-8815-2D6137301A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1B4D1D4" w14:textId="22324DC5" w:rsidR="00D54F79" w:rsidRPr="00554251" w:rsidRDefault="00D54F79" w:rsidP="00D54F79">
      <w:pPr>
        <w:pStyle w:val="MDPI51figurecaption"/>
        <w:rPr>
          <w:rFonts w:ascii="Georgia" w:eastAsiaTheme="minorEastAsia" w:hAnsi="Georgia" w:cs="Arial"/>
        </w:rPr>
      </w:pPr>
      <w:r w:rsidRPr="00554251">
        <w:rPr>
          <w:rFonts w:ascii="Georgia" w:eastAsiaTheme="minorEastAsia" w:hAnsi="Georgia" w:cs="Arial"/>
        </w:rPr>
        <w:t>Figure 1. Preferences of the outpatient workers</w:t>
      </w:r>
    </w:p>
    <w:p w14:paraId="1C792118" w14:textId="3A8EA8EB" w:rsidR="00D54F79" w:rsidRPr="00554251" w:rsidRDefault="00084328" w:rsidP="00D54F79">
      <w:pPr>
        <w:pStyle w:val="MDPI31text"/>
        <w:rPr>
          <w:rFonts w:eastAsiaTheme="minorEastAsia"/>
          <w:i/>
        </w:rPr>
      </w:pPr>
      <w:r>
        <w:rPr>
          <w:rFonts w:eastAsiaTheme="minorEastAsia"/>
        </w:rPr>
        <w:t>T</w:t>
      </w:r>
      <w:r w:rsidR="00D54F79" w:rsidRPr="00554251">
        <w:rPr>
          <w:rFonts w:eastAsiaTheme="minorEastAsia"/>
        </w:rPr>
        <w:t xml:space="preserve">he questions on satisfaction </w:t>
      </w:r>
      <w:r>
        <w:rPr>
          <w:rFonts w:eastAsiaTheme="minorEastAsia"/>
        </w:rPr>
        <w:t xml:space="preserve">with social comfort </w:t>
      </w:r>
      <w:r w:rsidR="00D54F79" w:rsidRPr="00554251">
        <w:rPr>
          <w:rFonts w:eastAsiaTheme="minorEastAsia"/>
        </w:rPr>
        <w:t>were reduced with Principal Component Analysis</w:t>
      </w:r>
      <w:r w:rsidR="004F1AEB">
        <w:rPr>
          <w:rFonts w:eastAsiaTheme="minorEastAsia"/>
        </w:rPr>
        <w:t xml:space="preserve"> to</w:t>
      </w:r>
      <w:r w:rsidR="00D54F79" w:rsidRPr="00554251">
        <w:rPr>
          <w:rFonts w:eastAsiaTheme="minorEastAsia"/>
        </w:rPr>
        <w:t xml:space="preserve"> three components</w:t>
      </w:r>
      <w:r w:rsidR="00D54F79" w:rsidRPr="00554251">
        <w:rPr>
          <w:rFonts w:eastAsiaTheme="minorEastAsia"/>
          <w:i/>
          <w:iCs/>
        </w:rPr>
        <w:t>: interaction</w:t>
      </w:r>
      <w:r w:rsidR="00D54F79" w:rsidRPr="00554251">
        <w:rPr>
          <w:rFonts w:eastAsiaTheme="minorEastAsia"/>
        </w:rPr>
        <w:t xml:space="preserve"> (contact and proximity), </w:t>
      </w:r>
      <w:r w:rsidR="00D54F79" w:rsidRPr="00554251">
        <w:rPr>
          <w:rFonts w:eastAsiaTheme="minorEastAsia"/>
          <w:i/>
          <w:iCs/>
        </w:rPr>
        <w:t>disturbance</w:t>
      </w:r>
      <w:r w:rsidR="00D54F79" w:rsidRPr="00554251">
        <w:rPr>
          <w:rFonts w:eastAsiaTheme="minorEastAsia"/>
        </w:rPr>
        <w:t xml:space="preserve"> (distraction by noise, visual distraction, crowding at workplace and building, privacy of self)</w:t>
      </w:r>
      <w:r w:rsidR="00FB319B">
        <w:rPr>
          <w:rFonts w:eastAsiaTheme="minorEastAsia"/>
        </w:rPr>
        <w:t>,</w:t>
      </w:r>
      <w:r w:rsidR="00D54F79" w:rsidRPr="00554251">
        <w:rPr>
          <w:rFonts w:eastAsiaTheme="minorEastAsia"/>
        </w:rPr>
        <w:t xml:space="preserve"> and </w:t>
      </w:r>
      <w:r w:rsidR="00D54F79" w:rsidRPr="00554251">
        <w:rPr>
          <w:rFonts w:eastAsiaTheme="minorEastAsia"/>
          <w:i/>
          <w:iCs/>
        </w:rPr>
        <w:t>sense of space</w:t>
      </w:r>
      <w:r w:rsidR="00D54F79" w:rsidRPr="00554251">
        <w:rPr>
          <w:rFonts w:eastAsiaTheme="minorEastAsia"/>
        </w:rPr>
        <w:t xml:space="preserve"> (short walking distances, size </w:t>
      </w:r>
      <w:r w:rsidR="00D77C0D">
        <w:rPr>
          <w:rFonts w:eastAsiaTheme="minorEastAsia"/>
        </w:rPr>
        <w:t xml:space="preserve">of </w:t>
      </w:r>
      <w:r w:rsidR="00D54F79" w:rsidRPr="00554251">
        <w:rPr>
          <w:rFonts w:eastAsiaTheme="minorEastAsia"/>
        </w:rPr>
        <w:t>storage place, size</w:t>
      </w:r>
      <w:r w:rsidR="00D77C0D">
        <w:rPr>
          <w:rFonts w:eastAsiaTheme="minorEastAsia"/>
        </w:rPr>
        <w:t xml:space="preserve"> of</w:t>
      </w:r>
      <w:r w:rsidR="00D54F79" w:rsidRPr="00554251">
        <w:rPr>
          <w:rFonts w:eastAsiaTheme="minorEastAsia"/>
        </w:rPr>
        <w:t xml:space="preserve"> workplace, safe workplace) (</w:t>
      </w:r>
      <w:proofErr w:type="spellStart"/>
      <w:r w:rsidR="00D54F79" w:rsidRPr="00554251">
        <w:rPr>
          <w:rFonts w:eastAsiaTheme="minorEastAsia"/>
        </w:rPr>
        <w:t>Eijkelenboom</w:t>
      </w:r>
      <w:proofErr w:type="spellEnd"/>
      <w:r w:rsidR="00D54F79" w:rsidRPr="00554251">
        <w:rPr>
          <w:rFonts w:eastAsiaTheme="minorEastAsia"/>
        </w:rPr>
        <w:t xml:space="preserve"> </w:t>
      </w:r>
      <w:r w:rsidR="00417A97">
        <w:rPr>
          <w:rFonts w:eastAsiaTheme="minorEastAsia"/>
        </w:rPr>
        <w:t>and Bluyssen,</w:t>
      </w:r>
      <w:r w:rsidR="00D54F79" w:rsidRPr="00554251">
        <w:rPr>
          <w:rFonts w:eastAsiaTheme="minorEastAsia"/>
        </w:rPr>
        <w:t xml:space="preserve"> 2020). </w:t>
      </w:r>
    </w:p>
    <w:p w14:paraId="150A8EE6" w14:textId="77777777" w:rsidR="00D7777B" w:rsidRDefault="00D7777B" w:rsidP="00D54F79">
      <w:pPr>
        <w:pStyle w:val="MDPI31text"/>
        <w:rPr>
          <w:rFonts w:eastAsiaTheme="minorEastAsia"/>
        </w:rPr>
      </w:pPr>
    </w:p>
    <w:p w14:paraId="43EC1834" w14:textId="35076698" w:rsidR="00D54F79" w:rsidRPr="00030633" w:rsidRDefault="00D54F79" w:rsidP="00D54F79">
      <w:pPr>
        <w:pStyle w:val="MDPI31text"/>
        <w:rPr>
          <w:rFonts w:eastAsiaTheme="minorEastAsia"/>
        </w:rPr>
      </w:pPr>
      <w:r w:rsidRPr="00554251">
        <w:rPr>
          <w:rFonts w:eastAsiaTheme="minorEastAsia"/>
        </w:rPr>
        <w:t xml:space="preserve">Figure 2 shows </w:t>
      </w:r>
      <w:r w:rsidR="00BD4FCA">
        <w:rPr>
          <w:rFonts w:eastAsiaTheme="minorEastAsia"/>
        </w:rPr>
        <w:t xml:space="preserve">the </w:t>
      </w:r>
      <w:r w:rsidRPr="00554251">
        <w:rPr>
          <w:rFonts w:eastAsiaTheme="minorEastAsia"/>
        </w:rPr>
        <w:t>satisfaction and preferences for social comfort of those in different clusters</w:t>
      </w:r>
      <w:r w:rsidR="00872606">
        <w:rPr>
          <w:rFonts w:eastAsiaTheme="minorEastAsia"/>
        </w:rPr>
        <w:t>, i.e. SC1, SC2, SC3</w:t>
      </w:r>
      <w:r w:rsidRPr="00554251">
        <w:rPr>
          <w:rFonts w:eastAsiaTheme="minorEastAsia"/>
        </w:rPr>
        <w:t xml:space="preserve">. The aspects that vary statistically were previously </w:t>
      </w:r>
      <w:r w:rsidR="00BD4FCA">
        <w:rPr>
          <w:rFonts w:eastAsiaTheme="minorEastAsia"/>
        </w:rPr>
        <w:t>shown</w:t>
      </w:r>
      <w:r w:rsidR="00BD4FCA" w:rsidRPr="00554251">
        <w:rPr>
          <w:rFonts w:eastAsiaTheme="minorEastAsia"/>
        </w:rPr>
        <w:t xml:space="preserve"> </w:t>
      </w:r>
      <w:r w:rsidRPr="00554251">
        <w:rPr>
          <w:rFonts w:eastAsiaTheme="minorEastAsia"/>
        </w:rPr>
        <w:t xml:space="preserve">in </w:t>
      </w:r>
      <w:proofErr w:type="spellStart"/>
      <w:r w:rsidRPr="00554251">
        <w:rPr>
          <w:rFonts w:eastAsiaTheme="minorEastAsia"/>
        </w:rPr>
        <w:t>Eijkelenboom</w:t>
      </w:r>
      <w:proofErr w:type="spellEnd"/>
      <w:r w:rsidRPr="00554251">
        <w:rPr>
          <w:rFonts w:eastAsiaTheme="minorEastAsia"/>
        </w:rPr>
        <w:t xml:space="preserve"> et al. (2020). Overall, the differences between the clusters in preferences related to the principal component </w:t>
      </w:r>
      <w:r w:rsidRPr="00554251">
        <w:rPr>
          <w:rFonts w:eastAsiaTheme="minorEastAsia"/>
          <w:i/>
          <w:iCs/>
        </w:rPr>
        <w:t>disturbance</w:t>
      </w:r>
      <w:r w:rsidRPr="00554251">
        <w:rPr>
          <w:rFonts w:eastAsiaTheme="minorEastAsia"/>
        </w:rPr>
        <w:t xml:space="preserve"> are larger than for the components related to </w:t>
      </w:r>
      <w:r w:rsidRPr="00554251">
        <w:rPr>
          <w:rFonts w:eastAsiaTheme="minorEastAsia"/>
          <w:i/>
          <w:iCs/>
        </w:rPr>
        <w:t>interaction</w:t>
      </w:r>
      <w:r w:rsidRPr="00554251">
        <w:rPr>
          <w:rFonts w:eastAsiaTheme="minorEastAsia"/>
        </w:rPr>
        <w:t xml:space="preserve"> and </w:t>
      </w:r>
      <w:r w:rsidRPr="00554251">
        <w:rPr>
          <w:rFonts w:eastAsiaTheme="minorEastAsia"/>
          <w:i/>
          <w:iCs/>
        </w:rPr>
        <w:t>sense of space</w:t>
      </w:r>
      <w:r w:rsidRPr="00554251">
        <w:rPr>
          <w:rFonts w:eastAsiaTheme="minorEastAsia"/>
        </w:rPr>
        <w:t xml:space="preserve">. Dissatisfaction with </w:t>
      </w:r>
      <w:r w:rsidRPr="00554251">
        <w:rPr>
          <w:rFonts w:eastAsiaTheme="minorEastAsia"/>
          <w:i/>
          <w:iCs/>
        </w:rPr>
        <w:t>interaction</w:t>
      </w:r>
      <w:r w:rsidRPr="00554251">
        <w:rPr>
          <w:rFonts w:eastAsiaTheme="minorEastAsia"/>
        </w:rPr>
        <w:t xml:space="preserve"> was </w:t>
      </w:r>
      <w:r w:rsidR="00B47F20" w:rsidRPr="00554251">
        <w:rPr>
          <w:rFonts w:eastAsiaTheme="minorEastAsia"/>
        </w:rPr>
        <w:t>lower</w:t>
      </w:r>
      <w:r w:rsidRPr="00554251">
        <w:rPr>
          <w:rFonts w:eastAsiaTheme="minorEastAsia"/>
        </w:rPr>
        <w:t xml:space="preserve"> than the </w:t>
      </w:r>
      <w:r>
        <w:rPr>
          <w:rFonts w:eastAsiaTheme="minorEastAsia"/>
        </w:rPr>
        <w:t>importance</w:t>
      </w:r>
      <w:r w:rsidRPr="00554251">
        <w:rPr>
          <w:rFonts w:eastAsiaTheme="minorEastAsia"/>
        </w:rPr>
        <w:t xml:space="preserve"> for all clusters, while dissatisfaction with </w:t>
      </w:r>
      <w:r w:rsidRPr="00554251">
        <w:rPr>
          <w:rFonts w:eastAsiaTheme="minorEastAsia"/>
          <w:i/>
          <w:iCs/>
        </w:rPr>
        <w:t>sense of space</w:t>
      </w:r>
      <w:r w:rsidRPr="00554251">
        <w:rPr>
          <w:rFonts w:eastAsiaTheme="minorEastAsia"/>
        </w:rPr>
        <w:t xml:space="preserve">, except </w:t>
      </w:r>
      <w:r w:rsidR="00C36671">
        <w:rPr>
          <w:rFonts w:eastAsiaTheme="minorEastAsia"/>
        </w:rPr>
        <w:t xml:space="preserve">for </w:t>
      </w:r>
      <w:r w:rsidRPr="00554251">
        <w:rPr>
          <w:rFonts w:eastAsiaTheme="minorEastAsia"/>
        </w:rPr>
        <w:t xml:space="preserve">a safe workplace, was </w:t>
      </w:r>
      <w:r w:rsidR="00B47F20" w:rsidRPr="00554251">
        <w:rPr>
          <w:rFonts w:eastAsiaTheme="minorEastAsia"/>
        </w:rPr>
        <w:t>higher</w:t>
      </w:r>
      <w:r w:rsidRPr="00554251">
        <w:rPr>
          <w:rFonts w:eastAsiaTheme="minorEastAsia"/>
        </w:rPr>
        <w:t xml:space="preserve"> than the </w:t>
      </w:r>
      <w:r>
        <w:rPr>
          <w:rFonts w:eastAsiaTheme="minorEastAsia"/>
        </w:rPr>
        <w:t>importance</w:t>
      </w:r>
      <w:r w:rsidRPr="00554251">
        <w:rPr>
          <w:rFonts w:eastAsiaTheme="minorEastAsia"/>
        </w:rPr>
        <w:t xml:space="preserve"> for all clusters. Dissatisfaction with </w:t>
      </w:r>
      <w:r w:rsidRPr="00554251">
        <w:rPr>
          <w:rFonts w:eastAsiaTheme="minorEastAsia"/>
          <w:i/>
          <w:iCs/>
        </w:rPr>
        <w:t>disturbance</w:t>
      </w:r>
      <w:r w:rsidRPr="00554251">
        <w:rPr>
          <w:rFonts w:eastAsiaTheme="minorEastAsia"/>
        </w:rPr>
        <w:t xml:space="preserve"> varied (P-value &lt;0.05) between the clusters, except with crowding in the building. Dissatisfaction with contact varied, while dissatisfaction with proximity did not vary. Dissatisfaction with </w:t>
      </w:r>
      <w:r w:rsidRPr="00554251">
        <w:rPr>
          <w:rFonts w:eastAsiaTheme="minorEastAsia"/>
          <w:i/>
          <w:iCs/>
        </w:rPr>
        <w:t>sense of space</w:t>
      </w:r>
      <w:r w:rsidRPr="00554251">
        <w:rPr>
          <w:rFonts w:eastAsiaTheme="minorEastAsia"/>
        </w:rPr>
        <w:t xml:space="preserve"> did not vary, except </w:t>
      </w:r>
      <w:r w:rsidR="00C36671">
        <w:rPr>
          <w:rFonts w:eastAsiaTheme="minorEastAsia"/>
        </w:rPr>
        <w:t xml:space="preserve">for </w:t>
      </w:r>
      <w:r w:rsidRPr="00554251">
        <w:rPr>
          <w:rFonts w:eastAsiaTheme="minorEastAsia"/>
        </w:rPr>
        <w:t xml:space="preserve">walking distances. </w:t>
      </w:r>
    </w:p>
    <w:p w14:paraId="0E3DB19C" w14:textId="26694651" w:rsidR="00A86E9F" w:rsidRDefault="00D54F79" w:rsidP="00A86E9F">
      <w:pPr>
        <w:pStyle w:val="MDPI51figurecaption"/>
        <w:rPr>
          <w:rFonts w:ascii="Georgia" w:eastAsiaTheme="minorEastAsia" w:hAnsi="Georgia" w:cs="Arial"/>
        </w:rPr>
      </w:pPr>
      <w:r>
        <w:rPr>
          <w:noProof/>
        </w:rPr>
        <w:lastRenderedPageBreak/>
        <w:drawing>
          <wp:inline distT="0" distB="0" distL="0" distR="0" wp14:anchorId="44C5E17A" wp14:editId="1077BC8B">
            <wp:extent cx="4924425" cy="4622800"/>
            <wp:effectExtent l="0" t="0" r="9525" b="6350"/>
            <wp:docPr id="1" name="Chart 1">
              <a:extLst xmlns:a="http://schemas.openxmlformats.org/drawingml/2006/main">
                <a:ext uri="{FF2B5EF4-FFF2-40B4-BE49-F238E27FC236}">
                  <a16:creationId xmlns:a16="http://schemas.microsoft.com/office/drawing/2014/main" id="{77F26638-2CE5-4748-8AAA-76CCF04A4E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876BBB0" w14:textId="77777777" w:rsidR="00D54F79" w:rsidRPr="00554251" w:rsidRDefault="00D54F79" w:rsidP="00D54F79">
      <w:pPr>
        <w:pStyle w:val="MDPI51figurecaption"/>
        <w:rPr>
          <w:rFonts w:ascii="Georgia" w:eastAsiaTheme="minorEastAsia" w:hAnsi="Georgia" w:cs="Arial"/>
        </w:rPr>
      </w:pPr>
      <w:r w:rsidRPr="00554251">
        <w:rPr>
          <w:rFonts w:ascii="Georgia" w:eastAsiaTheme="minorEastAsia" w:hAnsi="Georgia" w:cs="Arial"/>
        </w:rPr>
        <w:t>Figure 2. Preferences and dissatisfaction of the clusters</w:t>
      </w:r>
    </w:p>
    <w:p w14:paraId="01968AC0" w14:textId="4BE8A3B5" w:rsidR="00D54F79" w:rsidRPr="00CB4DE7" w:rsidRDefault="00D54F79" w:rsidP="00D54F79">
      <w:pPr>
        <w:pStyle w:val="MDPI31text"/>
        <w:rPr>
          <w:rFonts w:eastAsiaTheme="minorEastAsia"/>
        </w:rPr>
      </w:pPr>
      <w:r w:rsidRPr="00554251">
        <w:rPr>
          <w:rFonts w:eastAsiaTheme="minorEastAsia"/>
        </w:rPr>
        <w:t xml:space="preserve">The social comfort profiles varied </w:t>
      </w:r>
      <w:r w:rsidR="00C01E61" w:rsidRPr="00554251">
        <w:rPr>
          <w:rFonts w:eastAsiaTheme="minorEastAsia"/>
        </w:rPr>
        <w:t>for</w:t>
      </w:r>
      <w:r w:rsidRPr="00554251">
        <w:rPr>
          <w:rFonts w:eastAsiaTheme="minorEastAsia"/>
        </w:rPr>
        <w:t xml:space="preserve"> </w:t>
      </w:r>
      <w:r>
        <w:rPr>
          <w:rFonts w:eastAsiaTheme="minorEastAsia"/>
        </w:rPr>
        <w:t xml:space="preserve">work-related aspects, such as </w:t>
      </w:r>
      <w:r w:rsidRPr="00554251">
        <w:rPr>
          <w:rFonts w:eastAsiaTheme="minorEastAsia"/>
        </w:rPr>
        <w:t>activities (based on Chi Square with Bonferroni correction, P-value &lt;0,05)</w:t>
      </w:r>
      <w:r>
        <w:rPr>
          <w:rFonts w:eastAsiaTheme="minorEastAsia"/>
        </w:rPr>
        <w:t>, while only a few building-related aspects and personal aspects varied</w:t>
      </w:r>
      <w:r w:rsidRPr="00554251">
        <w:rPr>
          <w:rFonts w:eastAsiaTheme="minorEastAsia"/>
        </w:rPr>
        <w:t xml:space="preserve"> (</w:t>
      </w:r>
      <w:proofErr w:type="spellStart"/>
      <w:r w:rsidRPr="00554251">
        <w:rPr>
          <w:rFonts w:eastAsiaTheme="minorEastAsia"/>
        </w:rPr>
        <w:t>Eijkelenboom</w:t>
      </w:r>
      <w:proofErr w:type="spellEnd"/>
      <w:r w:rsidRPr="00554251">
        <w:rPr>
          <w:rFonts w:eastAsiaTheme="minorEastAsia"/>
        </w:rPr>
        <w:t xml:space="preserve"> et al. 2020). Those in SC1, who regarded </w:t>
      </w:r>
      <w:r>
        <w:rPr>
          <w:rFonts w:eastAsiaTheme="minorEastAsia"/>
        </w:rPr>
        <w:t>a quiet workplace (</w:t>
      </w:r>
      <w:r w:rsidRPr="00554251">
        <w:rPr>
          <w:rFonts w:eastAsiaTheme="minorEastAsia"/>
        </w:rPr>
        <w:t>no distraction by noise</w:t>
      </w:r>
      <w:r>
        <w:rPr>
          <w:rFonts w:eastAsiaTheme="minorEastAsia"/>
        </w:rPr>
        <w:t>, no visual distraction, no crowding)</w:t>
      </w:r>
      <w:r w:rsidRPr="00554251">
        <w:rPr>
          <w:rFonts w:eastAsiaTheme="minorEastAsia"/>
        </w:rPr>
        <w:t xml:space="preserve"> </w:t>
      </w:r>
      <w:r w:rsidR="00BB183F">
        <w:rPr>
          <w:rFonts w:eastAsiaTheme="minorEastAsia"/>
        </w:rPr>
        <w:t xml:space="preserve">as </w:t>
      </w:r>
      <w:r w:rsidRPr="00554251">
        <w:rPr>
          <w:rFonts w:eastAsiaTheme="minorEastAsia"/>
        </w:rPr>
        <w:t xml:space="preserve">more important than those in other clusters, were more likely to do concentrated office work and meetings (Figure 3). Those in SC2, who regarded the privacy of patients </w:t>
      </w:r>
      <w:r w:rsidR="00BB183F">
        <w:rPr>
          <w:rFonts w:eastAsiaTheme="minorEastAsia"/>
        </w:rPr>
        <w:t xml:space="preserve">as </w:t>
      </w:r>
      <w:r w:rsidRPr="00554251">
        <w:rPr>
          <w:rFonts w:eastAsiaTheme="minorEastAsia"/>
        </w:rPr>
        <w:t>more important than the others, were more likely to work directly with patients</w:t>
      </w:r>
      <w:r w:rsidR="003635B5">
        <w:rPr>
          <w:rFonts w:eastAsiaTheme="minorEastAsia"/>
        </w:rPr>
        <w:t xml:space="preserve"> on</w:t>
      </w:r>
      <w:r w:rsidRPr="00554251">
        <w:rPr>
          <w:rFonts w:eastAsiaTheme="minorEastAsia"/>
        </w:rPr>
        <w:t xml:space="preserve"> medical treatment, physical examination, diagnosis, and consultation. Those </w:t>
      </w:r>
      <w:r w:rsidR="003635B5">
        <w:rPr>
          <w:rFonts w:eastAsiaTheme="minorEastAsia"/>
        </w:rPr>
        <w:t>in</w:t>
      </w:r>
      <w:r w:rsidR="003635B5" w:rsidRPr="00554251">
        <w:rPr>
          <w:rFonts w:eastAsiaTheme="minorEastAsia"/>
        </w:rPr>
        <w:t xml:space="preserve"> </w:t>
      </w:r>
      <w:r w:rsidRPr="00554251">
        <w:rPr>
          <w:rFonts w:eastAsiaTheme="minorEastAsia"/>
        </w:rPr>
        <w:t xml:space="preserve">SC3, who found a safe workplace most important, were more likely to do routine office work. </w:t>
      </w:r>
    </w:p>
    <w:p w14:paraId="07559AA1" w14:textId="77777777" w:rsidR="00D54F79" w:rsidRPr="00554251" w:rsidRDefault="00D54F79" w:rsidP="00D54F79">
      <w:pPr>
        <w:pStyle w:val="MDPI23heading3"/>
        <w:rPr>
          <w:rFonts w:ascii="Georgia" w:eastAsiaTheme="minorEastAsia" w:hAnsi="Georgia" w:cs="Arial"/>
        </w:rPr>
      </w:pPr>
      <w:r>
        <w:rPr>
          <w:rFonts w:ascii="Georgia" w:eastAsiaTheme="minorEastAsia" w:hAnsi="Georgia" w:cs="Arial"/>
          <w:noProof/>
          <w:snapToGrid/>
        </w:rPr>
        <w:lastRenderedPageBreak/>
        <w:drawing>
          <wp:inline distT="0" distB="0" distL="0" distR="0" wp14:anchorId="4BB7FBCA" wp14:editId="689635C1">
            <wp:extent cx="4762500" cy="37338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rotWithShape="1">
                    <a:blip r:embed="rId13" cstate="print">
                      <a:extLst>
                        <a:ext uri="{28A0092B-C50C-407E-A947-70E740481C1C}">
                          <a14:useLocalDpi xmlns:a14="http://schemas.microsoft.com/office/drawing/2010/main" val="0"/>
                        </a:ext>
                      </a:extLst>
                    </a:blip>
                    <a:srcRect l="941" t="1005" r="4967" b="15344"/>
                    <a:stretch/>
                  </pic:blipFill>
                  <pic:spPr bwMode="auto">
                    <a:xfrm>
                      <a:off x="0" y="0"/>
                      <a:ext cx="4762500" cy="3733800"/>
                    </a:xfrm>
                    <a:prstGeom prst="rect">
                      <a:avLst/>
                    </a:prstGeom>
                    <a:ln>
                      <a:noFill/>
                    </a:ln>
                    <a:extLst>
                      <a:ext uri="{53640926-AAD7-44D8-BBD7-CCE9431645EC}">
                        <a14:shadowObscured xmlns:a14="http://schemas.microsoft.com/office/drawing/2010/main"/>
                      </a:ext>
                    </a:extLst>
                  </pic:spPr>
                </pic:pic>
              </a:graphicData>
            </a:graphic>
          </wp:inline>
        </w:drawing>
      </w:r>
    </w:p>
    <w:p w14:paraId="7A19D2C6" w14:textId="77777777" w:rsidR="00D54F79" w:rsidRPr="00554251" w:rsidRDefault="00D54F79" w:rsidP="00D54F79">
      <w:pPr>
        <w:pStyle w:val="MDPI51figurecaption"/>
        <w:rPr>
          <w:rFonts w:ascii="Georgia" w:eastAsiaTheme="minorEastAsia" w:hAnsi="Georgia" w:cs="Arial"/>
        </w:rPr>
      </w:pPr>
      <w:r w:rsidRPr="00554251">
        <w:rPr>
          <w:rFonts w:ascii="Georgia" w:eastAsiaTheme="minorEastAsia" w:hAnsi="Georgia" w:cs="Arial"/>
        </w:rPr>
        <w:t xml:space="preserve">Figure 3. Differences in activities between the clusters. Detailed information can be found </w:t>
      </w:r>
      <w:proofErr w:type="spellStart"/>
      <w:r w:rsidRPr="00554251">
        <w:rPr>
          <w:rFonts w:ascii="Georgia" w:eastAsiaTheme="minorEastAsia" w:hAnsi="Georgia" w:cs="Arial"/>
        </w:rPr>
        <w:t>Eijkelenboom</w:t>
      </w:r>
      <w:proofErr w:type="spellEnd"/>
      <w:r w:rsidRPr="00554251">
        <w:rPr>
          <w:rFonts w:ascii="Georgia" w:eastAsiaTheme="minorEastAsia" w:hAnsi="Georgia" w:cs="Arial"/>
        </w:rPr>
        <w:t xml:space="preserve"> et al. (2020)</w:t>
      </w:r>
    </w:p>
    <w:p w14:paraId="696366FD" w14:textId="77777777" w:rsidR="00D54F79" w:rsidRPr="00554251" w:rsidRDefault="00D54F79" w:rsidP="00D54F79">
      <w:pPr>
        <w:pStyle w:val="MDPI22heading2"/>
        <w:spacing w:before="240"/>
        <w:rPr>
          <w:rFonts w:eastAsiaTheme="minorEastAsia" w:cs="Arial"/>
          <w:i/>
        </w:rPr>
      </w:pPr>
      <w:r w:rsidRPr="00554251">
        <w:rPr>
          <w:rFonts w:eastAsiaTheme="minorEastAsia" w:cs="Arial"/>
        </w:rPr>
        <w:t>3.2. Preferences during the pandemic</w:t>
      </w:r>
    </w:p>
    <w:p w14:paraId="2572E156" w14:textId="12FF4D07" w:rsidR="00D54F79" w:rsidRPr="00554251" w:rsidRDefault="00D54F79" w:rsidP="00D54F79">
      <w:pPr>
        <w:pStyle w:val="MDPI31text"/>
        <w:rPr>
          <w:rFonts w:eastAsiaTheme="minorEastAsia"/>
          <w:lang w:val="en-GB"/>
        </w:rPr>
      </w:pPr>
      <w:r w:rsidRPr="00554251">
        <w:rPr>
          <w:rFonts w:eastAsiaTheme="minorEastAsia"/>
          <w:lang w:val="en-GB"/>
        </w:rPr>
        <w:t xml:space="preserve">In the autumn of 2020, during the COVID-19 pandemic, </w:t>
      </w:r>
      <w:r w:rsidR="00C754D7">
        <w:rPr>
          <w:rFonts w:eastAsiaTheme="minorEastAsia"/>
          <w:lang w:val="en-GB"/>
        </w:rPr>
        <w:t>seventeen</w:t>
      </w:r>
      <w:r w:rsidRPr="00554251">
        <w:rPr>
          <w:rFonts w:eastAsiaTheme="minorEastAsia"/>
          <w:lang w:val="en-GB"/>
        </w:rPr>
        <w:t xml:space="preserve"> outpatient workers were interviewed to explain their preferences. This was done because of the </w:t>
      </w:r>
      <w:r w:rsidR="00C01E61" w:rsidRPr="00554251">
        <w:rPr>
          <w:rFonts w:eastAsiaTheme="minorEastAsia"/>
          <w:lang w:val="en-GB"/>
        </w:rPr>
        <w:t>heavy weight</w:t>
      </w:r>
      <w:r w:rsidRPr="00554251">
        <w:rPr>
          <w:rFonts w:eastAsiaTheme="minorEastAsia"/>
          <w:lang w:val="en-GB"/>
        </w:rPr>
        <w:t xml:space="preserve"> of preferences in the clusters, </w:t>
      </w:r>
      <w:r w:rsidR="007877F6">
        <w:rPr>
          <w:rFonts w:eastAsiaTheme="minorEastAsia"/>
          <w:lang w:val="en-GB"/>
        </w:rPr>
        <w:t xml:space="preserve">the </w:t>
      </w:r>
      <w:r w:rsidRPr="00554251">
        <w:rPr>
          <w:rFonts w:eastAsiaTheme="minorEastAsia"/>
          <w:lang w:val="en-GB"/>
        </w:rPr>
        <w:t xml:space="preserve">gaps between satisfaction and preferences, and </w:t>
      </w:r>
      <w:r w:rsidR="007877F6">
        <w:rPr>
          <w:rFonts w:eastAsiaTheme="minorEastAsia"/>
          <w:lang w:val="en-GB"/>
        </w:rPr>
        <w:t xml:space="preserve">the </w:t>
      </w:r>
      <w:r w:rsidRPr="00554251">
        <w:rPr>
          <w:rFonts w:eastAsiaTheme="minorEastAsia"/>
          <w:lang w:val="en-GB"/>
        </w:rPr>
        <w:t>limited literature on preferences. Outpatient workers from all clusters and all hospital locations participated to gain a representative overview.</w:t>
      </w:r>
    </w:p>
    <w:p w14:paraId="433B6986" w14:textId="569052AF" w:rsidR="00D54F79" w:rsidRPr="00554251" w:rsidRDefault="00D54F79" w:rsidP="00D54F79">
      <w:pPr>
        <w:pStyle w:val="MDPI31text"/>
        <w:rPr>
          <w:rFonts w:eastAsiaTheme="minorEastAsia"/>
          <w:lang w:val="en-GB"/>
        </w:rPr>
      </w:pPr>
      <w:r w:rsidRPr="00554251">
        <w:rPr>
          <w:rFonts w:eastAsiaTheme="minorEastAsia"/>
          <w:lang w:val="en-GB"/>
        </w:rPr>
        <w:t>Due to the COVID-19 pandemic</w:t>
      </w:r>
      <w:r w:rsidR="007877F6">
        <w:rPr>
          <w:rFonts w:eastAsiaTheme="minorEastAsia"/>
          <w:lang w:val="en-GB"/>
        </w:rPr>
        <w:t>,</w:t>
      </w:r>
      <w:r w:rsidRPr="00554251">
        <w:rPr>
          <w:rFonts w:eastAsiaTheme="minorEastAsia"/>
          <w:lang w:val="en-GB"/>
        </w:rPr>
        <w:t xml:space="preserve"> the number of patients, visitors</w:t>
      </w:r>
      <w:r w:rsidR="007877F6">
        <w:rPr>
          <w:rFonts w:eastAsiaTheme="minorEastAsia"/>
          <w:lang w:val="en-GB"/>
        </w:rPr>
        <w:t>,</w:t>
      </w:r>
      <w:r w:rsidRPr="00554251">
        <w:rPr>
          <w:rFonts w:eastAsiaTheme="minorEastAsia"/>
          <w:lang w:val="en-GB"/>
        </w:rPr>
        <w:t xml:space="preserve"> and staff in the hospitals was reduced, and social distancing and mouth-face masks were </w:t>
      </w:r>
      <w:r w:rsidR="00795C19">
        <w:rPr>
          <w:rFonts w:eastAsiaTheme="minorEastAsia"/>
          <w:lang w:val="en-GB"/>
        </w:rPr>
        <w:t>required</w:t>
      </w:r>
      <w:r w:rsidR="00795C19" w:rsidRPr="00554251">
        <w:rPr>
          <w:rFonts w:eastAsiaTheme="minorEastAsia"/>
          <w:lang w:val="en-GB"/>
        </w:rPr>
        <w:t xml:space="preserve"> </w:t>
      </w:r>
      <w:r w:rsidRPr="00554251">
        <w:rPr>
          <w:rFonts w:eastAsiaTheme="minorEastAsia"/>
          <w:lang w:val="en-GB"/>
        </w:rPr>
        <w:t>in the hospitals. Outpatient care was partly digital, using videocalls. Face-to-face contact occurred for physical investigation</w:t>
      </w:r>
      <w:r w:rsidR="00795C19">
        <w:rPr>
          <w:rFonts w:eastAsiaTheme="minorEastAsia"/>
          <w:lang w:val="en-GB"/>
        </w:rPr>
        <w:t xml:space="preserve"> and</w:t>
      </w:r>
      <w:r w:rsidRPr="00554251">
        <w:rPr>
          <w:rFonts w:eastAsiaTheme="minorEastAsia"/>
          <w:lang w:val="en-GB"/>
        </w:rPr>
        <w:t xml:space="preserve"> consultation with seriously ill patients and depended on the department, such as oncology or paediatric care </w:t>
      </w:r>
      <w:r w:rsidR="002746C8">
        <w:rPr>
          <w:rFonts w:eastAsiaTheme="minorEastAsia"/>
        </w:rPr>
        <w:t>(</w:t>
      </w:r>
      <w:proofErr w:type="spellStart"/>
      <w:r w:rsidR="002746C8">
        <w:rPr>
          <w:rFonts w:eastAsiaTheme="minorEastAsia"/>
        </w:rPr>
        <w:t>Eijkelenboom</w:t>
      </w:r>
      <w:proofErr w:type="spellEnd"/>
      <w:r w:rsidR="002746C8">
        <w:rPr>
          <w:rFonts w:eastAsiaTheme="minorEastAsia"/>
        </w:rPr>
        <w:t>, Ortiz</w:t>
      </w:r>
      <w:r w:rsidR="00795C19">
        <w:rPr>
          <w:rFonts w:eastAsiaTheme="minorEastAsia"/>
        </w:rPr>
        <w:t>,</w:t>
      </w:r>
      <w:r w:rsidR="002746C8">
        <w:rPr>
          <w:rFonts w:eastAsiaTheme="minorEastAsia"/>
        </w:rPr>
        <w:t xml:space="preserve"> and Bluyssen, 2021)</w:t>
      </w:r>
      <w:r w:rsidRPr="00554251">
        <w:rPr>
          <w:rFonts w:eastAsiaTheme="minorEastAsia"/>
          <w:lang w:val="en-GB"/>
        </w:rPr>
        <w:t xml:space="preserve">. </w:t>
      </w:r>
    </w:p>
    <w:p w14:paraId="594C05E1" w14:textId="77777777" w:rsidR="00D54F79" w:rsidRPr="00554251" w:rsidRDefault="00D54F79" w:rsidP="00D54F79">
      <w:pPr>
        <w:pStyle w:val="MDPI31text"/>
        <w:rPr>
          <w:rFonts w:eastAsiaTheme="minorEastAsia"/>
        </w:rPr>
      </w:pPr>
    </w:p>
    <w:p w14:paraId="548A7E86" w14:textId="4B5817FB" w:rsidR="00D54F79" w:rsidRPr="00554251" w:rsidRDefault="00D54F79" w:rsidP="00D54F79">
      <w:pPr>
        <w:pStyle w:val="MDPI23heading3"/>
        <w:rPr>
          <w:rFonts w:ascii="Georgia" w:eastAsiaTheme="minorEastAsia" w:hAnsi="Georgia" w:cs="Arial"/>
        </w:rPr>
      </w:pPr>
    </w:p>
    <w:p w14:paraId="6024C933" w14:textId="09DD676A" w:rsidR="00D54F79" w:rsidRPr="00554251" w:rsidRDefault="003C106F" w:rsidP="00D54F79">
      <w:pPr>
        <w:pStyle w:val="MDPI51figurecaption"/>
        <w:rPr>
          <w:rFonts w:ascii="Georgia" w:eastAsiaTheme="minorEastAsia" w:hAnsi="Georgia" w:cs="Arial"/>
        </w:rPr>
      </w:pPr>
      <w:r w:rsidRPr="00554251">
        <w:rPr>
          <w:noProof/>
        </w:rPr>
        <w:drawing>
          <wp:inline distT="0" distB="0" distL="0" distR="0" wp14:anchorId="0DD50EA0" wp14:editId="419EBDAE">
            <wp:extent cx="4990465" cy="2266950"/>
            <wp:effectExtent l="0" t="0" r="635" b="0"/>
            <wp:docPr id="6" name="Picture 6"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diagram&#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586" t="7399" r="2847" b="12628"/>
                    <a:stretch/>
                  </pic:blipFill>
                  <pic:spPr bwMode="auto">
                    <a:xfrm>
                      <a:off x="0" y="0"/>
                      <a:ext cx="5003585" cy="2272910"/>
                    </a:xfrm>
                    <a:prstGeom prst="rect">
                      <a:avLst/>
                    </a:prstGeom>
                    <a:noFill/>
                    <a:ln>
                      <a:noFill/>
                    </a:ln>
                    <a:extLst>
                      <a:ext uri="{53640926-AAD7-44D8-BBD7-CCE9431645EC}">
                        <a14:shadowObscured xmlns:a14="http://schemas.microsoft.com/office/drawing/2010/main"/>
                      </a:ext>
                    </a:extLst>
                  </pic:spPr>
                </pic:pic>
              </a:graphicData>
            </a:graphic>
          </wp:inline>
        </w:drawing>
      </w:r>
      <w:r w:rsidR="00D54F79" w:rsidRPr="00554251">
        <w:rPr>
          <w:rFonts w:ascii="Georgia" w:eastAsiaTheme="minorEastAsia" w:hAnsi="Georgia" w:cs="Arial"/>
        </w:rPr>
        <w:t>Figure 4. Main preferences, logic of ranking</w:t>
      </w:r>
      <w:r w:rsidR="00795C19">
        <w:rPr>
          <w:rFonts w:ascii="Georgia" w:eastAsiaTheme="minorEastAsia" w:hAnsi="Georgia" w:cs="Arial"/>
        </w:rPr>
        <w:t>,</w:t>
      </w:r>
      <w:r w:rsidR="00D54F79" w:rsidRPr="00554251">
        <w:rPr>
          <w:rFonts w:ascii="Georgia" w:eastAsiaTheme="minorEastAsia" w:hAnsi="Georgia" w:cs="Arial"/>
        </w:rPr>
        <w:t xml:space="preserve"> and changes</w:t>
      </w:r>
    </w:p>
    <w:p w14:paraId="7E47804A" w14:textId="0F05E1E1" w:rsidR="00D54F79" w:rsidRPr="00554251" w:rsidRDefault="00D54F79" w:rsidP="00D54F79">
      <w:pPr>
        <w:pStyle w:val="MDPI31text"/>
        <w:rPr>
          <w:rFonts w:eastAsiaTheme="minorEastAsia"/>
        </w:rPr>
      </w:pPr>
      <w:r w:rsidRPr="00554251">
        <w:rPr>
          <w:rFonts w:eastAsiaTheme="minorEastAsia"/>
        </w:rPr>
        <w:lastRenderedPageBreak/>
        <w:t xml:space="preserve">Figure 4 shows the changes of social comfort preferences during the COVID-19 pandemic, logic of ranking, adaptations of the building and other changes. </w:t>
      </w:r>
      <w:r w:rsidR="0017768A">
        <w:rPr>
          <w:rFonts w:eastAsiaTheme="minorEastAsia"/>
        </w:rPr>
        <w:t>The Figure shows that all these aspects could vary between the participants. For example, the caption ‘’Ranking logic’’ shows that a</w:t>
      </w:r>
      <w:r w:rsidRPr="00554251">
        <w:rPr>
          <w:rFonts w:eastAsiaTheme="minorEastAsia"/>
        </w:rPr>
        <w:t xml:space="preserve">ll four social comfort aspects were for some of the participants most </w:t>
      </w:r>
      <w:r w:rsidR="00D44DC3" w:rsidRPr="00554251">
        <w:rPr>
          <w:rFonts w:eastAsiaTheme="minorEastAsia"/>
        </w:rPr>
        <w:t>important</w:t>
      </w:r>
      <w:r w:rsidR="00D44DC3">
        <w:rPr>
          <w:rFonts w:eastAsiaTheme="minorEastAsia"/>
        </w:rPr>
        <w:t>. And</w:t>
      </w:r>
      <w:r w:rsidR="0017768A">
        <w:rPr>
          <w:rFonts w:eastAsiaTheme="minorEastAsia"/>
        </w:rPr>
        <w:t xml:space="preserve"> the caption “Changed” shows that </w:t>
      </w:r>
      <w:r w:rsidRPr="00554251">
        <w:rPr>
          <w:rFonts w:eastAsiaTheme="minorEastAsia"/>
        </w:rPr>
        <w:t>he main preference of some outpatient workers had changed since 2019, while for others it did not</w:t>
      </w:r>
      <w:r w:rsidR="0017768A">
        <w:rPr>
          <w:rFonts w:eastAsiaTheme="minorEastAsia"/>
        </w:rPr>
        <w:t>.</w:t>
      </w:r>
      <w:r w:rsidRPr="00554251">
        <w:rPr>
          <w:rFonts w:eastAsiaTheme="minorEastAsia"/>
        </w:rPr>
        <w:t xml:space="preserve"> </w:t>
      </w:r>
    </w:p>
    <w:p w14:paraId="1811A420" w14:textId="385AB314" w:rsidR="00D54F79" w:rsidRPr="00554251" w:rsidRDefault="00D54F79" w:rsidP="00D54F79">
      <w:pPr>
        <w:pStyle w:val="MDPI31text"/>
        <w:rPr>
          <w:rFonts w:eastAsiaTheme="minorEastAsia"/>
        </w:rPr>
      </w:pPr>
      <w:r w:rsidRPr="00554251">
        <w:rPr>
          <w:rFonts w:eastAsiaTheme="minorEastAsia"/>
        </w:rPr>
        <w:t xml:space="preserve">For some outpatient workers ranking of the importance of social comfort aspects was logic, while others perceived an overlap of contact with privacy, safety, or distraction. For them differentiation was illogical because they </w:t>
      </w:r>
      <w:r>
        <w:rPr>
          <w:rFonts w:eastAsiaTheme="minorEastAsia"/>
        </w:rPr>
        <w:t>regarded</w:t>
      </w:r>
      <w:r w:rsidRPr="00554251">
        <w:rPr>
          <w:rFonts w:eastAsiaTheme="minorEastAsia"/>
        </w:rPr>
        <w:t xml:space="preserve"> these social comfort aspects</w:t>
      </w:r>
      <w:r>
        <w:rPr>
          <w:rFonts w:eastAsiaTheme="minorEastAsia"/>
        </w:rPr>
        <w:t xml:space="preserve"> </w:t>
      </w:r>
      <w:r w:rsidR="006C3149">
        <w:rPr>
          <w:rFonts w:eastAsiaTheme="minorEastAsia"/>
        </w:rPr>
        <w:t xml:space="preserve">as </w:t>
      </w:r>
      <w:r>
        <w:rPr>
          <w:rFonts w:eastAsiaTheme="minorEastAsia"/>
        </w:rPr>
        <w:t>interrelated</w:t>
      </w:r>
      <w:r w:rsidRPr="00554251">
        <w:rPr>
          <w:rFonts w:eastAsiaTheme="minorEastAsia"/>
        </w:rPr>
        <w:t xml:space="preserve"> or equally important. Furthermore, the importance of distraction, privacy</w:t>
      </w:r>
      <w:r w:rsidR="006C3149">
        <w:rPr>
          <w:rFonts w:eastAsiaTheme="minorEastAsia"/>
        </w:rPr>
        <w:t>,</w:t>
      </w:r>
      <w:r w:rsidRPr="00554251">
        <w:rPr>
          <w:rFonts w:eastAsiaTheme="minorEastAsia"/>
        </w:rPr>
        <w:t xml:space="preserve"> and safety depended on the context, such as the different room types and activities. For example, limited distraction could be unimportant in the morning when working at the reception desk and important in the afternoon when working in the back</w:t>
      </w:r>
      <w:r w:rsidR="00B36B51">
        <w:rPr>
          <w:rFonts w:eastAsiaTheme="minorEastAsia"/>
        </w:rPr>
        <w:t xml:space="preserve"> </w:t>
      </w:r>
      <w:r w:rsidRPr="00554251">
        <w:rPr>
          <w:rFonts w:eastAsiaTheme="minorEastAsia"/>
        </w:rPr>
        <w:t>office</w:t>
      </w:r>
      <w:r w:rsidR="0017768A">
        <w:rPr>
          <w:rFonts w:eastAsiaTheme="minorEastAsia"/>
        </w:rPr>
        <w:t xml:space="preserve">, before and during the lockdown. </w:t>
      </w:r>
    </w:p>
    <w:p w14:paraId="77D2223C" w14:textId="14CF28B8" w:rsidR="00D54F79" w:rsidRPr="00554251" w:rsidRDefault="00D54F79" w:rsidP="00D54F79">
      <w:pPr>
        <w:pStyle w:val="MDPI31text"/>
        <w:rPr>
          <w:rFonts w:eastAsiaTheme="minorEastAsia"/>
        </w:rPr>
      </w:pPr>
      <w:r w:rsidRPr="00554251">
        <w:rPr>
          <w:rFonts w:eastAsiaTheme="minorEastAsia"/>
        </w:rPr>
        <w:t>To limit infection risk during the COVID-19 pandemic, some small physical adaptations of furniture were executed, such as stanchions in front of the reception desk or a splash guard at the reception</w:t>
      </w:r>
      <w:r w:rsidR="002746C8">
        <w:rPr>
          <w:rFonts w:eastAsiaTheme="minorEastAsia"/>
        </w:rPr>
        <w:t xml:space="preserve"> (</w:t>
      </w:r>
      <w:proofErr w:type="spellStart"/>
      <w:r w:rsidR="002746C8">
        <w:rPr>
          <w:rFonts w:eastAsiaTheme="minorEastAsia"/>
        </w:rPr>
        <w:t>Eijkelenboom</w:t>
      </w:r>
      <w:proofErr w:type="spellEnd"/>
      <w:r w:rsidR="002746C8">
        <w:rPr>
          <w:rFonts w:eastAsiaTheme="minorEastAsia"/>
        </w:rPr>
        <w:t>, Ortiz</w:t>
      </w:r>
      <w:r w:rsidR="00B36B51">
        <w:rPr>
          <w:rFonts w:eastAsiaTheme="minorEastAsia"/>
        </w:rPr>
        <w:t>,</w:t>
      </w:r>
      <w:r w:rsidR="002746C8">
        <w:rPr>
          <w:rFonts w:eastAsiaTheme="minorEastAsia"/>
        </w:rPr>
        <w:t xml:space="preserve"> and Bluyssen, 2021)</w:t>
      </w:r>
      <w:r w:rsidRPr="00554251">
        <w:rPr>
          <w:rFonts w:eastAsiaTheme="minorEastAsia"/>
        </w:rPr>
        <w:t xml:space="preserve">. Therefore, those working at a reception desk found it more difficult to support </w:t>
      </w:r>
      <w:r w:rsidR="00B36B51">
        <w:rPr>
          <w:rFonts w:eastAsiaTheme="minorEastAsia"/>
        </w:rPr>
        <w:t xml:space="preserve">the </w:t>
      </w:r>
      <w:r w:rsidRPr="00554251">
        <w:rPr>
          <w:rFonts w:eastAsiaTheme="minorEastAsia"/>
        </w:rPr>
        <w:t xml:space="preserve">privacy of the patients because </w:t>
      </w:r>
      <w:r w:rsidR="00B36B51">
        <w:rPr>
          <w:rFonts w:eastAsiaTheme="minorEastAsia"/>
        </w:rPr>
        <w:t>they</w:t>
      </w:r>
      <w:r w:rsidRPr="00554251">
        <w:rPr>
          <w:rFonts w:eastAsiaTheme="minorEastAsia"/>
        </w:rPr>
        <w:t xml:space="preserve"> had to talk louder. Outpatient workers were concerned that personal information was audible for others in the waiting room. </w:t>
      </w:r>
      <w:r>
        <w:rPr>
          <w:rFonts w:eastAsiaTheme="minorEastAsia"/>
        </w:rPr>
        <w:t>T</w:t>
      </w:r>
      <w:r w:rsidRPr="00554251">
        <w:rPr>
          <w:rFonts w:eastAsiaTheme="minorEastAsia"/>
        </w:rPr>
        <w:t xml:space="preserve">hose who moved to a renovated area or </w:t>
      </w:r>
      <w:r w:rsidR="00B47F20">
        <w:rPr>
          <w:rFonts w:eastAsiaTheme="minorEastAsia"/>
        </w:rPr>
        <w:t xml:space="preserve">who </w:t>
      </w:r>
      <w:r w:rsidRPr="00554251">
        <w:rPr>
          <w:rFonts w:eastAsiaTheme="minorEastAsia"/>
        </w:rPr>
        <w:t xml:space="preserve">were relocated were more satisfied with comfort than in 2019. </w:t>
      </w:r>
    </w:p>
    <w:p w14:paraId="2FBB5E14" w14:textId="6FC5DED4" w:rsidR="00D54F79" w:rsidRPr="00BA4BBF" w:rsidRDefault="00D54F79" w:rsidP="00BA4BBF">
      <w:pPr>
        <w:pStyle w:val="MDPI31text"/>
        <w:rPr>
          <w:rFonts w:eastAsiaTheme="minorEastAsia" w:cs="Arial"/>
        </w:rPr>
      </w:pPr>
      <w:r w:rsidRPr="00BA4BBF">
        <w:rPr>
          <w:rFonts w:eastAsiaTheme="minorEastAsia"/>
        </w:rPr>
        <w:t xml:space="preserve">Other changes, not related to the building characteristics of the outpatient area, were sensitization and working in other areas, e.g., testing </w:t>
      </w:r>
      <w:r w:rsidR="00194BF2">
        <w:rPr>
          <w:rFonts w:eastAsiaTheme="minorEastAsia"/>
        </w:rPr>
        <w:t>for</w:t>
      </w:r>
      <w:r w:rsidR="00194BF2" w:rsidRPr="00BA4BBF">
        <w:rPr>
          <w:rFonts w:eastAsiaTheme="minorEastAsia"/>
        </w:rPr>
        <w:t xml:space="preserve"> </w:t>
      </w:r>
      <w:r w:rsidRPr="00BA4BBF">
        <w:rPr>
          <w:rFonts w:eastAsiaTheme="minorEastAsia"/>
        </w:rPr>
        <w:t xml:space="preserve">corona infections or working at home. Those who worked from home </w:t>
      </w:r>
      <w:r w:rsidR="009D50E0">
        <w:rPr>
          <w:rFonts w:eastAsiaTheme="minorEastAsia"/>
        </w:rPr>
        <w:t xml:space="preserve">and </w:t>
      </w:r>
      <w:r w:rsidRPr="00BA4BBF">
        <w:rPr>
          <w:rFonts w:eastAsiaTheme="minorEastAsia"/>
        </w:rPr>
        <w:t>others who worked at the hospital, were missing face-face contact with patients and colleagues</w:t>
      </w:r>
      <w:r w:rsidR="002746C8">
        <w:rPr>
          <w:rFonts w:eastAsiaTheme="minorEastAsia"/>
        </w:rPr>
        <w:t xml:space="preserve"> (</w:t>
      </w:r>
      <w:proofErr w:type="spellStart"/>
      <w:r w:rsidR="002746C8">
        <w:rPr>
          <w:rFonts w:eastAsiaTheme="minorEastAsia"/>
        </w:rPr>
        <w:t>Eijkelenboom</w:t>
      </w:r>
      <w:proofErr w:type="spellEnd"/>
      <w:r w:rsidR="002746C8">
        <w:rPr>
          <w:rFonts w:eastAsiaTheme="minorEastAsia"/>
        </w:rPr>
        <w:t>, Ortiz and Bluyssen, 2021)</w:t>
      </w:r>
      <w:r w:rsidRPr="00BA4BBF">
        <w:rPr>
          <w:rFonts w:eastAsiaTheme="minorEastAsia"/>
        </w:rPr>
        <w:t xml:space="preserve">. They found face-to-face contact </w:t>
      </w:r>
      <w:r w:rsidR="00C01E61" w:rsidRPr="00BA4BBF">
        <w:rPr>
          <w:rFonts w:eastAsiaTheme="minorEastAsia"/>
        </w:rPr>
        <w:t>especially important because</w:t>
      </w:r>
      <w:r w:rsidRPr="00BA4BBF">
        <w:rPr>
          <w:rFonts w:eastAsiaTheme="minorEastAsia"/>
        </w:rPr>
        <w:t xml:space="preserve"> it contributed to their work satisfaction. Also, face-to-face contact was important for the quality of care. Nurses and physicians were worried to miss physical cues and to miss means to show their involvement. Reception workers were concerned that they could not help vulnerable patients when they only had contact via a telephone call. </w:t>
      </w:r>
      <w:r w:rsidR="00B47F20">
        <w:rPr>
          <w:rFonts w:eastAsiaTheme="minorEastAsia"/>
        </w:rPr>
        <w:t>Also, t</w:t>
      </w:r>
      <w:r w:rsidRPr="00BA4BBF">
        <w:rPr>
          <w:rFonts w:eastAsiaTheme="minorEastAsia"/>
        </w:rPr>
        <w:t xml:space="preserve">he limited number of colleagues at the hospital was perceived to decrease safety for some outpatient workers. This occurred when patients showed aggressive </w:t>
      </w:r>
      <w:r w:rsidRPr="00622B31">
        <w:rPr>
          <w:rFonts w:eastAsiaTheme="minorEastAsia"/>
          <w:lang w:val="en-GB"/>
        </w:rPr>
        <w:t>behaviour</w:t>
      </w:r>
      <w:r w:rsidRPr="00BA4BBF">
        <w:rPr>
          <w:rFonts w:eastAsiaTheme="minorEastAsia"/>
        </w:rPr>
        <w:t xml:space="preserve"> or were impatient wh</w:t>
      </w:r>
      <w:r w:rsidR="00B47F20">
        <w:rPr>
          <w:rFonts w:eastAsiaTheme="minorEastAsia"/>
        </w:rPr>
        <w:t>en</w:t>
      </w:r>
      <w:r w:rsidRPr="00BA4BBF">
        <w:rPr>
          <w:rFonts w:eastAsiaTheme="minorEastAsia"/>
        </w:rPr>
        <w:t xml:space="preserve"> colleagues </w:t>
      </w:r>
      <w:r w:rsidR="00B47F20">
        <w:rPr>
          <w:rFonts w:eastAsiaTheme="minorEastAsia"/>
        </w:rPr>
        <w:t>were not nearby.</w:t>
      </w:r>
    </w:p>
    <w:p w14:paraId="7B6E2EB9" w14:textId="77777777" w:rsidR="00A86E9F" w:rsidRPr="004F2BEA" w:rsidRDefault="00A86E9F" w:rsidP="00A86E9F">
      <w:pPr>
        <w:pStyle w:val="MDPI21heading1"/>
        <w:rPr>
          <w:rFonts w:ascii="Georgia" w:eastAsiaTheme="minorEastAsia" w:hAnsi="Georgia" w:cs="Arial"/>
        </w:rPr>
      </w:pPr>
      <w:r w:rsidRPr="004F2BEA">
        <w:rPr>
          <w:rFonts w:ascii="Georgia" w:eastAsiaTheme="minorEastAsia" w:hAnsi="Georgia" w:cs="Arial"/>
        </w:rPr>
        <w:t>4. Discussion</w:t>
      </w:r>
    </w:p>
    <w:p w14:paraId="504D267E" w14:textId="32AF3F26" w:rsidR="00030633" w:rsidRPr="00554251" w:rsidRDefault="00030633" w:rsidP="00030633">
      <w:pPr>
        <w:pStyle w:val="MDPI31text"/>
        <w:rPr>
          <w:rFonts w:eastAsiaTheme="minorEastAsia"/>
        </w:rPr>
      </w:pPr>
      <w:r w:rsidRPr="00554251">
        <w:rPr>
          <w:rFonts w:eastAsiaTheme="minorEastAsia"/>
        </w:rPr>
        <w:t xml:space="preserve">The results provide insights into preferences and satisfaction with social comfort and changes during the COVID-19 pandemic. The results clearly </w:t>
      </w:r>
      <w:r>
        <w:rPr>
          <w:rFonts w:eastAsiaTheme="minorEastAsia"/>
        </w:rPr>
        <w:t>show a gap between</w:t>
      </w:r>
      <w:r w:rsidRPr="00554251">
        <w:rPr>
          <w:rFonts w:eastAsiaTheme="minorEastAsia"/>
        </w:rPr>
        <w:t xml:space="preserve"> satisfaction and preferences, </w:t>
      </w:r>
      <w:r w:rsidR="00472E3E">
        <w:rPr>
          <w:rFonts w:eastAsiaTheme="minorEastAsia"/>
        </w:rPr>
        <w:t xml:space="preserve">also </w:t>
      </w:r>
      <w:r w:rsidRPr="00554251">
        <w:rPr>
          <w:rFonts w:eastAsiaTheme="minorEastAsia"/>
        </w:rPr>
        <w:t xml:space="preserve">within the profiles that </w:t>
      </w:r>
      <w:r w:rsidR="004E43E2">
        <w:rPr>
          <w:rFonts w:eastAsiaTheme="minorEastAsia"/>
        </w:rPr>
        <w:t>justify</w:t>
      </w:r>
      <w:r w:rsidRPr="00554251">
        <w:rPr>
          <w:rFonts w:eastAsiaTheme="minorEastAsia"/>
        </w:rPr>
        <w:t xml:space="preserve"> differences between individuals. </w:t>
      </w:r>
    </w:p>
    <w:p w14:paraId="3ACA8E69" w14:textId="332D7670" w:rsidR="00030633" w:rsidRPr="00554251" w:rsidRDefault="00030633" w:rsidP="00030633">
      <w:pPr>
        <w:pStyle w:val="MDPI31text"/>
      </w:pPr>
      <w:r w:rsidRPr="00554251">
        <w:rPr>
          <w:rFonts w:eastAsiaTheme="minorEastAsia"/>
        </w:rPr>
        <w:t xml:space="preserve">The number of participants was sufficient for the Two-Step Cluster </w:t>
      </w:r>
      <w:r w:rsidR="008E619C">
        <w:rPr>
          <w:rFonts w:eastAsiaTheme="minorEastAsia"/>
        </w:rPr>
        <w:t>A</w:t>
      </w:r>
      <w:r w:rsidRPr="00554251">
        <w:rPr>
          <w:rFonts w:eastAsiaTheme="minorEastAsia"/>
        </w:rPr>
        <w:t xml:space="preserve">nalysis, according to simulation studies by </w:t>
      </w:r>
      <w:proofErr w:type="spellStart"/>
      <w:r w:rsidRPr="00554251">
        <w:rPr>
          <w:szCs w:val="20"/>
        </w:rPr>
        <w:t>Dolnicar</w:t>
      </w:r>
      <w:proofErr w:type="spellEnd"/>
      <w:r w:rsidRPr="00554251">
        <w:rPr>
          <w:szCs w:val="20"/>
        </w:rPr>
        <w:t>, Grün, Leisch, and Schmidt (2014).</w:t>
      </w:r>
      <w:r w:rsidRPr="00554251">
        <w:t xml:space="preserve"> A sample size of at least </w:t>
      </w:r>
      <w:r w:rsidR="00C01E61" w:rsidRPr="00554251">
        <w:t>forty</w:t>
      </w:r>
      <w:r w:rsidRPr="00554251">
        <w:t xml:space="preserve"> participants per included variable was needed, with a separation level of 0.0 between clusters. 538 participants were included for </w:t>
      </w:r>
      <w:r w:rsidR="00AE3869">
        <w:t xml:space="preserve">the </w:t>
      </w:r>
      <w:r w:rsidRPr="00554251">
        <w:t xml:space="preserve">production of the social comfort clusters, while at least </w:t>
      </w:r>
      <w:r w:rsidR="00C01E61" w:rsidRPr="00554251">
        <w:t>two hundred</w:t>
      </w:r>
      <w:r w:rsidRPr="00554251">
        <w:t xml:space="preserve"> were needed (product of 5 variables included and 40 participants per variable, separation level 0.0). The sample of the interviews was representative, including outpatient workers of all social comfort clusters, </w:t>
      </w:r>
      <w:r w:rsidR="00C01E61" w:rsidRPr="00554251">
        <w:t>divergent functions</w:t>
      </w:r>
      <w:r w:rsidRPr="00554251">
        <w:t>, room types, and all hospital organizations. The sample size was sufficient</w:t>
      </w:r>
      <w:r w:rsidR="00B6230F">
        <w:t>,</w:t>
      </w:r>
      <w:r w:rsidRPr="00554251">
        <w:t xml:space="preserve"> according to Guest, </w:t>
      </w:r>
      <w:r w:rsidRPr="00554251">
        <w:rPr>
          <w:szCs w:val="20"/>
        </w:rPr>
        <w:t xml:space="preserve">Bunce, and Johnson </w:t>
      </w:r>
      <w:r w:rsidRPr="00554251">
        <w:t>(2006)</w:t>
      </w:r>
      <w:r w:rsidR="00B6230F">
        <w:t>,</w:t>
      </w:r>
      <w:r w:rsidRPr="00554251">
        <w:t xml:space="preserve"> for saturation of the data, i.e., analysis of changes due to the COVID-19 pandemic. However, </w:t>
      </w:r>
      <w:r w:rsidR="00B6230F">
        <w:t xml:space="preserve">the </w:t>
      </w:r>
      <w:r w:rsidRPr="00554251">
        <w:t xml:space="preserve">explanation of the profiles was </w:t>
      </w:r>
      <w:r w:rsidR="00B47F20">
        <w:t>complex</w:t>
      </w:r>
      <w:r w:rsidRPr="00554251">
        <w:t xml:space="preserve"> due to the changes</w:t>
      </w:r>
      <w:r w:rsidR="00110960">
        <w:t xml:space="preserve"> caused</w:t>
      </w:r>
      <w:r w:rsidRPr="00554251">
        <w:t xml:space="preserve"> by the COVID-19 pandemic. Caution is needed for</w:t>
      </w:r>
      <w:r w:rsidR="00110960">
        <w:t xml:space="preserve"> the</w:t>
      </w:r>
      <w:r w:rsidRPr="00554251">
        <w:t xml:space="preserve"> interpretation of the results because the methods </w:t>
      </w:r>
      <w:r w:rsidR="00110960">
        <w:t xml:space="preserve">used </w:t>
      </w:r>
      <w:r w:rsidRPr="00554251">
        <w:t xml:space="preserve">did not allow for </w:t>
      </w:r>
      <w:r w:rsidR="002F3D96">
        <w:t xml:space="preserve">the </w:t>
      </w:r>
      <w:r w:rsidRPr="00554251">
        <w:t>determination of causal relations.</w:t>
      </w:r>
      <w:r>
        <w:t xml:space="preserve"> </w:t>
      </w:r>
      <w:r w:rsidRPr="00554251">
        <w:t>However, the study shows that main preferences for social comfort can change when measures to reduce the infection risk during an epidemic</w:t>
      </w:r>
      <w:r w:rsidR="00B47F20">
        <w:t xml:space="preserve"> are taken</w:t>
      </w:r>
      <w:r w:rsidRPr="00554251">
        <w:t xml:space="preserve">. Also, the study design in two phases allowed </w:t>
      </w:r>
      <w:r w:rsidR="002F3D96">
        <w:t>for the</w:t>
      </w:r>
      <w:r w:rsidR="002F3D96" w:rsidRPr="00554251">
        <w:t xml:space="preserve"> </w:t>
      </w:r>
      <w:r w:rsidR="002F3D96">
        <w:t>inclusion of</w:t>
      </w:r>
      <w:r w:rsidR="002F3D96" w:rsidRPr="00554251">
        <w:t xml:space="preserve"> </w:t>
      </w:r>
      <w:r w:rsidRPr="00554251">
        <w:t xml:space="preserve">data during the pandemic, in contrast to </w:t>
      </w:r>
      <w:r w:rsidR="00237DC2">
        <w:t xml:space="preserve">the </w:t>
      </w:r>
      <w:r w:rsidRPr="00554251">
        <w:t xml:space="preserve">parallel collection of qualitative and quantitative data. </w:t>
      </w:r>
    </w:p>
    <w:p w14:paraId="07C6156F" w14:textId="11A7B5EC" w:rsidR="00030633" w:rsidRPr="00554251" w:rsidRDefault="00030633" w:rsidP="00030633">
      <w:pPr>
        <w:pStyle w:val="MDPI31text"/>
      </w:pPr>
      <w:r w:rsidRPr="00554251">
        <w:t xml:space="preserve">As </w:t>
      </w:r>
      <w:r w:rsidR="00237DC2">
        <w:t xml:space="preserve">the </w:t>
      </w:r>
      <w:r w:rsidRPr="00554251">
        <w:t xml:space="preserve">preferences for social comfort of outpatient workers changed during the COVID-19 pandemic, it can be suggested that social comfort preferences can be influenced by contextual changes. Hoeffler and Ariely (1999) suggested that a strong experience can contribute to the formation of a stable preference, while a flaw experience is more changeable. This might explain why the main preference of only </w:t>
      </w:r>
      <w:r w:rsidR="00C01E61">
        <w:t>a part of the</w:t>
      </w:r>
      <w:r w:rsidRPr="00554251">
        <w:t xml:space="preserve"> outpatient workers had changed, while the same measures to reduce infection with the SARS-CoV-2 virus were taken in all hospitals. </w:t>
      </w:r>
      <w:r>
        <w:t>T</w:t>
      </w:r>
      <w:r w:rsidRPr="00554251">
        <w:t>o increase the validity and usability of the profiles, it is recommended to further study the stability and strength of preferences for social comfort</w:t>
      </w:r>
      <w:r w:rsidR="00C01E61" w:rsidRPr="00554251">
        <w:t xml:space="preserve">. </w:t>
      </w:r>
    </w:p>
    <w:p w14:paraId="5530FB25" w14:textId="660EEF96" w:rsidR="00030633" w:rsidRPr="00554251" w:rsidRDefault="00030633" w:rsidP="00030633">
      <w:pPr>
        <w:pStyle w:val="MDPI31text"/>
      </w:pPr>
      <w:r w:rsidRPr="00554251">
        <w:t>The differences in activities between the clusters, especially for concentrated or routine office work, versus diagnosis, consultation, treatment, and physical examination</w:t>
      </w:r>
      <w:r w:rsidR="00BF6B6A">
        <w:t>,</w:t>
      </w:r>
      <w:r w:rsidRPr="00554251">
        <w:t xml:space="preserve"> </w:t>
      </w:r>
      <w:r w:rsidRPr="00554251">
        <w:lastRenderedPageBreak/>
        <w:t xml:space="preserve">show that social comfort preferences can vary among those who perform different (combinations 0f) activities. </w:t>
      </w:r>
      <w:r w:rsidR="00B47F20">
        <w:t>For t</w:t>
      </w:r>
      <w:r w:rsidRPr="00554251">
        <w:t>hose who did not find it logic</w:t>
      </w:r>
      <w:r w:rsidR="00A96287">
        <w:t>al</w:t>
      </w:r>
      <w:r w:rsidRPr="00554251">
        <w:t xml:space="preserve"> to rank social comfort aspects</w:t>
      </w:r>
      <w:r w:rsidR="00B47F20">
        <w:t xml:space="preserve">, </w:t>
      </w:r>
      <w:r w:rsidR="00A96287">
        <w:t xml:space="preserve">the </w:t>
      </w:r>
      <w:r w:rsidR="00B47F20">
        <w:t>importance of social comfort</w:t>
      </w:r>
      <w:r w:rsidRPr="00554251">
        <w:t xml:space="preserve"> depended on the context. It could be suggested that satisfaction with social comfort can be improved by careful determination of requirements and design that support</w:t>
      </w:r>
      <w:r w:rsidR="002746C8">
        <w:t xml:space="preserve">s </w:t>
      </w:r>
      <w:r w:rsidRPr="00554251">
        <w:t xml:space="preserve">the different activities. A previous study with the same </w:t>
      </w:r>
      <w:r w:rsidR="00116DBE" w:rsidRPr="00554251">
        <w:t>data set</w:t>
      </w:r>
      <w:r w:rsidRPr="00554251">
        <w:t xml:space="preserve"> showed that the activities varied also between the different room types, i.e., receptions, offices, consultation rooms, and treatment rooms. Satisfaction with social comfort was more likely to vary between room types than satisfaction with IEQ (</w:t>
      </w:r>
      <w:proofErr w:type="spellStart"/>
      <w:r w:rsidRPr="00554251">
        <w:t>Eijkelenboom</w:t>
      </w:r>
      <w:proofErr w:type="spellEnd"/>
      <w:r w:rsidRPr="00554251">
        <w:t>, Kim</w:t>
      </w:r>
      <w:r w:rsidR="00116DBE">
        <w:t>,</w:t>
      </w:r>
      <w:r w:rsidRPr="00554251">
        <w:t xml:space="preserve"> and Bluyssen</w:t>
      </w:r>
      <w:r w:rsidR="00116DBE">
        <w:t>,</w:t>
      </w:r>
      <w:r w:rsidRPr="00554251">
        <w:t xml:space="preserve"> 2020). For example, those who work most frequently in a consultation room were more satisfied with their own privacy than those in offices. However, while those in SC2 were more likely to work in consultation rooms than the others, and those in SC1 and SC3 were more likely to work in offices, their satisfaction with privacy did not vary. Furthermore, those in SC1 perceived more distraction by noise than those in SC2 and SC3, while there was no difference in</w:t>
      </w:r>
      <w:r w:rsidR="002746C8">
        <w:t xml:space="preserve"> the perception of</w:t>
      </w:r>
      <w:r w:rsidRPr="00554251">
        <w:t xml:space="preserve"> distraction by noise (P-value </w:t>
      </w:r>
      <w:r>
        <w:t>&gt;0.05</w:t>
      </w:r>
      <w:r w:rsidRPr="00554251">
        <w:t xml:space="preserve">) between those working in offices or consultation rooms. Also, those in SC1 regarded it </w:t>
      </w:r>
      <w:r w:rsidR="005873AA">
        <w:t xml:space="preserve">as </w:t>
      </w:r>
      <w:r w:rsidRPr="00554251">
        <w:t xml:space="preserve">more important to have no distraction than those in SC3, while in both clusters they were more likely to work in offices. </w:t>
      </w:r>
      <w:r w:rsidR="004A0E97">
        <w:t xml:space="preserve">Furthermore, while those in SC2 were more satisfied with the aesthetic quality than those in SC1, those in SC3 were similarly satisfied with the aesthetic quality </w:t>
      </w:r>
      <w:r w:rsidR="005873AA">
        <w:t xml:space="preserve">as </w:t>
      </w:r>
      <w:r w:rsidR="004A0E97">
        <w:t xml:space="preserve">those in SC2. </w:t>
      </w:r>
      <w:r w:rsidRPr="00554251">
        <w:t xml:space="preserve">Therefore, it can be stated that accounting for differences between room types in the design is relevant, but </w:t>
      </w:r>
      <w:r w:rsidR="002F797B" w:rsidRPr="00554251">
        <w:t>profiles are also</w:t>
      </w:r>
      <w:r w:rsidRPr="00554251">
        <w:t xml:space="preserve"> needed to optimize social comfort. </w:t>
      </w:r>
    </w:p>
    <w:p w14:paraId="531FA0A5" w14:textId="3260BDF8" w:rsidR="00030633" w:rsidRPr="00554251" w:rsidRDefault="00030633" w:rsidP="00030633">
      <w:pPr>
        <w:pStyle w:val="MDPI31text"/>
      </w:pPr>
      <w:r w:rsidRPr="00554251">
        <w:t xml:space="preserve">Contact with others was important for those in all clusters and the dissatisfaction was low before the pandemic. As digital care increased during the COVID-19 pandemic, and face-to-face contact decreased, the outpatient workers experienced impoverished interaction. While there is yet limited information (Crawford and Serhal, 2020), this is in line with suggestions of previous studies. For example, Romanick-Schmiedl and Ragu (2020) suggested that face-to-face contact could support trust of the patients. The worries of the outpatient workers to miss physical cues, such as trembling fingers, were also </w:t>
      </w:r>
      <w:r w:rsidR="00B47F20">
        <w:t>found</w:t>
      </w:r>
      <w:r w:rsidR="00B47F20" w:rsidRPr="00554251">
        <w:t xml:space="preserve"> </w:t>
      </w:r>
      <w:r w:rsidR="00B47F20">
        <w:t xml:space="preserve">in </w:t>
      </w:r>
      <w:r w:rsidRPr="00554251">
        <w:t xml:space="preserve"> this study. In contrast, Rosen, </w:t>
      </w:r>
      <w:r w:rsidRPr="00554251">
        <w:rPr>
          <w:szCs w:val="20"/>
        </w:rPr>
        <w:t>Joffe, and Kelz</w:t>
      </w:r>
      <w:r w:rsidRPr="00554251">
        <w:rPr>
          <w:sz w:val="18"/>
          <w:szCs w:val="18"/>
        </w:rPr>
        <w:t xml:space="preserve"> </w:t>
      </w:r>
      <w:r w:rsidRPr="00554251">
        <w:t xml:space="preserve">(2020) suggested that the quality of care could </w:t>
      </w:r>
      <w:r w:rsidR="0083681C">
        <w:t xml:space="preserve">be </w:t>
      </w:r>
      <w:r w:rsidRPr="00554251">
        <w:t>improve</w:t>
      </w:r>
      <w:r w:rsidR="0083681C">
        <w:t>d</w:t>
      </w:r>
      <w:r w:rsidRPr="00554251">
        <w:t xml:space="preserve"> by digital care, as the patients could receive the diagnosis in the familiar environment of their home. These suggestions show that further study is needed on social comfort of patients and staff in relation to face-to-face and digital care, as digital care might continue because of future epidemics or other organizational reasons. Investigation of changes in work processes and the occupants’ preferences for social comfort </w:t>
      </w:r>
      <w:r w:rsidR="001527AE">
        <w:t>can</w:t>
      </w:r>
      <w:r w:rsidRPr="00554251">
        <w:t xml:space="preserve"> contribute to design for an optimal fit of individuals and outpatient areas. New layouts can be designed, simulated, and evaluated iteratively, to assess whether the design supports the care processes and comfort. This can be done through collaboration </w:t>
      </w:r>
      <w:r w:rsidR="00C2005B">
        <w:t>between</w:t>
      </w:r>
      <w:r w:rsidRPr="00554251">
        <w:t xml:space="preserve"> outpatient workers, policymakers, health sociologists, and architects. </w:t>
      </w:r>
    </w:p>
    <w:p w14:paraId="7F62AA7C" w14:textId="77777777" w:rsidR="00030633" w:rsidRPr="00C7794F" w:rsidRDefault="00030633" w:rsidP="00030633">
      <w:pPr>
        <w:pStyle w:val="MDPI31text"/>
      </w:pPr>
      <w:r w:rsidRPr="00554251">
        <w:t>Furthermore, it can be suggested that places that accommodate safely for face-to-face contact of hospital workers and patients need to be included in outpatient areas. These places can support informal exchange and trustful relations. Places for interaction with others may contribute to decreased work stress (</w:t>
      </w:r>
      <w:proofErr w:type="spellStart"/>
      <w:r w:rsidRPr="00554251">
        <w:t>Karanikola</w:t>
      </w:r>
      <w:proofErr w:type="spellEnd"/>
      <w:r w:rsidRPr="00554251">
        <w:t xml:space="preserve">, </w:t>
      </w:r>
      <w:proofErr w:type="spellStart"/>
      <w:r w:rsidRPr="00554251">
        <w:t>Tampakis</w:t>
      </w:r>
      <w:proofErr w:type="spellEnd"/>
      <w:r w:rsidRPr="00554251">
        <w:t xml:space="preserve">, </w:t>
      </w:r>
      <w:proofErr w:type="spellStart"/>
      <w:r w:rsidRPr="00554251">
        <w:t>Tsolakidou</w:t>
      </w:r>
      <w:proofErr w:type="spellEnd"/>
      <w:r w:rsidRPr="00554251">
        <w:t xml:space="preserve">, 2020). For a safe place, that enables social distancing and face-to-face contact, it is important to take the occupant density into account during the design process (Awada, </w:t>
      </w:r>
      <w:proofErr w:type="spellStart"/>
      <w:r w:rsidRPr="00554251">
        <w:t>Becerik</w:t>
      </w:r>
      <w:proofErr w:type="spellEnd"/>
      <w:r w:rsidRPr="00554251">
        <w:t xml:space="preserve">-Gerber, Hoque, O’Neill, </w:t>
      </w:r>
      <w:proofErr w:type="spellStart"/>
      <w:r w:rsidRPr="00554251">
        <w:t>Pedrielli</w:t>
      </w:r>
      <w:proofErr w:type="spellEnd"/>
      <w:r w:rsidRPr="00554251">
        <w:t>, Wen and Wu, 2021).</w:t>
      </w:r>
      <w:r>
        <w:t xml:space="preserve"> </w:t>
      </w:r>
    </w:p>
    <w:p w14:paraId="0F84DB18" w14:textId="77777777" w:rsidR="00A86E9F" w:rsidRPr="004F2BEA" w:rsidRDefault="00A86E9F" w:rsidP="00A70B08">
      <w:pPr>
        <w:pStyle w:val="MDPI21heading1"/>
        <w:rPr>
          <w:rFonts w:ascii="Georgia" w:eastAsiaTheme="minorEastAsia" w:hAnsi="Georgia" w:cs="Arial"/>
        </w:rPr>
      </w:pPr>
      <w:r w:rsidRPr="004F2BEA">
        <w:rPr>
          <w:rFonts w:ascii="Georgia" w:eastAsiaTheme="minorEastAsia" w:hAnsi="Georgia" w:cs="Arial"/>
        </w:rPr>
        <w:t>5. Conclusions</w:t>
      </w:r>
    </w:p>
    <w:p w14:paraId="6EF101AF" w14:textId="737A2EB0" w:rsidR="00030633" w:rsidRPr="00942850" w:rsidRDefault="00030633" w:rsidP="00030633">
      <w:pPr>
        <w:pStyle w:val="MDPI31text"/>
      </w:pPr>
      <w:r w:rsidRPr="00C7794F">
        <w:t xml:space="preserve">This </w:t>
      </w:r>
      <w:r>
        <w:t>study</w:t>
      </w:r>
      <w:r w:rsidRPr="00C7794F">
        <w:t xml:space="preserve"> offers detailed insights into </w:t>
      </w:r>
      <w:r w:rsidR="002F797B">
        <w:t xml:space="preserve">the </w:t>
      </w:r>
      <w:r w:rsidRPr="00C7794F">
        <w:t>preferences</w:t>
      </w:r>
      <w:r>
        <w:t xml:space="preserve"> of outpatient workers</w:t>
      </w:r>
      <w:r w:rsidRPr="00C7794F">
        <w:t xml:space="preserve"> for social comfort. </w:t>
      </w:r>
      <w:r>
        <w:t xml:space="preserve">The three profiles, </w:t>
      </w:r>
      <w:r w:rsidR="00B47F20">
        <w:t>which</w:t>
      </w:r>
      <w:r>
        <w:t xml:space="preserve"> were strongly differentiated by distraction, safety, and privacy for patients, show differences in preferences and satisfaction before the COVID-19 pandemic. For all </w:t>
      </w:r>
      <w:r w:rsidR="00C01E61">
        <w:t>profiles,</w:t>
      </w:r>
      <w:r>
        <w:t xml:space="preserve"> the importance of contact and satisfaction with contact </w:t>
      </w:r>
      <w:r w:rsidR="000003CB">
        <w:t xml:space="preserve">were </w:t>
      </w:r>
      <w:r w:rsidR="00C01E61">
        <w:t>high</w:t>
      </w:r>
      <w:r>
        <w:t xml:space="preserve">. Furthermore, it was shown that multiple factors had changed during the COVID-19 pandemic. </w:t>
      </w:r>
      <w:r w:rsidR="00C01E61">
        <w:t>The s</w:t>
      </w:r>
      <w:r>
        <w:t>atisfaction or preferences</w:t>
      </w:r>
      <w:r w:rsidR="00C01E61">
        <w:t xml:space="preserve"> for social comfort</w:t>
      </w:r>
      <w:r>
        <w:t xml:space="preserve"> had changed as well, especially the satisfaction with contact</w:t>
      </w:r>
      <w:r w:rsidR="00BD0911">
        <w:t>, which</w:t>
      </w:r>
      <w:r>
        <w:t xml:space="preserve"> decreased. Overall, the profiles for social comfort show that preferences for social comfort are associated with work-related aspects and can change. </w:t>
      </w:r>
      <w:r w:rsidRPr="00C7794F">
        <w:t>Th</w:t>
      </w:r>
      <w:r>
        <w:t>e profiles</w:t>
      </w:r>
      <w:r w:rsidRPr="00C7794F">
        <w:t xml:space="preserve"> may open a new horizon to accommodate flexibility and variety beyond standardized solutions</w:t>
      </w:r>
      <w:r>
        <w:t>.</w:t>
      </w:r>
    </w:p>
    <w:p w14:paraId="72A3D3EC" w14:textId="77777777" w:rsidR="00114997" w:rsidRPr="005C6417" w:rsidRDefault="00114997" w:rsidP="0029420B">
      <w:pPr>
        <w:pStyle w:val="MDPI31text"/>
        <w:rPr>
          <w:rFonts w:eastAsiaTheme="minorEastAsia" w:cs="Arial"/>
        </w:rPr>
      </w:pPr>
    </w:p>
    <w:p w14:paraId="00D9853B" w14:textId="77777777" w:rsidR="004F2BEA" w:rsidRDefault="00583714" w:rsidP="00583714">
      <w:pPr>
        <w:pStyle w:val="MDPI62BackMatter"/>
        <w:rPr>
          <w:rFonts w:eastAsiaTheme="minorEastAsia" w:cs="Arial"/>
        </w:rPr>
      </w:pPr>
      <w:bookmarkStart w:id="6" w:name="_Hlk60054323"/>
      <w:r w:rsidRPr="004F2BEA">
        <w:rPr>
          <w:rFonts w:eastAsiaTheme="minorEastAsia" w:cs="Arial"/>
          <w:b/>
        </w:rPr>
        <w:t>Data Availability Statement</w:t>
      </w:r>
      <w:r w:rsidRPr="005C6417">
        <w:rPr>
          <w:rFonts w:eastAsiaTheme="minorEastAsia" w:cs="Arial"/>
        </w:rPr>
        <w:t xml:space="preserve"> (if applicable) </w:t>
      </w:r>
    </w:p>
    <w:p w14:paraId="723E2179" w14:textId="315DF938" w:rsidR="00030633" w:rsidRDefault="00030633" w:rsidP="00FE2F9F">
      <w:pPr>
        <w:pStyle w:val="MDPI62BackMatter"/>
        <w:rPr>
          <w:lang w:val="en-GB"/>
        </w:rPr>
      </w:pPr>
      <w:r>
        <w:rPr>
          <w:lang w:val="en-GB"/>
        </w:rPr>
        <w:t xml:space="preserve">The dataset is not publicly available because of </w:t>
      </w:r>
      <w:r w:rsidR="003C106F">
        <w:rPr>
          <w:lang w:val="en-GB"/>
        </w:rPr>
        <w:t xml:space="preserve">the </w:t>
      </w:r>
      <w:r>
        <w:rPr>
          <w:lang w:val="en-GB"/>
        </w:rPr>
        <w:t xml:space="preserve">personal information of the participants. For </w:t>
      </w:r>
      <w:r w:rsidR="00D44DC3">
        <w:rPr>
          <w:lang w:val="en-GB"/>
        </w:rPr>
        <w:t>information,</w:t>
      </w:r>
      <w:r w:rsidR="007C7D71">
        <w:rPr>
          <w:lang w:val="en-GB"/>
        </w:rPr>
        <w:t xml:space="preserve"> please contact</w:t>
      </w:r>
      <w:r>
        <w:rPr>
          <w:lang w:val="en-GB"/>
        </w:rPr>
        <w:t xml:space="preserve"> the author</w:t>
      </w:r>
      <w:r w:rsidR="007C7D71">
        <w:rPr>
          <w:lang w:val="en-GB"/>
        </w:rPr>
        <w:t>.</w:t>
      </w:r>
    </w:p>
    <w:bookmarkEnd w:id="6"/>
    <w:p w14:paraId="1A759645" w14:textId="3E0211A9" w:rsidR="00A86E9F" w:rsidRPr="005C6417" w:rsidRDefault="00583714" w:rsidP="00622B31">
      <w:pPr>
        <w:pStyle w:val="MDPI62BackMatter"/>
        <w:ind w:left="0"/>
        <w:rPr>
          <w:rFonts w:eastAsiaTheme="minorEastAsia" w:cs="Arial"/>
        </w:rPr>
      </w:pPr>
      <w:r w:rsidRPr="005C6417">
        <w:rPr>
          <w:rFonts w:eastAsiaTheme="minorEastAsia" w:cs="Arial"/>
          <w:color w:val="000000" w:themeColor="text1"/>
          <w:szCs w:val="18"/>
          <w:shd w:val="clear" w:color="auto" w:fill="FFFFFF"/>
        </w:rPr>
        <w:t> </w:t>
      </w:r>
    </w:p>
    <w:p w14:paraId="41018529" w14:textId="0AE07AC0" w:rsidR="004F2BEA" w:rsidRDefault="00A86E9F" w:rsidP="00A86E9F">
      <w:pPr>
        <w:pStyle w:val="MDPI62BackMatter"/>
        <w:rPr>
          <w:rFonts w:eastAsiaTheme="minorEastAsia" w:cs="Arial"/>
        </w:rPr>
      </w:pPr>
      <w:r w:rsidRPr="004F2BEA">
        <w:rPr>
          <w:rFonts w:eastAsiaTheme="minorEastAsia" w:cs="Arial"/>
          <w:b/>
        </w:rPr>
        <w:lastRenderedPageBreak/>
        <w:t>Acknowledgments</w:t>
      </w:r>
    </w:p>
    <w:p w14:paraId="486481FF" w14:textId="4622BE4F" w:rsidR="00030633" w:rsidRPr="005C6417" w:rsidRDefault="00030633" w:rsidP="00030633">
      <w:pPr>
        <w:pStyle w:val="MDPI62BackMatter"/>
        <w:rPr>
          <w:rFonts w:eastAsiaTheme="minorEastAsia" w:cs="Arial"/>
        </w:rPr>
      </w:pPr>
      <w:r>
        <w:rPr>
          <w:rFonts w:eastAsiaTheme="minorEastAsia" w:cs="Arial"/>
        </w:rPr>
        <w:t>The main study was supported by Daikin Nederland and EGM architects and performed at Delft University of Technology, Faculty of the Built Environment, at the chair of Indoor Environment</w:t>
      </w:r>
      <w:r w:rsidRPr="005C6417">
        <w:rPr>
          <w:rFonts w:eastAsiaTheme="minorEastAsia" w:cs="Arial"/>
        </w:rPr>
        <w:t xml:space="preserve">. </w:t>
      </w:r>
    </w:p>
    <w:p w14:paraId="071E4E01" w14:textId="77777777" w:rsidR="00A86E9F" w:rsidRPr="004F2BEA" w:rsidRDefault="00A86E9F" w:rsidP="000855EA">
      <w:pPr>
        <w:pStyle w:val="MDPI21heading1"/>
        <w:ind w:left="0"/>
        <w:rPr>
          <w:rFonts w:ascii="Georgia" w:eastAsiaTheme="minorEastAsia" w:hAnsi="Georgia" w:cs="Arial"/>
        </w:rPr>
      </w:pPr>
      <w:r w:rsidRPr="004F2BEA">
        <w:rPr>
          <w:rFonts w:ascii="Georgia" w:eastAsiaTheme="minorEastAsia" w:hAnsi="Georgia" w:cs="Arial"/>
        </w:rPr>
        <w:t>References</w:t>
      </w:r>
    </w:p>
    <w:p w14:paraId="3BEDE943" w14:textId="77777777" w:rsidR="00030633" w:rsidRDefault="00030633" w:rsidP="00030633">
      <w:pPr>
        <w:pStyle w:val="MDPI71References"/>
        <w:numPr>
          <w:ilvl w:val="0"/>
          <w:numId w:val="0"/>
        </w:numPr>
        <w:rPr>
          <w:rFonts w:ascii="Georgia" w:eastAsiaTheme="minorEastAsia" w:hAnsi="Georgia" w:cs="Arial"/>
        </w:rPr>
      </w:pPr>
    </w:p>
    <w:p w14:paraId="311A84D6" w14:textId="77777777" w:rsidR="00030633" w:rsidRPr="00296E47" w:rsidRDefault="00030633" w:rsidP="00030633">
      <w:pPr>
        <w:pStyle w:val="MDPI71References"/>
        <w:rPr>
          <w:rFonts w:ascii="Georgia" w:hAnsi="Georgia"/>
          <w:szCs w:val="18"/>
        </w:rPr>
      </w:pPr>
      <w:proofErr w:type="spellStart"/>
      <w:r w:rsidRPr="00A364EF">
        <w:rPr>
          <w:rFonts w:ascii="Georgia" w:hAnsi="Georgia"/>
          <w:szCs w:val="18"/>
          <w:lang w:val="nl-NL"/>
        </w:rPr>
        <w:t>Awada</w:t>
      </w:r>
      <w:proofErr w:type="spellEnd"/>
      <w:r w:rsidRPr="00A364EF">
        <w:rPr>
          <w:rFonts w:ascii="Georgia" w:hAnsi="Georgia"/>
          <w:szCs w:val="18"/>
          <w:lang w:val="nl-NL"/>
        </w:rPr>
        <w:t xml:space="preserve">, M.; </w:t>
      </w:r>
      <w:proofErr w:type="spellStart"/>
      <w:r w:rsidRPr="00A364EF">
        <w:rPr>
          <w:rFonts w:ascii="Georgia" w:hAnsi="Georgia"/>
          <w:szCs w:val="18"/>
          <w:lang w:val="nl-NL"/>
        </w:rPr>
        <w:t>Becerik</w:t>
      </w:r>
      <w:proofErr w:type="spellEnd"/>
      <w:r w:rsidRPr="00A364EF">
        <w:rPr>
          <w:rFonts w:ascii="Georgia" w:hAnsi="Georgia"/>
          <w:szCs w:val="18"/>
          <w:lang w:val="nl-NL"/>
        </w:rPr>
        <w:t xml:space="preserve">-Gerber, B.; </w:t>
      </w:r>
      <w:proofErr w:type="spellStart"/>
      <w:r w:rsidRPr="00A364EF">
        <w:rPr>
          <w:rFonts w:ascii="Georgia" w:hAnsi="Georgia"/>
          <w:szCs w:val="18"/>
          <w:lang w:val="nl-NL"/>
        </w:rPr>
        <w:t>Hoque</w:t>
      </w:r>
      <w:proofErr w:type="spellEnd"/>
      <w:r w:rsidRPr="00A364EF">
        <w:rPr>
          <w:rFonts w:ascii="Georgia" w:hAnsi="Georgia"/>
          <w:szCs w:val="18"/>
          <w:lang w:val="nl-NL"/>
        </w:rPr>
        <w:t xml:space="preserve">, S.; O’Neill, Z.; </w:t>
      </w:r>
      <w:proofErr w:type="spellStart"/>
      <w:r w:rsidRPr="00A364EF">
        <w:rPr>
          <w:rFonts w:ascii="Georgia" w:hAnsi="Georgia"/>
          <w:szCs w:val="18"/>
          <w:lang w:val="nl-NL"/>
        </w:rPr>
        <w:t>Pedrielli</w:t>
      </w:r>
      <w:proofErr w:type="spellEnd"/>
      <w:r w:rsidRPr="00A364EF">
        <w:rPr>
          <w:rFonts w:ascii="Georgia" w:hAnsi="Georgia"/>
          <w:szCs w:val="18"/>
          <w:lang w:val="nl-NL"/>
        </w:rPr>
        <w:t xml:space="preserve">, G.; Wen, J.; Wu, T. (2021). </w:t>
      </w:r>
      <w:r w:rsidRPr="00296E47">
        <w:rPr>
          <w:rFonts w:ascii="Georgia" w:hAnsi="Georgia"/>
          <w:szCs w:val="18"/>
        </w:rPr>
        <w:t xml:space="preserve">Ten questions concerning occupant health in buildings during normal operations and extreme events including the COVID-19 pandemic. </w:t>
      </w:r>
      <w:r w:rsidRPr="00296E47">
        <w:rPr>
          <w:rFonts w:ascii="Georgia" w:hAnsi="Georgia"/>
          <w:i/>
          <w:iCs/>
          <w:szCs w:val="18"/>
        </w:rPr>
        <w:t>Building and Environment</w:t>
      </w:r>
      <w:r w:rsidRPr="00296E47">
        <w:rPr>
          <w:rFonts w:ascii="Georgia" w:hAnsi="Georgia"/>
          <w:szCs w:val="18"/>
        </w:rPr>
        <w:t xml:space="preserve">. </w:t>
      </w:r>
      <w:r w:rsidRPr="00296E47">
        <w:rPr>
          <w:rFonts w:ascii="Georgia" w:hAnsi="Georgia"/>
          <w:i/>
          <w:iCs/>
          <w:szCs w:val="18"/>
        </w:rPr>
        <w:t>188.</w:t>
      </w:r>
      <w:r w:rsidRPr="00296E47">
        <w:rPr>
          <w:rFonts w:ascii="Georgia" w:hAnsi="Georgia"/>
          <w:szCs w:val="18"/>
        </w:rPr>
        <w:t xml:space="preserve"> https://doi.org/10.1016/j.buildenv.2020.107480.</w:t>
      </w:r>
    </w:p>
    <w:p w14:paraId="6166C2E2" w14:textId="77777777" w:rsidR="00030633" w:rsidRPr="00296E47" w:rsidRDefault="00030633" w:rsidP="00030633">
      <w:pPr>
        <w:pStyle w:val="MDPI71References"/>
        <w:rPr>
          <w:rFonts w:ascii="Georgia" w:hAnsi="Georgia"/>
          <w:szCs w:val="18"/>
        </w:rPr>
      </w:pPr>
      <w:r w:rsidRPr="00296E47">
        <w:rPr>
          <w:rFonts w:ascii="Georgia" w:hAnsi="Georgia"/>
          <w:szCs w:val="18"/>
        </w:rPr>
        <w:t xml:space="preserve">Barker, R., (2011). 2030; The future of medicine, avoiding a medical meltdown. New York: Oxford University Press Inc. 118. </w:t>
      </w:r>
    </w:p>
    <w:p w14:paraId="3E4F3A55" w14:textId="77777777" w:rsidR="00030633" w:rsidRPr="00296E47" w:rsidRDefault="00030633" w:rsidP="00030633">
      <w:pPr>
        <w:pStyle w:val="MDPI71References"/>
        <w:rPr>
          <w:rStyle w:val="Hyperlink"/>
          <w:rFonts w:ascii="Georgia" w:hAnsi="Georgia"/>
          <w:color w:val="000000"/>
          <w:szCs w:val="18"/>
          <w:u w:val="none"/>
        </w:rPr>
      </w:pPr>
      <w:r w:rsidRPr="00296E47">
        <w:rPr>
          <w:rFonts w:ascii="Georgia" w:hAnsi="Georgia"/>
          <w:szCs w:val="18"/>
        </w:rPr>
        <w:t xml:space="preserve">Crawford, A., Serhal, E. (2020). Digital Health Equity and COVID-19: The Innovation Curve Cannot Reinforce the Social Gradient of Health. </w:t>
      </w:r>
      <w:r w:rsidRPr="00296E47">
        <w:rPr>
          <w:rFonts w:ascii="Georgia" w:hAnsi="Georgia"/>
          <w:i/>
          <w:iCs/>
          <w:szCs w:val="18"/>
        </w:rPr>
        <w:t>Journal of Medical Internet Research</w:t>
      </w:r>
      <w:r w:rsidRPr="00296E47">
        <w:rPr>
          <w:rFonts w:ascii="Georgia" w:hAnsi="Georgia"/>
          <w:szCs w:val="18"/>
        </w:rPr>
        <w:t xml:space="preserve">. </w:t>
      </w:r>
      <w:r w:rsidRPr="00296E47">
        <w:rPr>
          <w:rFonts w:ascii="Georgia" w:hAnsi="Georgia"/>
          <w:i/>
          <w:iCs/>
          <w:szCs w:val="18"/>
        </w:rPr>
        <w:t>22(6): p. e19361.</w:t>
      </w:r>
      <w:r w:rsidRPr="00296E47">
        <w:rPr>
          <w:rFonts w:ascii="Georgia" w:hAnsi="Georgia"/>
          <w:szCs w:val="18"/>
        </w:rPr>
        <w:t xml:space="preserve"> </w:t>
      </w:r>
      <w:hyperlink r:id="rId15" w:history="1">
        <w:r w:rsidRPr="00296E47">
          <w:rPr>
            <w:rStyle w:val="Hyperlink"/>
            <w:rFonts w:ascii="Georgia" w:hAnsi="Georgia"/>
            <w:color w:val="000000"/>
            <w:szCs w:val="18"/>
            <w:u w:val="none"/>
          </w:rPr>
          <w:t>https://doi.org/10.2196/19361</w:t>
        </w:r>
      </w:hyperlink>
    </w:p>
    <w:p w14:paraId="007DADBE" w14:textId="77777777" w:rsidR="00030633" w:rsidRPr="00296E47" w:rsidRDefault="00030633" w:rsidP="00030633">
      <w:pPr>
        <w:pStyle w:val="MDPI71References"/>
        <w:rPr>
          <w:rFonts w:ascii="Georgia" w:hAnsi="Georgia"/>
          <w:szCs w:val="18"/>
        </w:rPr>
      </w:pPr>
      <w:r w:rsidRPr="00296E47">
        <w:rPr>
          <w:rFonts w:ascii="Georgia" w:hAnsi="Georgia"/>
          <w:szCs w:val="18"/>
        </w:rPr>
        <w:t xml:space="preserve">Bluyssen P.M. et al. (2016). Self-reported health and comfort in ‘modern’ office buildings: first results from the European OFFICAIR study. </w:t>
      </w:r>
      <w:r w:rsidRPr="00296E47">
        <w:rPr>
          <w:rFonts w:ascii="Georgia" w:hAnsi="Georgia"/>
          <w:i/>
          <w:iCs/>
          <w:szCs w:val="18"/>
        </w:rPr>
        <w:t>Indoor Air</w:t>
      </w:r>
      <w:r w:rsidRPr="00296E47">
        <w:rPr>
          <w:rFonts w:ascii="Georgia" w:hAnsi="Georgia"/>
          <w:szCs w:val="18"/>
        </w:rPr>
        <w:t xml:space="preserve">. </w:t>
      </w:r>
      <w:r w:rsidRPr="00296E47">
        <w:rPr>
          <w:rFonts w:ascii="Georgia" w:hAnsi="Georgia"/>
          <w:i/>
          <w:iCs/>
          <w:szCs w:val="18"/>
        </w:rPr>
        <w:t>26:298-317</w:t>
      </w:r>
      <w:r w:rsidRPr="00296E47">
        <w:rPr>
          <w:rFonts w:ascii="Georgia" w:hAnsi="Georgia"/>
          <w:szCs w:val="18"/>
        </w:rPr>
        <w:t xml:space="preserve">. </w:t>
      </w:r>
      <w:hyperlink r:id="rId16" w:history="1">
        <w:r w:rsidRPr="00296E47">
          <w:rPr>
            <w:rStyle w:val="Hyperlink"/>
            <w:rFonts w:ascii="Georgia" w:hAnsi="Georgia"/>
            <w:szCs w:val="18"/>
          </w:rPr>
          <w:t>https://doi.org/10.1016/0092-6566(74)90019-1</w:t>
        </w:r>
      </w:hyperlink>
      <w:r w:rsidRPr="00296E47">
        <w:rPr>
          <w:rFonts w:ascii="Georgia" w:hAnsi="Georgia"/>
          <w:szCs w:val="18"/>
        </w:rPr>
        <w:t>.</w:t>
      </w:r>
    </w:p>
    <w:p w14:paraId="707F03D9" w14:textId="77777777" w:rsidR="00030633" w:rsidRPr="00296E47" w:rsidRDefault="00030633" w:rsidP="00030633">
      <w:pPr>
        <w:pStyle w:val="MDPI71References"/>
        <w:rPr>
          <w:rFonts w:ascii="Georgia" w:hAnsi="Georgia"/>
          <w:szCs w:val="18"/>
        </w:rPr>
      </w:pPr>
      <w:r w:rsidRPr="00296E47">
        <w:rPr>
          <w:rFonts w:ascii="Georgia" w:hAnsi="Georgia"/>
          <w:szCs w:val="18"/>
        </w:rPr>
        <w:t xml:space="preserve">Bluyssen, P.M. (2019). Towards an integrated analysis of the indoor environmental factors and its effects on occupants. </w:t>
      </w:r>
      <w:r w:rsidRPr="00296E47">
        <w:rPr>
          <w:rFonts w:ascii="Georgia" w:hAnsi="Georgia"/>
          <w:i/>
          <w:iCs/>
          <w:szCs w:val="18"/>
        </w:rPr>
        <w:t>Intelligent Buildings International. 12(3): p. 199-207.</w:t>
      </w:r>
      <w:r w:rsidRPr="00296E47">
        <w:rPr>
          <w:rFonts w:ascii="Georgia" w:hAnsi="Georgia"/>
          <w:szCs w:val="18"/>
        </w:rPr>
        <w:t xml:space="preserve"> </w:t>
      </w:r>
      <w:hyperlink r:id="rId17" w:history="1">
        <w:r w:rsidRPr="00296E47">
          <w:rPr>
            <w:rStyle w:val="Hyperlink"/>
            <w:rFonts w:ascii="Georgia" w:hAnsi="Georgia"/>
            <w:szCs w:val="18"/>
          </w:rPr>
          <w:t>https://doi.org/10.1080/17508975.2019.1599318</w:t>
        </w:r>
      </w:hyperlink>
      <w:r w:rsidRPr="00296E47">
        <w:rPr>
          <w:rFonts w:ascii="Georgia" w:hAnsi="Georgia"/>
          <w:szCs w:val="18"/>
        </w:rPr>
        <w:t>.</w:t>
      </w:r>
    </w:p>
    <w:p w14:paraId="53C39404" w14:textId="77777777" w:rsidR="00030633" w:rsidRPr="00296E47" w:rsidRDefault="00030633" w:rsidP="00030633">
      <w:pPr>
        <w:pStyle w:val="MDPI71References"/>
        <w:rPr>
          <w:rFonts w:ascii="Georgia" w:hAnsi="Georgia"/>
          <w:szCs w:val="18"/>
        </w:rPr>
      </w:pPr>
      <w:proofErr w:type="spellStart"/>
      <w:r w:rsidRPr="00A364EF">
        <w:rPr>
          <w:rFonts w:ascii="Georgia" w:hAnsi="Georgia"/>
          <w:szCs w:val="18"/>
          <w:lang w:val="nl-NL"/>
        </w:rPr>
        <w:t>Dolnicar</w:t>
      </w:r>
      <w:proofErr w:type="spellEnd"/>
      <w:r w:rsidRPr="00A364EF">
        <w:rPr>
          <w:rFonts w:ascii="Georgia" w:hAnsi="Georgia"/>
          <w:szCs w:val="18"/>
          <w:lang w:val="nl-NL"/>
        </w:rPr>
        <w:t xml:space="preserve">, S., </w:t>
      </w:r>
      <w:proofErr w:type="spellStart"/>
      <w:r w:rsidRPr="00A364EF">
        <w:rPr>
          <w:rFonts w:ascii="Georgia" w:hAnsi="Georgia"/>
          <w:szCs w:val="18"/>
          <w:lang w:val="nl-NL"/>
        </w:rPr>
        <w:t>Grün</w:t>
      </w:r>
      <w:proofErr w:type="spellEnd"/>
      <w:r w:rsidRPr="00A364EF">
        <w:rPr>
          <w:rFonts w:ascii="Georgia" w:hAnsi="Georgia"/>
          <w:szCs w:val="18"/>
          <w:lang w:val="nl-NL"/>
        </w:rPr>
        <w:t xml:space="preserve">, B., </w:t>
      </w:r>
      <w:proofErr w:type="spellStart"/>
      <w:r w:rsidRPr="00A364EF">
        <w:rPr>
          <w:rFonts w:ascii="Georgia" w:hAnsi="Georgia"/>
          <w:szCs w:val="18"/>
          <w:lang w:val="nl-NL"/>
        </w:rPr>
        <w:t>Leisch</w:t>
      </w:r>
      <w:proofErr w:type="spellEnd"/>
      <w:r w:rsidRPr="00A364EF">
        <w:rPr>
          <w:rFonts w:ascii="Georgia" w:hAnsi="Georgia"/>
          <w:szCs w:val="18"/>
          <w:lang w:val="nl-NL"/>
        </w:rPr>
        <w:t xml:space="preserve">, F., Schmidt, K. (2014). </w:t>
      </w:r>
      <w:r w:rsidRPr="00296E47">
        <w:rPr>
          <w:rFonts w:ascii="Georgia" w:hAnsi="Georgia"/>
          <w:szCs w:val="18"/>
        </w:rPr>
        <w:t xml:space="preserve">Required Sample Sizes for Data-Driven Market Segmentation Analyses in Tourism. </w:t>
      </w:r>
      <w:r w:rsidRPr="00296E47">
        <w:rPr>
          <w:rFonts w:ascii="Georgia" w:hAnsi="Georgia"/>
          <w:i/>
          <w:iCs/>
          <w:szCs w:val="18"/>
        </w:rPr>
        <w:t>Journal of Travel Research</w:t>
      </w:r>
      <w:r w:rsidRPr="00296E47">
        <w:rPr>
          <w:rFonts w:ascii="Georgia" w:hAnsi="Georgia"/>
          <w:szCs w:val="18"/>
        </w:rPr>
        <w:t xml:space="preserve">. </w:t>
      </w:r>
      <w:r w:rsidRPr="00296E47">
        <w:rPr>
          <w:rFonts w:ascii="Georgia" w:hAnsi="Georgia"/>
          <w:i/>
          <w:iCs/>
          <w:szCs w:val="18"/>
        </w:rPr>
        <w:t>53(3): p. 296-306</w:t>
      </w:r>
      <w:r w:rsidRPr="00296E47">
        <w:rPr>
          <w:rFonts w:ascii="Georgia" w:hAnsi="Georgia"/>
          <w:szCs w:val="18"/>
        </w:rPr>
        <w:t xml:space="preserve">. </w:t>
      </w:r>
      <w:hyperlink r:id="rId18" w:history="1">
        <w:r w:rsidRPr="00296E47">
          <w:rPr>
            <w:rStyle w:val="Hyperlink"/>
            <w:rFonts w:ascii="Georgia" w:hAnsi="Georgia"/>
            <w:szCs w:val="18"/>
          </w:rPr>
          <w:t>https://doi.org/10.1177/0047287513496475</w:t>
        </w:r>
      </w:hyperlink>
      <w:r w:rsidRPr="00296E47">
        <w:rPr>
          <w:rFonts w:ascii="Georgia" w:hAnsi="Georgia"/>
          <w:szCs w:val="18"/>
        </w:rPr>
        <w:t>.</w:t>
      </w:r>
    </w:p>
    <w:p w14:paraId="11125052" w14:textId="77777777" w:rsidR="00030633" w:rsidRPr="00296E47" w:rsidRDefault="00030633" w:rsidP="00030633">
      <w:pPr>
        <w:pStyle w:val="MDPI71References"/>
        <w:rPr>
          <w:rFonts w:ascii="Georgia" w:hAnsi="Georgia"/>
          <w:szCs w:val="18"/>
        </w:rPr>
      </w:pPr>
      <w:r w:rsidRPr="00A364EF">
        <w:rPr>
          <w:rFonts w:ascii="Georgia" w:hAnsi="Georgia"/>
          <w:szCs w:val="18"/>
          <w:lang w:val="nl-NL"/>
        </w:rPr>
        <w:t xml:space="preserve">Eijkelenboom, A., Bluyssen, P.M. (2019). </w:t>
      </w:r>
      <w:r w:rsidRPr="00296E47">
        <w:rPr>
          <w:rFonts w:ascii="Georgia" w:hAnsi="Georgia"/>
          <w:szCs w:val="18"/>
        </w:rPr>
        <w:t xml:space="preserve">Comfort and health of patients and staff, related to the physical environment of different departments in hospitals: a literature review. </w:t>
      </w:r>
      <w:r w:rsidRPr="00296E47">
        <w:rPr>
          <w:rFonts w:ascii="Georgia" w:hAnsi="Georgia"/>
          <w:i/>
          <w:iCs/>
          <w:szCs w:val="18"/>
        </w:rPr>
        <w:t>Intelligent Buildings International</w:t>
      </w:r>
      <w:r w:rsidRPr="00296E47">
        <w:rPr>
          <w:rFonts w:ascii="Georgia" w:hAnsi="Georgia"/>
          <w:szCs w:val="18"/>
        </w:rPr>
        <w:t xml:space="preserve">. </w:t>
      </w:r>
      <w:hyperlink r:id="rId19" w:history="1">
        <w:r w:rsidRPr="00296E47">
          <w:rPr>
            <w:rStyle w:val="Hyperlink"/>
            <w:rFonts w:ascii="Georgia" w:hAnsi="Georgia"/>
            <w:color w:val="000000"/>
            <w:szCs w:val="18"/>
            <w:u w:val="none"/>
          </w:rPr>
          <w:t>https://doi.org/10.1080/17508975.2019.1613218</w:t>
        </w:r>
      </w:hyperlink>
    </w:p>
    <w:p w14:paraId="06A01EBA" w14:textId="77777777" w:rsidR="00030633" w:rsidRPr="00296E47" w:rsidRDefault="00030633" w:rsidP="00030633">
      <w:pPr>
        <w:pStyle w:val="MDPI71References"/>
        <w:rPr>
          <w:rFonts w:ascii="Georgia" w:hAnsi="Georgia"/>
          <w:szCs w:val="18"/>
        </w:rPr>
      </w:pPr>
      <w:r w:rsidRPr="00A364EF">
        <w:rPr>
          <w:rFonts w:ascii="Georgia" w:hAnsi="Georgia"/>
          <w:szCs w:val="18"/>
          <w:lang w:val="nl-NL"/>
        </w:rPr>
        <w:t xml:space="preserve">Eijkelenboom, A., Kim, D.H., Bluyssen. </w:t>
      </w:r>
      <w:r w:rsidRPr="00296E47">
        <w:rPr>
          <w:rFonts w:ascii="Georgia" w:hAnsi="Georgia"/>
          <w:szCs w:val="18"/>
        </w:rPr>
        <w:t xml:space="preserve">P.M., (2020). First results of self-reported health and comfort of staff in outpatient areas of hospitals in the Netherlands. </w:t>
      </w:r>
      <w:r w:rsidRPr="00296E47">
        <w:rPr>
          <w:rFonts w:ascii="Georgia" w:hAnsi="Georgia"/>
          <w:i/>
          <w:iCs/>
          <w:szCs w:val="18"/>
        </w:rPr>
        <w:t>Building and Environment</w:t>
      </w:r>
      <w:r w:rsidRPr="00296E47">
        <w:rPr>
          <w:rFonts w:ascii="Georgia" w:hAnsi="Georgia"/>
          <w:szCs w:val="18"/>
        </w:rPr>
        <w:t xml:space="preserve">. </w:t>
      </w:r>
      <w:r w:rsidRPr="00296E47">
        <w:rPr>
          <w:rFonts w:ascii="Georgia" w:hAnsi="Georgia"/>
          <w:i/>
          <w:iCs/>
          <w:szCs w:val="18"/>
        </w:rPr>
        <w:t>177: p. 106871.</w:t>
      </w:r>
      <w:r w:rsidRPr="00296E47">
        <w:rPr>
          <w:rFonts w:ascii="Georgia" w:hAnsi="Georgia"/>
          <w:szCs w:val="18"/>
        </w:rPr>
        <w:t xml:space="preserve"> https://doi.org/10.1016/j.buildenv.2020.106871.</w:t>
      </w:r>
    </w:p>
    <w:p w14:paraId="47C77D3E" w14:textId="77777777" w:rsidR="00030633" w:rsidRPr="00296E47" w:rsidRDefault="00030633" w:rsidP="00030633">
      <w:pPr>
        <w:pStyle w:val="MDPI71References"/>
        <w:rPr>
          <w:rFonts w:ascii="Georgia" w:hAnsi="Georgia"/>
          <w:szCs w:val="18"/>
        </w:rPr>
      </w:pPr>
      <w:proofErr w:type="spellStart"/>
      <w:r w:rsidRPr="00296E47">
        <w:rPr>
          <w:rFonts w:ascii="Georgia" w:hAnsi="Georgia"/>
          <w:szCs w:val="18"/>
        </w:rPr>
        <w:t>Eijkelenboom</w:t>
      </w:r>
      <w:proofErr w:type="spellEnd"/>
      <w:r w:rsidRPr="00296E47">
        <w:rPr>
          <w:rFonts w:ascii="Georgia" w:hAnsi="Georgia"/>
          <w:szCs w:val="18"/>
        </w:rPr>
        <w:t xml:space="preserve">, A. and Bluyssen, P.M. (2020) Profiling outpatient staff based on their self-reported comfort and preferences of indoor environmental quality and social comfort in six hospitals. </w:t>
      </w:r>
      <w:r w:rsidRPr="00296E47">
        <w:rPr>
          <w:rFonts w:ascii="Georgia" w:hAnsi="Georgia"/>
          <w:i/>
          <w:iCs/>
          <w:szCs w:val="18"/>
        </w:rPr>
        <w:t>Building and Environment</w:t>
      </w:r>
      <w:r w:rsidRPr="00296E47">
        <w:rPr>
          <w:rFonts w:ascii="Georgia" w:hAnsi="Georgia"/>
          <w:szCs w:val="18"/>
        </w:rPr>
        <w:t xml:space="preserve">. </w:t>
      </w:r>
      <w:r w:rsidRPr="00296E47">
        <w:rPr>
          <w:rFonts w:ascii="Georgia" w:hAnsi="Georgia"/>
          <w:i/>
          <w:iCs/>
          <w:szCs w:val="18"/>
        </w:rPr>
        <w:t xml:space="preserve">184 </w:t>
      </w:r>
      <w:r w:rsidRPr="00296E47">
        <w:rPr>
          <w:rFonts w:ascii="Georgia" w:hAnsi="Georgia"/>
          <w:szCs w:val="18"/>
        </w:rPr>
        <w:t>https://doi.org/10.1016/j.buildenv.2020.107220.</w:t>
      </w:r>
    </w:p>
    <w:p w14:paraId="4B1C8BCA" w14:textId="77777777" w:rsidR="00030633" w:rsidRPr="00296E47" w:rsidRDefault="00030633" w:rsidP="00030633">
      <w:pPr>
        <w:pStyle w:val="MDPI71References"/>
        <w:rPr>
          <w:rFonts w:ascii="Georgia" w:hAnsi="Georgia"/>
          <w:szCs w:val="18"/>
        </w:rPr>
      </w:pPr>
      <w:proofErr w:type="spellStart"/>
      <w:r w:rsidRPr="00296E47">
        <w:rPr>
          <w:rFonts w:ascii="Georgia" w:hAnsi="Georgia"/>
          <w:szCs w:val="18"/>
        </w:rPr>
        <w:t>Eijkelenboom</w:t>
      </w:r>
      <w:proofErr w:type="spellEnd"/>
      <w:r w:rsidRPr="00296E47">
        <w:rPr>
          <w:rFonts w:ascii="Georgia" w:hAnsi="Georgia"/>
          <w:szCs w:val="18"/>
        </w:rPr>
        <w:t>, A., Ortiz, M.A., Bluyssen, P.M., (2021). Preferences for indoor environmental and social comfort of outpatient staff during the COVID-19 pandemic, an explanatory study</w:t>
      </w:r>
      <w:r w:rsidRPr="00296E47">
        <w:rPr>
          <w:rFonts w:ascii="Georgia" w:hAnsi="Georgia"/>
          <w:i/>
          <w:iCs/>
          <w:szCs w:val="18"/>
        </w:rPr>
        <w:t>. International Journal of Environmental Research and Public Health</w:t>
      </w:r>
      <w:r w:rsidRPr="00296E47">
        <w:rPr>
          <w:rFonts w:ascii="Georgia" w:hAnsi="Georgia"/>
          <w:szCs w:val="18"/>
        </w:rPr>
        <w:t xml:space="preserve"> </w:t>
      </w:r>
      <w:r w:rsidRPr="00296E47">
        <w:rPr>
          <w:rFonts w:ascii="Georgia" w:hAnsi="Georgia"/>
          <w:i/>
          <w:iCs/>
          <w:szCs w:val="18"/>
        </w:rPr>
        <w:t>18 p.7553.</w:t>
      </w:r>
      <w:r w:rsidRPr="00296E47">
        <w:rPr>
          <w:rFonts w:ascii="Georgia" w:hAnsi="Georgia"/>
          <w:szCs w:val="18"/>
        </w:rPr>
        <w:t xml:space="preserve"> </w:t>
      </w:r>
      <w:hyperlink r:id="rId20" w:history="1">
        <w:r w:rsidRPr="00296E47">
          <w:rPr>
            <w:rStyle w:val="Hyperlink"/>
            <w:rFonts w:ascii="Georgia" w:hAnsi="Georgia" w:cs="Arial"/>
            <w:szCs w:val="18"/>
            <w:shd w:val="clear" w:color="auto" w:fill="FFFFFF"/>
          </w:rPr>
          <w:t>https://doi.org/10.3390/ijerph18147353</w:t>
        </w:r>
      </w:hyperlink>
    </w:p>
    <w:p w14:paraId="212B9D2D" w14:textId="77777777" w:rsidR="00030633" w:rsidRPr="00296E47" w:rsidRDefault="00030633" w:rsidP="00030633">
      <w:pPr>
        <w:pStyle w:val="MDPI71References"/>
        <w:rPr>
          <w:rFonts w:ascii="Georgia" w:hAnsi="Georgia"/>
          <w:szCs w:val="18"/>
        </w:rPr>
      </w:pPr>
      <w:r w:rsidRPr="00296E47">
        <w:rPr>
          <w:rFonts w:ascii="Georgia" w:hAnsi="Georgia"/>
          <w:szCs w:val="18"/>
        </w:rPr>
        <w:t xml:space="preserve">Fisher, J.D. (1974). Situation-specific variables as determinants of perceived environmental aesthetic quality and perceived crowdedness. </w:t>
      </w:r>
      <w:r w:rsidRPr="00296E47">
        <w:rPr>
          <w:rFonts w:ascii="Georgia" w:hAnsi="Georgia"/>
          <w:i/>
          <w:iCs/>
          <w:szCs w:val="18"/>
        </w:rPr>
        <w:t>Journal of research in personality</w:t>
      </w:r>
      <w:r w:rsidRPr="00296E47">
        <w:rPr>
          <w:rFonts w:ascii="Georgia" w:hAnsi="Georgia"/>
          <w:szCs w:val="18"/>
        </w:rPr>
        <w:t xml:space="preserve">. </w:t>
      </w:r>
      <w:r w:rsidRPr="00296E47">
        <w:rPr>
          <w:rFonts w:ascii="Georgia" w:hAnsi="Georgia"/>
          <w:bCs/>
          <w:i/>
          <w:iCs/>
          <w:szCs w:val="18"/>
        </w:rPr>
        <w:t>8</w:t>
      </w:r>
      <w:r w:rsidRPr="00296E47">
        <w:rPr>
          <w:rFonts w:ascii="Georgia" w:hAnsi="Georgia"/>
          <w:i/>
          <w:iCs/>
          <w:szCs w:val="18"/>
        </w:rPr>
        <w:t>: p. 177-188.</w:t>
      </w:r>
      <w:r w:rsidRPr="00296E47">
        <w:rPr>
          <w:rFonts w:ascii="Georgia" w:hAnsi="Georgia"/>
          <w:szCs w:val="18"/>
        </w:rPr>
        <w:t xml:space="preserve"> https://doi.org/10.1016/0092-6566(74)90019-1.</w:t>
      </w:r>
    </w:p>
    <w:p w14:paraId="21398431" w14:textId="77777777" w:rsidR="00030633" w:rsidRPr="00296E47" w:rsidRDefault="00030633" w:rsidP="00030633">
      <w:pPr>
        <w:pStyle w:val="MDPI71References"/>
        <w:rPr>
          <w:rFonts w:ascii="Georgia" w:hAnsi="Georgia"/>
          <w:szCs w:val="18"/>
        </w:rPr>
      </w:pPr>
      <w:r w:rsidRPr="00296E47">
        <w:rPr>
          <w:rFonts w:ascii="Georgia" w:hAnsi="Georgia"/>
          <w:szCs w:val="18"/>
        </w:rPr>
        <w:t xml:space="preserve">Guest, G., Bunce, A., Johnson, L. (2006). How Many Interviews Are Enough? An Experiment with Data Saturation and Variability. </w:t>
      </w:r>
      <w:r w:rsidRPr="00296E47">
        <w:rPr>
          <w:rFonts w:ascii="Georgia" w:hAnsi="Georgia"/>
          <w:i/>
          <w:iCs/>
          <w:szCs w:val="18"/>
        </w:rPr>
        <w:t>Field Methods</w:t>
      </w:r>
      <w:r w:rsidRPr="00296E47">
        <w:rPr>
          <w:rFonts w:ascii="Georgia" w:hAnsi="Georgia"/>
          <w:szCs w:val="18"/>
        </w:rPr>
        <w:t xml:space="preserve">. </w:t>
      </w:r>
      <w:r w:rsidRPr="00296E47">
        <w:rPr>
          <w:rFonts w:ascii="Georgia" w:hAnsi="Georgia"/>
          <w:i/>
          <w:iCs/>
          <w:szCs w:val="18"/>
        </w:rPr>
        <w:t>18(1): p. 59-82.</w:t>
      </w:r>
      <w:r w:rsidRPr="00296E47">
        <w:rPr>
          <w:rFonts w:ascii="Georgia" w:hAnsi="Georgia"/>
          <w:szCs w:val="18"/>
        </w:rPr>
        <w:t xml:space="preserve"> https://doi.org/10.1177/1525822x05279903.</w:t>
      </w:r>
    </w:p>
    <w:p w14:paraId="36911229" w14:textId="77777777" w:rsidR="00030633" w:rsidRPr="00296E47" w:rsidRDefault="00030633" w:rsidP="00030633">
      <w:pPr>
        <w:pStyle w:val="MDPI71References"/>
        <w:rPr>
          <w:rFonts w:ascii="Georgia" w:hAnsi="Georgia"/>
          <w:szCs w:val="18"/>
        </w:rPr>
      </w:pPr>
      <w:r w:rsidRPr="00296E47">
        <w:rPr>
          <w:rFonts w:ascii="Georgia" w:hAnsi="Georgia"/>
          <w:szCs w:val="18"/>
        </w:rPr>
        <w:t xml:space="preserve">Gioia, D.A., Corley, K.G., Hamilton, A.L. (2012). Seeking Qualitative Rigor in Inductive Research: Notes on the Gioia Methodology. </w:t>
      </w:r>
      <w:r w:rsidRPr="00296E47">
        <w:rPr>
          <w:rFonts w:ascii="Georgia" w:hAnsi="Georgia"/>
          <w:i/>
          <w:iCs/>
          <w:szCs w:val="18"/>
        </w:rPr>
        <w:t>Organ. Res</w:t>
      </w:r>
      <w:r w:rsidRPr="00296E47">
        <w:rPr>
          <w:rFonts w:ascii="Georgia" w:hAnsi="Georgia"/>
          <w:szCs w:val="18"/>
        </w:rPr>
        <w:t>.</w:t>
      </w:r>
      <w:r w:rsidRPr="00296E47">
        <w:rPr>
          <w:rFonts w:ascii="Georgia" w:hAnsi="Georgia"/>
          <w:b/>
          <w:szCs w:val="18"/>
        </w:rPr>
        <w:t xml:space="preserve"> </w:t>
      </w:r>
      <w:r w:rsidRPr="00296E47">
        <w:rPr>
          <w:rFonts w:ascii="Georgia" w:hAnsi="Georgia"/>
          <w:bCs/>
          <w:i/>
          <w:iCs/>
          <w:szCs w:val="18"/>
        </w:rPr>
        <w:t>16</w:t>
      </w:r>
      <w:r w:rsidRPr="00296E47">
        <w:rPr>
          <w:rFonts w:ascii="Georgia" w:hAnsi="Georgia"/>
          <w:i/>
          <w:iCs/>
          <w:szCs w:val="18"/>
        </w:rPr>
        <w:t>(1): p. 15-31.</w:t>
      </w:r>
      <w:r w:rsidRPr="00296E47">
        <w:rPr>
          <w:rFonts w:ascii="Georgia" w:hAnsi="Georgia"/>
          <w:szCs w:val="18"/>
        </w:rPr>
        <w:t xml:space="preserve"> </w:t>
      </w:r>
      <w:hyperlink r:id="rId21" w:history="1">
        <w:r w:rsidRPr="00296E47">
          <w:rPr>
            <w:rStyle w:val="Hyperlink"/>
            <w:rFonts w:ascii="Georgia" w:hAnsi="Georgia"/>
            <w:szCs w:val="18"/>
          </w:rPr>
          <w:t>https://doi.org/10.1177/1094428112452151</w:t>
        </w:r>
      </w:hyperlink>
      <w:r w:rsidRPr="00296E47">
        <w:rPr>
          <w:rFonts w:ascii="Georgia" w:hAnsi="Georgia"/>
          <w:szCs w:val="18"/>
        </w:rPr>
        <w:t>.</w:t>
      </w:r>
    </w:p>
    <w:p w14:paraId="767277DF" w14:textId="77777777" w:rsidR="00030633" w:rsidRPr="00296E47" w:rsidRDefault="00030633" w:rsidP="00030633">
      <w:pPr>
        <w:pStyle w:val="MDPI71References"/>
        <w:rPr>
          <w:rFonts w:ascii="Georgia" w:hAnsi="Georgia"/>
          <w:szCs w:val="18"/>
        </w:rPr>
      </w:pPr>
      <w:r w:rsidRPr="00296E47">
        <w:rPr>
          <w:rFonts w:ascii="Georgia" w:hAnsi="Georgia"/>
          <w:szCs w:val="18"/>
        </w:rPr>
        <w:t xml:space="preserve">Hellgren, U.M., </w:t>
      </w:r>
      <w:proofErr w:type="spellStart"/>
      <w:r w:rsidRPr="00296E47">
        <w:rPr>
          <w:rFonts w:ascii="Georgia" w:hAnsi="Georgia"/>
          <w:szCs w:val="18"/>
        </w:rPr>
        <w:t>Reijula</w:t>
      </w:r>
      <w:proofErr w:type="spellEnd"/>
      <w:r w:rsidRPr="00296E47">
        <w:rPr>
          <w:rFonts w:ascii="Georgia" w:hAnsi="Georgia"/>
          <w:szCs w:val="18"/>
        </w:rPr>
        <w:t xml:space="preserve">, K. (2006). Indoor-air-related complaints and symptoms among hospital workers. </w:t>
      </w:r>
      <w:r w:rsidRPr="00296E47">
        <w:rPr>
          <w:rFonts w:ascii="Georgia" w:hAnsi="Georgia"/>
          <w:i/>
          <w:iCs/>
          <w:szCs w:val="18"/>
        </w:rPr>
        <w:t>SJWEH Supplements</w:t>
      </w:r>
      <w:r w:rsidRPr="00296E47">
        <w:rPr>
          <w:rFonts w:ascii="Georgia" w:hAnsi="Georgia"/>
          <w:szCs w:val="18"/>
        </w:rPr>
        <w:t xml:space="preserve">. </w:t>
      </w:r>
      <w:r w:rsidRPr="00296E47">
        <w:rPr>
          <w:rFonts w:ascii="Georgia" w:hAnsi="Georgia"/>
          <w:i/>
          <w:iCs/>
          <w:szCs w:val="18"/>
        </w:rPr>
        <w:t>2(2) 47-49.</w:t>
      </w:r>
    </w:p>
    <w:p w14:paraId="206DA312" w14:textId="77777777" w:rsidR="00030633" w:rsidRPr="00296E47" w:rsidRDefault="00030633" w:rsidP="00030633">
      <w:pPr>
        <w:pStyle w:val="MDPI71References"/>
        <w:rPr>
          <w:rFonts w:ascii="Georgia" w:hAnsi="Georgia"/>
          <w:szCs w:val="18"/>
        </w:rPr>
      </w:pPr>
      <w:r w:rsidRPr="00A364EF">
        <w:rPr>
          <w:rFonts w:ascii="Georgia" w:hAnsi="Georgia"/>
          <w:szCs w:val="18"/>
          <w:lang w:val="nl-NL"/>
        </w:rPr>
        <w:t xml:space="preserve">Hoendervanger, J.G., Ernst, A.F., Albers, C.J., </w:t>
      </w:r>
      <w:proofErr w:type="spellStart"/>
      <w:r w:rsidRPr="00A364EF">
        <w:rPr>
          <w:rFonts w:ascii="Georgia" w:hAnsi="Georgia"/>
          <w:szCs w:val="18"/>
          <w:lang w:val="nl-NL"/>
        </w:rPr>
        <w:t>Mobach</w:t>
      </w:r>
      <w:proofErr w:type="spellEnd"/>
      <w:r w:rsidRPr="00A364EF">
        <w:rPr>
          <w:rFonts w:ascii="Georgia" w:hAnsi="Georgia"/>
          <w:szCs w:val="18"/>
          <w:lang w:val="nl-NL"/>
        </w:rPr>
        <w:t xml:space="preserve">, M.P., </w:t>
      </w:r>
      <w:proofErr w:type="spellStart"/>
      <w:r w:rsidRPr="00A364EF">
        <w:rPr>
          <w:rFonts w:ascii="Georgia" w:hAnsi="Georgia"/>
          <w:szCs w:val="18"/>
          <w:lang w:val="nl-NL"/>
        </w:rPr>
        <w:t>VanYperen</w:t>
      </w:r>
      <w:proofErr w:type="spellEnd"/>
      <w:r w:rsidRPr="00A364EF">
        <w:rPr>
          <w:rFonts w:ascii="Georgia" w:hAnsi="Georgia"/>
          <w:szCs w:val="18"/>
          <w:lang w:val="nl-NL"/>
        </w:rPr>
        <w:t xml:space="preserve">, W. (2018). </w:t>
      </w:r>
      <w:r w:rsidRPr="00296E47">
        <w:rPr>
          <w:rFonts w:ascii="Georgia" w:hAnsi="Georgia"/>
          <w:szCs w:val="18"/>
        </w:rPr>
        <w:t xml:space="preserve">Individual differences in satisfaction with activity-based work environments. </w:t>
      </w:r>
      <w:proofErr w:type="spellStart"/>
      <w:r w:rsidRPr="00296E47">
        <w:rPr>
          <w:rFonts w:ascii="Georgia" w:hAnsi="Georgia"/>
          <w:i/>
          <w:iCs/>
          <w:szCs w:val="18"/>
        </w:rPr>
        <w:t>PLoS</w:t>
      </w:r>
      <w:proofErr w:type="spellEnd"/>
      <w:r w:rsidRPr="00296E47">
        <w:rPr>
          <w:rFonts w:ascii="Georgia" w:hAnsi="Georgia"/>
          <w:i/>
          <w:iCs/>
          <w:szCs w:val="18"/>
        </w:rPr>
        <w:t xml:space="preserve"> ONE</w:t>
      </w:r>
      <w:r w:rsidRPr="00296E47">
        <w:rPr>
          <w:rFonts w:ascii="Georgia" w:hAnsi="Georgia"/>
          <w:szCs w:val="18"/>
        </w:rPr>
        <w:t xml:space="preserve">. </w:t>
      </w:r>
      <w:r w:rsidRPr="00296E47">
        <w:rPr>
          <w:rFonts w:ascii="Georgia" w:hAnsi="Georgia"/>
          <w:i/>
          <w:iCs/>
          <w:szCs w:val="18"/>
        </w:rPr>
        <w:t>13(3): p. 1-15</w:t>
      </w:r>
      <w:r w:rsidRPr="00296E47">
        <w:rPr>
          <w:rFonts w:ascii="Georgia" w:hAnsi="Georgia"/>
          <w:szCs w:val="18"/>
        </w:rPr>
        <w:t xml:space="preserve">. DOI: </w:t>
      </w:r>
      <w:hyperlink r:id="rId22" w:history="1">
        <w:r w:rsidRPr="00296E47">
          <w:rPr>
            <w:rStyle w:val="Hyperlink"/>
            <w:rFonts w:ascii="Georgia" w:hAnsi="Georgia"/>
            <w:szCs w:val="18"/>
          </w:rPr>
          <w:t>https://doi.org/10.1371/journal.pone.0193878</w:t>
        </w:r>
      </w:hyperlink>
      <w:r w:rsidRPr="00296E47">
        <w:rPr>
          <w:rFonts w:ascii="Georgia" w:hAnsi="Georgia"/>
          <w:szCs w:val="18"/>
        </w:rPr>
        <w:t>.</w:t>
      </w:r>
    </w:p>
    <w:p w14:paraId="2915A329" w14:textId="77777777" w:rsidR="00030633" w:rsidRPr="00296E47" w:rsidRDefault="00030633" w:rsidP="00030633">
      <w:pPr>
        <w:pStyle w:val="MDPI71References"/>
        <w:rPr>
          <w:rFonts w:ascii="Georgia" w:hAnsi="Georgia"/>
          <w:szCs w:val="18"/>
        </w:rPr>
      </w:pPr>
      <w:r w:rsidRPr="00296E47">
        <w:rPr>
          <w:rFonts w:ascii="Georgia" w:hAnsi="Georgia"/>
          <w:szCs w:val="18"/>
        </w:rPr>
        <w:t xml:space="preserve">Hoeffler, S. and Ariely, D. (1999) Constructing Stable Preferences: A Look into Dimensions of Experience and Their Impact on Preference Stability. </w:t>
      </w:r>
      <w:r w:rsidRPr="00296E47">
        <w:rPr>
          <w:rFonts w:ascii="Georgia" w:hAnsi="Georgia"/>
          <w:i/>
          <w:iCs/>
          <w:szCs w:val="18"/>
        </w:rPr>
        <w:t>Journal of consumer psychology</w:t>
      </w:r>
      <w:r w:rsidRPr="00296E47">
        <w:rPr>
          <w:rFonts w:ascii="Georgia" w:hAnsi="Georgia"/>
          <w:szCs w:val="18"/>
        </w:rPr>
        <w:t xml:space="preserve">, </w:t>
      </w:r>
      <w:r w:rsidRPr="00296E47">
        <w:rPr>
          <w:rFonts w:ascii="Georgia" w:hAnsi="Georgia"/>
          <w:i/>
          <w:iCs/>
          <w:szCs w:val="18"/>
        </w:rPr>
        <w:t>18(2): p. 113-139</w:t>
      </w:r>
      <w:r w:rsidRPr="00296E47">
        <w:rPr>
          <w:rFonts w:ascii="Georgia" w:hAnsi="Georgia"/>
          <w:szCs w:val="18"/>
        </w:rPr>
        <w:t xml:space="preserve">. </w:t>
      </w:r>
      <w:hyperlink r:id="rId23" w:history="1">
        <w:r w:rsidRPr="00296E47">
          <w:rPr>
            <w:rStyle w:val="Hyperlink"/>
            <w:rFonts w:ascii="Georgia" w:hAnsi="Georgia"/>
            <w:szCs w:val="18"/>
          </w:rPr>
          <w:t>https://doi.org/10.1207/s15327663jcp0802_01</w:t>
        </w:r>
      </w:hyperlink>
      <w:r w:rsidRPr="00296E47">
        <w:rPr>
          <w:rFonts w:ascii="Georgia" w:hAnsi="Georgia"/>
          <w:szCs w:val="18"/>
        </w:rPr>
        <w:t>.</w:t>
      </w:r>
    </w:p>
    <w:p w14:paraId="3E212985" w14:textId="77777777" w:rsidR="00030633" w:rsidRDefault="00030633" w:rsidP="00030633">
      <w:pPr>
        <w:pStyle w:val="MDPI71References"/>
        <w:rPr>
          <w:rFonts w:ascii="Georgia" w:hAnsi="Georgia"/>
          <w:szCs w:val="18"/>
        </w:rPr>
      </w:pPr>
      <w:proofErr w:type="spellStart"/>
      <w:r w:rsidRPr="00296E47">
        <w:rPr>
          <w:rFonts w:ascii="Georgia" w:hAnsi="Georgia"/>
          <w:szCs w:val="18"/>
        </w:rPr>
        <w:t>Karanikola</w:t>
      </w:r>
      <w:proofErr w:type="spellEnd"/>
      <w:r w:rsidRPr="00296E47">
        <w:rPr>
          <w:rFonts w:ascii="Georgia" w:hAnsi="Georgia"/>
          <w:szCs w:val="18"/>
        </w:rPr>
        <w:t xml:space="preserve">, P.; Andrea, V.; </w:t>
      </w:r>
      <w:proofErr w:type="spellStart"/>
      <w:r w:rsidRPr="00296E47">
        <w:rPr>
          <w:rFonts w:ascii="Georgia" w:hAnsi="Georgia"/>
          <w:szCs w:val="18"/>
        </w:rPr>
        <w:t>Tampakis</w:t>
      </w:r>
      <w:proofErr w:type="spellEnd"/>
      <w:r w:rsidRPr="00296E47">
        <w:rPr>
          <w:rFonts w:ascii="Georgia" w:hAnsi="Georgia"/>
          <w:szCs w:val="18"/>
        </w:rPr>
        <w:t xml:space="preserve">, S.; </w:t>
      </w:r>
      <w:proofErr w:type="spellStart"/>
      <w:r w:rsidRPr="00296E47">
        <w:rPr>
          <w:rFonts w:ascii="Georgia" w:hAnsi="Georgia"/>
          <w:szCs w:val="18"/>
        </w:rPr>
        <w:t>Tsolakidou</w:t>
      </w:r>
      <w:proofErr w:type="spellEnd"/>
      <w:r w:rsidRPr="00296E47">
        <w:rPr>
          <w:rFonts w:ascii="Georgia" w:hAnsi="Georgia"/>
          <w:szCs w:val="18"/>
        </w:rPr>
        <w:t xml:space="preserve">. (2020). A. Indoor and Outdoor Design in Healthcare Environments: The Employees’ Views in the General University Hospital of </w:t>
      </w:r>
      <w:proofErr w:type="spellStart"/>
      <w:r w:rsidRPr="00296E47">
        <w:rPr>
          <w:rFonts w:ascii="Georgia" w:hAnsi="Georgia"/>
          <w:szCs w:val="18"/>
        </w:rPr>
        <w:t>Alexandroupolis</w:t>
      </w:r>
      <w:proofErr w:type="spellEnd"/>
      <w:r w:rsidRPr="00296E47">
        <w:rPr>
          <w:rFonts w:ascii="Georgia" w:hAnsi="Georgia"/>
          <w:szCs w:val="18"/>
        </w:rPr>
        <w:t xml:space="preserve">, Greece. </w:t>
      </w:r>
      <w:r w:rsidRPr="00296E47">
        <w:rPr>
          <w:rFonts w:ascii="Georgia" w:hAnsi="Georgia"/>
          <w:i/>
          <w:iCs/>
          <w:szCs w:val="18"/>
        </w:rPr>
        <w:t>Environments.</w:t>
      </w:r>
      <w:r w:rsidRPr="00296E47">
        <w:rPr>
          <w:rFonts w:ascii="Georgia" w:hAnsi="Georgia"/>
          <w:szCs w:val="18"/>
        </w:rPr>
        <w:t xml:space="preserve"> </w:t>
      </w:r>
      <w:r w:rsidRPr="00296E47">
        <w:rPr>
          <w:rFonts w:ascii="Georgia" w:hAnsi="Georgia"/>
          <w:i/>
          <w:iCs/>
          <w:szCs w:val="18"/>
        </w:rPr>
        <w:t>7(8): p.61</w:t>
      </w:r>
      <w:r w:rsidRPr="00296E47">
        <w:rPr>
          <w:rFonts w:ascii="Georgia" w:hAnsi="Georgia"/>
          <w:szCs w:val="18"/>
        </w:rPr>
        <w:t xml:space="preserve">. </w:t>
      </w:r>
      <w:hyperlink r:id="rId24" w:history="1">
        <w:r w:rsidRPr="00296E47">
          <w:rPr>
            <w:rStyle w:val="Hyperlink"/>
            <w:rFonts w:ascii="Georgia" w:hAnsi="Georgia"/>
            <w:color w:val="000000"/>
            <w:szCs w:val="18"/>
            <w:u w:val="none"/>
          </w:rPr>
          <w:t>https://doi.org/10.3390/environments7080061</w:t>
        </w:r>
      </w:hyperlink>
      <w:r w:rsidRPr="00296E47">
        <w:rPr>
          <w:rFonts w:ascii="Georgia" w:hAnsi="Georgia"/>
          <w:szCs w:val="18"/>
        </w:rPr>
        <w:t>.</w:t>
      </w:r>
    </w:p>
    <w:p w14:paraId="1942B40D" w14:textId="77777777" w:rsidR="00030633" w:rsidRPr="00A364EF" w:rsidRDefault="00030633" w:rsidP="00030633">
      <w:pPr>
        <w:pStyle w:val="MDPI71References"/>
        <w:rPr>
          <w:rFonts w:ascii="Georgia" w:hAnsi="Georgia"/>
        </w:rPr>
      </w:pPr>
      <w:r w:rsidRPr="00A364EF">
        <w:rPr>
          <w:rFonts w:ascii="Georgia" w:hAnsi="Georgia"/>
        </w:rPr>
        <w:t>Rashid, M. and Zimring</w:t>
      </w:r>
      <w:r>
        <w:rPr>
          <w:rFonts w:ascii="Georgia" w:hAnsi="Georgia"/>
        </w:rPr>
        <w:t xml:space="preserve">, C. (2008). </w:t>
      </w:r>
      <w:r w:rsidRPr="00A364EF">
        <w:rPr>
          <w:rFonts w:ascii="Georgia" w:hAnsi="Georgia"/>
        </w:rPr>
        <w:t>A review of the empirical literature on the relationships between indoor environment and stress in health care and office settings. Problems and prospects of sharing evidence. E</w:t>
      </w:r>
      <w:r w:rsidRPr="00A364EF">
        <w:rPr>
          <w:rFonts w:ascii="Georgia" w:hAnsi="Georgia"/>
          <w:i/>
          <w:iCs/>
        </w:rPr>
        <w:t xml:space="preserve">nvironment and Behavior. 40(2): p. 151-190. </w:t>
      </w:r>
      <w:r w:rsidRPr="00A364EF">
        <w:rPr>
          <w:rFonts w:ascii="Georgia" w:hAnsi="Georgia"/>
        </w:rPr>
        <w:t>https://doi.org/10.1177/0013916507311550.</w:t>
      </w:r>
    </w:p>
    <w:p w14:paraId="2F021D4E" w14:textId="77777777" w:rsidR="00030633" w:rsidRPr="00296E47" w:rsidRDefault="00030633" w:rsidP="00030633">
      <w:pPr>
        <w:pStyle w:val="MDPI71References"/>
        <w:rPr>
          <w:rFonts w:ascii="Georgia" w:hAnsi="Georgia"/>
          <w:szCs w:val="18"/>
        </w:rPr>
      </w:pPr>
      <w:r w:rsidRPr="00296E47">
        <w:rPr>
          <w:rFonts w:ascii="Georgia" w:hAnsi="Georgia"/>
          <w:szCs w:val="18"/>
        </w:rPr>
        <w:t xml:space="preserve">Romanick-Schmiedl, S. and Raghu, G. (2020). Telemedicine — maintaining quality during times of transition. </w:t>
      </w:r>
      <w:r w:rsidRPr="00296E47">
        <w:rPr>
          <w:rFonts w:ascii="Georgia" w:hAnsi="Georgia"/>
          <w:i/>
          <w:iCs/>
          <w:szCs w:val="18"/>
        </w:rPr>
        <w:t>Nature Reviews Disease Primers</w:t>
      </w:r>
      <w:r w:rsidRPr="00296E47">
        <w:rPr>
          <w:rFonts w:ascii="Georgia" w:hAnsi="Georgia"/>
          <w:szCs w:val="18"/>
        </w:rPr>
        <w:t xml:space="preserve">. </w:t>
      </w:r>
      <w:r w:rsidRPr="00296E47">
        <w:rPr>
          <w:rFonts w:ascii="Georgia" w:hAnsi="Georgia"/>
          <w:i/>
          <w:iCs/>
          <w:szCs w:val="18"/>
        </w:rPr>
        <w:t>6(1): p. 45</w:t>
      </w:r>
      <w:r w:rsidRPr="00296E47">
        <w:rPr>
          <w:rFonts w:ascii="Georgia" w:hAnsi="Georgia"/>
          <w:szCs w:val="18"/>
        </w:rPr>
        <w:t xml:space="preserve">. </w:t>
      </w:r>
      <w:hyperlink r:id="rId25" w:history="1">
        <w:r w:rsidRPr="00296E47">
          <w:rPr>
            <w:rStyle w:val="Hyperlink"/>
            <w:rFonts w:ascii="Georgia" w:hAnsi="Georgia"/>
            <w:szCs w:val="18"/>
          </w:rPr>
          <w:t>https://doi.org/10.1038/s41572-020-0185-x</w:t>
        </w:r>
      </w:hyperlink>
      <w:r w:rsidRPr="00296E47">
        <w:rPr>
          <w:rFonts w:ascii="Georgia" w:hAnsi="Georgia"/>
          <w:szCs w:val="18"/>
        </w:rPr>
        <w:t>.</w:t>
      </w:r>
    </w:p>
    <w:p w14:paraId="7F2B1738" w14:textId="77777777" w:rsidR="00030633" w:rsidRPr="00296E47" w:rsidRDefault="00030633" w:rsidP="00030633">
      <w:pPr>
        <w:pStyle w:val="MDPI71References"/>
        <w:rPr>
          <w:rFonts w:ascii="Georgia" w:hAnsi="Georgia"/>
          <w:szCs w:val="18"/>
        </w:rPr>
      </w:pPr>
      <w:r w:rsidRPr="00296E47">
        <w:rPr>
          <w:rFonts w:ascii="Georgia" w:hAnsi="Georgia"/>
          <w:szCs w:val="18"/>
        </w:rPr>
        <w:t xml:space="preserve">Rosen, C.B., Joffe S., and Kelz R.R. (2020). COVID-19 Moves Medicine into a Virtual Space: A Paradigm Shift from Touch to Talk to Establish Trust. </w:t>
      </w:r>
      <w:r w:rsidRPr="00296E47">
        <w:rPr>
          <w:rFonts w:ascii="Georgia" w:hAnsi="Georgia"/>
          <w:i/>
          <w:iCs/>
          <w:szCs w:val="18"/>
        </w:rPr>
        <w:t>Annals of surgery</w:t>
      </w:r>
      <w:r w:rsidRPr="00296E47">
        <w:rPr>
          <w:rFonts w:ascii="Georgia" w:hAnsi="Georgia"/>
          <w:szCs w:val="18"/>
        </w:rPr>
        <w:t xml:space="preserve">. </w:t>
      </w:r>
      <w:r w:rsidRPr="00296E47">
        <w:rPr>
          <w:rFonts w:ascii="Georgia" w:hAnsi="Georgia"/>
          <w:bCs/>
          <w:i/>
          <w:iCs/>
          <w:szCs w:val="18"/>
        </w:rPr>
        <w:t>272</w:t>
      </w:r>
      <w:r w:rsidRPr="00296E47">
        <w:rPr>
          <w:rFonts w:ascii="Georgia" w:hAnsi="Georgia"/>
          <w:i/>
          <w:iCs/>
          <w:szCs w:val="18"/>
        </w:rPr>
        <w:t>(2): p. e159-e160</w:t>
      </w:r>
      <w:r w:rsidRPr="00296E47">
        <w:rPr>
          <w:rFonts w:ascii="Georgia" w:hAnsi="Georgia"/>
          <w:szCs w:val="18"/>
        </w:rPr>
        <w:t>. https://doi.org/10.1097/sla.0000000000004098.</w:t>
      </w:r>
    </w:p>
    <w:p w14:paraId="3326B009" w14:textId="77777777" w:rsidR="00030633" w:rsidRPr="00296E47" w:rsidRDefault="00030633" w:rsidP="00030633">
      <w:pPr>
        <w:pStyle w:val="MDPI71References"/>
        <w:rPr>
          <w:rFonts w:ascii="Georgia" w:hAnsi="Georgia"/>
          <w:szCs w:val="18"/>
        </w:rPr>
      </w:pPr>
      <w:r w:rsidRPr="00296E47">
        <w:rPr>
          <w:rFonts w:ascii="Georgia" w:hAnsi="Georgia"/>
          <w:szCs w:val="18"/>
        </w:rPr>
        <w:t xml:space="preserve">Shin, J. (2016). Toward a theory of environmental satisfaction and human comfort: A process-oriented and contextually sensitive theoretical framework. </w:t>
      </w:r>
      <w:r w:rsidRPr="00296E47">
        <w:rPr>
          <w:rFonts w:ascii="Georgia" w:hAnsi="Georgia"/>
          <w:i/>
          <w:iCs/>
          <w:szCs w:val="18"/>
        </w:rPr>
        <w:t>Journal of Environmental Psychology</w:t>
      </w:r>
      <w:r w:rsidRPr="00296E47">
        <w:rPr>
          <w:rFonts w:ascii="Georgia" w:hAnsi="Georgia"/>
          <w:szCs w:val="18"/>
        </w:rPr>
        <w:t>. 45: p. 11-21. https://doi.org/10.1016/j.jenvp.2015.11.004.</w:t>
      </w:r>
    </w:p>
    <w:p w14:paraId="6E3C2A4D" w14:textId="77777777" w:rsidR="00030633" w:rsidRPr="00296E47" w:rsidRDefault="00030633" w:rsidP="00030633">
      <w:pPr>
        <w:pStyle w:val="MDPI71References"/>
        <w:rPr>
          <w:rFonts w:ascii="Georgia" w:hAnsi="Georgia"/>
          <w:szCs w:val="18"/>
        </w:rPr>
      </w:pPr>
      <w:r w:rsidRPr="00296E47">
        <w:rPr>
          <w:rFonts w:ascii="Georgia" w:hAnsi="Georgia"/>
          <w:szCs w:val="18"/>
        </w:rPr>
        <w:t>Vischer, J.C. (200</w:t>
      </w:r>
      <w:r>
        <w:rPr>
          <w:rFonts w:ascii="Georgia" w:hAnsi="Georgia"/>
          <w:szCs w:val="18"/>
        </w:rPr>
        <w:t>7</w:t>
      </w:r>
      <w:r w:rsidRPr="00296E47">
        <w:rPr>
          <w:rFonts w:ascii="Georgia" w:hAnsi="Georgia"/>
          <w:szCs w:val="18"/>
        </w:rPr>
        <w:t xml:space="preserve">). Towards an Environmental Psychology of Workspace: How People are Affected by Environments for Work. </w:t>
      </w:r>
      <w:r w:rsidRPr="00296E47">
        <w:rPr>
          <w:rFonts w:ascii="Georgia" w:hAnsi="Georgia"/>
          <w:i/>
          <w:iCs/>
          <w:szCs w:val="18"/>
        </w:rPr>
        <w:t>Architectural Science Review</w:t>
      </w:r>
      <w:r w:rsidRPr="00296E47">
        <w:rPr>
          <w:rFonts w:ascii="Georgia" w:hAnsi="Georgia"/>
          <w:szCs w:val="18"/>
        </w:rPr>
        <w:t xml:space="preserve">. 51(2): p. 97-108. </w:t>
      </w:r>
      <w:hyperlink r:id="rId26" w:history="1">
        <w:r w:rsidRPr="00296E47">
          <w:rPr>
            <w:rStyle w:val="Hyperlink"/>
            <w:rFonts w:ascii="Georgia" w:hAnsi="Georgia"/>
            <w:szCs w:val="18"/>
          </w:rPr>
          <w:t>https://doi.org/10.3763/asre.2008.5114</w:t>
        </w:r>
      </w:hyperlink>
      <w:r w:rsidRPr="00296E47">
        <w:rPr>
          <w:rFonts w:ascii="Georgia" w:hAnsi="Georgia"/>
          <w:szCs w:val="18"/>
        </w:rPr>
        <w:t>.</w:t>
      </w:r>
    </w:p>
    <w:p w14:paraId="152FAE6E" w14:textId="77777777" w:rsidR="00030633" w:rsidRPr="00296E47" w:rsidRDefault="00030633" w:rsidP="00030633">
      <w:pPr>
        <w:pStyle w:val="MDPI71References"/>
        <w:rPr>
          <w:rFonts w:ascii="Georgia" w:hAnsi="Georgia"/>
          <w:szCs w:val="18"/>
        </w:rPr>
      </w:pPr>
      <w:r w:rsidRPr="00296E47">
        <w:rPr>
          <w:rFonts w:ascii="Georgia" w:hAnsi="Georgia"/>
          <w:szCs w:val="18"/>
        </w:rPr>
        <w:t xml:space="preserve">Wilhoit, E.D. (2017). Photo and Video Methods in Organizational and Managerial Communication Research. </w:t>
      </w:r>
      <w:r w:rsidRPr="00296E47">
        <w:rPr>
          <w:rFonts w:ascii="Georgia" w:hAnsi="Georgia"/>
          <w:i/>
          <w:iCs/>
          <w:szCs w:val="18"/>
        </w:rPr>
        <w:t>Management Communication Quarterly.</w:t>
      </w:r>
      <w:r w:rsidRPr="00296E47">
        <w:rPr>
          <w:rFonts w:ascii="Georgia" w:hAnsi="Georgia"/>
          <w:szCs w:val="18"/>
        </w:rPr>
        <w:t xml:space="preserve"> </w:t>
      </w:r>
      <w:r w:rsidRPr="00296E47">
        <w:rPr>
          <w:rFonts w:ascii="Georgia" w:hAnsi="Georgia"/>
          <w:bCs/>
          <w:i/>
          <w:iCs/>
          <w:szCs w:val="18"/>
        </w:rPr>
        <w:t>31</w:t>
      </w:r>
      <w:r w:rsidRPr="00296E47">
        <w:rPr>
          <w:rFonts w:ascii="Georgia" w:hAnsi="Georgia"/>
          <w:i/>
          <w:iCs/>
          <w:szCs w:val="18"/>
        </w:rPr>
        <w:t>(3): p. 447-466</w:t>
      </w:r>
      <w:r w:rsidRPr="00296E47">
        <w:rPr>
          <w:rFonts w:ascii="Georgia" w:hAnsi="Georgia"/>
          <w:szCs w:val="18"/>
        </w:rPr>
        <w:t>. https://doi.org/10.1177/0893318917704511.</w:t>
      </w:r>
    </w:p>
    <w:p w14:paraId="61437F83" w14:textId="77777777" w:rsidR="00030633" w:rsidRPr="002D2D4F" w:rsidRDefault="00030633" w:rsidP="00030633">
      <w:pPr>
        <w:pStyle w:val="MDPI71References"/>
        <w:numPr>
          <w:ilvl w:val="0"/>
          <w:numId w:val="0"/>
        </w:numPr>
        <w:rPr>
          <w:rFonts w:ascii="Arial" w:eastAsiaTheme="minorHAnsi" w:hAnsi="Arial" w:cs="Arial"/>
          <w:i/>
          <w:iCs/>
          <w:color w:val="auto"/>
          <w:szCs w:val="22"/>
          <w:lang w:eastAsia="en-US"/>
        </w:rPr>
      </w:pPr>
    </w:p>
    <w:p w14:paraId="0E27B00A" w14:textId="77777777" w:rsidR="00A86E9F" w:rsidRPr="005C6417" w:rsidRDefault="00A86E9F" w:rsidP="003E61CD">
      <w:pPr>
        <w:pStyle w:val="MDPI71References"/>
        <w:numPr>
          <w:ilvl w:val="0"/>
          <w:numId w:val="0"/>
        </w:numPr>
        <w:ind w:left="425"/>
        <w:rPr>
          <w:rFonts w:ascii="Georgia" w:eastAsiaTheme="minorEastAsia" w:hAnsi="Georgia" w:cs="Arial"/>
          <w:highlight w:val="yellow"/>
        </w:rPr>
      </w:pPr>
    </w:p>
    <w:sectPr w:rsidR="00A86E9F" w:rsidRPr="005C6417" w:rsidSect="00653A9C">
      <w:headerReference w:type="even" r:id="rId27"/>
      <w:headerReference w:type="default" r:id="rId28"/>
      <w:footerReference w:type="even" r:id="rId29"/>
      <w:footerReference w:type="default" r:id="rId30"/>
      <w:headerReference w:type="first" r:id="rId31"/>
      <w:footerReference w:type="first" r:id="rId32"/>
      <w:type w:val="continuous"/>
      <w:pgSz w:w="11906" w:h="16838" w:code="9"/>
      <w:pgMar w:top="1418" w:right="720" w:bottom="1077" w:left="720" w:header="1021" w:footer="340"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C0151E" w14:textId="77777777" w:rsidR="00653A9C" w:rsidRDefault="00653A9C">
      <w:pPr>
        <w:spacing w:line="240" w:lineRule="auto"/>
      </w:pPr>
      <w:r>
        <w:separator/>
      </w:r>
    </w:p>
  </w:endnote>
  <w:endnote w:type="continuationSeparator" w:id="0">
    <w:p w14:paraId="5459A18D" w14:textId="77777777" w:rsidR="00653A9C" w:rsidRDefault="00653A9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68D0069-27A5-48E0-801A-68E6A475F691}"/>
    <w:embedBold r:id="rId2" w:fontKey="{2C78C8AB-CBB7-410C-9126-92B33672E40C}"/>
    <w:embedItalic r:id="rId3" w:fontKey="{434A9A45-CBDE-4E73-A763-0D5AB297DAE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embedRegular r:id="rId4" w:fontKey="{26F83FC4-64DC-4195-A730-32E8345AFB74}"/>
    <w:embedBold r:id="rId5" w:fontKey="{4A19B537-6466-4405-A38C-4858D1C12814}"/>
    <w:embedItalic r:id="rId6" w:fontKey="{BBD7DDE1-906B-4F38-8B53-173DFE537582}"/>
  </w:font>
  <w:font w:name="Cordia New">
    <w:panose1 w:val="020B0304020202020204"/>
    <w:charset w:val="DE"/>
    <w:family w:val="swiss"/>
    <w:pitch w:val="variable"/>
    <w:sig w:usb0="81000003" w:usb1="00000000" w:usb2="00000000" w:usb3="00000000" w:csb0="00010001" w:csb1="00000000"/>
    <w:embedRegular r:id="rId7" w:fontKey="{A91AFEAD-572E-4995-855B-4E54F2FB5932}"/>
  </w:font>
  <w:font w:name="Georgia">
    <w:panose1 w:val="02040502050405020303"/>
    <w:charset w:val="00"/>
    <w:family w:val="roman"/>
    <w:pitch w:val="variable"/>
    <w:sig w:usb0="00000287" w:usb1="00000000" w:usb2="00000000" w:usb3="00000000" w:csb0="0000009F" w:csb1="00000000"/>
    <w:embedRegular r:id="rId8" w:fontKey="{46EBDCAB-D86C-447B-BA78-8AC3B5678510}"/>
    <w:embedBold r:id="rId9" w:fontKey="{24DBFFAA-8BAC-4189-9FFA-F611535CBF6B}"/>
    <w:embedItalic r:id="rId10" w:fontKey="{AA1FBA00-0536-4FD9-A70D-86252C222D2A}"/>
  </w:font>
  <w:font w:name="Tahoma">
    <w:panose1 w:val="020B0604030504040204"/>
    <w:charset w:val="00"/>
    <w:family w:val="swiss"/>
    <w:pitch w:val="variable"/>
    <w:sig w:usb0="E1002EFF" w:usb1="C000605B" w:usb2="00000029" w:usb3="00000000" w:csb0="000101FF" w:csb1="00000000"/>
    <w:embedRegular r:id="rId11" w:fontKey="{CA20EA8B-3CA4-4A5D-B3B5-0B21A5889455}"/>
  </w:font>
  <w:font w:name="DengXian">
    <w:altName w:val="等线"/>
    <w:panose1 w:val="02010600030101010101"/>
    <w:charset w:val="86"/>
    <w:family w:val="auto"/>
    <w:pitch w:val="variable"/>
    <w:sig w:usb0="A00002BF" w:usb1="38CF7CFA" w:usb2="00000016" w:usb3="00000000" w:csb0="0004000F" w:csb1="00000000"/>
  </w:font>
  <w:font w:name="Bodoni SvtyTwo OS ITC TT-Book">
    <w:altName w:val="Cambria"/>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2" w:fontKey="{ED61B7BE-440B-425A-A505-5243F0031C7E}"/>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13" w:fontKey="{BBA9E05B-9FE4-4AD3-B37C-A7788E2B72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BB0E3" w14:textId="77777777" w:rsidR="000734EA" w:rsidRDefault="000734EA">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5FCCB" w14:textId="77777777" w:rsidR="000734EA" w:rsidRDefault="000734EA">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AFD9C" w14:textId="77777777" w:rsidR="00281E5B" w:rsidRDefault="00281E5B" w:rsidP="004F0E02">
    <w:pPr>
      <w:pStyle w:val="MDPIfooterfirstpage"/>
      <w:pBdr>
        <w:top w:val="single" w:sz="4" w:space="0" w:color="000000"/>
      </w:pBdr>
      <w:adjustRightInd w:val="0"/>
      <w:snapToGrid w:val="0"/>
      <w:spacing w:before="480" w:line="100" w:lineRule="exact"/>
      <w:rPr>
        <w:i/>
        <w:iCs/>
        <w:szCs w:val="16"/>
      </w:rPr>
    </w:pPr>
  </w:p>
  <w:p w14:paraId="35F52D04" w14:textId="77777777" w:rsidR="000D369A" w:rsidRPr="000D369A" w:rsidRDefault="000D369A" w:rsidP="000D369A">
    <w:pPr>
      <w:pStyle w:val="MDPIfooterfirstpage"/>
      <w:tabs>
        <w:tab w:val="right" w:pos="10466"/>
      </w:tabs>
      <w:spacing w:line="240" w:lineRule="auto"/>
      <w:rPr>
        <w:bCs/>
        <w:iCs/>
        <w:szCs w:val="16"/>
      </w:rPr>
    </w:pPr>
  </w:p>
  <w:p w14:paraId="59A4BB1A" w14:textId="12964B2C" w:rsidR="00C45F1E" w:rsidRPr="0021700B" w:rsidRDefault="00000000" w:rsidP="000D369A">
    <w:pPr>
      <w:pStyle w:val="MDPIfooterfirstpage"/>
      <w:tabs>
        <w:tab w:val="clear" w:pos="8845"/>
        <w:tab w:val="right" w:pos="10466"/>
      </w:tabs>
      <w:spacing w:line="240" w:lineRule="auto"/>
      <w:jc w:val="both"/>
    </w:pPr>
    <w:hyperlink r:id="rId1" w:history="1">
      <w:r w:rsidR="000734EA" w:rsidRPr="0021125B">
        <w:rPr>
          <w:rStyle w:val="Hyperlink"/>
          <w:bCs/>
          <w:iCs/>
          <w:szCs w:val="16"/>
        </w:rPr>
        <w:t>https://doi.org/10.24404/6232471c68135cebc564ffe4</w:t>
      </w:r>
    </w:hyperlink>
    <w:r w:rsidR="000734EA">
      <w:rPr>
        <w:bCs/>
        <w:iCs/>
        <w:szCs w:val="16"/>
      </w:rPr>
      <w:t xml:space="preserve"> </w:t>
    </w:r>
    <w:r w:rsidR="00BA570C" w:rsidRPr="0021700B">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6A0480" w14:textId="77777777" w:rsidR="00653A9C" w:rsidRDefault="00653A9C">
      <w:pPr>
        <w:spacing w:line="240" w:lineRule="auto"/>
      </w:pPr>
      <w:r>
        <w:separator/>
      </w:r>
    </w:p>
  </w:footnote>
  <w:footnote w:type="continuationSeparator" w:id="0">
    <w:p w14:paraId="698E5940" w14:textId="77777777" w:rsidR="00653A9C" w:rsidRDefault="00653A9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61E4C" w14:textId="77777777" w:rsidR="00C45F1E" w:rsidRDefault="00C45F1E" w:rsidP="00C45F1E">
    <w:pPr>
      <w:pStyle w:val="Koptekst"/>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0222B" w14:textId="6CF028AD" w:rsidR="00281E5B" w:rsidRDefault="00BA570C" w:rsidP="00BA570C">
    <w:pPr>
      <w:tabs>
        <w:tab w:val="right" w:pos="10466"/>
      </w:tabs>
      <w:adjustRightInd w:val="0"/>
      <w:snapToGrid w:val="0"/>
      <w:spacing w:line="240" w:lineRule="auto"/>
      <w:rPr>
        <w:sz w:val="16"/>
      </w:rPr>
    </w:pPr>
    <w:r>
      <w:rPr>
        <w:sz w:val="16"/>
      </w:rPr>
      <w:tab/>
    </w:r>
    <w:r w:rsidR="00A36565">
      <w:rPr>
        <w:sz w:val="16"/>
      </w:rPr>
      <w:fldChar w:fldCharType="begin"/>
    </w:r>
    <w:r w:rsidR="00A36565">
      <w:rPr>
        <w:sz w:val="16"/>
      </w:rPr>
      <w:instrText xml:space="preserve"> PAGE   \* MERGEFORMAT </w:instrText>
    </w:r>
    <w:r w:rsidR="00A36565">
      <w:rPr>
        <w:sz w:val="16"/>
      </w:rPr>
      <w:fldChar w:fldCharType="separate"/>
    </w:r>
    <w:r w:rsidR="00824B8D">
      <w:rPr>
        <w:sz w:val="16"/>
      </w:rPr>
      <w:t>3</w:t>
    </w:r>
    <w:r w:rsidR="00A36565">
      <w:rPr>
        <w:sz w:val="16"/>
      </w:rPr>
      <w:fldChar w:fldCharType="end"/>
    </w:r>
    <w:r w:rsidR="00A36565">
      <w:rPr>
        <w:sz w:val="16"/>
      </w:rPr>
      <w:t xml:space="preserve"> of </w:t>
    </w:r>
    <w:r w:rsidR="00A36565">
      <w:rPr>
        <w:sz w:val="16"/>
      </w:rPr>
      <w:fldChar w:fldCharType="begin"/>
    </w:r>
    <w:r w:rsidR="00A36565">
      <w:rPr>
        <w:sz w:val="16"/>
      </w:rPr>
      <w:instrText xml:space="preserve"> NUMPAGES   \* MERGEFORMAT </w:instrText>
    </w:r>
    <w:r w:rsidR="00A36565">
      <w:rPr>
        <w:sz w:val="16"/>
      </w:rPr>
      <w:fldChar w:fldCharType="separate"/>
    </w:r>
    <w:r w:rsidR="00824B8D">
      <w:rPr>
        <w:sz w:val="16"/>
      </w:rPr>
      <w:t>3</w:t>
    </w:r>
    <w:r w:rsidR="00A36565">
      <w:rPr>
        <w:sz w:val="16"/>
      </w:rPr>
      <w:fldChar w:fldCharType="end"/>
    </w:r>
  </w:p>
  <w:p w14:paraId="4101652C" w14:textId="77777777" w:rsidR="00C45F1E" w:rsidRPr="0050778E" w:rsidRDefault="00C45F1E" w:rsidP="004F0E02">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07" w:type="dxa"/>
      <w:tblCellMar>
        <w:left w:w="0" w:type="dxa"/>
        <w:right w:w="0" w:type="dxa"/>
      </w:tblCellMar>
      <w:tblLook w:val="04A0" w:firstRow="1" w:lastRow="0" w:firstColumn="1" w:lastColumn="0" w:noHBand="0" w:noVBand="1"/>
    </w:tblPr>
    <w:tblGrid>
      <w:gridCol w:w="5103"/>
      <w:gridCol w:w="5384"/>
      <w:gridCol w:w="20"/>
    </w:tblGrid>
    <w:tr w:rsidR="00281E5B" w:rsidRPr="00BA570C" w14:paraId="6257ADAD" w14:textId="77777777" w:rsidTr="000547D8">
      <w:trPr>
        <w:trHeight w:val="686"/>
      </w:trPr>
      <w:tc>
        <w:tcPr>
          <w:tcW w:w="5103" w:type="dxa"/>
          <w:shd w:val="clear" w:color="auto" w:fill="auto"/>
          <w:vAlign w:val="center"/>
        </w:tcPr>
        <w:p w14:paraId="0DFAE634" w14:textId="77777777" w:rsidR="00281E5B" w:rsidRPr="00401235" w:rsidRDefault="177542A6" w:rsidP="00BA570C">
          <w:pPr>
            <w:pStyle w:val="Koptekst"/>
            <w:pBdr>
              <w:bottom w:val="none" w:sz="0" w:space="0" w:color="auto"/>
            </w:pBdr>
            <w:jc w:val="left"/>
            <w:rPr>
              <w:rFonts w:eastAsia="DengXian"/>
              <w:b/>
              <w:bCs/>
            </w:rPr>
          </w:pPr>
          <w:r>
            <w:rPr>
              <w:noProof/>
              <w:lang w:val="nl-NL" w:eastAsia="nl-NL"/>
            </w:rPr>
            <w:drawing>
              <wp:inline distT="0" distB="0" distL="0" distR="0" wp14:anchorId="1F2289C4" wp14:editId="79326EDB">
                <wp:extent cx="451796" cy="456269"/>
                <wp:effectExtent l="0" t="0" r="571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1796" cy="456269"/>
                        </a:xfrm>
                        <a:prstGeom prst="rect">
                          <a:avLst/>
                        </a:prstGeom>
                      </pic:spPr>
                    </pic:pic>
                  </a:graphicData>
                </a:graphic>
              </wp:inline>
            </w:drawing>
          </w:r>
          <w:r w:rsidRPr="177542A6">
            <w:rPr>
              <w:rFonts w:eastAsia="DengXian"/>
              <w:b/>
              <w:bCs/>
            </w:rPr>
            <w:t xml:space="preserve"> </w:t>
          </w:r>
          <w:r>
            <w:rPr>
              <w:noProof/>
              <w:lang w:val="nl-NL" w:eastAsia="nl-NL"/>
            </w:rPr>
            <w:drawing>
              <wp:inline distT="0" distB="0" distL="0" distR="0" wp14:anchorId="56B42F22" wp14:editId="124D3C5B">
                <wp:extent cx="1541417" cy="618309"/>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
                          <a:extLst>
                            <a:ext uri="{28A0092B-C50C-407E-A947-70E740481C1C}">
                              <a14:useLocalDpi xmlns:a14="http://schemas.microsoft.com/office/drawing/2010/main" val="0"/>
                            </a:ext>
                          </a:extLst>
                        </a:blip>
                        <a:stretch>
                          <a:fillRect/>
                        </a:stretch>
                      </pic:blipFill>
                      <pic:spPr>
                        <a:xfrm>
                          <a:off x="0" y="0"/>
                          <a:ext cx="1541417" cy="618309"/>
                        </a:xfrm>
                        <a:prstGeom prst="rect">
                          <a:avLst/>
                        </a:prstGeom>
                      </pic:spPr>
                    </pic:pic>
                  </a:graphicData>
                </a:graphic>
              </wp:inline>
            </w:drawing>
          </w:r>
          <w:r>
            <w:t xml:space="preserve"> </w:t>
          </w:r>
        </w:p>
      </w:tc>
      <w:tc>
        <w:tcPr>
          <w:tcW w:w="5384" w:type="dxa"/>
          <w:shd w:val="clear" w:color="auto" w:fill="auto"/>
          <w:vAlign w:val="center"/>
        </w:tcPr>
        <w:p w14:paraId="6A6330BB" w14:textId="7B138F80" w:rsidR="000547D8" w:rsidRDefault="000547D8" w:rsidP="000547D8">
          <w:pPr>
            <w:pStyle w:val="paragraph"/>
            <w:spacing w:before="0" w:beforeAutospacing="0" w:after="0" w:afterAutospacing="0"/>
            <w:jc w:val="center"/>
            <w:textAlignment w:val="baseline"/>
            <w:rPr>
              <w:rFonts w:ascii="Palatino Linotype" w:hAnsi="Palatino Linotype" w:cs="Segoe UI"/>
              <w:sz w:val="16"/>
              <w:szCs w:val="16"/>
            </w:rPr>
          </w:pPr>
          <w:r>
            <w:rPr>
              <w:rFonts w:ascii="Palatino Linotype" w:hAnsi="Palatino Linotype" w:cs="Segoe UI"/>
              <w:sz w:val="16"/>
              <w:szCs w:val="16"/>
            </w:rPr>
            <w:t xml:space="preserve"> ARCH22 ‘</w:t>
          </w:r>
          <w:r w:rsidRPr="000547D8">
            <w:rPr>
              <w:rFonts w:ascii="Palatino Linotype" w:hAnsi="Palatino Linotype" w:cs="Segoe UI"/>
              <w:sz w:val="16"/>
              <w:szCs w:val="16"/>
            </w:rPr>
            <w:t>Enabling health, care and well-being through design research'</w:t>
          </w:r>
        </w:p>
        <w:p w14:paraId="1F1E3146" w14:textId="77777777" w:rsidR="000547D8" w:rsidRDefault="000547D8" w:rsidP="000547D8">
          <w:pPr>
            <w:pStyle w:val="paragraph"/>
            <w:spacing w:before="0" w:beforeAutospacing="0" w:after="0" w:afterAutospacing="0"/>
            <w:jc w:val="center"/>
            <w:textAlignment w:val="baseline"/>
            <w:rPr>
              <w:rFonts w:ascii="Palatino Linotype" w:hAnsi="Palatino Linotype" w:cs="Segoe UI"/>
              <w:sz w:val="16"/>
              <w:szCs w:val="16"/>
            </w:rPr>
          </w:pPr>
          <w:r>
            <w:rPr>
              <w:rFonts w:ascii="Palatino Linotype" w:hAnsi="Palatino Linotype" w:cs="Segoe UI"/>
              <w:sz w:val="16"/>
              <w:szCs w:val="16"/>
            </w:rPr>
            <w:t xml:space="preserve"> </w:t>
          </w:r>
          <w:r w:rsidRPr="000547D8">
            <w:rPr>
              <w:rFonts w:ascii="Palatino Linotype" w:hAnsi="Palatino Linotype" w:cs="Segoe UI"/>
              <w:sz w:val="16"/>
              <w:szCs w:val="16"/>
            </w:rPr>
            <w:t xml:space="preserve">5th Architecture Research Care and Health conference </w:t>
          </w:r>
        </w:p>
        <w:p w14:paraId="67B70C56" w14:textId="12514CDF" w:rsidR="00281E5B" w:rsidRPr="004752C1" w:rsidRDefault="000547D8" w:rsidP="000547D8">
          <w:pPr>
            <w:pStyle w:val="paragraph"/>
            <w:spacing w:before="0" w:beforeAutospacing="0" w:after="0" w:afterAutospacing="0"/>
            <w:jc w:val="center"/>
            <w:textAlignment w:val="baseline"/>
            <w:rPr>
              <w:rFonts w:ascii="Palatino Linotype" w:hAnsi="Palatino Linotype" w:cs="Segoe UI"/>
              <w:sz w:val="16"/>
              <w:szCs w:val="16"/>
            </w:rPr>
          </w:pPr>
          <w:r>
            <w:rPr>
              <w:rFonts w:ascii="Palatino Linotype" w:hAnsi="Palatino Linotype" w:cs="Segoe UI"/>
              <w:sz w:val="16"/>
              <w:szCs w:val="16"/>
            </w:rPr>
            <w:t xml:space="preserve">Delft / </w:t>
          </w:r>
          <w:r w:rsidRPr="000547D8">
            <w:rPr>
              <w:rFonts w:ascii="Palatino Linotype" w:hAnsi="Palatino Linotype" w:cs="Segoe UI"/>
              <w:sz w:val="16"/>
              <w:szCs w:val="16"/>
            </w:rPr>
            <w:t>Rotterdam – the Netherlands – 22nd until 24th of August 2022.</w:t>
          </w:r>
        </w:p>
      </w:tc>
      <w:tc>
        <w:tcPr>
          <w:tcW w:w="20" w:type="dxa"/>
          <w:shd w:val="clear" w:color="auto" w:fill="auto"/>
          <w:vAlign w:val="center"/>
        </w:tcPr>
        <w:p w14:paraId="53128261" w14:textId="77777777" w:rsidR="00281E5B" w:rsidRPr="00401235" w:rsidRDefault="00281E5B" w:rsidP="00BA570C">
          <w:pPr>
            <w:pStyle w:val="Koptekst"/>
            <w:pBdr>
              <w:bottom w:val="none" w:sz="0" w:space="0" w:color="auto"/>
            </w:pBdr>
            <w:jc w:val="right"/>
            <w:rPr>
              <w:rFonts w:eastAsia="DengXian"/>
              <w:b/>
              <w:bCs/>
            </w:rPr>
          </w:pPr>
        </w:p>
      </w:tc>
    </w:tr>
  </w:tbl>
  <w:p w14:paraId="62486C05" w14:textId="77777777" w:rsidR="00C45F1E" w:rsidRPr="00281E5B" w:rsidRDefault="00C45F1E" w:rsidP="004752C1">
    <w:pPr>
      <w:pBdr>
        <w:bottom w:val="single" w:sz="4" w:space="0"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2"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4"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6" w15:restartNumberingAfterBreak="0">
    <w:nsid w:val="52E2771B"/>
    <w:multiLevelType w:val="hybridMultilevel"/>
    <w:tmpl w:val="A2A06AAC"/>
    <w:lvl w:ilvl="0" w:tplc="C788203A">
      <w:start w:val="1"/>
      <w:numFmt w:val="decimal"/>
      <w:lvlRestart w:val="0"/>
      <w:pStyle w:val="MDPI71FootNotes"/>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8" w15:restartNumberingAfterBreak="0">
    <w:nsid w:val="5E7E4526"/>
    <w:multiLevelType w:val="multilevel"/>
    <w:tmpl w:val="0DE8F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06D5736"/>
    <w:multiLevelType w:val="hybridMultilevel"/>
    <w:tmpl w:val="E3640C5C"/>
    <w:lvl w:ilvl="0" w:tplc="0409000F">
      <w:start w:val="1"/>
      <w:numFmt w:val="decimal"/>
      <w:lvlText w:val="%1."/>
      <w:lvlJc w:val="left"/>
      <w:pPr>
        <w:ind w:left="1429" w:hanging="360"/>
      </w:pPr>
      <w:rPr>
        <w:rFonts w:hint="eastAsia"/>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num w:numId="1" w16cid:durableId="980771489">
    <w:abstractNumId w:val="3"/>
  </w:num>
  <w:num w:numId="2" w16cid:durableId="1305695110">
    <w:abstractNumId w:val="5"/>
  </w:num>
  <w:num w:numId="3" w16cid:durableId="1799031989">
    <w:abstractNumId w:val="2"/>
  </w:num>
  <w:num w:numId="4" w16cid:durableId="73605000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19774578">
    <w:abstractNumId w:val="4"/>
  </w:num>
  <w:num w:numId="6" w16cid:durableId="1969585754">
    <w:abstractNumId w:val="7"/>
  </w:num>
  <w:num w:numId="7" w16cid:durableId="208763256">
    <w:abstractNumId w:val="1"/>
  </w:num>
  <w:num w:numId="8" w16cid:durableId="1061371855">
    <w:abstractNumId w:val="7"/>
  </w:num>
  <w:num w:numId="9" w16cid:durableId="18895422">
    <w:abstractNumId w:val="1"/>
  </w:num>
  <w:num w:numId="10" w16cid:durableId="214049160">
    <w:abstractNumId w:val="7"/>
  </w:num>
  <w:num w:numId="11" w16cid:durableId="1158232540">
    <w:abstractNumId w:val="1"/>
  </w:num>
  <w:num w:numId="12" w16cid:durableId="1985623690">
    <w:abstractNumId w:val="9"/>
  </w:num>
  <w:num w:numId="13" w16cid:durableId="1880705559">
    <w:abstractNumId w:val="7"/>
  </w:num>
  <w:num w:numId="14" w16cid:durableId="518735148">
    <w:abstractNumId w:val="1"/>
  </w:num>
  <w:num w:numId="15" w16cid:durableId="457338060">
    <w:abstractNumId w:val="0"/>
  </w:num>
  <w:num w:numId="16" w16cid:durableId="866453304">
    <w:abstractNumId w:val="6"/>
  </w:num>
  <w:num w:numId="17" w16cid:durableId="1920089310">
    <w:abstractNumId w:val="8"/>
  </w:num>
  <w:num w:numId="18" w16cid:durableId="568924785">
    <w:abstractNumId w:val="0"/>
  </w:num>
  <w:num w:numId="19" w16cid:durableId="1570729721">
    <w:abstractNumId w:val="0"/>
  </w:num>
  <w:num w:numId="20" w16cid:durableId="723718285">
    <w:abstractNumId w:val="0"/>
  </w:num>
  <w:num w:numId="21" w16cid:durableId="1041704716">
    <w:abstractNumId w:val="0"/>
  </w:num>
  <w:num w:numId="22" w16cid:durableId="1321035293">
    <w:abstractNumId w:val="0"/>
  </w:num>
  <w:num w:numId="23" w16cid:durableId="13613172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552"/>
    <w:rsid w:val="000003CB"/>
    <w:rsid w:val="000142CA"/>
    <w:rsid w:val="00017337"/>
    <w:rsid w:val="00020CE2"/>
    <w:rsid w:val="00026D37"/>
    <w:rsid w:val="00027D9B"/>
    <w:rsid w:val="00030633"/>
    <w:rsid w:val="00031D17"/>
    <w:rsid w:val="00037AE6"/>
    <w:rsid w:val="00051876"/>
    <w:rsid w:val="000547D8"/>
    <w:rsid w:val="00064772"/>
    <w:rsid w:val="00071218"/>
    <w:rsid w:val="00071AAB"/>
    <w:rsid w:val="000734EA"/>
    <w:rsid w:val="00073A3D"/>
    <w:rsid w:val="00080EFC"/>
    <w:rsid w:val="00084328"/>
    <w:rsid w:val="000855EA"/>
    <w:rsid w:val="000925CA"/>
    <w:rsid w:val="00093C0B"/>
    <w:rsid w:val="00093E7F"/>
    <w:rsid w:val="000A4C41"/>
    <w:rsid w:val="000B4772"/>
    <w:rsid w:val="000C1BF3"/>
    <w:rsid w:val="000D369A"/>
    <w:rsid w:val="000D3A55"/>
    <w:rsid w:val="000D489C"/>
    <w:rsid w:val="00100D18"/>
    <w:rsid w:val="0010337B"/>
    <w:rsid w:val="00104D24"/>
    <w:rsid w:val="00110960"/>
    <w:rsid w:val="00114997"/>
    <w:rsid w:val="00116DBE"/>
    <w:rsid w:val="00120E2E"/>
    <w:rsid w:val="00135FBA"/>
    <w:rsid w:val="0014459E"/>
    <w:rsid w:val="00144D5B"/>
    <w:rsid w:val="0014720E"/>
    <w:rsid w:val="001527AE"/>
    <w:rsid w:val="00160DA1"/>
    <w:rsid w:val="00165C16"/>
    <w:rsid w:val="001664C3"/>
    <w:rsid w:val="00173D3A"/>
    <w:rsid w:val="00174FB3"/>
    <w:rsid w:val="0017768A"/>
    <w:rsid w:val="00185980"/>
    <w:rsid w:val="00194BF2"/>
    <w:rsid w:val="001A1BB3"/>
    <w:rsid w:val="001A27B2"/>
    <w:rsid w:val="001A39F1"/>
    <w:rsid w:val="001A57BF"/>
    <w:rsid w:val="001B38D4"/>
    <w:rsid w:val="001C45F3"/>
    <w:rsid w:val="001C7DC1"/>
    <w:rsid w:val="001D057B"/>
    <w:rsid w:val="001D3D05"/>
    <w:rsid w:val="001E2AEB"/>
    <w:rsid w:val="001E4590"/>
    <w:rsid w:val="00204327"/>
    <w:rsid w:val="00206552"/>
    <w:rsid w:val="002105D9"/>
    <w:rsid w:val="00212F90"/>
    <w:rsid w:val="0021700B"/>
    <w:rsid w:val="002175AE"/>
    <w:rsid w:val="002216A6"/>
    <w:rsid w:val="0022638C"/>
    <w:rsid w:val="002266AA"/>
    <w:rsid w:val="002316BB"/>
    <w:rsid w:val="00237DC2"/>
    <w:rsid w:val="00242F05"/>
    <w:rsid w:val="00246F1A"/>
    <w:rsid w:val="00247D4E"/>
    <w:rsid w:val="00253CA3"/>
    <w:rsid w:val="00256E65"/>
    <w:rsid w:val="002746C8"/>
    <w:rsid w:val="0027706E"/>
    <w:rsid w:val="002778F0"/>
    <w:rsid w:val="00281E5B"/>
    <w:rsid w:val="0028344A"/>
    <w:rsid w:val="00290057"/>
    <w:rsid w:val="00291EF1"/>
    <w:rsid w:val="0029420B"/>
    <w:rsid w:val="002A1066"/>
    <w:rsid w:val="002D650D"/>
    <w:rsid w:val="002D6C19"/>
    <w:rsid w:val="002E57DB"/>
    <w:rsid w:val="002E5B86"/>
    <w:rsid w:val="002F1BFE"/>
    <w:rsid w:val="002F3D96"/>
    <w:rsid w:val="002F797B"/>
    <w:rsid w:val="003000EA"/>
    <w:rsid w:val="00316C89"/>
    <w:rsid w:val="003201DC"/>
    <w:rsid w:val="00326141"/>
    <w:rsid w:val="003306B2"/>
    <w:rsid w:val="00330A75"/>
    <w:rsid w:val="00331B9F"/>
    <w:rsid w:val="003337EA"/>
    <w:rsid w:val="00334369"/>
    <w:rsid w:val="003350E9"/>
    <w:rsid w:val="00337833"/>
    <w:rsid w:val="00344C8C"/>
    <w:rsid w:val="00352240"/>
    <w:rsid w:val="00354A5A"/>
    <w:rsid w:val="003635B5"/>
    <w:rsid w:val="00380D28"/>
    <w:rsid w:val="003869F1"/>
    <w:rsid w:val="003946C2"/>
    <w:rsid w:val="003C106F"/>
    <w:rsid w:val="003D1D40"/>
    <w:rsid w:val="003D60EE"/>
    <w:rsid w:val="003E61CD"/>
    <w:rsid w:val="003E7640"/>
    <w:rsid w:val="003F4EFE"/>
    <w:rsid w:val="003F6C3A"/>
    <w:rsid w:val="0040015C"/>
    <w:rsid w:val="00401235"/>
    <w:rsid w:val="00401D30"/>
    <w:rsid w:val="0041133D"/>
    <w:rsid w:val="00416B82"/>
    <w:rsid w:val="00417A97"/>
    <w:rsid w:val="004215E7"/>
    <w:rsid w:val="00425371"/>
    <w:rsid w:val="00426B23"/>
    <w:rsid w:val="00431D81"/>
    <w:rsid w:val="00462D4D"/>
    <w:rsid w:val="00472E3E"/>
    <w:rsid w:val="004752C1"/>
    <w:rsid w:val="00475DC8"/>
    <w:rsid w:val="0048108F"/>
    <w:rsid w:val="00497BA1"/>
    <w:rsid w:val="004A0E97"/>
    <w:rsid w:val="004B0B17"/>
    <w:rsid w:val="004B4287"/>
    <w:rsid w:val="004C3F57"/>
    <w:rsid w:val="004C46B1"/>
    <w:rsid w:val="004E0F98"/>
    <w:rsid w:val="004E21A1"/>
    <w:rsid w:val="004E43E2"/>
    <w:rsid w:val="004F0E02"/>
    <w:rsid w:val="004F1AEB"/>
    <w:rsid w:val="004F2BEA"/>
    <w:rsid w:val="005028E5"/>
    <w:rsid w:val="00502EEE"/>
    <w:rsid w:val="00511E44"/>
    <w:rsid w:val="005163FB"/>
    <w:rsid w:val="00520407"/>
    <w:rsid w:val="00531E80"/>
    <w:rsid w:val="005327C9"/>
    <w:rsid w:val="005539D4"/>
    <w:rsid w:val="005660F6"/>
    <w:rsid w:val="005722DB"/>
    <w:rsid w:val="005764C4"/>
    <w:rsid w:val="00583714"/>
    <w:rsid w:val="005849AC"/>
    <w:rsid w:val="0058532B"/>
    <w:rsid w:val="00585504"/>
    <w:rsid w:val="005866E3"/>
    <w:rsid w:val="005873AA"/>
    <w:rsid w:val="00592861"/>
    <w:rsid w:val="005B336E"/>
    <w:rsid w:val="005C6417"/>
    <w:rsid w:val="005D13A9"/>
    <w:rsid w:val="005D3043"/>
    <w:rsid w:val="005E0240"/>
    <w:rsid w:val="005E14E8"/>
    <w:rsid w:val="005E1CAB"/>
    <w:rsid w:val="005F043E"/>
    <w:rsid w:val="005F2BE3"/>
    <w:rsid w:val="00604EDE"/>
    <w:rsid w:val="00607F24"/>
    <w:rsid w:val="00615164"/>
    <w:rsid w:val="006204BC"/>
    <w:rsid w:val="00622B31"/>
    <w:rsid w:val="00632077"/>
    <w:rsid w:val="00632AA3"/>
    <w:rsid w:val="006418DB"/>
    <w:rsid w:val="006429BB"/>
    <w:rsid w:val="00652971"/>
    <w:rsid w:val="00653A9C"/>
    <w:rsid w:val="0066370A"/>
    <w:rsid w:val="006744FB"/>
    <w:rsid w:val="006777A9"/>
    <w:rsid w:val="00692393"/>
    <w:rsid w:val="00692740"/>
    <w:rsid w:val="006A7FF4"/>
    <w:rsid w:val="006C3149"/>
    <w:rsid w:val="006C4586"/>
    <w:rsid w:val="006E142A"/>
    <w:rsid w:val="006F4657"/>
    <w:rsid w:val="00723E6D"/>
    <w:rsid w:val="00726439"/>
    <w:rsid w:val="00740B6F"/>
    <w:rsid w:val="007413C0"/>
    <w:rsid w:val="00747DC8"/>
    <w:rsid w:val="0075023D"/>
    <w:rsid w:val="0075794E"/>
    <w:rsid w:val="007628E6"/>
    <w:rsid w:val="00764E89"/>
    <w:rsid w:val="007666D2"/>
    <w:rsid w:val="0076686D"/>
    <w:rsid w:val="007674BF"/>
    <w:rsid w:val="00770948"/>
    <w:rsid w:val="0077402B"/>
    <w:rsid w:val="007877F6"/>
    <w:rsid w:val="00795C19"/>
    <w:rsid w:val="007A108C"/>
    <w:rsid w:val="007A283C"/>
    <w:rsid w:val="007A2999"/>
    <w:rsid w:val="007A4AFF"/>
    <w:rsid w:val="007B66C4"/>
    <w:rsid w:val="007C7D71"/>
    <w:rsid w:val="007D2775"/>
    <w:rsid w:val="007E1AD0"/>
    <w:rsid w:val="007E5740"/>
    <w:rsid w:val="007E6BE1"/>
    <w:rsid w:val="007F03B2"/>
    <w:rsid w:val="00822B3D"/>
    <w:rsid w:val="00824B8D"/>
    <w:rsid w:val="00830EA7"/>
    <w:rsid w:val="00832857"/>
    <w:rsid w:val="0083681C"/>
    <w:rsid w:val="00840934"/>
    <w:rsid w:val="00841933"/>
    <w:rsid w:val="008473BB"/>
    <w:rsid w:val="008523BB"/>
    <w:rsid w:val="00872606"/>
    <w:rsid w:val="008838CF"/>
    <w:rsid w:val="0089344C"/>
    <w:rsid w:val="008B5125"/>
    <w:rsid w:val="008C2817"/>
    <w:rsid w:val="008C33CC"/>
    <w:rsid w:val="008E619C"/>
    <w:rsid w:val="008E6ACE"/>
    <w:rsid w:val="008F446B"/>
    <w:rsid w:val="00920AA6"/>
    <w:rsid w:val="00933E2C"/>
    <w:rsid w:val="00951CAE"/>
    <w:rsid w:val="00956613"/>
    <w:rsid w:val="00956863"/>
    <w:rsid w:val="00964A28"/>
    <w:rsid w:val="00982453"/>
    <w:rsid w:val="00987AED"/>
    <w:rsid w:val="00993A21"/>
    <w:rsid w:val="009B1665"/>
    <w:rsid w:val="009B16DB"/>
    <w:rsid w:val="009B2B10"/>
    <w:rsid w:val="009B7A35"/>
    <w:rsid w:val="009C6A76"/>
    <w:rsid w:val="009D0DA8"/>
    <w:rsid w:val="009D2B30"/>
    <w:rsid w:val="009D50E0"/>
    <w:rsid w:val="009D5560"/>
    <w:rsid w:val="009E7E90"/>
    <w:rsid w:val="009F70E6"/>
    <w:rsid w:val="00A04FD6"/>
    <w:rsid w:val="00A0751C"/>
    <w:rsid w:val="00A36565"/>
    <w:rsid w:val="00A36DBE"/>
    <w:rsid w:val="00A52DE0"/>
    <w:rsid w:val="00A65307"/>
    <w:rsid w:val="00A70B08"/>
    <w:rsid w:val="00A80D0E"/>
    <w:rsid w:val="00A86E9F"/>
    <w:rsid w:val="00A96287"/>
    <w:rsid w:val="00AA684A"/>
    <w:rsid w:val="00AD1AE6"/>
    <w:rsid w:val="00AE3869"/>
    <w:rsid w:val="00AE752A"/>
    <w:rsid w:val="00AF0644"/>
    <w:rsid w:val="00AF5A91"/>
    <w:rsid w:val="00B00AFB"/>
    <w:rsid w:val="00B21347"/>
    <w:rsid w:val="00B25022"/>
    <w:rsid w:val="00B36B51"/>
    <w:rsid w:val="00B43474"/>
    <w:rsid w:val="00B471AF"/>
    <w:rsid w:val="00B47329"/>
    <w:rsid w:val="00B4734C"/>
    <w:rsid w:val="00B47F20"/>
    <w:rsid w:val="00B6230F"/>
    <w:rsid w:val="00B84F5A"/>
    <w:rsid w:val="00B850EB"/>
    <w:rsid w:val="00BA4BBF"/>
    <w:rsid w:val="00BA570C"/>
    <w:rsid w:val="00BB183F"/>
    <w:rsid w:val="00BB5981"/>
    <w:rsid w:val="00BC5108"/>
    <w:rsid w:val="00BC5801"/>
    <w:rsid w:val="00BD0911"/>
    <w:rsid w:val="00BD2405"/>
    <w:rsid w:val="00BD4FCA"/>
    <w:rsid w:val="00BD5735"/>
    <w:rsid w:val="00BD5BEB"/>
    <w:rsid w:val="00BE0791"/>
    <w:rsid w:val="00BF0158"/>
    <w:rsid w:val="00BF6B6A"/>
    <w:rsid w:val="00C01E61"/>
    <w:rsid w:val="00C02498"/>
    <w:rsid w:val="00C02A07"/>
    <w:rsid w:val="00C036E8"/>
    <w:rsid w:val="00C0462B"/>
    <w:rsid w:val="00C15CB4"/>
    <w:rsid w:val="00C2005B"/>
    <w:rsid w:val="00C34D12"/>
    <w:rsid w:val="00C36671"/>
    <w:rsid w:val="00C43255"/>
    <w:rsid w:val="00C45F1E"/>
    <w:rsid w:val="00C466B5"/>
    <w:rsid w:val="00C600B5"/>
    <w:rsid w:val="00C60826"/>
    <w:rsid w:val="00C60CDD"/>
    <w:rsid w:val="00C74C48"/>
    <w:rsid w:val="00C754D7"/>
    <w:rsid w:val="00C7753A"/>
    <w:rsid w:val="00C77F9B"/>
    <w:rsid w:val="00C8316E"/>
    <w:rsid w:val="00C90EAB"/>
    <w:rsid w:val="00C90F92"/>
    <w:rsid w:val="00C9601A"/>
    <w:rsid w:val="00CA6896"/>
    <w:rsid w:val="00CD3203"/>
    <w:rsid w:val="00CE1104"/>
    <w:rsid w:val="00CE7302"/>
    <w:rsid w:val="00CF3CA8"/>
    <w:rsid w:val="00CF6E1E"/>
    <w:rsid w:val="00D07230"/>
    <w:rsid w:val="00D1229E"/>
    <w:rsid w:val="00D15744"/>
    <w:rsid w:val="00D223A8"/>
    <w:rsid w:val="00D2684C"/>
    <w:rsid w:val="00D26E27"/>
    <w:rsid w:val="00D32E9B"/>
    <w:rsid w:val="00D44DC3"/>
    <w:rsid w:val="00D45B62"/>
    <w:rsid w:val="00D52AAC"/>
    <w:rsid w:val="00D53553"/>
    <w:rsid w:val="00D54F79"/>
    <w:rsid w:val="00D6358F"/>
    <w:rsid w:val="00D65A36"/>
    <w:rsid w:val="00D7777B"/>
    <w:rsid w:val="00D77C0D"/>
    <w:rsid w:val="00D855C4"/>
    <w:rsid w:val="00D85A55"/>
    <w:rsid w:val="00D92691"/>
    <w:rsid w:val="00D94F8A"/>
    <w:rsid w:val="00DB04E8"/>
    <w:rsid w:val="00DC0733"/>
    <w:rsid w:val="00DC1B34"/>
    <w:rsid w:val="00DC426C"/>
    <w:rsid w:val="00DC5535"/>
    <w:rsid w:val="00DD3995"/>
    <w:rsid w:val="00DF06A8"/>
    <w:rsid w:val="00DF45BC"/>
    <w:rsid w:val="00E034CE"/>
    <w:rsid w:val="00E11356"/>
    <w:rsid w:val="00E16B0D"/>
    <w:rsid w:val="00E22508"/>
    <w:rsid w:val="00E26AAE"/>
    <w:rsid w:val="00E30E54"/>
    <w:rsid w:val="00E34F6A"/>
    <w:rsid w:val="00E45EF8"/>
    <w:rsid w:val="00E473E2"/>
    <w:rsid w:val="00E66F3C"/>
    <w:rsid w:val="00E70428"/>
    <w:rsid w:val="00E70628"/>
    <w:rsid w:val="00E8235D"/>
    <w:rsid w:val="00E943BD"/>
    <w:rsid w:val="00E94AAD"/>
    <w:rsid w:val="00EA4DC2"/>
    <w:rsid w:val="00EA77BB"/>
    <w:rsid w:val="00EF7C2A"/>
    <w:rsid w:val="00F04748"/>
    <w:rsid w:val="00F25D88"/>
    <w:rsid w:val="00F34258"/>
    <w:rsid w:val="00F528DD"/>
    <w:rsid w:val="00F577FD"/>
    <w:rsid w:val="00F57906"/>
    <w:rsid w:val="00F658F9"/>
    <w:rsid w:val="00F70ACF"/>
    <w:rsid w:val="00F822A1"/>
    <w:rsid w:val="00F9176B"/>
    <w:rsid w:val="00F9599C"/>
    <w:rsid w:val="00FB319B"/>
    <w:rsid w:val="00FB4895"/>
    <w:rsid w:val="00FD00D8"/>
    <w:rsid w:val="00FE0FBB"/>
    <w:rsid w:val="00FE23B7"/>
    <w:rsid w:val="00FE2F9F"/>
    <w:rsid w:val="00FE6213"/>
    <w:rsid w:val="00FF00B3"/>
    <w:rsid w:val="00FF6906"/>
    <w:rsid w:val="02EA3B03"/>
    <w:rsid w:val="036CAE65"/>
    <w:rsid w:val="068D4D45"/>
    <w:rsid w:val="06E4EE12"/>
    <w:rsid w:val="0BCF47E0"/>
    <w:rsid w:val="0BEE1E16"/>
    <w:rsid w:val="0EBF29E1"/>
    <w:rsid w:val="125D4863"/>
    <w:rsid w:val="137EBC0B"/>
    <w:rsid w:val="15E26512"/>
    <w:rsid w:val="1698EAD0"/>
    <w:rsid w:val="177542A6"/>
    <w:rsid w:val="1D81DB7A"/>
    <w:rsid w:val="27831D6B"/>
    <w:rsid w:val="27EE7C8B"/>
    <w:rsid w:val="337B3F12"/>
    <w:rsid w:val="33E51B6E"/>
    <w:rsid w:val="3AD8CF7D"/>
    <w:rsid w:val="3ED7D62B"/>
    <w:rsid w:val="45DED337"/>
    <w:rsid w:val="4A51508C"/>
    <w:rsid w:val="51F9FF90"/>
    <w:rsid w:val="55C50657"/>
    <w:rsid w:val="569C023D"/>
    <w:rsid w:val="58A09B1F"/>
    <w:rsid w:val="62CF2E16"/>
    <w:rsid w:val="75AE2800"/>
    <w:rsid w:val="7859B7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580668"/>
  <w15:chartTrackingRefBased/>
  <w15:docId w15:val="{E8D42A79-1D9F-8340-9122-42D740B40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86E9F"/>
    <w:pPr>
      <w:spacing w:line="260" w:lineRule="atLeast"/>
      <w:jc w:val="both"/>
    </w:pPr>
    <w:rPr>
      <w:rFonts w:ascii="Palatino Linotype" w:hAnsi="Palatino Linotype"/>
      <w:color w:val="00000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MDPI11articletype">
    <w:name w:val="MDPI_1.1_article_type"/>
    <w:next w:val="Standaard"/>
    <w:qFormat/>
    <w:rsid w:val="00A86E9F"/>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Standaard"/>
    <w:qFormat/>
    <w:rsid w:val="00A86E9F"/>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Standaard"/>
    <w:qFormat/>
    <w:rsid w:val="00A86E9F"/>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Standaard"/>
    <w:next w:val="Standaard"/>
    <w:qFormat/>
    <w:rsid w:val="00A86E9F"/>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A86E9F"/>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Standaard"/>
    <w:qFormat/>
    <w:rsid w:val="00A86E9F"/>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Standaard"/>
    <w:qFormat/>
    <w:rsid w:val="00A86E9F"/>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A86E9F"/>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Standaardtabel"/>
    <w:uiPriority w:val="99"/>
    <w:rsid w:val="00CD3203"/>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elraster">
    <w:name w:val="Table Grid"/>
    <w:basedOn w:val="Standaardtabel"/>
    <w:uiPriority w:val="59"/>
    <w:rsid w:val="00A86E9F"/>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rsid w:val="00A86E9F"/>
    <w:pPr>
      <w:pBdr>
        <w:bottom w:val="single" w:sz="6" w:space="1" w:color="auto"/>
      </w:pBdr>
      <w:tabs>
        <w:tab w:val="center" w:pos="4153"/>
        <w:tab w:val="right" w:pos="8306"/>
      </w:tabs>
      <w:snapToGrid w:val="0"/>
      <w:spacing w:line="240" w:lineRule="atLeast"/>
      <w:jc w:val="center"/>
    </w:pPr>
    <w:rPr>
      <w:szCs w:val="18"/>
    </w:rPr>
  </w:style>
  <w:style w:type="character" w:customStyle="1" w:styleId="KoptekstChar">
    <w:name w:val="Koptekst Char"/>
    <w:link w:val="Koptekst"/>
    <w:uiPriority w:val="99"/>
    <w:rsid w:val="00A86E9F"/>
    <w:rPr>
      <w:rFonts w:ascii="Palatino Linotype" w:hAnsi="Palatino Linotype"/>
      <w:noProof/>
      <w:color w:val="000000"/>
      <w:szCs w:val="18"/>
    </w:rPr>
  </w:style>
  <w:style w:type="paragraph" w:customStyle="1" w:styleId="MDPIheaderjournallogo">
    <w:name w:val="MDPI_header_journal_logo"/>
    <w:qFormat/>
    <w:rsid w:val="00A86E9F"/>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A86E9F"/>
    <w:pPr>
      <w:ind w:firstLine="0"/>
    </w:pPr>
  </w:style>
  <w:style w:type="paragraph" w:customStyle="1" w:styleId="MDPI31text">
    <w:name w:val="MDPI_3.1_text"/>
    <w:qFormat/>
    <w:rsid w:val="009B1665"/>
    <w:pPr>
      <w:adjustRightInd w:val="0"/>
      <w:snapToGrid w:val="0"/>
      <w:spacing w:line="228" w:lineRule="auto"/>
      <w:ind w:left="2608" w:firstLine="425"/>
      <w:jc w:val="both"/>
    </w:pPr>
    <w:rPr>
      <w:rFonts w:ascii="Georgia" w:eastAsia="Times New Roman" w:hAnsi="Georgia"/>
      <w:snapToGrid w:val="0"/>
      <w:color w:val="000000"/>
      <w:szCs w:val="22"/>
      <w:lang w:eastAsia="de-DE" w:bidi="en-US"/>
    </w:rPr>
  </w:style>
  <w:style w:type="paragraph" w:customStyle="1" w:styleId="MDPI33textspaceafter">
    <w:name w:val="MDPI_3.3_text_space_after"/>
    <w:qFormat/>
    <w:rsid w:val="00A86E9F"/>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A86E9F"/>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A86E9F"/>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A86E9F"/>
    <w:pPr>
      <w:numPr>
        <w:numId w:val="13"/>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A86E9F"/>
    <w:pPr>
      <w:numPr>
        <w:numId w:val="14"/>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A86E9F"/>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A86E9F"/>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A86E9F"/>
    <w:pPr>
      <w:adjustRightInd w:val="0"/>
      <w:snapToGrid w:val="0"/>
      <w:spacing w:before="240" w:after="120" w:line="228" w:lineRule="auto"/>
      <w:ind w:left="2608"/>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5E14E8"/>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A86E9F"/>
    <w:pPr>
      <w:adjustRightInd w:val="0"/>
      <w:snapToGrid w:val="0"/>
      <w:spacing w:line="228" w:lineRule="auto"/>
      <w:ind w:left="2608"/>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A86E9F"/>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qFormat/>
    <w:rsid w:val="00A86E9F"/>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footerfirstpage">
    <w:name w:val="MDPI_footer_firstpage"/>
    <w:qFormat/>
    <w:rsid w:val="00A86E9F"/>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A86E9F"/>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A86E9F"/>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autoRedefine/>
    <w:qFormat/>
    <w:rsid w:val="001C45F3"/>
    <w:pPr>
      <w:adjustRightInd w:val="0"/>
      <w:snapToGrid w:val="0"/>
      <w:spacing w:before="60" w:after="60" w:line="228" w:lineRule="auto"/>
      <w:ind w:left="2608"/>
      <w:outlineLvl w:val="1"/>
    </w:pPr>
    <w:rPr>
      <w:rFonts w:ascii="Georgia" w:eastAsia="Times New Roman" w:hAnsi="Georgia"/>
      <w:noProof/>
      <w:snapToGrid w:val="0"/>
      <w:color w:val="000000"/>
      <w:szCs w:val="22"/>
      <w:lang w:eastAsia="de-DE" w:bidi="en-US"/>
    </w:rPr>
  </w:style>
  <w:style w:type="paragraph" w:customStyle="1" w:styleId="MDPI71References">
    <w:name w:val="MDPI_7.1_References"/>
    <w:qFormat/>
    <w:rsid w:val="005D13A9"/>
    <w:pPr>
      <w:numPr>
        <w:numId w:val="15"/>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ntekst">
    <w:name w:val="Balloon Text"/>
    <w:basedOn w:val="Standaard"/>
    <w:link w:val="BallontekstChar"/>
    <w:uiPriority w:val="99"/>
    <w:rsid w:val="00A86E9F"/>
    <w:rPr>
      <w:rFonts w:cs="Tahoma"/>
      <w:szCs w:val="18"/>
    </w:rPr>
  </w:style>
  <w:style w:type="character" w:customStyle="1" w:styleId="BallontekstChar">
    <w:name w:val="Ballontekst Char"/>
    <w:link w:val="Ballontekst"/>
    <w:uiPriority w:val="99"/>
    <w:rsid w:val="00A86E9F"/>
    <w:rPr>
      <w:rFonts w:ascii="Palatino Linotype" w:hAnsi="Palatino Linotype" w:cs="Tahoma"/>
      <w:noProof/>
      <w:color w:val="000000"/>
      <w:szCs w:val="18"/>
    </w:rPr>
  </w:style>
  <w:style w:type="character" w:styleId="Regelnummer">
    <w:name w:val="line number"/>
    <w:uiPriority w:val="99"/>
    <w:rsid w:val="00AF0644"/>
    <w:rPr>
      <w:rFonts w:ascii="Palatino Linotype" w:hAnsi="Palatino Linotype"/>
      <w:sz w:val="16"/>
    </w:rPr>
  </w:style>
  <w:style w:type="table" w:customStyle="1" w:styleId="MDPI41threelinetable">
    <w:name w:val="MDPI_4.1_three_line_table"/>
    <w:basedOn w:val="Standaardtabel"/>
    <w:uiPriority w:val="99"/>
    <w:rsid w:val="00A86E9F"/>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rsid w:val="00A86E9F"/>
    <w:rPr>
      <w:color w:val="0000FF"/>
      <w:u w:val="single"/>
    </w:rPr>
  </w:style>
  <w:style w:type="character" w:customStyle="1" w:styleId="Onopgelostemelding1">
    <w:name w:val="Onopgeloste melding1"/>
    <w:uiPriority w:val="99"/>
    <w:semiHidden/>
    <w:unhideWhenUsed/>
    <w:rsid w:val="004C46B1"/>
    <w:rPr>
      <w:color w:val="605E5C"/>
      <w:shd w:val="clear" w:color="auto" w:fill="E1DFDD"/>
    </w:rPr>
  </w:style>
  <w:style w:type="paragraph" w:styleId="Voettekst">
    <w:name w:val="footer"/>
    <w:basedOn w:val="Standaard"/>
    <w:link w:val="VoettekstChar"/>
    <w:uiPriority w:val="99"/>
    <w:rsid w:val="00A86E9F"/>
    <w:pPr>
      <w:tabs>
        <w:tab w:val="center" w:pos="4153"/>
        <w:tab w:val="right" w:pos="8306"/>
      </w:tabs>
      <w:snapToGrid w:val="0"/>
      <w:spacing w:line="240" w:lineRule="atLeast"/>
    </w:pPr>
    <w:rPr>
      <w:szCs w:val="18"/>
    </w:rPr>
  </w:style>
  <w:style w:type="character" w:customStyle="1" w:styleId="VoettekstChar">
    <w:name w:val="Voettekst Char"/>
    <w:link w:val="Voettekst"/>
    <w:uiPriority w:val="99"/>
    <w:rsid w:val="00A86E9F"/>
    <w:rPr>
      <w:rFonts w:ascii="Palatino Linotype" w:hAnsi="Palatino Linotype"/>
      <w:noProof/>
      <w:color w:val="000000"/>
      <w:szCs w:val="18"/>
    </w:rPr>
  </w:style>
  <w:style w:type="table" w:styleId="Onopgemaaktetabel4">
    <w:name w:val="Plain Table 4"/>
    <w:basedOn w:val="Standaardtabel"/>
    <w:uiPriority w:val="44"/>
    <w:rsid w:val="0063207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A86E9F"/>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81theorem">
    <w:name w:val="MDPI_8.1_theorem"/>
    <w:qFormat/>
    <w:rsid w:val="00A86E9F"/>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A86E9F"/>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A86E9F"/>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FE2F9F"/>
    <w:pPr>
      <w:adjustRightInd w:val="0"/>
      <w:snapToGrid w:val="0"/>
      <w:spacing w:after="120" w:line="228" w:lineRule="auto"/>
      <w:ind w:left="2608"/>
      <w:jc w:val="both"/>
    </w:pPr>
    <w:rPr>
      <w:rFonts w:ascii="Georgia" w:eastAsia="Times New Roman" w:hAnsi="Georgia"/>
      <w:snapToGrid w:val="0"/>
      <w:color w:val="000000"/>
      <w:sz w:val="18"/>
      <w:lang w:eastAsia="en-US" w:bidi="en-US"/>
    </w:rPr>
  </w:style>
  <w:style w:type="paragraph" w:customStyle="1" w:styleId="MDPI63Notes">
    <w:name w:val="MDPI_6.3_Notes"/>
    <w:qFormat/>
    <w:rsid w:val="00A86E9F"/>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A86E9F"/>
    <w:pPr>
      <w:adjustRightInd w:val="0"/>
      <w:snapToGrid w:val="0"/>
      <w:spacing w:before="24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A86E9F"/>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A86E9F"/>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A86E9F"/>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A86E9F"/>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A86E9F"/>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A86E9F"/>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A86E9F"/>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A86E9F"/>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A86E9F"/>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A86E9F"/>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Standaardtabel"/>
    <w:uiPriority w:val="99"/>
    <w:rsid w:val="00A86E9F"/>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A86E9F"/>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A86E9F"/>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A86E9F"/>
  </w:style>
  <w:style w:type="paragraph" w:styleId="Bibliografie">
    <w:name w:val="Bibliography"/>
    <w:basedOn w:val="Standaard"/>
    <w:next w:val="Standaard"/>
    <w:uiPriority w:val="37"/>
    <w:semiHidden/>
    <w:unhideWhenUsed/>
    <w:rsid w:val="00A86E9F"/>
  </w:style>
  <w:style w:type="paragraph" w:styleId="Plattetekst">
    <w:name w:val="Body Text"/>
    <w:link w:val="PlattetekstChar"/>
    <w:rsid w:val="00A86E9F"/>
    <w:pPr>
      <w:spacing w:after="120" w:line="340" w:lineRule="atLeast"/>
      <w:jc w:val="both"/>
    </w:pPr>
    <w:rPr>
      <w:rFonts w:ascii="Palatino Linotype" w:hAnsi="Palatino Linotype"/>
      <w:color w:val="000000"/>
      <w:sz w:val="24"/>
      <w:lang w:eastAsia="de-DE"/>
    </w:rPr>
  </w:style>
  <w:style w:type="character" w:customStyle="1" w:styleId="PlattetekstChar">
    <w:name w:val="Platte tekst Char"/>
    <w:link w:val="Plattetekst"/>
    <w:rsid w:val="00A86E9F"/>
    <w:rPr>
      <w:rFonts w:ascii="Palatino Linotype" w:hAnsi="Palatino Linotype"/>
      <w:color w:val="000000"/>
      <w:sz w:val="24"/>
      <w:lang w:eastAsia="de-DE"/>
    </w:rPr>
  </w:style>
  <w:style w:type="character" w:styleId="Verwijzingopmerking">
    <w:name w:val="annotation reference"/>
    <w:rsid w:val="00A86E9F"/>
    <w:rPr>
      <w:sz w:val="21"/>
      <w:szCs w:val="21"/>
    </w:rPr>
  </w:style>
  <w:style w:type="paragraph" w:styleId="Tekstopmerking">
    <w:name w:val="annotation text"/>
    <w:basedOn w:val="Standaard"/>
    <w:link w:val="TekstopmerkingChar"/>
    <w:rsid w:val="00A86E9F"/>
  </w:style>
  <w:style w:type="character" w:customStyle="1" w:styleId="TekstopmerkingChar">
    <w:name w:val="Tekst opmerking Char"/>
    <w:link w:val="Tekstopmerking"/>
    <w:rsid w:val="00A86E9F"/>
    <w:rPr>
      <w:rFonts w:ascii="Palatino Linotype" w:hAnsi="Palatino Linotype"/>
      <w:noProof/>
      <w:color w:val="000000"/>
    </w:rPr>
  </w:style>
  <w:style w:type="paragraph" w:styleId="Onderwerpvanopmerking">
    <w:name w:val="annotation subject"/>
    <w:basedOn w:val="Tekstopmerking"/>
    <w:next w:val="Tekstopmerking"/>
    <w:link w:val="OnderwerpvanopmerkingChar"/>
    <w:rsid w:val="00A86E9F"/>
    <w:rPr>
      <w:b/>
      <w:bCs/>
    </w:rPr>
  </w:style>
  <w:style w:type="character" w:customStyle="1" w:styleId="OnderwerpvanopmerkingChar">
    <w:name w:val="Onderwerp van opmerking Char"/>
    <w:link w:val="Onderwerpvanopmerking"/>
    <w:rsid w:val="00A86E9F"/>
    <w:rPr>
      <w:rFonts w:ascii="Palatino Linotype" w:hAnsi="Palatino Linotype"/>
      <w:b/>
      <w:bCs/>
      <w:noProof/>
      <w:color w:val="000000"/>
    </w:rPr>
  </w:style>
  <w:style w:type="character" w:styleId="Eindnootmarkering">
    <w:name w:val="endnote reference"/>
    <w:rsid w:val="00A86E9F"/>
    <w:rPr>
      <w:vertAlign w:val="superscript"/>
    </w:rPr>
  </w:style>
  <w:style w:type="paragraph" w:styleId="Eindnoottekst">
    <w:name w:val="endnote text"/>
    <w:basedOn w:val="Standaard"/>
    <w:link w:val="EindnoottekstChar"/>
    <w:semiHidden/>
    <w:unhideWhenUsed/>
    <w:rsid w:val="00A86E9F"/>
    <w:pPr>
      <w:spacing w:line="240" w:lineRule="auto"/>
    </w:pPr>
  </w:style>
  <w:style w:type="character" w:customStyle="1" w:styleId="EindnoottekstChar">
    <w:name w:val="Eindnoottekst Char"/>
    <w:link w:val="Eindnoottekst"/>
    <w:semiHidden/>
    <w:rsid w:val="00A86E9F"/>
    <w:rPr>
      <w:rFonts w:ascii="Palatino Linotype" w:hAnsi="Palatino Linotype"/>
      <w:noProof/>
      <w:color w:val="000000"/>
    </w:rPr>
  </w:style>
  <w:style w:type="character" w:styleId="GevolgdeHyperlink">
    <w:name w:val="FollowedHyperlink"/>
    <w:rsid w:val="00A86E9F"/>
    <w:rPr>
      <w:color w:val="954F72"/>
      <w:u w:val="single"/>
    </w:rPr>
  </w:style>
  <w:style w:type="paragraph" w:styleId="Voetnoottekst">
    <w:name w:val="footnote text"/>
    <w:basedOn w:val="Standaard"/>
    <w:link w:val="VoetnoottekstChar"/>
    <w:semiHidden/>
    <w:unhideWhenUsed/>
    <w:rsid w:val="00A86E9F"/>
    <w:pPr>
      <w:spacing w:line="240" w:lineRule="auto"/>
    </w:pPr>
  </w:style>
  <w:style w:type="character" w:customStyle="1" w:styleId="VoetnoottekstChar">
    <w:name w:val="Voetnoottekst Char"/>
    <w:link w:val="Voetnoottekst"/>
    <w:semiHidden/>
    <w:rsid w:val="00A86E9F"/>
    <w:rPr>
      <w:rFonts w:ascii="Palatino Linotype" w:hAnsi="Palatino Linotype"/>
      <w:noProof/>
      <w:color w:val="000000"/>
    </w:rPr>
  </w:style>
  <w:style w:type="paragraph" w:styleId="Normaalweb">
    <w:name w:val="Normal (Web)"/>
    <w:basedOn w:val="Standaard"/>
    <w:uiPriority w:val="99"/>
    <w:rsid w:val="00A86E9F"/>
    <w:rPr>
      <w:szCs w:val="24"/>
    </w:rPr>
  </w:style>
  <w:style w:type="paragraph" w:customStyle="1" w:styleId="MsoFootnoteText0">
    <w:name w:val="MsoFootnoteText"/>
    <w:basedOn w:val="Normaalweb"/>
    <w:qFormat/>
    <w:rsid w:val="00A86E9F"/>
    <w:rPr>
      <w:rFonts w:ascii="Times New Roman" w:hAnsi="Times New Roman"/>
    </w:rPr>
  </w:style>
  <w:style w:type="character" w:styleId="Paginanummer">
    <w:name w:val="page number"/>
    <w:rsid w:val="00A86E9F"/>
  </w:style>
  <w:style w:type="character" w:styleId="Tekstvantijdelijkeaanduiding">
    <w:name w:val="Placeholder Text"/>
    <w:uiPriority w:val="99"/>
    <w:semiHidden/>
    <w:rsid w:val="00A86E9F"/>
    <w:rPr>
      <w:color w:val="808080"/>
    </w:rPr>
  </w:style>
  <w:style w:type="paragraph" w:customStyle="1" w:styleId="MDPI71FootNotes">
    <w:name w:val="MDPI_7.1_FootNotes"/>
    <w:qFormat/>
    <w:rsid w:val="006A7FF4"/>
    <w:pPr>
      <w:numPr>
        <w:numId w:val="16"/>
      </w:numPr>
      <w:adjustRightInd w:val="0"/>
      <w:snapToGrid w:val="0"/>
      <w:spacing w:line="228" w:lineRule="auto"/>
      <w:jc w:val="both"/>
    </w:pPr>
    <w:rPr>
      <w:rFonts w:ascii="Palatino Linotype" w:eastAsiaTheme="minorEastAsia" w:hAnsi="Palatino Linotype"/>
      <w:noProof/>
      <w:color w:val="000000"/>
      <w:sz w:val="18"/>
    </w:rPr>
  </w:style>
  <w:style w:type="paragraph" w:customStyle="1" w:styleId="paragraph">
    <w:name w:val="paragraph"/>
    <w:basedOn w:val="Standaard"/>
    <w:rsid w:val="00206552"/>
    <w:pPr>
      <w:spacing w:before="100" w:beforeAutospacing="1" w:after="100" w:afterAutospacing="1" w:line="240" w:lineRule="auto"/>
      <w:jc w:val="left"/>
    </w:pPr>
    <w:rPr>
      <w:rFonts w:ascii="Times New Roman" w:eastAsia="Times New Roman" w:hAnsi="Times New Roman"/>
      <w:color w:val="auto"/>
      <w:sz w:val="24"/>
      <w:szCs w:val="24"/>
    </w:rPr>
  </w:style>
  <w:style w:type="character" w:customStyle="1" w:styleId="normaltextrun">
    <w:name w:val="normaltextrun"/>
    <w:basedOn w:val="Standaardalinea-lettertype"/>
    <w:rsid w:val="00206552"/>
  </w:style>
  <w:style w:type="character" w:customStyle="1" w:styleId="eop">
    <w:name w:val="eop"/>
    <w:basedOn w:val="Standaardalinea-lettertype"/>
    <w:rsid w:val="00206552"/>
  </w:style>
  <w:style w:type="paragraph" w:customStyle="1" w:styleId="References">
    <w:name w:val="References"/>
    <w:basedOn w:val="Standaard"/>
    <w:qFormat/>
    <w:rsid w:val="00DC1B34"/>
    <w:pPr>
      <w:spacing w:line="240" w:lineRule="auto"/>
      <w:ind w:left="720" w:hanging="720"/>
    </w:pPr>
    <w:rPr>
      <w:rFonts w:ascii="Bodoni SvtyTwo OS ITC TT-Book" w:eastAsia="Times New Roman" w:hAnsi="Bodoni SvtyTwo OS ITC TT-Book"/>
      <w:color w:val="auto"/>
      <w:szCs w:val="24"/>
      <w:lang w:val="en-GB" w:eastAsia="en-US"/>
    </w:rPr>
  </w:style>
  <w:style w:type="character" w:styleId="Nadruk">
    <w:name w:val="Emphasis"/>
    <w:basedOn w:val="Standaardalinea-lettertype"/>
    <w:uiPriority w:val="20"/>
    <w:qFormat/>
    <w:rsid w:val="00FD00D8"/>
    <w:rPr>
      <w:i/>
      <w:iCs/>
    </w:rPr>
  </w:style>
  <w:style w:type="paragraph" w:styleId="Lijstalinea">
    <w:name w:val="List Paragraph"/>
    <w:basedOn w:val="Standaard"/>
    <w:uiPriority w:val="34"/>
    <w:qFormat/>
    <w:rsid w:val="00FD00D8"/>
    <w:pPr>
      <w:ind w:left="720"/>
      <w:contextualSpacing/>
    </w:pPr>
  </w:style>
  <w:style w:type="paragraph" w:styleId="Revisie">
    <w:name w:val="Revision"/>
    <w:hidden/>
    <w:uiPriority w:val="99"/>
    <w:semiHidden/>
    <w:rsid w:val="005B336E"/>
    <w:rPr>
      <w:rFonts w:ascii="Palatino Linotype" w:hAnsi="Palatino Linotype"/>
      <w:noProof/>
      <w:color w:val="000000"/>
    </w:rPr>
  </w:style>
  <w:style w:type="character" w:styleId="Onopgelostemelding">
    <w:name w:val="Unresolved Mention"/>
    <w:basedOn w:val="Standaardalinea-lettertype"/>
    <w:uiPriority w:val="99"/>
    <w:semiHidden/>
    <w:unhideWhenUsed/>
    <w:rsid w:val="000173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964961">
      <w:bodyDiv w:val="1"/>
      <w:marLeft w:val="0"/>
      <w:marRight w:val="0"/>
      <w:marTop w:val="0"/>
      <w:marBottom w:val="0"/>
      <w:divBdr>
        <w:top w:val="none" w:sz="0" w:space="0" w:color="auto"/>
        <w:left w:val="none" w:sz="0" w:space="0" w:color="auto"/>
        <w:bottom w:val="none" w:sz="0" w:space="0" w:color="auto"/>
        <w:right w:val="none" w:sz="0" w:space="0" w:color="auto"/>
      </w:divBdr>
    </w:div>
    <w:div w:id="201483910">
      <w:bodyDiv w:val="1"/>
      <w:marLeft w:val="0"/>
      <w:marRight w:val="0"/>
      <w:marTop w:val="0"/>
      <w:marBottom w:val="0"/>
      <w:divBdr>
        <w:top w:val="none" w:sz="0" w:space="0" w:color="auto"/>
        <w:left w:val="none" w:sz="0" w:space="0" w:color="auto"/>
        <w:bottom w:val="none" w:sz="0" w:space="0" w:color="auto"/>
        <w:right w:val="none" w:sz="0" w:space="0" w:color="auto"/>
      </w:divBdr>
    </w:div>
    <w:div w:id="450051836">
      <w:bodyDiv w:val="1"/>
      <w:marLeft w:val="0"/>
      <w:marRight w:val="0"/>
      <w:marTop w:val="0"/>
      <w:marBottom w:val="0"/>
      <w:divBdr>
        <w:top w:val="none" w:sz="0" w:space="0" w:color="auto"/>
        <w:left w:val="none" w:sz="0" w:space="0" w:color="auto"/>
        <w:bottom w:val="none" w:sz="0" w:space="0" w:color="auto"/>
        <w:right w:val="none" w:sz="0" w:space="0" w:color="auto"/>
      </w:divBdr>
      <w:divsChild>
        <w:div w:id="700782893">
          <w:marLeft w:val="0"/>
          <w:marRight w:val="0"/>
          <w:marTop w:val="0"/>
          <w:marBottom w:val="0"/>
          <w:divBdr>
            <w:top w:val="none" w:sz="0" w:space="0" w:color="auto"/>
            <w:left w:val="none" w:sz="0" w:space="0" w:color="auto"/>
            <w:bottom w:val="none" w:sz="0" w:space="0" w:color="auto"/>
            <w:right w:val="none" w:sz="0" w:space="0" w:color="auto"/>
          </w:divBdr>
        </w:div>
        <w:div w:id="798258592">
          <w:marLeft w:val="0"/>
          <w:marRight w:val="0"/>
          <w:marTop w:val="0"/>
          <w:marBottom w:val="0"/>
          <w:divBdr>
            <w:top w:val="none" w:sz="0" w:space="0" w:color="auto"/>
            <w:left w:val="none" w:sz="0" w:space="0" w:color="auto"/>
            <w:bottom w:val="none" w:sz="0" w:space="0" w:color="auto"/>
            <w:right w:val="none" w:sz="0" w:space="0" w:color="auto"/>
          </w:divBdr>
        </w:div>
      </w:divsChild>
    </w:div>
    <w:div w:id="469830522">
      <w:bodyDiv w:val="1"/>
      <w:marLeft w:val="0"/>
      <w:marRight w:val="0"/>
      <w:marTop w:val="0"/>
      <w:marBottom w:val="0"/>
      <w:divBdr>
        <w:top w:val="none" w:sz="0" w:space="0" w:color="auto"/>
        <w:left w:val="none" w:sz="0" w:space="0" w:color="auto"/>
        <w:bottom w:val="none" w:sz="0" w:space="0" w:color="auto"/>
        <w:right w:val="none" w:sz="0" w:space="0" w:color="auto"/>
      </w:divBdr>
    </w:div>
    <w:div w:id="485361114">
      <w:bodyDiv w:val="1"/>
      <w:marLeft w:val="0"/>
      <w:marRight w:val="0"/>
      <w:marTop w:val="0"/>
      <w:marBottom w:val="0"/>
      <w:divBdr>
        <w:top w:val="none" w:sz="0" w:space="0" w:color="auto"/>
        <w:left w:val="none" w:sz="0" w:space="0" w:color="auto"/>
        <w:bottom w:val="none" w:sz="0" w:space="0" w:color="auto"/>
        <w:right w:val="none" w:sz="0" w:space="0" w:color="auto"/>
      </w:divBdr>
    </w:div>
    <w:div w:id="518979887">
      <w:bodyDiv w:val="1"/>
      <w:marLeft w:val="0"/>
      <w:marRight w:val="0"/>
      <w:marTop w:val="0"/>
      <w:marBottom w:val="0"/>
      <w:divBdr>
        <w:top w:val="none" w:sz="0" w:space="0" w:color="auto"/>
        <w:left w:val="none" w:sz="0" w:space="0" w:color="auto"/>
        <w:bottom w:val="none" w:sz="0" w:space="0" w:color="auto"/>
        <w:right w:val="none" w:sz="0" w:space="0" w:color="auto"/>
      </w:divBdr>
    </w:div>
    <w:div w:id="653069004">
      <w:bodyDiv w:val="1"/>
      <w:marLeft w:val="0"/>
      <w:marRight w:val="0"/>
      <w:marTop w:val="0"/>
      <w:marBottom w:val="0"/>
      <w:divBdr>
        <w:top w:val="none" w:sz="0" w:space="0" w:color="auto"/>
        <w:left w:val="none" w:sz="0" w:space="0" w:color="auto"/>
        <w:bottom w:val="none" w:sz="0" w:space="0" w:color="auto"/>
        <w:right w:val="none" w:sz="0" w:space="0" w:color="auto"/>
      </w:divBdr>
    </w:div>
    <w:div w:id="745690746">
      <w:bodyDiv w:val="1"/>
      <w:marLeft w:val="0"/>
      <w:marRight w:val="0"/>
      <w:marTop w:val="0"/>
      <w:marBottom w:val="0"/>
      <w:divBdr>
        <w:top w:val="none" w:sz="0" w:space="0" w:color="auto"/>
        <w:left w:val="none" w:sz="0" w:space="0" w:color="auto"/>
        <w:bottom w:val="none" w:sz="0" w:space="0" w:color="auto"/>
        <w:right w:val="none" w:sz="0" w:space="0" w:color="auto"/>
      </w:divBdr>
    </w:div>
    <w:div w:id="751782964">
      <w:bodyDiv w:val="1"/>
      <w:marLeft w:val="0"/>
      <w:marRight w:val="0"/>
      <w:marTop w:val="0"/>
      <w:marBottom w:val="0"/>
      <w:divBdr>
        <w:top w:val="none" w:sz="0" w:space="0" w:color="auto"/>
        <w:left w:val="none" w:sz="0" w:space="0" w:color="auto"/>
        <w:bottom w:val="none" w:sz="0" w:space="0" w:color="auto"/>
        <w:right w:val="none" w:sz="0" w:space="0" w:color="auto"/>
      </w:divBdr>
      <w:divsChild>
        <w:div w:id="1973901446">
          <w:marLeft w:val="0"/>
          <w:marRight w:val="0"/>
          <w:marTop w:val="0"/>
          <w:marBottom w:val="0"/>
          <w:divBdr>
            <w:top w:val="none" w:sz="0" w:space="0" w:color="auto"/>
            <w:left w:val="none" w:sz="0" w:space="0" w:color="auto"/>
            <w:bottom w:val="none" w:sz="0" w:space="0" w:color="auto"/>
            <w:right w:val="none" w:sz="0" w:space="0" w:color="auto"/>
          </w:divBdr>
        </w:div>
        <w:div w:id="784157827">
          <w:marLeft w:val="0"/>
          <w:marRight w:val="0"/>
          <w:marTop w:val="0"/>
          <w:marBottom w:val="0"/>
          <w:divBdr>
            <w:top w:val="none" w:sz="0" w:space="0" w:color="auto"/>
            <w:left w:val="none" w:sz="0" w:space="0" w:color="auto"/>
            <w:bottom w:val="none" w:sz="0" w:space="0" w:color="auto"/>
            <w:right w:val="none" w:sz="0" w:space="0" w:color="auto"/>
          </w:divBdr>
        </w:div>
        <w:div w:id="1385176921">
          <w:marLeft w:val="0"/>
          <w:marRight w:val="0"/>
          <w:marTop w:val="0"/>
          <w:marBottom w:val="0"/>
          <w:divBdr>
            <w:top w:val="none" w:sz="0" w:space="0" w:color="auto"/>
            <w:left w:val="none" w:sz="0" w:space="0" w:color="auto"/>
            <w:bottom w:val="none" w:sz="0" w:space="0" w:color="auto"/>
            <w:right w:val="none" w:sz="0" w:space="0" w:color="auto"/>
          </w:divBdr>
        </w:div>
      </w:divsChild>
    </w:div>
    <w:div w:id="753748767">
      <w:bodyDiv w:val="1"/>
      <w:marLeft w:val="0"/>
      <w:marRight w:val="0"/>
      <w:marTop w:val="0"/>
      <w:marBottom w:val="0"/>
      <w:divBdr>
        <w:top w:val="none" w:sz="0" w:space="0" w:color="auto"/>
        <w:left w:val="none" w:sz="0" w:space="0" w:color="auto"/>
        <w:bottom w:val="none" w:sz="0" w:space="0" w:color="auto"/>
        <w:right w:val="none" w:sz="0" w:space="0" w:color="auto"/>
      </w:divBdr>
      <w:divsChild>
        <w:div w:id="678894672">
          <w:marLeft w:val="0"/>
          <w:marRight w:val="0"/>
          <w:marTop w:val="0"/>
          <w:marBottom w:val="0"/>
          <w:divBdr>
            <w:top w:val="none" w:sz="0" w:space="0" w:color="auto"/>
            <w:left w:val="none" w:sz="0" w:space="0" w:color="auto"/>
            <w:bottom w:val="none" w:sz="0" w:space="0" w:color="auto"/>
            <w:right w:val="none" w:sz="0" w:space="0" w:color="auto"/>
          </w:divBdr>
        </w:div>
        <w:div w:id="1102605574">
          <w:marLeft w:val="0"/>
          <w:marRight w:val="0"/>
          <w:marTop w:val="0"/>
          <w:marBottom w:val="0"/>
          <w:divBdr>
            <w:top w:val="none" w:sz="0" w:space="0" w:color="auto"/>
            <w:left w:val="none" w:sz="0" w:space="0" w:color="auto"/>
            <w:bottom w:val="none" w:sz="0" w:space="0" w:color="auto"/>
            <w:right w:val="none" w:sz="0" w:space="0" w:color="auto"/>
          </w:divBdr>
        </w:div>
      </w:divsChild>
    </w:div>
    <w:div w:id="797184374">
      <w:bodyDiv w:val="1"/>
      <w:marLeft w:val="0"/>
      <w:marRight w:val="0"/>
      <w:marTop w:val="0"/>
      <w:marBottom w:val="0"/>
      <w:divBdr>
        <w:top w:val="none" w:sz="0" w:space="0" w:color="auto"/>
        <w:left w:val="none" w:sz="0" w:space="0" w:color="auto"/>
        <w:bottom w:val="none" w:sz="0" w:space="0" w:color="auto"/>
        <w:right w:val="none" w:sz="0" w:space="0" w:color="auto"/>
      </w:divBdr>
    </w:div>
    <w:div w:id="868369682">
      <w:bodyDiv w:val="1"/>
      <w:marLeft w:val="0"/>
      <w:marRight w:val="0"/>
      <w:marTop w:val="0"/>
      <w:marBottom w:val="0"/>
      <w:divBdr>
        <w:top w:val="none" w:sz="0" w:space="0" w:color="auto"/>
        <w:left w:val="none" w:sz="0" w:space="0" w:color="auto"/>
        <w:bottom w:val="none" w:sz="0" w:space="0" w:color="auto"/>
        <w:right w:val="none" w:sz="0" w:space="0" w:color="auto"/>
      </w:divBdr>
    </w:div>
    <w:div w:id="1008362534">
      <w:bodyDiv w:val="1"/>
      <w:marLeft w:val="0"/>
      <w:marRight w:val="0"/>
      <w:marTop w:val="0"/>
      <w:marBottom w:val="0"/>
      <w:divBdr>
        <w:top w:val="none" w:sz="0" w:space="0" w:color="auto"/>
        <w:left w:val="none" w:sz="0" w:space="0" w:color="auto"/>
        <w:bottom w:val="none" w:sz="0" w:space="0" w:color="auto"/>
        <w:right w:val="none" w:sz="0" w:space="0" w:color="auto"/>
      </w:divBdr>
    </w:div>
    <w:div w:id="1196851141">
      <w:bodyDiv w:val="1"/>
      <w:marLeft w:val="0"/>
      <w:marRight w:val="0"/>
      <w:marTop w:val="0"/>
      <w:marBottom w:val="0"/>
      <w:divBdr>
        <w:top w:val="none" w:sz="0" w:space="0" w:color="auto"/>
        <w:left w:val="none" w:sz="0" w:space="0" w:color="auto"/>
        <w:bottom w:val="none" w:sz="0" w:space="0" w:color="auto"/>
        <w:right w:val="none" w:sz="0" w:space="0" w:color="auto"/>
      </w:divBdr>
    </w:div>
    <w:div w:id="1404834619">
      <w:bodyDiv w:val="1"/>
      <w:marLeft w:val="0"/>
      <w:marRight w:val="0"/>
      <w:marTop w:val="0"/>
      <w:marBottom w:val="0"/>
      <w:divBdr>
        <w:top w:val="none" w:sz="0" w:space="0" w:color="auto"/>
        <w:left w:val="none" w:sz="0" w:space="0" w:color="auto"/>
        <w:bottom w:val="none" w:sz="0" w:space="0" w:color="auto"/>
        <w:right w:val="none" w:sz="0" w:space="0" w:color="auto"/>
      </w:divBdr>
    </w:div>
    <w:div w:id="1472286581">
      <w:bodyDiv w:val="1"/>
      <w:marLeft w:val="0"/>
      <w:marRight w:val="0"/>
      <w:marTop w:val="0"/>
      <w:marBottom w:val="0"/>
      <w:divBdr>
        <w:top w:val="none" w:sz="0" w:space="0" w:color="auto"/>
        <w:left w:val="none" w:sz="0" w:space="0" w:color="auto"/>
        <w:bottom w:val="none" w:sz="0" w:space="0" w:color="auto"/>
        <w:right w:val="none" w:sz="0" w:space="0" w:color="auto"/>
      </w:divBdr>
    </w:div>
    <w:div w:id="1614363115">
      <w:bodyDiv w:val="1"/>
      <w:marLeft w:val="0"/>
      <w:marRight w:val="0"/>
      <w:marTop w:val="0"/>
      <w:marBottom w:val="0"/>
      <w:divBdr>
        <w:top w:val="none" w:sz="0" w:space="0" w:color="auto"/>
        <w:left w:val="none" w:sz="0" w:space="0" w:color="auto"/>
        <w:bottom w:val="none" w:sz="0" w:space="0" w:color="auto"/>
        <w:right w:val="none" w:sz="0" w:space="0" w:color="auto"/>
      </w:divBdr>
    </w:div>
    <w:div w:id="1757625828">
      <w:bodyDiv w:val="1"/>
      <w:marLeft w:val="0"/>
      <w:marRight w:val="0"/>
      <w:marTop w:val="0"/>
      <w:marBottom w:val="0"/>
      <w:divBdr>
        <w:top w:val="none" w:sz="0" w:space="0" w:color="auto"/>
        <w:left w:val="none" w:sz="0" w:space="0" w:color="auto"/>
        <w:bottom w:val="none" w:sz="0" w:space="0" w:color="auto"/>
        <w:right w:val="none" w:sz="0" w:space="0" w:color="auto"/>
      </w:divBdr>
    </w:div>
    <w:div w:id="2012490156">
      <w:bodyDiv w:val="1"/>
      <w:marLeft w:val="0"/>
      <w:marRight w:val="0"/>
      <w:marTop w:val="0"/>
      <w:marBottom w:val="0"/>
      <w:divBdr>
        <w:top w:val="none" w:sz="0" w:space="0" w:color="auto"/>
        <w:left w:val="none" w:sz="0" w:space="0" w:color="auto"/>
        <w:bottom w:val="none" w:sz="0" w:space="0" w:color="auto"/>
        <w:right w:val="none" w:sz="0" w:space="0" w:color="auto"/>
      </w:divBdr>
    </w:div>
    <w:div w:id="2110615298">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doi.org/10.1177/0047287513496475" TargetMode="External"/><Relationship Id="rId26" Type="http://schemas.openxmlformats.org/officeDocument/2006/relationships/hyperlink" Target="https://doi.org/10.3763/asre.2008.5114" TargetMode="External"/><Relationship Id="rId3" Type="http://schemas.openxmlformats.org/officeDocument/2006/relationships/customXml" Target="../customXml/item3.xml"/><Relationship Id="rId21" Type="http://schemas.openxmlformats.org/officeDocument/2006/relationships/hyperlink" Target="https://doi.org/10.1177/1094428112452151"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chart" Target="charts/chart2.xml"/><Relationship Id="rId17" Type="http://schemas.openxmlformats.org/officeDocument/2006/relationships/hyperlink" Target="https://doi.org/10.1080/17508975.2019.1599318" TargetMode="External"/><Relationship Id="rId25" Type="http://schemas.openxmlformats.org/officeDocument/2006/relationships/hyperlink" Target="https://doi.org/10.1038/s41572-020-0185-x"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doi.org/10.1016/0092-6566(74)90019-1" TargetMode="External"/><Relationship Id="rId20" Type="http://schemas.openxmlformats.org/officeDocument/2006/relationships/hyperlink" Target="https://doi.org/10.3390/ijerph18147353"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1.xml"/><Relationship Id="rId24" Type="http://schemas.openxmlformats.org/officeDocument/2006/relationships/hyperlink" Target="https://doi.org/10.3390/environments7080061" TargetMode="External"/><Relationship Id="rId32" Type="http://schemas.openxmlformats.org/officeDocument/2006/relationships/footer" Target="footer3.xml"/><Relationship Id="rId5" Type="http://schemas.openxmlformats.org/officeDocument/2006/relationships/styles" Target="styles.xml"/><Relationship Id="rId15" Type="http://schemas.openxmlformats.org/officeDocument/2006/relationships/hyperlink" Target="https://doi.org/10.2196/19361" TargetMode="External"/><Relationship Id="rId23" Type="http://schemas.openxmlformats.org/officeDocument/2006/relationships/hyperlink" Target="https://doi.org/10.1207/s15327663jcp0802_01" TargetMode="External"/><Relationship Id="rId28" Type="http://schemas.openxmlformats.org/officeDocument/2006/relationships/header" Target="header2.xml"/><Relationship Id="rId10" Type="http://schemas.openxmlformats.org/officeDocument/2006/relationships/hyperlink" Target="mailto:annemarie.eijkelenboom@egm.nl" TargetMode="External"/><Relationship Id="rId19" Type="http://schemas.openxmlformats.org/officeDocument/2006/relationships/hyperlink" Target="https://doi.org/10.1080/17508975.2019.1613218" TargetMode="External"/><Relationship Id="rId31"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jpeg"/><Relationship Id="rId22" Type="http://schemas.openxmlformats.org/officeDocument/2006/relationships/hyperlink" Target="https://doi.org/10.1371/journal.pone.0193878"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hyperlink" Target="https://doi.org/10.24404/6232471c68135cebc564ffe4"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file:///E:\ARCH22%20papers\excel%2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ARCH22%20papers\excel%201.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Sheet3!$C$23</c:f>
              <c:strCache>
                <c:ptCount val="1"/>
                <c:pt idx="0">
                  <c:v>Important</c:v>
                </c:pt>
              </c:strCache>
            </c:strRef>
          </c:tx>
          <c:spPr>
            <a:solidFill>
              <a:schemeClr val="bg2">
                <a:lumMod val="10000"/>
              </a:schemeClr>
            </a:solidFill>
            <a:ln>
              <a:solidFill>
                <a:sysClr val="windowText" lastClr="000000"/>
              </a:solidFill>
            </a:ln>
            <a:effectLst/>
          </c:spPr>
          <c:invertIfNegative val="0"/>
          <c:cat>
            <c:strRef>
              <c:f>Sheet3!$B$24:$B$37</c:f>
              <c:strCache>
                <c:ptCount val="14"/>
                <c:pt idx="0">
                  <c:v>Safe workplace </c:v>
                </c:pt>
                <c:pt idx="1">
                  <c:v>Size workplace</c:v>
                </c:pt>
                <c:pt idx="2">
                  <c:v>Size storage place</c:v>
                </c:pt>
                <c:pt idx="3">
                  <c:v>Short walking distances </c:v>
                </c:pt>
                <c:pt idx="4">
                  <c:v>Privacy self</c:v>
                </c:pt>
                <c:pt idx="5">
                  <c:v>Privacy patient</c:v>
                </c:pt>
                <c:pt idx="6">
                  <c:v>Not too crowded in building</c:v>
                </c:pt>
                <c:pt idx="7">
                  <c:v>Not too crowded at workplace </c:v>
                </c:pt>
                <c:pt idx="8">
                  <c:v>No visual distraction </c:v>
                </c:pt>
                <c:pt idx="9">
                  <c:v>No distraction by noise </c:v>
                </c:pt>
                <c:pt idx="10">
                  <c:v>Proximity colleagues</c:v>
                </c:pt>
                <c:pt idx="11">
                  <c:v>Contact with colleagues</c:v>
                </c:pt>
                <c:pt idx="12">
                  <c:v>Contact with patients</c:v>
                </c:pt>
                <c:pt idx="13">
                  <c:v>Contact with patients + colleagues</c:v>
                </c:pt>
              </c:strCache>
            </c:strRef>
          </c:cat>
          <c:val>
            <c:numRef>
              <c:f>Sheet3!$C$24:$C$37</c:f>
              <c:numCache>
                <c:formatCode>0.0%</c:formatCode>
                <c:ptCount val="14"/>
                <c:pt idx="0">
                  <c:v>0.51900000000000002</c:v>
                </c:pt>
                <c:pt idx="1">
                  <c:v>0.11899999999999999</c:v>
                </c:pt>
                <c:pt idx="2">
                  <c:v>1.2999999999999999E-2</c:v>
                </c:pt>
                <c:pt idx="3">
                  <c:v>5.3999999999999999E-2</c:v>
                </c:pt>
                <c:pt idx="4">
                  <c:v>0.2</c:v>
                </c:pt>
                <c:pt idx="5">
                  <c:v>0.41</c:v>
                </c:pt>
                <c:pt idx="6">
                  <c:v>1.7999999999999999E-2</c:v>
                </c:pt>
                <c:pt idx="7">
                  <c:v>0.22900000000000001</c:v>
                </c:pt>
                <c:pt idx="8">
                  <c:v>0.10199999999999999</c:v>
                </c:pt>
                <c:pt idx="9">
                  <c:v>0.26600000000000001</c:v>
                </c:pt>
                <c:pt idx="10">
                  <c:v>0.16600000000000001</c:v>
                </c:pt>
                <c:pt idx="11">
                  <c:v>0.24</c:v>
                </c:pt>
                <c:pt idx="12">
                  <c:v>0.13100000000000001</c:v>
                </c:pt>
                <c:pt idx="13">
                  <c:v>0.66700000000000004</c:v>
                </c:pt>
              </c:numCache>
            </c:numRef>
          </c:val>
          <c:extLst>
            <c:ext xmlns:c16="http://schemas.microsoft.com/office/drawing/2014/chart" uri="{C3380CC4-5D6E-409C-BE32-E72D297353CC}">
              <c16:uniqueId val="{00000000-4FF9-4837-8706-73199FE62336}"/>
            </c:ext>
          </c:extLst>
        </c:ser>
        <c:ser>
          <c:idx val="1"/>
          <c:order val="1"/>
          <c:tx>
            <c:strRef>
              <c:f>Sheet3!$D$23</c:f>
              <c:strCache>
                <c:ptCount val="1"/>
                <c:pt idx="0">
                  <c:v>Not important</c:v>
                </c:pt>
              </c:strCache>
            </c:strRef>
          </c:tx>
          <c:spPr>
            <a:solidFill>
              <a:schemeClr val="bg2"/>
            </a:solidFill>
            <a:ln>
              <a:solidFill>
                <a:schemeClr val="tx1"/>
              </a:solidFill>
            </a:ln>
            <a:effectLst/>
          </c:spPr>
          <c:invertIfNegative val="0"/>
          <c:cat>
            <c:strRef>
              <c:f>Sheet3!$B$24:$B$37</c:f>
              <c:strCache>
                <c:ptCount val="14"/>
                <c:pt idx="0">
                  <c:v>Safe workplace </c:v>
                </c:pt>
                <c:pt idx="1">
                  <c:v>Size workplace</c:v>
                </c:pt>
                <c:pt idx="2">
                  <c:v>Size storage place</c:v>
                </c:pt>
                <c:pt idx="3">
                  <c:v>Short walking distances </c:v>
                </c:pt>
                <c:pt idx="4">
                  <c:v>Privacy self</c:v>
                </c:pt>
                <c:pt idx="5">
                  <c:v>Privacy patient</c:v>
                </c:pt>
                <c:pt idx="6">
                  <c:v>Not too crowded in building</c:v>
                </c:pt>
                <c:pt idx="7">
                  <c:v>Not too crowded at workplace </c:v>
                </c:pt>
                <c:pt idx="8">
                  <c:v>No visual distraction </c:v>
                </c:pt>
                <c:pt idx="9">
                  <c:v>No distraction by noise </c:v>
                </c:pt>
                <c:pt idx="10">
                  <c:v>Proximity colleagues</c:v>
                </c:pt>
                <c:pt idx="11">
                  <c:v>Contact with colleagues</c:v>
                </c:pt>
                <c:pt idx="12">
                  <c:v>Contact with patients</c:v>
                </c:pt>
                <c:pt idx="13">
                  <c:v>Contact with patients + colleagues</c:v>
                </c:pt>
              </c:strCache>
            </c:strRef>
          </c:cat>
          <c:val>
            <c:numRef>
              <c:f>Sheet3!$D$24:$D$37</c:f>
              <c:numCache>
                <c:formatCode>0.0%</c:formatCode>
                <c:ptCount val="14"/>
                <c:pt idx="0">
                  <c:v>0.48099999999999998</c:v>
                </c:pt>
                <c:pt idx="1">
                  <c:v>0.88100000000000001</c:v>
                </c:pt>
                <c:pt idx="2">
                  <c:v>0.98699999999999999</c:v>
                </c:pt>
                <c:pt idx="3">
                  <c:v>0.94599999999999995</c:v>
                </c:pt>
                <c:pt idx="4">
                  <c:v>0.8</c:v>
                </c:pt>
                <c:pt idx="5">
                  <c:v>0.59</c:v>
                </c:pt>
                <c:pt idx="6">
                  <c:v>0.98199999999999998</c:v>
                </c:pt>
                <c:pt idx="7">
                  <c:v>0.77100000000000002</c:v>
                </c:pt>
                <c:pt idx="8">
                  <c:v>0.89800000000000002</c:v>
                </c:pt>
                <c:pt idx="9">
                  <c:v>0.73799999999999999</c:v>
                </c:pt>
                <c:pt idx="10">
                  <c:v>0.83399999999999996</c:v>
                </c:pt>
                <c:pt idx="11">
                  <c:v>0.76</c:v>
                </c:pt>
                <c:pt idx="12">
                  <c:v>0.86900000000000011</c:v>
                </c:pt>
                <c:pt idx="13">
                  <c:v>0.33299999999999996</c:v>
                </c:pt>
              </c:numCache>
            </c:numRef>
          </c:val>
          <c:extLst>
            <c:ext xmlns:c16="http://schemas.microsoft.com/office/drawing/2014/chart" uri="{C3380CC4-5D6E-409C-BE32-E72D297353CC}">
              <c16:uniqueId val="{00000001-4FF9-4837-8706-73199FE62336}"/>
            </c:ext>
          </c:extLst>
        </c:ser>
        <c:dLbls>
          <c:showLegendKey val="0"/>
          <c:showVal val="0"/>
          <c:showCatName val="0"/>
          <c:showSerName val="0"/>
          <c:showPercent val="0"/>
          <c:showBubbleSize val="0"/>
        </c:dLbls>
        <c:gapWidth val="150"/>
        <c:overlap val="100"/>
        <c:axId val="320618320"/>
        <c:axId val="320619632"/>
      </c:barChart>
      <c:catAx>
        <c:axId val="3206183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20619632"/>
        <c:crosses val="autoZero"/>
        <c:auto val="1"/>
        <c:lblAlgn val="ctr"/>
        <c:lblOffset val="100"/>
        <c:noMultiLvlLbl val="0"/>
      </c:catAx>
      <c:valAx>
        <c:axId val="320619632"/>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20618320"/>
        <c:crosses val="autoZero"/>
        <c:crossBetween val="between"/>
        <c:majorUnit val="0.2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027716223049603"/>
          <c:y val="1.0835424418101595E-3"/>
          <c:w val="0.78197159607329925"/>
          <c:h val="0.89150579358631166"/>
        </c:manualLayout>
      </c:layout>
      <c:barChart>
        <c:barDir val="bar"/>
        <c:grouping val="clustered"/>
        <c:varyColors val="0"/>
        <c:ser>
          <c:idx val="0"/>
          <c:order val="0"/>
          <c:tx>
            <c:strRef>
              <c:f>Sheet3!$C$40:$C$41</c:f>
              <c:strCache>
                <c:ptCount val="2"/>
                <c:pt idx="0">
                  <c:v>SC3</c:v>
                </c:pt>
                <c:pt idx="1">
                  <c:v>Dissatisfaction</c:v>
                </c:pt>
              </c:strCache>
            </c:strRef>
          </c:tx>
          <c:spPr>
            <a:solidFill>
              <a:schemeClr val="accent2">
                <a:lumMod val="40000"/>
                <a:lumOff val="60000"/>
              </a:schemeClr>
            </a:solidFill>
            <a:ln>
              <a:noFill/>
            </a:ln>
            <a:effectLst/>
          </c:spPr>
          <c:invertIfNegative val="0"/>
          <c:cat>
            <c:strRef>
              <c:f>Sheet3!$B$42:$B$58</c:f>
              <c:strCache>
                <c:ptCount val="17"/>
                <c:pt idx="0">
                  <c:v>Safe workplace </c:v>
                </c:pt>
                <c:pt idx="1">
                  <c:v>Size workplace</c:v>
                </c:pt>
                <c:pt idx="2">
                  <c:v>Size storage place</c:v>
                </c:pt>
                <c:pt idx="3">
                  <c:v>Short walking distances </c:v>
                </c:pt>
                <c:pt idx="4">
                  <c:v>SENSE OF SPACE</c:v>
                </c:pt>
                <c:pt idx="5">
                  <c:v>Privacy self</c:v>
                </c:pt>
                <c:pt idx="6">
                  <c:v>Privacy patient</c:v>
                </c:pt>
                <c:pt idx="7">
                  <c:v>Not too crowded in building</c:v>
                </c:pt>
                <c:pt idx="8">
                  <c:v>Not too crowded at workplace </c:v>
                </c:pt>
                <c:pt idx="9">
                  <c:v>No visual distraction </c:v>
                </c:pt>
                <c:pt idx="10">
                  <c:v>No distraction by noise </c:v>
                </c:pt>
                <c:pt idx="11">
                  <c:v>DISTURBANCE</c:v>
                </c:pt>
                <c:pt idx="12">
                  <c:v>Proximity colleagues</c:v>
                </c:pt>
                <c:pt idx="13">
                  <c:v>Contact with colleagues</c:v>
                </c:pt>
                <c:pt idx="14">
                  <c:v>Contact with patients</c:v>
                </c:pt>
                <c:pt idx="15">
                  <c:v>Contact with patients + colleagues</c:v>
                </c:pt>
                <c:pt idx="16">
                  <c:v>INTERACTION</c:v>
                </c:pt>
              </c:strCache>
            </c:strRef>
          </c:cat>
          <c:val>
            <c:numRef>
              <c:f>Sheet3!$C$42:$C$58</c:f>
              <c:numCache>
                <c:formatCode>0.0%</c:formatCode>
                <c:ptCount val="17"/>
                <c:pt idx="0">
                  <c:v>9.7000000000000003E-2</c:v>
                </c:pt>
                <c:pt idx="1">
                  <c:v>0.216</c:v>
                </c:pt>
                <c:pt idx="2">
                  <c:v>0.309</c:v>
                </c:pt>
                <c:pt idx="3">
                  <c:v>0.222</c:v>
                </c:pt>
                <c:pt idx="5">
                  <c:v>0.307</c:v>
                </c:pt>
                <c:pt idx="7">
                  <c:v>0.188</c:v>
                </c:pt>
                <c:pt idx="8">
                  <c:v>0.28999999999999998</c:v>
                </c:pt>
                <c:pt idx="9">
                  <c:v>0.27800000000000002</c:v>
                </c:pt>
                <c:pt idx="10">
                  <c:v>0.34100000000000003</c:v>
                </c:pt>
                <c:pt idx="12">
                  <c:v>6.3E-2</c:v>
                </c:pt>
                <c:pt idx="13">
                  <c:v>2.8000000000000001E-2</c:v>
                </c:pt>
                <c:pt idx="14">
                  <c:v>2.8000000000000001E-2</c:v>
                </c:pt>
                <c:pt idx="15">
                  <c:v>2.8000000000000001E-2</c:v>
                </c:pt>
              </c:numCache>
            </c:numRef>
          </c:val>
          <c:extLst>
            <c:ext xmlns:c16="http://schemas.microsoft.com/office/drawing/2014/chart" uri="{C3380CC4-5D6E-409C-BE32-E72D297353CC}">
              <c16:uniqueId val="{00000000-7D80-4677-AA34-B0D15828ED1D}"/>
            </c:ext>
          </c:extLst>
        </c:ser>
        <c:ser>
          <c:idx val="1"/>
          <c:order val="1"/>
          <c:tx>
            <c:strRef>
              <c:f>Sheet3!$D$40:$D$41</c:f>
              <c:strCache>
                <c:ptCount val="2"/>
                <c:pt idx="0">
                  <c:v>SC2</c:v>
                </c:pt>
                <c:pt idx="1">
                  <c:v>Dissatisfaction</c:v>
                </c:pt>
              </c:strCache>
            </c:strRef>
          </c:tx>
          <c:spPr>
            <a:solidFill>
              <a:schemeClr val="accent1">
                <a:lumMod val="40000"/>
                <a:lumOff val="60000"/>
              </a:schemeClr>
            </a:solidFill>
            <a:ln>
              <a:noFill/>
            </a:ln>
            <a:effectLst/>
          </c:spPr>
          <c:invertIfNegative val="0"/>
          <c:cat>
            <c:strRef>
              <c:f>Sheet3!$B$42:$B$58</c:f>
              <c:strCache>
                <c:ptCount val="17"/>
                <c:pt idx="0">
                  <c:v>Safe workplace </c:v>
                </c:pt>
                <c:pt idx="1">
                  <c:v>Size workplace</c:v>
                </c:pt>
                <c:pt idx="2">
                  <c:v>Size storage place</c:v>
                </c:pt>
                <c:pt idx="3">
                  <c:v>Short walking distances </c:v>
                </c:pt>
                <c:pt idx="4">
                  <c:v>SENSE OF SPACE</c:v>
                </c:pt>
                <c:pt idx="5">
                  <c:v>Privacy self</c:v>
                </c:pt>
                <c:pt idx="6">
                  <c:v>Privacy patient</c:v>
                </c:pt>
                <c:pt idx="7">
                  <c:v>Not too crowded in building</c:v>
                </c:pt>
                <c:pt idx="8">
                  <c:v>Not too crowded at workplace </c:v>
                </c:pt>
                <c:pt idx="9">
                  <c:v>No visual distraction </c:v>
                </c:pt>
                <c:pt idx="10">
                  <c:v>No distraction by noise </c:v>
                </c:pt>
                <c:pt idx="11">
                  <c:v>DISTURBANCE</c:v>
                </c:pt>
                <c:pt idx="12">
                  <c:v>Proximity colleagues</c:v>
                </c:pt>
                <c:pt idx="13">
                  <c:v>Contact with colleagues</c:v>
                </c:pt>
                <c:pt idx="14">
                  <c:v>Contact with patients</c:v>
                </c:pt>
                <c:pt idx="15">
                  <c:v>Contact with patients + colleagues</c:v>
                </c:pt>
                <c:pt idx="16">
                  <c:v>INTERACTION</c:v>
                </c:pt>
              </c:strCache>
            </c:strRef>
          </c:cat>
          <c:val>
            <c:numRef>
              <c:f>Sheet3!$D$42:$D$58</c:f>
              <c:numCache>
                <c:formatCode>0.0%</c:formatCode>
                <c:ptCount val="17"/>
                <c:pt idx="0">
                  <c:v>9.0999999999999998E-2</c:v>
                </c:pt>
                <c:pt idx="1">
                  <c:v>0.26800000000000002</c:v>
                </c:pt>
                <c:pt idx="2">
                  <c:v>0.29399999999999998</c:v>
                </c:pt>
                <c:pt idx="3">
                  <c:v>0.25800000000000001</c:v>
                </c:pt>
                <c:pt idx="5">
                  <c:v>0.35399999999999998</c:v>
                </c:pt>
                <c:pt idx="7">
                  <c:v>0.17699999999999999</c:v>
                </c:pt>
                <c:pt idx="8">
                  <c:v>0.28299999999999997</c:v>
                </c:pt>
                <c:pt idx="9">
                  <c:v>0.27300000000000002</c:v>
                </c:pt>
                <c:pt idx="10">
                  <c:v>0.26800000000000002</c:v>
                </c:pt>
                <c:pt idx="12">
                  <c:v>9.6000000000000002E-2</c:v>
                </c:pt>
                <c:pt idx="13">
                  <c:v>7.0999999999999994E-2</c:v>
                </c:pt>
                <c:pt idx="14">
                  <c:v>7.0999999999999994E-2</c:v>
                </c:pt>
                <c:pt idx="15">
                  <c:v>7.0999999999999994E-2</c:v>
                </c:pt>
              </c:numCache>
            </c:numRef>
          </c:val>
          <c:extLst>
            <c:ext xmlns:c16="http://schemas.microsoft.com/office/drawing/2014/chart" uri="{C3380CC4-5D6E-409C-BE32-E72D297353CC}">
              <c16:uniqueId val="{00000001-7D80-4677-AA34-B0D15828ED1D}"/>
            </c:ext>
          </c:extLst>
        </c:ser>
        <c:ser>
          <c:idx val="2"/>
          <c:order val="2"/>
          <c:tx>
            <c:strRef>
              <c:f>Sheet3!$E$40:$E$41</c:f>
              <c:strCache>
                <c:ptCount val="2"/>
                <c:pt idx="0">
                  <c:v>SC1</c:v>
                </c:pt>
                <c:pt idx="1">
                  <c:v>Dissatisfaction</c:v>
                </c:pt>
              </c:strCache>
            </c:strRef>
          </c:tx>
          <c:spPr>
            <a:solidFill>
              <a:schemeClr val="accent6">
                <a:lumMod val="40000"/>
                <a:lumOff val="60000"/>
              </a:schemeClr>
            </a:solidFill>
            <a:ln>
              <a:noFill/>
            </a:ln>
            <a:effectLst/>
          </c:spPr>
          <c:invertIfNegative val="0"/>
          <c:cat>
            <c:strRef>
              <c:f>Sheet3!$B$42:$B$58</c:f>
              <c:strCache>
                <c:ptCount val="17"/>
                <c:pt idx="0">
                  <c:v>Safe workplace </c:v>
                </c:pt>
                <c:pt idx="1">
                  <c:v>Size workplace</c:v>
                </c:pt>
                <c:pt idx="2">
                  <c:v>Size storage place</c:v>
                </c:pt>
                <c:pt idx="3">
                  <c:v>Short walking distances </c:v>
                </c:pt>
                <c:pt idx="4">
                  <c:v>SENSE OF SPACE</c:v>
                </c:pt>
                <c:pt idx="5">
                  <c:v>Privacy self</c:v>
                </c:pt>
                <c:pt idx="6">
                  <c:v>Privacy patient</c:v>
                </c:pt>
                <c:pt idx="7">
                  <c:v>Not too crowded in building</c:v>
                </c:pt>
                <c:pt idx="8">
                  <c:v>Not too crowded at workplace </c:v>
                </c:pt>
                <c:pt idx="9">
                  <c:v>No visual distraction </c:v>
                </c:pt>
                <c:pt idx="10">
                  <c:v>No distraction by noise </c:v>
                </c:pt>
                <c:pt idx="11">
                  <c:v>DISTURBANCE</c:v>
                </c:pt>
                <c:pt idx="12">
                  <c:v>Proximity colleagues</c:v>
                </c:pt>
                <c:pt idx="13">
                  <c:v>Contact with colleagues</c:v>
                </c:pt>
                <c:pt idx="14">
                  <c:v>Contact with patients</c:v>
                </c:pt>
                <c:pt idx="15">
                  <c:v>Contact with patients + colleagues</c:v>
                </c:pt>
                <c:pt idx="16">
                  <c:v>INTERACTION</c:v>
                </c:pt>
              </c:strCache>
            </c:strRef>
          </c:cat>
          <c:val>
            <c:numRef>
              <c:f>Sheet3!$E$42:$E$58</c:f>
              <c:numCache>
                <c:formatCode>0.0%</c:formatCode>
                <c:ptCount val="17"/>
                <c:pt idx="0">
                  <c:v>9.0999999999999998E-2</c:v>
                </c:pt>
                <c:pt idx="1">
                  <c:v>0.315</c:v>
                </c:pt>
                <c:pt idx="2">
                  <c:v>0.33299999999999996</c:v>
                </c:pt>
                <c:pt idx="3">
                  <c:v>0.152</c:v>
                </c:pt>
                <c:pt idx="5">
                  <c:v>0.42399999999999999</c:v>
                </c:pt>
                <c:pt idx="7">
                  <c:v>0.23600000000000002</c:v>
                </c:pt>
                <c:pt idx="8">
                  <c:v>0.40600000000000003</c:v>
                </c:pt>
                <c:pt idx="9">
                  <c:v>0.41799999999999998</c:v>
                </c:pt>
                <c:pt idx="10">
                  <c:v>0.49099999999999999</c:v>
                </c:pt>
                <c:pt idx="12">
                  <c:v>0.11599999999999999</c:v>
                </c:pt>
                <c:pt idx="13">
                  <c:v>0.109</c:v>
                </c:pt>
                <c:pt idx="14">
                  <c:v>0.109</c:v>
                </c:pt>
                <c:pt idx="15">
                  <c:v>0.109</c:v>
                </c:pt>
              </c:numCache>
            </c:numRef>
          </c:val>
          <c:extLst>
            <c:ext xmlns:c16="http://schemas.microsoft.com/office/drawing/2014/chart" uri="{C3380CC4-5D6E-409C-BE32-E72D297353CC}">
              <c16:uniqueId val="{00000002-7D80-4677-AA34-B0D15828ED1D}"/>
            </c:ext>
          </c:extLst>
        </c:ser>
        <c:ser>
          <c:idx val="3"/>
          <c:order val="3"/>
          <c:tx>
            <c:strRef>
              <c:f>Sheet3!$F$40:$F$41</c:f>
              <c:strCache>
                <c:ptCount val="2"/>
                <c:pt idx="0">
                  <c:v>SC3</c:v>
                </c:pt>
                <c:pt idx="1">
                  <c:v>Preferences</c:v>
                </c:pt>
              </c:strCache>
            </c:strRef>
          </c:tx>
          <c:spPr>
            <a:solidFill>
              <a:schemeClr val="accent2"/>
            </a:solidFill>
            <a:ln>
              <a:noFill/>
            </a:ln>
            <a:effectLst/>
          </c:spPr>
          <c:invertIfNegative val="0"/>
          <c:cat>
            <c:strRef>
              <c:f>Sheet3!$B$42:$B$58</c:f>
              <c:strCache>
                <c:ptCount val="17"/>
                <c:pt idx="0">
                  <c:v>Safe workplace </c:v>
                </c:pt>
                <c:pt idx="1">
                  <c:v>Size workplace</c:v>
                </c:pt>
                <c:pt idx="2">
                  <c:v>Size storage place</c:v>
                </c:pt>
                <c:pt idx="3">
                  <c:v>Short walking distances </c:v>
                </c:pt>
                <c:pt idx="4">
                  <c:v>SENSE OF SPACE</c:v>
                </c:pt>
                <c:pt idx="5">
                  <c:v>Privacy self</c:v>
                </c:pt>
                <c:pt idx="6">
                  <c:v>Privacy patient</c:v>
                </c:pt>
                <c:pt idx="7">
                  <c:v>Not too crowded in building</c:v>
                </c:pt>
                <c:pt idx="8">
                  <c:v>Not too crowded at workplace </c:v>
                </c:pt>
                <c:pt idx="9">
                  <c:v>No visual distraction </c:v>
                </c:pt>
                <c:pt idx="10">
                  <c:v>No distraction by noise </c:v>
                </c:pt>
                <c:pt idx="11">
                  <c:v>DISTURBANCE</c:v>
                </c:pt>
                <c:pt idx="12">
                  <c:v>Proximity colleagues</c:v>
                </c:pt>
                <c:pt idx="13">
                  <c:v>Contact with colleagues</c:v>
                </c:pt>
                <c:pt idx="14">
                  <c:v>Contact with patients</c:v>
                </c:pt>
                <c:pt idx="15">
                  <c:v>Contact with patients + colleagues</c:v>
                </c:pt>
                <c:pt idx="16">
                  <c:v>INTERACTION</c:v>
                </c:pt>
              </c:strCache>
            </c:strRef>
          </c:cat>
          <c:val>
            <c:numRef>
              <c:f>Sheet3!$F$42:$F$58</c:f>
              <c:numCache>
                <c:formatCode>0.0%</c:formatCode>
                <c:ptCount val="17"/>
                <c:pt idx="0">
                  <c:v>1</c:v>
                </c:pt>
                <c:pt idx="1">
                  <c:v>0.109</c:v>
                </c:pt>
                <c:pt idx="2">
                  <c:v>6.0000000000000001E-3</c:v>
                </c:pt>
                <c:pt idx="3">
                  <c:v>5.0999999999999997E-2</c:v>
                </c:pt>
                <c:pt idx="5">
                  <c:v>0.216</c:v>
                </c:pt>
                <c:pt idx="6">
                  <c:v>0</c:v>
                </c:pt>
                <c:pt idx="7">
                  <c:v>2.8000000000000001E-2</c:v>
                </c:pt>
                <c:pt idx="8">
                  <c:v>0.193</c:v>
                </c:pt>
                <c:pt idx="9">
                  <c:v>5.7000000000000002E-2</c:v>
                </c:pt>
                <c:pt idx="10">
                  <c:v>0.24399999999999999</c:v>
                </c:pt>
                <c:pt idx="12">
                  <c:v>0.17599999999999999</c:v>
                </c:pt>
                <c:pt idx="13">
                  <c:v>0.25</c:v>
                </c:pt>
                <c:pt idx="14">
                  <c:v>0.125</c:v>
                </c:pt>
                <c:pt idx="15">
                  <c:v>0.65900000000000003</c:v>
                </c:pt>
              </c:numCache>
            </c:numRef>
          </c:val>
          <c:extLst>
            <c:ext xmlns:c16="http://schemas.microsoft.com/office/drawing/2014/chart" uri="{C3380CC4-5D6E-409C-BE32-E72D297353CC}">
              <c16:uniqueId val="{00000003-7D80-4677-AA34-B0D15828ED1D}"/>
            </c:ext>
          </c:extLst>
        </c:ser>
        <c:ser>
          <c:idx val="4"/>
          <c:order val="4"/>
          <c:tx>
            <c:strRef>
              <c:f>Sheet3!$G$40:$G$41</c:f>
              <c:strCache>
                <c:ptCount val="2"/>
                <c:pt idx="0">
                  <c:v>SC2</c:v>
                </c:pt>
                <c:pt idx="1">
                  <c:v>Preferences</c:v>
                </c:pt>
              </c:strCache>
            </c:strRef>
          </c:tx>
          <c:spPr>
            <a:solidFill>
              <a:schemeClr val="accent1"/>
            </a:solidFill>
            <a:ln>
              <a:noFill/>
            </a:ln>
            <a:effectLst/>
          </c:spPr>
          <c:invertIfNegative val="0"/>
          <c:cat>
            <c:strRef>
              <c:f>Sheet3!$B$42:$B$58</c:f>
              <c:strCache>
                <c:ptCount val="17"/>
                <c:pt idx="0">
                  <c:v>Safe workplace </c:v>
                </c:pt>
                <c:pt idx="1">
                  <c:v>Size workplace</c:v>
                </c:pt>
                <c:pt idx="2">
                  <c:v>Size storage place</c:v>
                </c:pt>
                <c:pt idx="3">
                  <c:v>Short walking distances </c:v>
                </c:pt>
                <c:pt idx="4">
                  <c:v>SENSE OF SPACE</c:v>
                </c:pt>
                <c:pt idx="5">
                  <c:v>Privacy self</c:v>
                </c:pt>
                <c:pt idx="6">
                  <c:v>Privacy patient</c:v>
                </c:pt>
                <c:pt idx="7">
                  <c:v>Not too crowded in building</c:v>
                </c:pt>
                <c:pt idx="8">
                  <c:v>Not too crowded at workplace </c:v>
                </c:pt>
                <c:pt idx="9">
                  <c:v>No visual distraction </c:v>
                </c:pt>
                <c:pt idx="10">
                  <c:v>No distraction by noise </c:v>
                </c:pt>
                <c:pt idx="11">
                  <c:v>DISTURBANCE</c:v>
                </c:pt>
                <c:pt idx="12">
                  <c:v>Proximity colleagues</c:v>
                </c:pt>
                <c:pt idx="13">
                  <c:v>Contact with colleagues</c:v>
                </c:pt>
                <c:pt idx="14">
                  <c:v>Contact with patients</c:v>
                </c:pt>
                <c:pt idx="15">
                  <c:v>Contact with patients + colleagues</c:v>
                </c:pt>
                <c:pt idx="16">
                  <c:v>INTERACTION</c:v>
                </c:pt>
              </c:strCache>
            </c:strRef>
          </c:cat>
          <c:val>
            <c:numRef>
              <c:f>Sheet3!$G$42:$G$58</c:f>
              <c:numCache>
                <c:formatCode>0.0%</c:formatCode>
                <c:ptCount val="17"/>
                <c:pt idx="0">
                  <c:v>0.52500000000000002</c:v>
                </c:pt>
                <c:pt idx="1">
                  <c:v>0.122</c:v>
                </c:pt>
                <c:pt idx="2">
                  <c:v>0.01</c:v>
                </c:pt>
                <c:pt idx="3">
                  <c:v>4.4999999999999998E-2</c:v>
                </c:pt>
                <c:pt idx="5">
                  <c:v>0.14599999999999999</c:v>
                </c:pt>
                <c:pt idx="6">
                  <c:v>1</c:v>
                </c:pt>
                <c:pt idx="7">
                  <c:v>5.0000000000000001E-3</c:v>
                </c:pt>
                <c:pt idx="8">
                  <c:v>0.13100000000000001</c:v>
                </c:pt>
                <c:pt idx="9">
                  <c:v>6.6000000000000003E-2</c:v>
                </c:pt>
                <c:pt idx="10">
                  <c:v>0</c:v>
                </c:pt>
                <c:pt idx="12">
                  <c:v>7.0999999999999994E-2</c:v>
                </c:pt>
                <c:pt idx="13">
                  <c:v>0.14099999999999999</c:v>
                </c:pt>
                <c:pt idx="14">
                  <c:v>0.106</c:v>
                </c:pt>
                <c:pt idx="15">
                  <c:v>0.76300000000000001</c:v>
                </c:pt>
              </c:numCache>
            </c:numRef>
          </c:val>
          <c:extLst>
            <c:ext xmlns:c16="http://schemas.microsoft.com/office/drawing/2014/chart" uri="{C3380CC4-5D6E-409C-BE32-E72D297353CC}">
              <c16:uniqueId val="{00000004-7D80-4677-AA34-B0D15828ED1D}"/>
            </c:ext>
          </c:extLst>
        </c:ser>
        <c:ser>
          <c:idx val="5"/>
          <c:order val="5"/>
          <c:tx>
            <c:strRef>
              <c:f>Sheet3!$H$40:$H$41</c:f>
              <c:strCache>
                <c:ptCount val="2"/>
                <c:pt idx="0">
                  <c:v>SC1</c:v>
                </c:pt>
                <c:pt idx="1">
                  <c:v>Preferences</c:v>
                </c:pt>
              </c:strCache>
            </c:strRef>
          </c:tx>
          <c:spPr>
            <a:solidFill>
              <a:schemeClr val="accent6"/>
            </a:solidFill>
            <a:ln>
              <a:noFill/>
            </a:ln>
            <a:effectLst/>
          </c:spPr>
          <c:invertIfNegative val="0"/>
          <c:cat>
            <c:strRef>
              <c:f>Sheet3!$B$42:$B$58</c:f>
              <c:strCache>
                <c:ptCount val="17"/>
                <c:pt idx="0">
                  <c:v>Safe workplace </c:v>
                </c:pt>
                <c:pt idx="1">
                  <c:v>Size workplace</c:v>
                </c:pt>
                <c:pt idx="2">
                  <c:v>Size storage place</c:v>
                </c:pt>
                <c:pt idx="3">
                  <c:v>Short walking distances </c:v>
                </c:pt>
                <c:pt idx="4">
                  <c:v>SENSE OF SPACE</c:v>
                </c:pt>
                <c:pt idx="5">
                  <c:v>Privacy self</c:v>
                </c:pt>
                <c:pt idx="6">
                  <c:v>Privacy patient</c:v>
                </c:pt>
                <c:pt idx="7">
                  <c:v>Not too crowded in building</c:v>
                </c:pt>
                <c:pt idx="8">
                  <c:v>Not too crowded at workplace </c:v>
                </c:pt>
                <c:pt idx="9">
                  <c:v>No visual distraction </c:v>
                </c:pt>
                <c:pt idx="10">
                  <c:v>No distraction by noise </c:v>
                </c:pt>
                <c:pt idx="11">
                  <c:v>DISTURBANCE</c:v>
                </c:pt>
                <c:pt idx="12">
                  <c:v>Proximity colleagues</c:v>
                </c:pt>
                <c:pt idx="13">
                  <c:v>Contact with colleagues</c:v>
                </c:pt>
                <c:pt idx="14">
                  <c:v>Contact with patients</c:v>
                </c:pt>
                <c:pt idx="15">
                  <c:v>Contact with patients + colleagues</c:v>
                </c:pt>
                <c:pt idx="16">
                  <c:v>INTERACTION</c:v>
                </c:pt>
              </c:strCache>
            </c:strRef>
          </c:cat>
          <c:val>
            <c:numRef>
              <c:f>Sheet3!$H$42:$H$58</c:f>
              <c:numCache>
                <c:formatCode>0.0%</c:formatCode>
                <c:ptCount val="17"/>
                <c:pt idx="0">
                  <c:v>6.0000000000000001E-3</c:v>
                </c:pt>
                <c:pt idx="1">
                  <c:v>0.11799999999999999</c:v>
                </c:pt>
                <c:pt idx="2">
                  <c:v>2.5000000000000001E-2</c:v>
                </c:pt>
                <c:pt idx="3">
                  <c:v>6.7000000000000004E-2</c:v>
                </c:pt>
                <c:pt idx="5">
                  <c:v>0.24199999999999999</c:v>
                </c:pt>
                <c:pt idx="6">
                  <c:v>0.14499999999999999</c:v>
                </c:pt>
                <c:pt idx="7">
                  <c:v>1.7999999999999999E-2</c:v>
                </c:pt>
                <c:pt idx="8">
                  <c:v>0.38800000000000001</c:v>
                </c:pt>
                <c:pt idx="9">
                  <c:v>0.188</c:v>
                </c:pt>
                <c:pt idx="10">
                  <c:v>0.58499999999999996</c:v>
                </c:pt>
                <c:pt idx="12">
                  <c:v>0.27300000000000002</c:v>
                </c:pt>
                <c:pt idx="13">
                  <c:v>0.35199999999999998</c:v>
                </c:pt>
                <c:pt idx="14">
                  <c:v>0.17</c:v>
                </c:pt>
                <c:pt idx="15">
                  <c:v>0.56399999999999995</c:v>
                </c:pt>
              </c:numCache>
            </c:numRef>
          </c:val>
          <c:extLst>
            <c:ext xmlns:c16="http://schemas.microsoft.com/office/drawing/2014/chart" uri="{C3380CC4-5D6E-409C-BE32-E72D297353CC}">
              <c16:uniqueId val="{00000005-7D80-4677-AA34-B0D15828ED1D}"/>
            </c:ext>
          </c:extLst>
        </c:ser>
        <c:dLbls>
          <c:showLegendKey val="0"/>
          <c:showVal val="0"/>
          <c:showCatName val="0"/>
          <c:showSerName val="0"/>
          <c:showPercent val="0"/>
          <c:showBubbleSize val="0"/>
        </c:dLbls>
        <c:gapWidth val="182"/>
        <c:axId val="780063536"/>
        <c:axId val="780056648"/>
      </c:barChart>
      <c:catAx>
        <c:axId val="7800635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780056648"/>
        <c:crosses val="autoZero"/>
        <c:auto val="1"/>
        <c:lblAlgn val="ctr"/>
        <c:lblOffset val="100"/>
        <c:noMultiLvlLbl val="0"/>
      </c:catAx>
      <c:valAx>
        <c:axId val="78005664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780063536"/>
        <c:crosses val="autoZero"/>
        <c:crossBetween val="between"/>
        <c:majorUnit val="0.25"/>
      </c:valAx>
      <c:spPr>
        <a:noFill/>
        <a:ln>
          <a:noFill/>
        </a:ln>
        <a:effectLst/>
      </c:spPr>
    </c:plotArea>
    <c:legend>
      <c:legendPos val="r"/>
      <c:layout>
        <c:manualLayout>
          <c:xMode val="edge"/>
          <c:yMode val="edge"/>
          <c:x val="0.78763205856521323"/>
          <c:y val="7.9459418534221699E-2"/>
          <c:w val="0.18497042801951494"/>
          <c:h val="0.4589571255516137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84C2501C5511143A45D420BFCE92AD9" ma:contentTypeVersion="4" ma:contentTypeDescription="Create a new document." ma:contentTypeScope="" ma:versionID="2c8f3bf137d826df336a9e1d7abbadf2">
  <xsd:schema xmlns:xsd="http://www.w3.org/2001/XMLSchema" xmlns:xs="http://www.w3.org/2001/XMLSchema" xmlns:p="http://schemas.microsoft.com/office/2006/metadata/properties" xmlns:ns2="67c15d2d-f8be-4a85-8e2d-170f51619020" targetNamespace="http://schemas.microsoft.com/office/2006/metadata/properties" ma:root="true" ma:fieldsID="80b2c922e76f2fd5bb540473be454357" ns2:_="">
    <xsd:import namespace="67c15d2d-f8be-4a85-8e2d-170f5161902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c15d2d-f8be-4a85-8e2d-170f516190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C5F670-91B3-435B-85FB-A74385C13E3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4C7EAA1-11D4-476F-866D-96D4212BBD1A}">
  <ds:schemaRefs>
    <ds:schemaRef ds:uri="http://schemas.microsoft.com/sharepoint/v3/contenttype/forms"/>
  </ds:schemaRefs>
</ds:datastoreItem>
</file>

<file path=customXml/itemProps3.xml><?xml version="1.0" encoding="utf-8"?>
<ds:datastoreItem xmlns:ds="http://schemas.openxmlformats.org/officeDocument/2006/customXml" ds:itemID="{9CA7B494-9513-4C9C-AAC7-16984925DE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c15d2d-f8be-4a85-8e2d-170f516190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4629</Words>
  <Characters>25462</Characters>
  <Application>Microsoft Office Word</Application>
  <DocSecurity>0</DocSecurity>
  <Lines>212</Lines>
  <Paragraphs>60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30031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Qu</dc:creator>
  <cp:keywords/>
  <dc:description/>
  <cp:lastModifiedBy>Joke Dales</cp:lastModifiedBy>
  <cp:revision>2</cp:revision>
  <cp:lastPrinted>2022-07-14T10:45:00Z</cp:lastPrinted>
  <dcterms:created xsi:type="dcterms:W3CDTF">2024-03-19T12:54:00Z</dcterms:created>
  <dcterms:modified xsi:type="dcterms:W3CDTF">2024-03-19T12:54:00Z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0x010100884C2501C5511143A45D420BFCE92AD9</vt:lpwstr>
  </property>
</Properties>
</file>