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F03E" w14:textId="77777777" w:rsidR="00582B2F" w:rsidRPr="00582B2F" w:rsidRDefault="00582B2F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rPr>
          <w:rFonts w:ascii="Times New Roman" w:eastAsia="Times New Roman" w:hAnsi="Times New Roman" w:cs="Times New Roman"/>
          <w:b/>
          <w:bCs/>
        </w:rPr>
      </w:pPr>
    </w:p>
    <w:p w14:paraId="4B7D10F1" w14:textId="2AB391F1" w:rsidR="445693D4" w:rsidRDefault="00653187" w:rsidP="00D105FE">
      <w:pPr>
        <w:widowControl w:val="0"/>
        <w:tabs>
          <w:tab w:val="left" w:pos="1914"/>
        </w:tabs>
        <w:spacing w:line="360" w:lineRule="auto"/>
        <w:ind w:right="-6" w:firstLine="851"/>
        <w:jc w:val="center"/>
        <w:rPr>
          <w:rFonts w:ascii="Times New Roman" w:eastAsia="Times New Roman" w:hAnsi="Times New Roman" w:cs="Times New Roman"/>
          <w:b/>
          <w:bCs/>
        </w:rPr>
      </w:pPr>
      <w:r w:rsidRPr="00653187">
        <w:rPr>
          <w:rFonts w:ascii="Times New Roman" w:eastAsia="Times New Roman" w:hAnsi="Times New Roman" w:cs="Times New Roman"/>
          <w:b/>
          <w:bCs/>
        </w:rPr>
        <w:t>OS RISCOS E BENEFÍCIOS DE ANTIDIABÉTICOS INIBIDORES DA SGLT-2 PARA O TRATAMENTO DA OBESIDADE</w:t>
      </w:r>
    </w:p>
    <w:p w14:paraId="23254152" w14:textId="77777777" w:rsidR="00582B2F" w:rsidRPr="00582B2F" w:rsidRDefault="00582B2F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6747AF64" w14:textId="77777777" w:rsidR="00582B2F" w:rsidRPr="00582B2F" w:rsidRDefault="00582B2F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center"/>
        <w:rPr>
          <w:rFonts w:ascii="Times New Roman" w:eastAsia="Times New Roman" w:hAnsi="Times New Roman" w:cs="Times New Roman"/>
          <w:b/>
          <w:bCs/>
        </w:rPr>
      </w:pPr>
    </w:p>
    <w:p w14:paraId="44208FE8" w14:textId="1ECF7FFB" w:rsidR="00582B2F" w:rsidRPr="00582B2F" w:rsidRDefault="00173AA7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Joaquim Pereira Brasil Neto </w:t>
      </w:r>
      <w:r w:rsidR="00582B2F" w:rsidRPr="00582B2F"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14:paraId="303D856F" w14:textId="3F2406BA" w:rsidR="00582B2F" w:rsidRPr="00653187" w:rsidRDefault="00653187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right"/>
        <w:rPr>
          <w:rFonts w:ascii="Times New Roman" w:eastAsia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</w:rPr>
        <w:t>Arthur Dutra</w:t>
      </w:r>
      <w:r w:rsidR="695114F2" w:rsidRPr="695114F2">
        <w:rPr>
          <w:rFonts w:ascii="Times New Roman" w:eastAsia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53187">
        <w:rPr>
          <w:rFonts w:ascii="Times New Roman" w:eastAsia="Times New Roman" w:hAnsi="Times New Roman" w:cs="Times New Roman"/>
          <w:color w:val="000000" w:themeColor="text1"/>
          <w:vertAlign w:val="superscript"/>
        </w:rPr>
        <w:t>2</w:t>
      </w:r>
    </w:p>
    <w:p w14:paraId="4334B81C" w14:textId="38714681" w:rsidR="00582B2F" w:rsidRDefault="00653187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right"/>
        <w:rPr>
          <w:rFonts w:ascii="Times New Roman" w:eastAsia="Times New Roman" w:hAnsi="Times New Roman" w:cs="Times New Roman"/>
        </w:rPr>
      </w:pPr>
      <w:r w:rsidRPr="00653187">
        <w:rPr>
          <w:rFonts w:ascii="Times New Roman" w:eastAsia="Times New Roman" w:hAnsi="Times New Roman" w:cs="Times New Roman"/>
        </w:rPr>
        <w:t xml:space="preserve">Gabriela Carolina </w:t>
      </w:r>
      <w:r w:rsidRPr="00653187">
        <w:rPr>
          <w:rFonts w:ascii="Times New Roman" w:eastAsia="Times New Roman" w:hAnsi="Times New Roman" w:cs="Times New Roman"/>
          <w:vertAlign w:val="superscript"/>
        </w:rPr>
        <w:t>2</w:t>
      </w:r>
    </w:p>
    <w:p w14:paraId="6CAA8A44" w14:textId="3AAAA0A9" w:rsidR="00653187" w:rsidRDefault="00653187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Judi Rocha </w:t>
      </w:r>
      <w:r w:rsidRPr="00653187">
        <w:rPr>
          <w:rFonts w:ascii="Times New Roman" w:eastAsia="Times New Roman" w:hAnsi="Times New Roman" w:cs="Times New Roman"/>
          <w:vertAlign w:val="superscript"/>
        </w:rPr>
        <w:t>2</w:t>
      </w:r>
    </w:p>
    <w:p w14:paraId="225C74FE" w14:textId="7715B448" w:rsidR="00653187" w:rsidRDefault="00653187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Luiza Borges </w:t>
      </w:r>
      <w:r w:rsidRPr="00653187">
        <w:rPr>
          <w:rFonts w:ascii="Times New Roman" w:eastAsia="Times New Roman" w:hAnsi="Times New Roman" w:cs="Times New Roman"/>
          <w:vertAlign w:val="superscript"/>
        </w:rPr>
        <w:t>2</w:t>
      </w:r>
    </w:p>
    <w:p w14:paraId="6657639A" w14:textId="4A78CA50" w:rsidR="00653187" w:rsidRDefault="00653187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Luiza Moreira </w:t>
      </w:r>
      <w:r w:rsidRPr="00173AA7">
        <w:rPr>
          <w:rFonts w:ascii="Times New Roman" w:eastAsia="Times New Roman" w:hAnsi="Times New Roman" w:cs="Times New Roman"/>
          <w:vertAlign w:val="superscript"/>
        </w:rPr>
        <w:t>2</w:t>
      </w:r>
    </w:p>
    <w:p w14:paraId="605531D9" w14:textId="7E92EBDB" w:rsidR="00653187" w:rsidRDefault="00653187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Priscila Araújo </w:t>
      </w:r>
      <w:r w:rsidRPr="00173AA7">
        <w:rPr>
          <w:rFonts w:ascii="Times New Roman" w:eastAsia="Times New Roman" w:hAnsi="Times New Roman" w:cs="Times New Roman"/>
          <w:vertAlign w:val="superscript"/>
        </w:rPr>
        <w:t>2</w:t>
      </w:r>
    </w:p>
    <w:p w14:paraId="2205834C" w14:textId="29050D8B" w:rsidR="00653187" w:rsidRPr="003D4D7B" w:rsidRDefault="00653187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Priscila Sarmento </w:t>
      </w:r>
      <w:r w:rsidRPr="00173AA7">
        <w:rPr>
          <w:rFonts w:ascii="Times New Roman" w:eastAsia="Times New Roman" w:hAnsi="Times New Roman" w:cs="Times New Roman"/>
          <w:vertAlign w:val="superscript"/>
        </w:rPr>
        <w:t>2</w:t>
      </w:r>
    </w:p>
    <w:p w14:paraId="16AC78AB" w14:textId="44F3107B" w:rsidR="00582B2F" w:rsidRPr="00582B2F" w:rsidRDefault="00582B2F" w:rsidP="00D105FE">
      <w:pPr>
        <w:widowControl w:val="0"/>
        <w:autoSpaceDE w:val="0"/>
        <w:autoSpaceDN w:val="0"/>
        <w:adjustRightInd w:val="0"/>
        <w:spacing w:line="276" w:lineRule="auto"/>
        <w:ind w:right="-6" w:firstLine="851"/>
        <w:rPr>
          <w:rFonts w:ascii="Times New Roman" w:eastAsia="Times New Roman" w:hAnsi="Times New Roman" w:cs="Times New Roman"/>
        </w:rPr>
      </w:pPr>
    </w:p>
    <w:p w14:paraId="719DE463" w14:textId="77777777" w:rsidR="00582B2F" w:rsidRPr="00582B2F" w:rsidRDefault="00582B2F" w:rsidP="00D105FE">
      <w:pPr>
        <w:widowControl w:val="0"/>
        <w:autoSpaceDE w:val="0"/>
        <w:autoSpaceDN w:val="0"/>
        <w:adjustRightInd w:val="0"/>
        <w:spacing w:line="360" w:lineRule="auto"/>
        <w:ind w:right="-6" w:firstLine="851"/>
        <w:jc w:val="both"/>
        <w:rPr>
          <w:rFonts w:ascii="Times New Roman" w:eastAsia="Times New Roman" w:hAnsi="Times New Roman" w:cs="Times New Roman"/>
          <w:b/>
          <w:bCs/>
        </w:rPr>
      </w:pPr>
    </w:p>
    <w:p w14:paraId="514FA0B0" w14:textId="17BE8AF2" w:rsidR="00582B2F" w:rsidRPr="00D105FE" w:rsidRDefault="00582B2F" w:rsidP="005F24E7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right="-6" w:firstLine="0"/>
        <w:rPr>
          <w:rFonts w:ascii="Times New Roman" w:eastAsia="Times New Roman" w:hAnsi="Times New Roman" w:cs="Times New Roman"/>
          <w:b/>
        </w:rPr>
      </w:pPr>
      <w:r w:rsidRPr="00D105FE">
        <w:rPr>
          <w:rFonts w:ascii="Times New Roman" w:eastAsia="Times New Roman" w:hAnsi="Times New Roman" w:cs="Times New Roman"/>
          <w:b/>
        </w:rPr>
        <w:t>INTRODUÇÃO</w:t>
      </w:r>
    </w:p>
    <w:p w14:paraId="538509AB" w14:textId="77777777" w:rsidR="00872EEE" w:rsidRDefault="00872EEE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</w:p>
    <w:p w14:paraId="2CB3C495" w14:textId="456F2256" w:rsidR="005273EC" w:rsidRPr="005273EC" w:rsidRDefault="005273EC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5273EC">
        <w:rPr>
          <w:rFonts w:ascii="Times New Roman" w:eastAsia="Times New Roman" w:hAnsi="Times New Roman" w:cs="Times New Roman"/>
          <w:bCs/>
        </w:rPr>
        <w:t xml:space="preserve">A obesidade é um distúrbio, metabólico heterogêneo com múltiplas causas, associado ao acúmulo de gordura nos tecidos, podendo ser desencadeada por </w:t>
      </w:r>
      <w:r w:rsidR="005A3923">
        <w:rPr>
          <w:rFonts w:ascii="Times New Roman" w:eastAsia="Times New Roman" w:hAnsi="Times New Roman" w:cs="Times New Roman"/>
          <w:bCs/>
        </w:rPr>
        <w:t>predisposição</w:t>
      </w:r>
      <w:r w:rsidRPr="005273EC">
        <w:rPr>
          <w:rFonts w:ascii="Times New Roman" w:eastAsia="Times New Roman" w:hAnsi="Times New Roman" w:cs="Times New Roman"/>
          <w:bCs/>
        </w:rPr>
        <w:t xml:space="preserve"> genética, distúrbio emocional, sedentarismo ou má alimentação dentre outros fatores. (NERES; NETTO; GUSMÃO, 2019)</w:t>
      </w:r>
    </w:p>
    <w:p w14:paraId="07894C05" w14:textId="16149C2E" w:rsidR="005273EC" w:rsidRPr="005273EC" w:rsidRDefault="005273EC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5273EC">
        <w:rPr>
          <w:rFonts w:ascii="Times New Roman" w:eastAsia="Times New Roman" w:hAnsi="Times New Roman" w:cs="Times New Roman"/>
          <w:bCs/>
        </w:rPr>
        <w:t xml:space="preserve">Segundo a </w:t>
      </w:r>
      <w:r w:rsidR="005A3923">
        <w:rPr>
          <w:rFonts w:ascii="Times New Roman" w:eastAsia="Times New Roman" w:hAnsi="Times New Roman" w:cs="Times New Roman"/>
          <w:bCs/>
        </w:rPr>
        <w:t>Organização Mundial da Saúde, WHO</w:t>
      </w:r>
      <w:r w:rsidRPr="005273EC">
        <w:rPr>
          <w:rFonts w:ascii="Times New Roman" w:eastAsia="Times New Roman" w:hAnsi="Times New Roman" w:cs="Times New Roman"/>
          <w:bCs/>
        </w:rPr>
        <w:t xml:space="preserve"> (2022), sobrepeso e obesidade são definidos como acúmulo excessivo de gordura de modo a apresentar riscos à saúde. O índice de massa corporal -</w:t>
      </w:r>
      <w:r w:rsidR="00D81601">
        <w:rPr>
          <w:rFonts w:ascii="Times New Roman" w:eastAsia="Times New Roman" w:hAnsi="Times New Roman" w:cs="Times New Roman"/>
          <w:bCs/>
        </w:rPr>
        <w:t xml:space="preserve"> </w:t>
      </w:r>
      <w:r w:rsidRPr="005273EC">
        <w:rPr>
          <w:rFonts w:ascii="Times New Roman" w:eastAsia="Times New Roman" w:hAnsi="Times New Roman" w:cs="Times New Roman"/>
          <w:bCs/>
        </w:rPr>
        <w:t>IMC acima de 25, classifica o indivíduo com maior risco para o desenvolvimento de doenças metabólicas e cardiovasculares. A obesidade, segundo os padrões da Organização Mundial de Saúde, pode ser classificada em graus</w:t>
      </w:r>
      <w:r w:rsidR="008A2B74">
        <w:rPr>
          <w:rFonts w:ascii="Times New Roman" w:eastAsia="Times New Roman" w:hAnsi="Times New Roman" w:cs="Times New Roman"/>
          <w:bCs/>
        </w:rPr>
        <w:t>:</w:t>
      </w:r>
    </w:p>
    <w:p w14:paraId="3935FEA9" w14:textId="7A21726F" w:rsidR="005273EC" w:rsidRPr="005273EC" w:rsidRDefault="005273EC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5273EC">
        <w:rPr>
          <w:rFonts w:ascii="Times New Roman" w:eastAsia="Times New Roman" w:hAnsi="Times New Roman" w:cs="Times New Roman"/>
          <w:bCs/>
        </w:rPr>
        <w:t>I-</w:t>
      </w:r>
      <w:r w:rsidRPr="005273EC">
        <w:rPr>
          <w:rFonts w:ascii="Times New Roman" w:eastAsia="Times New Roman" w:hAnsi="Times New Roman" w:cs="Times New Roman"/>
          <w:bCs/>
        </w:rPr>
        <w:tab/>
        <w:t xml:space="preserve">Sobrepeso, quando o IMC estiver entre 25,0 </w:t>
      </w:r>
      <w:proofErr w:type="gramStart"/>
      <w:r w:rsidRPr="005273EC">
        <w:rPr>
          <w:rFonts w:ascii="Times New Roman" w:eastAsia="Times New Roman" w:hAnsi="Times New Roman" w:cs="Times New Roman"/>
          <w:bCs/>
        </w:rPr>
        <w:t>–</w:t>
      </w:r>
      <w:proofErr w:type="gramEnd"/>
      <w:r w:rsidRPr="005273EC">
        <w:rPr>
          <w:rFonts w:ascii="Times New Roman" w:eastAsia="Times New Roman" w:hAnsi="Times New Roman" w:cs="Times New Roman"/>
          <w:bCs/>
        </w:rPr>
        <w:t xml:space="preserve"> 29,9 kg/m2</w:t>
      </w:r>
      <w:r w:rsidR="008808FC">
        <w:rPr>
          <w:rFonts w:ascii="Times New Roman" w:eastAsia="Times New Roman" w:hAnsi="Times New Roman" w:cs="Times New Roman"/>
          <w:bCs/>
        </w:rPr>
        <w:t>;</w:t>
      </w:r>
    </w:p>
    <w:p w14:paraId="67775EA0" w14:textId="794002F9" w:rsidR="005273EC" w:rsidRPr="005273EC" w:rsidRDefault="005273EC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5273EC">
        <w:rPr>
          <w:rFonts w:ascii="Times New Roman" w:eastAsia="Times New Roman" w:hAnsi="Times New Roman" w:cs="Times New Roman"/>
          <w:bCs/>
        </w:rPr>
        <w:t>II-</w:t>
      </w:r>
      <w:r w:rsidRPr="005273EC">
        <w:rPr>
          <w:rFonts w:ascii="Times New Roman" w:eastAsia="Times New Roman" w:hAnsi="Times New Roman" w:cs="Times New Roman"/>
          <w:bCs/>
        </w:rPr>
        <w:tab/>
        <w:t>Obesidade propriamente dita, na qual o IMC estiver entre 30,0 e 39,9 kg/m2</w:t>
      </w:r>
      <w:r w:rsidR="008808FC">
        <w:rPr>
          <w:rFonts w:ascii="Times New Roman" w:eastAsia="Times New Roman" w:hAnsi="Times New Roman" w:cs="Times New Roman"/>
          <w:bCs/>
        </w:rPr>
        <w:t>, e;</w:t>
      </w:r>
    </w:p>
    <w:p w14:paraId="69761A08" w14:textId="77777777" w:rsidR="005273EC" w:rsidRPr="005273EC" w:rsidRDefault="005273EC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5273EC">
        <w:rPr>
          <w:rFonts w:ascii="Times New Roman" w:eastAsia="Times New Roman" w:hAnsi="Times New Roman" w:cs="Times New Roman"/>
          <w:bCs/>
        </w:rPr>
        <w:lastRenderedPageBreak/>
        <w:t>III-</w:t>
      </w:r>
      <w:r w:rsidRPr="005273EC">
        <w:rPr>
          <w:rFonts w:ascii="Times New Roman" w:eastAsia="Times New Roman" w:hAnsi="Times New Roman" w:cs="Times New Roman"/>
          <w:bCs/>
        </w:rPr>
        <w:tab/>
        <w:t xml:space="preserve">Quando o indivíduo apresenta índice de massa corpórea superior a 40 kg/m2. </w:t>
      </w:r>
    </w:p>
    <w:p w14:paraId="72D1930C" w14:textId="77777777" w:rsidR="005273EC" w:rsidRPr="005273EC" w:rsidRDefault="005273EC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5273EC">
        <w:rPr>
          <w:rFonts w:ascii="Times New Roman" w:eastAsia="Times New Roman" w:hAnsi="Times New Roman" w:cs="Times New Roman"/>
          <w:bCs/>
        </w:rPr>
        <w:t xml:space="preserve">O mundo enfrenta uma epidemia de obesidade, com crescimento significativo no decorrer de curto espaço de tempo, a qual está associada a diversas complicações fisiológicas e patológicas (WHO, 2022) sendo considerada um dos maiores fatores de risco para diversas patologias não transmissíveis, como a hipertensão arterial, diabetes mellitus (tipo 2) e dislipidemia (NERES; NETTO; GUSMÃO, 2019). Correlaciona-se ainda a obesidade ao aumento da resistência à insulina, intolerância à glicose, hiperuricemia, infecções na vesícula biliar, e alguns tipos de câncer (PI-SUNYER; XAVIER, 1999). Estima-se que todos os anos cerca de 04 milhões de pessoas morrem em razão de causas relacionadas à obesidade (WHO, 2022). </w:t>
      </w:r>
    </w:p>
    <w:p w14:paraId="6D033402" w14:textId="33512FFC" w:rsidR="005273EC" w:rsidRPr="005273EC" w:rsidRDefault="005273EC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5273EC">
        <w:rPr>
          <w:rFonts w:ascii="Times New Roman" w:eastAsia="Times New Roman" w:hAnsi="Times New Roman" w:cs="Times New Roman"/>
          <w:bCs/>
        </w:rPr>
        <w:t>Surge, assim, a premência de encontrar medidas que reduzam os impactos dessa pandemia, que no Brasil, apresenta, em quase todos os estados, mais de 20% de sua população com o IMC superior a 30 kg/m² (</w:t>
      </w:r>
      <w:r w:rsidR="005A3923">
        <w:rPr>
          <w:rFonts w:ascii="Times New Roman" w:eastAsia="Times New Roman" w:hAnsi="Times New Roman" w:cs="Times New Roman"/>
          <w:bCs/>
        </w:rPr>
        <w:t>VIGITEL</w:t>
      </w:r>
      <w:r w:rsidRPr="005273EC">
        <w:rPr>
          <w:rFonts w:ascii="Times New Roman" w:eastAsia="Times New Roman" w:hAnsi="Times New Roman" w:cs="Times New Roman"/>
          <w:bCs/>
        </w:rPr>
        <w:t>, 2020).</w:t>
      </w:r>
      <w:r w:rsidR="00F83072">
        <w:rPr>
          <w:rFonts w:ascii="Times New Roman" w:eastAsia="Times New Roman" w:hAnsi="Times New Roman" w:cs="Times New Roman"/>
          <w:bCs/>
        </w:rPr>
        <w:t xml:space="preserve"> </w:t>
      </w:r>
      <w:r w:rsidRPr="005273EC">
        <w:rPr>
          <w:rFonts w:ascii="Times New Roman" w:eastAsia="Times New Roman" w:hAnsi="Times New Roman" w:cs="Times New Roman"/>
          <w:bCs/>
        </w:rPr>
        <w:t xml:space="preserve">Portanto, há necessidade imediata de encontrar métodos de tratamento para garantir a saúde da população brasileira. </w:t>
      </w:r>
    </w:p>
    <w:p w14:paraId="2EEF2C49" w14:textId="34AF260F" w:rsidR="005273EC" w:rsidRPr="005273EC" w:rsidRDefault="005273EC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5273EC">
        <w:rPr>
          <w:rFonts w:ascii="Times New Roman" w:eastAsia="Times New Roman" w:hAnsi="Times New Roman" w:cs="Times New Roman"/>
          <w:bCs/>
        </w:rPr>
        <w:t xml:space="preserve">Por conseguinte, em uma perspectiva medicamentosa o uso de antidiabéticos se torna uma opção, visto que para pacientes pré-diabéticos com 24 de IMC, houve uma redução de incidência de </w:t>
      </w:r>
      <w:r w:rsidR="005A3923">
        <w:rPr>
          <w:rFonts w:ascii="Times New Roman" w:eastAsia="Times New Roman" w:hAnsi="Times New Roman" w:cs="Times New Roman"/>
          <w:bCs/>
        </w:rPr>
        <w:t xml:space="preserve">obesidade em </w:t>
      </w:r>
      <w:r w:rsidRPr="005273EC">
        <w:rPr>
          <w:rFonts w:ascii="Times New Roman" w:eastAsia="Times New Roman" w:hAnsi="Times New Roman" w:cs="Times New Roman"/>
          <w:bCs/>
        </w:rPr>
        <w:t>58%</w:t>
      </w:r>
      <w:r w:rsidR="005A3923">
        <w:rPr>
          <w:rFonts w:ascii="Times New Roman" w:eastAsia="Times New Roman" w:hAnsi="Times New Roman" w:cs="Times New Roman"/>
          <w:bCs/>
        </w:rPr>
        <w:t xml:space="preserve"> se acompanhado</w:t>
      </w:r>
      <w:r w:rsidRPr="005273EC">
        <w:rPr>
          <w:rFonts w:ascii="Times New Roman" w:eastAsia="Times New Roman" w:hAnsi="Times New Roman" w:cs="Times New Roman"/>
          <w:bCs/>
        </w:rPr>
        <w:t xml:space="preserve"> com mudanças no estilo de vida, e 31% de redução quando utilizada a metformina (IC = 95%) se comparado aos efeitos do placebo (GROUP, 2002). Este, é um medicamento relativamente antigo e outros meios para coibir o avanço do diabetes foram encontrados. O mecanismo da metformina que possibilita a perda de peso não está completamente elucidado (COLL et al., 2020), o que também é o caso de outros medicamentos dessa classe. </w:t>
      </w:r>
    </w:p>
    <w:p w14:paraId="2882B43A" w14:textId="7453191D" w:rsidR="005273EC" w:rsidRPr="005273EC" w:rsidRDefault="005273EC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5273EC">
        <w:rPr>
          <w:rFonts w:ascii="Times New Roman" w:eastAsia="Times New Roman" w:hAnsi="Times New Roman" w:cs="Times New Roman"/>
          <w:bCs/>
        </w:rPr>
        <w:t xml:space="preserve">Atualmente antidiabéticos com ação </w:t>
      </w:r>
      <w:r w:rsidR="00872EEE">
        <w:rPr>
          <w:rFonts w:ascii="Times New Roman" w:eastAsia="Times New Roman" w:hAnsi="Times New Roman" w:cs="Times New Roman"/>
          <w:bCs/>
        </w:rPr>
        <w:t>do cotransporte de</w:t>
      </w:r>
      <w:r w:rsidR="00254B5A" w:rsidRPr="00254B5A">
        <w:rPr>
          <w:rFonts w:ascii="Times New Roman" w:eastAsia="Times New Roman" w:hAnsi="Times New Roman" w:cs="Times New Roman"/>
          <w:bCs/>
        </w:rPr>
        <w:t xml:space="preserve"> sódio-glicose </w:t>
      </w:r>
      <w:r w:rsidR="00254B5A">
        <w:rPr>
          <w:rFonts w:ascii="Times New Roman" w:eastAsia="Times New Roman" w:hAnsi="Times New Roman" w:cs="Times New Roman"/>
          <w:bCs/>
        </w:rPr>
        <w:t>2 (</w:t>
      </w:r>
      <w:r w:rsidRPr="005273EC">
        <w:rPr>
          <w:rFonts w:ascii="Times New Roman" w:eastAsia="Times New Roman" w:hAnsi="Times New Roman" w:cs="Times New Roman"/>
          <w:bCs/>
        </w:rPr>
        <w:t>SLGT-</w:t>
      </w:r>
      <w:r w:rsidR="00254B5A">
        <w:rPr>
          <w:rFonts w:ascii="Times New Roman" w:eastAsia="Times New Roman" w:hAnsi="Times New Roman" w:cs="Times New Roman"/>
          <w:bCs/>
        </w:rPr>
        <w:t>2</w:t>
      </w:r>
      <w:r w:rsidR="005A3923">
        <w:rPr>
          <w:rFonts w:ascii="Times New Roman" w:eastAsia="Times New Roman" w:hAnsi="Times New Roman" w:cs="Times New Roman"/>
          <w:bCs/>
        </w:rPr>
        <w:t>) são empregados</w:t>
      </w:r>
      <w:r w:rsidRPr="005273EC">
        <w:rPr>
          <w:rFonts w:ascii="Times New Roman" w:eastAsia="Times New Roman" w:hAnsi="Times New Roman" w:cs="Times New Roman"/>
          <w:bCs/>
        </w:rPr>
        <w:t xml:space="preserve"> em terapias de controle da diabetes, em geral associado</w:t>
      </w:r>
      <w:r w:rsidR="005A3923">
        <w:rPr>
          <w:rFonts w:ascii="Times New Roman" w:eastAsia="Times New Roman" w:hAnsi="Times New Roman" w:cs="Times New Roman"/>
          <w:bCs/>
        </w:rPr>
        <w:t>s</w:t>
      </w:r>
      <w:r w:rsidRPr="005273EC">
        <w:rPr>
          <w:rFonts w:ascii="Times New Roman" w:eastAsia="Times New Roman" w:hAnsi="Times New Roman" w:cs="Times New Roman"/>
          <w:bCs/>
        </w:rPr>
        <w:t xml:space="preserve"> </w:t>
      </w:r>
      <w:r w:rsidR="005A3923">
        <w:rPr>
          <w:rFonts w:ascii="Times New Roman" w:eastAsia="Times New Roman" w:hAnsi="Times New Roman" w:cs="Times New Roman"/>
          <w:bCs/>
        </w:rPr>
        <w:t>à</w:t>
      </w:r>
      <w:r w:rsidRPr="005273EC">
        <w:rPr>
          <w:rFonts w:ascii="Times New Roman" w:eastAsia="Times New Roman" w:hAnsi="Times New Roman" w:cs="Times New Roman"/>
          <w:bCs/>
        </w:rPr>
        <w:t xml:space="preserve"> insulina, e </w:t>
      </w:r>
      <w:r w:rsidR="005A3923">
        <w:rPr>
          <w:rFonts w:ascii="Times New Roman" w:eastAsia="Times New Roman" w:hAnsi="Times New Roman" w:cs="Times New Roman"/>
          <w:bCs/>
        </w:rPr>
        <w:t xml:space="preserve">seu uso vem crescendo </w:t>
      </w:r>
      <w:r w:rsidRPr="005273EC">
        <w:rPr>
          <w:rFonts w:ascii="Times New Roman" w:eastAsia="Times New Roman" w:hAnsi="Times New Roman" w:cs="Times New Roman"/>
          <w:bCs/>
        </w:rPr>
        <w:t>no tratamento da obesidade, apesar de estar</w:t>
      </w:r>
      <w:r w:rsidR="005A3923">
        <w:rPr>
          <w:rFonts w:ascii="Times New Roman" w:eastAsia="Times New Roman" w:hAnsi="Times New Roman" w:cs="Times New Roman"/>
          <w:bCs/>
        </w:rPr>
        <w:t xml:space="preserve">em </w:t>
      </w:r>
      <w:r w:rsidRPr="005273EC">
        <w:rPr>
          <w:rFonts w:ascii="Times New Roman" w:eastAsia="Times New Roman" w:hAnsi="Times New Roman" w:cs="Times New Roman"/>
          <w:bCs/>
        </w:rPr>
        <w:t>relacionado</w:t>
      </w:r>
      <w:r w:rsidR="005A3923">
        <w:rPr>
          <w:rFonts w:ascii="Times New Roman" w:eastAsia="Times New Roman" w:hAnsi="Times New Roman" w:cs="Times New Roman"/>
          <w:bCs/>
        </w:rPr>
        <w:t>s</w:t>
      </w:r>
      <w:r w:rsidRPr="005273EC">
        <w:rPr>
          <w:rFonts w:ascii="Times New Roman" w:eastAsia="Times New Roman" w:hAnsi="Times New Roman" w:cs="Times New Roman"/>
          <w:bCs/>
        </w:rPr>
        <w:t xml:space="preserve"> com eventos adversos tais como a cetoacidose (KIETAIBL et al., 2022).  A via de funcionamento </w:t>
      </w:r>
      <w:r w:rsidR="005A3923">
        <w:rPr>
          <w:rFonts w:ascii="Times New Roman" w:eastAsia="Times New Roman" w:hAnsi="Times New Roman" w:cs="Times New Roman"/>
          <w:bCs/>
        </w:rPr>
        <w:t xml:space="preserve">de </w:t>
      </w:r>
      <w:r w:rsidRPr="005273EC">
        <w:rPr>
          <w:rFonts w:ascii="Times New Roman" w:eastAsia="Times New Roman" w:hAnsi="Times New Roman" w:cs="Times New Roman"/>
          <w:bCs/>
        </w:rPr>
        <w:t>inibidor</w:t>
      </w:r>
      <w:r w:rsidR="005A3923">
        <w:rPr>
          <w:rFonts w:ascii="Times New Roman" w:eastAsia="Times New Roman" w:hAnsi="Times New Roman" w:cs="Times New Roman"/>
          <w:bCs/>
        </w:rPr>
        <w:t>es</w:t>
      </w:r>
      <w:r w:rsidRPr="005273EC">
        <w:rPr>
          <w:rFonts w:ascii="Times New Roman" w:eastAsia="Times New Roman" w:hAnsi="Times New Roman" w:cs="Times New Roman"/>
          <w:bCs/>
        </w:rPr>
        <w:t xml:space="preserve"> de SLGT-2 se dá pelo bloqueio da proteína </w:t>
      </w:r>
      <w:r w:rsidR="00486605">
        <w:rPr>
          <w:rFonts w:ascii="Times New Roman" w:eastAsia="Times New Roman" w:hAnsi="Times New Roman" w:cs="Times New Roman"/>
          <w:bCs/>
        </w:rPr>
        <w:t>de cotransporte</w:t>
      </w:r>
      <w:r w:rsidRPr="005273EC">
        <w:rPr>
          <w:rFonts w:ascii="Times New Roman" w:eastAsia="Times New Roman" w:hAnsi="Times New Roman" w:cs="Times New Roman"/>
          <w:bCs/>
        </w:rPr>
        <w:t xml:space="preserve"> de sódio e de glicose na célula dos túbulos proximais dos néfrons (POULSEN; FENTON; RIEG, 2015). Dessa forma, o corpo passa a utilizar ácidos graxos para a manutenção da homeostasia, que por consequência criará corpos cetônicos na corrente sanguínea, fato que pode ser corroborado pela incidência de cetoacidose em indivíduos que fazem uso d</w:t>
      </w:r>
      <w:r w:rsidR="005A3923">
        <w:rPr>
          <w:rFonts w:ascii="Times New Roman" w:eastAsia="Times New Roman" w:hAnsi="Times New Roman" w:cs="Times New Roman"/>
          <w:bCs/>
        </w:rPr>
        <w:t>e</w:t>
      </w:r>
      <w:r w:rsidRPr="005273EC">
        <w:rPr>
          <w:rFonts w:ascii="Times New Roman" w:eastAsia="Times New Roman" w:hAnsi="Times New Roman" w:cs="Times New Roman"/>
          <w:bCs/>
        </w:rPr>
        <w:t xml:space="preserve"> inibidor</w:t>
      </w:r>
      <w:r w:rsidR="005A3923">
        <w:rPr>
          <w:rFonts w:ascii="Times New Roman" w:eastAsia="Times New Roman" w:hAnsi="Times New Roman" w:cs="Times New Roman"/>
          <w:bCs/>
        </w:rPr>
        <w:t>es</w:t>
      </w:r>
      <w:r w:rsidRPr="005273EC">
        <w:rPr>
          <w:rFonts w:ascii="Times New Roman" w:eastAsia="Times New Roman" w:hAnsi="Times New Roman" w:cs="Times New Roman"/>
          <w:bCs/>
        </w:rPr>
        <w:t xml:space="preserve"> da SLGT-2 (PALMER et al., 2021). </w:t>
      </w:r>
    </w:p>
    <w:p w14:paraId="3948E864" w14:textId="74C118D9" w:rsidR="005273EC" w:rsidRPr="005273EC" w:rsidRDefault="005273EC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5273EC">
        <w:rPr>
          <w:rFonts w:ascii="Times New Roman" w:eastAsia="Times New Roman" w:hAnsi="Times New Roman" w:cs="Times New Roman"/>
          <w:bCs/>
        </w:rPr>
        <w:lastRenderedPageBreak/>
        <w:t xml:space="preserve">Não obstante, a análise dos efeitos colaterais por uso indiscriminado se faz necessária, já que o principal objetivo é </w:t>
      </w:r>
      <w:r w:rsidR="00D105FE">
        <w:rPr>
          <w:rFonts w:ascii="Times New Roman" w:eastAsia="Times New Roman" w:hAnsi="Times New Roman" w:cs="Times New Roman"/>
          <w:bCs/>
        </w:rPr>
        <w:t>o bloqueio</w:t>
      </w:r>
      <w:r w:rsidRPr="005273EC">
        <w:rPr>
          <w:rFonts w:ascii="Times New Roman" w:eastAsia="Times New Roman" w:hAnsi="Times New Roman" w:cs="Times New Roman"/>
          <w:bCs/>
        </w:rPr>
        <w:t xml:space="preserve"> reabsorção da glicose no túbulo renal, resultando em um aumento da excreção de glicose, e consequentemente, níveis mais baixos de glicose na corrente sanguínea (SINGH; KUMAR, 2018). E estudos recentes evidenciam que é possível desenvolver infecções do trato urinário e genital, câncer, fratura óssea, amputação de membros inferiores, e cetoacidose diabética. Portanto, é preciso conscientização, e um melhor entendimento da utilização de bloqueadores da SGLT2 (SINGH; KUMAR, 2018b)</w:t>
      </w:r>
      <w:r w:rsidR="004100E0">
        <w:rPr>
          <w:rFonts w:ascii="Times New Roman" w:eastAsia="Times New Roman" w:hAnsi="Times New Roman" w:cs="Times New Roman"/>
          <w:bCs/>
        </w:rPr>
        <w:t>.</w:t>
      </w:r>
    </w:p>
    <w:p w14:paraId="580B92BE" w14:textId="31D0C974" w:rsidR="00582B2F" w:rsidRDefault="0065406A" w:rsidP="00872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Por fim, é</w:t>
      </w:r>
      <w:r w:rsidR="005273EC" w:rsidRPr="005273EC">
        <w:rPr>
          <w:rFonts w:ascii="Times New Roman" w:eastAsia="Times New Roman" w:hAnsi="Times New Roman" w:cs="Times New Roman"/>
          <w:bCs/>
        </w:rPr>
        <w:t xml:space="preserve"> notório</w:t>
      </w:r>
      <w:r w:rsidR="00842B86">
        <w:rPr>
          <w:rFonts w:ascii="Times New Roman" w:eastAsia="Times New Roman" w:hAnsi="Times New Roman" w:cs="Times New Roman"/>
          <w:bCs/>
        </w:rPr>
        <w:t xml:space="preserve"> </w:t>
      </w:r>
      <w:r w:rsidR="005273EC" w:rsidRPr="005273EC">
        <w:rPr>
          <w:rFonts w:ascii="Times New Roman" w:eastAsia="Times New Roman" w:hAnsi="Times New Roman" w:cs="Times New Roman"/>
          <w:bCs/>
        </w:rPr>
        <w:t>que a escolha do tratamento medicamentoso depende prontamente de uma avaliação de custo-benefício</w:t>
      </w:r>
      <w:r w:rsidR="00FA55AE">
        <w:rPr>
          <w:rFonts w:ascii="Times New Roman" w:eastAsia="Times New Roman" w:hAnsi="Times New Roman" w:cs="Times New Roman"/>
          <w:bCs/>
        </w:rPr>
        <w:t>. U</w:t>
      </w:r>
      <w:r w:rsidR="005273EC" w:rsidRPr="005273EC">
        <w:rPr>
          <w:rFonts w:ascii="Times New Roman" w:eastAsia="Times New Roman" w:hAnsi="Times New Roman" w:cs="Times New Roman"/>
          <w:bCs/>
        </w:rPr>
        <w:t>rge, portanto, o questionamento dos potenciais riscos e benefícios dos antidiabéticos</w:t>
      </w:r>
      <w:r w:rsidR="00D434EE">
        <w:rPr>
          <w:rFonts w:ascii="Times New Roman" w:eastAsia="Times New Roman" w:hAnsi="Times New Roman" w:cs="Times New Roman"/>
          <w:bCs/>
        </w:rPr>
        <w:t xml:space="preserve"> </w:t>
      </w:r>
      <w:r w:rsidR="00D434EE" w:rsidRPr="00842B86">
        <w:rPr>
          <w:rFonts w:ascii="Times New Roman" w:eastAsia="Times New Roman" w:hAnsi="Times New Roman" w:cs="Times New Roman"/>
          <w:bCs/>
        </w:rPr>
        <w:t>inibidores de SGLT-</w:t>
      </w:r>
      <w:r w:rsidR="00B36C99" w:rsidRPr="00842B86">
        <w:rPr>
          <w:rFonts w:ascii="Times New Roman" w:eastAsia="Times New Roman" w:hAnsi="Times New Roman" w:cs="Times New Roman"/>
          <w:bCs/>
        </w:rPr>
        <w:t xml:space="preserve">2 </w:t>
      </w:r>
      <w:r w:rsidR="00B36C99" w:rsidRPr="005273EC">
        <w:rPr>
          <w:rFonts w:ascii="Times New Roman" w:eastAsia="Times New Roman" w:hAnsi="Times New Roman" w:cs="Times New Roman"/>
          <w:bCs/>
        </w:rPr>
        <w:t>no</w:t>
      </w:r>
      <w:r w:rsidR="005273EC" w:rsidRPr="005273EC">
        <w:rPr>
          <w:rFonts w:ascii="Times New Roman" w:eastAsia="Times New Roman" w:hAnsi="Times New Roman" w:cs="Times New Roman"/>
          <w:bCs/>
        </w:rPr>
        <w:t xml:space="preserve"> tratamento da obesidade, que será discutido </w:t>
      </w:r>
      <w:r w:rsidR="00D105FE">
        <w:rPr>
          <w:rFonts w:ascii="Times New Roman" w:eastAsia="Times New Roman" w:hAnsi="Times New Roman" w:cs="Times New Roman"/>
          <w:bCs/>
        </w:rPr>
        <w:t>neste trabalho</w:t>
      </w:r>
      <w:r w:rsidR="005273EC" w:rsidRPr="005273EC">
        <w:rPr>
          <w:rFonts w:ascii="Times New Roman" w:eastAsia="Times New Roman" w:hAnsi="Times New Roman" w:cs="Times New Roman"/>
          <w:bCs/>
        </w:rPr>
        <w:t xml:space="preserve">, por meio de uma revisão </w:t>
      </w:r>
      <w:r w:rsidR="00842B86">
        <w:rPr>
          <w:rFonts w:ascii="Times New Roman" w:eastAsia="Times New Roman" w:hAnsi="Times New Roman" w:cs="Times New Roman"/>
          <w:bCs/>
        </w:rPr>
        <w:t>integrativa afim de e</w:t>
      </w:r>
      <w:r w:rsidR="00842B86" w:rsidRPr="00842B86">
        <w:rPr>
          <w:rFonts w:ascii="Times New Roman" w:eastAsia="Times New Roman" w:hAnsi="Times New Roman" w:cs="Times New Roman"/>
          <w:bCs/>
        </w:rPr>
        <w:t>lucidar o</w:t>
      </w:r>
      <w:r w:rsidR="00FA55AE">
        <w:rPr>
          <w:rFonts w:ascii="Times New Roman" w:eastAsia="Times New Roman" w:hAnsi="Times New Roman" w:cs="Times New Roman"/>
          <w:bCs/>
        </w:rPr>
        <w:t>s</w:t>
      </w:r>
      <w:r w:rsidR="00842B86" w:rsidRPr="00842B86">
        <w:rPr>
          <w:rFonts w:ascii="Times New Roman" w:eastAsia="Times New Roman" w:hAnsi="Times New Roman" w:cs="Times New Roman"/>
          <w:bCs/>
        </w:rPr>
        <w:t xml:space="preserve"> risco</w:t>
      </w:r>
      <w:r w:rsidR="00FA55AE">
        <w:rPr>
          <w:rFonts w:ascii="Times New Roman" w:eastAsia="Times New Roman" w:hAnsi="Times New Roman" w:cs="Times New Roman"/>
          <w:bCs/>
        </w:rPr>
        <w:t>s</w:t>
      </w:r>
      <w:r w:rsidR="00842B86" w:rsidRPr="00842B86">
        <w:rPr>
          <w:rFonts w:ascii="Times New Roman" w:eastAsia="Times New Roman" w:hAnsi="Times New Roman" w:cs="Times New Roman"/>
          <w:bCs/>
        </w:rPr>
        <w:t>-benefício</w:t>
      </w:r>
      <w:r w:rsidR="00FA55AE">
        <w:rPr>
          <w:rFonts w:ascii="Times New Roman" w:eastAsia="Times New Roman" w:hAnsi="Times New Roman" w:cs="Times New Roman"/>
          <w:bCs/>
        </w:rPr>
        <w:t>s</w:t>
      </w:r>
      <w:r w:rsidR="00842B86" w:rsidRPr="00842B86">
        <w:rPr>
          <w:rFonts w:ascii="Times New Roman" w:eastAsia="Times New Roman" w:hAnsi="Times New Roman" w:cs="Times New Roman"/>
          <w:bCs/>
        </w:rPr>
        <w:t xml:space="preserve"> </w:t>
      </w:r>
      <w:r w:rsidR="00D434EE">
        <w:rPr>
          <w:rFonts w:ascii="Times New Roman" w:eastAsia="Times New Roman" w:hAnsi="Times New Roman" w:cs="Times New Roman"/>
          <w:bCs/>
        </w:rPr>
        <w:t>que essa</w:t>
      </w:r>
      <w:r w:rsidR="00842B86" w:rsidRPr="00842B86">
        <w:rPr>
          <w:rFonts w:ascii="Times New Roman" w:eastAsia="Times New Roman" w:hAnsi="Times New Roman" w:cs="Times New Roman"/>
          <w:bCs/>
        </w:rPr>
        <w:t xml:space="preserve"> aplicação terapêutica pode trazer no tratamento de pessoas obesas, considerando também o risco envolvido na automedicação dentro desse contexto</w:t>
      </w:r>
      <w:r>
        <w:rPr>
          <w:rFonts w:ascii="Times New Roman" w:eastAsia="Times New Roman" w:hAnsi="Times New Roman" w:cs="Times New Roman"/>
          <w:bCs/>
        </w:rPr>
        <w:t>.</w:t>
      </w:r>
    </w:p>
    <w:p w14:paraId="31CD22EF" w14:textId="77777777" w:rsidR="00872EEE" w:rsidRDefault="00872EEE" w:rsidP="00872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36C62A3E" w14:textId="253A6280" w:rsidR="00582B2F" w:rsidRDefault="00225AC6" w:rsidP="005F24E7">
      <w:pPr>
        <w:pStyle w:val="PargrafodaLista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right="-6" w:firstLine="0"/>
        <w:rPr>
          <w:rFonts w:ascii="Times New Roman" w:eastAsia="Times New Roman" w:hAnsi="Times New Roman" w:cs="Times New Roman"/>
          <w:b/>
          <w:bCs/>
        </w:rPr>
      </w:pPr>
      <w:r w:rsidRPr="00D105FE">
        <w:rPr>
          <w:rFonts w:ascii="Times New Roman" w:eastAsia="Times New Roman" w:hAnsi="Times New Roman" w:cs="Times New Roman"/>
          <w:b/>
          <w:bCs/>
        </w:rPr>
        <w:t>MATERIAL E MÉTODOS</w:t>
      </w:r>
    </w:p>
    <w:p w14:paraId="6CA778FE" w14:textId="77777777" w:rsidR="00D81601" w:rsidRPr="00D105FE" w:rsidRDefault="00D81601" w:rsidP="00D81601">
      <w:pPr>
        <w:pStyle w:val="PargrafodaLista"/>
        <w:widowControl w:val="0"/>
        <w:autoSpaceDE w:val="0"/>
        <w:autoSpaceDN w:val="0"/>
        <w:adjustRightInd w:val="0"/>
        <w:spacing w:line="360" w:lineRule="auto"/>
        <w:ind w:left="709" w:right="-6"/>
        <w:rPr>
          <w:rFonts w:ascii="Times New Roman" w:eastAsia="Times New Roman" w:hAnsi="Times New Roman" w:cs="Times New Roman"/>
          <w:b/>
          <w:bCs/>
        </w:rPr>
      </w:pPr>
    </w:p>
    <w:p w14:paraId="093B5C24" w14:textId="787539E9" w:rsidR="00C04BC6" w:rsidRPr="00C04BC6" w:rsidRDefault="00C04BC6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bookmarkStart w:id="0" w:name="_Hlk80780050"/>
      <w:r>
        <w:rPr>
          <w:rFonts w:ascii="Times New Roman" w:eastAsia="Times New Roman" w:hAnsi="Times New Roman" w:cs="Times New Roman"/>
          <w:bCs/>
        </w:rPr>
        <w:t>Propõe-se um estudo de</w:t>
      </w:r>
      <w:r w:rsidRPr="00C04BC6">
        <w:rPr>
          <w:rFonts w:ascii="Times New Roman" w:eastAsia="Times New Roman" w:hAnsi="Times New Roman" w:cs="Times New Roman"/>
          <w:bCs/>
        </w:rPr>
        <w:t xml:space="preserve"> revisão integrativa </w:t>
      </w:r>
      <w:r>
        <w:rPr>
          <w:rFonts w:ascii="Times New Roman" w:eastAsia="Times New Roman" w:hAnsi="Times New Roman" w:cs="Times New Roman"/>
          <w:bCs/>
        </w:rPr>
        <w:t xml:space="preserve">da literatura acerca dos benefícios e malefício do uso dos antidiabéticos da classe de inibidores de SGLT-2 no tratamento da obesidade, </w:t>
      </w:r>
      <w:r w:rsidRPr="00C04BC6">
        <w:rPr>
          <w:rFonts w:ascii="Times New Roman" w:eastAsia="Times New Roman" w:hAnsi="Times New Roman" w:cs="Times New Roman"/>
          <w:bCs/>
        </w:rPr>
        <w:t xml:space="preserve">onde as buscas serão realizadas na base de dados </w:t>
      </w:r>
      <w:proofErr w:type="spellStart"/>
      <w:r w:rsidRPr="00C04BC6">
        <w:rPr>
          <w:rFonts w:ascii="Times New Roman" w:eastAsia="Times New Roman" w:hAnsi="Times New Roman" w:cs="Times New Roman"/>
          <w:bCs/>
        </w:rPr>
        <w:t>PubMed</w:t>
      </w:r>
      <w:proofErr w:type="spellEnd"/>
      <w:r w:rsidRPr="00C04BC6">
        <w:rPr>
          <w:rFonts w:ascii="Times New Roman" w:eastAsia="Times New Roman" w:hAnsi="Times New Roman" w:cs="Times New Roman"/>
          <w:bCs/>
        </w:rPr>
        <w:t xml:space="preserve"> a partir das palavras chaves “</w:t>
      </w:r>
      <w:proofErr w:type="spellStart"/>
      <w:r w:rsidRPr="00C04BC6">
        <w:rPr>
          <w:rFonts w:ascii="Times New Roman" w:eastAsia="Times New Roman" w:hAnsi="Times New Roman" w:cs="Times New Roman"/>
          <w:bCs/>
        </w:rPr>
        <w:t>antidiabetic</w:t>
      </w:r>
      <w:proofErr w:type="spellEnd"/>
      <w:r w:rsidRPr="00C04BC6">
        <w:rPr>
          <w:rFonts w:ascii="Times New Roman" w:eastAsia="Times New Roman" w:hAnsi="Times New Roman" w:cs="Times New Roman"/>
          <w:bCs/>
        </w:rPr>
        <w:t xml:space="preserve">” </w:t>
      </w:r>
      <w:r w:rsidR="00D105FE">
        <w:rPr>
          <w:rFonts w:ascii="Times New Roman" w:eastAsia="Times New Roman" w:hAnsi="Times New Roman" w:cs="Times New Roman"/>
          <w:bCs/>
        </w:rPr>
        <w:t>e</w:t>
      </w:r>
      <w:r w:rsidRPr="00C04BC6">
        <w:rPr>
          <w:rFonts w:ascii="Times New Roman" w:eastAsia="Times New Roman" w:hAnsi="Times New Roman" w:cs="Times New Roman"/>
          <w:bCs/>
        </w:rPr>
        <w:t xml:space="preserve"> “</w:t>
      </w:r>
      <w:proofErr w:type="spellStart"/>
      <w:r w:rsidRPr="00C04BC6">
        <w:rPr>
          <w:rFonts w:ascii="Times New Roman" w:eastAsia="Times New Roman" w:hAnsi="Times New Roman" w:cs="Times New Roman"/>
          <w:bCs/>
        </w:rPr>
        <w:t>weight</w:t>
      </w:r>
      <w:proofErr w:type="spellEnd"/>
      <w:r w:rsidRPr="00C04BC6">
        <w:rPr>
          <w:rFonts w:ascii="Times New Roman" w:eastAsia="Times New Roman" w:hAnsi="Times New Roman" w:cs="Times New Roman"/>
          <w:bCs/>
        </w:rPr>
        <w:t xml:space="preserve">” </w:t>
      </w:r>
      <w:r w:rsidR="00D105FE">
        <w:rPr>
          <w:rFonts w:ascii="Times New Roman" w:eastAsia="Times New Roman" w:hAnsi="Times New Roman" w:cs="Times New Roman"/>
          <w:bCs/>
        </w:rPr>
        <w:t>e</w:t>
      </w:r>
      <w:r w:rsidRPr="00C04BC6">
        <w:rPr>
          <w:rFonts w:ascii="Times New Roman" w:eastAsia="Times New Roman" w:hAnsi="Times New Roman" w:cs="Times New Roman"/>
          <w:bCs/>
        </w:rPr>
        <w:t xml:space="preserve"> “</w:t>
      </w:r>
      <w:proofErr w:type="spellStart"/>
      <w:r w:rsidRPr="00C04BC6">
        <w:rPr>
          <w:rFonts w:ascii="Times New Roman" w:eastAsia="Times New Roman" w:hAnsi="Times New Roman" w:cs="Times New Roman"/>
          <w:bCs/>
        </w:rPr>
        <w:t>reduction</w:t>
      </w:r>
      <w:proofErr w:type="spellEnd"/>
      <w:r w:rsidRPr="00C04BC6">
        <w:rPr>
          <w:rFonts w:ascii="Times New Roman" w:eastAsia="Times New Roman" w:hAnsi="Times New Roman" w:cs="Times New Roman"/>
          <w:bCs/>
        </w:rPr>
        <w:t>”.</w:t>
      </w:r>
    </w:p>
    <w:p w14:paraId="1BEF56CF" w14:textId="0A0C8BC9" w:rsidR="00C04BC6" w:rsidRDefault="00C04BC6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Cs/>
        </w:rPr>
      </w:pPr>
      <w:r w:rsidRPr="00C04BC6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>Serão selecionados</w:t>
      </w:r>
      <w:r w:rsidRPr="00C04BC6">
        <w:rPr>
          <w:rFonts w:ascii="Times New Roman" w:eastAsia="Times New Roman" w:hAnsi="Times New Roman" w:cs="Times New Roman"/>
          <w:bCs/>
        </w:rPr>
        <w:t xml:space="preserve"> artigos de acesso gratuito, do tipo Ensaio Clínico Randomizado, Revisão Sistemática e </w:t>
      </w:r>
      <w:proofErr w:type="spellStart"/>
      <w:r w:rsidRPr="00C04BC6">
        <w:rPr>
          <w:rFonts w:ascii="Times New Roman" w:eastAsia="Times New Roman" w:hAnsi="Times New Roman" w:cs="Times New Roman"/>
          <w:bCs/>
        </w:rPr>
        <w:t>Metanálise</w:t>
      </w:r>
      <w:proofErr w:type="spellEnd"/>
      <w:r w:rsidRPr="00C04BC6">
        <w:rPr>
          <w:rFonts w:ascii="Times New Roman" w:eastAsia="Times New Roman" w:hAnsi="Times New Roman" w:cs="Times New Roman"/>
          <w:bCs/>
        </w:rPr>
        <w:t>, publicados entre os anos 2018 e 2022 (últimos 5 anos), escritos nos idiomas inglês, português e espanhol</w:t>
      </w:r>
      <w:r>
        <w:rPr>
          <w:rFonts w:ascii="Times New Roman" w:eastAsia="Times New Roman" w:hAnsi="Times New Roman" w:cs="Times New Roman"/>
          <w:bCs/>
        </w:rPr>
        <w:t>.</w:t>
      </w:r>
      <w:r w:rsidRPr="00C04BC6">
        <w:rPr>
          <w:rFonts w:ascii="Times New Roman" w:eastAsia="Times New Roman" w:hAnsi="Times New Roman" w:cs="Times New Roman"/>
          <w:bCs/>
        </w:rPr>
        <w:t xml:space="preserve"> </w:t>
      </w:r>
    </w:p>
    <w:p w14:paraId="1E5B4A3B" w14:textId="67C70918" w:rsidR="0068251A" w:rsidRDefault="0068251A" w:rsidP="00872EEE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 análise dos dados será feita a partir da leitura crítica dos artigos incluídos visando responder </w:t>
      </w:r>
      <w:r w:rsidR="007967F8">
        <w:rPr>
          <w:rFonts w:ascii="Times New Roman" w:eastAsia="Times New Roman" w:hAnsi="Times New Roman" w:cs="Times New Roman"/>
          <w:bCs/>
        </w:rPr>
        <w:t>à</w:t>
      </w:r>
      <w:r>
        <w:rPr>
          <w:rFonts w:ascii="Times New Roman" w:eastAsia="Times New Roman" w:hAnsi="Times New Roman" w:cs="Times New Roman"/>
          <w:bCs/>
        </w:rPr>
        <w:t xml:space="preserve"> pergunta de pesquisa.</w:t>
      </w:r>
    </w:p>
    <w:bookmarkEnd w:id="0"/>
    <w:p w14:paraId="35437B5C" w14:textId="6E507F85" w:rsidR="00582B2F" w:rsidRDefault="00582B2F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236F2E50" w14:textId="443B98CE" w:rsidR="002F1599" w:rsidRDefault="002F1599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3D61E5BC" w14:textId="6FB74166" w:rsidR="00D105FE" w:rsidRDefault="00D105FE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6454D9AB" w14:textId="295CFDBE" w:rsidR="00D105FE" w:rsidRDefault="00D105FE" w:rsidP="00872EEE">
      <w:pPr>
        <w:widowControl w:val="0"/>
        <w:autoSpaceDE w:val="0"/>
        <w:autoSpaceDN w:val="0"/>
        <w:adjustRightInd w:val="0"/>
        <w:spacing w:line="360" w:lineRule="auto"/>
        <w:ind w:right="-6" w:firstLine="709"/>
        <w:jc w:val="both"/>
        <w:rPr>
          <w:rFonts w:ascii="Times New Roman" w:eastAsia="Times New Roman" w:hAnsi="Times New Roman" w:cs="Times New Roman"/>
          <w:b/>
          <w:bCs/>
        </w:rPr>
      </w:pPr>
    </w:p>
    <w:p w14:paraId="6F7F2528" w14:textId="13DC360C" w:rsidR="00872EEE" w:rsidRDefault="00872EEE" w:rsidP="00582B2F">
      <w:pPr>
        <w:widowControl w:val="0"/>
        <w:autoSpaceDE w:val="0"/>
        <w:autoSpaceDN w:val="0"/>
        <w:adjustRightInd w:val="0"/>
        <w:spacing w:line="360" w:lineRule="auto"/>
        <w:ind w:right="-6"/>
        <w:jc w:val="both"/>
        <w:rPr>
          <w:rFonts w:ascii="Times New Roman" w:eastAsia="Times New Roman" w:hAnsi="Times New Roman" w:cs="Times New Roman"/>
          <w:b/>
          <w:bCs/>
        </w:rPr>
      </w:pPr>
    </w:p>
    <w:p w14:paraId="7EB7D43E" w14:textId="77777777" w:rsidR="00566666" w:rsidRDefault="00566666" w:rsidP="00B468BB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="Times New Roman" w:eastAsia="Times New Roman" w:hAnsi="Times New Roman" w:cs="Times New Roman"/>
          <w:b/>
          <w:bCs/>
        </w:rPr>
      </w:pPr>
    </w:p>
    <w:p w14:paraId="4E53C1F2" w14:textId="3648DED8" w:rsidR="00582B2F" w:rsidRPr="00B468BB" w:rsidRDefault="00582B2F" w:rsidP="00B468BB">
      <w:pPr>
        <w:widowControl w:val="0"/>
        <w:autoSpaceDE w:val="0"/>
        <w:autoSpaceDN w:val="0"/>
        <w:adjustRightInd w:val="0"/>
        <w:spacing w:line="360" w:lineRule="auto"/>
        <w:ind w:right="-6"/>
        <w:rPr>
          <w:rFonts w:ascii="Times New Roman" w:eastAsia="Times New Roman" w:hAnsi="Times New Roman" w:cs="Times New Roman"/>
          <w:b/>
          <w:bCs/>
        </w:rPr>
      </w:pPr>
      <w:r w:rsidRPr="695114F2">
        <w:rPr>
          <w:rFonts w:ascii="Times New Roman" w:eastAsia="Times New Roman" w:hAnsi="Times New Roman" w:cs="Times New Roman"/>
          <w:b/>
          <w:bCs/>
        </w:rPr>
        <w:lastRenderedPageBreak/>
        <w:t>3</w:t>
      </w:r>
      <w:r w:rsidR="00D105FE">
        <w:rPr>
          <w:rFonts w:ascii="Times New Roman" w:eastAsia="Times New Roman" w:hAnsi="Times New Roman" w:cs="Times New Roman"/>
          <w:b/>
          <w:bCs/>
        </w:rPr>
        <w:t xml:space="preserve">. </w:t>
      </w:r>
      <w:r w:rsidRPr="695114F2">
        <w:rPr>
          <w:rFonts w:ascii="Times New Roman" w:eastAsia="Times New Roman" w:hAnsi="Times New Roman" w:cs="Times New Roman"/>
          <w:b/>
          <w:bCs/>
        </w:rPr>
        <w:t>REFERÊNCIAS</w:t>
      </w:r>
    </w:p>
    <w:p w14:paraId="4B6C4908" w14:textId="7881924F" w:rsidR="00D81601" w:rsidRDefault="0068251A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68251A">
        <w:rPr>
          <w:rFonts w:ascii="Times New Roman" w:eastAsia="Calibri" w:hAnsi="Times New Roman" w:cs="Times New Roman"/>
        </w:rPr>
        <w:t xml:space="preserve">COLL, A. P. et al. </w:t>
      </w:r>
      <w:r w:rsidRPr="005A3923">
        <w:rPr>
          <w:rFonts w:ascii="Times New Roman" w:eastAsia="Calibri" w:hAnsi="Times New Roman" w:cs="Times New Roman"/>
          <w:b/>
          <w:bCs/>
          <w:lang w:val="en-US"/>
        </w:rPr>
        <w:t xml:space="preserve">GDF 15 mediates the effects of metformin on body weight and energy balance. </w:t>
      </w:r>
      <w:r w:rsidRPr="005A3923">
        <w:rPr>
          <w:rFonts w:ascii="Times New Roman" w:eastAsia="Calibri" w:hAnsi="Times New Roman" w:cs="Times New Roman"/>
          <w:lang w:val="en-US"/>
        </w:rPr>
        <w:t xml:space="preserve">Nature, v. 578, n. 7795, p. 444, 20 </w:t>
      </w:r>
      <w:proofErr w:type="spellStart"/>
      <w:r w:rsidRPr="005A3923">
        <w:rPr>
          <w:rFonts w:ascii="Times New Roman" w:eastAsia="Calibri" w:hAnsi="Times New Roman" w:cs="Times New Roman"/>
          <w:lang w:val="en-US"/>
        </w:rPr>
        <w:t>fev</w:t>
      </w:r>
      <w:proofErr w:type="spellEnd"/>
      <w:r w:rsidRPr="005A3923">
        <w:rPr>
          <w:rFonts w:ascii="Times New Roman" w:eastAsia="Calibri" w:hAnsi="Times New Roman" w:cs="Times New Roman"/>
          <w:lang w:val="en-US"/>
        </w:rPr>
        <w:t xml:space="preserve">. 2020. </w:t>
      </w:r>
    </w:p>
    <w:p w14:paraId="6EF730F0" w14:textId="77777777" w:rsidR="00175DEF" w:rsidRPr="005A3923" w:rsidRDefault="00175DEF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</w:p>
    <w:p w14:paraId="670E78FA" w14:textId="77DB8BA8" w:rsidR="00687D0E" w:rsidRDefault="0068251A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5A3923">
        <w:rPr>
          <w:rFonts w:ascii="Times New Roman" w:eastAsia="Calibri" w:hAnsi="Times New Roman" w:cs="Times New Roman"/>
          <w:lang w:val="en-US"/>
        </w:rPr>
        <w:t xml:space="preserve">GROUP, D. P. P. R. </w:t>
      </w:r>
      <w:r w:rsidRPr="005A3923">
        <w:rPr>
          <w:rFonts w:ascii="Times New Roman" w:eastAsia="Calibri" w:hAnsi="Times New Roman" w:cs="Times New Roman"/>
          <w:b/>
          <w:bCs/>
          <w:lang w:val="en-US"/>
        </w:rPr>
        <w:t xml:space="preserve">Reduction in the incidence of type 2 diabetes with lifestyle intervention or metformin. </w:t>
      </w:r>
      <w:r w:rsidRPr="005A3923">
        <w:rPr>
          <w:rFonts w:ascii="Times New Roman" w:eastAsia="Calibri" w:hAnsi="Times New Roman" w:cs="Times New Roman"/>
          <w:lang w:val="en-US"/>
        </w:rPr>
        <w:t xml:space="preserve">The New England journal of medicine, v. 346, n. 6, p. 393, 7 </w:t>
      </w:r>
      <w:proofErr w:type="spellStart"/>
      <w:r w:rsidRPr="005A3923">
        <w:rPr>
          <w:rFonts w:ascii="Times New Roman" w:eastAsia="Calibri" w:hAnsi="Times New Roman" w:cs="Times New Roman"/>
          <w:lang w:val="en-US"/>
        </w:rPr>
        <w:t>fev</w:t>
      </w:r>
      <w:proofErr w:type="spellEnd"/>
      <w:r w:rsidRPr="005A3923">
        <w:rPr>
          <w:rFonts w:ascii="Times New Roman" w:eastAsia="Calibri" w:hAnsi="Times New Roman" w:cs="Times New Roman"/>
          <w:lang w:val="en-US"/>
        </w:rPr>
        <w:t>. 2002.</w:t>
      </w:r>
    </w:p>
    <w:p w14:paraId="3C89B59A" w14:textId="77777777" w:rsidR="00D81601" w:rsidRPr="005A3923" w:rsidRDefault="00D81601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</w:p>
    <w:p w14:paraId="19381F6B" w14:textId="073AC852" w:rsidR="00687D0E" w:rsidRDefault="0068251A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5A3923">
        <w:rPr>
          <w:rFonts w:ascii="Times New Roman" w:eastAsia="Calibri" w:hAnsi="Times New Roman" w:cs="Times New Roman"/>
          <w:lang w:val="es-ES"/>
        </w:rPr>
        <w:t xml:space="preserve">KIETAIBL, A.-T. et al. </w:t>
      </w:r>
      <w:r w:rsidRPr="005A3923">
        <w:rPr>
          <w:rFonts w:ascii="Times New Roman" w:eastAsia="Calibri" w:hAnsi="Times New Roman" w:cs="Times New Roman"/>
          <w:b/>
          <w:bCs/>
          <w:lang w:val="en-US"/>
        </w:rPr>
        <w:t xml:space="preserve">New Diabetic Medication Sodium-Glucose Cotransporter-2 Inhibitors Can Induce Euglycemic Ketoacidosis and Mimic Surgical Diseases: </w:t>
      </w:r>
      <w:r w:rsidRPr="005A3923">
        <w:rPr>
          <w:rFonts w:ascii="Times New Roman" w:eastAsia="Calibri" w:hAnsi="Times New Roman" w:cs="Times New Roman"/>
          <w:lang w:val="en-US"/>
        </w:rPr>
        <w:t xml:space="preserve">A Case Report and Review of Literature. </w:t>
      </w:r>
      <w:proofErr w:type="spellStart"/>
      <w:r w:rsidRPr="0068251A">
        <w:rPr>
          <w:rFonts w:ascii="Times New Roman" w:eastAsia="Calibri" w:hAnsi="Times New Roman" w:cs="Times New Roman"/>
        </w:rPr>
        <w:t>Frontiers</w:t>
      </w:r>
      <w:proofErr w:type="spellEnd"/>
      <w:r w:rsidRPr="0068251A">
        <w:rPr>
          <w:rFonts w:ascii="Times New Roman" w:eastAsia="Calibri" w:hAnsi="Times New Roman" w:cs="Times New Roman"/>
        </w:rPr>
        <w:t xml:space="preserve"> in </w:t>
      </w:r>
      <w:proofErr w:type="spellStart"/>
      <w:r w:rsidRPr="0068251A">
        <w:rPr>
          <w:rFonts w:ascii="Times New Roman" w:eastAsia="Calibri" w:hAnsi="Times New Roman" w:cs="Times New Roman"/>
        </w:rPr>
        <w:t>surgery</w:t>
      </w:r>
      <w:proofErr w:type="spellEnd"/>
      <w:r w:rsidRPr="0068251A">
        <w:rPr>
          <w:rFonts w:ascii="Times New Roman" w:eastAsia="Calibri" w:hAnsi="Times New Roman" w:cs="Times New Roman"/>
        </w:rPr>
        <w:t xml:space="preserve">, v. 9, 24 mar. 2022. </w:t>
      </w:r>
    </w:p>
    <w:p w14:paraId="7523A21D" w14:textId="77777777" w:rsidR="00D81601" w:rsidRPr="0068251A" w:rsidRDefault="00D81601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6CFD8DCD" w14:textId="28657264" w:rsidR="0068251A" w:rsidRDefault="00D105FE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VIGITEL, BRASIL. </w:t>
      </w:r>
      <w:r w:rsidRPr="00D105FE">
        <w:rPr>
          <w:rFonts w:ascii="Times New Roman" w:eastAsia="Calibri" w:hAnsi="Times New Roman" w:cs="Times New Roman"/>
          <w:b/>
          <w:bCs/>
        </w:rPr>
        <w:t>Vigilância de fatores de risco e proteção para doenças crônicas por inquérito telefônico</w:t>
      </w:r>
      <w:r>
        <w:rPr>
          <w:rFonts w:ascii="Times New Roman" w:eastAsia="Calibri" w:hAnsi="Times New Roman" w:cs="Times New Roman"/>
        </w:rPr>
        <w:t>. SVS/Ministério da Saúde 2020</w:t>
      </w:r>
    </w:p>
    <w:p w14:paraId="15CA667B" w14:textId="77777777" w:rsidR="00687D0E" w:rsidRPr="0068251A" w:rsidRDefault="00687D0E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</w:p>
    <w:p w14:paraId="5635DCEB" w14:textId="10CA38EE" w:rsidR="0068251A" w:rsidRPr="005A3923" w:rsidRDefault="0068251A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68251A">
        <w:rPr>
          <w:rFonts w:ascii="Times New Roman" w:eastAsia="Calibri" w:hAnsi="Times New Roman" w:cs="Times New Roman"/>
        </w:rPr>
        <w:t xml:space="preserve">NERES, M. D. S. S.; NETTO, P. A.; GUSMÃO, R. J. V. </w:t>
      </w:r>
      <w:r w:rsidRPr="00687D0E">
        <w:rPr>
          <w:rFonts w:ascii="Times New Roman" w:eastAsia="Calibri" w:hAnsi="Times New Roman" w:cs="Times New Roman"/>
          <w:b/>
          <w:bCs/>
        </w:rPr>
        <w:t xml:space="preserve">A </w:t>
      </w:r>
      <w:proofErr w:type="spellStart"/>
      <w:r w:rsidRPr="00687D0E">
        <w:rPr>
          <w:rFonts w:ascii="Times New Roman" w:eastAsia="Calibri" w:hAnsi="Times New Roman" w:cs="Times New Roman"/>
          <w:b/>
          <w:bCs/>
        </w:rPr>
        <w:t>liraglutida</w:t>
      </w:r>
      <w:proofErr w:type="spellEnd"/>
      <w:r w:rsidRPr="00687D0E">
        <w:rPr>
          <w:rFonts w:ascii="Times New Roman" w:eastAsia="Calibri" w:hAnsi="Times New Roman" w:cs="Times New Roman"/>
          <w:b/>
          <w:bCs/>
        </w:rPr>
        <w:t xml:space="preserve"> no tratamento da obesidade.</w:t>
      </w:r>
      <w:r w:rsidRPr="0068251A">
        <w:rPr>
          <w:rFonts w:ascii="Times New Roman" w:eastAsia="Calibri" w:hAnsi="Times New Roman" w:cs="Times New Roman"/>
        </w:rPr>
        <w:t xml:space="preserve"> Faculdade Unida De Campinas-</w:t>
      </w:r>
      <w:proofErr w:type="spellStart"/>
      <w:r w:rsidRPr="0068251A">
        <w:rPr>
          <w:rFonts w:ascii="Times New Roman" w:eastAsia="Calibri" w:hAnsi="Times New Roman" w:cs="Times New Roman"/>
        </w:rPr>
        <w:t>Facunicamps</w:t>
      </w:r>
      <w:proofErr w:type="spellEnd"/>
      <w:r w:rsidRPr="0068251A">
        <w:rPr>
          <w:rFonts w:ascii="Times New Roman" w:eastAsia="Calibri" w:hAnsi="Times New Roman" w:cs="Times New Roman"/>
        </w:rPr>
        <w:t xml:space="preserve"> Curso De Graduação Em Farmácia Milena Santana Neres. </w:t>
      </w:r>
      <w:proofErr w:type="spellStart"/>
      <w:r w:rsidRPr="005A3923">
        <w:rPr>
          <w:rFonts w:ascii="Times New Roman" w:eastAsia="Calibri" w:hAnsi="Times New Roman" w:cs="Times New Roman"/>
          <w:lang w:val="en-US"/>
        </w:rPr>
        <w:t>Goiânia</w:t>
      </w:r>
      <w:proofErr w:type="spellEnd"/>
      <w:r w:rsidRPr="005A3923">
        <w:rPr>
          <w:rFonts w:ascii="Times New Roman" w:eastAsia="Calibri" w:hAnsi="Times New Roman" w:cs="Times New Roman"/>
          <w:lang w:val="en-US"/>
        </w:rPr>
        <w:t xml:space="preserve">: </w:t>
      </w:r>
      <w:proofErr w:type="spellStart"/>
      <w:r w:rsidRPr="005A3923">
        <w:rPr>
          <w:rFonts w:ascii="Times New Roman" w:eastAsia="Calibri" w:hAnsi="Times New Roman" w:cs="Times New Roman"/>
          <w:lang w:val="en-US"/>
        </w:rPr>
        <w:t>FacUNICAMPS</w:t>
      </w:r>
      <w:proofErr w:type="spellEnd"/>
      <w:r w:rsidRPr="005A3923">
        <w:rPr>
          <w:rFonts w:ascii="Times New Roman" w:eastAsia="Calibri" w:hAnsi="Times New Roman" w:cs="Times New Roman"/>
          <w:lang w:val="en-US"/>
        </w:rPr>
        <w:t>., 2019.</w:t>
      </w:r>
    </w:p>
    <w:p w14:paraId="38F6B770" w14:textId="77777777" w:rsidR="00687D0E" w:rsidRPr="005A3923" w:rsidRDefault="00687D0E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</w:p>
    <w:p w14:paraId="6B690F7E" w14:textId="6BE80745" w:rsidR="0068251A" w:rsidRPr="005A3923" w:rsidRDefault="0068251A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5A3923">
        <w:rPr>
          <w:rFonts w:ascii="Times New Roman" w:eastAsia="Calibri" w:hAnsi="Times New Roman" w:cs="Times New Roman"/>
          <w:lang w:val="en-US"/>
        </w:rPr>
        <w:t xml:space="preserve">PALMER, S. C. et al. </w:t>
      </w:r>
      <w:r w:rsidRPr="005A3923">
        <w:rPr>
          <w:rFonts w:ascii="Times New Roman" w:eastAsia="Calibri" w:hAnsi="Times New Roman" w:cs="Times New Roman"/>
          <w:b/>
          <w:bCs/>
          <w:lang w:val="en-US"/>
        </w:rPr>
        <w:t xml:space="preserve">Sodium-glucose cotransporter protein-2 (SGLT-2) inhibitors and glucagon-like peptide-1 (GLP-1) receptor agonists for type 2 diabetes: </w:t>
      </w:r>
      <w:r w:rsidRPr="005A3923">
        <w:rPr>
          <w:rFonts w:ascii="Times New Roman" w:eastAsia="Calibri" w:hAnsi="Times New Roman" w:cs="Times New Roman"/>
          <w:lang w:val="en-US"/>
        </w:rPr>
        <w:t xml:space="preserve">systematic review and network meta-analysis of </w:t>
      </w:r>
      <w:proofErr w:type="spellStart"/>
      <w:r w:rsidRPr="005A3923">
        <w:rPr>
          <w:rFonts w:ascii="Times New Roman" w:eastAsia="Calibri" w:hAnsi="Times New Roman" w:cs="Times New Roman"/>
          <w:lang w:val="en-US"/>
        </w:rPr>
        <w:t>randomised</w:t>
      </w:r>
      <w:proofErr w:type="spellEnd"/>
      <w:r w:rsidRPr="005A3923">
        <w:rPr>
          <w:rFonts w:ascii="Times New Roman" w:eastAsia="Calibri" w:hAnsi="Times New Roman" w:cs="Times New Roman"/>
          <w:lang w:val="en-US"/>
        </w:rPr>
        <w:t xml:space="preserve"> controlled trials. The BMJ, v. 372, 13 </w:t>
      </w:r>
      <w:proofErr w:type="spellStart"/>
      <w:r w:rsidRPr="005A3923">
        <w:rPr>
          <w:rFonts w:ascii="Times New Roman" w:eastAsia="Calibri" w:hAnsi="Times New Roman" w:cs="Times New Roman"/>
          <w:lang w:val="en-US"/>
        </w:rPr>
        <w:t>jan.</w:t>
      </w:r>
      <w:proofErr w:type="spellEnd"/>
      <w:r w:rsidRPr="005A3923">
        <w:rPr>
          <w:rFonts w:ascii="Times New Roman" w:eastAsia="Calibri" w:hAnsi="Times New Roman" w:cs="Times New Roman"/>
          <w:lang w:val="en-US"/>
        </w:rPr>
        <w:t xml:space="preserve"> 2021. </w:t>
      </w:r>
    </w:p>
    <w:p w14:paraId="3F6BDC20" w14:textId="77777777" w:rsidR="00687D0E" w:rsidRPr="005A3923" w:rsidRDefault="00687D0E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</w:p>
    <w:p w14:paraId="388432BC" w14:textId="27E88D6B" w:rsidR="0068251A" w:rsidRPr="005A3923" w:rsidRDefault="0068251A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5A3923">
        <w:rPr>
          <w:rFonts w:ascii="Times New Roman" w:eastAsia="Calibri" w:hAnsi="Times New Roman" w:cs="Times New Roman"/>
          <w:lang w:val="en-US"/>
        </w:rPr>
        <w:t xml:space="preserve">PI-SUNYER; F. XAVIER. </w:t>
      </w:r>
      <w:r w:rsidRPr="005A3923">
        <w:rPr>
          <w:rFonts w:ascii="Times New Roman" w:eastAsia="Calibri" w:hAnsi="Times New Roman" w:cs="Times New Roman"/>
          <w:b/>
          <w:bCs/>
          <w:lang w:val="en-US"/>
        </w:rPr>
        <w:t>Effects of Overweight and Obesity on Running Mechanics in Children.</w:t>
      </w:r>
      <w:r w:rsidRPr="005A3923">
        <w:rPr>
          <w:rFonts w:ascii="Times New Roman" w:eastAsia="Calibri" w:hAnsi="Times New Roman" w:cs="Times New Roman"/>
          <w:lang w:val="en-US"/>
        </w:rPr>
        <w:t xml:space="preserve"> Medicine and science in sports and exercise, v. 53, n. 10, p. 2101–2110, 1 out. 1999. </w:t>
      </w:r>
    </w:p>
    <w:p w14:paraId="1F861AE3" w14:textId="77777777" w:rsidR="00687D0E" w:rsidRPr="005A3923" w:rsidRDefault="00687D0E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</w:p>
    <w:p w14:paraId="5358D2BE" w14:textId="2977177E" w:rsidR="00071523" w:rsidRPr="005A3923" w:rsidRDefault="0068251A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5A3923">
        <w:rPr>
          <w:rFonts w:ascii="Times New Roman" w:eastAsia="Calibri" w:hAnsi="Times New Roman" w:cs="Times New Roman"/>
          <w:lang w:val="en-US"/>
        </w:rPr>
        <w:t xml:space="preserve">POULSEN, S. B.; FENTON, R. A.; RIEG, T. </w:t>
      </w:r>
      <w:r w:rsidRPr="005A3923">
        <w:rPr>
          <w:rFonts w:ascii="Times New Roman" w:eastAsia="Calibri" w:hAnsi="Times New Roman" w:cs="Times New Roman"/>
          <w:b/>
          <w:bCs/>
          <w:lang w:val="en-US"/>
        </w:rPr>
        <w:t xml:space="preserve">Sodium-glucose cotransport. </w:t>
      </w:r>
      <w:r w:rsidRPr="005A3923">
        <w:rPr>
          <w:rFonts w:ascii="Times New Roman" w:eastAsia="Calibri" w:hAnsi="Times New Roman" w:cs="Times New Roman"/>
          <w:lang w:val="en-US"/>
        </w:rPr>
        <w:t xml:space="preserve">Current opinion in nephrology and hypertension, v. 24, n. 5, p. 463, 1 set. 2015. </w:t>
      </w:r>
    </w:p>
    <w:p w14:paraId="55508EDF" w14:textId="6AD3A6F7" w:rsidR="0068251A" w:rsidRPr="005A3923" w:rsidRDefault="0068251A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5A3923">
        <w:rPr>
          <w:rFonts w:ascii="Times New Roman" w:eastAsia="Calibri" w:hAnsi="Times New Roman" w:cs="Times New Roman"/>
          <w:lang w:val="en-US"/>
        </w:rPr>
        <w:t xml:space="preserve">SINGH, M.; KUMAR, A. </w:t>
      </w:r>
      <w:r w:rsidRPr="005A3923">
        <w:rPr>
          <w:rFonts w:ascii="Times New Roman" w:eastAsia="Calibri" w:hAnsi="Times New Roman" w:cs="Times New Roman"/>
          <w:b/>
          <w:bCs/>
          <w:lang w:val="en-US"/>
        </w:rPr>
        <w:t>Risks Associated with SGLT2 Inhibitors:</w:t>
      </w:r>
      <w:r w:rsidRPr="005A3923">
        <w:rPr>
          <w:rFonts w:ascii="Times New Roman" w:eastAsia="Calibri" w:hAnsi="Times New Roman" w:cs="Times New Roman"/>
          <w:lang w:val="en-US"/>
        </w:rPr>
        <w:t xml:space="preserve"> An Overview. Current drug safety, v. 13, n. 2, p. 84–91, 27 </w:t>
      </w:r>
      <w:proofErr w:type="spellStart"/>
      <w:r w:rsidRPr="005A3923">
        <w:rPr>
          <w:rFonts w:ascii="Times New Roman" w:eastAsia="Calibri" w:hAnsi="Times New Roman" w:cs="Times New Roman"/>
          <w:lang w:val="en-US"/>
        </w:rPr>
        <w:t>fev</w:t>
      </w:r>
      <w:proofErr w:type="spellEnd"/>
      <w:r w:rsidRPr="005A3923">
        <w:rPr>
          <w:rFonts w:ascii="Times New Roman" w:eastAsia="Calibri" w:hAnsi="Times New Roman" w:cs="Times New Roman"/>
          <w:lang w:val="en-US"/>
        </w:rPr>
        <w:t xml:space="preserve">. 2018a. </w:t>
      </w:r>
    </w:p>
    <w:p w14:paraId="54B93875" w14:textId="77777777" w:rsidR="00687D0E" w:rsidRPr="005A3923" w:rsidRDefault="00687D0E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</w:p>
    <w:p w14:paraId="0E85DB9A" w14:textId="60B7BB8A" w:rsidR="0068251A" w:rsidRPr="005A3923" w:rsidRDefault="0068251A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  <w:r w:rsidRPr="005A3923">
        <w:rPr>
          <w:rFonts w:ascii="Times New Roman" w:eastAsia="Calibri" w:hAnsi="Times New Roman" w:cs="Times New Roman"/>
          <w:lang w:val="en-US"/>
        </w:rPr>
        <w:t>SINGH, M.; KUMAR, A</w:t>
      </w:r>
      <w:r w:rsidRPr="005A3923">
        <w:rPr>
          <w:rFonts w:ascii="Times New Roman" w:eastAsia="Calibri" w:hAnsi="Times New Roman" w:cs="Times New Roman"/>
          <w:b/>
          <w:bCs/>
          <w:lang w:val="en-US"/>
        </w:rPr>
        <w:t>. Risks Associated with SGLT2 Inhibitors:</w:t>
      </w:r>
      <w:r w:rsidRPr="005A3923">
        <w:rPr>
          <w:rFonts w:ascii="Times New Roman" w:eastAsia="Calibri" w:hAnsi="Times New Roman" w:cs="Times New Roman"/>
          <w:lang w:val="en-US"/>
        </w:rPr>
        <w:t xml:space="preserve"> An Overview. Current Drug Safety, v. 13, n. 2, p. 84–91, 27 </w:t>
      </w:r>
      <w:proofErr w:type="spellStart"/>
      <w:r w:rsidRPr="005A3923">
        <w:rPr>
          <w:rFonts w:ascii="Times New Roman" w:eastAsia="Calibri" w:hAnsi="Times New Roman" w:cs="Times New Roman"/>
          <w:lang w:val="en-US"/>
        </w:rPr>
        <w:t>fev</w:t>
      </w:r>
      <w:proofErr w:type="spellEnd"/>
      <w:r w:rsidRPr="005A3923">
        <w:rPr>
          <w:rFonts w:ascii="Times New Roman" w:eastAsia="Calibri" w:hAnsi="Times New Roman" w:cs="Times New Roman"/>
          <w:lang w:val="en-US"/>
        </w:rPr>
        <w:t xml:space="preserve">. 2018b. </w:t>
      </w:r>
    </w:p>
    <w:p w14:paraId="03A29193" w14:textId="77777777" w:rsidR="00687D0E" w:rsidRPr="005A3923" w:rsidRDefault="00687D0E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  <w:lang w:val="en-US"/>
        </w:rPr>
      </w:pPr>
    </w:p>
    <w:p w14:paraId="7E9DDA80" w14:textId="0EB77239" w:rsidR="0068251A" w:rsidRDefault="0068251A" w:rsidP="00B36C99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proofErr w:type="gramStart"/>
      <w:r w:rsidRPr="005A3923">
        <w:rPr>
          <w:rFonts w:ascii="Times New Roman" w:eastAsia="Calibri" w:hAnsi="Times New Roman" w:cs="Times New Roman"/>
          <w:lang w:val="en-US"/>
        </w:rPr>
        <w:t>WHO.</w:t>
      </w:r>
      <w:proofErr w:type="gramEnd"/>
      <w:r w:rsidRPr="005A3923">
        <w:rPr>
          <w:rFonts w:ascii="Times New Roman" w:eastAsia="Calibri" w:hAnsi="Times New Roman" w:cs="Times New Roman"/>
          <w:lang w:val="en-US"/>
        </w:rPr>
        <w:t xml:space="preserve"> </w:t>
      </w:r>
      <w:r w:rsidRPr="005A3923">
        <w:rPr>
          <w:rFonts w:ascii="Times New Roman" w:eastAsia="Calibri" w:hAnsi="Times New Roman" w:cs="Times New Roman"/>
          <w:b/>
          <w:bCs/>
          <w:lang w:val="en-US"/>
        </w:rPr>
        <w:t>Obesity and overweight.</w:t>
      </w:r>
      <w:r w:rsidRPr="005A392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486605">
        <w:rPr>
          <w:rFonts w:ascii="Times New Roman" w:eastAsia="Calibri" w:hAnsi="Times New Roman" w:cs="Times New Roman"/>
          <w:lang w:val="en-US"/>
        </w:rPr>
        <w:t>Disponível</w:t>
      </w:r>
      <w:proofErr w:type="spellEnd"/>
      <w:r w:rsidRPr="00486605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486605">
        <w:rPr>
          <w:rFonts w:ascii="Times New Roman" w:eastAsia="Calibri" w:hAnsi="Times New Roman" w:cs="Times New Roman"/>
          <w:lang w:val="en-US"/>
        </w:rPr>
        <w:t>em</w:t>
      </w:r>
      <w:proofErr w:type="spellEnd"/>
      <w:r w:rsidRPr="00486605">
        <w:rPr>
          <w:rFonts w:ascii="Times New Roman" w:eastAsia="Calibri" w:hAnsi="Times New Roman" w:cs="Times New Roman"/>
          <w:lang w:val="en-US"/>
        </w:rPr>
        <w:t xml:space="preserve">: &lt;https://www.who.int/news-room/fact-sheets/detail/obesity-and-overweight&gt;. </w:t>
      </w:r>
      <w:r w:rsidRPr="0068251A">
        <w:rPr>
          <w:rFonts w:ascii="Times New Roman" w:eastAsia="Calibri" w:hAnsi="Times New Roman" w:cs="Times New Roman"/>
        </w:rPr>
        <w:t>Acesso em: 20 abr. 2022.</w:t>
      </w:r>
    </w:p>
    <w:sectPr w:rsidR="0068251A" w:rsidSect="00B36C99">
      <w:headerReference w:type="default" r:id="rId7"/>
      <w:footerReference w:type="default" r:id="rId8"/>
      <w:pgSz w:w="11900" w:h="16840"/>
      <w:pgMar w:top="1701" w:right="1134" w:bottom="1134" w:left="1701" w:header="709" w:footer="19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4A31" w14:textId="77777777" w:rsidR="005914D5" w:rsidRDefault="005914D5" w:rsidP="00AC4AE3">
      <w:r>
        <w:separator/>
      </w:r>
    </w:p>
  </w:endnote>
  <w:endnote w:type="continuationSeparator" w:id="0">
    <w:p w14:paraId="0327ACA4" w14:textId="77777777" w:rsidR="005914D5" w:rsidRDefault="005914D5" w:rsidP="00AC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D10CC" w14:textId="1A4B4949" w:rsidR="00AC4AE3" w:rsidRDefault="00AF6B20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830273" wp14:editId="55472AB8">
              <wp:simplePos x="0" y="0"/>
              <wp:positionH relativeFrom="column">
                <wp:posOffset>-800100</wp:posOffset>
              </wp:positionH>
              <wp:positionV relativeFrom="paragraph">
                <wp:posOffset>262255</wp:posOffset>
              </wp:positionV>
              <wp:extent cx="2514600" cy="521970"/>
              <wp:effectExtent l="0" t="0" r="0" b="1143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460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AD9E55" w14:textId="63E66F5E" w:rsidR="00AC4AE3" w:rsidRPr="002B69A8" w:rsidRDefault="00AC4AE3" w:rsidP="002B69A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="Arial" w:hAnsi="Arial" w:cs="Arial"/>
                              <w:color w:val="00000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83027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63pt;margin-top:20.65pt;width:198pt;height:4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" filled="f" stroked="f">
              <v:textbox>
                <w:txbxContent>
                  <w:p w14:paraId="07AD9E55" w14:textId="63E66F5E" w:rsidR="00AC4AE3" w:rsidRPr="002B69A8" w:rsidRDefault="00AC4AE3" w:rsidP="002B69A8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Arial" w:hAnsi="Arial" w:cs="Arial"/>
                        <w:color w:val="00000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B4D1C" w14:textId="77777777" w:rsidR="005914D5" w:rsidRDefault="005914D5" w:rsidP="00AC4AE3">
      <w:r>
        <w:separator/>
      </w:r>
    </w:p>
  </w:footnote>
  <w:footnote w:type="continuationSeparator" w:id="0">
    <w:p w14:paraId="21AC257D" w14:textId="77777777" w:rsidR="005914D5" w:rsidRDefault="005914D5" w:rsidP="00AC4AE3">
      <w:r>
        <w:continuationSeparator/>
      </w:r>
    </w:p>
  </w:footnote>
  <w:footnote w:id="1">
    <w:p w14:paraId="0057D661" w14:textId="42F01120" w:rsidR="00582B2F" w:rsidRDefault="00582B2F" w:rsidP="00582B2F">
      <w:pPr>
        <w:pStyle w:val="Textodenotaderodap"/>
      </w:pPr>
      <w:r>
        <w:rPr>
          <w:rStyle w:val="Refdenotaderodap"/>
        </w:rPr>
        <w:footnoteRef/>
      </w:r>
      <w:r w:rsidR="695114F2">
        <w:t xml:space="preserve"> </w:t>
      </w:r>
      <w:r w:rsidR="00B55B3F">
        <w:t>Professor Doutor</w:t>
      </w:r>
      <w:r w:rsidR="695114F2">
        <w:t xml:space="preserve"> do curso de </w:t>
      </w:r>
      <w:r w:rsidR="00B55B3F">
        <w:t>Medicina</w:t>
      </w:r>
      <w:r w:rsidR="695114F2">
        <w:t xml:space="preserve"> da Faculdade de Medicina </w:t>
      </w:r>
      <w:proofErr w:type="spellStart"/>
      <w:r w:rsidR="695114F2">
        <w:t>Un</w:t>
      </w:r>
      <w:r w:rsidR="00B55B3F">
        <w:t>i</w:t>
      </w:r>
      <w:r w:rsidR="695114F2">
        <w:t>euro</w:t>
      </w:r>
      <w:proofErr w:type="spellEnd"/>
      <w:r w:rsidR="695114F2">
        <w:t xml:space="preserve"> –, </w:t>
      </w:r>
      <w:r w:rsidR="00EB6A0D">
        <w:t>joaquim.neto@unieuro.</w:t>
      </w:r>
      <w:r w:rsidR="005A3923">
        <w:t>edu</w:t>
      </w:r>
      <w:r w:rsidR="00EB6A0D">
        <w:t>.br</w:t>
      </w:r>
      <w:r w:rsidR="695114F2">
        <w:t>.</w:t>
      </w:r>
    </w:p>
    <w:p w14:paraId="680DF6F1" w14:textId="5C77AFB7" w:rsidR="00B55B3F" w:rsidRDefault="00B55B3F" w:rsidP="00582B2F">
      <w:pPr>
        <w:pStyle w:val="Textodenotaderodap"/>
      </w:pPr>
      <w:r>
        <w:rPr>
          <w:rStyle w:val="Refdenotaderodap"/>
        </w:rPr>
        <w:t>2</w:t>
      </w:r>
      <w:r>
        <w:t xml:space="preserve"> Acadêmico(s) do 1º período do curso de Medicina da Faculdade de Medicina </w:t>
      </w:r>
      <w:proofErr w:type="spellStart"/>
      <w:r>
        <w:t>Unieuro</w:t>
      </w:r>
      <w:proofErr w:type="spellEnd"/>
      <w:r>
        <w:t xml:space="preserve"> –, </w:t>
      </w:r>
      <w:r w:rsidR="00EB6A0D">
        <w:t>judi58826@unieuro.com.br.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695114F2" w14:paraId="56685AF6" w14:textId="77777777" w:rsidTr="695114F2">
      <w:tc>
        <w:tcPr>
          <w:tcW w:w="3020" w:type="dxa"/>
        </w:tcPr>
        <w:p w14:paraId="7745F7C5" w14:textId="402B02C2" w:rsidR="695114F2" w:rsidRDefault="695114F2" w:rsidP="695114F2">
          <w:pPr>
            <w:pStyle w:val="Cabealho"/>
            <w:ind w:left="-115"/>
          </w:pPr>
        </w:p>
      </w:tc>
      <w:tc>
        <w:tcPr>
          <w:tcW w:w="3020" w:type="dxa"/>
        </w:tcPr>
        <w:p w14:paraId="6EAD17B2" w14:textId="2165FE71" w:rsidR="695114F2" w:rsidRDefault="695114F2" w:rsidP="695114F2">
          <w:pPr>
            <w:pStyle w:val="Cabealho"/>
            <w:jc w:val="center"/>
          </w:pPr>
        </w:p>
      </w:tc>
      <w:tc>
        <w:tcPr>
          <w:tcW w:w="3020" w:type="dxa"/>
        </w:tcPr>
        <w:p w14:paraId="00F9F464" w14:textId="492426B4" w:rsidR="695114F2" w:rsidRDefault="695114F2" w:rsidP="695114F2">
          <w:pPr>
            <w:pStyle w:val="Cabealho"/>
            <w:ind w:right="-115"/>
            <w:jc w:val="right"/>
          </w:pPr>
        </w:p>
      </w:tc>
    </w:tr>
  </w:tbl>
  <w:p w14:paraId="6F847321" w14:textId="6B077465" w:rsidR="695114F2" w:rsidRDefault="695114F2" w:rsidP="695114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F7C8F"/>
    <w:multiLevelType w:val="multilevel"/>
    <w:tmpl w:val="B7B8B2F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11683E"/>
    <w:multiLevelType w:val="hybridMultilevel"/>
    <w:tmpl w:val="C5284D4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4112F71"/>
    <w:multiLevelType w:val="multilevel"/>
    <w:tmpl w:val="6A6E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33A18"/>
    <w:multiLevelType w:val="hybridMultilevel"/>
    <w:tmpl w:val="B8FAD0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298F"/>
    <w:multiLevelType w:val="hybridMultilevel"/>
    <w:tmpl w:val="11A89822"/>
    <w:lvl w:ilvl="0" w:tplc="BA003DC8">
      <w:start w:val="1"/>
      <w:numFmt w:val="decimal"/>
      <w:lvlText w:val="%1."/>
      <w:lvlJc w:val="left"/>
      <w:pPr>
        <w:ind w:left="720" w:hanging="360"/>
      </w:pPr>
    </w:lvl>
    <w:lvl w:ilvl="1" w:tplc="A26E0054">
      <w:start w:val="1"/>
      <w:numFmt w:val="lowerLetter"/>
      <w:lvlText w:val="%2."/>
      <w:lvlJc w:val="left"/>
      <w:pPr>
        <w:ind w:left="1440" w:hanging="360"/>
      </w:pPr>
    </w:lvl>
    <w:lvl w:ilvl="2" w:tplc="0AB0813E">
      <w:start w:val="1"/>
      <w:numFmt w:val="lowerRoman"/>
      <w:lvlText w:val="%3."/>
      <w:lvlJc w:val="right"/>
      <w:pPr>
        <w:ind w:left="2160" w:hanging="180"/>
      </w:pPr>
    </w:lvl>
    <w:lvl w:ilvl="3" w:tplc="887443B4">
      <w:start w:val="1"/>
      <w:numFmt w:val="decimal"/>
      <w:lvlText w:val="%4."/>
      <w:lvlJc w:val="left"/>
      <w:pPr>
        <w:ind w:left="2880" w:hanging="360"/>
      </w:pPr>
    </w:lvl>
    <w:lvl w:ilvl="4" w:tplc="D51E8908">
      <w:start w:val="1"/>
      <w:numFmt w:val="lowerLetter"/>
      <w:lvlText w:val="%5."/>
      <w:lvlJc w:val="left"/>
      <w:pPr>
        <w:ind w:left="3600" w:hanging="360"/>
      </w:pPr>
    </w:lvl>
    <w:lvl w:ilvl="5" w:tplc="9634D284">
      <w:start w:val="1"/>
      <w:numFmt w:val="lowerRoman"/>
      <w:lvlText w:val="%6."/>
      <w:lvlJc w:val="right"/>
      <w:pPr>
        <w:ind w:left="4320" w:hanging="180"/>
      </w:pPr>
    </w:lvl>
    <w:lvl w:ilvl="6" w:tplc="C56EA6E8">
      <w:start w:val="1"/>
      <w:numFmt w:val="decimal"/>
      <w:lvlText w:val="%7."/>
      <w:lvlJc w:val="left"/>
      <w:pPr>
        <w:ind w:left="5040" w:hanging="360"/>
      </w:pPr>
    </w:lvl>
    <w:lvl w:ilvl="7" w:tplc="892004F6">
      <w:start w:val="1"/>
      <w:numFmt w:val="lowerLetter"/>
      <w:lvlText w:val="%8."/>
      <w:lvlJc w:val="left"/>
      <w:pPr>
        <w:ind w:left="5760" w:hanging="360"/>
      </w:pPr>
    </w:lvl>
    <w:lvl w:ilvl="8" w:tplc="CBB6A87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F2C4B"/>
    <w:multiLevelType w:val="multilevel"/>
    <w:tmpl w:val="14B483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7" w15:restartNumberingAfterBreak="0">
    <w:nsid w:val="6CA00567"/>
    <w:multiLevelType w:val="hybridMultilevel"/>
    <w:tmpl w:val="0C2C52DA"/>
    <w:lvl w:ilvl="0" w:tplc="4474A6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454519711">
    <w:abstractNumId w:val="5"/>
  </w:num>
  <w:num w:numId="2" w16cid:durableId="1173688859">
    <w:abstractNumId w:val="1"/>
  </w:num>
  <w:num w:numId="3" w16cid:durableId="1085109161">
    <w:abstractNumId w:val="6"/>
  </w:num>
  <w:num w:numId="4" w16cid:durableId="1789202391">
    <w:abstractNumId w:val="0"/>
  </w:num>
  <w:num w:numId="5" w16cid:durableId="1847859194">
    <w:abstractNumId w:val="4"/>
  </w:num>
  <w:num w:numId="6" w16cid:durableId="278538636">
    <w:abstractNumId w:val="2"/>
  </w:num>
  <w:num w:numId="7" w16cid:durableId="118306900">
    <w:abstractNumId w:val="3"/>
  </w:num>
  <w:num w:numId="8" w16cid:durableId="810268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AE3"/>
    <w:rsid w:val="00042C7D"/>
    <w:rsid w:val="00071523"/>
    <w:rsid w:val="000900D2"/>
    <w:rsid w:val="00090402"/>
    <w:rsid w:val="000B26C6"/>
    <w:rsid w:val="000D424E"/>
    <w:rsid w:val="001200BF"/>
    <w:rsid w:val="0013492A"/>
    <w:rsid w:val="001408EA"/>
    <w:rsid w:val="00173AA7"/>
    <w:rsid w:val="00175DEF"/>
    <w:rsid w:val="001E289C"/>
    <w:rsid w:val="0021308B"/>
    <w:rsid w:val="00225AC6"/>
    <w:rsid w:val="00254B5A"/>
    <w:rsid w:val="00282D75"/>
    <w:rsid w:val="002B69A8"/>
    <w:rsid w:val="002F1599"/>
    <w:rsid w:val="0034256E"/>
    <w:rsid w:val="00347C12"/>
    <w:rsid w:val="003D4D7B"/>
    <w:rsid w:val="004100E0"/>
    <w:rsid w:val="00486605"/>
    <w:rsid w:val="005273EC"/>
    <w:rsid w:val="00554AE0"/>
    <w:rsid w:val="00566666"/>
    <w:rsid w:val="00582B2F"/>
    <w:rsid w:val="005914D5"/>
    <w:rsid w:val="005A3923"/>
    <w:rsid w:val="005C4C50"/>
    <w:rsid w:val="005F24E7"/>
    <w:rsid w:val="00653187"/>
    <w:rsid w:val="0065406A"/>
    <w:rsid w:val="006570A1"/>
    <w:rsid w:val="0066621A"/>
    <w:rsid w:val="0068251A"/>
    <w:rsid w:val="00687D0E"/>
    <w:rsid w:val="006B2502"/>
    <w:rsid w:val="00707AAC"/>
    <w:rsid w:val="00772739"/>
    <w:rsid w:val="007967F8"/>
    <w:rsid w:val="00842B86"/>
    <w:rsid w:val="00872EEE"/>
    <w:rsid w:val="008808FC"/>
    <w:rsid w:val="008A2B74"/>
    <w:rsid w:val="008B190D"/>
    <w:rsid w:val="00935899"/>
    <w:rsid w:val="009C6AE9"/>
    <w:rsid w:val="00AC4AE3"/>
    <w:rsid w:val="00AF6B20"/>
    <w:rsid w:val="00B04B8C"/>
    <w:rsid w:val="00B17256"/>
    <w:rsid w:val="00B36C99"/>
    <w:rsid w:val="00B468BB"/>
    <w:rsid w:val="00B55B3F"/>
    <w:rsid w:val="00BF65CF"/>
    <w:rsid w:val="00C01CCA"/>
    <w:rsid w:val="00C04BC6"/>
    <w:rsid w:val="00C05D00"/>
    <w:rsid w:val="00C94331"/>
    <w:rsid w:val="00C95053"/>
    <w:rsid w:val="00CD518D"/>
    <w:rsid w:val="00CF4C62"/>
    <w:rsid w:val="00D105FE"/>
    <w:rsid w:val="00D10D45"/>
    <w:rsid w:val="00D434EE"/>
    <w:rsid w:val="00D47F06"/>
    <w:rsid w:val="00D81601"/>
    <w:rsid w:val="00EB6A0D"/>
    <w:rsid w:val="00F51A6A"/>
    <w:rsid w:val="00F83072"/>
    <w:rsid w:val="00FA55AE"/>
    <w:rsid w:val="0498B08D"/>
    <w:rsid w:val="0CCE6214"/>
    <w:rsid w:val="17193C10"/>
    <w:rsid w:val="17253F4E"/>
    <w:rsid w:val="269355AA"/>
    <w:rsid w:val="2D02972E"/>
    <w:rsid w:val="3F8322B1"/>
    <w:rsid w:val="411EF312"/>
    <w:rsid w:val="42C6C6B1"/>
    <w:rsid w:val="445693D4"/>
    <w:rsid w:val="484A32C8"/>
    <w:rsid w:val="59E2FE96"/>
    <w:rsid w:val="679C1C34"/>
    <w:rsid w:val="695114F2"/>
    <w:rsid w:val="70A8162B"/>
    <w:rsid w:val="7955F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28086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4AE3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4AE3"/>
  </w:style>
  <w:style w:type="paragraph" w:styleId="Rodap">
    <w:name w:val="footer"/>
    <w:basedOn w:val="Normal"/>
    <w:link w:val="RodapChar"/>
    <w:uiPriority w:val="99"/>
    <w:unhideWhenUsed/>
    <w:rsid w:val="00AC4AE3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AC4AE3"/>
  </w:style>
  <w:style w:type="paragraph" w:styleId="Textodebalo">
    <w:name w:val="Balloon Text"/>
    <w:basedOn w:val="Normal"/>
    <w:link w:val="TextodebaloChar"/>
    <w:uiPriority w:val="99"/>
    <w:semiHidden/>
    <w:unhideWhenUsed/>
    <w:rsid w:val="00AC4AE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4AE3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uiPriority w:val="99"/>
    <w:rsid w:val="00B04B8C"/>
    <w:rPr>
      <w:sz w:val="16"/>
      <w:szCs w:val="16"/>
    </w:rPr>
  </w:style>
  <w:style w:type="paragraph" w:styleId="Textodenotaderodap">
    <w:name w:val="footnote text"/>
    <w:basedOn w:val="Normal"/>
    <w:link w:val="TextodenotaderodapChar"/>
    <w:rsid w:val="00B04B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04B8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uiPriority w:val="99"/>
    <w:rsid w:val="00B04B8C"/>
    <w:rPr>
      <w:vertAlign w:val="superscript"/>
    </w:rPr>
  </w:style>
  <w:style w:type="character" w:styleId="Hyperlink">
    <w:name w:val="Hyperlink"/>
    <w:rsid w:val="00B04B8C"/>
    <w:rPr>
      <w:color w:val="0000FF"/>
      <w:u w:val="single"/>
    </w:rPr>
  </w:style>
  <w:style w:type="character" w:styleId="nfase">
    <w:name w:val="Emphasis"/>
    <w:uiPriority w:val="20"/>
    <w:qFormat/>
    <w:rsid w:val="00B04B8C"/>
    <w:rPr>
      <w:i/>
      <w:iCs/>
    </w:rPr>
  </w:style>
  <w:style w:type="paragraph" w:styleId="Pr-formataoHTML">
    <w:name w:val="HTML Preformatted"/>
    <w:basedOn w:val="Normal"/>
    <w:link w:val="Pr-formataoHTMLChar"/>
    <w:uiPriority w:val="99"/>
    <w:unhideWhenUsed/>
    <w:rsid w:val="00B04B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B04B8C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225AC6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308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308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308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308B"/>
    <w:rPr>
      <w:b/>
      <w:bCs/>
      <w:sz w:val="20"/>
      <w:szCs w:val="20"/>
    </w:rPr>
  </w:style>
  <w:style w:type="table" w:styleId="Tabelacomgrade">
    <w:name w:val="Table Grid"/>
    <w:basedOn w:val="Tabela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8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1155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7380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da Costa</dc:creator>
  <cp:keywords/>
  <dc:description/>
  <cp:lastModifiedBy>Judi Rocha</cp:lastModifiedBy>
  <cp:revision>4</cp:revision>
  <cp:lastPrinted>2022-06-28T21:01:00Z</cp:lastPrinted>
  <dcterms:created xsi:type="dcterms:W3CDTF">2022-06-28T20:59:00Z</dcterms:created>
  <dcterms:modified xsi:type="dcterms:W3CDTF">2022-06-29T21:38:00Z</dcterms:modified>
</cp:coreProperties>
</file>