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0CEE" w14:textId="72F40E6F" w:rsidR="00A86E9F" w:rsidRPr="00D41D25" w:rsidRDefault="00A86E9F" w:rsidP="58F3FFA2">
      <w:pPr>
        <w:pStyle w:val="MDPI11articletype"/>
        <w:rPr>
          <w:rFonts w:ascii="Georgia" w:eastAsiaTheme="minorEastAsia" w:hAnsi="Georgia" w:cs="Arial"/>
          <w:i w:val="0"/>
          <w:sz w:val="18"/>
          <w:szCs w:val="18"/>
          <w:lang w:val="en-GB"/>
        </w:rPr>
      </w:pPr>
      <w:r w:rsidRPr="00D41D25">
        <w:rPr>
          <w:rFonts w:ascii="Georgia" w:eastAsiaTheme="minorEastAsia" w:hAnsi="Georgia" w:cs="Arial"/>
          <w:i w:val="0"/>
          <w:sz w:val="18"/>
          <w:szCs w:val="18"/>
          <w:lang w:val="en-GB"/>
        </w:rPr>
        <w:t>Type of the Paper</w:t>
      </w:r>
      <w:r w:rsidR="004752C1" w:rsidRPr="00D41D25">
        <w:rPr>
          <w:rFonts w:ascii="Georgia" w:eastAsiaTheme="minorEastAsia" w:hAnsi="Georgia" w:cs="Arial"/>
          <w:i w:val="0"/>
          <w:sz w:val="18"/>
          <w:szCs w:val="18"/>
          <w:lang w:val="en-GB"/>
        </w:rPr>
        <w:t xml:space="preserve">: </w:t>
      </w:r>
      <w:r w:rsidR="00F762E9" w:rsidRPr="00D41D25">
        <w:rPr>
          <w:rFonts w:ascii="Georgia" w:eastAsiaTheme="minorEastAsia" w:hAnsi="Georgia" w:cs="Arial"/>
          <w:i w:val="0"/>
          <w:sz w:val="18"/>
          <w:szCs w:val="18"/>
          <w:lang w:val="en-GB"/>
        </w:rPr>
        <w:t>Peer</w:t>
      </w:r>
      <w:r w:rsidR="00FD053A" w:rsidRPr="00D41D25">
        <w:rPr>
          <w:rFonts w:ascii="Georgia" w:eastAsiaTheme="minorEastAsia" w:hAnsi="Georgia" w:cs="Arial"/>
          <w:i w:val="0"/>
          <w:sz w:val="18"/>
          <w:szCs w:val="18"/>
          <w:lang w:val="en-GB"/>
        </w:rPr>
        <w:t>-</w:t>
      </w:r>
      <w:r w:rsidR="00F762E9" w:rsidRPr="00D41D25">
        <w:rPr>
          <w:rFonts w:ascii="Georgia" w:eastAsiaTheme="minorEastAsia" w:hAnsi="Georgia" w:cs="Arial"/>
          <w:i w:val="0"/>
          <w:sz w:val="18"/>
          <w:szCs w:val="18"/>
          <w:lang w:val="en-GB"/>
        </w:rPr>
        <w:t xml:space="preserve">reviewed </w:t>
      </w:r>
      <w:r w:rsidR="4B80F3B5" w:rsidRPr="00D41D25">
        <w:rPr>
          <w:rFonts w:ascii="Georgia" w:eastAsiaTheme="minorEastAsia" w:hAnsi="Georgia" w:cs="Arial"/>
          <w:i w:val="0"/>
          <w:sz w:val="18"/>
          <w:szCs w:val="18"/>
          <w:lang w:val="en-GB"/>
        </w:rPr>
        <w:t xml:space="preserve">Conference Paper/ </w:t>
      </w:r>
      <w:r w:rsidR="00667587" w:rsidRPr="00D41D25">
        <w:rPr>
          <w:rFonts w:ascii="Georgia" w:eastAsiaTheme="minorEastAsia" w:hAnsi="Georgia" w:cs="Arial"/>
          <w:i w:val="0"/>
          <w:sz w:val="18"/>
          <w:szCs w:val="18"/>
          <w:lang w:val="en-GB"/>
        </w:rPr>
        <w:t>Full</w:t>
      </w:r>
      <w:r w:rsidR="00E32E1A" w:rsidRPr="00D41D25">
        <w:rPr>
          <w:rFonts w:ascii="Georgia" w:eastAsiaTheme="minorEastAsia" w:hAnsi="Georgia" w:cs="Arial"/>
          <w:i w:val="0"/>
          <w:sz w:val="18"/>
          <w:szCs w:val="18"/>
          <w:lang w:val="en-GB"/>
        </w:rPr>
        <w:t xml:space="preserve"> </w:t>
      </w:r>
      <w:r w:rsidR="00C97DA5" w:rsidRPr="00D41D25">
        <w:rPr>
          <w:rFonts w:ascii="Georgia" w:eastAsiaTheme="minorEastAsia" w:hAnsi="Georgia" w:cs="Arial"/>
          <w:i w:val="0"/>
          <w:sz w:val="18"/>
          <w:szCs w:val="18"/>
          <w:lang w:val="en-GB"/>
        </w:rPr>
        <w:t>P</w:t>
      </w:r>
      <w:r w:rsidR="00206552" w:rsidRPr="00D41D25">
        <w:rPr>
          <w:rFonts w:ascii="Georgia" w:eastAsiaTheme="minorEastAsia" w:hAnsi="Georgia" w:cs="Arial"/>
          <w:i w:val="0"/>
          <w:sz w:val="18"/>
          <w:szCs w:val="18"/>
          <w:lang w:val="en-GB"/>
        </w:rPr>
        <w:t>aper</w:t>
      </w:r>
    </w:p>
    <w:p w14:paraId="37C53096" w14:textId="17350A4C" w:rsidR="004752C1" w:rsidRPr="00D41D25" w:rsidRDefault="004752C1" w:rsidP="004752C1">
      <w:pPr>
        <w:pStyle w:val="MDPI11articletype"/>
        <w:rPr>
          <w:rFonts w:ascii="Georgia" w:eastAsiaTheme="minorEastAsia" w:hAnsi="Georgia" w:cs="Arial"/>
          <w:i w:val="0"/>
          <w:lang w:val="en-GB"/>
        </w:rPr>
      </w:pPr>
      <w:r w:rsidRPr="00D41D25">
        <w:rPr>
          <w:rFonts w:ascii="Georgia" w:eastAsiaTheme="minorEastAsia" w:hAnsi="Georgia" w:cs="Arial"/>
          <w:i w:val="0"/>
          <w:lang w:val="en-GB"/>
        </w:rPr>
        <w:t xml:space="preserve">Track title: </w:t>
      </w:r>
      <w:r w:rsidR="00E32E1A" w:rsidRPr="00D41D25">
        <w:rPr>
          <w:rFonts w:ascii="Georgia" w:eastAsiaTheme="minorEastAsia" w:hAnsi="Georgia" w:cs="Arial"/>
          <w:i w:val="0"/>
          <w:lang w:val="en-GB"/>
        </w:rPr>
        <w:t>user</w:t>
      </w:r>
      <w:r w:rsidR="0002785E" w:rsidRPr="00D41D25">
        <w:rPr>
          <w:rFonts w:ascii="Georgia" w:eastAsiaTheme="minorEastAsia" w:hAnsi="Georgia" w:cs="Arial"/>
          <w:i w:val="0"/>
          <w:lang w:val="en-GB"/>
        </w:rPr>
        <w:t>-</w:t>
      </w:r>
      <w:r w:rsidR="00E32E1A" w:rsidRPr="00D41D25">
        <w:rPr>
          <w:rFonts w:ascii="Georgia" w:eastAsiaTheme="minorEastAsia" w:hAnsi="Georgia" w:cs="Arial"/>
          <w:i w:val="0"/>
          <w:lang w:val="en-GB"/>
        </w:rPr>
        <w:t>needs</w:t>
      </w:r>
    </w:p>
    <w:p w14:paraId="672A6659" w14:textId="77777777" w:rsidR="004752C1" w:rsidRPr="00D41D25" w:rsidRDefault="004752C1" w:rsidP="004752C1">
      <w:pPr>
        <w:rPr>
          <w:rFonts w:ascii="Georgia" w:eastAsiaTheme="minorEastAsia" w:hAnsi="Georgia" w:cs="Arial"/>
          <w:lang w:val="en-GB" w:eastAsia="de-DE" w:bidi="en-US"/>
        </w:rPr>
      </w:pPr>
    </w:p>
    <w:p w14:paraId="0E1C6636" w14:textId="77777777" w:rsidR="0018579B" w:rsidRPr="00D41D25" w:rsidRDefault="005262EA" w:rsidP="0033476B">
      <w:pPr>
        <w:pStyle w:val="MDPI12title"/>
        <w:rPr>
          <w:rFonts w:eastAsiaTheme="minorEastAsia"/>
          <w:lang w:val="en-GB"/>
        </w:rPr>
      </w:pPr>
      <w:r w:rsidRPr="00D41D25">
        <w:rPr>
          <w:rFonts w:eastAsiaTheme="minorEastAsia"/>
          <w:lang w:val="en-GB"/>
        </w:rPr>
        <w:t xml:space="preserve">Workplace Utilization in hospitals – a study of space efficiency potentials </w:t>
      </w:r>
    </w:p>
    <w:p w14:paraId="1E4E8E64" w14:textId="62A84D40" w:rsidR="00AA684A" w:rsidRPr="00D41D25" w:rsidRDefault="005262EA" w:rsidP="00D058B9">
      <w:pPr>
        <w:pStyle w:val="MDPI13authornames"/>
        <w:rPr>
          <w:rFonts w:eastAsiaTheme="minorEastAsia"/>
          <w:b/>
          <w:lang w:val="de-CH"/>
        </w:rPr>
      </w:pPr>
      <w:r w:rsidRPr="00D41D25">
        <w:rPr>
          <w:rFonts w:eastAsiaTheme="minorEastAsia"/>
          <w:lang w:val="de-CH"/>
        </w:rPr>
        <w:t>Stefanie</w:t>
      </w:r>
      <w:r w:rsidR="00A86E9F" w:rsidRPr="00D41D25">
        <w:rPr>
          <w:rFonts w:eastAsiaTheme="minorEastAsia"/>
          <w:lang w:val="de-CH"/>
        </w:rPr>
        <w:t xml:space="preserve"> </w:t>
      </w:r>
      <w:r w:rsidRPr="00D41D25">
        <w:rPr>
          <w:rFonts w:eastAsiaTheme="minorEastAsia"/>
          <w:lang w:val="de-CH"/>
        </w:rPr>
        <w:t>Lange</w:t>
      </w:r>
      <w:r w:rsidR="00A86E9F" w:rsidRPr="00D41D25">
        <w:rPr>
          <w:rFonts w:eastAsiaTheme="minorEastAsia"/>
          <w:lang w:val="de-CH"/>
        </w:rPr>
        <w:t xml:space="preserve"> </w:t>
      </w:r>
      <w:r w:rsidR="00A86E9F" w:rsidRPr="00D41D25">
        <w:rPr>
          <w:rFonts w:eastAsiaTheme="minorEastAsia"/>
          <w:vertAlign w:val="superscript"/>
          <w:lang w:val="de-CH"/>
        </w:rPr>
        <w:t>1</w:t>
      </w:r>
      <w:r w:rsidR="000B67B4" w:rsidRPr="00D41D25">
        <w:rPr>
          <w:rFonts w:eastAsiaTheme="minorEastAsia"/>
          <w:vertAlign w:val="superscript"/>
          <w:lang w:val="de-CH"/>
        </w:rPr>
        <w:t>*</w:t>
      </w:r>
      <w:r w:rsidR="000B67B4" w:rsidRPr="00D41D25">
        <w:rPr>
          <w:rFonts w:eastAsiaTheme="minorEastAsia"/>
          <w:lang w:val="de-CH"/>
        </w:rPr>
        <w:t>, Eunji Häne</w:t>
      </w:r>
      <w:r w:rsidR="00A86E9F" w:rsidRPr="00D41D25">
        <w:rPr>
          <w:rFonts w:eastAsiaTheme="minorEastAsia"/>
          <w:vertAlign w:val="superscript"/>
          <w:lang w:val="de-CH"/>
        </w:rPr>
        <w:t xml:space="preserve"> 2</w:t>
      </w:r>
      <w:r w:rsidR="000B67B4" w:rsidRPr="00D41D25">
        <w:rPr>
          <w:rFonts w:eastAsiaTheme="minorEastAsia"/>
          <w:lang w:val="de-CH"/>
        </w:rPr>
        <w:t xml:space="preserve">, </w:t>
      </w:r>
      <w:r w:rsidRPr="00D41D25">
        <w:rPr>
          <w:rFonts w:eastAsiaTheme="minorEastAsia"/>
          <w:lang w:val="de-CH"/>
        </w:rPr>
        <w:t xml:space="preserve">and Lukas </w:t>
      </w:r>
      <w:r w:rsidRPr="0033476B">
        <w:rPr>
          <w:rFonts w:eastAsiaTheme="minorEastAsia"/>
          <w:lang w:val="nl-NL"/>
        </w:rPr>
        <w:t>Windlinger</w:t>
      </w:r>
      <w:r w:rsidR="00A86E9F" w:rsidRPr="00D41D25">
        <w:rPr>
          <w:rFonts w:eastAsiaTheme="minorEastAsia"/>
          <w:lang w:val="de-CH"/>
        </w:rPr>
        <w:t xml:space="preserve"> </w:t>
      </w:r>
      <w:r w:rsidR="00A86E9F" w:rsidRPr="00D41D25">
        <w:rPr>
          <w:rFonts w:eastAsiaTheme="minorEastAsia"/>
          <w:vertAlign w:val="superscript"/>
          <w:lang w:val="de-CH"/>
        </w:rPr>
        <w:t>3</w:t>
      </w:r>
      <w:r w:rsidRPr="00D41D25">
        <w:rPr>
          <w:rFonts w:eastAsiaTheme="minorEastAsia"/>
          <w:lang w:val="de-CH"/>
        </w:rPr>
        <w:t xml:space="preserve"> </w:t>
      </w:r>
    </w:p>
    <w:p w14:paraId="36B87632" w14:textId="30B733CF" w:rsidR="00A86E9F" w:rsidRPr="00D41D25" w:rsidRDefault="00AA684A" w:rsidP="00A86E9F">
      <w:pPr>
        <w:pStyle w:val="MDPI16affiliation"/>
        <w:rPr>
          <w:rFonts w:ascii="Georgia" w:eastAsiaTheme="minorEastAsia" w:hAnsi="Georgia" w:cs="Arial"/>
          <w:lang w:val="en-GB"/>
        </w:rPr>
      </w:pPr>
      <w:r w:rsidRPr="00D41D25">
        <w:rPr>
          <w:rFonts w:ascii="Georgia" w:eastAsiaTheme="minorEastAsia" w:hAnsi="Georgia" w:cs="Arial"/>
          <w:vertAlign w:val="superscript"/>
          <w:lang w:val="en-GB"/>
        </w:rPr>
        <w:t>1</w:t>
      </w:r>
      <w:r w:rsidR="00A86E9F" w:rsidRPr="00D41D25">
        <w:rPr>
          <w:rFonts w:ascii="Georgia" w:eastAsiaTheme="minorEastAsia" w:hAnsi="Georgia" w:cs="Arial"/>
          <w:lang w:val="en-GB"/>
        </w:rPr>
        <w:tab/>
      </w:r>
      <w:r w:rsidR="005262EA" w:rsidRPr="00D41D25">
        <w:rPr>
          <w:rFonts w:ascii="Georgia" w:eastAsiaTheme="minorEastAsia" w:hAnsi="Georgia" w:cs="Arial"/>
          <w:lang w:val="en-GB"/>
        </w:rPr>
        <w:t xml:space="preserve">ZHAW Institute </w:t>
      </w:r>
      <w:r w:rsidR="009A7162" w:rsidRPr="00D41D25">
        <w:rPr>
          <w:rFonts w:ascii="Georgia" w:eastAsiaTheme="minorEastAsia" w:hAnsi="Georgia" w:cs="Arial"/>
          <w:lang w:val="en-GB"/>
        </w:rPr>
        <w:t>of</w:t>
      </w:r>
      <w:r w:rsidR="005262EA" w:rsidRPr="00D41D25">
        <w:rPr>
          <w:rFonts w:ascii="Georgia" w:eastAsiaTheme="minorEastAsia" w:hAnsi="Georgia" w:cs="Arial"/>
          <w:lang w:val="en-GB"/>
        </w:rPr>
        <w:t xml:space="preserve"> Facility Management</w:t>
      </w:r>
      <w:r w:rsidR="00A86E9F" w:rsidRPr="00D41D25">
        <w:rPr>
          <w:rFonts w:ascii="Georgia" w:eastAsiaTheme="minorEastAsia" w:hAnsi="Georgia" w:cs="Arial"/>
          <w:lang w:val="en-GB"/>
        </w:rPr>
        <w:t xml:space="preserve">; </w:t>
      </w:r>
      <w:r w:rsidR="005262EA" w:rsidRPr="00D41D25">
        <w:rPr>
          <w:rFonts w:ascii="Georgia" w:eastAsiaTheme="minorEastAsia" w:hAnsi="Georgia" w:cs="Arial"/>
          <w:lang w:val="en-GB"/>
        </w:rPr>
        <w:t>Stefanie.Lange@zhaw.ch</w:t>
      </w:r>
      <w:r w:rsidR="004752C1" w:rsidRPr="00D41D25">
        <w:rPr>
          <w:rFonts w:ascii="Georgia" w:eastAsiaTheme="minorEastAsia" w:hAnsi="Georgia" w:cs="Arial"/>
          <w:lang w:val="en-GB"/>
        </w:rPr>
        <w:t>; ORCID ID</w:t>
      </w:r>
      <w:r w:rsidR="008974DC" w:rsidRPr="00D41D25">
        <w:rPr>
          <w:rFonts w:ascii="Georgia" w:eastAsiaTheme="minorEastAsia" w:hAnsi="Georgia" w:cs="Arial"/>
          <w:lang w:val="en-GB"/>
        </w:rPr>
        <w:t>: 0000-0002-8928-7663</w:t>
      </w:r>
    </w:p>
    <w:p w14:paraId="0689ACC5" w14:textId="5B1DBC22" w:rsidR="008974DC" w:rsidRPr="00D41D25" w:rsidRDefault="00A86E9F" w:rsidP="008974DC">
      <w:pPr>
        <w:pStyle w:val="MDPI16affiliation"/>
        <w:rPr>
          <w:rFonts w:ascii="Georgia" w:eastAsiaTheme="minorEastAsia" w:hAnsi="Georgia" w:cs="Arial"/>
          <w:lang w:val="en-GB"/>
        </w:rPr>
      </w:pPr>
      <w:r w:rsidRPr="00D41D25">
        <w:rPr>
          <w:rFonts w:ascii="Georgia" w:eastAsiaTheme="minorEastAsia" w:hAnsi="Georgia" w:cs="Arial"/>
          <w:vertAlign w:val="superscript"/>
          <w:lang w:val="en-GB"/>
        </w:rPr>
        <w:t>2</w:t>
      </w:r>
      <w:r w:rsidRPr="00D41D25">
        <w:rPr>
          <w:rFonts w:ascii="Georgia" w:eastAsiaTheme="minorEastAsia" w:hAnsi="Georgia" w:cs="Arial"/>
          <w:lang w:val="en-GB"/>
        </w:rPr>
        <w:tab/>
      </w:r>
      <w:r w:rsidR="008974DC" w:rsidRPr="00D41D25">
        <w:rPr>
          <w:rFonts w:ascii="Georgia" w:eastAsiaTheme="minorEastAsia" w:hAnsi="Georgia" w:cs="Arial"/>
          <w:lang w:val="en-GB"/>
        </w:rPr>
        <w:t xml:space="preserve">ZHAW Institute of Facility Management; </w:t>
      </w:r>
      <w:r w:rsidR="00446930" w:rsidRPr="00D41D25">
        <w:rPr>
          <w:rFonts w:ascii="Georgia" w:eastAsiaTheme="minorEastAsia" w:hAnsi="Georgia" w:cs="Arial"/>
          <w:lang w:val="en-GB"/>
        </w:rPr>
        <w:t>Eunji.Haene@zhaw.ch; ORCID ID: 0000-0001-8367-1587</w:t>
      </w:r>
    </w:p>
    <w:p w14:paraId="0922B889" w14:textId="11D8DD16" w:rsidR="008974DC" w:rsidRPr="00D41D25" w:rsidRDefault="008974DC" w:rsidP="008974DC">
      <w:pPr>
        <w:pStyle w:val="MDPI16affiliation"/>
        <w:rPr>
          <w:rFonts w:ascii="Georgia" w:eastAsiaTheme="minorEastAsia" w:hAnsi="Georgia" w:cs="Arial"/>
          <w:lang w:val="en-GB"/>
        </w:rPr>
      </w:pPr>
      <w:r w:rsidRPr="00D41D25">
        <w:rPr>
          <w:rFonts w:ascii="Georgia" w:eastAsiaTheme="minorEastAsia" w:hAnsi="Georgia" w:cs="Arial"/>
          <w:vertAlign w:val="superscript"/>
          <w:lang w:val="en-GB"/>
        </w:rPr>
        <w:t>3</w:t>
      </w:r>
      <w:r w:rsidRPr="00D41D25">
        <w:rPr>
          <w:rFonts w:ascii="Georgia" w:eastAsiaTheme="minorEastAsia" w:hAnsi="Georgia" w:cs="Arial"/>
          <w:lang w:val="en-GB"/>
        </w:rPr>
        <w:tab/>
        <w:t>ZHAW Institute of Facility Management; Lukas.Windlinger@zhaw.ch; ORCID ID: 0000-0001-9762-8504</w:t>
      </w:r>
    </w:p>
    <w:p w14:paraId="739486CB" w14:textId="77777777" w:rsidR="008974DC" w:rsidRPr="00D41D25" w:rsidRDefault="008974DC" w:rsidP="27831D6B">
      <w:pPr>
        <w:pStyle w:val="MDPI16affiliation"/>
        <w:rPr>
          <w:rFonts w:ascii="Georgia" w:eastAsiaTheme="minorEastAsia" w:hAnsi="Georgia" w:cs="Arial"/>
          <w:lang w:val="en-GB"/>
        </w:rPr>
      </w:pPr>
    </w:p>
    <w:p w14:paraId="122652E0" w14:textId="19B16879" w:rsidR="00A86E9F" w:rsidRPr="00D41D25" w:rsidRDefault="00A86E9F" w:rsidP="27831D6B">
      <w:pPr>
        <w:pStyle w:val="MDPI16affiliation"/>
        <w:rPr>
          <w:rFonts w:ascii="Georgia" w:eastAsiaTheme="minorEastAsia" w:hAnsi="Georgia" w:cs="Arial"/>
          <w:lang w:val="en-GB"/>
        </w:rPr>
      </w:pPr>
      <w:r w:rsidRPr="00D41D25">
        <w:rPr>
          <w:rFonts w:ascii="Georgia" w:eastAsiaTheme="minorEastAsia" w:hAnsi="Georgia" w:cs="Arial"/>
          <w:lang w:val="en-GB"/>
        </w:rPr>
        <w:t>*</w:t>
      </w:r>
      <w:r w:rsidRPr="00D41D25">
        <w:rPr>
          <w:lang w:val="en-GB"/>
        </w:rPr>
        <w:tab/>
      </w:r>
      <w:r w:rsidR="004752C1" w:rsidRPr="00D41D25">
        <w:rPr>
          <w:rFonts w:ascii="Georgia" w:eastAsiaTheme="minorEastAsia" w:hAnsi="Georgia" w:cs="Arial"/>
          <w:lang w:val="en-GB"/>
        </w:rPr>
        <w:t>c</w:t>
      </w:r>
      <w:r w:rsidRPr="00D41D25">
        <w:rPr>
          <w:rFonts w:ascii="Georgia" w:eastAsiaTheme="minorEastAsia" w:hAnsi="Georgia" w:cs="Arial"/>
          <w:lang w:val="en-GB"/>
        </w:rPr>
        <w:t>orrespond</w:t>
      </w:r>
      <w:r w:rsidR="004752C1" w:rsidRPr="00D41D25">
        <w:rPr>
          <w:rFonts w:ascii="Georgia" w:eastAsiaTheme="minorEastAsia" w:hAnsi="Georgia" w:cs="Arial"/>
          <w:lang w:val="en-GB"/>
        </w:rPr>
        <w:t xml:space="preserve">ing author. </w:t>
      </w:r>
    </w:p>
    <w:tbl>
      <w:tblPr>
        <w:tblpPr w:leftFromText="198" w:rightFromText="198" w:vertAnchor="page" w:horzAnchor="margin" w:tblpY="6421"/>
        <w:tblW w:w="2421" w:type="dxa"/>
        <w:tblLayout w:type="fixed"/>
        <w:tblCellMar>
          <w:left w:w="0" w:type="dxa"/>
          <w:right w:w="0" w:type="dxa"/>
        </w:tblCellMar>
        <w:tblLook w:val="04A0" w:firstRow="1" w:lastRow="0" w:firstColumn="1" w:lastColumn="0" w:noHBand="0" w:noVBand="1"/>
      </w:tblPr>
      <w:tblGrid>
        <w:gridCol w:w="2421"/>
      </w:tblGrid>
      <w:tr w:rsidR="008C16B0" w:rsidRPr="00811894" w14:paraId="2EB42867" w14:textId="77777777" w:rsidTr="008C16B0">
        <w:trPr>
          <w:trHeight w:val="5610"/>
        </w:trPr>
        <w:tc>
          <w:tcPr>
            <w:tcW w:w="2421" w:type="dxa"/>
            <w:shd w:val="clear" w:color="auto" w:fill="auto"/>
          </w:tcPr>
          <w:p w14:paraId="1B5D45CF" w14:textId="77777777" w:rsidR="008C16B0" w:rsidRPr="00811894" w:rsidRDefault="008C16B0" w:rsidP="008C16B0">
            <w:pPr>
              <w:rPr>
                <w:rFonts w:ascii="Georgia" w:eastAsiaTheme="minorEastAsia" w:hAnsi="Georgia" w:cs="Arial"/>
                <w:b/>
                <w:bCs/>
                <w:noProof w:val="0"/>
                <w:color w:val="auto"/>
                <w:sz w:val="14"/>
                <w:szCs w:val="14"/>
              </w:rPr>
            </w:pPr>
            <w:r w:rsidRPr="00811894">
              <w:rPr>
                <w:rFonts w:ascii="Georgia" w:eastAsiaTheme="minorEastAsia" w:hAnsi="Georgia" w:cs="Arial"/>
                <w:b/>
                <w:bCs/>
                <w:noProof w:val="0"/>
                <w:color w:val="auto"/>
                <w:sz w:val="14"/>
                <w:szCs w:val="14"/>
              </w:rPr>
              <w:t xml:space="preserve">Names of the Topic editors: </w:t>
            </w:r>
          </w:p>
          <w:p w14:paraId="644BE22D" w14:textId="77777777" w:rsidR="008C16B0" w:rsidRPr="00811894" w:rsidRDefault="008C16B0" w:rsidP="008C16B0">
            <w:pPr>
              <w:adjustRightInd w:val="0"/>
              <w:snapToGrid w:val="0"/>
              <w:rPr>
                <w:rFonts w:ascii="Georgia" w:eastAsiaTheme="minorEastAsia" w:hAnsi="Georgia" w:cs="Arial"/>
                <w:noProof w:val="0"/>
                <w:color w:val="auto"/>
                <w:sz w:val="14"/>
                <w:szCs w:val="22"/>
              </w:rPr>
            </w:pPr>
            <w:r>
              <w:rPr>
                <w:rFonts w:ascii="Georgia" w:eastAsiaTheme="minorEastAsia" w:hAnsi="Georgia" w:cs="Arial"/>
                <w:noProof w:val="0"/>
                <w:color w:val="auto"/>
                <w:sz w:val="14"/>
                <w:szCs w:val="22"/>
              </w:rPr>
              <w:t>Clarine van Oel</w:t>
            </w:r>
          </w:p>
          <w:p w14:paraId="4E30B93B" w14:textId="77777777" w:rsidR="008C16B0" w:rsidRPr="00811894" w:rsidRDefault="008C16B0" w:rsidP="008C16B0">
            <w:pPr>
              <w:rPr>
                <w:rFonts w:ascii="Georgia" w:eastAsiaTheme="minorEastAsia" w:hAnsi="Georgia" w:cs="Arial"/>
                <w:noProof w:val="0"/>
                <w:color w:val="auto"/>
                <w:sz w:val="14"/>
                <w:szCs w:val="22"/>
              </w:rPr>
            </w:pPr>
            <w:r w:rsidRPr="00811894">
              <w:rPr>
                <w:rFonts w:ascii="Georgia" w:eastAsiaTheme="minorEastAsia" w:hAnsi="Georgia" w:cs="Arial"/>
                <w:b/>
                <w:bCs/>
                <w:noProof w:val="0"/>
                <w:color w:val="auto"/>
                <w:sz w:val="14"/>
                <w:szCs w:val="14"/>
              </w:rPr>
              <w:t xml:space="preserve">Names of the reviewers: </w:t>
            </w:r>
          </w:p>
          <w:p w14:paraId="5C7D0064" w14:textId="53FB211B" w:rsidR="008C16B0" w:rsidRPr="008978B8" w:rsidRDefault="008C16B0" w:rsidP="008C16B0">
            <w:pPr>
              <w:adjustRightInd w:val="0"/>
              <w:snapToGrid w:val="0"/>
              <w:rPr>
                <w:rFonts w:ascii="Georgia" w:eastAsiaTheme="minorEastAsia" w:hAnsi="Georgia" w:cs="Arial"/>
                <w:noProof w:val="0"/>
                <w:color w:val="auto"/>
                <w:sz w:val="14"/>
                <w:szCs w:val="22"/>
                <w:lang w:val="en-GB"/>
              </w:rPr>
            </w:pPr>
            <w:r w:rsidRPr="008978B8">
              <w:rPr>
                <w:rFonts w:ascii="Georgia" w:eastAsiaTheme="minorEastAsia" w:hAnsi="Georgia" w:cs="Arial"/>
                <w:noProof w:val="0"/>
                <w:color w:val="auto"/>
                <w:sz w:val="14"/>
                <w:szCs w:val="22"/>
                <w:lang w:val="en-GB"/>
              </w:rPr>
              <w:t>Leonie van Buuren</w:t>
            </w:r>
          </w:p>
          <w:p w14:paraId="0D48C649" w14:textId="26606E87" w:rsidR="008C16B0" w:rsidRPr="008978B8" w:rsidRDefault="008C16B0" w:rsidP="008C16B0">
            <w:pPr>
              <w:adjustRightInd w:val="0"/>
              <w:snapToGrid w:val="0"/>
              <w:rPr>
                <w:rFonts w:ascii="Georgia" w:eastAsiaTheme="minorEastAsia" w:hAnsi="Georgia" w:cs="Arial"/>
                <w:noProof w:val="0"/>
                <w:color w:val="auto"/>
                <w:sz w:val="14"/>
                <w:szCs w:val="22"/>
                <w:lang w:val="en-GB"/>
              </w:rPr>
            </w:pPr>
            <w:r w:rsidRPr="008978B8">
              <w:rPr>
                <w:rFonts w:ascii="Georgia" w:eastAsiaTheme="minorEastAsia" w:hAnsi="Georgia" w:cs="Arial"/>
                <w:noProof w:val="0"/>
                <w:color w:val="auto"/>
                <w:sz w:val="14"/>
                <w:szCs w:val="22"/>
                <w:lang w:val="en-GB"/>
              </w:rPr>
              <w:t>Maja Kevdzija</w:t>
            </w:r>
          </w:p>
          <w:p w14:paraId="3BEBA999" w14:textId="77777777" w:rsidR="008C16B0" w:rsidRPr="00811894" w:rsidRDefault="008C16B0" w:rsidP="008C16B0">
            <w:pPr>
              <w:rPr>
                <w:rFonts w:ascii="Georgia" w:eastAsiaTheme="minorEastAsia" w:hAnsi="Georgia" w:cs="Arial"/>
                <w:noProof w:val="0"/>
                <w:color w:val="auto"/>
                <w:sz w:val="14"/>
                <w:szCs w:val="22"/>
              </w:rPr>
            </w:pPr>
            <w:r w:rsidRPr="00811894">
              <w:rPr>
                <w:rFonts w:ascii="Georgia" w:eastAsiaTheme="minorEastAsia" w:hAnsi="Georgia" w:cs="Arial"/>
                <w:b/>
                <w:noProof w:val="0"/>
                <w:color w:val="auto"/>
                <w:sz w:val="14"/>
                <w:szCs w:val="22"/>
              </w:rPr>
              <w:t>Journal:</w:t>
            </w:r>
            <w:r w:rsidRPr="00811894">
              <w:rPr>
                <w:rFonts w:ascii="Georgia" w:eastAsiaTheme="minorEastAsia" w:hAnsi="Georgia" w:cs="Arial"/>
                <w:noProof w:val="0"/>
                <w:color w:val="auto"/>
                <w:sz w:val="14"/>
                <w:szCs w:val="22"/>
              </w:rPr>
              <w:t xml:space="preserve"> </w:t>
            </w:r>
            <w:r w:rsidRPr="00811894">
              <w:rPr>
                <w:rFonts w:ascii="Georgia" w:eastAsiaTheme="minorEastAsia" w:hAnsi="Georgia" w:cs="Arial"/>
                <w:sz w:val="14"/>
                <w:szCs w:val="22"/>
              </w:rPr>
              <w:t>The Evolving Scholar</w:t>
            </w:r>
          </w:p>
          <w:p w14:paraId="4814028E" w14:textId="64615D5B" w:rsidR="008C16B0" w:rsidRDefault="008C16B0" w:rsidP="008C16B0">
            <w:pPr>
              <w:pStyle w:val="MDPI14history"/>
              <w:rPr>
                <w:rFonts w:ascii="Georgia" w:eastAsiaTheme="minorEastAsia" w:hAnsi="Georgia" w:cs="Arial"/>
                <w:lang w:val="en-GB"/>
              </w:rPr>
            </w:pPr>
            <w:r w:rsidRPr="00811894">
              <w:rPr>
                <w:rFonts w:ascii="Georgia" w:eastAsiaTheme="minorEastAsia" w:hAnsi="Georgia" w:cs="Arial"/>
                <w:b/>
                <w:lang w:val="en-GB"/>
              </w:rPr>
              <w:t>DOI:</w:t>
            </w:r>
            <w:r>
              <w:rPr>
                <w:rFonts w:ascii="Georgia" w:eastAsiaTheme="minorEastAsia" w:hAnsi="Georgia" w:cs="Arial"/>
                <w:b/>
                <w:lang w:val="en-GB"/>
              </w:rPr>
              <w:t xml:space="preserve"> </w:t>
            </w:r>
            <w:r w:rsidRPr="008C16B0">
              <w:rPr>
                <w:rFonts w:ascii="Georgia" w:eastAsiaTheme="minorEastAsia" w:hAnsi="Georgia" w:cs="Arial"/>
                <w:lang w:val="en-GB"/>
              </w:rPr>
              <w:t>10.24404/6241c9e3f67aea8fb0ee9ec2</w:t>
            </w:r>
          </w:p>
          <w:p w14:paraId="6578BCA5" w14:textId="2AA0C870" w:rsidR="008C16B0" w:rsidRPr="00811894" w:rsidRDefault="008C16B0" w:rsidP="008C16B0">
            <w:pPr>
              <w:pStyle w:val="MDPI14history"/>
              <w:rPr>
                <w:rFonts w:ascii="Georgia" w:eastAsiaTheme="minorEastAsia" w:hAnsi="Georgia" w:cs="Arial"/>
              </w:rPr>
            </w:pPr>
            <w:r w:rsidRPr="00811894">
              <w:rPr>
                <w:rFonts w:ascii="Georgia" w:eastAsiaTheme="minorEastAsia" w:hAnsi="Georgia" w:cs="Arial"/>
                <w:b/>
                <w:szCs w:val="14"/>
              </w:rPr>
              <w:t>Submitted:</w:t>
            </w:r>
            <w:r w:rsidRPr="00811894">
              <w:rPr>
                <w:rFonts w:ascii="Georgia" w:eastAsiaTheme="minorEastAsia" w:hAnsi="Georgia" w:cs="Arial"/>
                <w:szCs w:val="14"/>
              </w:rPr>
              <w:t xml:space="preserve"> </w:t>
            </w:r>
            <w:r>
              <w:rPr>
                <w:rFonts w:ascii="Georgia" w:eastAsiaTheme="minorEastAsia" w:hAnsi="Georgia" w:cs="Arial"/>
                <w:szCs w:val="14"/>
              </w:rPr>
              <w:t>28 March</w:t>
            </w:r>
            <w:r w:rsidRPr="0012582E">
              <w:rPr>
                <w:rFonts w:ascii="Georgia" w:eastAsiaTheme="minorEastAsia" w:hAnsi="Georgia" w:cs="Arial"/>
                <w:szCs w:val="14"/>
              </w:rPr>
              <w:t xml:space="preserve"> 2022</w:t>
            </w:r>
          </w:p>
          <w:p w14:paraId="63E9FD73" w14:textId="77777777" w:rsidR="008C16B0" w:rsidRPr="00811894" w:rsidRDefault="008C16B0" w:rsidP="008C16B0">
            <w:pPr>
              <w:pStyle w:val="MDPI14history"/>
              <w:rPr>
                <w:rFonts w:ascii="Georgia" w:eastAsiaTheme="minorEastAsia" w:hAnsi="Georgia" w:cs="Arial"/>
                <w:szCs w:val="14"/>
              </w:rPr>
            </w:pPr>
            <w:r w:rsidRPr="00811894">
              <w:rPr>
                <w:rFonts w:ascii="Georgia" w:eastAsiaTheme="minorEastAsia" w:hAnsi="Georgia" w:cs="Arial"/>
                <w:b/>
                <w:szCs w:val="14"/>
              </w:rPr>
              <w:t xml:space="preserve">Accepted: </w:t>
            </w:r>
            <w:r w:rsidRPr="00CF7474">
              <w:rPr>
                <w:rFonts w:ascii="Georgia" w:eastAsiaTheme="minorEastAsia" w:hAnsi="Georgia" w:cs="Arial"/>
                <w:bCs/>
                <w:szCs w:val="14"/>
              </w:rPr>
              <w:t>22 August 2022</w:t>
            </w:r>
          </w:p>
          <w:p w14:paraId="22AD1A1E" w14:textId="4C6D8EEC" w:rsidR="008C16B0" w:rsidRPr="00811894" w:rsidRDefault="008C16B0" w:rsidP="008C16B0">
            <w:pPr>
              <w:pStyle w:val="MDPI14history"/>
              <w:spacing w:after="240"/>
              <w:rPr>
                <w:rFonts w:ascii="Georgia" w:eastAsiaTheme="minorEastAsia" w:hAnsi="Georgia" w:cs="Arial"/>
                <w:szCs w:val="14"/>
              </w:rPr>
            </w:pPr>
            <w:r w:rsidRPr="00811894">
              <w:rPr>
                <w:rFonts w:ascii="Georgia" w:eastAsiaTheme="minorEastAsia" w:hAnsi="Georgia" w:cs="Arial"/>
                <w:b/>
                <w:szCs w:val="14"/>
              </w:rPr>
              <w:t>Published:</w:t>
            </w:r>
            <w:r w:rsidRPr="00811894">
              <w:rPr>
                <w:rFonts w:ascii="Georgia" w:eastAsiaTheme="minorEastAsia" w:hAnsi="Georgia" w:cs="Arial"/>
                <w:szCs w:val="14"/>
              </w:rPr>
              <w:t xml:space="preserve"> </w:t>
            </w:r>
            <w:r w:rsidR="003B6D3B">
              <w:rPr>
                <w:rFonts w:ascii="Georgia" w:eastAsiaTheme="minorEastAsia" w:hAnsi="Georgia" w:cs="Arial"/>
                <w:szCs w:val="14"/>
              </w:rPr>
              <w:t>13 March 2024</w:t>
            </w:r>
          </w:p>
          <w:p w14:paraId="65CFB59B" w14:textId="497CB40C" w:rsidR="008C16B0" w:rsidRPr="00811894" w:rsidRDefault="008C16B0" w:rsidP="008C16B0">
            <w:pPr>
              <w:pStyle w:val="paragraph"/>
              <w:adjustRightInd w:val="0"/>
              <w:snapToGrid w:val="0"/>
              <w:spacing w:before="0" w:beforeAutospacing="0" w:after="0" w:afterAutospacing="0"/>
              <w:textAlignment w:val="baseline"/>
              <w:rPr>
                <w:rStyle w:val="eop"/>
                <w:rFonts w:ascii="Georgia" w:eastAsiaTheme="minorEastAsia" w:hAnsi="Georgia" w:cs="Arial"/>
                <w:color w:val="000000" w:themeColor="text1"/>
                <w:sz w:val="14"/>
                <w:szCs w:val="14"/>
              </w:rPr>
            </w:pPr>
            <w:r w:rsidRPr="00811894">
              <w:rPr>
                <w:rStyle w:val="normaltextrun"/>
                <w:rFonts w:ascii="Georgia" w:eastAsiaTheme="minorEastAsia" w:hAnsi="Georgia" w:cs="Arial"/>
                <w:b/>
                <w:bCs/>
                <w:color w:val="000000" w:themeColor="text1"/>
                <w:sz w:val="14"/>
                <w:szCs w:val="14"/>
              </w:rPr>
              <w:t>Citation</w:t>
            </w:r>
            <w:r w:rsidRPr="00811894">
              <w:rPr>
                <w:rStyle w:val="normaltextrun"/>
                <w:rFonts w:ascii="Georgia" w:eastAsiaTheme="minorEastAsia" w:hAnsi="Georgia" w:cs="Arial"/>
                <w:b/>
                <w:color w:val="000000" w:themeColor="text1"/>
                <w:sz w:val="14"/>
                <w:szCs w:val="14"/>
              </w:rPr>
              <w:t>:</w:t>
            </w:r>
            <w:r>
              <w:t xml:space="preserve"> </w:t>
            </w:r>
            <w:r w:rsidRPr="008C16B0">
              <w:rPr>
                <w:rStyle w:val="normaltextrun"/>
                <w:rFonts w:ascii="Georgia" w:eastAsiaTheme="minorEastAsia" w:hAnsi="Georgia" w:cs="Arial"/>
                <w:color w:val="000000" w:themeColor="text1"/>
                <w:sz w:val="14"/>
                <w:szCs w:val="14"/>
              </w:rPr>
              <w:t>Lange, S., Häne, E. &amp; Windlinger, L. (2022). Workplace Utilization in hospitals – a study of space efficiency potentials. The Evolving Scholar | ARCH22. https://doi.org/10.24404/6241c9e3f67aea8fb0ee9ec2</w:t>
            </w:r>
          </w:p>
          <w:p w14:paraId="6C76EACD" w14:textId="77777777" w:rsidR="008C16B0" w:rsidRPr="00811894" w:rsidRDefault="008C16B0" w:rsidP="008C16B0">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p>
          <w:p w14:paraId="291A9F1A" w14:textId="77777777" w:rsidR="008C16B0" w:rsidRPr="00811894" w:rsidRDefault="008C16B0" w:rsidP="008C16B0">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811894">
              <w:rPr>
                <w:rStyle w:val="normaltextrun"/>
                <w:rFonts w:ascii="Georgia" w:eastAsiaTheme="minorEastAsia" w:hAnsi="Georgia" w:cs="Arial"/>
                <w:color w:val="000000" w:themeColor="text1"/>
                <w:sz w:val="14"/>
                <w:szCs w:val="14"/>
              </w:rPr>
              <w:t xml:space="preserve">This work is licensed under a Creative Commons Attribution </w:t>
            </w:r>
            <w:r w:rsidRPr="0012582E">
              <w:rPr>
                <w:rStyle w:val="normaltextrun"/>
                <w:rFonts w:ascii="Georgia" w:eastAsiaTheme="minorEastAsia" w:hAnsi="Georgia" w:cs="Arial"/>
                <w:color w:val="000000" w:themeColor="text1"/>
                <w:sz w:val="14"/>
                <w:szCs w:val="14"/>
              </w:rPr>
              <w:t>CC BY</w:t>
            </w:r>
            <w:r>
              <w:rPr>
                <w:rStyle w:val="normaltextrun"/>
                <w:rFonts w:ascii="Georgia" w:eastAsiaTheme="minorEastAsia" w:hAnsi="Georgia" w:cs="Arial"/>
                <w:color w:val="000000" w:themeColor="text1"/>
                <w:sz w:val="14"/>
                <w:szCs w:val="14"/>
              </w:rPr>
              <w:t xml:space="preserve"> </w:t>
            </w:r>
            <w:r w:rsidRPr="00811894">
              <w:rPr>
                <w:rStyle w:val="normaltextrun"/>
                <w:rFonts w:ascii="Georgia" w:eastAsiaTheme="minorEastAsia" w:hAnsi="Georgia" w:cs="Arial"/>
                <w:color w:val="000000" w:themeColor="text1"/>
                <w:sz w:val="14"/>
                <w:szCs w:val="14"/>
              </w:rPr>
              <w:t xml:space="preserve"> license (CC BY).</w:t>
            </w:r>
          </w:p>
          <w:p w14:paraId="7D56802F" w14:textId="77777777" w:rsidR="008C16B0" w:rsidRPr="00811894" w:rsidRDefault="008C16B0" w:rsidP="008C16B0">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p>
          <w:p w14:paraId="7A807FCF" w14:textId="64DE1E68" w:rsidR="008C16B0" w:rsidRPr="00811894" w:rsidRDefault="008C16B0" w:rsidP="008C16B0">
            <w:pPr>
              <w:pStyle w:val="paragraph"/>
              <w:adjustRightInd w:val="0"/>
              <w:snapToGrid w:val="0"/>
              <w:spacing w:before="0" w:beforeAutospacing="0" w:after="0" w:afterAutospacing="0"/>
              <w:textAlignment w:val="baseline"/>
              <w:rPr>
                <w:rFonts w:ascii="Georgia" w:eastAsiaTheme="minorEastAsia" w:hAnsi="Georgia" w:cs="Arial"/>
                <w:bCs/>
                <w:sz w:val="14"/>
                <w:szCs w:val="14"/>
                <w:lang w:bidi="en-US"/>
              </w:rPr>
            </w:pPr>
            <w:r w:rsidRPr="00811894">
              <w:rPr>
                <w:rStyle w:val="normaltextrun"/>
                <w:rFonts w:ascii="Georgia" w:eastAsiaTheme="minorEastAsia" w:hAnsi="Georgia" w:cs="Arial"/>
                <w:color w:val="000000" w:themeColor="text1"/>
                <w:sz w:val="14"/>
                <w:szCs w:val="14"/>
              </w:rPr>
              <w:t>© 2022</w:t>
            </w:r>
            <w:r w:rsidRPr="008C16B0">
              <w:rPr>
                <w:rFonts w:ascii="Georgia" w:eastAsiaTheme="minorEastAsia" w:hAnsi="Georgia" w:cs="Arial"/>
                <w:color w:val="000000" w:themeColor="text1"/>
                <w:sz w:val="14"/>
                <w:szCs w:val="14"/>
              </w:rPr>
              <w:t xml:space="preserve"> </w:t>
            </w:r>
            <w:r w:rsidRPr="008C16B0">
              <w:rPr>
                <w:rStyle w:val="normaltextrun"/>
                <w:rFonts w:ascii="Georgia" w:eastAsiaTheme="minorEastAsia" w:hAnsi="Georgia" w:cs="Arial"/>
                <w:color w:val="000000" w:themeColor="text1"/>
                <w:sz w:val="14"/>
                <w:szCs w:val="14"/>
              </w:rPr>
              <w:t>Lange, S., Häne, E. &amp; Windlinger, L.</w:t>
            </w:r>
            <w:r w:rsidR="008631B3">
              <w:rPr>
                <w:rStyle w:val="normaltextrun"/>
                <w:rFonts w:ascii="Georgia" w:eastAsiaTheme="minorEastAsia" w:hAnsi="Georgia" w:cs="Arial"/>
                <w:color w:val="000000" w:themeColor="text1"/>
                <w:sz w:val="14"/>
                <w:szCs w:val="14"/>
              </w:rPr>
              <w:t>,</w:t>
            </w:r>
            <w:r w:rsidRPr="00811894">
              <w:rPr>
                <w:rStyle w:val="normaltextrun"/>
                <w:rFonts w:ascii="Georgia" w:eastAsiaTheme="minorEastAsia" w:hAnsi="Georgia" w:cs="Arial"/>
                <w:color w:val="000000" w:themeColor="text1"/>
                <w:sz w:val="14"/>
                <w:szCs w:val="14"/>
              </w:rPr>
              <w:t xml:space="preserve"> published by TU Delft OPEN on behalf of the authors.</w:t>
            </w:r>
          </w:p>
        </w:tc>
      </w:tr>
    </w:tbl>
    <w:p w14:paraId="6A81ABE3" w14:textId="2B56DFC7" w:rsidR="00667587" w:rsidRPr="00D41D25" w:rsidRDefault="00667587" w:rsidP="00667587">
      <w:pPr>
        <w:pStyle w:val="MDPI17abstract"/>
        <w:rPr>
          <w:rFonts w:ascii="Georgia" w:eastAsiaTheme="minorEastAsia" w:hAnsi="Georgia" w:cs="Arial"/>
        </w:rPr>
      </w:pPr>
      <w:r w:rsidRPr="00D41D25">
        <w:rPr>
          <w:rFonts w:ascii="Georgia" w:eastAsiaTheme="minorEastAsia" w:hAnsi="Georgia" w:cs="Arial"/>
          <w:b/>
          <w:bCs/>
        </w:rPr>
        <w:t>Abstract:</w:t>
      </w:r>
      <w:r w:rsidRPr="00D41D25">
        <w:rPr>
          <w:rFonts w:ascii="Georgia" w:eastAsiaTheme="minorEastAsia" w:hAnsi="Georgia" w:cs="Arial"/>
        </w:rPr>
        <w:t xml:space="preserve"> </w:t>
      </w:r>
      <w:r w:rsidR="00F340AF" w:rsidRPr="00D41D25">
        <w:rPr>
          <w:rFonts w:ascii="Georgia" w:eastAsiaTheme="minorEastAsia" w:hAnsi="Georgia" w:cs="Arial"/>
          <w:lang w:val="en-GB"/>
        </w:rPr>
        <w:t xml:space="preserve">Administrative non-patient workstations of medical staff are often rarely occupied, as physicians use various spaces in their daily routine. Occupancy data for administrative workplaces in hospitals </w:t>
      </w:r>
      <w:r w:rsidR="00F713C0">
        <w:rPr>
          <w:rFonts w:ascii="Georgia" w:eastAsiaTheme="minorEastAsia" w:hAnsi="Georgia" w:cs="Arial"/>
          <w:lang w:val="en-GB"/>
        </w:rPr>
        <w:t>is</w:t>
      </w:r>
      <w:r w:rsidR="00F713C0" w:rsidRPr="00D41D25">
        <w:rPr>
          <w:rFonts w:ascii="Georgia" w:eastAsiaTheme="minorEastAsia" w:hAnsi="Georgia" w:cs="Arial"/>
          <w:lang w:val="en-GB"/>
        </w:rPr>
        <w:t xml:space="preserve"> </w:t>
      </w:r>
      <w:r w:rsidR="00F340AF" w:rsidRPr="00D41D25">
        <w:rPr>
          <w:rFonts w:ascii="Georgia" w:eastAsiaTheme="minorEastAsia" w:hAnsi="Georgia" w:cs="Arial"/>
          <w:lang w:val="en-GB"/>
        </w:rPr>
        <w:t xml:space="preserve">scarce but needed as a basis for planning for costly projects. Thus, the objective of this secondary data analysis was to compare the occupancy rate of traditional administrative offices to medical offices in hospitals. Additionally, the activities performed at the workstation are compared. Occupancy data resulting from Space Utilization Surveys in 14 offices </w:t>
      </w:r>
      <w:r w:rsidR="00EA1BBB">
        <w:rPr>
          <w:rFonts w:ascii="Georgia" w:eastAsiaTheme="minorEastAsia" w:hAnsi="Georgia" w:cs="Arial"/>
          <w:lang w:val="en-GB"/>
        </w:rPr>
        <w:t>was</w:t>
      </w:r>
      <w:r w:rsidR="00EA1BBB" w:rsidRPr="00D41D25">
        <w:rPr>
          <w:rFonts w:ascii="Georgia" w:eastAsiaTheme="minorEastAsia" w:hAnsi="Georgia" w:cs="Arial"/>
          <w:lang w:val="en-GB"/>
        </w:rPr>
        <w:t xml:space="preserve"> </w:t>
      </w:r>
      <w:r w:rsidR="00F340AF" w:rsidRPr="00D41D25">
        <w:rPr>
          <w:rFonts w:ascii="Georgia" w:eastAsiaTheme="minorEastAsia" w:hAnsi="Georgia" w:cs="Arial"/>
          <w:lang w:val="en-GB"/>
        </w:rPr>
        <w:t xml:space="preserve">compared with data from hospitals projects. The data results from multi-moment observations that were conducted twice per hour on three days while presence and activity patterns were collected. The office data and the hospital data were </w:t>
      </w:r>
      <w:proofErr w:type="spellStart"/>
      <w:r w:rsidR="00F340AF" w:rsidRPr="00D41D25">
        <w:rPr>
          <w:rFonts w:ascii="Georgia" w:eastAsiaTheme="minorEastAsia" w:hAnsi="Georgia" w:cs="Arial"/>
          <w:lang w:val="en-GB"/>
        </w:rPr>
        <w:t>analyzed</w:t>
      </w:r>
      <w:proofErr w:type="spellEnd"/>
      <w:r w:rsidR="00F340AF" w:rsidRPr="00D41D25">
        <w:rPr>
          <w:rFonts w:ascii="Georgia" w:eastAsiaTheme="minorEastAsia" w:hAnsi="Georgia" w:cs="Arial"/>
          <w:lang w:val="en-GB"/>
        </w:rPr>
        <w:t xml:space="preserve"> descriptively. Average occupancy and activities were studied and </w:t>
      </w:r>
      <w:r w:rsidR="003D2439">
        <w:rPr>
          <w:rFonts w:ascii="Georgia" w:eastAsiaTheme="minorEastAsia" w:hAnsi="Georgia" w:cs="Arial"/>
          <w:lang w:val="en-GB"/>
        </w:rPr>
        <w:t xml:space="preserve">it was </w:t>
      </w:r>
      <w:r w:rsidR="00F340AF" w:rsidRPr="00D41D25">
        <w:rPr>
          <w:rFonts w:ascii="Georgia" w:eastAsiaTheme="minorEastAsia" w:hAnsi="Georgia" w:cs="Arial"/>
          <w:lang w:val="en-GB"/>
        </w:rPr>
        <w:t>recognised that</w:t>
      </w:r>
      <w:r w:rsidR="003D2439">
        <w:rPr>
          <w:rFonts w:ascii="Georgia" w:eastAsiaTheme="minorEastAsia" w:hAnsi="Georgia" w:cs="Arial"/>
          <w:lang w:val="en-GB"/>
        </w:rPr>
        <w:t>,</w:t>
      </w:r>
      <w:r w:rsidR="00F340AF" w:rsidRPr="00D41D25">
        <w:rPr>
          <w:rFonts w:ascii="Georgia" w:eastAsiaTheme="minorEastAsia" w:hAnsi="Georgia" w:cs="Arial"/>
          <w:lang w:val="en-GB"/>
        </w:rPr>
        <w:t xml:space="preserve"> compared to offices, workstations in hospitals have significantly lower occupancy rates. Activities at workstations in hospitals and activities in offices are significantly different. The results show more communication activities in hospitals and less computer work compared to offices. According to this analysis</w:t>
      </w:r>
      <w:r w:rsidR="007344B1">
        <w:rPr>
          <w:rFonts w:ascii="Georgia" w:eastAsiaTheme="minorEastAsia" w:hAnsi="Georgia" w:cs="Arial"/>
          <w:lang w:val="en-GB"/>
        </w:rPr>
        <w:t>,</w:t>
      </w:r>
      <w:r w:rsidR="00F340AF" w:rsidRPr="00D41D25">
        <w:rPr>
          <w:rFonts w:ascii="Georgia" w:eastAsiaTheme="minorEastAsia" w:hAnsi="Georgia" w:cs="Arial"/>
          <w:lang w:val="en-GB"/>
        </w:rPr>
        <w:t xml:space="preserve"> space efficiency potentials exist. The results indicate that the way workstations are used in hospitals is different from traditional offices. Medical staff spend a large part of the working day away from their backstage desks. However, the use of desks is less plannable as in offices</w:t>
      </w:r>
      <w:r w:rsidR="009E1AE0">
        <w:rPr>
          <w:rFonts w:ascii="Georgia" w:eastAsiaTheme="minorEastAsia" w:hAnsi="Georgia" w:cs="Arial"/>
          <w:lang w:val="en-GB"/>
        </w:rPr>
        <w:t>,</w:t>
      </w:r>
      <w:r w:rsidR="00F340AF" w:rsidRPr="00D41D25">
        <w:rPr>
          <w:rFonts w:ascii="Georgia" w:eastAsiaTheme="minorEastAsia" w:hAnsi="Georgia" w:cs="Arial"/>
          <w:lang w:val="en-GB"/>
        </w:rPr>
        <w:t xml:space="preserve"> and changes of room take place frequently. Therefore, it’s unclear whether the efficiency potentials can be realized in </w:t>
      </w:r>
      <w:r w:rsidR="00D643A1">
        <w:rPr>
          <w:rFonts w:ascii="Georgia" w:eastAsiaTheme="minorEastAsia" w:hAnsi="Georgia" w:cs="Arial"/>
          <w:lang w:val="en-GB"/>
        </w:rPr>
        <w:t>the same</w:t>
      </w:r>
      <w:r w:rsidR="00D643A1" w:rsidRPr="00D41D25">
        <w:rPr>
          <w:rFonts w:ascii="Georgia" w:eastAsiaTheme="minorEastAsia" w:hAnsi="Georgia" w:cs="Arial"/>
          <w:lang w:val="en-GB"/>
        </w:rPr>
        <w:t xml:space="preserve"> </w:t>
      </w:r>
      <w:r w:rsidR="00F340AF" w:rsidRPr="00D41D25">
        <w:rPr>
          <w:rFonts w:ascii="Georgia" w:eastAsiaTheme="minorEastAsia" w:hAnsi="Georgia" w:cs="Arial"/>
          <w:lang w:val="en-GB"/>
        </w:rPr>
        <w:t>way as administrative offices.</w:t>
      </w:r>
    </w:p>
    <w:p w14:paraId="55CE36C4" w14:textId="63EFC495" w:rsidR="00A86E9F" w:rsidRPr="00D41D25" w:rsidRDefault="00A86E9F" w:rsidP="00A86E9F">
      <w:pPr>
        <w:pStyle w:val="MDPI18keywords"/>
        <w:rPr>
          <w:rFonts w:ascii="Georgia" w:eastAsiaTheme="minorEastAsia" w:hAnsi="Georgia" w:cs="Arial"/>
          <w:lang w:val="en-GB"/>
        </w:rPr>
      </w:pPr>
      <w:r w:rsidRPr="00D41D25">
        <w:rPr>
          <w:rFonts w:ascii="Georgia" w:eastAsiaTheme="minorEastAsia" w:hAnsi="Georgia" w:cs="Arial"/>
          <w:b/>
          <w:lang w:val="en-GB"/>
        </w:rPr>
        <w:t>Keywords:</w:t>
      </w:r>
      <w:r w:rsidRPr="00D41D25">
        <w:rPr>
          <w:rFonts w:ascii="Georgia" w:eastAsiaTheme="minorEastAsia" w:hAnsi="Georgia" w:cs="Arial"/>
          <w:lang w:val="en-GB"/>
        </w:rPr>
        <w:t xml:space="preserve"> </w:t>
      </w:r>
      <w:r w:rsidR="00F34D88" w:rsidRPr="00D41D25">
        <w:rPr>
          <w:rFonts w:ascii="Georgia" w:eastAsiaTheme="minorEastAsia" w:hAnsi="Georgia" w:cs="Arial"/>
          <w:lang w:val="en-GB"/>
        </w:rPr>
        <w:t>space utilization study, administrative workplaces in healthcare</w:t>
      </w:r>
      <w:r w:rsidR="004F1F8A" w:rsidRPr="00D41D25">
        <w:rPr>
          <w:rFonts w:ascii="Georgia" w:eastAsiaTheme="minorEastAsia" w:hAnsi="Georgia" w:cs="Arial"/>
          <w:lang w:val="en-GB"/>
        </w:rPr>
        <w:t>, space efficiency, workplace management</w:t>
      </w:r>
    </w:p>
    <w:p w14:paraId="6A05A809" w14:textId="77777777" w:rsidR="00A86E9F" w:rsidRPr="00D41D25" w:rsidRDefault="00A86E9F" w:rsidP="00A86E9F">
      <w:pPr>
        <w:pStyle w:val="MDPI19line"/>
        <w:rPr>
          <w:rFonts w:ascii="Georgia" w:eastAsiaTheme="minorEastAsia" w:hAnsi="Georgia" w:cs="Arial"/>
          <w:lang w:val="en-GB"/>
        </w:rPr>
      </w:pPr>
    </w:p>
    <w:p w14:paraId="32A36C38" w14:textId="77777777" w:rsidR="00A86E9F" w:rsidRPr="00D41D25" w:rsidRDefault="00A86E9F" w:rsidP="00A86E9F">
      <w:pPr>
        <w:pStyle w:val="MDPI21heading1"/>
        <w:rPr>
          <w:rFonts w:eastAsiaTheme="minorEastAsia" w:cs="Arial"/>
          <w:lang w:val="en-GB" w:eastAsia="zh-CN"/>
        </w:rPr>
      </w:pPr>
      <w:r w:rsidRPr="00D41D25">
        <w:rPr>
          <w:rFonts w:eastAsiaTheme="minorEastAsia" w:cs="Arial"/>
          <w:lang w:val="en-GB" w:eastAsia="zh-CN"/>
        </w:rPr>
        <w:t>1. Introduction</w:t>
      </w:r>
    </w:p>
    <w:p w14:paraId="0E157443" w14:textId="29670D75" w:rsidR="00FF5AC1" w:rsidRPr="00D41D25" w:rsidRDefault="00FF5AC1" w:rsidP="00FF5AC1">
      <w:pPr>
        <w:pStyle w:val="MDPI31text"/>
        <w:rPr>
          <w:rFonts w:ascii="Georgia" w:eastAsiaTheme="minorEastAsia" w:hAnsi="Georgia" w:cs="Arial"/>
          <w:lang w:val="en-GB"/>
        </w:rPr>
      </w:pPr>
      <w:r w:rsidRPr="00D41D25">
        <w:rPr>
          <w:rFonts w:ascii="Georgia" w:eastAsiaTheme="minorEastAsia" w:hAnsi="Georgia" w:cs="Arial"/>
          <w:lang w:val="en-GB"/>
        </w:rPr>
        <w:t>The number of hospitals in Switzerland has been reduced by 21% over the last 20 years (</w:t>
      </w:r>
      <w:proofErr w:type="spellStart"/>
      <w:r w:rsidRPr="00D41D25">
        <w:rPr>
          <w:rFonts w:ascii="Georgia" w:eastAsiaTheme="minorEastAsia" w:hAnsi="Georgia" w:cs="Arial"/>
          <w:lang w:val="en-GB"/>
        </w:rPr>
        <w:t>Hplus</w:t>
      </w:r>
      <w:proofErr w:type="spellEnd"/>
      <w:r w:rsidRPr="00D41D25">
        <w:rPr>
          <w:rFonts w:ascii="Georgia" w:eastAsiaTheme="minorEastAsia" w:hAnsi="Georgia" w:cs="Arial"/>
          <w:lang w:val="en-GB"/>
        </w:rPr>
        <w:t>, 2021). At the same time, population growth and a steady improvement in medicine took place, resulting in more cases per hospital (</w:t>
      </w:r>
      <w:proofErr w:type="spellStart"/>
      <w:r w:rsidRPr="00D41D25">
        <w:rPr>
          <w:rFonts w:ascii="Georgia" w:eastAsiaTheme="minorEastAsia" w:hAnsi="Georgia" w:cs="Arial"/>
          <w:lang w:val="en-GB"/>
        </w:rPr>
        <w:t>BfS</w:t>
      </w:r>
      <w:proofErr w:type="spellEnd"/>
      <w:r w:rsidRPr="00D41D25">
        <w:rPr>
          <w:rFonts w:ascii="Georgia" w:eastAsiaTheme="minorEastAsia" w:hAnsi="Georgia" w:cs="Arial"/>
          <w:lang w:val="en-GB"/>
        </w:rPr>
        <w:t xml:space="preserve">, 2021). For hospital </w:t>
      </w:r>
      <w:r w:rsidR="000E21CE" w:rsidRPr="00D41D25">
        <w:rPr>
          <w:rFonts w:ascii="Georgia" w:eastAsiaTheme="minorEastAsia" w:hAnsi="Georgia" w:cs="Arial"/>
          <w:lang w:val="en-GB"/>
        </w:rPr>
        <w:t>employees</w:t>
      </w:r>
      <w:r w:rsidRPr="00D41D25">
        <w:rPr>
          <w:rFonts w:ascii="Georgia" w:eastAsiaTheme="minorEastAsia" w:hAnsi="Georgia" w:cs="Arial"/>
          <w:lang w:val="en-GB"/>
        </w:rPr>
        <w:t xml:space="preserve">, this means more patients, more </w:t>
      </w:r>
      <w:r w:rsidR="00945E12" w:rsidRPr="00D41D25">
        <w:rPr>
          <w:rFonts w:ascii="Georgia" w:eastAsiaTheme="minorEastAsia" w:hAnsi="Georgia" w:cs="Arial"/>
          <w:lang w:val="en-GB"/>
        </w:rPr>
        <w:t>work,</w:t>
      </w:r>
      <w:r w:rsidRPr="00D41D25">
        <w:rPr>
          <w:rFonts w:ascii="Georgia" w:eastAsiaTheme="minorEastAsia" w:hAnsi="Georgia" w:cs="Arial"/>
          <w:lang w:val="en-GB"/>
        </w:rPr>
        <w:t xml:space="preserve"> and more staff in existing building structures. The limited availability of space also led to </w:t>
      </w:r>
      <w:r w:rsidR="002429C0" w:rsidRPr="00D41D25">
        <w:rPr>
          <w:rFonts w:ascii="Georgia" w:eastAsiaTheme="minorEastAsia" w:hAnsi="Georgia" w:cs="Arial"/>
          <w:lang w:val="en-GB"/>
        </w:rPr>
        <w:t>densification</w:t>
      </w:r>
      <w:r w:rsidRPr="00D41D25">
        <w:rPr>
          <w:rFonts w:ascii="Georgia" w:eastAsiaTheme="minorEastAsia" w:hAnsi="Georgia" w:cs="Arial"/>
          <w:lang w:val="en-GB"/>
        </w:rPr>
        <w:t xml:space="preserve"> of administrative workplaces in offices and often called for </w:t>
      </w:r>
      <w:r w:rsidR="00EE58BE" w:rsidRPr="00D41D25">
        <w:rPr>
          <w:rFonts w:ascii="Georgia" w:eastAsiaTheme="minorEastAsia" w:hAnsi="Georgia" w:cs="Arial"/>
          <w:lang w:val="en-GB"/>
        </w:rPr>
        <w:t>ad hoc</w:t>
      </w:r>
      <w:r w:rsidRPr="00D41D25">
        <w:rPr>
          <w:rFonts w:ascii="Georgia" w:eastAsiaTheme="minorEastAsia" w:hAnsi="Georgia" w:cs="Arial"/>
          <w:lang w:val="en-GB"/>
        </w:rPr>
        <w:t xml:space="preserve"> solutions</w:t>
      </w:r>
      <w:r w:rsidR="00EE58BE" w:rsidRPr="00D41D25">
        <w:rPr>
          <w:rFonts w:ascii="Georgia" w:eastAsiaTheme="minorEastAsia" w:hAnsi="Georgia" w:cs="Arial"/>
          <w:lang w:val="en-GB"/>
        </w:rPr>
        <w:t xml:space="preserve"> to accommodate growth</w:t>
      </w:r>
      <w:r w:rsidRPr="00D41D25">
        <w:rPr>
          <w:rFonts w:ascii="Georgia" w:eastAsiaTheme="minorEastAsia" w:hAnsi="Georgia" w:cs="Arial"/>
          <w:lang w:val="en-GB"/>
        </w:rPr>
        <w:t xml:space="preserve">.  </w:t>
      </w:r>
    </w:p>
    <w:p w14:paraId="46182828" w14:textId="3ED3A7B7" w:rsidR="00FF5AC1" w:rsidRPr="00D41D25" w:rsidRDefault="00FF5AC1" w:rsidP="00FF5AC1">
      <w:pPr>
        <w:pStyle w:val="MDPI31text"/>
        <w:rPr>
          <w:rFonts w:ascii="Georgia" w:eastAsiaTheme="minorEastAsia" w:hAnsi="Georgia" w:cs="Arial"/>
          <w:lang w:val="en-GB"/>
        </w:rPr>
      </w:pPr>
      <w:r w:rsidRPr="00D41D25">
        <w:rPr>
          <w:rFonts w:ascii="Georgia" w:eastAsiaTheme="minorEastAsia" w:hAnsi="Georgia" w:cs="Arial"/>
          <w:lang w:val="en-GB"/>
        </w:rPr>
        <w:t xml:space="preserve">In recent years, a national </w:t>
      </w:r>
      <w:r w:rsidR="003048DD" w:rsidRPr="00D41D25">
        <w:rPr>
          <w:rFonts w:ascii="Georgia" w:eastAsiaTheme="minorEastAsia" w:hAnsi="Georgia" w:cs="Arial"/>
          <w:lang w:val="en-GB"/>
        </w:rPr>
        <w:t xml:space="preserve">hospital </w:t>
      </w:r>
      <w:r w:rsidRPr="00D41D25">
        <w:rPr>
          <w:rFonts w:ascii="Georgia" w:eastAsiaTheme="minorEastAsia" w:hAnsi="Georgia" w:cs="Arial"/>
          <w:lang w:val="en-GB"/>
        </w:rPr>
        <w:t>renovation wave has started in Switzerland (</w:t>
      </w:r>
      <w:proofErr w:type="spellStart"/>
      <w:r w:rsidR="001E083C" w:rsidRPr="00D41D25">
        <w:rPr>
          <w:rFonts w:ascii="Georgia" w:eastAsiaTheme="minorEastAsia" w:hAnsi="Georgia" w:cs="Arial"/>
          <w:lang w:val="en-GB"/>
        </w:rPr>
        <w:t>M</w:t>
      </w:r>
      <w:r w:rsidRPr="00D41D25">
        <w:rPr>
          <w:rFonts w:ascii="Georgia" w:eastAsiaTheme="minorEastAsia" w:hAnsi="Georgia" w:cs="Arial"/>
          <w:lang w:val="en-GB"/>
        </w:rPr>
        <w:t>edinsight</w:t>
      </w:r>
      <w:proofErr w:type="spellEnd"/>
      <w:r w:rsidRPr="00D41D25">
        <w:rPr>
          <w:rFonts w:ascii="Georgia" w:eastAsiaTheme="minorEastAsia" w:hAnsi="Georgia" w:cs="Arial"/>
          <w:lang w:val="en-GB"/>
        </w:rPr>
        <w:t>, 2020)</w:t>
      </w:r>
      <w:r w:rsidR="001E083C" w:rsidRPr="00D41D25">
        <w:rPr>
          <w:rFonts w:ascii="Georgia" w:eastAsiaTheme="minorEastAsia" w:hAnsi="Georgia" w:cs="Arial"/>
          <w:lang w:val="en-GB"/>
        </w:rPr>
        <w:t>,</w:t>
      </w:r>
      <w:r w:rsidRPr="00D41D25">
        <w:rPr>
          <w:rFonts w:ascii="Georgia" w:eastAsiaTheme="minorEastAsia" w:hAnsi="Georgia" w:cs="Arial"/>
          <w:lang w:val="en-GB"/>
        </w:rPr>
        <w:t xml:space="preserve"> and those in charge are challenged to make strategic decisions for the </w:t>
      </w:r>
      <w:r w:rsidR="007B7F69">
        <w:rPr>
          <w:rFonts w:ascii="Georgia" w:eastAsiaTheme="minorEastAsia" w:hAnsi="Georgia" w:cs="Arial"/>
          <w:lang w:val="en-GB"/>
        </w:rPr>
        <w:t>coming</w:t>
      </w:r>
      <w:r w:rsidR="007B7F69" w:rsidRPr="00D41D25">
        <w:rPr>
          <w:rFonts w:ascii="Georgia" w:eastAsiaTheme="minorEastAsia" w:hAnsi="Georgia" w:cs="Arial"/>
          <w:lang w:val="en-GB"/>
        </w:rPr>
        <w:t xml:space="preserve"> </w:t>
      </w:r>
      <w:r w:rsidRPr="00D41D25">
        <w:rPr>
          <w:rFonts w:ascii="Georgia" w:eastAsiaTheme="minorEastAsia" w:hAnsi="Georgia" w:cs="Arial"/>
          <w:lang w:val="en-GB"/>
        </w:rPr>
        <w:t xml:space="preserve">years or decades. </w:t>
      </w:r>
      <w:r w:rsidR="00FD42EC" w:rsidRPr="00D41D25">
        <w:rPr>
          <w:rFonts w:ascii="Georgia" w:eastAsiaTheme="minorEastAsia" w:hAnsi="Georgia" w:cs="Arial"/>
          <w:lang w:val="en-GB"/>
        </w:rPr>
        <w:t>Regarding</w:t>
      </w:r>
      <w:r w:rsidRPr="00D41D25">
        <w:rPr>
          <w:rFonts w:ascii="Georgia" w:eastAsiaTheme="minorEastAsia" w:hAnsi="Georgia" w:cs="Arial"/>
          <w:lang w:val="en-GB"/>
        </w:rPr>
        <w:t xml:space="preserve"> administrative workplaces, modern</w:t>
      </w:r>
      <w:r w:rsidR="006511D1" w:rsidRPr="00D41D25">
        <w:rPr>
          <w:rFonts w:ascii="Georgia" w:eastAsiaTheme="minorEastAsia" w:hAnsi="Georgia" w:cs="Arial"/>
          <w:lang w:val="en-GB"/>
        </w:rPr>
        <w:t>, open</w:t>
      </w:r>
      <w:r w:rsidRPr="00D41D25">
        <w:rPr>
          <w:rFonts w:ascii="Georgia" w:eastAsiaTheme="minorEastAsia" w:hAnsi="Georgia" w:cs="Arial"/>
          <w:lang w:val="en-GB"/>
        </w:rPr>
        <w:t xml:space="preserve"> office types and desk-sharing concepts, as known from offices</w:t>
      </w:r>
      <w:r w:rsidR="00F83F0C" w:rsidRPr="00D41D25">
        <w:rPr>
          <w:rFonts w:ascii="Georgia" w:eastAsiaTheme="minorEastAsia" w:hAnsi="Georgia" w:cs="Arial"/>
          <w:lang w:val="en-GB"/>
        </w:rPr>
        <w:t xml:space="preserve"> outside the healthcare sector</w:t>
      </w:r>
      <w:r w:rsidRPr="00D41D25">
        <w:rPr>
          <w:rFonts w:ascii="Georgia" w:eastAsiaTheme="minorEastAsia" w:hAnsi="Georgia" w:cs="Arial"/>
          <w:lang w:val="en-GB"/>
        </w:rPr>
        <w:t xml:space="preserve">, are increasingly being adopted for </w:t>
      </w:r>
      <w:r w:rsidR="001E083C" w:rsidRPr="00D41D25">
        <w:rPr>
          <w:rFonts w:ascii="Georgia" w:eastAsiaTheme="minorEastAsia" w:hAnsi="Georgia" w:cs="Arial"/>
          <w:lang w:val="en-GB"/>
        </w:rPr>
        <w:t>future hospitals</w:t>
      </w:r>
      <w:r w:rsidRPr="00D41D25">
        <w:rPr>
          <w:rFonts w:ascii="Georgia" w:eastAsiaTheme="minorEastAsia" w:hAnsi="Georgia" w:cs="Arial"/>
          <w:lang w:val="en-GB"/>
        </w:rPr>
        <w:t xml:space="preserve">. </w:t>
      </w:r>
      <w:r w:rsidR="006C4217" w:rsidRPr="00D41D25">
        <w:rPr>
          <w:rFonts w:ascii="Georgia" w:eastAsiaTheme="minorEastAsia" w:hAnsi="Georgia" w:cs="Arial"/>
          <w:lang w:val="en-GB"/>
        </w:rPr>
        <w:t>Cell offices in the form of i</w:t>
      </w:r>
      <w:r w:rsidRPr="00D41D25">
        <w:rPr>
          <w:rFonts w:ascii="Georgia" w:eastAsiaTheme="minorEastAsia" w:hAnsi="Georgia" w:cs="Arial"/>
          <w:lang w:val="en-GB"/>
        </w:rPr>
        <w:t xml:space="preserve">ndividual and group offices are considered too inefficient in terms of space. </w:t>
      </w:r>
    </w:p>
    <w:p w14:paraId="71B42301" w14:textId="21783565" w:rsidR="00FF5AC1" w:rsidRPr="00D41D25" w:rsidRDefault="00FF5AC1" w:rsidP="00FF5AC1">
      <w:pPr>
        <w:pStyle w:val="MDPI31text"/>
        <w:rPr>
          <w:rFonts w:ascii="Georgia" w:eastAsiaTheme="minorEastAsia" w:hAnsi="Georgia" w:cs="Arial"/>
          <w:lang w:val="en-GB"/>
        </w:rPr>
      </w:pPr>
      <w:r w:rsidRPr="00D41D25">
        <w:rPr>
          <w:rFonts w:ascii="Georgia" w:eastAsiaTheme="minorEastAsia" w:hAnsi="Georgia" w:cs="Arial"/>
          <w:lang w:val="en-GB"/>
        </w:rPr>
        <w:t xml:space="preserve">Reasons for these </w:t>
      </w:r>
      <w:r w:rsidR="00D52C01" w:rsidRPr="00D41D25">
        <w:rPr>
          <w:rFonts w:ascii="Georgia" w:eastAsiaTheme="minorEastAsia" w:hAnsi="Georgia" w:cs="Arial"/>
          <w:lang w:val="en-GB"/>
        </w:rPr>
        <w:t>workplace strategies</w:t>
      </w:r>
      <w:r w:rsidRPr="00D41D25">
        <w:rPr>
          <w:rFonts w:ascii="Georgia" w:eastAsiaTheme="minorEastAsia" w:hAnsi="Georgia" w:cs="Arial"/>
          <w:lang w:val="en-GB"/>
        </w:rPr>
        <w:t xml:space="preserve"> are obvious: administrative workplaces of medical staff that are far away from patients are often only partially </w:t>
      </w:r>
      <w:r w:rsidR="006C78C9" w:rsidRPr="00D41D25">
        <w:rPr>
          <w:rFonts w:ascii="Georgia" w:eastAsiaTheme="minorEastAsia" w:hAnsi="Georgia" w:cs="Arial"/>
          <w:lang w:val="en-GB"/>
        </w:rPr>
        <w:t>utilized</w:t>
      </w:r>
      <w:r w:rsidRPr="00D41D25">
        <w:rPr>
          <w:rFonts w:ascii="Georgia" w:eastAsiaTheme="minorEastAsia" w:hAnsi="Georgia" w:cs="Arial"/>
          <w:lang w:val="en-GB"/>
        </w:rPr>
        <w:t xml:space="preserve">, as doctors </w:t>
      </w:r>
      <w:r w:rsidRPr="00D41D25">
        <w:rPr>
          <w:rFonts w:ascii="Georgia" w:eastAsiaTheme="minorEastAsia" w:hAnsi="Georgia" w:cs="Arial"/>
          <w:lang w:val="en-GB"/>
        </w:rPr>
        <w:lastRenderedPageBreak/>
        <w:t xml:space="preserve">use </w:t>
      </w:r>
      <w:r w:rsidR="007243CC" w:rsidRPr="00D41D25">
        <w:rPr>
          <w:rFonts w:ascii="Georgia" w:eastAsiaTheme="minorEastAsia" w:hAnsi="Georgia" w:cs="Arial"/>
          <w:lang w:val="en-GB"/>
        </w:rPr>
        <w:t>other</w:t>
      </w:r>
      <w:r w:rsidRPr="00D41D25">
        <w:rPr>
          <w:rFonts w:ascii="Georgia" w:eastAsiaTheme="minorEastAsia" w:hAnsi="Georgia" w:cs="Arial"/>
          <w:lang w:val="en-GB"/>
        </w:rPr>
        <w:t xml:space="preserve"> </w:t>
      </w:r>
      <w:r w:rsidR="002F7903" w:rsidRPr="00D41D25">
        <w:rPr>
          <w:rFonts w:ascii="Georgia" w:eastAsiaTheme="minorEastAsia" w:hAnsi="Georgia" w:cs="Arial"/>
          <w:lang w:val="en-GB"/>
        </w:rPr>
        <w:t>places</w:t>
      </w:r>
      <w:r w:rsidRPr="00D41D25">
        <w:rPr>
          <w:rFonts w:ascii="Georgia" w:eastAsiaTheme="minorEastAsia" w:hAnsi="Georgia" w:cs="Arial"/>
          <w:lang w:val="en-GB"/>
        </w:rPr>
        <w:t xml:space="preserve"> in their daily hospital routine. Space efficiency potentials are </w:t>
      </w:r>
      <w:r w:rsidR="002F7903" w:rsidRPr="00D41D25">
        <w:rPr>
          <w:rFonts w:ascii="Georgia" w:eastAsiaTheme="minorEastAsia" w:hAnsi="Georgia" w:cs="Arial"/>
          <w:lang w:val="en-GB"/>
        </w:rPr>
        <w:t xml:space="preserve">thus </w:t>
      </w:r>
      <w:r w:rsidRPr="00D41D25">
        <w:rPr>
          <w:rFonts w:ascii="Georgia" w:eastAsiaTheme="minorEastAsia" w:hAnsi="Georgia" w:cs="Arial"/>
          <w:lang w:val="en-GB"/>
        </w:rPr>
        <w:t>obvious in the context of multi-local working. However, until now</w:t>
      </w:r>
      <w:r w:rsidR="006C78C9" w:rsidRPr="00D41D25">
        <w:rPr>
          <w:rFonts w:ascii="Georgia" w:eastAsiaTheme="minorEastAsia" w:hAnsi="Georgia" w:cs="Arial"/>
          <w:lang w:val="en-GB"/>
        </w:rPr>
        <w:t>,</w:t>
      </w:r>
      <w:r w:rsidRPr="00D41D25">
        <w:rPr>
          <w:rFonts w:ascii="Georgia" w:eastAsiaTheme="minorEastAsia" w:hAnsi="Georgia" w:cs="Arial"/>
          <w:lang w:val="en-GB"/>
        </w:rPr>
        <w:t xml:space="preserve"> it </w:t>
      </w:r>
      <w:r w:rsidR="005D59F6">
        <w:rPr>
          <w:rFonts w:ascii="Georgia" w:eastAsiaTheme="minorEastAsia" w:hAnsi="Georgia" w:cs="Arial"/>
          <w:lang w:val="en-GB"/>
        </w:rPr>
        <w:t>has been</w:t>
      </w:r>
      <w:r w:rsidR="005D59F6" w:rsidRPr="00D41D25">
        <w:rPr>
          <w:rFonts w:ascii="Georgia" w:eastAsiaTheme="minorEastAsia" w:hAnsi="Georgia" w:cs="Arial"/>
          <w:lang w:val="en-GB"/>
        </w:rPr>
        <w:t xml:space="preserve"> </w:t>
      </w:r>
      <w:r w:rsidRPr="00D41D25">
        <w:rPr>
          <w:rFonts w:ascii="Georgia" w:eastAsiaTheme="minorEastAsia" w:hAnsi="Georgia" w:cs="Arial"/>
          <w:lang w:val="en-GB"/>
        </w:rPr>
        <w:t>unclear how much and for which activities the doctors</w:t>
      </w:r>
      <w:r w:rsidR="006C78C9" w:rsidRPr="00D41D25">
        <w:rPr>
          <w:rFonts w:ascii="Georgia" w:eastAsiaTheme="minorEastAsia" w:hAnsi="Georgia" w:cs="Arial"/>
          <w:lang w:val="en-GB"/>
        </w:rPr>
        <w:t>'</w:t>
      </w:r>
      <w:r w:rsidRPr="00D41D25">
        <w:rPr>
          <w:rFonts w:ascii="Georgia" w:eastAsiaTheme="minorEastAsia" w:hAnsi="Georgia" w:cs="Arial"/>
          <w:lang w:val="en-GB"/>
        </w:rPr>
        <w:t xml:space="preserve"> </w:t>
      </w:r>
      <w:r w:rsidR="006B14D8" w:rsidRPr="00D41D25">
        <w:rPr>
          <w:rFonts w:ascii="Georgia" w:eastAsiaTheme="minorEastAsia" w:hAnsi="Georgia" w:cs="Arial"/>
          <w:lang w:val="en-GB"/>
        </w:rPr>
        <w:t xml:space="preserve">backstage and non-patient </w:t>
      </w:r>
      <w:r w:rsidRPr="00D41D25">
        <w:rPr>
          <w:rFonts w:ascii="Georgia" w:eastAsiaTheme="minorEastAsia" w:hAnsi="Georgia" w:cs="Arial"/>
          <w:lang w:val="en-GB"/>
        </w:rPr>
        <w:t>office</w:t>
      </w:r>
      <w:r w:rsidR="00606D63" w:rsidRPr="00D41D25">
        <w:rPr>
          <w:rFonts w:ascii="Georgia" w:eastAsiaTheme="minorEastAsia" w:hAnsi="Georgia" w:cs="Arial"/>
          <w:lang w:val="en-GB"/>
        </w:rPr>
        <w:t xml:space="preserve"> workplaces</w:t>
      </w:r>
      <w:r w:rsidRPr="00D41D25">
        <w:rPr>
          <w:rFonts w:ascii="Georgia" w:eastAsiaTheme="minorEastAsia" w:hAnsi="Georgia" w:cs="Arial"/>
          <w:lang w:val="en-GB"/>
        </w:rPr>
        <w:t xml:space="preserve"> are used. </w:t>
      </w:r>
      <w:r w:rsidR="0002785E" w:rsidRPr="00D41D25">
        <w:rPr>
          <w:rFonts w:ascii="Georgia" w:eastAsiaTheme="minorEastAsia" w:hAnsi="Georgia" w:cs="Arial"/>
          <w:lang w:val="en-GB"/>
        </w:rPr>
        <w:t>Recent c</w:t>
      </w:r>
      <w:r w:rsidRPr="00D41D25">
        <w:rPr>
          <w:rFonts w:ascii="Georgia" w:eastAsiaTheme="minorEastAsia" w:hAnsi="Georgia" w:cs="Arial"/>
          <w:lang w:val="en-GB"/>
        </w:rPr>
        <w:t xml:space="preserve">ase-related </w:t>
      </w:r>
      <w:r w:rsidR="006C78C9" w:rsidRPr="00D41D25">
        <w:rPr>
          <w:rFonts w:ascii="Georgia" w:eastAsiaTheme="minorEastAsia" w:hAnsi="Georgia" w:cs="Arial"/>
          <w:lang w:val="en-GB"/>
        </w:rPr>
        <w:t xml:space="preserve">utilization </w:t>
      </w:r>
      <w:r w:rsidRPr="00D41D25">
        <w:rPr>
          <w:rFonts w:ascii="Georgia" w:eastAsiaTheme="minorEastAsia" w:hAnsi="Georgia" w:cs="Arial"/>
          <w:lang w:val="en-GB"/>
        </w:rPr>
        <w:t xml:space="preserve">figures and benchmarks </w:t>
      </w:r>
      <w:r w:rsidR="00F764C6" w:rsidRPr="00D41D25">
        <w:rPr>
          <w:rFonts w:ascii="Georgia" w:eastAsiaTheme="minorEastAsia" w:hAnsi="Georgia" w:cs="Arial"/>
          <w:lang w:val="en-GB"/>
        </w:rPr>
        <w:t>are</w:t>
      </w:r>
      <w:r w:rsidRPr="00D41D25">
        <w:rPr>
          <w:rFonts w:ascii="Georgia" w:eastAsiaTheme="minorEastAsia" w:hAnsi="Georgia" w:cs="Arial"/>
          <w:lang w:val="en-GB"/>
        </w:rPr>
        <w:t xml:space="preserve"> missing as a basis for decision-making and planning.</w:t>
      </w:r>
      <w:r w:rsidR="006B14D8" w:rsidRPr="00D41D25">
        <w:rPr>
          <w:rFonts w:ascii="Georgia" w:eastAsiaTheme="minorEastAsia" w:hAnsi="Georgia" w:cs="Arial"/>
          <w:lang w:val="en-GB"/>
        </w:rPr>
        <w:t xml:space="preserve"> Existing research about workplace utilization </w:t>
      </w:r>
      <w:r w:rsidR="00BD58DA" w:rsidRPr="00D41D25">
        <w:rPr>
          <w:rFonts w:ascii="Georgia" w:eastAsiaTheme="minorEastAsia" w:hAnsi="Georgia" w:cs="Arial"/>
          <w:lang w:val="en-GB"/>
        </w:rPr>
        <w:t xml:space="preserve">in hospitals either </w:t>
      </w:r>
      <w:r w:rsidR="006B14D8" w:rsidRPr="00D41D25">
        <w:rPr>
          <w:rFonts w:ascii="Georgia" w:eastAsiaTheme="minorEastAsia" w:hAnsi="Georgia" w:cs="Arial"/>
          <w:lang w:val="en-GB"/>
        </w:rPr>
        <w:t xml:space="preserve">was conducted many years ago (Rawlinson, 1978) or does not </w:t>
      </w:r>
      <w:r w:rsidR="00BC5771" w:rsidRPr="00D41D25">
        <w:rPr>
          <w:rFonts w:ascii="Georgia" w:eastAsiaTheme="minorEastAsia" w:hAnsi="Georgia" w:cs="Arial"/>
          <w:lang w:val="en-GB"/>
        </w:rPr>
        <w:t>differentiate between public (patient area) and</w:t>
      </w:r>
      <w:r w:rsidR="006B14D8" w:rsidRPr="00D41D25">
        <w:rPr>
          <w:rFonts w:ascii="Georgia" w:eastAsiaTheme="minorEastAsia" w:hAnsi="Georgia" w:cs="Arial"/>
          <w:lang w:val="en-GB"/>
        </w:rPr>
        <w:t xml:space="preserve"> </w:t>
      </w:r>
      <w:proofErr w:type="spellStart"/>
      <w:r w:rsidR="006B14D8" w:rsidRPr="00D41D25">
        <w:rPr>
          <w:rFonts w:ascii="Georgia" w:eastAsiaTheme="minorEastAsia" w:hAnsi="Georgia" w:cs="Arial"/>
          <w:lang w:val="en-GB"/>
        </w:rPr>
        <w:t>back</w:t>
      </w:r>
      <w:r w:rsidR="00BC5771" w:rsidRPr="00D41D25">
        <w:rPr>
          <w:rFonts w:ascii="Georgia" w:eastAsiaTheme="minorEastAsia" w:hAnsi="Georgia" w:cs="Arial"/>
          <w:lang w:val="en-GB"/>
        </w:rPr>
        <w:t>office</w:t>
      </w:r>
      <w:proofErr w:type="spellEnd"/>
      <w:r w:rsidR="00BC5771" w:rsidRPr="00D41D25">
        <w:rPr>
          <w:rFonts w:ascii="Georgia" w:eastAsiaTheme="minorEastAsia" w:hAnsi="Georgia" w:cs="Arial"/>
          <w:lang w:val="en-GB"/>
        </w:rPr>
        <w:t xml:space="preserve"> (non-patient area) workplaces</w:t>
      </w:r>
      <w:r w:rsidR="00BD58DA" w:rsidRPr="00D41D25">
        <w:rPr>
          <w:rFonts w:ascii="Georgia" w:eastAsiaTheme="minorEastAsia" w:hAnsi="Georgia" w:cs="Arial"/>
          <w:lang w:val="en-GB"/>
        </w:rPr>
        <w:t xml:space="preserve"> (Wenger</w:t>
      </w:r>
      <w:r w:rsidR="002E769C" w:rsidRPr="00D41D25">
        <w:rPr>
          <w:rFonts w:ascii="Georgia" w:eastAsiaTheme="minorEastAsia" w:hAnsi="Georgia" w:cs="Arial"/>
          <w:lang w:val="en-GB"/>
        </w:rPr>
        <w:t xml:space="preserve"> et al.</w:t>
      </w:r>
      <w:r w:rsidR="00BD58DA" w:rsidRPr="00D41D25">
        <w:rPr>
          <w:rFonts w:ascii="Georgia" w:eastAsiaTheme="minorEastAsia" w:hAnsi="Georgia" w:cs="Arial"/>
          <w:lang w:val="en-GB"/>
        </w:rPr>
        <w:t>, 2017).</w:t>
      </w:r>
      <w:r w:rsidR="00BC5771" w:rsidRPr="00D41D25">
        <w:rPr>
          <w:rFonts w:ascii="Georgia" w:eastAsiaTheme="minorEastAsia" w:hAnsi="Georgia" w:cs="Arial"/>
          <w:lang w:val="en-GB"/>
        </w:rPr>
        <w:t xml:space="preserve"> </w:t>
      </w:r>
      <w:r w:rsidR="006B14D8" w:rsidRPr="00D41D25">
        <w:rPr>
          <w:rFonts w:ascii="Georgia" w:eastAsiaTheme="minorEastAsia" w:hAnsi="Georgia" w:cs="Arial"/>
          <w:lang w:val="en-GB"/>
        </w:rPr>
        <w:t xml:space="preserve">  </w:t>
      </w:r>
      <w:r w:rsidRPr="00D41D25">
        <w:rPr>
          <w:rFonts w:ascii="Georgia" w:eastAsiaTheme="minorEastAsia" w:hAnsi="Georgia" w:cs="Arial"/>
          <w:lang w:val="en-GB"/>
        </w:rPr>
        <w:t xml:space="preserve"> </w:t>
      </w:r>
    </w:p>
    <w:p w14:paraId="606F89F0" w14:textId="27822FBF" w:rsidR="32370C31" w:rsidRPr="00D41D25" w:rsidRDefault="00FF5AC1" w:rsidP="32370C31">
      <w:pPr>
        <w:pStyle w:val="MDPI31text"/>
        <w:rPr>
          <w:strike/>
          <w:color w:val="000000" w:themeColor="text1"/>
          <w:lang w:val="en-GB"/>
        </w:rPr>
      </w:pPr>
      <w:r w:rsidRPr="00D41D25">
        <w:rPr>
          <w:rFonts w:ascii="Georgia" w:eastAsiaTheme="minorEastAsia" w:hAnsi="Georgia" w:cs="Arial"/>
          <w:lang w:val="en-GB"/>
        </w:rPr>
        <w:t>In order to measure the occupancy of the administrative work</w:t>
      </w:r>
      <w:r w:rsidR="00957927" w:rsidRPr="00D41D25">
        <w:rPr>
          <w:rFonts w:ascii="Georgia" w:eastAsiaTheme="minorEastAsia" w:hAnsi="Georgia" w:cs="Arial"/>
          <w:lang w:val="en-GB"/>
        </w:rPr>
        <w:t>places</w:t>
      </w:r>
      <w:r w:rsidRPr="00D41D25">
        <w:rPr>
          <w:rFonts w:ascii="Georgia" w:eastAsiaTheme="minorEastAsia" w:hAnsi="Georgia" w:cs="Arial"/>
          <w:lang w:val="en-GB"/>
        </w:rPr>
        <w:t xml:space="preserve"> and document the activities of the medical staff at the workstations, space </w:t>
      </w:r>
      <w:r w:rsidR="006C78C9" w:rsidRPr="00D41D25">
        <w:rPr>
          <w:rFonts w:ascii="Georgia" w:eastAsiaTheme="minorEastAsia" w:hAnsi="Georgia" w:cs="Arial"/>
          <w:lang w:val="en-GB"/>
        </w:rPr>
        <w:t xml:space="preserve">utilization </w:t>
      </w:r>
      <w:r w:rsidRPr="00D41D25">
        <w:rPr>
          <w:rFonts w:ascii="Georgia" w:eastAsiaTheme="minorEastAsia" w:hAnsi="Georgia" w:cs="Arial"/>
          <w:lang w:val="en-GB"/>
        </w:rPr>
        <w:t xml:space="preserve">studies were conducted. </w:t>
      </w:r>
      <w:r w:rsidR="0018685E" w:rsidRPr="00D41D25">
        <w:rPr>
          <w:rFonts w:ascii="Georgia" w:eastAsiaTheme="minorEastAsia" w:hAnsi="Georgia" w:cs="Arial"/>
          <w:lang w:val="en-GB"/>
        </w:rPr>
        <w:t xml:space="preserve">Activities are </w:t>
      </w:r>
      <w:r w:rsidR="00907EA6" w:rsidRPr="00D41D25">
        <w:rPr>
          <w:rFonts w:ascii="Georgia" w:eastAsiaTheme="minorEastAsia" w:hAnsi="Georgia" w:cs="Arial"/>
          <w:lang w:val="en-GB"/>
        </w:rPr>
        <w:t>categorized into communication</w:t>
      </w:r>
      <w:r w:rsidR="0013726E" w:rsidRPr="00D41D25">
        <w:rPr>
          <w:rFonts w:ascii="Georgia" w:eastAsiaTheme="minorEastAsia" w:hAnsi="Georgia" w:cs="Arial"/>
          <w:lang w:val="en-GB"/>
        </w:rPr>
        <w:t xml:space="preserve"> onsite</w:t>
      </w:r>
      <w:r w:rsidR="00907EA6" w:rsidRPr="00D41D25">
        <w:rPr>
          <w:rFonts w:ascii="Georgia" w:eastAsiaTheme="minorEastAsia" w:hAnsi="Georgia" w:cs="Arial"/>
          <w:lang w:val="en-GB"/>
        </w:rPr>
        <w:t xml:space="preserve">, </w:t>
      </w:r>
      <w:r w:rsidR="0013726E" w:rsidRPr="00D41D25">
        <w:rPr>
          <w:rFonts w:ascii="Georgia" w:eastAsiaTheme="minorEastAsia" w:hAnsi="Georgia" w:cs="Arial"/>
          <w:lang w:val="en-GB"/>
        </w:rPr>
        <w:t>dig</w:t>
      </w:r>
      <w:r w:rsidR="00CD20F4" w:rsidRPr="00D41D25">
        <w:rPr>
          <w:rFonts w:ascii="Georgia" w:eastAsiaTheme="minorEastAsia" w:hAnsi="Georgia" w:cs="Arial"/>
          <w:lang w:val="en-GB"/>
        </w:rPr>
        <w:t>i</w:t>
      </w:r>
      <w:r w:rsidR="0013726E" w:rsidRPr="00D41D25">
        <w:rPr>
          <w:rFonts w:ascii="Georgia" w:eastAsiaTheme="minorEastAsia" w:hAnsi="Georgia" w:cs="Arial"/>
          <w:lang w:val="en-GB"/>
        </w:rPr>
        <w:t>tal communication</w:t>
      </w:r>
      <w:r w:rsidR="00661B81" w:rsidRPr="00D41D25">
        <w:rPr>
          <w:rFonts w:ascii="Georgia" w:eastAsiaTheme="minorEastAsia" w:hAnsi="Georgia" w:cs="Arial"/>
          <w:lang w:val="en-GB"/>
        </w:rPr>
        <w:t xml:space="preserve">, </w:t>
      </w:r>
      <w:r w:rsidR="004A6A67" w:rsidRPr="00D41D25">
        <w:rPr>
          <w:rFonts w:ascii="Georgia" w:eastAsiaTheme="minorEastAsia" w:hAnsi="Georgia" w:cs="Arial"/>
          <w:lang w:val="en-GB"/>
        </w:rPr>
        <w:t xml:space="preserve"> deskwork</w:t>
      </w:r>
      <w:r w:rsidR="005D59F6">
        <w:rPr>
          <w:rFonts w:ascii="Georgia" w:eastAsiaTheme="minorEastAsia" w:hAnsi="Georgia" w:cs="Arial"/>
          <w:lang w:val="en-GB"/>
        </w:rPr>
        <w:t>,</w:t>
      </w:r>
      <w:r w:rsidR="004A6A67" w:rsidRPr="00D41D25">
        <w:rPr>
          <w:rFonts w:ascii="Georgia" w:eastAsiaTheme="minorEastAsia" w:hAnsi="Georgia" w:cs="Arial"/>
          <w:lang w:val="en-GB"/>
        </w:rPr>
        <w:t xml:space="preserve"> </w:t>
      </w:r>
      <w:r w:rsidR="00907EA6" w:rsidRPr="00D41D25">
        <w:rPr>
          <w:rFonts w:ascii="Georgia" w:eastAsiaTheme="minorEastAsia" w:hAnsi="Georgia" w:cs="Arial"/>
          <w:lang w:val="en-GB"/>
        </w:rPr>
        <w:t xml:space="preserve">and </w:t>
      </w:r>
      <w:r w:rsidR="004A6A67" w:rsidRPr="00D41D25">
        <w:rPr>
          <w:rFonts w:ascii="Georgia" w:eastAsiaTheme="minorEastAsia" w:hAnsi="Georgia" w:cs="Arial"/>
          <w:lang w:val="en-GB"/>
        </w:rPr>
        <w:t>break</w:t>
      </w:r>
      <w:r w:rsidR="00E44EE6">
        <w:rPr>
          <w:rFonts w:ascii="Georgia" w:eastAsiaTheme="minorEastAsia" w:hAnsi="Georgia" w:cs="Arial"/>
          <w:lang w:val="en-GB"/>
        </w:rPr>
        <w:t>s</w:t>
      </w:r>
      <w:r w:rsidR="00907EA6" w:rsidRPr="00D41D25">
        <w:rPr>
          <w:rFonts w:ascii="Georgia" w:eastAsiaTheme="minorEastAsia" w:hAnsi="Georgia" w:cs="Arial"/>
          <w:lang w:val="en-GB"/>
        </w:rPr>
        <w:t xml:space="preserve">. </w:t>
      </w:r>
      <w:r w:rsidRPr="00D41D25">
        <w:rPr>
          <w:rFonts w:ascii="Georgia" w:eastAsiaTheme="minorEastAsia" w:hAnsi="Georgia" w:cs="Arial"/>
          <w:lang w:val="en-GB"/>
        </w:rPr>
        <w:t xml:space="preserve">Occupancy data were collected </w:t>
      </w:r>
      <w:r w:rsidR="00766F56">
        <w:rPr>
          <w:rFonts w:ascii="Georgia" w:eastAsiaTheme="minorEastAsia" w:hAnsi="Georgia" w:cs="Arial"/>
          <w:lang w:val="en-GB"/>
        </w:rPr>
        <w:t>for</w:t>
      </w:r>
      <w:r w:rsidR="00766F56" w:rsidRPr="00D41D25">
        <w:rPr>
          <w:rFonts w:ascii="Georgia" w:eastAsiaTheme="minorEastAsia" w:hAnsi="Georgia" w:cs="Arial"/>
          <w:lang w:val="en-GB"/>
        </w:rPr>
        <w:t xml:space="preserve"> </w:t>
      </w:r>
      <w:r w:rsidR="006D0993" w:rsidRPr="00D41D25">
        <w:rPr>
          <w:rFonts w:ascii="Georgia" w:eastAsiaTheme="minorEastAsia" w:hAnsi="Georgia" w:cs="Arial"/>
          <w:lang w:val="en-GB"/>
        </w:rPr>
        <w:t>four projects in</w:t>
      </w:r>
      <w:r w:rsidRPr="00D41D25">
        <w:rPr>
          <w:rFonts w:ascii="Georgia" w:eastAsiaTheme="minorEastAsia" w:hAnsi="Georgia" w:cs="Arial"/>
          <w:lang w:val="en-GB"/>
        </w:rPr>
        <w:t xml:space="preserve"> three hospitals by means of a </w:t>
      </w:r>
      <w:r w:rsidR="00C52196" w:rsidRPr="00D41D25">
        <w:rPr>
          <w:rFonts w:ascii="Georgia" w:eastAsiaTheme="minorEastAsia" w:hAnsi="Georgia" w:cs="Arial"/>
          <w:lang w:val="en-GB"/>
        </w:rPr>
        <w:t xml:space="preserve">space </w:t>
      </w:r>
      <w:r w:rsidR="006C78C9" w:rsidRPr="00D41D25">
        <w:rPr>
          <w:rFonts w:ascii="Georgia" w:eastAsiaTheme="minorEastAsia" w:hAnsi="Georgia" w:cs="Arial"/>
          <w:lang w:val="en-GB"/>
        </w:rPr>
        <w:t xml:space="preserve">utilization </w:t>
      </w:r>
      <w:r w:rsidRPr="00D41D25">
        <w:rPr>
          <w:rFonts w:ascii="Georgia" w:eastAsiaTheme="minorEastAsia" w:hAnsi="Georgia" w:cs="Arial"/>
          <w:lang w:val="en-GB"/>
        </w:rPr>
        <w:t xml:space="preserve">study. </w:t>
      </w:r>
      <w:r w:rsidR="006A6E26" w:rsidRPr="00D41D25">
        <w:rPr>
          <w:rFonts w:ascii="Georgia" w:eastAsiaTheme="minorEastAsia" w:hAnsi="Georgia" w:cs="Arial"/>
          <w:lang w:val="en-GB"/>
        </w:rPr>
        <w:t>O</w:t>
      </w:r>
      <w:r w:rsidRPr="00D41D25">
        <w:rPr>
          <w:rFonts w:ascii="Georgia" w:eastAsiaTheme="minorEastAsia" w:hAnsi="Georgia" w:cs="Arial"/>
          <w:lang w:val="en-GB"/>
        </w:rPr>
        <w:t>bservations were conducted on three</w:t>
      </w:r>
      <w:r w:rsidR="00384DD0" w:rsidRPr="00D41D25">
        <w:rPr>
          <w:rFonts w:ascii="Georgia" w:eastAsiaTheme="minorEastAsia" w:hAnsi="Georgia" w:cs="Arial"/>
          <w:lang w:val="en-GB"/>
        </w:rPr>
        <w:t xml:space="preserve"> to five</w:t>
      </w:r>
      <w:r w:rsidRPr="00D41D25">
        <w:rPr>
          <w:rFonts w:ascii="Georgia" w:eastAsiaTheme="minorEastAsia" w:hAnsi="Georgia" w:cs="Arial"/>
          <w:lang w:val="en-GB"/>
        </w:rPr>
        <w:t xml:space="preserve"> consecutive </w:t>
      </w:r>
      <w:r w:rsidR="00164F0E" w:rsidRPr="00D41D25">
        <w:rPr>
          <w:rFonts w:ascii="Georgia" w:eastAsiaTheme="minorEastAsia" w:hAnsi="Georgia" w:cs="Arial"/>
          <w:lang w:val="en-GB"/>
        </w:rPr>
        <w:t>work</w:t>
      </w:r>
      <w:r w:rsidRPr="00D41D25">
        <w:rPr>
          <w:rFonts w:ascii="Georgia" w:eastAsiaTheme="minorEastAsia" w:hAnsi="Georgia" w:cs="Arial"/>
          <w:lang w:val="en-GB"/>
        </w:rPr>
        <w:t>days</w:t>
      </w:r>
      <w:r w:rsidR="006A6E26" w:rsidRPr="00D41D25">
        <w:rPr>
          <w:rFonts w:ascii="Georgia" w:eastAsiaTheme="minorEastAsia" w:hAnsi="Georgia" w:cs="Arial"/>
          <w:lang w:val="en-GB"/>
        </w:rPr>
        <w:t xml:space="preserve"> </w:t>
      </w:r>
      <w:r w:rsidR="00766F56">
        <w:rPr>
          <w:rFonts w:ascii="Georgia" w:eastAsiaTheme="minorEastAsia" w:hAnsi="Georgia" w:cs="Arial"/>
          <w:lang w:val="en-GB"/>
        </w:rPr>
        <w:t>for</w:t>
      </w:r>
      <w:r w:rsidR="00766F56" w:rsidRPr="00D41D25">
        <w:rPr>
          <w:rFonts w:ascii="Georgia" w:eastAsiaTheme="minorEastAsia" w:hAnsi="Georgia" w:cs="Arial"/>
          <w:lang w:val="en-GB"/>
        </w:rPr>
        <w:t xml:space="preserve"> </w:t>
      </w:r>
      <w:r w:rsidR="006A6E26" w:rsidRPr="00D41D25">
        <w:rPr>
          <w:rFonts w:ascii="Georgia" w:eastAsiaTheme="minorEastAsia" w:hAnsi="Georgia" w:cs="Arial"/>
          <w:lang w:val="en-GB"/>
        </w:rPr>
        <w:t>each project</w:t>
      </w:r>
      <w:r w:rsidRPr="00D41D25">
        <w:rPr>
          <w:rFonts w:ascii="Georgia" w:eastAsiaTheme="minorEastAsia" w:hAnsi="Georgia" w:cs="Arial"/>
          <w:lang w:val="en-GB"/>
        </w:rPr>
        <w:t xml:space="preserve">. The use of the workstations was systematically documented twice </w:t>
      </w:r>
      <w:r w:rsidR="00C93074" w:rsidRPr="00D41D25">
        <w:rPr>
          <w:rFonts w:ascii="Georgia" w:eastAsiaTheme="minorEastAsia" w:hAnsi="Georgia" w:cs="Arial"/>
          <w:lang w:val="en-GB"/>
        </w:rPr>
        <w:t>per</w:t>
      </w:r>
      <w:r w:rsidRPr="00D41D25">
        <w:rPr>
          <w:rFonts w:ascii="Georgia" w:eastAsiaTheme="minorEastAsia" w:hAnsi="Georgia" w:cs="Arial"/>
          <w:lang w:val="en-GB"/>
        </w:rPr>
        <w:t xml:space="preserve"> hour. The data on </w:t>
      </w:r>
      <w:r w:rsidR="006C78C9" w:rsidRPr="00D41D25">
        <w:rPr>
          <w:rFonts w:ascii="Georgia" w:eastAsiaTheme="minorEastAsia" w:hAnsi="Georgia" w:cs="Arial"/>
          <w:lang w:val="en-GB"/>
        </w:rPr>
        <w:t xml:space="preserve">utilization </w:t>
      </w:r>
      <w:r w:rsidRPr="00D41D25">
        <w:rPr>
          <w:rFonts w:ascii="Georgia" w:eastAsiaTheme="minorEastAsia" w:hAnsi="Georgia" w:cs="Arial"/>
          <w:lang w:val="en-GB"/>
        </w:rPr>
        <w:t xml:space="preserve">and modes of use were then </w:t>
      </w:r>
      <w:proofErr w:type="spellStart"/>
      <w:r w:rsidR="006C78C9" w:rsidRPr="00D41D25">
        <w:rPr>
          <w:rFonts w:ascii="Georgia" w:eastAsiaTheme="minorEastAsia" w:hAnsi="Georgia" w:cs="Arial"/>
          <w:lang w:val="en-GB"/>
        </w:rPr>
        <w:t>analyzed</w:t>
      </w:r>
      <w:proofErr w:type="spellEnd"/>
      <w:r w:rsidR="006C78C9" w:rsidRPr="00D41D25">
        <w:rPr>
          <w:rFonts w:ascii="Georgia" w:eastAsiaTheme="minorEastAsia" w:hAnsi="Georgia" w:cs="Arial"/>
          <w:lang w:val="en-GB"/>
        </w:rPr>
        <w:t xml:space="preserve"> </w:t>
      </w:r>
      <w:r w:rsidRPr="00D41D25">
        <w:rPr>
          <w:rFonts w:ascii="Georgia" w:eastAsiaTheme="minorEastAsia" w:hAnsi="Georgia" w:cs="Arial"/>
          <w:lang w:val="en-GB"/>
        </w:rPr>
        <w:t xml:space="preserve">descriptively and compared with a data set of 14 office </w:t>
      </w:r>
      <w:r w:rsidR="003F1493" w:rsidRPr="00D41D25">
        <w:rPr>
          <w:rFonts w:ascii="Georgia" w:eastAsiaTheme="minorEastAsia" w:hAnsi="Georgia" w:cs="Arial"/>
          <w:lang w:val="en-GB"/>
        </w:rPr>
        <w:t>buildings</w:t>
      </w:r>
      <w:r w:rsidRPr="00D41D25">
        <w:rPr>
          <w:rFonts w:ascii="Georgia" w:eastAsiaTheme="minorEastAsia" w:hAnsi="Georgia" w:cs="Arial"/>
          <w:lang w:val="en-GB"/>
        </w:rPr>
        <w:t>.</w:t>
      </w:r>
    </w:p>
    <w:p w14:paraId="0DFE6BB7" w14:textId="77777777" w:rsidR="00421DB9" w:rsidRPr="00D41D25" w:rsidRDefault="00421DB9" w:rsidP="004F0081">
      <w:pPr>
        <w:pStyle w:val="MDPI31text"/>
        <w:rPr>
          <w:rFonts w:ascii="Georgia" w:eastAsiaTheme="minorEastAsia" w:hAnsi="Georgia" w:cs="Arial"/>
          <w:lang w:val="en-GB"/>
        </w:rPr>
      </w:pPr>
    </w:p>
    <w:p w14:paraId="0A6992F8" w14:textId="318D83A4" w:rsidR="00C82E72" w:rsidRPr="00D41D25" w:rsidRDefault="00A86E9F" w:rsidP="0021774F">
      <w:pPr>
        <w:pStyle w:val="MDPI21heading1"/>
        <w:rPr>
          <w:rFonts w:eastAsiaTheme="minorEastAsia" w:cs="Arial"/>
          <w:lang w:val="en-GB"/>
        </w:rPr>
      </w:pPr>
      <w:r w:rsidRPr="00D41D25">
        <w:rPr>
          <w:rFonts w:eastAsiaTheme="minorEastAsia" w:cs="Arial"/>
          <w:lang w:val="en-GB" w:eastAsia="zh-CN"/>
        </w:rPr>
        <w:t xml:space="preserve">2. </w:t>
      </w:r>
      <w:r w:rsidR="0040015C" w:rsidRPr="00D41D25">
        <w:rPr>
          <w:rFonts w:eastAsiaTheme="minorEastAsia" w:cs="Arial"/>
          <w:lang w:val="en-GB"/>
        </w:rPr>
        <w:t>Theories</w:t>
      </w:r>
      <w:r w:rsidRPr="00D41D25">
        <w:rPr>
          <w:rFonts w:eastAsiaTheme="minorEastAsia" w:cs="Arial"/>
          <w:lang w:val="en-GB"/>
        </w:rPr>
        <w:t xml:space="preserve"> and Methods</w:t>
      </w:r>
    </w:p>
    <w:p w14:paraId="05190C48" w14:textId="486E7346" w:rsidR="00D36442" w:rsidRPr="00D41D25" w:rsidRDefault="00D36442" w:rsidP="00D05311">
      <w:pPr>
        <w:pStyle w:val="MDPI31text"/>
        <w:rPr>
          <w:rFonts w:ascii="Georgia" w:eastAsiaTheme="minorEastAsia" w:hAnsi="Georgia" w:cs="Arial"/>
          <w:lang w:val="en-GB"/>
        </w:rPr>
      </w:pPr>
      <w:r w:rsidRPr="00D41D25">
        <w:rPr>
          <w:rFonts w:ascii="Georgia" w:eastAsiaTheme="minorEastAsia" w:hAnsi="Georgia" w:cs="Arial"/>
          <w:lang w:val="en-GB"/>
        </w:rPr>
        <w:t xml:space="preserve">Alignment of </w:t>
      </w:r>
      <w:r w:rsidR="00697C0D" w:rsidRPr="00D41D25">
        <w:rPr>
          <w:rFonts w:ascii="Georgia" w:eastAsiaTheme="minorEastAsia" w:hAnsi="Georgia" w:cs="Arial"/>
          <w:lang w:val="en-GB"/>
        </w:rPr>
        <w:t>workspace</w:t>
      </w:r>
      <w:r w:rsidRPr="00D41D25">
        <w:rPr>
          <w:rFonts w:ascii="Georgia" w:eastAsiaTheme="minorEastAsia" w:hAnsi="Georgia" w:cs="Arial"/>
          <w:lang w:val="en-GB"/>
        </w:rPr>
        <w:t xml:space="preserve"> </w:t>
      </w:r>
      <w:r w:rsidR="00C75F58">
        <w:rPr>
          <w:rFonts w:ascii="Georgia" w:eastAsiaTheme="minorEastAsia" w:hAnsi="Georgia" w:cs="Arial"/>
          <w:lang w:val="en-GB"/>
        </w:rPr>
        <w:t>with</w:t>
      </w:r>
      <w:r w:rsidR="00C75F58" w:rsidRPr="00D41D25">
        <w:rPr>
          <w:rFonts w:ascii="Georgia" w:eastAsiaTheme="minorEastAsia" w:hAnsi="Georgia" w:cs="Arial"/>
          <w:lang w:val="en-GB"/>
        </w:rPr>
        <w:t xml:space="preserve"> </w:t>
      </w:r>
      <w:r w:rsidRPr="00D41D25">
        <w:rPr>
          <w:rFonts w:ascii="Georgia" w:eastAsiaTheme="minorEastAsia" w:hAnsi="Georgia" w:cs="Arial"/>
          <w:lang w:val="en-GB"/>
        </w:rPr>
        <w:t xml:space="preserve">users is </w:t>
      </w:r>
      <w:r w:rsidR="00697C0D" w:rsidRPr="00D41D25">
        <w:rPr>
          <w:rFonts w:ascii="Georgia" w:eastAsiaTheme="minorEastAsia" w:hAnsi="Georgia" w:cs="Arial"/>
          <w:lang w:val="en-GB"/>
        </w:rPr>
        <w:t xml:space="preserve">a </w:t>
      </w:r>
      <w:r w:rsidR="00343869" w:rsidRPr="00D41D25">
        <w:rPr>
          <w:rFonts w:ascii="Georgia" w:eastAsiaTheme="minorEastAsia" w:hAnsi="Georgia" w:cs="Arial"/>
          <w:lang w:val="en-GB"/>
        </w:rPr>
        <w:t xml:space="preserve">crucial process in </w:t>
      </w:r>
      <w:r w:rsidR="00593C46" w:rsidRPr="00D41D25">
        <w:rPr>
          <w:rFonts w:ascii="Georgia" w:eastAsiaTheme="minorEastAsia" w:hAnsi="Georgia" w:cs="Arial"/>
          <w:lang w:val="en-GB"/>
        </w:rPr>
        <w:t>corporate real estate management</w:t>
      </w:r>
      <w:r w:rsidR="00245E60" w:rsidRPr="00D41D25">
        <w:rPr>
          <w:rFonts w:ascii="Georgia" w:eastAsiaTheme="minorEastAsia" w:hAnsi="Georgia" w:cs="Arial"/>
          <w:lang w:val="en-GB"/>
        </w:rPr>
        <w:t xml:space="preserve"> (Vischer, 1996). </w:t>
      </w:r>
      <w:r w:rsidR="00B7106D" w:rsidRPr="00D41D25">
        <w:rPr>
          <w:rFonts w:ascii="Georgia" w:eastAsiaTheme="minorEastAsia" w:hAnsi="Georgia" w:cs="Arial"/>
          <w:lang w:val="en-GB"/>
        </w:rPr>
        <w:t xml:space="preserve">Work </w:t>
      </w:r>
      <w:r w:rsidR="006C78C9" w:rsidRPr="00D41D25">
        <w:rPr>
          <w:rFonts w:ascii="Georgia" w:eastAsiaTheme="minorEastAsia" w:hAnsi="Georgia" w:cs="Arial"/>
          <w:lang w:val="en-GB"/>
        </w:rPr>
        <w:t xml:space="preserve">organizations </w:t>
      </w:r>
      <w:r w:rsidR="007D3605" w:rsidRPr="00D41D25">
        <w:rPr>
          <w:rFonts w:ascii="Georgia" w:eastAsiaTheme="minorEastAsia" w:hAnsi="Georgia" w:cs="Arial"/>
          <w:lang w:val="en-GB"/>
        </w:rPr>
        <w:t>generally want to provide workplaces that maximally support employees</w:t>
      </w:r>
      <w:r w:rsidR="006C78C9" w:rsidRPr="00D41D25">
        <w:rPr>
          <w:rFonts w:ascii="Georgia" w:eastAsiaTheme="minorEastAsia" w:hAnsi="Georgia" w:cs="Arial"/>
          <w:lang w:val="en-GB"/>
        </w:rPr>
        <w:t>'</w:t>
      </w:r>
      <w:r w:rsidR="007D3605" w:rsidRPr="00D41D25">
        <w:rPr>
          <w:rFonts w:ascii="Georgia" w:eastAsiaTheme="minorEastAsia" w:hAnsi="Georgia" w:cs="Arial"/>
          <w:lang w:val="en-GB"/>
        </w:rPr>
        <w:t xml:space="preserve"> work activities and processes</w:t>
      </w:r>
      <w:r w:rsidR="003F6339" w:rsidRPr="00D41D25">
        <w:rPr>
          <w:rFonts w:ascii="Georgia" w:eastAsiaTheme="minorEastAsia" w:hAnsi="Georgia" w:cs="Arial"/>
          <w:lang w:val="en-GB"/>
        </w:rPr>
        <w:t xml:space="preserve"> while keeping cost</w:t>
      </w:r>
      <w:r w:rsidR="00C75F58">
        <w:rPr>
          <w:rFonts w:ascii="Georgia" w:eastAsiaTheme="minorEastAsia" w:hAnsi="Georgia" w:cs="Arial"/>
          <w:lang w:val="en-GB"/>
        </w:rPr>
        <w:t>s</w:t>
      </w:r>
      <w:r w:rsidR="00665621" w:rsidRPr="00D41D25">
        <w:rPr>
          <w:rFonts w:ascii="Georgia" w:eastAsiaTheme="minorEastAsia" w:hAnsi="Georgia" w:cs="Arial"/>
          <w:lang w:val="en-GB"/>
        </w:rPr>
        <w:t xml:space="preserve"> and environmental footprint</w:t>
      </w:r>
      <w:r w:rsidR="00C75F58">
        <w:rPr>
          <w:rFonts w:ascii="Georgia" w:eastAsiaTheme="minorEastAsia" w:hAnsi="Georgia" w:cs="Arial"/>
          <w:lang w:val="en-GB"/>
        </w:rPr>
        <w:t>s</w:t>
      </w:r>
      <w:r w:rsidR="00665621" w:rsidRPr="00D41D25">
        <w:rPr>
          <w:rFonts w:ascii="Georgia" w:eastAsiaTheme="minorEastAsia" w:hAnsi="Georgia" w:cs="Arial"/>
          <w:lang w:val="en-GB"/>
        </w:rPr>
        <w:t xml:space="preserve"> as low as possible</w:t>
      </w:r>
      <w:r w:rsidR="00F51EFB" w:rsidRPr="00D41D25">
        <w:rPr>
          <w:rFonts w:ascii="Georgia" w:eastAsiaTheme="minorEastAsia" w:hAnsi="Georgia" w:cs="Arial"/>
          <w:lang w:val="en-GB"/>
        </w:rPr>
        <w:t xml:space="preserve">. </w:t>
      </w:r>
      <w:r w:rsidR="003A55EC" w:rsidRPr="00D41D25">
        <w:rPr>
          <w:rFonts w:ascii="Georgia" w:eastAsiaTheme="minorEastAsia" w:hAnsi="Georgia" w:cs="Arial"/>
          <w:lang w:val="en-GB"/>
        </w:rPr>
        <w:t>Space utilization analyses provide important information</w:t>
      </w:r>
      <w:r w:rsidR="003A55EC" w:rsidRPr="00D41D25" w:rsidDel="003A55EC">
        <w:rPr>
          <w:rFonts w:ascii="Georgia" w:eastAsiaTheme="minorEastAsia" w:hAnsi="Georgia" w:cs="Arial"/>
          <w:lang w:val="en-GB"/>
        </w:rPr>
        <w:t xml:space="preserve"> </w:t>
      </w:r>
      <w:r w:rsidR="003A55EC" w:rsidRPr="00D41D25">
        <w:rPr>
          <w:rFonts w:ascii="Georgia" w:eastAsiaTheme="minorEastAsia" w:hAnsi="Georgia" w:cs="Arial"/>
          <w:lang w:val="en-GB"/>
        </w:rPr>
        <w:t>for</w:t>
      </w:r>
      <w:r w:rsidR="008F0E6E" w:rsidRPr="00D41D25">
        <w:rPr>
          <w:rFonts w:ascii="Georgia" w:eastAsiaTheme="minorEastAsia" w:hAnsi="Georgia" w:cs="Arial"/>
          <w:lang w:val="en-GB"/>
        </w:rPr>
        <w:t xml:space="preserve"> find</w:t>
      </w:r>
      <w:r w:rsidR="003A55EC" w:rsidRPr="00D41D25">
        <w:rPr>
          <w:rFonts w:ascii="Georgia" w:eastAsiaTheme="minorEastAsia" w:hAnsi="Georgia" w:cs="Arial"/>
          <w:lang w:val="en-GB"/>
        </w:rPr>
        <w:t>ing</w:t>
      </w:r>
      <w:r w:rsidR="008F0E6E" w:rsidRPr="00D41D25">
        <w:rPr>
          <w:rFonts w:ascii="Georgia" w:eastAsiaTheme="minorEastAsia" w:hAnsi="Georgia" w:cs="Arial"/>
          <w:lang w:val="en-GB"/>
        </w:rPr>
        <w:t xml:space="preserve"> the right balance between </w:t>
      </w:r>
      <w:r w:rsidR="003A55EC" w:rsidRPr="00D41D25">
        <w:rPr>
          <w:rFonts w:ascii="Georgia" w:eastAsiaTheme="minorEastAsia" w:hAnsi="Georgia" w:cs="Arial"/>
          <w:lang w:val="en-GB"/>
        </w:rPr>
        <w:t xml:space="preserve">the </w:t>
      </w:r>
      <w:r w:rsidR="007C5EC8" w:rsidRPr="00D41D25">
        <w:rPr>
          <w:rFonts w:ascii="Georgia" w:eastAsiaTheme="minorEastAsia" w:hAnsi="Georgia" w:cs="Arial"/>
          <w:lang w:val="en-GB"/>
        </w:rPr>
        <w:t xml:space="preserve">number and activities of employees on the one hand and </w:t>
      </w:r>
      <w:r w:rsidR="003A55EC" w:rsidRPr="00D41D25">
        <w:rPr>
          <w:rFonts w:ascii="Georgia" w:eastAsiaTheme="minorEastAsia" w:hAnsi="Georgia" w:cs="Arial"/>
          <w:lang w:val="en-GB"/>
        </w:rPr>
        <w:t xml:space="preserve">the </w:t>
      </w:r>
      <w:r w:rsidR="0013116F" w:rsidRPr="00D41D25">
        <w:rPr>
          <w:rFonts w:ascii="Georgia" w:eastAsiaTheme="minorEastAsia" w:hAnsi="Georgia" w:cs="Arial"/>
          <w:lang w:val="en-GB"/>
        </w:rPr>
        <w:t>type and amount of different work</w:t>
      </w:r>
      <w:r w:rsidR="005F4AE2" w:rsidRPr="00D41D25">
        <w:rPr>
          <w:rFonts w:ascii="Georgia" w:eastAsiaTheme="minorEastAsia" w:hAnsi="Georgia" w:cs="Arial"/>
          <w:lang w:val="en-GB"/>
        </w:rPr>
        <w:t xml:space="preserve"> </w:t>
      </w:r>
      <w:r w:rsidR="0013116F" w:rsidRPr="00D41D25">
        <w:rPr>
          <w:rFonts w:ascii="Georgia" w:eastAsiaTheme="minorEastAsia" w:hAnsi="Georgia" w:cs="Arial"/>
          <w:lang w:val="en-GB"/>
        </w:rPr>
        <w:t>settings</w:t>
      </w:r>
      <w:r w:rsidR="00607D47" w:rsidRPr="00D41D25">
        <w:rPr>
          <w:rFonts w:ascii="Georgia" w:eastAsiaTheme="minorEastAsia" w:hAnsi="Georgia" w:cs="Arial"/>
          <w:lang w:val="en-GB"/>
        </w:rPr>
        <w:t xml:space="preserve"> (such as workstations, meeting rooms, private offices, and support spaces)</w:t>
      </w:r>
      <w:r w:rsidR="007C5EC8" w:rsidRPr="00D41D25">
        <w:rPr>
          <w:rFonts w:ascii="Georgia" w:eastAsiaTheme="minorEastAsia" w:hAnsi="Georgia" w:cs="Arial"/>
          <w:lang w:val="en-GB"/>
        </w:rPr>
        <w:t xml:space="preserve"> on the other hand</w:t>
      </w:r>
      <w:r w:rsidR="00761CFF" w:rsidRPr="00D41D25">
        <w:rPr>
          <w:rFonts w:ascii="Georgia" w:eastAsiaTheme="minorEastAsia" w:hAnsi="Georgia" w:cs="Arial"/>
          <w:lang w:val="en-GB"/>
        </w:rPr>
        <w:t xml:space="preserve">. </w:t>
      </w:r>
      <w:r w:rsidR="003A55EC" w:rsidRPr="00D41D25">
        <w:rPr>
          <w:rFonts w:ascii="Georgia" w:eastAsiaTheme="minorEastAsia" w:hAnsi="Georgia" w:cs="Arial"/>
          <w:lang w:val="en-GB"/>
        </w:rPr>
        <w:t>Therefore, strategic workspace decisions a</w:t>
      </w:r>
      <w:r w:rsidR="001E07F3" w:rsidRPr="00D41D25">
        <w:rPr>
          <w:rFonts w:ascii="Georgia" w:eastAsiaTheme="minorEastAsia" w:hAnsi="Georgia" w:cs="Arial"/>
          <w:lang w:val="en-GB"/>
        </w:rPr>
        <w:t xml:space="preserve">re often </w:t>
      </w:r>
      <w:r w:rsidR="00C102CF" w:rsidRPr="00D41D25">
        <w:rPr>
          <w:rFonts w:ascii="Georgia" w:eastAsiaTheme="minorEastAsia" w:hAnsi="Georgia" w:cs="Arial"/>
          <w:lang w:val="en-GB"/>
        </w:rPr>
        <w:t>based on accommodation and occupancy intelligence (Vischer, 1996)</w:t>
      </w:r>
      <w:r w:rsidR="001E07F3" w:rsidRPr="00D41D25">
        <w:rPr>
          <w:rFonts w:ascii="Georgia" w:eastAsiaTheme="minorEastAsia" w:hAnsi="Georgia" w:cs="Arial"/>
          <w:lang w:val="en-GB"/>
        </w:rPr>
        <w:t xml:space="preserve"> and combined with </w:t>
      </w:r>
      <w:r w:rsidR="006C78C9" w:rsidRPr="00D41D25">
        <w:rPr>
          <w:rFonts w:ascii="Georgia" w:eastAsiaTheme="minorEastAsia" w:hAnsi="Georgia" w:cs="Arial"/>
          <w:lang w:val="en-GB"/>
        </w:rPr>
        <w:t xml:space="preserve">organizational </w:t>
      </w:r>
      <w:r w:rsidR="001E07F3" w:rsidRPr="00D41D25">
        <w:rPr>
          <w:rFonts w:ascii="Georgia" w:eastAsiaTheme="minorEastAsia" w:hAnsi="Georgia" w:cs="Arial"/>
          <w:lang w:val="en-GB"/>
        </w:rPr>
        <w:t xml:space="preserve">data and calculation mechanisms </w:t>
      </w:r>
      <w:r w:rsidR="001C49D3" w:rsidRPr="00D41D25">
        <w:rPr>
          <w:rFonts w:ascii="Georgia" w:eastAsiaTheme="minorEastAsia" w:hAnsi="Georgia" w:cs="Arial"/>
          <w:lang w:val="en-GB"/>
        </w:rPr>
        <w:t>(De Bruyne &amp; Beijer, 2015)</w:t>
      </w:r>
      <w:r w:rsidR="001E07F3" w:rsidRPr="00D41D25">
        <w:rPr>
          <w:rFonts w:ascii="Georgia" w:eastAsiaTheme="minorEastAsia" w:hAnsi="Georgia" w:cs="Arial"/>
          <w:lang w:val="en-GB"/>
        </w:rPr>
        <w:t>.</w:t>
      </w:r>
    </w:p>
    <w:p w14:paraId="3BAE95FC" w14:textId="1F6CF537" w:rsidR="00902837" w:rsidRPr="00D41D25" w:rsidRDefault="00600384" w:rsidP="00600384">
      <w:pPr>
        <w:pStyle w:val="MDPI31text"/>
        <w:rPr>
          <w:rFonts w:ascii="Georgia" w:eastAsiaTheme="minorEastAsia" w:hAnsi="Georgia" w:cs="Arial"/>
          <w:lang w:val="en-GB"/>
        </w:rPr>
      </w:pPr>
      <w:r w:rsidRPr="00D41D25">
        <w:rPr>
          <w:rFonts w:ascii="Georgia" w:eastAsiaTheme="minorEastAsia" w:hAnsi="Georgia" w:cs="Arial"/>
          <w:lang w:val="en-GB"/>
        </w:rPr>
        <w:t>Space Utilization Studies</w:t>
      </w:r>
      <w:r w:rsidR="00A920E0" w:rsidRPr="00D41D25">
        <w:rPr>
          <w:rFonts w:ascii="Georgia" w:eastAsiaTheme="minorEastAsia" w:hAnsi="Georgia" w:cs="Arial"/>
          <w:lang w:val="en-GB"/>
        </w:rPr>
        <w:t xml:space="preserve"> (SUS)</w:t>
      </w:r>
      <w:r w:rsidRPr="00D41D25">
        <w:rPr>
          <w:rFonts w:ascii="Georgia" w:eastAsiaTheme="minorEastAsia" w:hAnsi="Georgia" w:cs="Arial"/>
          <w:lang w:val="en-GB"/>
        </w:rPr>
        <w:t xml:space="preserve"> can be used as an analysis instrument in projects. </w:t>
      </w:r>
      <w:r w:rsidR="00A920E0" w:rsidRPr="00D41D25">
        <w:rPr>
          <w:rFonts w:ascii="Georgia" w:eastAsiaTheme="minorEastAsia" w:hAnsi="Georgia" w:cs="Arial"/>
          <w:lang w:val="en-GB"/>
        </w:rPr>
        <w:t xml:space="preserve">SUS consist </w:t>
      </w:r>
      <w:r w:rsidR="00C3760C" w:rsidRPr="00D41D25">
        <w:rPr>
          <w:rFonts w:ascii="Georgia" w:eastAsiaTheme="minorEastAsia" w:hAnsi="Georgia" w:cs="Arial"/>
          <w:lang w:val="en-GB"/>
        </w:rPr>
        <w:t xml:space="preserve">of </w:t>
      </w:r>
      <w:r w:rsidR="00A920E0" w:rsidRPr="00D41D25">
        <w:rPr>
          <w:rFonts w:ascii="Georgia" w:eastAsiaTheme="minorEastAsia" w:hAnsi="Georgia" w:cs="Arial"/>
          <w:lang w:val="en-GB"/>
        </w:rPr>
        <w:t xml:space="preserve">observations of </w:t>
      </w:r>
      <w:r w:rsidR="00C53737" w:rsidRPr="00D41D25">
        <w:rPr>
          <w:rFonts w:ascii="Georgia" w:eastAsiaTheme="minorEastAsia" w:hAnsi="Georgia" w:cs="Arial"/>
          <w:lang w:val="en-GB"/>
        </w:rPr>
        <w:t xml:space="preserve">when </w:t>
      </w:r>
      <w:r w:rsidR="00800CA2" w:rsidRPr="00D41D25">
        <w:rPr>
          <w:rFonts w:ascii="Georgia" w:eastAsiaTheme="minorEastAsia" w:hAnsi="Georgia" w:cs="Arial"/>
          <w:lang w:val="en-GB"/>
        </w:rPr>
        <w:t xml:space="preserve">and how work settings are used. </w:t>
      </w:r>
      <w:r w:rsidR="00D52FEA" w:rsidRPr="00D41D25">
        <w:rPr>
          <w:rFonts w:ascii="Georgia" w:eastAsiaTheme="minorEastAsia" w:hAnsi="Georgia" w:cs="Arial"/>
          <w:lang w:val="en-GB"/>
        </w:rPr>
        <w:t>The</w:t>
      </w:r>
      <w:r w:rsidR="00CA26A0" w:rsidRPr="00D41D25">
        <w:rPr>
          <w:rFonts w:ascii="Georgia" w:eastAsiaTheme="minorEastAsia" w:hAnsi="Georgia" w:cs="Arial"/>
          <w:lang w:val="en-GB"/>
        </w:rPr>
        <w:t xml:space="preserve"> observations are either performed as structured and standardized visual inspections or </w:t>
      </w:r>
      <w:r w:rsidR="00D0104A" w:rsidRPr="00D41D25">
        <w:rPr>
          <w:rFonts w:ascii="Georgia" w:eastAsiaTheme="minorEastAsia" w:hAnsi="Georgia" w:cs="Arial"/>
          <w:lang w:val="en-GB"/>
        </w:rPr>
        <w:t xml:space="preserve">by applying electronic methods (see </w:t>
      </w:r>
      <w:proofErr w:type="spellStart"/>
      <w:r w:rsidR="00D0104A" w:rsidRPr="00D41D25">
        <w:rPr>
          <w:rFonts w:ascii="Georgia" w:eastAsiaTheme="minorEastAsia" w:hAnsi="Georgia" w:cs="Arial"/>
          <w:lang w:val="en-GB"/>
        </w:rPr>
        <w:t>Tagliaro</w:t>
      </w:r>
      <w:proofErr w:type="spellEnd"/>
      <w:r w:rsidR="00D0104A" w:rsidRPr="00D41D25">
        <w:rPr>
          <w:rFonts w:ascii="Georgia" w:eastAsiaTheme="minorEastAsia" w:hAnsi="Georgia" w:cs="Arial"/>
          <w:lang w:val="en-GB"/>
        </w:rPr>
        <w:t xml:space="preserve"> et al., 2021)</w:t>
      </w:r>
      <w:r w:rsidR="00863551" w:rsidRPr="00D41D25">
        <w:rPr>
          <w:rFonts w:ascii="Georgia" w:eastAsiaTheme="minorEastAsia" w:hAnsi="Georgia" w:cs="Arial"/>
          <w:lang w:val="en-GB"/>
        </w:rPr>
        <w:t xml:space="preserve">. The main </w:t>
      </w:r>
      <w:r w:rsidRPr="00D41D25">
        <w:rPr>
          <w:rFonts w:ascii="Georgia" w:eastAsiaTheme="minorEastAsia" w:hAnsi="Georgia" w:cs="Arial"/>
          <w:lang w:val="en-GB"/>
        </w:rPr>
        <w:t xml:space="preserve">advantage of </w:t>
      </w:r>
      <w:r w:rsidR="00863551" w:rsidRPr="00D41D25">
        <w:rPr>
          <w:rFonts w:ascii="Georgia" w:eastAsiaTheme="minorEastAsia" w:hAnsi="Georgia" w:cs="Arial"/>
          <w:lang w:val="en-GB"/>
        </w:rPr>
        <w:t xml:space="preserve">visual </w:t>
      </w:r>
      <w:r w:rsidR="009A6812" w:rsidRPr="00D41D25">
        <w:rPr>
          <w:rFonts w:ascii="Georgia" w:eastAsiaTheme="minorEastAsia" w:hAnsi="Georgia" w:cs="Arial"/>
          <w:lang w:val="en-GB"/>
        </w:rPr>
        <w:t>inspections over</w:t>
      </w:r>
      <w:r w:rsidRPr="00D41D25">
        <w:rPr>
          <w:rFonts w:ascii="Georgia" w:eastAsiaTheme="minorEastAsia" w:hAnsi="Georgia" w:cs="Arial"/>
          <w:lang w:val="en-GB"/>
        </w:rPr>
        <w:t xml:space="preserve"> electronic methods is that not only occupancy is recorded but also the activities carried out </w:t>
      </w:r>
      <w:r w:rsidR="00902837" w:rsidRPr="00D41D25">
        <w:rPr>
          <w:rFonts w:ascii="Georgia" w:eastAsiaTheme="minorEastAsia" w:hAnsi="Georgia" w:cs="Arial"/>
          <w:lang w:val="en-GB"/>
        </w:rPr>
        <w:t>at specific places</w:t>
      </w:r>
      <w:r w:rsidRPr="00D41D25">
        <w:rPr>
          <w:rFonts w:ascii="Georgia" w:eastAsiaTheme="minorEastAsia" w:hAnsi="Georgia" w:cs="Arial"/>
          <w:lang w:val="en-GB"/>
        </w:rPr>
        <w:t>. This provides information</w:t>
      </w:r>
      <w:r w:rsidR="00902837" w:rsidRPr="00D41D25">
        <w:rPr>
          <w:rFonts w:ascii="Georgia" w:eastAsiaTheme="minorEastAsia" w:hAnsi="Georgia" w:cs="Arial"/>
          <w:lang w:val="en-GB"/>
        </w:rPr>
        <w:t xml:space="preserve"> on which activities are performed where and how often</w:t>
      </w:r>
      <w:r w:rsidR="00E550BD" w:rsidRPr="00D41D25">
        <w:rPr>
          <w:rFonts w:ascii="Georgia" w:eastAsiaTheme="minorEastAsia" w:hAnsi="Georgia" w:cs="Arial"/>
          <w:lang w:val="en-GB"/>
        </w:rPr>
        <w:t xml:space="preserve">. This </w:t>
      </w:r>
      <w:r w:rsidR="00083534" w:rsidRPr="00D41D25">
        <w:rPr>
          <w:rFonts w:ascii="Georgia" w:eastAsiaTheme="minorEastAsia" w:hAnsi="Georgia" w:cs="Arial"/>
          <w:lang w:val="en-GB"/>
        </w:rPr>
        <w:t xml:space="preserve">information allows </w:t>
      </w:r>
      <w:r w:rsidR="006C60F4">
        <w:rPr>
          <w:rFonts w:ascii="Georgia" w:eastAsiaTheme="minorEastAsia" w:hAnsi="Georgia" w:cs="Arial"/>
          <w:lang w:val="en-GB"/>
        </w:rPr>
        <w:t>for the identification of</w:t>
      </w:r>
      <w:r w:rsidR="006C60F4" w:rsidRPr="00D41D25">
        <w:rPr>
          <w:rFonts w:ascii="Georgia" w:eastAsiaTheme="minorEastAsia" w:hAnsi="Georgia" w:cs="Arial"/>
          <w:lang w:val="en-GB"/>
        </w:rPr>
        <w:t xml:space="preserve"> </w:t>
      </w:r>
      <w:r w:rsidR="00083534" w:rsidRPr="00D41D25">
        <w:rPr>
          <w:rFonts w:ascii="Georgia" w:eastAsiaTheme="minorEastAsia" w:hAnsi="Georgia" w:cs="Arial"/>
          <w:lang w:val="en-GB"/>
        </w:rPr>
        <w:t>the kind of support spaces needed by the workers and organizational units observed.</w:t>
      </w:r>
      <w:r w:rsidRPr="00D41D25">
        <w:rPr>
          <w:rFonts w:ascii="Georgia" w:eastAsiaTheme="minorEastAsia" w:hAnsi="Georgia" w:cs="Arial"/>
          <w:lang w:val="en-GB"/>
        </w:rPr>
        <w:t xml:space="preserve"> </w:t>
      </w:r>
      <w:r w:rsidR="002F4EB7" w:rsidRPr="00D41D25">
        <w:rPr>
          <w:rFonts w:ascii="Georgia" w:eastAsiaTheme="minorEastAsia" w:hAnsi="Georgia" w:cs="Arial"/>
          <w:lang w:val="en-GB"/>
        </w:rPr>
        <w:t>SUS</w:t>
      </w:r>
      <w:r w:rsidR="00EB0A6E" w:rsidRPr="00D41D25">
        <w:rPr>
          <w:rFonts w:ascii="Georgia" w:eastAsiaTheme="minorEastAsia" w:hAnsi="Georgia" w:cs="Arial"/>
          <w:lang w:val="en-GB"/>
        </w:rPr>
        <w:t>, therefore,</w:t>
      </w:r>
      <w:r w:rsidR="002F4EB7" w:rsidRPr="00D41D25">
        <w:rPr>
          <w:rFonts w:ascii="Georgia" w:eastAsiaTheme="minorEastAsia" w:hAnsi="Georgia" w:cs="Arial"/>
          <w:lang w:val="en-GB"/>
        </w:rPr>
        <w:t xml:space="preserve"> contribute to evidence-based </w:t>
      </w:r>
      <w:r w:rsidR="00151538" w:rsidRPr="00D41D25">
        <w:rPr>
          <w:rFonts w:ascii="Georgia" w:eastAsiaTheme="minorEastAsia" w:hAnsi="Georgia" w:cs="Arial"/>
          <w:lang w:val="en-GB"/>
        </w:rPr>
        <w:t xml:space="preserve">planning and design of administrative workplaces in healthcare (cf. </w:t>
      </w:r>
      <w:proofErr w:type="spellStart"/>
      <w:r w:rsidR="00151538" w:rsidRPr="00D41D25">
        <w:rPr>
          <w:rFonts w:ascii="Georgia" w:eastAsiaTheme="minorEastAsia" w:hAnsi="Georgia" w:cs="Arial"/>
          <w:lang w:val="en-GB"/>
        </w:rPr>
        <w:t>Fröst</w:t>
      </w:r>
      <w:proofErr w:type="spellEnd"/>
      <w:r w:rsidR="00151538" w:rsidRPr="00D41D25">
        <w:rPr>
          <w:rFonts w:ascii="Georgia" w:eastAsiaTheme="minorEastAsia" w:hAnsi="Georgia" w:cs="Arial"/>
          <w:lang w:val="en-GB"/>
        </w:rPr>
        <w:t>, 2016)</w:t>
      </w:r>
      <w:r w:rsidR="000A1BA4" w:rsidRPr="00D41D25">
        <w:rPr>
          <w:rFonts w:ascii="Georgia" w:eastAsiaTheme="minorEastAsia" w:hAnsi="Georgia" w:cs="Arial"/>
          <w:lang w:val="en-GB"/>
        </w:rPr>
        <w:t>.</w:t>
      </w:r>
      <w:r w:rsidR="00316F93" w:rsidRPr="00D41D25">
        <w:rPr>
          <w:rFonts w:ascii="Georgia" w:eastAsiaTheme="minorEastAsia" w:hAnsi="Georgia" w:cs="Arial"/>
          <w:lang w:val="en-GB"/>
        </w:rPr>
        <w:t xml:space="preserve"> Furthermore, basing </w:t>
      </w:r>
      <w:r w:rsidR="00EB0A6E" w:rsidRPr="00D41D25">
        <w:rPr>
          <w:rFonts w:ascii="Georgia" w:eastAsiaTheme="minorEastAsia" w:hAnsi="Georgia" w:cs="Arial"/>
          <w:lang w:val="en-GB"/>
        </w:rPr>
        <w:t xml:space="preserve">the </w:t>
      </w:r>
      <w:r w:rsidR="00316F93" w:rsidRPr="00D41D25">
        <w:rPr>
          <w:rFonts w:ascii="Georgia" w:eastAsiaTheme="minorEastAsia" w:hAnsi="Georgia" w:cs="Arial"/>
          <w:lang w:val="en-GB"/>
        </w:rPr>
        <w:t xml:space="preserve">design of work </w:t>
      </w:r>
      <w:r w:rsidR="00627F6F" w:rsidRPr="00D41D25">
        <w:rPr>
          <w:rFonts w:ascii="Georgia" w:eastAsiaTheme="minorEastAsia" w:hAnsi="Georgia" w:cs="Arial"/>
          <w:lang w:val="en-GB"/>
        </w:rPr>
        <w:t>environments</w:t>
      </w:r>
      <w:r w:rsidR="00316F93" w:rsidRPr="00D41D25">
        <w:rPr>
          <w:rFonts w:ascii="Georgia" w:eastAsiaTheme="minorEastAsia" w:hAnsi="Georgia" w:cs="Arial"/>
          <w:lang w:val="en-GB"/>
        </w:rPr>
        <w:t xml:space="preserve"> on </w:t>
      </w:r>
      <w:r w:rsidR="00627F6F" w:rsidRPr="00D41D25">
        <w:rPr>
          <w:rFonts w:ascii="Georgia" w:eastAsiaTheme="minorEastAsia" w:hAnsi="Georgia" w:cs="Arial"/>
          <w:lang w:val="en-GB"/>
        </w:rPr>
        <w:t>data</w:t>
      </w:r>
      <w:r w:rsidR="007B47D3" w:rsidRPr="00D41D25">
        <w:rPr>
          <w:rFonts w:ascii="Georgia" w:eastAsiaTheme="minorEastAsia" w:hAnsi="Georgia" w:cs="Arial"/>
          <w:lang w:val="en-GB"/>
        </w:rPr>
        <w:t xml:space="preserve"> </w:t>
      </w:r>
      <w:r w:rsidR="009D34B7" w:rsidRPr="00D41D25">
        <w:rPr>
          <w:rFonts w:ascii="Georgia" w:eastAsiaTheme="minorEastAsia" w:hAnsi="Georgia" w:cs="Arial"/>
          <w:lang w:val="en-GB"/>
        </w:rPr>
        <w:t>follows a human-</w:t>
      </w:r>
      <w:r w:rsidR="00543354" w:rsidRPr="00D41D25">
        <w:rPr>
          <w:rFonts w:ascii="Georgia" w:eastAsiaTheme="minorEastAsia" w:hAnsi="Georgia" w:cs="Arial"/>
          <w:lang w:val="en-GB"/>
        </w:rPr>
        <w:t>centred</w:t>
      </w:r>
      <w:r w:rsidR="009D34B7" w:rsidRPr="00D41D25">
        <w:rPr>
          <w:rFonts w:ascii="Georgia" w:eastAsiaTheme="minorEastAsia" w:hAnsi="Georgia" w:cs="Arial"/>
          <w:lang w:val="en-GB"/>
        </w:rPr>
        <w:t xml:space="preserve"> approach that focuses on employee</w:t>
      </w:r>
      <w:r w:rsidR="00BB46C5" w:rsidRPr="00D41D25">
        <w:rPr>
          <w:rFonts w:ascii="Georgia" w:eastAsiaTheme="minorEastAsia" w:hAnsi="Georgia" w:cs="Arial"/>
          <w:lang w:val="en-GB"/>
        </w:rPr>
        <w:t>s</w:t>
      </w:r>
      <w:r w:rsidR="006C78C9" w:rsidRPr="00D41D25">
        <w:rPr>
          <w:rFonts w:ascii="Georgia" w:eastAsiaTheme="minorEastAsia" w:hAnsi="Georgia" w:cs="Arial"/>
          <w:lang w:val="en-GB"/>
        </w:rPr>
        <w:t>'</w:t>
      </w:r>
      <w:r w:rsidR="00BB46C5" w:rsidRPr="00D41D25">
        <w:rPr>
          <w:rFonts w:ascii="Georgia" w:eastAsiaTheme="minorEastAsia" w:hAnsi="Georgia" w:cs="Arial"/>
          <w:lang w:val="en-GB"/>
        </w:rPr>
        <w:t xml:space="preserve"> needs, capabilities</w:t>
      </w:r>
      <w:r w:rsidR="003B2060">
        <w:rPr>
          <w:rFonts w:ascii="Georgia" w:eastAsiaTheme="minorEastAsia" w:hAnsi="Georgia" w:cs="Arial"/>
          <w:lang w:val="en-GB"/>
        </w:rPr>
        <w:t>,</w:t>
      </w:r>
      <w:r w:rsidR="00BB46C5" w:rsidRPr="00D41D25">
        <w:rPr>
          <w:rFonts w:ascii="Georgia" w:eastAsiaTheme="minorEastAsia" w:hAnsi="Georgia" w:cs="Arial"/>
          <w:lang w:val="en-GB"/>
        </w:rPr>
        <w:t xml:space="preserve"> and behaviours and aims to design environments that accommodate</w:t>
      </w:r>
      <w:r w:rsidR="00672885" w:rsidRPr="00D41D25">
        <w:rPr>
          <w:rFonts w:ascii="Georgia" w:eastAsiaTheme="minorEastAsia" w:hAnsi="Georgia" w:cs="Arial"/>
          <w:lang w:val="en-GB"/>
        </w:rPr>
        <w:t xml:space="preserve"> them</w:t>
      </w:r>
      <w:r w:rsidR="00BD1B5B" w:rsidRPr="00D41D25">
        <w:rPr>
          <w:rFonts w:ascii="Georgia" w:eastAsiaTheme="minorEastAsia" w:hAnsi="Georgia" w:cs="Arial"/>
          <w:lang w:val="en-GB"/>
        </w:rPr>
        <w:t xml:space="preserve">. Such an approach emphasizes </w:t>
      </w:r>
      <w:r w:rsidR="00EB0A6E" w:rsidRPr="00D41D25">
        <w:rPr>
          <w:rFonts w:ascii="Georgia" w:eastAsiaTheme="minorEastAsia" w:hAnsi="Georgia" w:cs="Arial"/>
          <w:lang w:val="en-GB"/>
        </w:rPr>
        <w:t xml:space="preserve">the </w:t>
      </w:r>
      <w:r w:rsidR="00BD1B5B" w:rsidRPr="00D41D25">
        <w:rPr>
          <w:rFonts w:ascii="Georgia" w:eastAsiaTheme="minorEastAsia" w:hAnsi="Georgia" w:cs="Arial"/>
          <w:lang w:val="en-GB"/>
        </w:rPr>
        <w:t xml:space="preserve">usability of the environment for the users over the technical quality (cf. </w:t>
      </w:r>
      <w:r w:rsidR="009111C9" w:rsidRPr="00D41D25">
        <w:rPr>
          <w:rFonts w:ascii="Georgia" w:eastAsiaTheme="minorEastAsia" w:hAnsi="Georgia" w:cs="Arial"/>
          <w:lang w:val="en-GB"/>
        </w:rPr>
        <w:t xml:space="preserve">Windlinger &amp; </w:t>
      </w:r>
      <w:proofErr w:type="spellStart"/>
      <w:r w:rsidR="009111C9" w:rsidRPr="00D41D25">
        <w:rPr>
          <w:rFonts w:ascii="Georgia" w:eastAsiaTheme="minorEastAsia" w:hAnsi="Georgia" w:cs="Arial"/>
          <w:lang w:val="en-GB"/>
        </w:rPr>
        <w:t>Tuzcuoglu</w:t>
      </w:r>
      <w:proofErr w:type="spellEnd"/>
      <w:r w:rsidR="009111C9" w:rsidRPr="00D41D25">
        <w:rPr>
          <w:rFonts w:ascii="Georgia" w:eastAsiaTheme="minorEastAsia" w:hAnsi="Georgia" w:cs="Arial"/>
          <w:lang w:val="en-GB"/>
        </w:rPr>
        <w:t>, 2021).</w:t>
      </w:r>
    </w:p>
    <w:p w14:paraId="3B4F9775" w14:textId="23D9867D" w:rsidR="00191CDF" w:rsidRPr="00D41D25" w:rsidRDefault="009111C9" w:rsidP="0029420B">
      <w:pPr>
        <w:pStyle w:val="MDPI31text"/>
        <w:rPr>
          <w:rFonts w:ascii="Georgia" w:eastAsiaTheme="minorEastAsia" w:hAnsi="Georgia" w:cs="Arial"/>
          <w:lang w:val="en-GB"/>
        </w:rPr>
      </w:pPr>
      <w:r w:rsidRPr="00D41D25">
        <w:rPr>
          <w:rFonts w:ascii="Georgia" w:eastAsiaTheme="minorEastAsia" w:hAnsi="Georgia" w:cs="Arial"/>
          <w:lang w:val="en-GB"/>
        </w:rPr>
        <w:t xml:space="preserve">While </w:t>
      </w:r>
      <w:r w:rsidR="0030752D" w:rsidRPr="00D41D25">
        <w:rPr>
          <w:rFonts w:ascii="Georgia" w:eastAsiaTheme="minorEastAsia" w:hAnsi="Georgia" w:cs="Arial"/>
          <w:lang w:val="en-GB"/>
        </w:rPr>
        <w:t xml:space="preserve">evidence-based </w:t>
      </w:r>
      <w:r w:rsidR="000117AC" w:rsidRPr="00D41D25">
        <w:rPr>
          <w:rFonts w:ascii="Georgia" w:eastAsiaTheme="minorEastAsia" w:hAnsi="Georgia" w:cs="Arial"/>
          <w:lang w:val="en-GB"/>
        </w:rPr>
        <w:t>(</w:t>
      </w:r>
      <w:r w:rsidR="00942BCA" w:rsidRPr="00D41D25">
        <w:rPr>
          <w:rFonts w:ascii="Georgia" w:eastAsiaTheme="minorEastAsia" w:hAnsi="Georgia" w:cs="Arial"/>
          <w:lang w:val="en-GB"/>
        </w:rPr>
        <w:t>e.g.</w:t>
      </w:r>
      <w:r w:rsidR="00AF5708">
        <w:rPr>
          <w:rFonts w:ascii="Georgia" w:eastAsiaTheme="minorEastAsia" w:hAnsi="Georgia" w:cs="Arial"/>
          <w:lang w:val="en-GB"/>
        </w:rPr>
        <w:t>,</w:t>
      </w:r>
      <w:r w:rsidR="00942BCA" w:rsidRPr="00D41D25">
        <w:rPr>
          <w:rFonts w:ascii="Georgia" w:eastAsiaTheme="minorEastAsia" w:hAnsi="Georgia" w:cs="Arial"/>
          <w:lang w:val="en-GB"/>
        </w:rPr>
        <w:t xml:space="preserve"> </w:t>
      </w:r>
      <w:r w:rsidR="000117AC" w:rsidRPr="00D41D25">
        <w:rPr>
          <w:rFonts w:ascii="Georgia" w:eastAsiaTheme="minorEastAsia" w:hAnsi="Georgia" w:cs="Arial"/>
          <w:lang w:val="en-GB"/>
        </w:rPr>
        <w:t>Becker &amp; Parsons, 200</w:t>
      </w:r>
      <w:r w:rsidR="00D96930" w:rsidRPr="00D41D25">
        <w:rPr>
          <w:rFonts w:ascii="Georgia" w:eastAsiaTheme="minorEastAsia" w:hAnsi="Georgia" w:cs="Arial"/>
          <w:lang w:val="en-GB"/>
        </w:rPr>
        <w:t xml:space="preserve">7) </w:t>
      </w:r>
      <w:r w:rsidR="0030752D" w:rsidRPr="00D41D25">
        <w:rPr>
          <w:rFonts w:ascii="Georgia" w:eastAsiaTheme="minorEastAsia" w:hAnsi="Georgia" w:cs="Arial"/>
          <w:lang w:val="en-GB"/>
        </w:rPr>
        <w:t>and human-</w:t>
      </w:r>
      <w:r w:rsidR="00543354" w:rsidRPr="00D41D25">
        <w:rPr>
          <w:rFonts w:ascii="Georgia" w:eastAsiaTheme="minorEastAsia" w:hAnsi="Georgia" w:cs="Arial"/>
          <w:lang w:val="en-GB"/>
        </w:rPr>
        <w:t>centred</w:t>
      </w:r>
      <w:r w:rsidR="0030752D" w:rsidRPr="00D41D25">
        <w:rPr>
          <w:rFonts w:ascii="Georgia" w:eastAsiaTheme="minorEastAsia" w:hAnsi="Georgia" w:cs="Arial"/>
          <w:lang w:val="en-GB"/>
        </w:rPr>
        <w:t xml:space="preserve"> </w:t>
      </w:r>
      <w:r w:rsidR="00EF4BC9" w:rsidRPr="00D41D25">
        <w:rPr>
          <w:rFonts w:ascii="Georgia" w:eastAsiaTheme="minorEastAsia" w:hAnsi="Georgia" w:cs="Arial"/>
          <w:lang w:val="en-GB"/>
        </w:rPr>
        <w:t>(</w:t>
      </w:r>
      <w:r w:rsidR="00942BCA" w:rsidRPr="00D41D25">
        <w:rPr>
          <w:rFonts w:ascii="Georgia" w:eastAsiaTheme="minorEastAsia" w:hAnsi="Georgia" w:cs="Arial"/>
          <w:lang w:val="en-GB"/>
        </w:rPr>
        <w:t xml:space="preserve">see </w:t>
      </w:r>
      <w:r w:rsidR="00EF4BC9" w:rsidRPr="00D41D25">
        <w:rPr>
          <w:rFonts w:ascii="Georgia" w:eastAsiaTheme="minorEastAsia" w:hAnsi="Georgia" w:cs="Arial"/>
          <w:lang w:val="en-GB"/>
        </w:rPr>
        <w:t xml:space="preserve">Fornara &amp; Andrade, 2012) </w:t>
      </w:r>
      <w:r w:rsidR="0030752D" w:rsidRPr="00D41D25">
        <w:rPr>
          <w:rFonts w:ascii="Georgia" w:eastAsiaTheme="minorEastAsia" w:hAnsi="Georgia" w:cs="Arial"/>
          <w:lang w:val="en-GB"/>
        </w:rPr>
        <w:t xml:space="preserve">approaches </w:t>
      </w:r>
      <w:r w:rsidR="00004B07" w:rsidRPr="00D41D25">
        <w:rPr>
          <w:rFonts w:ascii="Georgia" w:eastAsiaTheme="minorEastAsia" w:hAnsi="Georgia" w:cs="Arial"/>
          <w:lang w:val="en-GB"/>
        </w:rPr>
        <w:t xml:space="preserve">in </w:t>
      </w:r>
      <w:r w:rsidR="00F73C38" w:rsidRPr="00D41D25">
        <w:rPr>
          <w:rFonts w:ascii="Georgia" w:eastAsiaTheme="minorEastAsia" w:hAnsi="Georgia" w:cs="Arial"/>
          <w:lang w:val="en-GB"/>
        </w:rPr>
        <w:t>the design of healthcare facilities have long be</w:t>
      </w:r>
      <w:r w:rsidR="008F0F63" w:rsidRPr="00D41D25">
        <w:rPr>
          <w:rFonts w:ascii="Georgia" w:eastAsiaTheme="minorEastAsia" w:hAnsi="Georgia" w:cs="Arial"/>
          <w:lang w:val="en-GB"/>
        </w:rPr>
        <w:t>en</w:t>
      </w:r>
      <w:r w:rsidR="00F73C38" w:rsidRPr="00D41D25">
        <w:rPr>
          <w:rFonts w:ascii="Georgia" w:eastAsiaTheme="minorEastAsia" w:hAnsi="Georgia" w:cs="Arial"/>
          <w:lang w:val="en-GB"/>
        </w:rPr>
        <w:t xml:space="preserve"> called for</w:t>
      </w:r>
      <w:r w:rsidR="00EF4BC9" w:rsidRPr="00D41D25">
        <w:rPr>
          <w:rFonts w:ascii="Georgia" w:eastAsiaTheme="minorEastAsia" w:hAnsi="Georgia" w:cs="Arial"/>
          <w:lang w:val="en-GB"/>
        </w:rPr>
        <w:t xml:space="preserve">, </w:t>
      </w:r>
      <w:r w:rsidR="00DF3BBE" w:rsidRPr="00D41D25">
        <w:rPr>
          <w:rFonts w:ascii="Georgia" w:eastAsiaTheme="minorEastAsia" w:hAnsi="Georgia" w:cs="Arial"/>
          <w:lang w:val="en-GB"/>
        </w:rPr>
        <w:t>no</w:t>
      </w:r>
      <w:r w:rsidR="00D05311" w:rsidRPr="00D41D25">
        <w:rPr>
          <w:rFonts w:ascii="Georgia" w:eastAsiaTheme="minorEastAsia" w:hAnsi="Georgia" w:cs="Arial"/>
          <w:lang w:val="en-GB"/>
        </w:rPr>
        <w:t xml:space="preserve"> studies on </w:t>
      </w:r>
      <w:r w:rsidR="008F0F63" w:rsidRPr="00D41D25">
        <w:rPr>
          <w:rFonts w:ascii="Georgia" w:eastAsiaTheme="minorEastAsia" w:hAnsi="Georgia" w:cs="Arial"/>
          <w:lang w:val="en-GB"/>
        </w:rPr>
        <w:t xml:space="preserve">the </w:t>
      </w:r>
      <w:r w:rsidR="006C78C9" w:rsidRPr="00D41D25">
        <w:rPr>
          <w:rFonts w:ascii="Georgia" w:eastAsiaTheme="minorEastAsia" w:hAnsi="Georgia" w:cs="Arial"/>
          <w:lang w:val="en-GB"/>
        </w:rPr>
        <w:t xml:space="preserve">utilization </w:t>
      </w:r>
      <w:r w:rsidR="002B6649" w:rsidRPr="00D41D25">
        <w:rPr>
          <w:rFonts w:ascii="Georgia" w:eastAsiaTheme="minorEastAsia" w:hAnsi="Georgia" w:cs="Arial"/>
          <w:lang w:val="en-GB"/>
        </w:rPr>
        <w:t>of administrative (and other) work settings in hospitals</w:t>
      </w:r>
      <w:r w:rsidR="00BF3592" w:rsidRPr="00D41D25">
        <w:rPr>
          <w:rFonts w:ascii="Georgia" w:eastAsiaTheme="minorEastAsia" w:hAnsi="Georgia" w:cs="Arial"/>
          <w:lang w:val="en-GB"/>
        </w:rPr>
        <w:t xml:space="preserve"> have been published up to now.</w:t>
      </w:r>
    </w:p>
    <w:p w14:paraId="265D06F1" w14:textId="77777777" w:rsidR="00C82E72" w:rsidRPr="00D41D25" w:rsidRDefault="00C82E72" w:rsidP="0029420B">
      <w:pPr>
        <w:pStyle w:val="MDPI31text"/>
        <w:rPr>
          <w:rFonts w:ascii="Georgia" w:eastAsiaTheme="minorEastAsia" w:hAnsi="Georgia" w:cs="Arial"/>
          <w:lang w:val="en-GB"/>
        </w:rPr>
      </w:pPr>
    </w:p>
    <w:p w14:paraId="318F727E" w14:textId="67280FBB" w:rsidR="009F2891" w:rsidRPr="00D41D25" w:rsidRDefault="009F2891" w:rsidP="0029420B">
      <w:pPr>
        <w:pStyle w:val="MDPI31text"/>
        <w:rPr>
          <w:rFonts w:ascii="Georgia" w:eastAsiaTheme="minorEastAsia" w:hAnsi="Georgia" w:cs="Arial"/>
          <w:lang w:val="en-GB"/>
        </w:rPr>
      </w:pPr>
    </w:p>
    <w:p w14:paraId="5FD45B42" w14:textId="4ED58ED5" w:rsidR="005F6C05" w:rsidRPr="00D41D25" w:rsidRDefault="008C6F4E" w:rsidP="0033476B">
      <w:pPr>
        <w:pStyle w:val="MDPI22heading2"/>
        <w:rPr>
          <w:rFonts w:eastAsiaTheme="minorEastAsia"/>
          <w:i/>
          <w:iCs/>
          <w:lang w:val="en-GB"/>
        </w:rPr>
      </w:pPr>
      <w:r w:rsidRPr="00D41D25">
        <w:rPr>
          <w:rFonts w:eastAsiaTheme="minorEastAsia"/>
          <w:lang w:val="en-GB"/>
        </w:rPr>
        <w:t xml:space="preserve">2.1. </w:t>
      </w:r>
      <w:r w:rsidR="00275A61" w:rsidRPr="00D41D25">
        <w:rPr>
          <w:rFonts w:eastAsiaTheme="minorEastAsia"/>
          <w:lang w:val="en-GB"/>
        </w:rPr>
        <w:t>Aim</w:t>
      </w:r>
      <w:r w:rsidR="00AF5708">
        <w:rPr>
          <w:rFonts w:eastAsiaTheme="minorEastAsia"/>
          <w:lang w:val="en-GB"/>
        </w:rPr>
        <w:t>s</w:t>
      </w:r>
      <w:r w:rsidR="00305C9E" w:rsidRPr="00D41D25">
        <w:rPr>
          <w:rFonts w:eastAsiaTheme="minorEastAsia"/>
          <w:lang w:val="en-GB"/>
        </w:rPr>
        <w:t xml:space="preserve"> and Objectives </w:t>
      </w:r>
      <w:r w:rsidR="000F76C6" w:rsidRPr="00D41D25">
        <w:rPr>
          <w:rFonts w:eastAsiaTheme="minorEastAsia"/>
          <w:i/>
          <w:iCs/>
          <w:lang w:val="en-GB"/>
        </w:rPr>
        <w:t xml:space="preserve"> </w:t>
      </w:r>
    </w:p>
    <w:p w14:paraId="31FA9791" w14:textId="2C04DD1F" w:rsidR="000F76C6" w:rsidRPr="00D41D25" w:rsidRDefault="000F76C6" w:rsidP="000F76C6">
      <w:pPr>
        <w:pStyle w:val="MDPI31text"/>
        <w:rPr>
          <w:rFonts w:ascii="Georgia" w:eastAsiaTheme="minorEastAsia" w:hAnsi="Georgia" w:cs="Arial"/>
          <w:lang w:val="en-GB"/>
        </w:rPr>
      </w:pPr>
      <w:r w:rsidRPr="00D41D25">
        <w:rPr>
          <w:rFonts w:ascii="Georgia" w:eastAsiaTheme="minorEastAsia" w:hAnsi="Georgia" w:cs="Arial"/>
          <w:lang w:val="en-GB"/>
        </w:rPr>
        <w:t xml:space="preserve">The aim is to compare the occupancy rate </w:t>
      </w:r>
      <w:r w:rsidR="00C77B2E" w:rsidRPr="00D41D25">
        <w:rPr>
          <w:rFonts w:ascii="Georgia" w:eastAsiaTheme="minorEastAsia" w:hAnsi="Georgia" w:cs="Arial"/>
          <w:lang w:val="en-GB"/>
        </w:rPr>
        <w:t xml:space="preserve">of medical administrative workstations in hospitals </w:t>
      </w:r>
      <w:r w:rsidR="006E6D37" w:rsidRPr="00D41D25">
        <w:rPr>
          <w:rFonts w:ascii="Georgia" w:eastAsiaTheme="minorEastAsia" w:hAnsi="Georgia" w:cs="Arial"/>
          <w:lang w:val="en-GB"/>
        </w:rPr>
        <w:t xml:space="preserve">with the occupancy rates of </w:t>
      </w:r>
      <w:r w:rsidRPr="00D41D25">
        <w:rPr>
          <w:rFonts w:ascii="Georgia" w:eastAsiaTheme="minorEastAsia" w:hAnsi="Georgia" w:cs="Arial"/>
          <w:lang w:val="en-GB"/>
        </w:rPr>
        <w:t>offices</w:t>
      </w:r>
      <w:r w:rsidR="00A27339" w:rsidRPr="00D41D25">
        <w:rPr>
          <w:rFonts w:ascii="Georgia" w:eastAsiaTheme="minorEastAsia" w:hAnsi="Georgia" w:cs="Arial"/>
          <w:lang w:val="en-GB"/>
        </w:rPr>
        <w:t xml:space="preserve"> in other industries</w:t>
      </w:r>
      <w:r w:rsidRPr="00D41D25">
        <w:rPr>
          <w:rFonts w:ascii="Georgia" w:eastAsiaTheme="minorEastAsia" w:hAnsi="Georgia" w:cs="Arial"/>
          <w:lang w:val="en-GB"/>
        </w:rPr>
        <w:t>. In addition, the activities performed at the workstation</w:t>
      </w:r>
      <w:r w:rsidR="00A27339" w:rsidRPr="00D41D25">
        <w:rPr>
          <w:rFonts w:ascii="Georgia" w:eastAsiaTheme="minorEastAsia" w:hAnsi="Georgia" w:cs="Arial"/>
          <w:lang w:val="en-GB"/>
        </w:rPr>
        <w:t>s</w:t>
      </w:r>
      <w:r w:rsidRPr="00D41D25">
        <w:rPr>
          <w:rFonts w:ascii="Georgia" w:eastAsiaTheme="minorEastAsia" w:hAnsi="Georgia" w:cs="Arial"/>
          <w:lang w:val="en-GB"/>
        </w:rPr>
        <w:t xml:space="preserve"> are </w:t>
      </w:r>
      <w:proofErr w:type="spellStart"/>
      <w:r w:rsidR="006C78C9" w:rsidRPr="00D41D25">
        <w:rPr>
          <w:rFonts w:ascii="Georgia" w:eastAsiaTheme="minorEastAsia" w:hAnsi="Georgia" w:cs="Arial"/>
          <w:lang w:val="en-GB"/>
        </w:rPr>
        <w:t>analyzed</w:t>
      </w:r>
      <w:proofErr w:type="spellEnd"/>
      <w:r w:rsidR="006C78C9" w:rsidRPr="00D41D25">
        <w:rPr>
          <w:rFonts w:ascii="Georgia" w:eastAsiaTheme="minorEastAsia" w:hAnsi="Georgia" w:cs="Arial"/>
          <w:lang w:val="en-GB"/>
        </w:rPr>
        <w:t xml:space="preserve"> </w:t>
      </w:r>
      <w:r w:rsidRPr="00D41D25">
        <w:rPr>
          <w:rFonts w:ascii="Georgia" w:eastAsiaTheme="minorEastAsia" w:hAnsi="Georgia" w:cs="Arial"/>
          <w:lang w:val="en-GB"/>
        </w:rPr>
        <w:t xml:space="preserve">and compared. The findings on the utilization of hospital workplaces will lead to an improved understanding of workplace management in the context of medical </w:t>
      </w:r>
      <w:r w:rsidR="00D932FF" w:rsidRPr="00D41D25">
        <w:rPr>
          <w:rFonts w:ascii="Georgia" w:eastAsiaTheme="minorEastAsia" w:hAnsi="Georgia" w:cs="Arial"/>
          <w:lang w:val="en-GB"/>
        </w:rPr>
        <w:t>work environments</w:t>
      </w:r>
      <w:r w:rsidRPr="00D41D25">
        <w:rPr>
          <w:rFonts w:ascii="Georgia" w:eastAsiaTheme="minorEastAsia" w:hAnsi="Georgia" w:cs="Arial"/>
          <w:lang w:val="en-GB"/>
        </w:rPr>
        <w:t xml:space="preserve">. </w:t>
      </w:r>
    </w:p>
    <w:p w14:paraId="75957641" w14:textId="77777777" w:rsidR="000F76C6" w:rsidRPr="00D41D25" w:rsidRDefault="000F76C6" w:rsidP="000F76C6">
      <w:pPr>
        <w:pStyle w:val="MDPI31text"/>
        <w:rPr>
          <w:rFonts w:ascii="Georgia" w:eastAsiaTheme="minorEastAsia" w:hAnsi="Georgia" w:cs="Arial"/>
          <w:lang w:val="en-GB"/>
        </w:rPr>
      </w:pPr>
    </w:p>
    <w:p w14:paraId="1F7820FF" w14:textId="05D78434" w:rsidR="005F6C05" w:rsidRPr="00D41D25" w:rsidRDefault="00305C9E" w:rsidP="00CF7FB0">
      <w:pPr>
        <w:pStyle w:val="MDPI31text"/>
        <w:rPr>
          <w:rFonts w:ascii="Georgia" w:eastAsiaTheme="minorEastAsia" w:hAnsi="Georgia" w:cs="Arial"/>
          <w:i/>
          <w:iCs/>
          <w:lang w:val="en-GB"/>
        </w:rPr>
      </w:pPr>
      <w:r w:rsidRPr="00D41D25">
        <w:rPr>
          <w:rFonts w:ascii="Georgia" w:eastAsiaTheme="minorEastAsia" w:hAnsi="Georgia" w:cs="Arial"/>
          <w:lang w:val="en-GB"/>
        </w:rPr>
        <w:t xml:space="preserve">The objectives of the study </w:t>
      </w:r>
      <w:r w:rsidR="009A7162" w:rsidRPr="00D41D25">
        <w:rPr>
          <w:rFonts w:ascii="Georgia" w:eastAsiaTheme="minorEastAsia" w:hAnsi="Georgia" w:cs="Arial"/>
          <w:lang w:val="en-GB"/>
        </w:rPr>
        <w:t>are</w:t>
      </w:r>
      <w:r w:rsidRPr="00D41D25">
        <w:rPr>
          <w:rFonts w:ascii="Georgia" w:eastAsiaTheme="minorEastAsia" w:hAnsi="Georgia" w:cs="Arial"/>
          <w:lang w:val="en-GB"/>
        </w:rPr>
        <w:t xml:space="preserve"> to:</w:t>
      </w:r>
      <w:r w:rsidR="000F76C6" w:rsidRPr="00D41D25">
        <w:rPr>
          <w:rFonts w:ascii="Georgia" w:eastAsiaTheme="minorEastAsia" w:hAnsi="Georgia" w:cs="Arial"/>
          <w:lang w:val="en-GB"/>
        </w:rPr>
        <w:t xml:space="preserve"> </w:t>
      </w:r>
    </w:p>
    <w:p w14:paraId="264C34A9" w14:textId="1337BF16" w:rsidR="000F76C6" w:rsidRPr="00D41D25" w:rsidRDefault="00AF5708" w:rsidP="0033476B">
      <w:pPr>
        <w:pStyle w:val="MDPI38bullet"/>
        <w:rPr>
          <w:rFonts w:eastAsiaTheme="minorEastAsia"/>
          <w:lang w:val="en-GB"/>
        </w:rPr>
      </w:pPr>
      <w:r>
        <w:rPr>
          <w:rFonts w:eastAsiaTheme="minorEastAsia"/>
          <w:lang w:val="en-GB"/>
        </w:rPr>
        <w:t>C</w:t>
      </w:r>
      <w:r w:rsidRPr="00D41D25">
        <w:rPr>
          <w:rFonts w:eastAsiaTheme="minorEastAsia"/>
          <w:lang w:val="en-GB"/>
        </w:rPr>
        <w:t xml:space="preserve">ompare </w:t>
      </w:r>
      <w:r w:rsidR="000F76C6" w:rsidRPr="00D41D25">
        <w:rPr>
          <w:rFonts w:eastAsiaTheme="minorEastAsia"/>
          <w:lang w:val="en-GB"/>
        </w:rPr>
        <w:t xml:space="preserve">the </w:t>
      </w:r>
      <w:r w:rsidR="00D30795" w:rsidRPr="00D41D25">
        <w:rPr>
          <w:rFonts w:eastAsiaTheme="minorEastAsia"/>
          <w:lang w:val="en-GB"/>
        </w:rPr>
        <w:t>utili</w:t>
      </w:r>
      <w:r w:rsidR="00D30795">
        <w:rPr>
          <w:rFonts w:eastAsiaTheme="minorEastAsia"/>
          <w:lang w:val="en-GB"/>
        </w:rPr>
        <w:t>z</w:t>
      </w:r>
      <w:r w:rsidR="00D30795" w:rsidRPr="00D41D25">
        <w:rPr>
          <w:rFonts w:eastAsiaTheme="minorEastAsia"/>
          <w:lang w:val="en-GB"/>
        </w:rPr>
        <w:t xml:space="preserve">ation </w:t>
      </w:r>
      <w:r w:rsidR="000F76C6" w:rsidRPr="00D41D25">
        <w:rPr>
          <w:rFonts w:eastAsiaTheme="minorEastAsia"/>
          <w:lang w:val="en-GB"/>
        </w:rPr>
        <w:t xml:space="preserve">of workplaces in traditional offices </w:t>
      </w:r>
      <w:r w:rsidR="007F21BF" w:rsidRPr="00D41D25">
        <w:rPr>
          <w:rFonts w:eastAsiaTheme="minorEastAsia"/>
          <w:lang w:val="en-GB"/>
        </w:rPr>
        <w:t xml:space="preserve">with the </w:t>
      </w:r>
      <w:r w:rsidR="00D30795" w:rsidRPr="00D41D25">
        <w:rPr>
          <w:rFonts w:eastAsiaTheme="minorEastAsia"/>
          <w:lang w:val="en-GB"/>
        </w:rPr>
        <w:t>utili</w:t>
      </w:r>
      <w:r w:rsidR="00D30795">
        <w:rPr>
          <w:rFonts w:eastAsiaTheme="minorEastAsia"/>
          <w:lang w:val="en-GB"/>
        </w:rPr>
        <w:t>z</w:t>
      </w:r>
      <w:r w:rsidR="00D30795" w:rsidRPr="00D41D25">
        <w:rPr>
          <w:rFonts w:eastAsiaTheme="minorEastAsia"/>
          <w:lang w:val="en-GB"/>
        </w:rPr>
        <w:t>ation</w:t>
      </w:r>
      <w:r w:rsidR="00D30795">
        <w:rPr>
          <w:rFonts w:eastAsiaTheme="minorEastAsia"/>
          <w:lang w:val="en-GB"/>
        </w:rPr>
        <w:t xml:space="preserve"> of</w:t>
      </w:r>
      <w:r w:rsidR="00D30795" w:rsidRPr="00D41D25">
        <w:rPr>
          <w:rFonts w:eastAsiaTheme="minorEastAsia"/>
          <w:lang w:val="en-GB"/>
        </w:rPr>
        <w:t xml:space="preserve"> </w:t>
      </w:r>
      <w:r w:rsidR="000F76C6" w:rsidRPr="00D41D25">
        <w:rPr>
          <w:rFonts w:eastAsiaTheme="minorEastAsia"/>
          <w:lang w:val="en-GB"/>
        </w:rPr>
        <w:t>workplaces in hospitals</w:t>
      </w:r>
      <w:r w:rsidR="00B85704">
        <w:rPr>
          <w:rFonts w:eastAsiaTheme="minorEastAsia"/>
          <w:lang w:val="en-GB"/>
        </w:rPr>
        <w:t>;</w:t>
      </w:r>
    </w:p>
    <w:p w14:paraId="7AA821EA" w14:textId="112B74C6" w:rsidR="007F21BF" w:rsidRPr="00D41D25" w:rsidRDefault="00AF5708" w:rsidP="0033476B">
      <w:pPr>
        <w:pStyle w:val="MDPI38bullet"/>
        <w:rPr>
          <w:rFonts w:eastAsiaTheme="minorEastAsia"/>
          <w:lang w:val="en-GB"/>
        </w:rPr>
      </w:pPr>
      <w:r>
        <w:rPr>
          <w:rFonts w:eastAsiaTheme="minorEastAsia"/>
          <w:lang w:val="en-GB"/>
        </w:rPr>
        <w:t>C</w:t>
      </w:r>
      <w:r w:rsidRPr="00D41D25">
        <w:rPr>
          <w:rFonts w:eastAsiaTheme="minorEastAsia"/>
          <w:lang w:val="en-GB"/>
        </w:rPr>
        <w:t xml:space="preserve">ompare </w:t>
      </w:r>
      <w:r w:rsidR="007F21BF" w:rsidRPr="00D41D25">
        <w:rPr>
          <w:rFonts w:eastAsiaTheme="minorEastAsia"/>
          <w:lang w:val="en-GB"/>
        </w:rPr>
        <w:t>the activities performed at the workplaces in traditional offices and workplaces in hospitals</w:t>
      </w:r>
      <w:r w:rsidR="00B85704">
        <w:rPr>
          <w:rFonts w:eastAsiaTheme="minorEastAsia"/>
          <w:lang w:val="en-GB"/>
        </w:rPr>
        <w:t>;</w:t>
      </w:r>
    </w:p>
    <w:p w14:paraId="6616F68E" w14:textId="53E5486F" w:rsidR="00E47BD0" w:rsidRPr="00D41D25" w:rsidRDefault="007D165C" w:rsidP="0033476B">
      <w:pPr>
        <w:pStyle w:val="MDPI38bullet"/>
        <w:rPr>
          <w:rFonts w:eastAsiaTheme="minorEastAsia"/>
          <w:lang w:val="en-GB"/>
        </w:rPr>
      </w:pPr>
      <w:r>
        <w:rPr>
          <w:rFonts w:eastAsiaTheme="minorEastAsia"/>
          <w:lang w:val="en-GB"/>
        </w:rPr>
        <w:t>U</w:t>
      </w:r>
      <w:r w:rsidRPr="00D41D25">
        <w:rPr>
          <w:rFonts w:eastAsiaTheme="minorEastAsia"/>
          <w:lang w:val="en-GB"/>
        </w:rPr>
        <w:t xml:space="preserve">nderstand </w:t>
      </w:r>
      <w:r w:rsidR="000F76C6" w:rsidRPr="00D41D25">
        <w:rPr>
          <w:rFonts w:eastAsiaTheme="minorEastAsia"/>
          <w:lang w:val="en-GB"/>
        </w:rPr>
        <w:t xml:space="preserve">the use of administrative </w:t>
      </w:r>
      <w:r w:rsidR="00E47BD0" w:rsidRPr="00D41D25">
        <w:rPr>
          <w:rFonts w:eastAsiaTheme="minorEastAsia"/>
          <w:lang w:val="en-GB"/>
        </w:rPr>
        <w:t>back-office</w:t>
      </w:r>
      <w:r w:rsidR="000F76C6" w:rsidRPr="00D41D25">
        <w:rPr>
          <w:rFonts w:eastAsiaTheme="minorEastAsia"/>
          <w:lang w:val="en-GB"/>
        </w:rPr>
        <w:t xml:space="preserve"> workplaces in general hospitals in Switzerland and identif</w:t>
      </w:r>
      <w:r w:rsidR="00B51E74" w:rsidRPr="00D41D25">
        <w:rPr>
          <w:rFonts w:eastAsiaTheme="minorEastAsia"/>
          <w:lang w:val="en-GB"/>
        </w:rPr>
        <w:t>y</w:t>
      </w:r>
      <w:r w:rsidR="000F76C6" w:rsidRPr="00D41D25">
        <w:rPr>
          <w:rFonts w:eastAsiaTheme="minorEastAsia"/>
          <w:lang w:val="en-GB"/>
        </w:rPr>
        <w:t xml:space="preserve"> potential</w:t>
      </w:r>
      <w:r w:rsidR="00E47BD0" w:rsidRPr="00D41D25">
        <w:rPr>
          <w:rFonts w:eastAsiaTheme="minorEastAsia"/>
          <w:lang w:val="en-GB"/>
        </w:rPr>
        <w:t>s</w:t>
      </w:r>
      <w:r w:rsidR="000F76C6" w:rsidRPr="00D41D25">
        <w:rPr>
          <w:rFonts w:eastAsiaTheme="minorEastAsia"/>
          <w:lang w:val="en-GB"/>
        </w:rPr>
        <w:t xml:space="preserve"> </w:t>
      </w:r>
      <w:r w:rsidR="00E47BD0" w:rsidRPr="00D41D25">
        <w:rPr>
          <w:rFonts w:eastAsiaTheme="minorEastAsia"/>
          <w:lang w:val="en-GB"/>
        </w:rPr>
        <w:t>regarding</w:t>
      </w:r>
      <w:r w:rsidR="000F76C6" w:rsidRPr="00D41D25">
        <w:rPr>
          <w:rFonts w:eastAsiaTheme="minorEastAsia"/>
          <w:lang w:val="en-GB"/>
        </w:rPr>
        <w:t xml:space="preserve"> space efficiency</w:t>
      </w:r>
      <w:r w:rsidR="00567C9F" w:rsidRPr="00D41D25">
        <w:rPr>
          <w:rFonts w:eastAsiaTheme="minorEastAsia"/>
          <w:lang w:val="en-GB"/>
        </w:rPr>
        <w:t>.</w:t>
      </w:r>
    </w:p>
    <w:p w14:paraId="3021E6D6" w14:textId="77777777" w:rsidR="00E47BD0" w:rsidRPr="00D41D25" w:rsidRDefault="00E47BD0" w:rsidP="00275A61">
      <w:pPr>
        <w:pStyle w:val="MDPI31text"/>
        <w:rPr>
          <w:rFonts w:ascii="Georgia" w:eastAsiaTheme="minorEastAsia" w:hAnsi="Georgia" w:cs="Arial"/>
          <w:lang w:val="en-GB"/>
        </w:rPr>
      </w:pPr>
    </w:p>
    <w:p w14:paraId="47DBB1A5" w14:textId="7FF98C46" w:rsidR="00275A61" w:rsidRPr="00D41D25" w:rsidRDefault="008C6F4E" w:rsidP="0033476B">
      <w:pPr>
        <w:pStyle w:val="MDPI22heading2"/>
        <w:rPr>
          <w:rFonts w:eastAsiaTheme="minorEastAsia"/>
          <w:lang w:val="en-GB"/>
        </w:rPr>
      </w:pPr>
      <w:r w:rsidRPr="00D41D25">
        <w:rPr>
          <w:rFonts w:eastAsiaTheme="minorEastAsia"/>
          <w:lang w:val="en-GB"/>
        </w:rPr>
        <w:lastRenderedPageBreak/>
        <w:t xml:space="preserve">2.2. </w:t>
      </w:r>
      <w:r w:rsidR="009F2891" w:rsidRPr="00D41D25">
        <w:rPr>
          <w:rFonts w:eastAsiaTheme="minorEastAsia"/>
          <w:lang w:val="en-GB"/>
        </w:rPr>
        <w:t>Study Design</w:t>
      </w:r>
    </w:p>
    <w:p w14:paraId="0691ED9E" w14:textId="1E189DB9" w:rsidR="00E63A2B" w:rsidRPr="00D41D25" w:rsidRDefault="00B13E49" w:rsidP="002410A3">
      <w:pPr>
        <w:pStyle w:val="MDPI31text"/>
        <w:rPr>
          <w:rFonts w:ascii="Georgia" w:eastAsiaTheme="minorEastAsia" w:hAnsi="Georgia" w:cs="Arial"/>
          <w:lang w:val="en-GB"/>
        </w:rPr>
      </w:pPr>
      <w:r w:rsidRPr="00D41D25">
        <w:rPr>
          <w:rFonts w:ascii="Georgia" w:eastAsiaTheme="minorEastAsia" w:hAnsi="Georgia" w:cs="Arial"/>
          <w:lang w:val="en-GB"/>
        </w:rPr>
        <w:t xml:space="preserve">The study consists </w:t>
      </w:r>
      <w:r w:rsidR="00FF3A0A" w:rsidRPr="00D41D25">
        <w:rPr>
          <w:rFonts w:ascii="Georgia" w:eastAsiaTheme="minorEastAsia" w:hAnsi="Georgia" w:cs="Arial"/>
          <w:lang w:val="en-GB"/>
        </w:rPr>
        <w:t xml:space="preserve">of </w:t>
      </w:r>
      <w:r w:rsidRPr="00D41D25">
        <w:rPr>
          <w:rFonts w:ascii="Georgia" w:eastAsiaTheme="minorEastAsia" w:hAnsi="Georgia" w:cs="Arial"/>
          <w:lang w:val="en-GB"/>
        </w:rPr>
        <w:t xml:space="preserve">a </w:t>
      </w:r>
      <w:r w:rsidR="00F27CA9" w:rsidRPr="00D41D25">
        <w:rPr>
          <w:rFonts w:ascii="Georgia" w:eastAsiaTheme="minorEastAsia" w:hAnsi="Georgia" w:cs="Arial"/>
          <w:lang w:val="en-GB"/>
        </w:rPr>
        <w:t>secondary analysis of existing data</w:t>
      </w:r>
      <w:r w:rsidR="006C0C50" w:rsidRPr="00D41D25">
        <w:rPr>
          <w:rFonts w:ascii="Georgia" w:eastAsiaTheme="minorEastAsia" w:hAnsi="Georgia" w:cs="Arial"/>
          <w:lang w:val="en-GB"/>
        </w:rPr>
        <w:t xml:space="preserve"> from previous projects.</w:t>
      </w:r>
      <w:r w:rsidR="00CE2698" w:rsidRPr="00D41D25">
        <w:rPr>
          <w:rFonts w:ascii="Georgia" w:eastAsiaTheme="minorEastAsia" w:hAnsi="Georgia" w:cs="Arial"/>
          <w:lang w:val="en-GB"/>
        </w:rPr>
        <w:t xml:space="preserve"> </w:t>
      </w:r>
      <w:r w:rsidR="0085482C" w:rsidRPr="00D41D25">
        <w:rPr>
          <w:rFonts w:ascii="Georgia" w:eastAsiaTheme="minorEastAsia" w:hAnsi="Georgia" w:cs="Arial"/>
          <w:lang w:val="en-GB"/>
        </w:rPr>
        <w:t>D</w:t>
      </w:r>
      <w:r w:rsidR="00CE2698" w:rsidRPr="00D41D25">
        <w:rPr>
          <w:rFonts w:ascii="Georgia" w:eastAsiaTheme="minorEastAsia" w:hAnsi="Georgia" w:cs="Arial"/>
          <w:lang w:val="en-GB"/>
        </w:rPr>
        <w:t>ata from two groups of projects</w:t>
      </w:r>
      <w:r w:rsidR="0085482C" w:rsidRPr="00D41D25">
        <w:rPr>
          <w:rFonts w:ascii="Georgia" w:eastAsiaTheme="minorEastAsia" w:hAnsi="Georgia" w:cs="Arial"/>
          <w:lang w:val="en-GB"/>
        </w:rPr>
        <w:t xml:space="preserve"> </w:t>
      </w:r>
      <w:r w:rsidR="00FF3A0A" w:rsidRPr="00D41D25">
        <w:rPr>
          <w:rFonts w:ascii="Georgia" w:eastAsiaTheme="minorEastAsia" w:hAnsi="Georgia" w:cs="Arial"/>
          <w:lang w:val="en-GB"/>
        </w:rPr>
        <w:t xml:space="preserve">are </w:t>
      </w:r>
      <w:r w:rsidR="000D3E32" w:rsidRPr="00D41D25">
        <w:rPr>
          <w:rFonts w:ascii="Georgia" w:eastAsiaTheme="minorEastAsia" w:hAnsi="Georgia" w:cs="Arial"/>
          <w:lang w:val="en-GB"/>
        </w:rPr>
        <w:t>included: data from</w:t>
      </w:r>
      <w:r w:rsidR="00582A55" w:rsidRPr="00D41D25">
        <w:rPr>
          <w:rFonts w:ascii="Georgia" w:eastAsiaTheme="minorEastAsia" w:hAnsi="Georgia" w:cs="Arial"/>
          <w:lang w:val="en-GB"/>
        </w:rPr>
        <w:t xml:space="preserve"> non-</w:t>
      </w:r>
      <w:r w:rsidR="00500CBC">
        <w:rPr>
          <w:rFonts w:ascii="Georgia" w:eastAsiaTheme="minorEastAsia" w:hAnsi="Georgia" w:cs="Arial"/>
          <w:lang w:val="en-GB"/>
        </w:rPr>
        <w:t>patient</w:t>
      </w:r>
      <w:r w:rsidR="00500CBC" w:rsidRPr="00D41D25">
        <w:rPr>
          <w:rFonts w:ascii="Georgia" w:eastAsiaTheme="minorEastAsia" w:hAnsi="Georgia" w:cs="Arial"/>
          <w:lang w:val="en-GB"/>
        </w:rPr>
        <w:t xml:space="preserve"> </w:t>
      </w:r>
      <w:r w:rsidR="00582A55" w:rsidRPr="00D41D25">
        <w:rPr>
          <w:rFonts w:ascii="Georgia" w:eastAsiaTheme="minorEastAsia" w:hAnsi="Georgia" w:cs="Arial"/>
          <w:lang w:val="en-GB"/>
        </w:rPr>
        <w:t xml:space="preserve">offices in </w:t>
      </w:r>
      <w:r w:rsidR="000D3E32" w:rsidRPr="00D41D25">
        <w:rPr>
          <w:rFonts w:ascii="Georgia" w:eastAsiaTheme="minorEastAsia" w:hAnsi="Georgia" w:cs="Arial"/>
          <w:lang w:val="en-GB"/>
        </w:rPr>
        <w:t xml:space="preserve">hospitals and data from </w:t>
      </w:r>
      <w:r w:rsidR="00DB2764" w:rsidRPr="00D41D25">
        <w:rPr>
          <w:rFonts w:ascii="Georgia" w:eastAsiaTheme="minorEastAsia" w:hAnsi="Georgia" w:cs="Arial"/>
          <w:lang w:val="en-GB"/>
        </w:rPr>
        <w:t xml:space="preserve">traditional </w:t>
      </w:r>
      <w:r w:rsidR="00EA1784" w:rsidRPr="00D41D25">
        <w:rPr>
          <w:rFonts w:ascii="Georgia" w:eastAsiaTheme="minorEastAsia" w:hAnsi="Georgia" w:cs="Arial"/>
          <w:lang w:val="en-GB"/>
        </w:rPr>
        <w:t>office</w:t>
      </w:r>
      <w:r w:rsidR="00DB2764" w:rsidRPr="00D41D25">
        <w:rPr>
          <w:rFonts w:ascii="Georgia" w:eastAsiaTheme="minorEastAsia" w:hAnsi="Georgia" w:cs="Arial"/>
          <w:lang w:val="en-GB"/>
        </w:rPr>
        <w:t>s</w:t>
      </w:r>
      <w:r w:rsidR="00411C8E" w:rsidRPr="00D41D25">
        <w:rPr>
          <w:rFonts w:ascii="Georgia" w:eastAsiaTheme="minorEastAsia" w:hAnsi="Georgia" w:cs="Arial"/>
          <w:lang w:val="en-GB"/>
        </w:rPr>
        <w:t xml:space="preserve">. </w:t>
      </w:r>
      <w:r w:rsidR="008E34AB">
        <w:rPr>
          <w:rFonts w:ascii="Georgia" w:eastAsiaTheme="minorEastAsia" w:hAnsi="Georgia" w:cs="Arial"/>
          <w:lang w:val="en-GB"/>
        </w:rPr>
        <w:t xml:space="preserve">The </w:t>
      </w:r>
      <w:r w:rsidR="00516AB0" w:rsidRPr="00D41D25">
        <w:rPr>
          <w:rFonts w:ascii="Georgia" w:eastAsiaTheme="minorEastAsia" w:hAnsi="Georgia" w:cs="Arial"/>
          <w:lang w:val="en-GB"/>
        </w:rPr>
        <w:t>Data</w:t>
      </w:r>
      <w:r w:rsidR="007607CE" w:rsidRPr="00D41D25">
        <w:rPr>
          <w:rFonts w:ascii="Georgia" w:eastAsiaTheme="minorEastAsia" w:hAnsi="Georgia" w:cs="Arial"/>
          <w:lang w:val="en-GB"/>
        </w:rPr>
        <w:t xml:space="preserve"> is</w:t>
      </w:r>
      <w:r w:rsidR="00CE2698" w:rsidRPr="00D41D25">
        <w:rPr>
          <w:rFonts w:ascii="Georgia" w:eastAsiaTheme="minorEastAsia" w:hAnsi="Georgia" w:cs="Arial"/>
          <w:lang w:val="en-GB"/>
        </w:rPr>
        <w:t xml:space="preserve"> used for a</w:t>
      </w:r>
      <w:r w:rsidR="00F27CA9" w:rsidRPr="00D41D25">
        <w:rPr>
          <w:rFonts w:ascii="Georgia" w:eastAsiaTheme="minorEastAsia" w:hAnsi="Georgia" w:cs="Arial"/>
          <w:lang w:val="en-GB"/>
        </w:rPr>
        <w:t xml:space="preserve"> comparison of </w:t>
      </w:r>
      <w:r w:rsidR="00DB2764" w:rsidRPr="00D41D25">
        <w:rPr>
          <w:rFonts w:ascii="Georgia" w:eastAsiaTheme="minorEastAsia" w:hAnsi="Georgia" w:cs="Arial"/>
          <w:lang w:val="en-GB"/>
        </w:rPr>
        <w:t>hospital</w:t>
      </w:r>
      <w:r w:rsidR="00F27CA9" w:rsidRPr="00D41D25">
        <w:rPr>
          <w:rFonts w:ascii="Georgia" w:eastAsiaTheme="minorEastAsia" w:hAnsi="Georgia" w:cs="Arial"/>
          <w:lang w:val="en-GB"/>
        </w:rPr>
        <w:t xml:space="preserve"> and </w:t>
      </w:r>
      <w:r w:rsidR="00DB2764" w:rsidRPr="00D41D25">
        <w:rPr>
          <w:rFonts w:ascii="Georgia" w:eastAsiaTheme="minorEastAsia" w:hAnsi="Georgia" w:cs="Arial"/>
          <w:lang w:val="en-GB"/>
        </w:rPr>
        <w:t>office</w:t>
      </w:r>
      <w:r w:rsidR="00F27CA9" w:rsidRPr="00D41D25">
        <w:rPr>
          <w:rFonts w:ascii="Georgia" w:eastAsiaTheme="minorEastAsia" w:hAnsi="Georgia" w:cs="Arial"/>
          <w:lang w:val="en-GB"/>
        </w:rPr>
        <w:t xml:space="preserve"> workplaces</w:t>
      </w:r>
      <w:r w:rsidR="00411C8E" w:rsidRPr="00D41D25">
        <w:rPr>
          <w:rFonts w:ascii="Georgia" w:eastAsiaTheme="minorEastAsia" w:hAnsi="Georgia" w:cs="Arial"/>
          <w:lang w:val="en-GB"/>
        </w:rPr>
        <w:t>.</w:t>
      </w:r>
    </w:p>
    <w:p w14:paraId="33F40A83" w14:textId="77777777" w:rsidR="00E63A2B" w:rsidRPr="00D41D25" w:rsidRDefault="00E63A2B" w:rsidP="002410A3">
      <w:pPr>
        <w:pStyle w:val="MDPI31text"/>
        <w:rPr>
          <w:rFonts w:ascii="Georgia" w:eastAsiaTheme="minorEastAsia" w:hAnsi="Georgia" w:cs="Arial"/>
          <w:lang w:val="en-GB"/>
        </w:rPr>
      </w:pPr>
    </w:p>
    <w:p w14:paraId="548D62E2" w14:textId="3CBCE13D" w:rsidR="00275A61" w:rsidRPr="00D41D25" w:rsidRDefault="008C6F4E" w:rsidP="0033476B">
      <w:pPr>
        <w:pStyle w:val="MDPI22heading2"/>
        <w:rPr>
          <w:rFonts w:eastAsiaTheme="minorEastAsia"/>
          <w:lang w:val="en-GB"/>
        </w:rPr>
      </w:pPr>
      <w:r w:rsidRPr="00D41D25">
        <w:rPr>
          <w:rFonts w:eastAsiaTheme="minorEastAsia"/>
          <w:lang w:val="en-GB"/>
        </w:rPr>
        <w:t xml:space="preserve">2.3. </w:t>
      </w:r>
      <w:r w:rsidR="00275A61" w:rsidRPr="00D41D25">
        <w:rPr>
          <w:rFonts w:eastAsiaTheme="minorEastAsia"/>
          <w:lang w:val="en-GB"/>
        </w:rPr>
        <w:t>Setting</w:t>
      </w:r>
      <w:r w:rsidR="00305C9E" w:rsidRPr="00D41D25">
        <w:rPr>
          <w:rFonts w:eastAsiaTheme="minorEastAsia"/>
          <w:lang w:val="en-GB"/>
        </w:rPr>
        <w:t xml:space="preserve"> and S</w:t>
      </w:r>
      <w:r w:rsidR="00275A61" w:rsidRPr="00D41D25">
        <w:rPr>
          <w:rFonts w:eastAsiaTheme="minorEastAsia"/>
          <w:lang w:val="en-GB"/>
        </w:rPr>
        <w:t>ample</w:t>
      </w:r>
    </w:p>
    <w:p w14:paraId="6BC0A227" w14:textId="31677C0E" w:rsidR="00575EA9" w:rsidRPr="00D41D25" w:rsidRDefault="007607CE" w:rsidP="00575EA9">
      <w:pPr>
        <w:pStyle w:val="MDPI31text"/>
        <w:rPr>
          <w:rFonts w:ascii="Georgia" w:eastAsiaTheme="minorEastAsia" w:hAnsi="Georgia" w:cs="Arial"/>
          <w:lang w:val="en-GB"/>
        </w:rPr>
      </w:pPr>
      <w:r w:rsidRPr="00D41D25">
        <w:rPr>
          <w:rFonts w:ascii="Georgia" w:eastAsiaTheme="minorEastAsia" w:hAnsi="Georgia" w:cs="Arial"/>
          <w:lang w:val="en-GB"/>
        </w:rPr>
        <w:t>Administrative medical work</w:t>
      </w:r>
      <w:r w:rsidR="00EC7116" w:rsidRPr="00D41D25">
        <w:rPr>
          <w:rFonts w:ascii="Georgia" w:eastAsiaTheme="minorEastAsia" w:hAnsi="Georgia" w:cs="Arial"/>
          <w:lang w:val="en-GB"/>
        </w:rPr>
        <w:t xml:space="preserve">places in </w:t>
      </w:r>
      <w:r w:rsidR="00575EA9" w:rsidRPr="00D41D25">
        <w:rPr>
          <w:rFonts w:ascii="Georgia" w:eastAsiaTheme="minorEastAsia" w:hAnsi="Georgia" w:cs="Arial"/>
          <w:lang w:val="en-GB"/>
        </w:rPr>
        <w:t>four hospitals were observed between 2017 and 20</w:t>
      </w:r>
      <w:r w:rsidR="00270AA5" w:rsidRPr="00D41D25">
        <w:rPr>
          <w:rFonts w:ascii="Georgia" w:eastAsiaTheme="minorEastAsia" w:hAnsi="Georgia" w:cs="Arial"/>
          <w:lang w:val="en-GB"/>
        </w:rPr>
        <w:t>21</w:t>
      </w:r>
      <w:r w:rsidR="000163C5" w:rsidRPr="00D41D25">
        <w:rPr>
          <w:rFonts w:ascii="Georgia" w:eastAsiaTheme="minorEastAsia" w:hAnsi="Georgia" w:cs="Arial"/>
          <w:lang w:val="en-GB"/>
        </w:rPr>
        <w:t>.</w:t>
      </w:r>
      <w:r w:rsidR="00575EA9" w:rsidRPr="00D41D25">
        <w:rPr>
          <w:rFonts w:ascii="Georgia" w:eastAsiaTheme="minorEastAsia" w:hAnsi="Georgia" w:cs="Arial"/>
          <w:lang w:val="en-GB"/>
        </w:rPr>
        <w:t xml:space="preserve"> </w:t>
      </w:r>
      <w:r w:rsidR="00752E27" w:rsidRPr="00D41D25">
        <w:rPr>
          <w:rFonts w:ascii="Georgia" w:eastAsiaTheme="minorEastAsia" w:hAnsi="Georgia" w:cs="Arial"/>
          <w:color w:val="auto"/>
          <w:lang w:val="en-GB"/>
        </w:rPr>
        <w:t>Information about each hospital project</w:t>
      </w:r>
      <w:r w:rsidR="006F07FA" w:rsidRPr="00D41D25">
        <w:rPr>
          <w:rFonts w:ascii="Georgia" w:eastAsiaTheme="minorEastAsia" w:hAnsi="Georgia" w:cs="Arial"/>
          <w:color w:val="auto"/>
          <w:lang w:val="en-GB"/>
        </w:rPr>
        <w:t>,</w:t>
      </w:r>
      <w:r w:rsidR="00752E27" w:rsidRPr="00D41D25">
        <w:rPr>
          <w:rFonts w:ascii="Georgia" w:eastAsiaTheme="minorEastAsia" w:hAnsi="Georgia" w:cs="Arial"/>
          <w:color w:val="auto"/>
          <w:lang w:val="en-GB"/>
        </w:rPr>
        <w:t xml:space="preserve"> such as project year, office concept, </w:t>
      </w:r>
      <w:r w:rsidR="006F07FA" w:rsidRPr="00D41D25">
        <w:rPr>
          <w:rFonts w:ascii="Georgia" w:eastAsiaTheme="minorEastAsia" w:hAnsi="Georgia" w:cs="Arial"/>
          <w:color w:val="auto"/>
          <w:lang w:val="en-GB"/>
        </w:rPr>
        <w:t xml:space="preserve">and </w:t>
      </w:r>
      <w:r w:rsidR="00752E27" w:rsidRPr="00D41D25">
        <w:rPr>
          <w:rFonts w:ascii="Georgia" w:eastAsiaTheme="minorEastAsia" w:hAnsi="Georgia" w:cs="Arial"/>
          <w:color w:val="auto"/>
          <w:lang w:val="en-GB"/>
        </w:rPr>
        <w:t>number of observed workstations</w:t>
      </w:r>
      <w:r w:rsidR="006F07FA" w:rsidRPr="00D41D25">
        <w:rPr>
          <w:rFonts w:ascii="Georgia" w:eastAsiaTheme="minorEastAsia" w:hAnsi="Georgia" w:cs="Arial"/>
          <w:color w:val="auto"/>
          <w:lang w:val="en-GB"/>
        </w:rPr>
        <w:t>,</w:t>
      </w:r>
      <w:r w:rsidR="00752E27" w:rsidRPr="00D41D25">
        <w:rPr>
          <w:rFonts w:ascii="Georgia" w:eastAsiaTheme="minorEastAsia" w:hAnsi="Georgia" w:cs="Arial"/>
          <w:color w:val="auto"/>
          <w:lang w:val="en-GB"/>
        </w:rPr>
        <w:t xml:space="preserve"> can be found in </w:t>
      </w:r>
      <w:r w:rsidR="006F07FA" w:rsidRPr="00D41D25">
        <w:rPr>
          <w:rFonts w:ascii="Georgia" w:eastAsiaTheme="minorEastAsia" w:hAnsi="Georgia" w:cs="Arial"/>
          <w:color w:val="auto"/>
          <w:lang w:val="en-GB"/>
        </w:rPr>
        <w:t>T</w:t>
      </w:r>
      <w:r w:rsidR="00752E27" w:rsidRPr="00D41D25">
        <w:rPr>
          <w:rFonts w:ascii="Georgia" w:eastAsiaTheme="minorEastAsia" w:hAnsi="Georgia" w:cs="Arial"/>
          <w:color w:val="auto"/>
          <w:lang w:val="en-GB"/>
        </w:rPr>
        <w:t xml:space="preserve">able 1. </w:t>
      </w:r>
      <w:r w:rsidR="003C22BD" w:rsidRPr="00D41D25">
        <w:rPr>
          <w:rFonts w:ascii="Georgia" w:eastAsiaTheme="minorEastAsia" w:hAnsi="Georgia" w:cs="Arial"/>
          <w:lang w:val="en-GB"/>
        </w:rPr>
        <w:t>T</w:t>
      </w:r>
      <w:r w:rsidR="00575EA9" w:rsidRPr="00D41D25">
        <w:rPr>
          <w:rFonts w:ascii="Georgia" w:eastAsiaTheme="minorEastAsia" w:hAnsi="Georgia" w:cs="Arial"/>
          <w:lang w:val="en-GB"/>
        </w:rPr>
        <w:t xml:space="preserve">hree </w:t>
      </w:r>
      <w:r w:rsidR="003C22BD" w:rsidRPr="00D41D25">
        <w:rPr>
          <w:rFonts w:ascii="Georgia" w:eastAsiaTheme="minorEastAsia" w:hAnsi="Georgia" w:cs="Arial"/>
          <w:lang w:val="en-GB"/>
        </w:rPr>
        <w:t>hospitals used</w:t>
      </w:r>
      <w:r w:rsidR="00575EA9" w:rsidRPr="00D41D25">
        <w:rPr>
          <w:rFonts w:ascii="Georgia" w:eastAsiaTheme="minorEastAsia" w:hAnsi="Georgia" w:cs="Arial"/>
          <w:lang w:val="en-GB"/>
        </w:rPr>
        <w:t xml:space="preserve"> a traditional office concept</w:t>
      </w:r>
      <w:r w:rsidR="006F07FA" w:rsidRPr="00D41D25">
        <w:rPr>
          <w:rFonts w:ascii="Georgia" w:eastAsiaTheme="minorEastAsia" w:hAnsi="Georgia" w:cs="Arial"/>
          <w:lang w:val="en-GB"/>
        </w:rPr>
        <w:t>,</w:t>
      </w:r>
      <w:r w:rsidR="00575EA9" w:rsidRPr="00D41D25">
        <w:rPr>
          <w:rFonts w:ascii="Georgia" w:eastAsiaTheme="minorEastAsia" w:hAnsi="Georgia" w:cs="Arial"/>
          <w:lang w:val="en-GB"/>
        </w:rPr>
        <w:t xml:space="preserve"> and </w:t>
      </w:r>
      <w:r w:rsidR="003C22BD" w:rsidRPr="00D41D25">
        <w:rPr>
          <w:rFonts w:ascii="Georgia" w:eastAsiaTheme="minorEastAsia" w:hAnsi="Georgia" w:cs="Arial"/>
          <w:lang w:val="en-GB"/>
        </w:rPr>
        <w:t xml:space="preserve">one hospital </w:t>
      </w:r>
      <w:r w:rsidR="00F97969" w:rsidRPr="00D41D25">
        <w:rPr>
          <w:rFonts w:ascii="Georgia" w:eastAsiaTheme="minorEastAsia" w:hAnsi="Georgia" w:cs="Arial"/>
          <w:lang w:val="en-GB"/>
        </w:rPr>
        <w:t>implemented a</w:t>
      </w:r>
      <w:r w:rsidR="00575EA9" w:rsidRPr="00D41D25">
        <w:rPr>
          <w:rFonts w:ascii="Georgia" w:eastAsiaTheme="minorEastAsia" w:hAnsi="Georgia" w:cs="Arial"/>
          <w:lang w:val="en-GB"/>
        </w:rPr>
        <w:t xml:space="preserve">n activity-based working </w:t>
      </w:r>
      <w:r w:rsidR="00F97969" w:rsidRPr="00D41D25">
        <w:rPr>
          <w:rFonts w:ascii="Georgia" w:eastAsiaTheme="minorEastAsia" w:hAnsi="Georgia" w:cs="Arial"/>
          <w:lang w:val="en-GB"/>
        </w:rPr>
        <w:t xml:space="preserve">office </w:t>
      </w:r>
      <w:r w:rsidR="00575EA9" w:rsidRPr="00D41D25">
        <w:rPr>
          <w:rFonts w:ascii="Georgia" w:eastAsiaTheme="minorEastAsia" w:hAnsi="Georgia" w:cs="Arial"/>
          <w:lang w:val="en-GB"/>
        </w:rPr>
        <w:t xml:space="preserve">concept </w:t>
      </w:r>
      <w:r w:rsidR="00733BD6" w:rsidRPr="00D41D25">
        <w:rPr>
          <w:rFonts w:ascii="Georgia" w:eastAsiaTheme="minorEastAsia" w:hAnsi="Georgia" w:cs="Arial"/>
          <w:lang w:val="en-GB"/>
        </w:rPr>
        <w:t>as</w:t>
      </w:r>
      <w:r w:rsidR="00575EA9" w:rsidRPr="00D41D25">
        <w:rPr>
          <w:rFonts w:ascii="Georgia" w:eastAsiaTheme="minorEastAsia" w:hAnsi="Georgia" w:cs="Arial"/>
          <w:lang w:val="en-GB"/>
        </w:rPr>
        <w:t xml:space="preserve"> a pilot. The traditional concepts included single and group offices, which were used with a fixed allocation as a single (one person, one desk) or shared workplace (several people, one desk). Often</w:t>
      </w:r>
      <w:r w:rsidR="007953B9">
        <w:rPr>
          <w:rFonts w:ascii="Georgia" w:eastAsiaTheme="minorEastAsia" w:hAnsi="Georgia" w:cs="Arial"/>
          <w:lang w:val="en-GB"/>
        </w:rPr>
        <w:t>,</w:t>
      </w:r>
      <w:r w:rsidR="00575EA9" w:rsidRPr="00D41D25">
        <w:rPr>
          <w:rFonts w:ascii="Georgia" w:eastAsiaTheme="minorEastAsia" w:hAnsi="Georgia" w:cs="Arial"/>
          <w:lang w:val="en-GB"/>
        </w:rPr>
        <w:t xml:space="preserve"> several </w:t>
      </w:r>
      <w:r w:rsidR="00EF4739" w:rsidRPr="00D41D25">
        <w:rPr>
          <w:rFonts w:ascii="Georgia" w:eastAsiaTheme="minorEastAsia" w:hAnsi="Georgia" w:cs="Arial"/>
          <w:lang w:val="en-GB"/>
        </w:rPr>
        <w:t>employees</w:t>
      </w:r>
      <w:r w:rsidR="00575EA9" w:rsidRPr="00D41D25">
        <w:rPr>
          <w:rFonts w:ascii="Georgia" w:eastAsiaTheme="minorEastAsia" w:hAnsi="Georgia" w:cs="Arial"/>
          <w:lang w:val="en-GB"/>
        </w:rPr>
        <w:t xml:space="preserve"> shar</w:t>
      </w:r>
      <w:r w:rsidR="00EF4739" w:rsidRPr="00D41D25">
        <w:rPr>
          <w:rFonts w:ascii="Georgia" w:eastAsiaTheme="minorEastAsia" w:hAnsi="Georgia" w:cs="Arial"/>
          <w:lang w:val="en-GB"/>
        </w:rPr>
        <w:t>ed</w:t>
      </w:r>
      <w:r w:rsidR="00575EA9" w:rsidRPr="00D41D25">
        <w:rPr>
          <w:rFonts w:ascii="Georgia" w:eastAsiaTheme="minorEastAsia" w:hAnsi="Georgia" w:cs="Arial"/>
          <w:lang w:val="en-GB"/>
        </w:rPr>
        <w:t xml:space="preserve"> a workstation. Higher management levels usually ha</w:t>
      </w:r>
      <w:r w:rsidR="00E44A58" w:rsidRPr="00D41D25">
        <w:rPr>
          <w:rFonts w:ascii="Georgia" w:eastAsiaTheme="minorEastAsia" w:hAnsi="Georgia" w:cs="Arial"/>
          <w:lang w:val="en-GB"/>
        </w:rPr>
        <w:t>d</w:t>
      </w:r>
      <w:r w:rsidR="00575EA9" w:rsidRPr="00D41D25">
        <w:rPr>
          <w:rFonts w:ascii="Georgia" w:eastAsiaTheme="minorEastAsia" w:hAnsi="Georgia" w:cs="Arial"/>
          <w:lang w:val="en-GB"/>
        </w:rPr>
        <w:t xml:space="preserve"> their own workstation</w:t>
      </w:r>
      <w:r w:rsidR="00B93418" w:rsidRPr="00D41D25">
        <w:rPr>
          <w:rFonts w:ascii="Georgia" w:eastAsiaTheme="minorEastAsia" w:hAnsi="Georgia" w:cs="Arial"/>
          <w:lang w:val="en-GB"/>
        </w:rPr>
        <w:t xml:space="preserve"> or office room</w:t>
      </w:r>
      <w:r w:rsidR="00575EA9" w:rsidRPr="00D41D25">
        <w:rPr>
          <w:rFonts w:ascii="Georgia" w:eastAsiaTheme="minorEastAsia" w:hAnsi="Georgia" w:cs="Arial"/>
          <w:lang w:val="en-GB"/>
        </w:rPr>
        <w:t xml:space="preserve">. </w:t>
      </w:r>
    </w:p>
    <w:p w14:paraId="5819ACE6" w14:textId="3A7C8A96" w:rsidR="00575EA9" w:rsidRPr="00D41D25" w:rsidRDefault="00575EA9" w:rsidP="00575EA9">
      <w:pPr>
        <w:pStyle w:val="MDPI31text"/>
        <w:rPr>
          <w:rFonts w:ascii="Georgia" w:eastAsiaTheme="minorEastAsia" w:hAnsi="Georgia" w:cs="Arial"/>
          <w:lang w:val="en-GB"/>
        </w:rPr>
      </w:pPr>
      <w:r w:rsidRPr="00D41D25">
        <w:rPr>
          <w:rFonts w:ascii="Georgia" w:eastAsiaTheme="minorEastAsia" w:hAnsi="Georgia" w:cs="Arial"/>
          <w:lang w:val="en-GB"/>
        </w:rPr>
        <w:t>All workplaces observed were used only for administrative work and internal communication.</w:t>
      </w:r>
      <w:r w:rsidR="00B93418" w:rsidRPr="00D41D25">
        <w:rPr>
          <w:rFonts w:ascii="Georgia" w:eastAsiaTheme="minorEastAsia" w:hAnsi="Georgia" w:cs="Arial"/>
          <w:lang w:val="en-GB"/>
        </w:rPr>
        <w:t xml:space="preserve"> No p</w:t>
      </w:r>
      <w:r w:rsidRPr="00D41D25">
        <w:rPr>
          <w:rFonts w:ascii="Georgia" w:eastAsiaTheme="minorEastAsia" w:hAnsi="Georgia" w:cs="Arial"/>
          <w:lang w:val="en-GB"/>
        </w:rPr>
        <w:t xml:space="preserve">atient contact or treatment </w:t>
      </w:r>
      <w:r w:rsidR="00543354" w:rsidRPr="00D41D25">
        <w:rPr>
          <w:rFonts w:ascii="Georgia" w:eastAsiaTheme="minorEastAsia" w:hAnsi="Georgia" w:cs="Arial"/>
          <w:lang w:val="en-GB"/>
        </w:rPr>
        <w:t>occurred</w:t>
      </w:r>
      <w:r w:rsidRPr="00D41D25">
        <w:rPr>
          <w:rFonts w:ascii="Georgia" w:eastAsiaTheme="minorEastAsia" w:hAnsi="Georgia" w:cs="Arial"/>
          <w:lang w:val="en-GB"/>
        </w:rPr>
        <w:t xml:space="preserve"> in these rooms.</w:t>
      </w:r>
    </w:p>
    <w:p w14:paraId="5D0AE0E4" w14:textId="77777777" w:rsidR="00575EA9" w:rsidRPr="00D41D25" w:rsidRDefault="00575EA9" w:rsidP="00411C8E">
      <w:pPr>
        <w:pStyle w:val="MDPI31text"/>
        <w:rPr>
          <w:rFonts w:ascii="Georgia" w:eastAsiaTheme="minorEastAsia" w:hAnsi="Georgia" w:cs="Arial"/>
          <w:lang w:val="en-GB"/>
        </w:rPr>
      </w:pPr>
    </w:p>
    <w:p w14:paraId="5CE01AC9" w14:textId="6A0EE140" w:rsidR="001C3354" w:rsidRPr="00D41D25" w:rsidRDefault="001C3354" w:rsidP="0033476B">
      <w:pPr>
        <w:pStyle w:val="MDPI41tablecaption"/>
        <w:rPr>
          <w:rFonts w:eastAsiaTheme="minorEastAsia"/>
          <w:lang w:val="en-GB"/>
        </w:rPr>
      </w:pPr>
      <w:bookmarkStart w:id="0" w:name="_Ref98941897"/>
      <w:bookmarkStart w:id="1" w:name="_Ref98941886"/>
      <w:r w:rsidRPr="00D41D25">
        <w:rPr>
          <w:rFonts w:eastAsiaTheme="minorEastAsia"/>
          <w:lang w:val="en-GB"/>
        </w:rPr>
        <w:t xml:space="preserve">Table </w:t>
      </w:r>
      <w:r w:rsidRPr="00D41D25">
        <w:rPr>
          <w:rFonts w:eastAsiaTheme="minorEastAsia"/>
          <w:i/>
          <w:iCs/>
          <w:lang w:val="en-GB"/>
        </w:rPr>
        <w:fldChar w:fldCharType="begin"/>
      </w:r>
      <w:r w:rsidRPr="00D41D25">
        <w:rPr>
          <w:rFonts w:eastAsiaTheme="minorEastAsia"/>
          <w:lang w:val="en-GB"/>
        </w:rPr>
        <w:instrText xml:space="preserve"> SEQ Table \* ARABIC </w:instrText>
      </w:r>
      <w:r w:rsidRPr="00D41D25">
        <w:rPr>
          <w:rFonts w:eastAsiaTheme="minorEastAsia"/>
          <w:i/>
          <w:iCs/>
          <w:lang w:val="en-GB"/>
        </w:rPr>
        <w:fldChar w:fldCharType="separate"/>
      </w:r>
      <w:r w:rsidR="00577F37">
        <w:rPr>
          <w:rFonts w:eastAsiaTheme="minorEastAsia"/>
          <w:lang w:val="en-GB"/>
        </w:rPr>
        <w:t>1</w:t>
      </w:r>
      <w:r w:rsidRPr="00D41D25">
        <w:rPr>
          <w:rFonts w:eastAsiaTheme="minorEastAsia"/>
          <w:i/>
          <w:iCs/>
          <w:lang w:val="en-GB"/>
        </w:rPr>
        <w:fldChar w:fldCharType="end"/>
      </w:r>
      <w:bookmarkEnd w:id="0"/>
      <w:r w:rsidRPr="00D41D25">
        <w:rPr>
          <w:rFonts w:eastAsiaTheme="minorEastAsia"/>
          <w:lang w:val="en-GB"/>
        </w:rPr>
        <w:t>: Overview of hospital projects</w:t>
      </w:r>
      <w:bookmarkEnd w:id="1"/>
    </w:p>
    <w:tbl>
      <w:tblPr>
        <w:tblStyle w:val="MDPI41threelinetable"/>
        <w:tblW w:w="7859" w:type="dxa"/>
        <w:jc w:val="left"/>
        <w:tblInd w:w="2620" w:type="dxa"/>
        <w:tblLook w:val="0420" w:firstRow="1" w:lastRow="0" w:firstColumn="0" w:lastColumn="0" w:noHBand="0" w:noVBand="1"/>
      </w:tblPr>
      <w:tblGrid>
        <w:gridCol w:w="927"/>
        <w:gridCol w:w="1688"/>
        <w:gridCol w:w="1311"/>
        <w:gridCol w:w="1311"/>
        <w:gridCol w:w="1311"/>
        <w:gridCol w:w="1311"/>
      </w:tblGrid>
      <w:tr w:rsidR="001C3354" w:rsidRPr="00D41D25" w14:paraId="1833929E" w14:textId="77777777" w:rsidTr="00DC7926">
        <w:trPr>
          <w:cnfStyle w:val="100000000000" w:firstRow="1" w:lastRow="0" w:firstColumn="0" w:lastColumn="0" w:oddVBand="0" w:evenVBand="0" w:oddHBand="0" w:evenHBand="0" w:firstRowFirstColumn="0" w:firstRowLastColumn="0" w:lastRowFirstColumn="0" w:lastRowLastColumn="0"/>
          <w:trHeight w:val="266"/>
          <w:jc w:val="left"/>
        </w:trPr>
        <w:tc>
          <w:tcPr>
            <w:tcW w:w="590" w:type="pct"/>
            <w:hideMark/>
          </w:tcPr>
          <w:p w14:paraId="1C706E4F" w14:textId="77777777" w:rsidR="001C3354" w:rsidRPr="00D41D25" w:rsidRDefault="001C3354" w:rsidP="00DC7926">
            <w:pPr>
              <w:pStyle w:val="MDPI42tablebody"/>
              <w:spacing w:line="240" w:lineRule="auto"/>
              <w:rPr>
                <w:rFonts w:eastAsiaTheme="minorEastAsia" w:cs="Arial"/>
                <w:bCs/>
                <w:snapToGrid/>
              </w:rPr>
            </w:pPr>
            <w:r w:rsidRPr="00D41D25">
              <w:rPr>
                <w:rFonts w:eastAsiaTheme="minorEastAsia" w:cs="Arial"/>
                <w:bCs/>
                <w:snapToGrid/>
              </w:rPr>
              <w:t>Project-name and year</w:t>
            </w:r>
          </w:p>
        </w:tc>
        <w:tc>
          <w:tcPr>
            <w:tcW w:w="1074" w:type="pct"/>
            <w:hideMark/>
          </w:tcPr>
          <w:p w14:paraId="204485A6" w14:textId="77777777" w:rsidR="001C3354" w:rsidRPr="00D41D25" w:rsidRDefault="001C3354" w:rsidP="00DC7926">
            <w:pPr>
              <w:spacing w:line="240" w:lineRule="auto"/>
              <w:jc w:val="center"/>
              <w:rPr>
                <w:rFonts w:ascii="Georgia" w:eastAsia="Times New Roman" w:hAnsi="Georgia" w:cs="Arial"/>
                <w:bCs/>
                <w:noProof w:val="0"/>
                <w:color w:val="auto"/>
                <w:lang w:val="en-GB" w:eastAsia="en-US"/>
              </w:rPr>
            </w:pPr>
            <w:r w:rsidRPr="00D41D25">
              <w:rPr>
                <w:rFonts w:ascii="Georgia" w:eastAsia="Times New Roman" w:hAnsi="Georgia" w:cs="Arial"/>
                <w:bCs/>
                <w:noProof w:val="0"/>
                <w:color w:val="auto"/>
                <w:kern w:val="24"/>
                <w:lang w:val="en-GB" w:eastAsia="en-US"/>
              </w:rPr>
              <w:t>Hospital information</w:t>
            </w:r>
          </w:p>
        </w:tc>
        <w:tc>
          <w:tcPr>
            <w:tcW w:w="834" w:type="pct"/>
            <w:hideMark/>
          </w:tcPr>
          <w:p w14:paraId="7FC7E693" w14:textId="77777777" w:rsidR="001C3354" w:rsidRPr="00D41D25" w:rsidRDefault="001C3354" w:rsidP="00DC7926">
            <w:pPr>
              <w:spacing w:line="240" w:lineRule="auto"/>
              <w:jc w:val="center"/>
              <w:rPr>
                <w:rFonts w:ascii="Georgia" w:eastAsia="Times New Roman" w:hAnsi="Georgia" w:cs="Arial"/>
                <w:bCs/>
                <w:noProof w:val="0"/>
                <w:color w:val="auto"/>
                <w:lang w:val="en-GB" w:eastAsia="en-US"/>
              </w:rPr>
            </w:pPr>
            <w:r w:rsidRPr="00D41D25">
              <w:rPr>
                <w:rFonts w:ascii="Georgia" w:eastAsia="Times New Roman" w:hAnsi="Georgia" w:cs="Arial"/>
                <w:bCs/>
                <w:noProof w:val="0"/>
                <w:color w:val="auto"/>
                <w:kern w:val="24"/>
                <w:lang w:val="en-GB" w:eastAsia="en-US"/>
              </w:rPr>
              <w:t>Office concept</w:t>
            </w:r>
          </w:p>
        </w:tc>
        <w:tc>
          <w:tcPr>
            <w:tcW w:w="834" w:type="pct"/>
            <w:hideMark/>
          </w:tcPr>
          <w:p w14:paraId="32E59B3A" w14:textId="77777777" w:rsidR="001C3354" w:rsidRPr="00D41D25" w:rsidRDefault="001C3354" w:rsidP="00DC7926">
            <w:pPr>
              <w:spacing w:line="240" w:lineRule="auto"/>
              <w:jc w:val="center"/>
              <w:rPr>
                <w:rFonts w:ascii="Georgia" w:eastAsia="Times New Roman" w:hAnsi="Georgia" w:cs="Arial"/>
                <w:bCs/>
                <w:noProof w:val="0"/>
                <w:color w:val="auto"/>
                <w:lang w:val="en-GB" w:eastAsia="en-US"/>
              </w:rPr>
            </w:pPr>
            <w:r w:rsidRPr="00D41D25">
              <w:rPr>
                <w:rFonts w:ascii="Georgia" w:eastAsia="Times New Roman" w:hAnsi="Georgia" w:cs="Arial"/>
                <w:bCs/>
                <w:noProof w:val="0"/>
                <w:color w:val="auto"/>
                <w:kern w:val="24"/>
                <w:lang w:val="en-GB" w:eastAsia="en-US"/>
              </w:rPr>
              <w:t>Number of WS «Physicians»</w:t>
            </w:r>
          </w:p>
        </w:tc>
        <w:tc>
          <w:tcPr>
            <w:tcW w:w="834" w:type="pct"/>
            <w:hideMark/>
          </w:tcPr>
          <w:p w14:paraId="2D80C36F" w14:textId="57E44EFB" w:rsidR="001C3354" w:rsidRPr="00D41D25" w:rsidRDefault="001C3354" w:rsidP="00DC7926">
            <w:pPr>
              <w:spacing w:line="240" w:lineRule="auto"/>
              <w:jc w:val="center"/>
              <w:rPr>
                <w:rFonts w:ascii="Georgia" w:eastAsia="Times New Roman" w:hAnsi="Georgia" w:cs="Arial"/>
                <w:bCs/>
                <w:noProof w:val="0"/>
                <w:color w:val="auto"/>
                <w:lang w:val="en-GB" w:eastAsia="en-US"/>
              </w:rPr>
            </w:pPr>
            <w:r w:rsidRPr="00D41D25">
              <w:rPr>
                <w:rFonts w:ascii="Georgia" w:eastAsia="Times New Roman" w:hAnsi="Georgia" w:cs="Arial"/>
                <w:bCs/>
                <w:noProof w:val="0"/>
                <w:color w:val="auto"/>
                <w:kern w:val="24"/>
                <w:lang w:val="en-GB" w:eastAsia="en-US"/>
              </w:rPr>
              <w:t>Number of WS «Nursing staff/ Therapists »</w:t>
            </w:r>
          </w:p>
        </w:tc>
        <w:tc>
          <w:tcPr>
            <w:tcW w:w="834" w:type="pct"/>
            <w:hideMark/>
          </w:tcPr>
          <w:p w14:paraId="3FD6381D" w14:textId="6CB6E140" w:rsidR="001C3354" w:rsidRPr="00D41D25" w:rsidRDefault="001C3354" w:rsidP="00DC7926">
            <w:pPr>
              <w:spacing w:line="240" w:lineRule="auto"/>
              <w:jc w:val="center"/>
              <w:rPr>
                <w:rFonts w:ascii="Georgia" w:eastAsia="Times New Roman" w:hAnsi="Georgia" w:cs="Arial"/>
                <w:bCs/>
                <w:noProof w:val="0"/>
                <w:color w:val="auto"/>
                <w:lang w:val="en-GB" w:eastAsia="en-US"/>
              </w:rPr>
            </w:pPr>
            <w:r w:rsidRPr="00D41D25">
              <w:rPr>
                <w:rFonts w:ascii="Georgia" w:eastAsia="Times New Roman" w:hAnsi="Georgia" w:cs="Arial"/>
                <w:bCs/>
                <w:noProof w:val="0"/>
                <w:color w:val="auto"/>
                <w:kern w:val="24"/>
                <w:lang w:val="en-GB" w:eastAsia="en-US"/>
              </w:rPr>
              <w:t>Number of WS «</w:t>
            </w:r>
            <w:r w:rsidR="00044883" w:rsidRPr="00D41D25">
              <w:rPr>
                <w:rFonts w:ascii="Georgia" w:eastAsia="Times New Roman" w:hAnsi="Georgia" w:cs="Arial"/>
                <w:bCs/>
                <w:noProof w:val="0"/>
                <w:color w:val="auto"/>
                <w:kern w:val="24"/>
                <w:lang w:val="en-GB" w:eastAsia="en-US"/>
              </w:rPr>
              <w:t>management</w:t>
            </w:r>
            <w:r w:rsidRPr="00D41D25">
              <w:rPr>
                <w:rFonts w:ascii="Georgia" w:eastAsia="Times New Roman" w:hAnsi="Georgia" w:cs="Arial"/>
                <w:bCs/>
                <w:noProof w:val="0"/>
                <w:color w:val="auto"/>
                <w:kern w:val="24"/>
                <w:lang w:val="en-GB" w:eastAsia="en-US"/>
              </w:rPr>
              <w:t>/administration staff»</w:t>
            </w:r>
          </w:p>
        </w:tc>
      </w:tr>
      <w:tr w:rsidR="001C3354" w:rsidRPr="00D41D25" w14:paraId="57306AE3" w14:textId="77777777" w:rsidTr="00DC7926">
        <w:trPr>
          <w:trHeight w:val="266"/>
          <w:jc w:val="left"/>
        </w:trPr>
        <w:tc>
          <w:tcPr>
            <w:tcW w:w="590" w:type="pct"/>
            <w:hideMark/>
          </w:tcPr>
          <w:p w14:paraId="0D8C8853" w14:textId="5649503F" w:rsidR="001C3354" w:rsidRPr="00D41D25" w:rsidRDefault="00A7125E" w:rsidP="00DC7926">
            <w:pPr>
              <w:pStyle w:val="MDPI42tablebody"/>
              <w:spacing w:line="240" w:lineRule="auto"/>
              <w:rPr>
                <w:rFonts w:eastAsiaTheme="minorEastAsia" w:cs="Arial"/>
                <w:snapToGrid/>
              </w:rPr>
            </w:pPr>
            <w:r w:rsidRPr="00D41D25">
              <w:rPr>
                <w:rFonts w:eastAsiaTheme="minorEastAsia" w:cs="Arial"/>
                <w:snapToGrid/>
              </w:rPr>
              <w:t>H1,</w:t>
            </w:r>
            <w:r w:rsidR="00745FF2" w:rsidRPr="00D41D25">
              <w:rPr>
                <w:rFonts w:eastAsiaTheme="minorEastAsia" w:cs="Arial"/>
                <w:snapToGrid/>
              </w:rPr>
              <w:t xml:space="preserve"> Department A</w:t>
            </w:r>
            <w:r w:rsidRPr="00D41D25">
              <w:rPr>
                <w:rFonts w:eastAsiaTheme="minorEastAsia" w:cs="Arial"/>
                <w:snapToGrid/>
              </w:rPr>
              <w:t xml:space="preserve"> </w:t>
            </w:r>
            <w:r w:rsidR="001C3354" w:rsidRPr="00D41D25">
              <w:rPr>
                <w:rFonts w:eastAsiaTheme="minorEastAsia" w:cs="Arial"/>
                <w:snapToGrid/>
              </w:rPr>
              <w:t>2017</w:t>
            </w:r>
          </w:p>
        </w:tc>
        <w:tc>
          <w:tcPr>
            <w:tcW w:w="1074" w:type="pct"/>
            <w:hideMark/>
          </w:tcPr>
          <w:p w14:paraId="78BE8BEE" w14:textId="0161EBB8" w:rsidR="001C3354" w:rsidRPr="00D41D25" w:rsidRDefault="001C3354" w:rsidP="00DC7926">
            <w:pPr>
              <w:spacing w:line="240" w:lineRule="auto"/>
              <w:jc w:val="center"/>
              <w:rPr>
                <w:rFonts w:ascii="Georgia" w:eastAsia="Times New Roman" w:hAnsi="Georgia" w:cs="Arial"/>
                <w:noProof w:val="0"/>
                <w:color w:val="000000" w:themeColor="dark1"/>
                <w:kern w:val="24"/>
                <w:lang w:val="en-GB" w:eastAsia="en-US"/>
              </w:rPr>
            </w:pPr>
            <w:r w:rsidRPr="00D41D25">
              <w:rPr>
                <w:rFonts w:ascii="Georgia" w:eastAsia="Times New Roman" w:hAnsi="Georgia" w:cs="Arial"/>
                <w:noProof w:val="0"/>
                <w:color w:val="000000" w:themeColor="dark1"/>
                <w:kern w:val="24"/>
                <w:lang w:val="en-GB" w:eastAsia="en-US"/>
              </w:rPr>
              <w:t>University hospital</w:t>
            </w:r>
            <w:r w:rsidR="00384DD0" w:rsidRPr="00D41D25">
              <w:rPr>
                <w:rFonts w:ascii="Georgia" w:eastAsia="Times New Roman" w:hAnsi="Georgia" w:cs="Arial"/>
                <w:noProof w:val="0"/>
                <w:color w:val="000000" w:themeColor="dark1"/>
                <w:kern w:val="24"/>
                <w:lang w:val="en-GB" w:eastAsia="en-US"/>
              </w:rPr>
              <w:t xml:space="preserve"> A</w:t>
            </w:r>
            <w:r w:rsidRPr="00D41D25">
              <w:rPr>
                <w:rFonts w:ascii="Georgia" w:eastAsia="Times New Roman" w:hAnsi="Georgia" w:cs="Arial"/>
                <w:noProof w:val="0"/>
                <w:color w:val="000000" w:themeColor="dark1"/>
                <w:kern w:val="24"/>
                <w:lang w:val="en-GB" w:eastAsia="en-US"/>
              </w:rPr>
              <w:t>, approx. 900 beds, approx. 8,500 employees</w:t>
            </w:r>
          </w:p>
          <w:p w14:paraId="249CA360" w14:textId="77777777" w:rsidR="00DC7926" w:rsidRPr="00D41D25" w:rsidRDefault="00DC7926" w:rsidP="00DC7926">
            <w:pPr>
              <w:spacing w:line="240" w:lineRule="auto"/>
              <w:jc w:val="center"/>
              <w:rPr>
                <w:rFonts w:ascii="Georgia" w:eastAsia="Times New Roman" w:hAnsi="Georgia" w:cs="Arial"/>
                <w:noProof w:val="0"/>
                <w:color w:val="000000" w:themeColor="dark1"/>
                <w:kern w:val="24"/>
                <w:lang w:val="en-GB" w:eastAsia="en-US"/>
              </w:rPr>
            </w:pPr>
          </w:p>
          <w:p w14:paraId="63569238" w14:textId="3F2E92B2" w:rsidR="00CC4232" w:rsidRPr="00D41D25" w:rsidRDefault="00CC4232" w:rsidP="00DC7926">
            <w:pPr>
              <w:spacing w:line="240" w:lineRule="auto"/>
              <w:jc w:val="center"/>
              <w:rPr>
                <w:rFonts w:ascii="Georgia" w:eastAsia="Times New Roman" w:hAnsi="Georgia" w:cs="Arial"/>
                <w:noProof w:val="0"/>
                <w:color w:val="auto"/>
                <w:lang w:val="en-GB" w:eastAsia="en-US"/>
              </w:rPr>
            </w:pPr>
          </w:p>
        </w:tc>
        <w:tc>
          <w:tcPr>
            <w:tcW w:w="834" w:type="pct"/>
            <w:hideMark/>
          </w:tcPr>
          <w:p w14:paraId="0B3465C8" w14:textId="77777777" w:rsidR="001C3354" w:rsidRPr="00D41D25" w:rsidRDefault="001C3354" w:rsidP="00DC7926">
            <w:pPr>
              <w:spacing w:line="240" w:lineRule="auto"/>
              <w:jc w:val="center"/>
              <w:rPr>
                <w:rFonts w:ascii="Georgia" w:eastAsia="Times New Roman" w:hAnsi="Georgia" w:cs="Arial"/>
                <w:noProof w:val="0"/>
                <w:color w:val="auto"/>
                <w:lang w:val="en-GB" w:eastAsia="en-US"/>
              </w:rPr>
            </w:pPr>
            <w:r w:rsidRPr="00D41D25">
              <w:rPr>
                <w:rFonts w:ascii="Georgia" w:eastAsia="Times New Roman" w:hAnsi="Georgia" w:cs="Arial"/>
                <w:noProof w:val="0"/>
                <w:color w:val="000000" w:themeColor="dark1"/>
                <w:kern w:val="24"/>
                <w:lang w:val="en-GB" w:eastAsia="en-US"/>
              </w:rPr>
              <w:t>Cell offices and group offices</w:t>
            </w:r>
          </w:p>
        </w:tc>
        <w:tc>
          <w:tcPr>
            <w:tcW w:w="834" w:type="pct"/>
            <w:hideMark/>
          </w:tcPr>
          <w:p w14:paraId="27E24F97" w14:textId="77816D40" w:rsidR="001C3354" w:rsidRPr="00D41D25" w:rsidRDefault="001C3354" w:rsidP="00DC7926">
            <w:pPr>
              <w:spacing w:line="240" w:lineRule="auto"/>
              <w:jc w:val="center"/>
              <w:rPr>
                <w:rFonts w:ascii="Georgia" w:eastAsia="Times New Roman" w:hAnsi="Georgia" w:cs="Arial"/>
                <w:noProof w:val="0"/>
                <w:color w:val="auto"/>
                <w:lang w:val="en-GB" w:eastAsia="en-US"/>
              </w:rPr>
            </w:pPr>
            <w:r w:rsidRPr="00D41D25">
              <w:rPr>
                <w:rFonts w:ascii="Georgia" w:eastAsiaTheme="minorEastAsia" w:hAnsi="Georgia" w:cstheme="minorBidi"/>
                <w:noProof w:val="0"/>
                <w:color w:val="000000" w:themeColor="dark1"/>
                <w:kern w:val="24"/>
                <w:lang w:val="en-GB" w:eastAsia="en-US"/>
              </w:rPr>
              <w:t>112</w:t>
            </w:r>
          </w:p>
        </w:tc>
        <w:tc>
          <w:tcPr>
            <w:tcW w:w="834" w:type="pct"/>
            <w:hideMark/>
          </w:tcPr>
          <w:p w14:paraId="0E9A74D3" w14:textId="6B31A46B" w:rsidR="001C3354" w:rsidRPr="00D41D25" w:rsidRDefault="001C3354" w:rsidP="00DC7926">
            <w:pPr>
              <w:spacing w:line="240" w:lineRule="auto"/>
              <w:jc w:val="center"/>
              <w:rPr>
                <w:rFonts w:ascii="Georgia" w:eastAsia="Times New Roman" w:hAnsi="Georgia" w:cs="Arial"/>
                <w:noProof w:val="0"/>
                <w:color w:val="auto"/>
                <w:lang w:val="en-GB" w:eastAsia="en-US"/>
              </w:rPr>
            </w:pPr>
            <w:r w:rsidRPr="00D41D25">
              <w:rPr>
                <w:rFonts w:ascii="Georgia" w:eastAsiaTheme="minorEastAsia" w:hAnsi="Georgia" w:cstheme="minorBidi"/>
                <w:noProof w:val="0"/>
                <w:color w:val="000000" w:themeColor="dark1"/>
                <w:kern w:val="24"/>
                <w:lang w:val="en-GB" w:eastAsia="en-US"/>
              </w:rPr>
              <w:t>132</w:t>
            </w:r>
          </w:p>
        </w:tc>
        <w:tc>
          <w:tcPr>
            <w:tcW w:w="834" w:type="pct"/>
            <w:hideMark/>
          </w:tcPr>
          <w:p w14:paraId="1C03C1D9" w14:textId="73ADBCD1" w:rsidR="001C3354" w:rsidRPr="00D41D25" w:rsidRDefault="001C3354" w:rsidP="00DC7926">
            <w:pPr>
              <w:spacing w:line="240" w:lineRule="auto"/>
              <w:jc w:val="center"/>
              <w:rPr>
                <w:rFonts w:ascii="Georgia" w:eastAsia="Times New Roman" w:hAnsi="Georgia" w:cs="Arial"/>
                <w:noProof w:val="0"/>
                <w:color w:val="auto"/>
                <w:lang w:val="en-GB" w:eastAsia="en-US"/>
              </w:rPr>
            </w:pPr>
            <w:r w:rsidRPr="00D41D25">
              <w:rPr>
                <w:rFonts w:ascii="Georgia" w:eastAsiaTheme="minorEastAsia" w:hAnsi="Georgia" w:cstheme="minorBidi"/>
                <w:noProof w:val="0"/>
                <w:color w:val="000000" w:themeColor="dark1"/>
                <w:kern w:val="24"/>
                <w:lang w:val="en-GB" w:eastAsia="en-US"/>
              </w:rPr>
              <w:t>62</w:t>
            </w:r>
          </w:p>
        </w:tc>
      </w:tr>
      <w:tr w:rsidR="001C3354" w:rsidRPr="00D41D25" w14:paraId="73F1676A" w14:textId="77777777" w:rsidTr="00DC7926">
        <w:trPr>
          <w:trHeight w:val="266"/>
          <w:jc w:val="left"/>
        </w:trPr>
        <w:tc>
          <w:tcPr>
            <w:tcW w:w="590" w:type="pct"/>
            <w:hideMark/>
          </w:tcPr>
          <w:p w14:paraId="7781641F" w14:textId="5F0B0443" w:rsidR="001C3354" w:rsidRPr="00D41D25" w:rsidRDefault="00A7125E" w:rsidP="00DC7926">
            <w:pPr>
              <w:pStyle w:val="MDPI42tablebody"/>
              <w:spacing w:line="240" w:lineRule="auto"/>
              <w:rPr>
                <w:rFonts w:eastAsiaTheme="minorEastAsia" w:cs="Arial"/>
                <w:snapToGrid/>
              </w:rPr>
            </w:pPr>
            <w:r w:rsidRPr="00D41D25">
              <w:rPr>
                <w:rFonts w:eastAsiaTheme="minorEastAsia" w:cs="Arial"/>
                <w:snapToGrid/>
              </w:rPr>
              <w:t>H1,</w:t>
            </w:r>
            <w:r w:rsidR="001C3354" w:rsidRPr="00D41D25">
              <w:rPr>
                <w:rFonts w:eastAsiaTheme="minorEastAsia" w:cs="Arial"/>
                <w:snapToGrid/>
              </w:rPr>
              <w:t xml:space="preserve"> </w:t>
            </w:r>
            <w:r w:rsidR="00745FF2" w:rsidRPr="00D41D25">
              <w:rPr>
                <w:rFonts w:eastAsiaTheme="minorEastAsia" w:cs="Arial"/>
                <w:snapToGrid/>
              </w:rPr>
              <w:t xml:space="preserve">H1, Department B </w:t>
            </w:r>
            <w:r w:rsidR="001C3354" w:rsidRPr="00D41D25">
              <w:rPr>
                <w:rFonts w:eastAsiaTheme="minorEastAsia" w:cs="Arial"/>
                <w:snapToGrid/>
              </w:rPr>
              <w:t>2020</w:t>
            </w:r>
          </w:p>
        </w:tc>
        <w:tc>
          <w:tcPr>
            <w:tcW w:w="1074" w:type="pct"/>
            <w:hideMark/>
          </w:tcPr>
          <w:p w14:paraId="229F4766" w14:textId="34F39D14" w:rsidR="001C3354" w:rsidRPr="00D41D25" w:rsidRDefault="001C3354" w:rsidP="00DC7926">
            <w:pPr>
              <w:spacing w:line="240" w:lineRule="auto"/>
              <w:jc w:val="center"/>
              <w:rPr>
                <w:rFonts w:ascii="Georgia" w:eastAsia="Times New Roman" w:hAnsi="Georgia" w:cs="Arial"/>
                <w:noProof w:val="0"/>
                <w:color w:val="000000" w:themeColor="dark1"/>
                <w:kern w:val="24"/>
                <w:lang w:val="en-GB" w:eastAsia="en-US"/>
              </w:rPr>
            </w:pPr>
            <w:r w:rsidRPr="00D41D25">
              <w:rPr>
                <w:rFonts w:ascii="Georgia" w:eastAsia="Times New Roman" w:hAnsi="Georgia" w:cs="Arial"/>
                <w:noProof w:val="0"/>
                <w:color w:val="000000" w:themeColor="dark1"/>
                <w:kern w:val="24"/>
                <w:lang w:val="en-GB" w:eastAsia="en-US"/>
              </w:rPr>
              <w:t>University hospital</w:t>
            </w:r>
            <w:r w:rsidR="00384DD0" w:rsidRPr="00D41D25">
              <w:rPr>
                <w:rFonts w:ascii="Georgia" w:eastAsia="Times New Roman" w:hAnsi="Georgia" w:cs="Arial"/>
                <w:noProof w:val="0"/>
                <w:color w:val="000000" w:themeColor="dark1"/>
                <w:kern w:val="24"/>
                <w:lang w:val="en-GB" w:eastAsia="en-US"/>
              </w:rPr>
              <w:t xml:space="preserve"> A</w:t>
            </w:r>
            <w:r w:rsidRPr="00D41D25">
              <w:rPr>
                <w:rFonts w:ascii="Georgia" w:eastAsia="Times New Roman" w:hAnsi="Georgia" w:cs="Arial"/>
                <w:noProof w:val="0"/>
                <w:color w:val="000000" w:themeColor="dark1"/>
                <w:kern w:val="24"/>
                <w:lang w:val="en-GB" w:eastAsia="en-US"/>
              </w:rPr>
              <w:t>, approx. 900 beds, approx. 8,500 employees</w:t>
            </w:r>
          </w:p>
          <w:p w14:paraId="00DDE34F" w14:textId="77777777" w:rsidR="00DC7926" w:rsidRPr="00D41D25" w:rsidRDefault="00DC7926" w:rsidP="00DC7926">
            <w:pPr>
              <w:spacing w:line="240" w:lineRule="auto"/>
              <w:jc w:val="center"/>
              <w:rPr>
                <w:rFonts w:ascii="Georgia" w:eastAsia="Times New Roman" w:hAnsi="Georgia" w:cs="Arial"/>
                <w:noProof w:val="0"/>
                <w:color w:val="000000" w:themeColor="dark1"/>
                <w:kern w:val="24"/>
                <w:lang w:val="en-GB" w:eastAsia="en-US"/>
              </w:rPr>
            </w:pPr>
          </w:p>
          <w:p w14:paraId="39EAFB6A" w14:textId="6FF1999E" w:rsidR="00CC4232" w:rsidRPr="00D41D25" w:rsidRDefault="00CC4232" w:rsidP="00DC7926">
            <w:pPr>
              <w:spacing w:line="240" w:lineRule="auto"/>
              <w:jc w:val="center"/>
              <w:rPr>
                <w:rFonts w:ascii="Georgia" w:eastAsia="Times New Roman" w:hAnsi="Georgia" w:cs="Arial"/>
                <w:noProof w:val="0"/>
                <w:color w:val="auto"/>
                <w:lang w:val="en-GB" w:eastAsia="en-US"/>
              </w:rPr>
            </w:pPr>
          </w:p>
        </w:tc>
        <w:tc>
          <w:tcPr>
            <w:tcW w:w="834" w:type="pct"/>
            <w:hideMark/>
          </w:tcPr>
          <w:p w14:paraId="06BBD89E" w14:textId="77777777" w:rsidR="001C3354" w:rsidRPr="00D41D25" w:rsidRDefault="001C3354" w:rsidP="00DC7926">
            <w:pPr>
              <w:spacing w:line="240" w:lineRule="auto"/>
              <w:jc w:val="center"/>
              <w:rPr>
                <w:rFonts w:ascii="Georgia" w:eastAsia="Times New Roman" w:hAnsi="Georgia" w:cs="Arial"/>
                <w:noProof w:val="0"/>
                <w:color w:val="auto"/>
                <w:lang w:val="en-GB" w:eastAsia="en-US"/>
              </w:rPr>
            </w:pPr>
            <w:r w:rsidRPr="00D41D25">
              <w:rPr>
                <w:rFonts w:ascii="Georgia" w:eastAsia="Times New Roman" w:hAnsi="Georgia" w:cs="Arial"/>
                <w:noProof w:val="0"/>
                <w:color w:val="000000" w:themeColor="dark1"/>
                <w:kern w:val="24"/>
                <w:lang w:val="en-GB" w:eastAsia="en-US"/>
              </w:rPr>
              <w:t>Cell offices, group offices, and ABW office zones</w:t>
            </w:r>
          </w:p>
        </w:tc>
        <w:tc>
          <w:tcPr>
            <w:tcW w:w="834" w:type="pct"/>
            <w:hideMark/>
          </w:tcPr>
          <w:p w14:paraId="7FC4A215" w14:textId="3B492FEE" w:rsidR="001C3354" w:rsidRPr="00D41D25" w:rsidRDefault="001C3354" w:rsidP="00DC7926">
            <w:pPr>
              <w:spacing w:line="240" w:lineRule="auto"/>
              <w:jc w:val="center"/>
              <w:rPr>
                <w:rFonts w:ascii="Georgia" w:eastAsia="Times New Roman" w:hAnsi="Georgia" w:cs="Arial"/>
                <w:noProof w:val="0"/>
                <w:color w:val="auto"/>
                <w:lang w:val="en-GB" w:eastAsia="en-US"/>
              </w:rPr>
            </w:pPr>
            <w:r w:rsidRPr="00D41D25">
              <w:rPr>
                <w:rFonts w:ascii="Georgia" w:eastAsiaTheme="minorEastAsia" w:hAnsi="Georgia" w:cstheme="minorBidi"/>
                <w:noProof w:val="0"/>
                <w:color w:val="000000" w:themeColor="dark1"/>
                <w:kern w:val="24"/>
                <w:lang w:val="en-GB" w:eastAsia="en-US"/>
              </w:rPr>
              <w:t>33</w:t>
            </w:r>
          </w:p>
        </w:tc>
        <w:tc>
          <w:tcPr>
            <w:tcW w:w="834" w:type="pct"/>
            <w:hideMark/>
          </w:tcPr>
          <w:p w14:paraId="358B09B9" w14:textId="77777777" w:rsidR="001C3354" w:rsidRPr="00D41D25" w:rsidRDefault="001C3354" w:rsidP="00DC7926">
            <w:pPr>
              <w:spacing w:line="240" w:lineRule="auto"/>
              <w:jc w:val="center"/>
              <w:rPr>
                <w:rFonts w:ascii="Georgia" w:eastAsia="Times New Roman" w:hAnsi="Georgia" w:cs="Arial"/>
                <w:noProof w:val="0"/>
                <w:color w:val="auto"/>
                <w:lang w:val="en-GB" w:eastAsia="en-US"/>
              </w:rPr>
            </w:pPr>
            <w:r w:rsidRPr="00D41D25">
              <w:rPr>
                <w:rFonts w:ascii="Georgia" w:eastAsia="Times New Roman" w:hAnsi="Georgia" w:cs="Arial"/>
                <w:noProof w:val="0"/>
                <w:color w:val="000000" w:themeColor="dark1"/>
                <w:kern w:val="24"/>
                <w:lang w:val="en-GB" w:eastAsia="en-US"/>
              </w:rPr>
              <w:t>N/A</w:t>
            </w:r>
          </w:p>
        </w:tc>
        <w:tc>
          <w:tcPr>
            <w:tcW w:w="834" w:type="pct"/>
            <w:hideMark/>
          </w:tcPr>
          <w:p w14:paraId="6414258C" w14:textId="6A7D9EDF" w:rsidR="001C3354" w:rsidRPr="00D41D25" w:rsidRDefault="001C3354" w:rsidP="00DC7926">
            <w:pPr>
              <w:spacing w:line="240" w:lineRule="auto"/>
              <w:jc w:val="center"/>
              <w:rPr>
                <w:rFonts w:ascii="Georgia" w:eastAsia="Times New Roman" w:hAnsi="Georgia" w:cs="Arial"/>
                <w:noProof w:val="0"/>
                <w:color w:val="auto"/>
                <w:lang w:val="en-GB" w:eastAsia="en-US"/>
              </w:rPr>
            </w:pPr>
            <w:r w:rsidRPr="00D41D25">
              <w:rPr>
                <w:rFonts w:ascii="Georgia" w:eastAsiaTheme="minorEastAsia" w:hAnsi="Georgia" w:cstheme="minorBidi"/>
                <w:noProof w:val="0"/>
                <w:color w:val="000000" w:themeColor="dark1"/>
                <w:kern w:val="24"/>
                <w:lang w:val="en-GB" w:eastAsia="en-US"/>
              </w:rPr>
              <w:t>30</w:t>
            </w:r>
          </w:p>
        </w:tc>
      </w:tr>
      <w:tr w:rsidR="001C3354" w:rsidRPr="00D41D25" w14:paraId="22E47CE8" w14:textId="77777777" w:rsidTr="00DC7926">
        <w:trPr>
          <w:trHeight w:val="266"/>
          <w:jc w:val="left"/>
        </w:trPr>
        <w:tc>
          <w:tcPr>
            <w:tcW w:w="590" w:type="pct"/>
            <w:hideMark/>
          </w:tcPr>
          <w:p w14:paraId="0F193B81" w14:textId="1C3C73A7" w:rsidR="001C3354" w:rsidRPr="00D41D25" w:rsidRDefault="00B3249A" w:rsidP="00DC7926">
            <w:pPr>
              <w:pStyle w:val="MDPI42tablebody"/>
              <w:spacing w:line="240" w:lineRule="auto"/>
              <w:rPr>
                <w:rFonts w:eastAsiaTheme="minorEastAsia" w:cs="Arial"/>
                <w:snapToGrid/>
              </w:rPr>
            </w:pPr>
            <w:r w:rsidRPr="00D41D25">
              <w:rPr>
                <w:rFonts w:eastAsiaTheme="minorEastAsia" w:cs="Arial"/>
                <w:snapToGrid/>
              </w:rPr>
              <w:t>H2,</w:t>
            </w:r>
            <w:r w:rsidR="001C3354" w:rsidRPr="00D41D25">
              <w:rPr>
                <w:rFonts w:eastAsiaTheme="minorEastAsia" w:cs="Arial"/>
                <w:snapToGrid/>
              </w:rPr>
              <w:t xml:space="preserve"> 2020</w:t>
            </w:r>
          </w:p>
          <w:p w14:paraId="560C9037" w14:textId="562D97EC" w:rsidR="001C3354" w:rsidRPr="00D41D25" w:rsidRDefault="001C3354" w:rsidP="00DC7926">
            <w:pPr>
              <w:pStyle w:val="MDPI42tablebody"/>
              <w:spacing w:line="240" w:lineRule="auto"/>
              <w:rPr>
                <w:rFonts w:eastAsiaTheme="minorEastAsia" w:cs="Arial"/>
                <w:snapToGrid/>
              </w:rPr>
            </w:pPr>
          </w:p>
        </w:tc>
        <w:tc>
          <w:tcPr>
            <w:tcW w:w="1074" w:type="pct"/>
            <w:hideMark/>
          </w:tcPr>
          <w:p w14:paraId="5D8EE2A9" w14:textId="5B65F569" w:rsidR="001C3354" w:rsidRPr="00D41D25" w:rsidRDefault="001C3354" w:rsidP="00DC7926">
            <w:pPr>
              <w:spacing w:line="240" w:lineRule="auto"/>
              <w:jc w:val="center"/>
              <w:rPr>
                <w:rFonts w:ascii="Georgia" w:eastAsia="Times New Roman" w:hAnsi="Georgia" w:cs="Arial"/>
                <w:noProof w:val="0"/>
                <w:color w:val="000000" w:themeColor="dark1"/>
                <w:kern w:val="24"/>
                <w:lang w:val="en-GB" w:eastAsia="en-US"/>
              </w:rPr>
            </w:pPr>
            <w:r w:rsidRPr="00D41D25">
              <w:rPr>
                <w:rFonts w:ascii="Georgia" w:eastAsia="Times New Roman" w:hAnsi="Georgia" w:cs="Arial"/>
                <w:noProof w:val="0"/>
                <w:color w:val="000000" w:themeColor="dark1"/>
                <w:kern w:val="24"/>
                <w:lang w:val="en-GB" w:eastAsia="en-US"/>
              </w:rPr>
              <w:t>Regional hospital, approx. 240 beds, approx. 1,700 employees</w:t>
            </w:r>
          </w:p>
          <w:p w14:paraId="7184A152" w14:textId="77777777" w:rsidR="00DC7926" w:rsidRPr="00D41D25" w:rsidRDefault="00DC7926" w:rsidP="00DC7926">
            <w:pPr>
              <w:spacing w:line="240" w:lineRule="auto"/>
              <w:jc w:val="center"/>
              <w:rPr>
                <w:rFonts w:ascii="Georgia" w:eastAsia="Times New Roman" w:hAnsi="Georgia" w:cs="Arial"/>
                <w:noProof w:val="0"/>
                <w:color w:val="000000" w:themeColor="dark1"/>
                <w:kern w:val="24"/>
                <w:lang w:val="en-GB" w:eastAsia="en-US"/>
              </w:rPr>
            </w:pPr>
          </w:p>
          <w:p w14:paraId="3B056B57" w14:textId="5382D76A" w:rsidR="00CC4232" w:rsidRPr="00D41D25" w:rsidRDefault="00CC4232" w:rsidP="00DC7926">
            <w:pPr>
              <w:spacing w:line="240" w:lineRule="auto"/>
              <w:jc w:val="center"/>
              <w:rPr>
                <w:rFonts w:ascii="Georgia" w:eastAsia="Times New Roman" w:hAnsi="Georgia" w:cs="Arial"/>
                <w:noProof w:val="0"/>
                <w:color w:val="auto"/>
                <w:lang w:val="en-GB" w:eastAsia="en-US"/>
              </w:rPr>
            </w:pPr>
          </w:p>
        </w:tc>
        <w:tc>
          <w:tcPr>
            <w:tcW w:w="834" w:type="pct"/>
            <w:hideMark/>
          </w:tcPr>
          <w:p w14:paraId="59F3CEE2" w14:textId="77777777" w:rsidR="001C3354" w:rsidRPr="00D41D25" w:rsidRDefault="001C3354" w:rsidP="00DC7926">
            <w:pPr>
              <w:spacing w:line="240" w:lineRule="auto"/>
              <w:jc w:val="center"/>
              <w:rPr>
                <w:rFonts w:ascii="Georgia" w:eastAsia="Times New Roman" w:hAnsi="Georgia" w:cs="Arial"/>
                <w:noProof w:val="0"/>
                <w:color w:val="auto"/>
                <w:lang w:val="en-GB" w:eastAsia="en-US"/>
              </w:rPr>
            </w:pPr>
            <w:r w:rsidRPr="00D41D25">
              <w:rPr>
                <w:rFonts w:ascii="Georgia" w:eastAsia="Times New Roman" w:hAnsi="Georgia" w:cs="Arial"/>
                <w:noProof w:val="0"/>
                <w:color w:val="000000" w:themeColor="dark1"/>
                <w:kern w:val="24"/>
                <w:lang w:val="en-GB" w:eastAsia="en-US"/>
              </w:rPr>
              <w:t>Cell offices</w:t>
            </w:r>
          </w:p>
        </w:tc>
        <w:tc>
          <w:tcPr>
            <w:tcW w:w="834" w:type="pct"/>
            <w:hideMark/>
          </w:tcPr>
          <w:p w14:paraId="3B7D0C3B" w14:textId="01C084B9" w:rsidR="001C3354" w:rsidRPr="00D41D25" w:rsidRDefault="001C3354" w:rsidP="00DC7926">
            <w:pPr>
              <w:spacing w:line="240" w:lineRule="auto"/>
              <w:jc w:val="center"/>
              <w:rPr>
                <w:rFonts w:ascii="Georgia" w:eastAsia="Times New Roman" w:hAnsi="Georgia" w:cs="Arial"/>
                <w:noProof w:val="0"/>
                <w:color w:val="auto"/>
                <w:lang w:val="en-GB" w:eastAsia="en-US"/>
              </w:rPr>
            </w:pPr>
            <w:r w:rsidRPr="00D41D25">
              <w:rPr>
                <w:rFonts w:ascii="Georgia" w:eastAsiaTheme="minorEastAsia" w:hAnsi="Georgia" w:cstheme="minorBidi"/>
                <w:noProof w:val="0"/>
                <w:color w:val="000000" w:themeColor="dark1"/>
                <w:kern w:val="24"/>
                <w:lang w:val="en-GB" w:eastAsia="en-US"/>
              </w:rPr>
              <w:t>64</w:t>
            </w:r>
          </w:p>
        </w:tc>
        <w:tc>
          <w:tcPr>
            <w:tcW w:w="834" w:type="pct"/>
            <w:hideMark/>
          </w:tcPr>
          <w:p w14:paraId="474B1990" w14:textId="77777777" w:rsidR="001C3354" w:rsidRPr="00D41D25" w:rsidRDefault="001C3354" w:rsidP="00DC7926">
            <w:pPr>
              <w:spacing w:line="240" w:lineRule="auto"/>
              <w:jc w:val="center"/>
              <w:rPr>
                <w:rFonts w:ascii="Georgia" w:eastAsia="Times New Roman" w:hAnsi="Georgia" w:cs="Arial"/>
                <w:noProof w:val="0"/>
                <w:color w:val="auto"/>
                <w:lang w:val="en-GB" w:eastAsia="en-US"/>
              </w:rPr>
            </w:pPr>
            <w:r w:rsidRPr="00D41D25">
              <w:rPr>
                <w:rFonts w:ascii="Georgia" w:eastAsia="Times New Roman" w:hAnsi="Georgia" w:cs="Arial"/>
                <w:noProof w:val="0"/>
                <w:color w:val="000000" w:themeColor="dark1"/>
                <w:kern w:val="24"/>
                <w:lang w:val="en-GB" w:eastAsia="en-US"/>
              </w:rPr>
              <w:t>N/A</w:t>
            </w:r>
          </w:p>
        </w:tc>
        <w:tc>
          <w:tcPr>
            <w:tcW w:w="834" w:type="pct"/>
            <w:hideMark/>
          </w:tcPr>
          <w:p w14:paraId="272072E5" w14:textId="77777777" w:rsidR="001C3354" w:rsidRPr="00D41D25" w:rsidRDefault="001C3354" w:rsidP="00DC7926">
            <w:pPr>
              <w:spacing w:line="240" w:lineRule="auto"/>
              <w:jc w:val="center"/>
              <w:rPr>
                <w:rFonts w:ascii="Georgia" w:eastAsia="Times New Roman" w:hAnsi="Georgia" w:cs="Arial"/>
                <w:noProof w:val="0"/>
                <w:color w:val="auto"/>
                <w:lang w:val="en-GB" w:eastAsia="en-US"/>
              </w:rPr>
            </w:pPr>
            <w:r w:rsidRPr="00D41D25">
              <w:rPr>
                <w:rFonts w:ascii="Georgia" w:eastAsia="Times New Roman" w:hAnsi="Georgia" w:cs="Arial"/>
                <w:noProof w:val="0"/>
                <w:color w:val="000000" w:themeColor="dark1"/>
                <w:kern w:val="24"/>
                <w:lang w:val="en-GB" w:eastAsia="en-US"/>
              </w:rPr>
              <w:t>N/A</w:t>
            </w:r>
          </w:p>
        </w:tc>
      </w:tr>
      <w:tr w:rsidR="001C3354" w:rsidRPr="00D41D25" w14:paraId="0C050F25" w14:textId="77777777" w:rsidTr="00DC7926">
        <w:trPr>
          <w:trHeight w:val="266"/>
          <w:jc w:val="left"/>
        </w:trPr>
        <w:tc>
          <w:tcPr>
            <w:tcW w:w="590" w:type="pct"/>
            <w:tcBorders>
              <w:bottom w:val="single" w:sz="4" w:space="0" w:color="auto"/>
            </w:tcBorders>
            <w:hideMark/>
          </w:tcPr>
          <w:p w14:paraId="32988F39" w14:textId="6743495A" w:rsidR="001C3354" w:rsidRPr="00D41D25" w:rsidRDefault="00B3249A" w:rsidP="00DC7926">
            <w:pPr>
              <w:pStyle w:val="MDPI42tablebody"/>
              <w:spacing w:line="240" w:lineRule="auto"/>
              <w:rPr>
                <w:rFonts w:eastAsiaTheme="minorEastAsia" w:cs="Arial"/>
                <w:snapToGrid/>
              </w:rPr>
            </w:pPr>
            <w:r w:rsidRPr="00D41D25">
              <w:rPr>
                <w:rFonts w:eastAsiaTheme="minorEastAsia" w:cs="Arial"/>
                <w:snapToGrid/>
              </w:rPr>
              <w:t>H3,</w:t>
            </w:r>
            <w:r w:rsidR="001C3354" w:rsidRPr="00D41D25">
              <w:rPr>
                <w:rFonts w:eastAsiaTheme="minorEastAsia" w:cs="Arial"/>
                <w:snapToGrid/>
              </w:rPr>
              <w:t xml:space="preserve"> 2021</w:t>
            </w:r>
          </w:p>
          <w:p w14:paraId="21BB475D" w14:textId="6782CB04" w:rsidR="001C3354" w:rsidRPr="00D41D25" w:rsidRDefault="001C3354" w:rsidP="00DC7926">
            <w:pPr>
              <w:pStyle w:val="MDPI42tablebody"/>
              <w:spacing w:line="240" w:lineRule="auto"/>
              <w:rPr>
                <w:rFonts w:eastAsiaTheme="minorEastAsia" w:cs="Arial"/>
                <w:snapToGrid/>
              </w:rPr>
            </w:pPr>
          </w:p>
        </w:tc>
        <w:tc>
          <w:tcPr>
            <w:tcW w:w="1074" w:type="pct"/>
            <w:tcBorders>
              <w:bottom w:val="single" w:sz="4" w:space="0" w:color="auto"/>
            </w:tcBorders>
            <w:hideMark/>
          </w:tcPr>
          <w:p w14:paraId="28AD8378" w14:textId="7FE17D54" w:rsidR="001C3354" w:rsidRPr="00D41D25" w:rsidRDefault="001C3354" w:rsidP="00DC7926">
            <w:pPr>
              <w:spacing w:line="240" w:lineRule="auto"/>
              <w:jc w:val="center"/>
              <w:rPr>
                <w:rFonts w:ascii="Georgia" w:eastAsia="Times New Roman" w:hAnsi="Georgia" w:cs="Arial"/>
                <w:noProof w:val="0"/>
                <w:color w:val="auto"/>
                <w:lang w:val="en-GB" w:eastAsia="en-US"/>
              </w:rPr>
            </w:pPr>
            <w:r w:rsidRPr="00D41D25">
              <w:rPr>
                <w:rFonts w:ascii="Georgia" w:eastAsia="Times New Roman" w:hAnsi="Georgia" w:cs="Arial"/>
                <w:noProof w:val="0"/>
                <w:color w:val="000000" w:themeColor="dark1"/>
                <w:kern w:val="24"/>
                <w:lang w:val="en-GB" w:eastAsia="en-US"/>
              </w:rPr>
              <w:t xml:space="preserve">University Hospital </w:t>
            </w:r>
            <w:r w:rsidR="00384DD0" w:rsidRPr="00D41D25">
              <w:rPr>
                <w:rFonts w:ascii="Georgia" w:eastAsia="Times New Roman" w:hAnsi="Georgia" w:cs="Arial"/>
                <w:noProof w:val="0"/>
                <w:color w:val="000000" w:themeColor="dark1"/>
                <w:kern w:val="24"/>
                <w:lang w:val="en-GB" w:eastAsia="en-US"/>
              </w:rPr>
              <w:t>B</w:t>
            </w:r>
            <w:r w:rsidRPr="00D41D25">
              <w:rPr>
                <w:rFonts w:ascii="Georgia" w:eastAsia="Times New Roman" w:hAnsi="Georgia" w:cs="Arial"/>
                <w:noProof w:val="0"/>
                <w:color w:val="000000" w:themeColor="dark1"/>
                <w:kern w:val="24"/>
                <w:lang w:val="en-GB" w:eastAsia="en-US"/>
              </w:rPr>
              <w:t>, approx. 780 beds, approx. 7,200 employees</w:t>
            </w:r>
          </w:p>
        </w:tc>
        <w:tc>
          <w:tcPr>
            <w:tcW w:w="834" w:type="pct"/>
            <w:tcBorders>
              <w:bottom w:val="single" w:sz="4" w:space="0" w:color="auto"/>
            </w:tcBorders>
            <w:hideMark/>
          </w:tcPr>
          <w:p w14:paraId="23994D6A" w14:textId="77777777" w:rsidR="001C3354" w:rsidRPr="00D41D25" w:rsidRDefault="001C3354" w:rsidP="00DC7926">
            <w:pPr>
              <w:spacing w:line="240" w:lineRule="auto"/>
              <w:jc w:val="center"/>
              <w:rPr>
                <w:rFonts w:ascii="Georgia" w:eastAsia="Times New Roman" w:hAnsi="Georgia" w:cs="Arial"/>
                <w:noProof w:val="0"/>
                <w:color w:val="auto"/>
                <w:lang w:val="en-GB" w:eastAsia="en-US"/>
              </w:rPr>
            </w:pPr>
            <w:r w:rsidRPr="00D41D25">
              <w:rPr>
                <w:rFonts w:ascii="Georgia" w:eastAsia="Times New Roman" w:hAnsi="Georgia" w:cs="Arial"/>
                <w:noProof w:val="0"/>
                <w:color w:val="000000" w:themeColor="dark1"/>
                <w:kern w:val="24"/>
                <w:lang w:val="en-GB" w:eastAsia="en-US"/>
              </w:rPr>
              <w:t>Cell offices and group offices</w:t>
            </w:r>
          </w:p>
        </w:tc>
        <w:tc>
          <w:tcPr>
            <w:tcW w:w="834" w:type="pct"/>
            <w:tcBorders>
              <w:bottom w:val="single" w:sz="4" w:space="0" w:color="auto"/>
            </w:tcBorders>
            <w:hideMark/>
          </w:tcPr>
          <w:p w14:paraId="4A4A644B" w14:textId="51B056B7" w:rsidR="001C3354" w:rsidRPr="00D41D25" w:rsidRDefault="001C3354" w:rsidP="00DC7926">
            <w:pPr>
              <w:spacing w:line="240" w:lineRule="auto"/>
              <w:jc w:val="center"/>
              <w:rPr>
                <w:rFonts w:ascii="Georgia" w:eastAsia="Times New Roman" w:hAnsi="Georgia" w:cs="Arial"/>
                <w:noProof w:val="0"/>
                <w:color w:val="auto"/>
                <w:lang w:val="en-GB" w:eastAsia="en-US"/>
              </w:rPr>
            </w:pPr>
            <w:r w:rsidRPr="00D41D25">
              <w:rPr>
                <w:rFonts w:ascii="Georgia" w:eastAsiaTheme="minorEastAsia" w:hAnsi="Georgia" w:cstheme="minorBidi"/>
                <w:noProof w:val="0"/>
                <w:color w:val="000000" w:themeColor="dark1"/>
                <w:kern w:val="24"/>
                <w:lang w:val="en-GB" w:eastAsia="en-US"/>
              </w:rPr>
              <w:t>53</w:t>
            </w:r>
          </w:p>
        </w:tc>
        <w:tc>
          <w:tcPr>
            <w:tcW w:w="834" w:type="pct"/>
            <w:tcBorders>
              <w:bottom w:val="single" w:sz="4" w:space="0" w:color="auto"/>
            </w:tcBorders>
            <w:hideMark/>
          </w:tcPr>
          <w:p w14:paraId="22F65DD3" w14:textId="77777777" w:rsidR="001C3354" w:rsidRPr="00D41D25" w:rsidRDefault="001C3354" w:rsidP="00DC7926">
            <w:pPr>
              <w:spacing w:line="240" w:lineRule="auto"/>
              <w:jc w:val="center"/>
              <w:rPr>
                <w:rFonts w:ascii="Georgia" w:eastAsia="Times New Roman" w:hAnsi="Georgia" w:cs="Arial"/>
                <w:noProof w:val="0"/>
                <w:color w:val="auto"/>
                <w:lang w:val="en-GB" w:eastAsia="en-US"/>
              </w:rPr>
            </w:pPr>
            <w:r w:rsidRPr="00D41D25">
              <w:rPr>
                <w:rFonts w:ascii="Georgia" w:eastAsia="Times New Roman" w:hAnsi="Georgia" w:cs="Arial"/>
                <w:noProof w:val="0"/>
                <w:color w:val="000000" w:themeColor="dark1"/>
                <w:kern w:val="24"/>
                <w:lang w:val="en-GB" w:eastAsia="en-US"/>
              </w:rPr>
              <w:t>N/A</w:t>
            </w:r>
          </w:p>
        </w:tc>
        <w:tc>
          <w:tcPr>
            <w:tcW w:w="834" w:type="pct"/>
            <w:tcBorders>
              <w:bottom w:val="single" w:sz="4" w:space="0" w:color="auto"/>
            </w:tcBorders>
            <w:hideMark/>
          </w:tcPr>
          <w:p w14:paraId="4B18A880" w14:textId="7044B08B" w:rsidR="001C3354" w:rsidRPr="00D41D25" w:rsidRDefault="001C3354" w:rsidP="00DC7926">
            <w:pPr>
              <w:spacing w:line="240" w:lineRule="auto"/>
              <w:jc w:val="center"/>
              <w:rPr>
                <w:rFonts w:ascii="Georgia" w:eastAsia="Times New Roman" w:hAnsi="Georgia" w:cs="Arial"/>
                <w:noProof w:val="0"/>
                <w:color w:val="auto"/>
                <w:lang w:val="en-GB" w:eastAsia="en-US"/>
              </w:rPr>
            </w:pPr>
            <w:r w:rsidRPr="00D41D25">
              <w:rPr>
                <w:rFonts w:ascii="Georgia" w:eastAsiaTheme="minorEastAsia" w:hAnsi="Georgia" w:cstheme="minorBidi"/>
                <w:noProof w:val="0"/>
                <w:color w:val="000000" w:themeColor="dark1"/>
                <w:kern w:val="24"/>
                <w:lang w:val="en-GB" w:eastAsia="en-US"/>
              </w:rPr>
              <w:t>47</w:t>
            </w:r>
          </w:p>
        </w:tc>
      </w:tr>
      <w:tr w:rsidR="001C3354" w:rsidRPr="00D41D25" w14:paraId="0260FDF0" w14:textId="77777777" w:rsidTr="00DC7926">
        <w:trPr>
          <w:trHeight w:val="266"/>
          <w:jc w:val="left"/>
        </w:trPr>
        <w:tc>
          <w:tcPr>
            <w:tcW w:w="5000" w:type="pct"/>
            <w:gridSpan w:val="6"/>
            <w:tcBorders>
              <w:top w:val="single" w:sz="4" w:space="0" w:color="auto"/>
              <w:bottom w:val="single" w:sz="8" w:space="0" w:color="auto"/>
            </w:tcBorders>
          </w:tcPr>
          <w:p w14:paraId="3922AD59" w14:textId="77777777" w:rsidR="001C3354" w:rsidRPr="00D41D25" w:rsidRDefault="001C3354" w:rsidP="00DC7926">
            <w:pPr>
              <w:pStyle w:val="MDPI42tablebody"/>
              <w:spacing w:line="240" w:lineRule="auto"/>
              <w:jc w:val="left"/>
              <w:rPr>
                <w:rFonts w:eastAsiaTheme="minorEastAsia" w:cs="Arial"/>
                <w:snapToGrid/>
              </w:rPr>
            </w:pPr>
            <w:r w:rsidRPr="00D41D25">
              <w:rPr>
                <w:rFonts w:eastAsiaTheme="minorEastAsia" w:cs="Arial"/>
                <w:snapToGrid/>
              </w:rPr>
              <w:t>Note: WS= Workstation</w:t>
            </w:r>
          </w:p>
        </w:tc>
      </w:tr>
    </w:tbl>
    <w:p w14:paraId="42A759D9" w14:textId="292EC249" w:rsidR="00F27CA9" w:rsidRPr="00D41D25" w:rsidRDefault="00F27CA9" w:rsidP="009F2891">
      <w:pPr>
        <w:pStyle w:val="MDPI31text"/>
        <w:rPr>
          <w:rFonts w:ascii="Georgia" w:eastAsiaTheme="minorEastAsia" w:hAnsi="Georgia" w:cs="Arial"/>
          <w:lang w:val="en-GB"/>
        </w:rPr>
      </w:pPr>
    </w:p>
    <w:p w14:paraId="21C5F9B3" w14:textId="1F72403A" w:rsidR="00F27CA9" w:rsidRPr="00D41D25" w:rsidRDefault="00226F4D" w:rsidP="009F2891">
      <w:pPr>
        <w:pStyle w:val="MDPI31text"/>
        <w:rPr>
          <w:rFonts w:ascii="Georgia" w:eastAsiaTheme="minorEastAsia" w:hAnsi="Georgia" w:cs="Arial"/>
          <w:lang w:val="en-GB"/>
        </w:rPr>
      </w:pPr>
      <w:r w:rsidRPr="00D41D25">
        <w:rPr>
          <w:rFonts w:ascii="Georgia" w:eastAsiaTheme="minorEastAsia" w:hAnsi="Georgia" w:cs="Arial"/>
          <w:lang w:val="en-GB"/>
        </w:rPr>
        <w:t xml:space="preserve">The data set </w:t>
      </w:r>
      <w:r w:rsidR="00077817">
        <w:rPr>
          <w:rFonts w:ascii="Georgia" w:eastAsiaTheme="minorEastAsia" w:hAnsi="Georgia" w:cs="Arial"/>
          <w:lang w:val="en-GB"/>
        </w:rPr>
        <w:t>for</w:t>
      </w:r>
      <w:r w:rsidR="00077817" w:rsidRPr="00D41D25">
        <w:rPr>
          <w:rFonts w:ascii="Georgia" w:eastAsiaTheme="minorEastAsia" w:hAnsi="Georgia" w:cs="Arial"/>
          <w:lang w:val="en-GB"/>
        </w:rPr>
        <w:t xml:space="preserve"> </w:t>
      </w:r>
      <w:r w:rsidRPr="00D41D25">
        <w:rPr>
          <w:rFonts w:ascii="Georgia" w:eastAsiaTheme="minorEastAsia" w:hAnsi="Georgia" w:cs="Arial"/>
          <w:lang w:val="en-GB"/>
        </w:rPr>
        <w:t xml:space="preserve">office </w:t>
      </w:r>
      <w:r w:rsidR="00370216" w:rsidRPr="00D41D25">
        <w:rPr>
          <w:rFonts w:ascii="Georgia" w:eastAsiaTheme="minorEastAsia" w:hAnsi="Georgia" w:cs="Arial"/>
          <w:lang w:val="en-GB"/>
        </w:rPr>
        <w:t>buildings</w:t>
      </w:r>
      <w:r w:rsidRPr="00D41D25">
        <w:rPr>
          <w:rFonts w:ascii="Georgia" w:eastAsiaTheme="minorEastAsia" w:hAnsi="Georgia" w:cs="Arial"/>
          <w:lang w:val="en-GB"/>
        </w:rPr>
        <w:t xml:space="preserve"> includes data from 14 observation projects</w:t>
      </w:r>
      <w:r w:rsidR="00EA6302" w:rsidRPr="00D41D25">
        <w:rPr>
          <w:rFonts w:ascii="Georgia" w:eastAsiaTheme="minorEastAsia" w:hAnsi="Georgia" w:cs="Arial"/>
          <w:lang w:val="en-GB"/>
        </w:rPr>
        <w:t xml:space="preserve"> </w:t>
      </w:r>
      <w:r w:rsidR="00891CC4" w:rsidRPr="00D41D25">
        <w:rPr>
          <w:rFonts w:ascii="Georgia" w:eastAsiaTheme="minorEastAsia" w:hAnsi="Georgia" w:cs="Arial"/>
          <w:lang w:val="en-GB"/>
        </w:rPr>
        <w:t>(</w:t>
      </w:r>
      <w:r w:rsidR="00EA6302" w:rsidRPr="00D41D25">
        <w:rPr>
          <w:rFonts w:ascii="Georgia" w:eastAsiaTheme="minorEastAsia" w:hAnsi="Georgia" w:cs="Arial"/>
          <w:lang w:val="en-GB"/>
        </w:rPr>
        <w:fldChar w:fldCharType="begin"/>
      </w:r>
      <w:r w:rsidR="00EA6302" w:rsidRPr="00D41D25">
        <w:rPr>
          <w:rFonts w:ascii="Georgia" w:eastAsiaTheme="minorEastAsia" w:hAnsi="Georgia" w:cs="Arial"/>
          <w:lang w:val="en-GB"/>
        </w:rPr>
        <w:instrText xml:space="preserve"> REF _Ref98942225 \h </w:instrText>
      </w:r>
      <w:r w:rsidR="00D41D25">
        <w:rPr>
          <w:rFonts w:ascii="Georgia" w:eastAsiaTheme="minorEastAsia" w:hAnsi="Georgia" w:cs="Arial"/>
          <w:lang w:val="en-GB"/>
        </w:rPr>
        <w:instrText xml:space="preserve"> \* MERGEFORMAT </w:instrText>
      </w:r>
      <w:r w:rsidR="00EA6302" w:rsidRPr="00D41D25">
        <w:rPr>
          <w:rFonts w:ascii="Georgia" w:eastAsiaTheme="minorEastAsia" w:hAnsi="Georgia" w:cs="Arial"/>
          <w:lang w:val="en-GB"/>
        </w:rPr>
      </w:r>
      <w:r w:rsidR="00EA6302" w:rsidRPr="00D41D25">
        <w:rPr>
          <w:rFonts w:ascii="Georgia" w:eastAsiaTheme="minorEastAsia" w:hAnsi="Georgia" w:cs="Arial"/>
          <w:lang w:val="en-GB"/>
        </w:rPr>
        <w:fldChar w:fldCharType="separate"/>
      </w:r>
      <w:r w:rsidR="00577F37" w:rsidRPr="00577F37">
        <w:rPr>
          <w:lang w:val="en-GB"/>
        </w:rPr>
        <w:t>Table 2</w:t>
      </w:r>
      <w:r w:rsidR="00EA6302" w:rsidRPr="00D41D25">
        <w:rPr>
          <w:rFonts w:ascii="Georgia" w:eastAsiaTheme="minorEastAsia" w:hAnsi="Georgia" w:cs="Arial"/>
          <w:lang w:val="en-GB"/>
        </w:rPr>
        <w:fldChar w:fldCharType="end"/>
      </w:r>
      <w:r w:rsidR="00EA6302" w:rsidRPr="00D41D25">
        <w:rPr>
          <w:rFonts w:ascii="Georgia" w:eastAsiaTheme="minorEastAsia" w:hAnsi="Georgia" w:cs="Arial"/>
          <w:lang w:val="en-GB"/>
        </w:rPr>
        <w:t>)</w:t>
      </w:r>
      <w:r w:rsidRPr="00D41D25">
        <w:rPr>
          <w:rFonts w:ascii="Georgia" w:eastAsiaTheme="minorEastAsia" w:hAnsi="Georgia" w:cs="Arial"/>
          <w:lang w:val="en-GB"/>
        </w:rPr>
        <w:t>.</w:t>
      </w:r>
      <w:r w:rsidR="00B1513C" w:rsidRPr="00D41D25">
        <w:rPr>
          <w:rFonts w:ascii="Georgia" w:eastAsiaTheme="minorEastAsia" w:hAnsi="Georgia" w:cs="Arial"/>
          <w:lang w:val="en-GB"/>
        </w:rPr>
        <w:t xml:space="preserve"> The total number of workstations is </w:t>
      </w:r>
      <w:r w:rsidR="007D624D" w:rsidRPr="00D41D25">
        <w:rPr>
          <w:rFonts w:ascii="Georgia" w:eastAsiaTheme="minorEastAsia" w:hAnsi="Georgia" w:cs="Arial"/>
          <w:lang w:val="en-GB"/>
        </w:rPr>
        <w:t>3</w:t>
      </w:r>
      <w:r w:rsidR="007D624D">
        <w:rPr>
          <w:rFonts w:ascii="Georgia" w:eastAsiaTheme="minorEastAsia" w:hAnsi="Georgia" w:cs="Arial"/>
          <w:lang w:val="en-GB"/>
        </w:rPr>
        <w:t>,</w:t>
      </w:r>
      <w:r w:rsidR="007D624D" w:rsidRPr="00D41D25">
        <w:rPr>
          <w:rFonts w:ascii="Georgia" w:eastAsiaTheme="minorEastAsia" w:hAnsi="Georgia" w:cs="Arial"/>
          <w:lang w:val="en-GB"/>
        </w:rPr>
        <w:t xml:space="preserve">534 </w:t>
      </w:r>
      <w:r w:rsidR="00B1513C" w:rsidRPr="00D41D25">
        <w:rPr>
          <w:rFonts w:ascii="Georgia" w:eastAsiaTheme="minorEastAsia" w:hAnsi="Georgia" w:cs="Arial"/>
          <w:lang w:val="en-GB"/>
        </w:rPr>
        <w:t xml:space="preserve">and the total number of observed cases is </w:t>
      </w:r>
      <w:r w:rsidR="007D624D" w:rsidRPr="00D41D25">
        <w:rPr>
          <w:rFonts w:ascii="Georgia" w:eastAsiaTheme="minorEastAsia" w:hAnsi="Georgia" w:cs="Arial"/>
          <w:lang w:val="en-GB"/>
        </w:rPr>
        <w:t>178</w:t>
      </w:r>
      <w:r w:rsidR="007D624D">
        <w:rPr>
          <w:rFonts w:ascii="Georgia" w:eastAsiaTheme="minorEastAsia" w:hAnsi="Georgia" w:cs="Arial"/>
          <w:lang w:val="en-GB"/>
        </w:rPr>
        <w:t>,</w:t>
      </w:r>
      <w:r w:rsidR="007D624D" w:rsidRPr="00D41D25">
        <w:rPr>
          <w:rFonts w:ascii="Georgia" w:eastAsiaTheme="minorEastAsia" w:hAnsi="Georgia" w:cs="Arial"/>
          <w:lang w:val="en-GB"/>
        </w:rPr>
        <w:t>002</w:t>
      </w:r>
      <w:r w:rsidR="00B1513C" w:rsidRPr="00D41D25">
        <w:rPr>
          <w:rFonts w:ascii="Georgia" w:eastAsiaTheme="minorEastAsia" w:hAnsi="Georgia" w:cs="Arial"/>
          <w:lang w:val="en-GB"/>
        </w:rPr>
        <w:t xml:space="preserve">. </w:t>
      </w:r>
      <w:r w:rsidRPr="00D41D25">
        <w:rPr>
          <w:rFonts w:ascii="Georgia" w:eastAsiaTheme="minorEastAsia" w:hAnsi="Georgia" w:cs="Arial"/>
          <w:lang w:val="en-GB"/>
        </w:rPr>
        <w:t xml:space="preserve">In these </w:t>
      </w:r>
      <w:r w:rsidR="00B1513C" w:rsidRPr="00D41D25">
        <w:rPr>
          <w:rFonts w:ascii="Georgia" w:eastAsiaTheme="minorEastAsia" w:hAnsi="Georgia" w:cs="Arial"/>
          <w:lang w:val="en-GB"/>
        </w:rPr>
        <w:t>projects</w:t>
      </w:r>
      <w:r w:rsidRPr="00D41D25">
        <w:rPr>
          <w:rFonts w:ascii="Georgia" w:eastAsiaTheme="minorEastAsia" w:hAnsi="Georgia" w:cs="Arial"/>
          <w:lang w:val="en-GB"/>
        </w:rPr>
        <w:t>, administrative units of private sector companies with different office concepts, such as Activity Based Working</w:t>
      </w:r>
      <w:r w:rsidR="002C2ED6" w:rsidRPr="00D41D25">
        <w:rPr>
          <w:rFonts w:ascii="Georgia" w:eastAsiaTheme="minorEastAsia" w:hAnsi="Georgia" w:cs="Arial"/>
          <w:lang w:val="en-GB"/>
        </w:rPr>
        <w:t xml:space="preserve"> (ABW</w:t>
      </w:r>
      <w:r w:rsidR="007D624D">
        <w:rPr>
          <w:rFonts w:ascii="Georgia" w:eastAsiaTheme="minorEastAsia" w:hAnsi="Georgia" w:cs="Arial"/>
          <w:lang w:val="en-GB"/>
        </w:rPr>
        <w:t>;</w:t>
      </w:r>
      <w:r w:rsidR="007D624D" w:rsidRPr="00D41D25">
        <w:rPr>
          <w:rFonts w:ascii="Georgia" w:eastAsiaTheme="minorEastAsia" w:hAnsi="Georgia" w:cs="Arial"/>
          <w:lang w:val="en-GB"/>
        </w:rPr>
        <w:t xml:space="preserve"> </w:t>
      </w:r>
      <w:r w:rsidR="000B3363" w:rsidRPr="00D41D25">
        <w:rPr>
          <w:rFonts w:ascii="Georgia" w:eastAsiaTheme="minorEastAsia" w:hAnsi="Georgia" w:cs="Arial"/>
          <w:lang w:val="en-GB"/>
        </w:rPr>
        <w:t>s</w:t>
      </w:r>
      <w:r w:rsidR="00DA24B9" w:rsidRPr="00D41D25">
        <w:rPr>
          <w:rFonts w:ascii="Georgia" w:eastAsiaTheme="minorEastAsia" w:hAnsi="Georgia" w:cs="Arial"/>
          <w:lang w:val="en-GB"/>
        </w:rPr>
        <w:t>ee e.g.</w:t>
      </w:r>
      <w:r w:rsidR="007D624D">
        <w:rPr>
          <w:rFonts w:ascii="Georgia" w:eastAsiaTheme="minorEastAsia" w:hAnsi="Georgia" w:cs="Arial"/>
          <w:lang w:val="en-GB"/>
        </w:rPr>
        <w:t>,</w:t>
      </w:r>
      <w:r w:rsidR="00DA24B9" w:rsidRPr="00D41D25">
        <w:rPr>
          <w:rFonts w:ascii="Georgia" w:eastAsiaTheme="minorEastAsia" w:hAnsi="Georgia" w:cs="Arial"/>
          <w:lang w:val="en-GB"/>
        </w:rPr>
        <w:t xml:space="preserve"> </w:t>
      </w:r>
      <w:r w:rsidR="000B3363" w:rsidRPr="00D41D25">
        <w:rPr>
          <w:rFonts w:ascii="Georgia" w:eastAsiaTheme="minorEastAsia" w:hAnsi="Georgia" w:cs="Arial"/>
          <w:lang w:val="en-GB"/>
        </w:rPr>
        <w:t>De Bruyne &amp; Beijer, 2015</w:t>
      </w:r>
      <w:r w:rsidR="002C2ED6" w:rsidRPr="00D41D25">
        <w:rPr>
          <w:rFonts w:ascii="Georgia" w:eastAsiaTheme="minorEastAsia" w:hAnsi="Georgia" w:cs="Arial"/>
          <w:lang w:val="en-GB"/>
        </w:rPr>
        <w:t>)</w:t>
      </w:r>
      <w:r w:rsidRPr="00D41D25">
        <w:rPr>
          <w:rFonts w:ascii="Georgia" w:eastAsiaTheme="minorEastAsia" w:hAnsi="Georgia" w:cs="Arial"/>
          <w:lang w:val="en-GB"/>
        </w:rPr>
        <w:t xml:space="preserve">, </w:t>
      </w:r>
      <w:proofErr w:type="spellStart"/>
      <w:r w:rsidR="00AE35D1" w:rsidRPr="00D41D25">
        <w:rPr>
          <w:rFonts w:ascii="Georgia" w:eastAsiaTheme="minorEastAsia" w:hAnsi="Georgia" w:cs="Arial"/>
          <w:lang w:val="en-GB"/>
        </w:rPr>
        <w:t>m</w:t>
      </w:r>
      <w:r w:rsidRPr="00D41D25">
        <w:rPr>
          <w:rFonts w:ascii="Georgia" w:eastAsiaTheme="minorEastAsia" w:hAnsi="Georgia" w:cs="Arial"/>
          <w:lang w:val="en-GB"/>
        </w:rPr>
        <w:t>ultispace</w:t>
      </w:r>
      <w:proofErr w:type="spellEnd"/>
      <w:r w:rsidRPr="00D41D25">
        <w:rPr>
          <w:rFonts w:ascii="Georgia" w:eastAsiaTheme="minorEastAsia" w:hAnsi="Georgia" w:cs="Arial"/>
          <w:lang w:val="en-GB"/>
        </w:rPr>
        <w:t xml:space="preserve"> or traditional group offices, were observed.</w:t>
      </w:r>
    </w:p>
    <w:p w14:paraId="27BBC540" w14:textId="77777777" w:rsidR="00F86427" w:rsidRDefault="00F86427" w:rsidP="00F86427">
      <w:pPr>
        <w:pStyle w:val="MDPI36textafterlist"/>
        <w:rPr>
          <w:rFonts w:eastAsiaTheme="minorEastAsia"/>
          <w:lang w:val="en-GB"/>
        </w:rPr>
      </w:pPr>
      <w:bookmarkStart w:id="2" w:name="_Ref98942225"/>
    </w:p>
    <w:p w14:paraId="6813BA69" w14:textId="77777777" w:rsidR="00F86427" w:rsidRDefault="00F86427" w:rsidP="00F86427">
      <w:pPr>
        <w:pStyle w:val="MDPI36textafterlist"/>
        <w:rPr>
          <w:rFonts w:eastAsiaTheme="minorEastAsia"/>
          <w:lang w:val="en-GB"/>
        </w:rPr>
      </w:pPr>
    </w:p>
    <w:p w14:paraId="5824356D" w14:textId="648BF3C5" w:rsidR="00AB123A" w:rsidRPr="00D41D25" w:rsidRDefault="00AB123A" w:rsidP="0033476B">
      <w:pPr>
        <w:pStyle w:val="MDPI41tablecaption"/>
        <w:rPr>
          <w:rFonts w:eastAsiaTheme="minorEastAsia"/>
          <w:lang w:val="en-GB"/>
        </w:rPr>
      </w:pPr>
      <w:r w:rsidRPr="00D41D25">
        <w:rPr>
          <w:rFonts w:eastAsiaTheme="minorEastAsia"/>
          <w:lang w:val="en-GB"/>
        </w:rPr>
        <w:t xml:space="preserve">Table </w:t>
      </w:r>
      <w:r w:rsidRPr="00D41D25">
        <w:rPr>
          <w:rFonts w:eastAsiaTheme="minorEastAsia"/>
          <w:i/>
          <w:iCs/>
          <w:lang w:val="en-GB"/>
        </w:rPr>
        <w:fldChar w:fldCharType="begin"/>
      </w:r>
      <w:r w:rsidRPr="00D41D25">
        <w:rPr>
          <w:rFonts w:eastAsiaTheme="minorEastAsia"/>
          <w:lang w:val="en-GB"/>
        </w:rPr>
        <w:instrText xml:space="preserve"> SEQ Table \* ARABIC </w:instrText>
      </w:r>
      <w:r w:rsidRPr="00D41D25">
        <w:rPr>
          <w:rFonts w:eastAsiaTheme="minorEastAsia"/>
          <w:i/>
          <w:iCs/>
          <w:lang w:val="en-GB"/>
        </w:rPr>
        <w:fldChar w:fldCharType="separate"/>
      </w:r>
      <w:r w:rsidR="00577F37">
        <w:rPr>
          <w:rFonts w:eastAsiaTheme="minorEastAsia"/>
          <w:lang w:val="en-GB"/>
        </w:rPr>
        <w:t>2</w:t>
      </w:r>
      <w:r w:rsidRPr="00D41D25">
        <w:rPr>
          <w:rFonts w:eastAsiaTheme="minorEastAsia"/>
          <w:i/>
          <w:iCs/>
          <w:lang w:val="en-GB"/>
        </w:rPr>
        <w:fldChar w:fldCharType="end"/>
      </w:r>
      <w:bookmarkEnd w:id="2"/>
      <w:r w:rsidRPr="00D41D25">
        <w:rPr>
          <w:rFonts w:eastAsiaTheme="minorEastAsia"/>
          <w:lang w:val="en-GB"/>
        </w:rPr>
        <w:t>: Overview of office projects</w:t>
      </w:r>
      <w:r w:rsidR="00B1513C" w:rsidRPr="00D41D25">
        <w:rPr>
          <w:rFonts w:eastAsiaTheme="minorEastAsia"/>
          <w:lang w:val="en-GB"/>
        </w:rPr>
        <w:t xml:space="preserve"> </w:t>
      </w:r>
    </w:p>
    <w:tbl>
      <w:tblPr>
        <w:tblStyle w:val="MDPI41threelinetable"/>
        <w:tblW w:w="7859" w:type="dxa"/>
        <w:jc w:val="left"/>
        <w:tblInd w:w="2608" w:type="dxa"/>
        <w:tblLook w:val="0420" w:firstRow="1" w:lastRow="0" w:firstColumn="0" w:lastColumn="0" w:noHBand="0" w:noVBand="1"/>
      </w:tblPr>
      <w:tblGrid>
        <w:gridCol w:w="1068"/>
        <w:gridCol w:w="701"/>
        <w:gridCol w:w="1549"/>
        <w:gridCol w:w="1122"/>
        <w:gridCol w:w="1267"/>
        <w:gridCol w:w="1265"/>
        <w:gridCol w:w="887"/>
      </w:tblGrid>
      <w:tr w:rsidR="009737FB" w:rsidRPr="00D41D25" w14:paraId="4AB6FE14" w14:textId="77777777" w:rsidTr="0086642C">
        <w:trPr>
          <w:cnfStyle w:val="100000000000" w:firstRow="1" w:lastRow="0" w:firstColumn="0" w:lastColumn="0" w:oddVBand="0" w:evenVBand="0" w:oddHBand="0" w:evenHBand="0" w:firstRowFirstColumn="0" w:firstRowLastColumn="0" w:lastRowFirstColumn="0" w:lastRowLastColumn="0"/>
          <w:trHeight w:val="576"/>
          <w:jc w:val="left"/>
        </w:trPr>
        <w:tc>
          <w:tcPr>
            <w:tcW w:w="679" w:type="pct"/>
            <w:hideMark/>
          </w:tcPr>
          <w:p w14:paraId="098B6E3E" w14:textId="77777777" w:rsidR="00D86E27" w:rsidRPr="00D41D25" w:rsidRDefault="00D86E27" w:rsidP="0033476B">
            <w:pPr>
              <w:pStyle w:val="MDPI42tablebody"/>
              <w:rPr>
                <w:color w:val="auto"/>
                <w:lang w:val="en-GB"/>
              </w:rPr>
            </w:pPr>
            <w:r w:rsidRPr="00D41D25">
              <w:rPr>
                <w:lang w:val="en-GB"/>
              </w:rPr>
              <w:t>Project number</w:t>
            </w:r>
          </w:p>
        </w:tc>
        <w:tc>
          <w:tcPr>
            <w:tcW w:w="445" w:type="pct"/>
            <w:hideMark/>
          </w:tcPr>
          <w:p w14:paraId="4510FE6A" w14:textId="77777777" w:rsidR="00D86E27" w:rsidRPr="00D41D25" w:rsidRDefault="00D86E27" w:rsidP="0033476B">
            <w:pPr>
              <w:pStyle w:val="MDPI42tablebody"/>
              <w:rPr>
                <w:color w:val="auto"/>
                <w:lang w:val="en-GB"/>
              </w:rPr>
            </w:pPr>
            <w:r w:rsidRPr="00D41D25">
              <w:rPr>
                <w:lang w:val="en-GB"/>
              </w:rPr>
              <w:t>Year</w:t>
            </w:r>
          </w:p>
        </w:tc>
        <w:tc>
          <w:tcPr>
            <w:tcW w:w="985" w:type="pct"/>
            <w:hideMark/>
          </w:tcPr>
          <w:p w14:paraId="37FD03B2" w14:textId="77777777" w:rsidR="00D86E27" w:rsidRPr="00D41D25" w:rsidRDefault="00D86E27" w:rsidP="0033476B">
            <w:pPr>
              <w:pStyle w:val="MDPI42tablebody"/>
              <w:rPr>
                <w:color w:val="auto"/>
                <w:lang w:val="en-GB"/>
              </w:rPr>
            </w:pPr>
            <w:r w:rsidRPr="00D41D25">
              <w:rPr>
                <w:lang w:val="en-GB"/>
              </w:rPr>
              <w:t>Office type</w:t>
            </w:r>
          </w:p>
        </w:tc>
        <w:tc>
          <w:tcPr>
            <w:tcW w:w="714" w:type="pct"/>
          </w:tcPr>
          <w:p w14:paraId="00839FAE" w14:textId="77777777" w:rsidR="00D86E27" w:rsidRPr="00D41D25" w:rsidRDefault="00D86E27" w:rsidP="0033476B">
            <w:pPr>
              <w:pStyle w:val="MDPI42tablebody"/>
              <w:rPr>
                <w:lang w:val="en-GB"/>
              </w:rPr>
            </w:pPr>
            <w:r w:rsidRPr="00D41D25">
              <w:rPr>
                <w:lang w:val="en-GB"/>
              </w:rPr>
              <w:t>Number of Workstations</w:t>
            </w:r>
          </w:p>
        </w:tc>
        <w:tc>
          <w:tcPr>
            <w:tcW w:w="806" w:type="pct"/>
            <w:hideMark/>
          </w:tcPr>
          <w:p w14:paraId="54918BC9" w14:textId="20250EA0" w:rsidR="00D86E27" w:rsidRPr="00D41D25" w:rsidRDefault="00D86E27" w:rsidP="0033476B">
            <w:pPr>
              <w:pStyle w:val="MDPI42tablebody"/>
              <w:rPr>
                <w:color w:val="auto"/>
                <w:lang w:val="en-GB"/>
              </w:rPr>
            </w:pPr>
            <w:r w:rsidRPr="00D41D25">
              <w:rPr>
                <w:lang w:val="en-GB"/>
              </w:rPr>
              <w:t>Number of observ</w:t>
            </w:r>
            <w:r w:rsidR="000D3491" w:rsidRPr="00D41D25">
              <w:rPr>
                <w:lang w:val="en-GB"/>
              </w:rPr>
              <w:t>ations</w:t>
            </w:r>
          </w:p>
        </w:tc>
        <w:tc>
          <w:tcPr>
            <w:tcW w:w="805" w:type="pct"/>
            <w:hideMark/>
          </w:tcPr>
          <w:p w14:paraId="6EAC72FD" w14:textId="76626729" w:rsidR="00D86E27" w:rsidRPr="00D41D25" w:rsidRDefault="0094771E" w:rsidP="0033476B">
            <w:pPr>
              <w:pStyle w:val="MDPI42tablebody"/>
              <w:rPr>
                <w:color w:val="auto"/>
                <w:lang w:val="en-GB"/>
              </w:rPr>
            </w:pPr>
            <w:r>
              <w:rPr>
                <w:lang w:val="en-GB"/>
              </w:rPr>
              <w:t xml:space="preserve">WS </w:t>
            </w:r>
            <w:r w:rsidR="00D86E27" w:rsidRPr="00D41D25">
              <w:rPr>
                <w:lang w:val="en-GB"/>
              </w:rPr>
              <w:t>Occupied</w:t>
            </w:r>
          </w:p>
        </w:tc>
        <w:tc>
          <w:tcPr>
            <w:tcW w:w="564" w:type="pct"/>
            <w:hideMark/>
          </w:tcPr>
          <w:p w14:paraId="68C43876" w14:textId="5AE6DB7F" w:rsidR="00D86E27" w:rsidRPr="00D41D25" w:rsidRDefault="0094771E" w:rsidP="0033476B">
            <w:pPr>
              <w:pStyle w:val="MDPI42tablebody"/>
              <w:rPr>
                <w:color w:val="auto"/>
                <w:lang w:val="en-GB"/>
              </w:rPr>
            </w:pPr>
            <w:r>
              <w:rPr>
                <w:lang w:val="en-GB"/>
              </w:rPr>
              <w:t xml:space="preserve">WS </w:t>
            </w:r>
            <w:r w:rsidR="00D86E27" w:rsidRPr="00D41D25">
              <w:rPr>
                <w:lang w:val="en-GB"/>
              </w:rPr>
              <w:t>Empty</w:t>
            </w:r>
          </w:p>
        </w:tc>
      </w:tr>
      <w:tr w:rsidR="009737FB" w:rsidRPr="00D41D25" w14:paraId="10D3AF02" w14:textId="77777777" w:rsidTr="0086642C">
        <w:trPr>
          <w:trHeight w:val="341"/>
          <w:jc w:val="left"/>
        </w:trPr>
        <w:tc>
          <w:tcPr>
            <w:tcW w:w="679" w:type="pct"/>
            <w:hideMark/>
          </w:tcPr>
          <w:p w14:paraId="693E1EBA" w14:textId="06ADBE7F" w:rsidR="00D86E27" w:rsidRPr="00D41D25" w:rsidRDefault="00BA5CB1" w:rsidP="0033476B">
            <w:pPr>
              <w:pStyle w:val="MDPI42tablebody"/>
              <w:rPr>
                <w:color w:val="auto"/>
                <w:lang w:val="en-GB"/>
              </w:rPr>
            </w:pPr>
            <w:r w:rsidRPr="00D41D25">
              <w:rPr>
                <w:lang w:val="en-GB"/>
              </w:rPr>
              <w:t>O</w:t>
            </w:r>
            <w:r w:rsidR="00D86E27" w:rsidRPr="00D41D25">
              <w:rPr>
                <w:lang w:val="en-GB"/>
              </w:rPr>
              <w:t>1</w:t>
            </w:r>
          </w:p>
        </w:tc>
        <w:tc>
          <w:tcPr>
            <w:tcW w:w="445" w:type="pct"/>
            <w:hideMark/>
          </w:tcPr>
          <w:p w14:paraId="0F2DC121" w14:textId="77777777" w:rsidR="00D86E27" w:rsidRPr="00D41D25" w:rsidRDefault="00D86E27" w:rsidP="0033476B">
            <w:pPr>
              <w:pStyle w:val="MDPI42tablebody"/>
              <w:rPr>
                <w:color w:val="auto"/>
                <w:lang w:val="en-GB"/>
              </w:rPr>
            </w:pPr>
            <w:r w:rsidRPr="00D41D25">
              <w:rPr>
                <w:lang w:val="en-GB"/>
              </w:rPr>
              <w:t>2011</w:t>
            </w:r>
          </w:p>
        </w:tc>
        <w:tc>
          <w:tcPr>
            <w:tcW w:w="985" w:type="pct"/>
            <w:hideMark/>
          </w:tcPr>
          <w:p w14:paraId="6956D69E" w14:textId="77777777" w:rsidR="00D86E27" w:rsidRPr="00D41D25" w:rsidRDefault="00D86E27" w:rsidP="0033476B">
            <w:pPr>
              <w:pStyle w:val="MDPI42tablebody"/>
              <w:rPr>
                <w:color w:val="auto"/>
                <w:lang w:val="en-GB"/>
              </w:rPr>
            </w:pPr>
            <w:r w:rsidRPr="00D41D25">
              <w:rPr>
                <w:lang w:val="en-GB"/>
              </w:rPr>
              <w:t>ABW</w:t>
            </w:r>
          </w:p>
        </w:tc>
        <w:tc>
          <w:tcPr>
            <w:tcW w:w="714" w:type="pct"/>
          </w:tcPr>
          <w:p w14:paraId="43745E1D" w14:textId="77777777" w:rsidR="00D86E27" w:rsidRPr="00D41D25" w:rsidRDefault="00D86E27" w:rsidP="0033476B">
            <w:pPr>
              <w:pStyle w:val="MDPI42tablebody"/>
              <w:rPr>
                <w:rFonts w:cs="Calibri"/>
                <w:lang w:val="en-GB"/>
              </w:rPr>
            </w:pPr>
            <w:r w:rsidRPr="00D41D25">
              <w:rPr>
                <w:lang w:val="en-GB"/>
              </w:rPr>
              <w:t>80</w:t>
            </w:r>
          </w:p>
        </w:tc>
        <w:tc>
          <w:tcPr>
            <w:tcW w:w="806" w:type="pct"/>
            <w:hideMark/>
          </w:tcPr>
          <w:p w14:paraId="624B5BE5" w14:textId="77777777" w:rsidR="00D86E27" w:rsidRPr="00D41D25" w:rsidRDefault="00D86E27" w:rsidP="0033476B">
            <w:pPr>
              <w:pStyle w:val="MDPI42tablebody"/>
              <w:rPr>
                <w:color w:val="auto"/>
                <w:lang w:val="en-GB"/>
              </w:rPr>
            </w:pPr>
            <w:r w:rsidRPr="00D41D25">
              <w:rPr>
                <w:rFonts w:cs="Calibri"/>
                <w:lang w:val="en-GB"/>
              </w:rPr>
              <w:t>5891</w:t>
            </w:r>
          </w:p>
        </w:tc>
        <w:tc>
          <w:tcPr>
            <w:tcW w:w="805" w:type="pct"/>
            <w:hideMark/>
          </w:tcPr>
          <w:p w14:paraId="00114679" w14:textId="77777777" w:rsidR="00D86E27" w:rsidRPr="00D41D25" w:rsidRDefault="00D86E27" w:rsidP="0033476B">
            <w:pPr>
              <w:pStyle w:val="MDPI42tablebody"/>
              <w:rPr>
                <w:color w:val="auto"/>
                <w:lang w:val="en-GB"/>
              </w:rPr>
            </w:pPr>
            <w:r w:rsidRPr="00D41D25">
              <w:rPr>
                <w:lang w:val="en-GB"/>
              </w:rPr>
              <w:t>48%</w:t>
            </w:r>
          </w:p>
        </w:tc>
        <w:tc>
          <w:tcPr>
            <w:tcW w:w="564" w:type="pct"/>
            <w:hideMark/>
          </w:tcPr>
          <w:p w14:paraId="31C9411C" w14:textId="77777777" w:rsidR="00D86E27" w:rsidRPr="00D41D25" w:rsidRDefault="00D86E27" w:rsidP="0033476B">
            <w:pPr>
              <w:pStyle w:val="MDPI42tablebody"/>
              <w:rPr>
                <w:color w:val="auto"/>
                <w:lang w:val="en-GB"/>
              </w:rPr>
            </w:pPr>
            <w:r w:rsidRPr="00D41D25">
              <w:rPr>
                <w:lang w:val="en-GB"/>
              </w:rPr>
              <w:t>52%</w:t>
            </w:r>
          </w:p>
        </w:tc>
      </w:tr>
      <w:tr w:rsidR="009737FB" w:rsidRPr="00D41D25" w14:paraId="403C05E1" w14:textId="77777777" w:rsidTr="0086642C">
        <w:trPr>
          <w:trHeight w:val="321"/>
          <w:jc w:val="left"/>
        </w:trPr>
        <w:tc>
          <w:tcPr>
            <w:tcW w:w="679" w:type="pct"/>
            <w:hideMark/>
          </w:tcPr>
          <w:p w14:paraId="23EDAD0E" w14:textId="5271D518" w:rsidR="00D86E27" w:rsidRPr="00D41D25" w:rsidRDefault="00BA5CB1" w:rsidP="0033476B">
            <w:pPr>
              <w:pStyle w:val="MDPI42tablebody"/>
              <w:rPr>
                <w:color w:val="auto"/>
                <w:lang w:val="en-GB"/>
              </w:rPr>
            </w:pPr>
            <w:r w:rsidRPr="00D41D25">
              <w:rPr>
                <w:lang w:val="en-GB"/>
              </w:rPr>
              <w:t>O</w:t>
            </w:r>
            <w:r w:rsidR="00D86E27" w:rsidRPr="00D41D25">
              <w:rPr>
                <w:lang w:val="en-GB"/>
              </w:rPr>
              <w:t>2</w:t>
            </w:r>
          </w:p>
        </w:tc>
        <w:tc>
          <w:tcPr>
            <w:tcW w:w="445" w:type="pct"/>
            <w:hideMark/>
          </w:tcPr>
          <w:p w14:paraId="7014B6F1" w14:textId="77777777" w:rsidR="00D86E27" w:rsidRPr="00D41D25" w:rsidRDefault="00D86E27" w:rsidP="0033476B">
            <w:pPr>
              <w:pStyle w:val="MDPI42tablebody"/>
              <w:rPr>
                <w:color w:val="auto"/>
                <w:lang w:val="en-GB"/>
              </w:rPr>
            </w:pPr>
            <w:r w:rsidRPr="00D41D25">
              <w:rPr>
                <w:lang w:val="en-GB"/>
              </w:rPr>
              <w:t>2011</w:t>
            </w:r>
          </w:p>
        </w:tc>
        <w:tc>
          <w:tcPr>
            <w:tcW w:w="985" w:type="pct"/>
            <w:hideMark/>
          </w:tcPr>
          <w:p w14:paraId="65BB38FB" w14:textId="77777777" w:rsidR="00D86E27" w:rsidRPr="00D41D25" w:rsidRDefault="00D86E27" w:rsidP="0033476B">
            <w:pPr>
              <w:pStyle w:val="MDPI42tablebody"/>
              <w:rPr>
                <w:color w:val="auto"/>
                <w:lang w:val="en-GB"/>
              </w:rPr>
            </w:pPr>
            <w:r w:rsidRPr="00D41D25">
              <w:rPr>
                <w:lang w:val="en-GB"/>
              </w:rPr>
              <w:t>Open structure</w:t>
            </w:r>
          </w:p>
        </w:tc>
        <w:tc>
          <w:tcPr>
            <w:tcW w:w="714" w:type="pct"/>
          </w:tcPr>
          <w:p w14:paraId="5A85D1B8" w14:textId="77777777" w:rsidR="00D86E27" w:rsidRPr="00D41D25" w:rsidRDefault="00D86E27" w:rsidP="0033476B">
            <w:pPr>
              <w:pStyle w:val="MDPI42tablebody"/>
              <w:rPr>
                <w:rFonts w:cs="Calibri"/>
                <w:lang w:val="en-GB"/>
              </w:rPr>
            </w:pPr>
            <w:r w:rsidRPr="00D41D25">
              <w:rPr>
                <w:lang w:val="en-GB"/>
              </w:rPr>
              <w:t>91</w:t>
            </w:r>
          </w:p>
        </w:tc>
        <w:tc>
          <w:tcPr>
            <w:tcW w:w="806" w:type="pct"/>
            <w:hideMark/>
          </w:tcPr>
          <w:p w14:paraId="5ACB6632" w14:textId="77777777" w:rsidR="00D86E27" w:rsidRPr="00D41D25" w:rsidRDefault="00D86E27" w:rsidP="0033476B">
            <w:pPr>
              <w:pStyle w:val="MDPI42tablebody"/>
              <w:rPr>
                <w:color w:val="auto"/>
                <w:lang w:val="en-GB"/>
              </w:rPr>
            </w:pPr>
            <w:r w:rsidRPr="00D41D25">
              <w:rPr>
                <w:rFonts w:cs="Calibri"/>
                <w:lang w:val="en-GB"/>
              </w:rPr>
              <w:t>4632</w:t>
            </w:r>
          </w:p>
        </w:tc>
        <w:tc>
          <w:tcPr>
            <w:tcW w:w="805" w:type="pct"/>
            <w:hideMark/>
          </w:tcPr>
          <w:p w14:paraId="481C6AA6" w14:textId="77777777" w:rsidR="00D86E27" w:rsidRPr="00D41D25" w:rsidRDefault="00D86E27" w:rsidP="0033476B">
            <w:pPr>
              <w:pStyle w:val="MDPI42tablebody"/>
              <w:rPr>
                <w:color w:val="auto"/>
                <w:lang w:val="en-GB"/>
              </w:rPr>
            </w:pPr>
            <w:r w:rsidRPr="00D41D25">
              <w:rPr>
                <w:lang w:val="en-GB"/>
              </w:rPr>
              <w:t>41%</w:t>
            </w:r>
          </w:p>
        </w:tc>
        <w:tc>
          <w:tcPr>
            <w:tcW w:w="564" w:type="pct"/>
            <w:hideMark/>
          </w:tcPr>
          <w:p w14:paraId="05343E05" w14:textId="77777777" w:rsidR="00D86E27" w:rsidRPr="00D41D25" w:rsidRDefault="00D86E27" w:rsidP="0033476B">
            <w:pPr>
              <w:pStyle w:val="MDPI42tablebody"/>
              <w:rPr>
                <w:color w:val="auto"/>
                <w:lang w:val="en-GB"/>
              </w:rPr>
            </w:pPr>
            <w:r w:rsidRPr="00D41D25">
              <w:rPr>
                <w:lang w:val="en-GB"/>
              </w:rPr>
              <w:t>59%</w:t>
            </w:r>
          </w:p>
        </w:tc>
      </w:tr>
      <w:tr w:rsidR="009737FB" w:rsidRPr="00D41D25" w14:paraId="2B23A2A1" w14:textId="77777777" w:rsidTr="0086642C">
        <w:trPr>
          <w:trHeight w:val="321"/>
          <w:jc w:val="left"/>
        </w:trPr>
        <w:tc>
          <w:tcPr>
            <w:tcW w:w="679" w:type="pct"/>
            <w:hideMark/>
          </w:tcPr>
          <w:p w14:paraId="59BA6E31" w14:textId="7408D414" w:rsidR="00D86E27" w:rsidRPr="00D41D25" w:rsidRDefault="00BA5CB1" w:rsidP="0033476B">
            <w:pPr>
              <w:pStyle w:val="MDPI42tablebody"/>
              <w:rPr>
                <w:color w:val="auto"/>
                <w:lang w:val="en-GB"/>
              </w:rPr>
            </w:pPr>
            <w:r w:rsidRPr="00D41D25">
              <w:rPr>
                <w:lang w:val="en-GB"/>
              </w:rPr>
              <w:t>O</w:t>
            </w:r>
            <w:r w:rsidR="00D86E27" w:rsidRPr="00D41D25">
              <w:rPr>
                <w:lang w:val="en-GB"/>
              </w:rPr>
              <w:t>3</w:t>
            </w:r>
          </w:p>
        </w:tc>
        <w:tc>
          <w:tcPr>
            <w:tcW w:w="445" w:type="pct"/>
            <w:hideMark/>
          </w:tcPr>
          <w:p w14:paraId="60222564" w14:textId="77777777" w:rsidR="00D86E27" w:rsidRPr="00D41D25" w:rsidRDefault="00D86E27" w:rsidP="0033476B">
            <w:pPr>
              <w:pStyle w:val="MDPI42tablebody"/>
              <w:rPr>
                <w:color w:val="auto"/>
                <w:lang w:val="en-GB"/>
              </w:rPr>
            </w:pPr>
            <w:r w:rsidRPr="00D41D25">
              <w:rPr>
                <w:lang w:val="en-GB"/>
              </w:rPr>
              <w:t>2011</w:t>
            </w:r>
          </w:p>
        </w:tc>
        <w:tc>
          <w:tcPr>
            <w:tcW w:w="985" w:type="pct"/>
            <w:hideMark/>
          </w:tcPr>
          <w:p w14:paraId="19015422" w14:textId="77777777" w:rsidR="00D86E27" w:rsidRPr="00D41D25" w:rsidRDefault="00D86E27" w:rsidP="0033476B">
            <w:pPr>
              <w:pStyle w:val="MDPI42tablebody"/>
              <w:rPr>
                <w:color w:val="auto"/>
                <w:lang w:val="en-GB"/>
              </w:rPr>
            </w:pPr>
            <w:r w:rsidRPr="00D41D25">
              <w:rPr>
                <w:lang w:val="en-GB"/>
              </w:rPr>
              <w:t>Open structure</w:t>
            </w:r>
          </w:p>
        </w:tc>
        <w:tc>
          <w:tcPr>
            <w:tcW w:w="714" w:type="pct"/>
          </w:tcPr>
          <w:p w14:paraId="630557EB" w14:textId="77777777" w:rsidR="00D86E27" w:rsidRPr="00D41D25" w:rsidRDefault="00D86E27" w:rsidP="0033476B">
            <w:pPr>
              <w:pStyle w:val="MDPI42tablebody"/>
              <w:rPr>
                <w:rFonts w:cs="Calibri"/>
                <w:lang w:val="en-GB"/>
              </w:rPr>
            </w:pPr>
            <w:r w:rsidRPr="00D41D25">
              <w:rPr>
                <w:lang w:val="en-GB"/>
              </w:rPr>
              <w:t>154</w:t>
            </w:r>
          </w:p>
        </w:tc>
        <w:tc>
          <w:tcPr>
            <w:tcW w:w="806" w:type="pct"/>
            <w:hideMark/>
          </w:tcPr>
          <w:p w14:paraId="5F0ABBB8" w14:textId="77777777" w:rsidR="00D86E27" w:rsidRPr="00D41D25" w:rsidRDefault="00D86E27" w:rsidP="0033476B">
            <w:pPr>
              <w:pStyle w:val="MDPI42tablebody"/>
              <w:rPr>
                <w:color w:val="auto"/>
                <w:lang w:val="en-GB"/>
              </w:rPr>
            </w:pPr>
            <w:r w:rsidRPr="00D41D25">
              <w:rPr>
                <w:rFonts w:cs="Calibri"/>
                <w:lang w:val="en-GB"/>
              </w:rPr>
              <w:t>6599</w:t>
            </w:r>
          </w:p>
        </w:tc>
        <w:tc>
          <w:tcPr>
            <w:tcW w:w="805" w:type="pct"/>
            <w:hideMark/>
          </w:tcPr>
          <w:p w14:paraId="39D06A85" w14:textId="77777777" w:rsidR="00D86E27" w:rsidRPr="00D41D25" w:rsidRDefault="00D86E27" w:rsidP="0033476B">
            <w:pPr>
              <w:pStyle w:val="MDPI42tablebody"/>
              <w:rPr>
                <w:color w:val="auto"/>
                <w:lang w:val="en-GB"/>
              </w:rPr>
            </w:pPr>
            <w:r w:rsidRPr="00D41D25">
              <w:rPr>
                <w:lang w:val="en-GB"/>
              </w:rPr>
              <w:t>39%</w:t>
            </w:r>
          </w:p>
        </w:tc>
        <w:tc>
          <w:tcPr>
            <w:tcW w:w="564" w:type="pct"/>
            <w:hideMark/>
          </w:tcPr>
          <w:p w14:paraId="0B9340A5" w14:textId="77777777" w:rsidR="00D86E27" w:rsidRPr="00D41D25" w:rsidRDefault="00D86E27" w:rsidP="0033476B">
            <w:pPr>
              <w:pStyle w:val="MDPI42tablebody"/>
              <w:rPr>
                <w:color w:val="auto"/>
                <w:lang w:val="en-GB"/>
              </w:rPr>
            </w:pPr>
            <w:r w:rsidRPr="00D41D25">
              <w:rPr>
                <w:lang w:val="en-GB"/>
              </w:rPr>
              <w:t>61%</w:t>
            </w:r>
          </w:p>
        </w:tc>
      </w:tr>
      <w:tr w:rsidR="009737FB" w:rsidRPr="00D41D25" w14:paraId="34BED9D5" w14:textId="77777777" w:rsidTr="0086642C">
        <w:trPr>
          <w:trHeight w:val="321"/>
          <w:jc w:val="left"/>
        </w:trPr>
        <w:tc>
          <w:tcPr>
            <w:tcW w:w="679" w:type="pct"/>
            <w:hideMark/>
          </w:tcPr>
          <w:p w14:paraId="1122C62B" w14:textId="11BD05B8" w:rsidR="00D86E27" w:rsidRPr="00D41D25" w:rsidRDefault="00BA5CB1" w:rsidP="0033476B">
            <w:pPr>
              <w:pStyle w:val="MDPI42tablebody"/>
              <w:rPr>
                <w:color w:val="auto"/>
                <w:lang w:val="en-GB"/>
              </w:rPr>
            </w:pPr>
            <w:r w:rsidRPr="00D41D25">
              <w:rPr>
                <w:lang w:val="en-GB"/>
              </w:rPr>
              <w:t>O</w:t>
            </w:r>
            <w:r w:rsidR="00D86E27" w:rsidRPr="00D41D25">
              <w:rPr>
                <w:lang w:val="en-GB"/>
              </w:rPr>
              <w:t>4</w:t>
            </w:r>
          </w:p>
        </w:tc>
        <w:tc>
          <w:tcPr>
            <w:tcW w:w="445" w:type="pct"/>
            <w:hideMark/>
          </w:tcPr>
          <w:p w14:paraId="7E1924A0" w14:textId="77777777" w:rsidR="00D86E27" w:rsidRPr="00D41D25" w:rsidRDefault="00D86E27" w:rsidP="0033476B">
            <w:pPr>
              <w:pStyle w:val="MDPI42tablebody"/>
              <w:rPr>
                <w:color w:val="auto"/>
                <w:lang w:val="en-GB"/>
              </w:rPr>
            </w:pPr>
            <w:r w:rsidRPr="00D41D25">
              <w:rPr>
                <w:lang w:val="en-GB"/>
              </w:rPr>
              <w:t>2011</w:t>
            </w:r>
          </w:p>
        </w:tc>
        <w:tc>
          <w:tcPr>
            <w:tcW w:w="985" w:type="pct"/>
            <w:hideMark/>
          </w:tcPr>
          <w:p w14:paraId="259F197E" w14:textId="77777777" w:rsidR="00D86E27" w:rsidRPr="00D41D25" w:rsidRDefault="00D86E27" w:rsidP="0033476B">
            <w:pPr>
              <w:pStyle w:val="MDPI42tablebody"/>
              <w:rPr>
                <w:color w:val="auto"/>
                <w:lang w:val="en-GB"/>
              </w:rPr>
            </w:pPr>
            <w:r w:rsidRPr="00D41D25">
              <w:rPr>
                <w:lang w:val="en-GB"/>
              </w:rPr>
              <w:t>Open structure</w:t>
            </w:r>
          </w:p>
        </w:tc>
        <w:tc>
          <w:tcPr>
            <w:tcW w:w="714" w:type="pct"/>
          </w:tcPr>
          <w:p w14:paraId="63A1CAEB" w14:textId="77777777" w:rsidR="00D86E27" w:rsidRPr="00D41D25" w:rsidRDefault="00D86E27" w:rsidP="0033476B">
            <w:pPr>
              <w:pStyle w:val="MDPI42tablebody"/>
              <w:rPr>
                <w:rFonts w:cs="Calibri"/>
                <w:lang w:val="en-GB"/>
              </w:rPr>
            </w:pPr>
            <w:r w:rsidRPr="00D41D25">
              <w:rPr>
                <w:lang w:val="en-GB"/>
              </w:rPr>
              <w:t>207</w:t>
            </w:r>
          </w:p>
        </w:tc>
        <w:tc>
          <w:tcPr>
            <w:tcW w:w="806" w:type="pct"/>
            <w:hideMark/>
          </w:tcPr>
          <w:p w14:paraId="50F27289" w14:textId="77777777" w:rsidR="00D86E27" w:rsidRPr="00D41D25" w:rsidRDefault="00D86E27" w:rsidP="0033476B">
            <w:pPr>
              <w:pStyle w:val="MDPI42tablebody"/>
              <w:rPr>
                <w:color w:val="auto"/>
                <w:lang w:val="en-GB"/>
              </w:rPr>
            </w:pPr>
            <w:r w:rsidRPr="00D41D25">
              <w:rPr>
                <w:rFonts w:cs="Calibri"/>
                <w:lang w:val="en-GB"/>
              </w:rPr>
              <w:t>6523</w:t>
            </w:r>
          </w:p>
        </w:tc>
        <w:tc>
          <w:tcPr>
            <w:tcW w:w="805" w:type="pct"/>
            <w:hideMark/>
          </w:tcPr>
          <w:p w14:paraId="0020D175" w14:textId="77777777" w:rsidR="00D86E27" w:rsidRPr="00D41D25" w:rsidRDefault="00D86E27" w:rsidP="0033476B">
            <w:pPr>
              <w:pStyle w:val="MDPI42tablebody"/>
              <w:rPr>
                <w:color w:val="auto"/>
                <w:lang w:val="en-GB"/>
              </w:rPr>
            </w:pPr>
            <w:r w:rsidRPr="00D41D25">
              <w:rPr>
                <w:lang w:val="en-GB"/>
              </w:rPr>
              <w:t>38%</w:t>
            </w:r>
          </w:p>
        </w:tc>
        <w:tc>
          <w:tcPr>
            <w:tcW w:w="564" w:type="pct"/>
            <w:hideMark/>
          </w:tcPr>
          <w:p w14:paraId="06102743" w14:textId="77777777" w:rsidR="00D86E27" w:rsidRPr="00D41D25" w:rsidRDefault="00D86E27" w:rsidP="0033476B">
            <w:pPr>
              <w:pStyle w:val="MDPI42tablebody"/>
              <w:rPr>
                <w:color w:val="auto"/>
                <w:lang w:val="en-GB"/>
              </w:rPr>
            </w:pPr>
            <w:r w:rsidRPr="00D41D25">
              <w:rPr>
                <w:lang w:val="en-GB"/>
              </w:rPr>
              <w:t>62%</w:t>
            </w:r>
          </w:p>
        </w:tc>
      </w:tr>
      <w:tr w:rsidR="009737FB" w:rsidRPr="00D41D25" w14:paraId="56EEE0C9" w14:textId="77777777" w:rsidTr="0086642C">
        <w:trPr>
          <w:trHeight w:val="321"/>
          <w:jc w:val="left"/>
        </w:trPr>
        <w:tc>
          <w:tcPr>
            <w:tcW w:w="679" w:type="pct"/>
            <w:hideMark/>
          </w:tcPr>
          <w:p w14:paraId="18B793D6" w14:textId="1B912077" w:rsidR="00D86E27" w:rsidRPr="00D41D25" w:rsidRDefault="00BA5CB1" w:rsidP="0033476B">
            <w:pPr>
              <w:pStyle w:val="MDPI42tablebody"/>
              <w:rPr>
                <w:color w:val="auto"/>
                <w:lang w:val="en-GB"/>
              </w:rPr>
            </w:pPr>
            <w:r w:rsidRPr="00D41D25">
              <w:rPr>
                <w:lang w:val="en-GB"/>
              </w:rPr>
              <w:t>O</w:t>
            </w:r>
            <w:r w:rsidR="00D86E27" w:rsidRPr="00D41D25">
              <w:rPr>
                <w:lang w:val="en-GB"/>
              </w:rPr>
              <w:t>5</w:t>
            </w:r>
          </w:p>
        </w:tc>
        <w:tc>
          <w:tcPr>
            <w:tcW w:w="445" w:type="pct"/>
            <w:hideMark/>
          </w:tcPr>
          <w:p w14:paraId="55AF4907" w14:textId="77777777" w:rsidR="00D86E27" w:rsidRPr="00D41D25" w:rsidRDefault="00D86E27" w:rsidP="0033476B">
            <w:pPr>
              <w:pStyle w:val="MDPI42tablebody"/>
              <w:rPr>
                <w:color w:val="auto"/>
                <w:lang w:val="en-GB"/>
              </w:rPr>
            </w:pPr>
            <w:r w:rsidRPr="00D41D25">
              <w:rPr>
                <w:lang w:val="en-GB"/>
              </w:rPr>
              <w:t>2012</w:t>
            </w:r>
          </w:p>
        </w:tc>
        <w:tc>
          <w:tcPr>
            <w:tcW w:w="985" w:type="pct"/>
            <w:hideMark/>
          </w:tcPr>
          <w:p w14:paraId="4091704A" w14:textId="77777777" w:rsidR="00D86E27" w:rsidRPr="00D41D25" w:rsidRDefault="00D86E27" w:rsidP="0033476B">
            <w:pPr>
              <w:pStyle w:val="MDPI42tablebody"/>
              <w:rPr>
                <w:color w:val="auto"/>
                <w:lang w:val="en-GB"/>
              </w:rPr>
            </w:pPr>
            <w:r w:rsidRPr="00D41D25">
              <w:rPr>
                <w:lang w:val="en-GB"/>
              </w:rPr>
              <w:t>Open structure</w:t>
            </w:r>
          </w:p>
        </w:tc>
        <w:tc>
          <w:tcPr>
            <w:tcW w:w="714" w:type="pct"/>
          </w:tcPr>
          <w:p w14:paraId="268DA7D8" w14:textId="77777777" w:rsidR="00D86E27" w:rsidRPr="00D41D25" w:rsidRDefault="00D86E27" w:rsidP="0033476B">
            <w:pPr>
              <w:pStyle w:val="MDPI42tablebody"/>
              <w:rPr>
                <w:rFonts w:cs="Calibri"/>
                <w:lang w:val="en-GB"/>
              </w:rPr>
            </w:pPr>
            <w:r w:rsidRPr="00D41D25">
              <w:rPr>
                <w:lang w:val="en-GB"/>
              </w:rPr>
              <w:t>116</w:t>
            </w:r>
          </w:p>
        </w:tc>
        <w:tc>
          <w:tcPr>
            <w:tcW w:w="806" w:type="pct"/>
            <w:hideMark/>
          </w:tcPr>
          <w:p w14:paraId="236CBE98" w14:textId="77777777" w:rsidR="00D86E27" w:rsidRPr="00D41D25" w:rsidRDefault="00D86E27" w:rsidP="0033476B">
            <w:pPr>
              <w:pStyle w:val="MDPI42tablebody"/>
              <w:rPr>
                <w:color w:val="auto"/>
                <w:lang w:val="en-GB"/>
              </w:rPr>
            </w:pPr>
            <w:r w:rsidRPr="00D41D25">
              <w:rPr>
                <w:rFonts w:cs="Calibri"/>
                <w:lang w:val="en-GB"/>
              </w:rPr>
              <w:t>6240</w:t>
            </w:r>
          </w:p>
        </w:tc>
        <w:tc>
          <w:tcPr>
            <w:tcW w:w="805" w:type="pct"/>
            <w:hideMark/>
          </w:tcPr>
          <w:p w14:paraId="1DD89EBE" w14:textId="77777777" w:rsidR="00D86E27" w:rsidRPr="00D41D25" w:rsidRDefault="00D86E27" w:rsidP="0033476B">
            <w:pPr>
              <w:pStyle w:val="MDPI42tablebody"/>
              <w:rPr>
                <w:color w:val="auto"/>
                <w:lang w:val="en-GB"/>
              </w:rPr>
            </w:pPr>
            <w:r w:rsidRPr="00D41D25">
              <w:rPr>
                <w:lang w:val="en-GB"/>
              </w:rPr>
              <w:t>42%</w:t>
            </w:r>
          </w:p>
        </w:tc>
        <w:tc>
          <w:tcPr>
            <w:tcW w:w="564" w:type="pct"/>
            <w:hideMark/>
          </w:tcPr>
          <w:p w14:paraId="1A4EAA7B" w14:textId="77777777" w:rsidR="00D86E27" w:rsidRPr="00D41D25" w:rsidRDefault="00D86E27" w:rsidP="0033476B">
            <w:pPr>
              <w:pStyle w:val="MDPI42tablebody"/>
              <w:rPr>
                <w:color w:val="auto"/>
                <w:lang w:val="en-GB"/>
              </w:rPr>
            </w:pPr>
            <w:r w:rsidRPr="00D41D25">
              <w:rPr>
                <w:lang w:val="en-GB"/>
              </w:rPr>
              <w:t>58%</w:t>
            </w:r>
          </w:p>
        </w:tc>
      </w:tr>
      <w:tr w:rsidR="009737FB" w:rsidRPr="00D41D25" w14:paraId="19FDDF33" w14:textId="77777777" w:rsidTr="0086642C">
        <w:trPr>
          <w:trHeight w:val="321"/>
          <w:jc w:val="left"/>
        </w:trPr>
        <w:tc>
          <w:tcPr>
            <w:tcW w:w="679" w:type="pct"/>
            <w:hideMark/>
          </w:tcPr>
          <w:p w14:paraId="25327063" w14:textId="299726AF" w:rsidR="00D86E27" w:rsidRPr="00D41D25" w:rsidRDefault="00BA5CB1" w:rsidP="0033476B">
            <w:pPr>
              <w:pStyle w:val="MDPI42tablebody"/>
              <w:rPr>
                <w:color w:val="auto"/>
                <w:lang w:val="en-GB"/>
              </w:rPr>
            </w:pPr>
            <w:r w:rsidRPr="00D41D25">
              <w:rPr>
                <w:lang w:val="en-GB"/>
              </w:rPr>
              <w:t>O</w:t>
            </w:r>
            <w:r w:rsidR="00D86E27" w:rsidRPr="00D41D25">
              <w:rPr>
                <w:lang w:val="en-GB"/>
              </w:rPr>
              <w:t>6</w:t>
            </w:r>
          </w:p>
        </w:tc>
        <w:tc>
          <w:tcPr>
            <w:tcW w:w="445" w:type="pct"/>
            <w:hideMark/>
          </w:tcPr>
          <w:p w14:paraId="1B0E58FD" w14:textId="77777777" w:rsidR="00D86E27" w:rsidRPr="00D41D25" w:rsidRDefault="00D86E27" w:rsidP="0033476B">
            <w:pPr>
              <w:pStyle w:val="MDPI42tablebody"/>
              <w:rPr>
                <w:color w:val="auto"/>
                <w:lang w:val="en-GB"/>
              </w:rPr>
            </w:pPr>
            <w:r w:rsidRPr="00D41D25">
              <w:rPr>
                <w:lang w:val="en-GB"/>
              </w:rPr>
              <w:t>2012</w:t>
            </w:r>
          </w:p>
        </w:tc>
        <w:tc>
          <w:tcPr>
            <w:tcW w:w="985" w:type="pct"/>
            <w:hideMark/>
          </w:tcPr>
          <w:p w14:paraId="10789F48" w14:textId="77777777" w:rsidR="00D86E27" w:rsidRPr="00D41D25" w:rsidRDefault="00D86E27" w:rsidP="0033476B">
            <w:pPr>
              <w:pStyle w:val="MDPI42tablebody"/>
              <w:rPr>
                <w:color w:val="auto"/>
                <w:lang w:val="en-GB"/>
              </w:rPr>
            </w:pPr>
            <w:r w:rsidRPr="00D41D25">
              <w:rPr>
                <w:lang w:val="en-GB"/>
              </w:rPr>
              <w:t>Open structure</w:t>
            </w:r>
          </w:p>
        </w:tc>
        <w:tc>
          <w:tcPr>
            <w:tcW w:w="714" w:type="pct"/>
          </w:tcPr>
          <w:p w14:paraId="7E833790" w14:textId="77777777" w:rsidR="00D86E27" w:rsidRPr="00D41D25" w:rsidRDefault="00D86E27" w:rsidP="0033476B">
            <w:pPr>
              <w:pStyle w:val="MDPI42tablebody"/>
              <w:rPr>
                <w:rFonts w:cs="Calibri"/>
                <w:lang w:val="en-GB"/>
              </w:rPr>
            </w:pPr>
            <w:r w:rsidRPr="00D41D25">
              <w:rPr>
                <w:lang w:val="en-GB"/>
              </w:rPr>
              <w:t>143</w:t>
            </w:r>
          </w:p>
        </w:tc>
        <w:tc>
          <w:tcPr>
            <w:tcW w:w="806" w:type="pct"/>
            <w:hideMark/>
          </w:tcPr>
          <w:p w14:paraId="0AF7882D" w14:textId="77777777" w:rsidR="00D86E27" w:rsidRPr="00D41D25" w:rsidRDefault="00D86E27" w:rsidP="0033476B">
            <w:pPr>
              <w:pStyle w:val="MDPI42tablebody"/>
              <w:rPr>
                <w:color w:val="auto"/>
                <w:lang w:val="en-GB"/>
              </w:rPr>
            </w:pPr>
            <w:r w:rsidRPr="00D41D25">
              <w:rPr>
                <w:rFonts w:cs="Calibri"/>
                <w:lang w:val="en-GB"/>
              </w:rPr>
              <w:t>7687</w:t>
            </w:r>
          </w:p>
        </w:tc>
        <w:tc>
          <w:tcPr>
            <w:tcW w:w="805" w:type="pct"/>
            <w:hideMark/>
          </w:tcPr>
          <w:p w14:paraId="552FD95F" w14:textId="77777777" w:rsidR="00D86E27" w:rsidRPr="00D41D25" w:rsidRDefault="00D86E27" w:rsidP="0033476B">
            <w:pPr>
              <w:pStyle w:val="MDPI42tablebody"/>
              <w:rPr>
                <w:color w:val="auto"/>
                <w:lang w:val="en-GB"/>
              </w:rPr>
            </w:pPr>
            <w:r w:rsidRPr="00D41D25">
              <w:rPr>
                <w:lang w:val="en-GB"/>
              </w:rPr>
              <w:t>46%</w:t>
            </w:r>
          </w:p>
        </w:tc>
        <w:tc>
          <w:tcPr>
            <w:tcW w:w="564" w:type="pct"/>
            <w:hideMark/>
          </w:tcPr>
          <w:p w14:paraId="27B3061A" w14:textId="77777777" w:rsidR="00D86E27" w:rsidRPr="00D41D25" w:rsidRDefault="00D86E27" w:rsidP="0033476B">
            <w:pPr>
              <w:pStyle w:val="MDPI42tablebody"/>
              <w:rPr>
                <w:color w:val="auto"/>
                <w:lang w:val="en-GB"/>
              </w:rPr>
            </w:pPr>
            <w:r w:rsidRPr="00D41D25">
              <w:rPr>
                <w:lang w:val="en-GB"/>
              </w:rPr>
              <w:t>54%</w:t>
            </w:r>
          </w:p>
        </w:tc>
      </w:tr>
      <w:tr w:rsidR="009737FB" w:rsidRPr="00D41D25" w14:paraId="781AD557" w14:textId="77777777" w:rsidTr="0086642C">
        <w:trPr>
          <w:trHeight w:val="321"/>
          <w:jc w:val="left"/>
        </w:trPr>
        <w:tc>
          <w:tcPr>
            <w:tcW w:w="679" w:type="pct"/>
            <w:hideMark/>
          </w:tcPr>
          <w:p w14:paraId="3B687381" w14:textId="26B3DCEB" w:rsidR="00D86E27" w:rsidRPr="00D41D25" w:rsidRDefault="00BA5CB1" w:rsidP="0033476B">
            <w:pPr>
              <w:pStyle w:val="MDPI42tablebody"/>
              <w:rPr>
                <w:color w:val="auto"/>
                <w:lang w:val="en-GB"/>
              </w:rPr>
            </w:pPr>
            <w:r w:rsidRPr="00D41D25">
              <w:rPr>
                <w:lang w:val="en-GB"/>
              </w:rPr>
              <w:t>O</w:t>
            </w:r>
            <w:r w:rsidR="00D86E27" w:rsidRPr="00D41D25">
              <w:rPr>
                <w:lang w:val="en-GB"/>
              </w:rPr>
              <w:t>7</w:t>
            </w:r>
          </w:p>
        </w:tc>
        <w:tc>
          <w:tcPr>
            <w:tcW w:w="445" w:type="pct"/>
            <w:hideMark/>
          </w:tcPr>
          <w:p w14:paraId="3123FCBF" w14:textId="77777777" w:rsidR="00D86E27" w:rsidRPr="00D41D25" w:rsidRDefault="00D86E27" w:rsidP="0033476B">
            <w:pPr>
              <w:pStyle w:val="MDPI42tablebody"/>
              <w:rPr>
                <w:color w:val="auto"/>
                <w:lang w:val="en-GB"/>
              </w:rPr>
            </w:pPr>
            <w:r w:rsidRPr="00D41D25">
              <w:rPr>
                <w:lang w:val="en-GB"/>
              </w:rPr>
              <w:t>2013</w:t>
            </w:r>
          </w:p>
        </w:tc>
        <w:tc>
          <w:tcPr>
            <w:tcW w:w="985" w:type="pct"/>
            <w:hideMark/>
          </w:tcPr>
          <w:p w14:paraId="4CA3FFE8" w14:textId="77777777" w:rsidR="00D86E27" w:rsidRPr="00D41D25" w:rsidRDefault="00D86E27" w:rsidP="0033476B">
            <w:pPr>
              <w:pStyle w:val="MDPI42tablebody"/>
              <w:rPr>
                <w:color w:val="auto"/>
                <w:lang w:val="en-GB"/>
              </w:rPr>
            </w:pPr>
            <w:r w:rsidRPr="00D41D25">
              <w:rPr>
                <w:lang w:val="en-GB"/>
              </w:rPr>
              <w:t>Open structure</w:t>
            </w:r>
          </w:p>
        </w:tc>
        <w:tc>
          <w:tcPr>
            <w:tcW w:w="714" w:type="pct"/>
          </w:tcPr>
          <w:p w14:paraId="4A9D3CED" w14:textId="77777777" w:rsidR="00D86E27" w:rsidRPr="00D41D25" w:rsidRDefault="00D86E27" w:rsidP="0033476B">
            <w:pPr>
              <w:pStyle w:val="MDPI42tablebody"/>
              <w:rPr>
                <w:rFonts w:cs="Calibri"/>
                <w:lang w:val="en-GB"/>
              </w:rPr>
            </w:pPr>
            <w:r w:rsidRPr="00D41D25">
              <w:rPr>
                <w:lang w:val="en-GB"/>
              </w:rPr>
              <w:t>199</w:t>
            </w:r>
          </w:p>
        </w:tc>
        <w:tc>
          <w:tcPr>
            <w:tcW w:w="806" w:type="pct"/>
            <w:hideMark/>
          </w:tcPr>
          <w:p w14:paraId="0D371B2E" w14:textId="77777777" w:rsidR="00D86E27" w:rsidRPr="00D41D25" w:rsidRDefault="00D86E27" w:rsidP="0033476B">
            <w:pPr>
              <w:pStyle w:val="MDPI42tablebody"/>
              <w:rPr>
                <w:color w:val="auto"/>
                <w:lang w:val="en-GB"/>
              </w:rPr>
            </w:pPr>
            <w:r w:rsidRPr="00D41D25">
              <w:rPr>
                <w:rFonts w:cs="Calibri"/>
                <w:lang w:val="en-GB"/>
              </w:rPr>
              <w:t>10152</w:t>
            </w:r>
          </w:p>
        </w:tc>
        <w:tc>
          <w:tcPr>
            <w:tcW w:w="805" w:type="pct"/>
            <w:hideMark/>
          </w:tcPr>
          <w:p w14:paraId="161A6757" w14:textId="77777777" w:rsidR="00D86E27" w:rsidRPr="00D41D25" w:rsidRDefault="00D86E27" w:rsidP="0033476B">
            <w:pPr>
              <w:pStyle w:val="MDPI42tablebody"/>
              <w:rPr>
                <w:color w:val="auto"/>
                <w:lang w:val="en-GB"/>
              </w:rPr>
            </w:pPr>
            <w:r w:rsidRPr="00D41D25">
              <w:rPr>
                <w:lang w:val="en-GB"/>
              </w:rPr>
              <w:t>45%</w:t>
            </w:r>
          </w:p>
        </w:tc>
        <w:tc>
          <w:tcPr>
            <w:tcW w:w="564" w:type="pct"/>
            <w:hideMark/>
          </w:tcPr>
          <w:p w14:paraId="0DFB2DDB" w14:textId="77777777" w:rsidR="00D86E27" w:rsidRPr="00D41D25" w:rsidRDefault="00D86E27" w:rsidP="0033476B">
            <w:pPr>
              <w:pStyle w:val="MDPI42tablebody"/>
              <w:rPr>
                <w:color w:val="auto"/>
                <w:lang w:val="en-GB"/>
              </w:rPr>
            </w:pPr>
            <w:r w:rsidRPr="00D41D25">
              <w:rPr>
                <w:lang w:val="en-GB"/>
              </w:rPr>
              <w:t>55%</w:t>
            </w:r>
          </w:p>
        </w:tc>
      </w:tr>
      <w:tr w:rsidR="009737FB" w:rsidRPr="00D41D25" w14:paraId="567A5FD8" w14:textId="77777777" w:rsidTr="0086642C">
        <w:trPr>
          <w:trHeight w:val="321"/>
          <w:jc w:val="left"/>
        </w:trPr>
        <w:tc>
          <w:tcPr>
            <w:tcW w:w="679" w:type="pct"/>
            <w:hideMark/>
          </w:tcPr>
          <w:p w14:paraId="38775FF2" w14:textId="5D2EF8F0" w:rsidR="00D86E27" w:rsidRPr="00D41D25" w:rsidRDefault="00BA5CB1" w:rsidP="0033476B">
            <w:pPr>
              <w:pStyle w:val="MDPI42tablebody"/>
              <w:rPr>
                <w:color w:val="auto"/>
                <w:lang w:val="en-GB"/>
              </w:rPr>
            </w:pPr>
            <w:r w:rsidRPr="00D41D25">
              <w:rPr>
                <w:lang w:val="en-GB"/>
              </w:rPr>
              <w:t>O</w:t>
            </w:r>
            <w:r w:rsidR="00D86E27" w:rsidRPr="00D41D25">
              <w:rPr>
                <w:lang w:val="en-GB"/>
              </w:rPr>
              <w:t>8</w:t>
            </w:r>
          </w:p>
        </w:tc>
        <w:tc>
          <w:tcPr>
            <w:tcW w:w="445" w:type="pct"/>
            <w:hideMark/>
          </w:tcPr>
          <w:p w14:paraId="56A88BC6" w14:textId="77777777" w:rsidR="00D86E27" w:rsidRPr="00D41D25" w:rsidRDefault="00D86E27" w:rsidP="0033476B">
            <w:pPr>
              <w:pStyle w:val="MDPI42tablebody"/>
              <w:rPr>
                <w:color w:val="auto"/>
                <w:lang w:val="en-GB"/>
              </w:rPr>
            </w:pPr>
            <w:r w:rsidRPr="00D41D25">
              <w:rPr>
                <w:lang w:val="en-GB"/>
              </w:rPr>
              <w:t>2013</w:t>
            </w:r>
          </w:p>
        </w:tc>
        <w:tc>
          <w:tcPr>
            <w:tcW w:w="985" w:type="pct"/>
            <w:hideMark/>
          </w:tcPr>
          <w:p w14:paraId="1B070200" w14:textId="77777777" w:rsidR="00D86E27" w:rsidRPr="00D41D25" w:rsidRDefault="00D86E27" w:rsidP="0033476B">
            <w:pPr>
              <w:pStyle w:val="MDPI42tablebody"/>
              <w:rPr>
                <w:color w:val="auto"/>
                <w:lang w:val="en-GB"/>
              </w:rPr>
            </w:pPr>
            <w:r w:rsidRPr="00D41D25">
              <w:rPr>
                <w:lang w:val="en-GB"/>
              </w:rPr>
              <w:t>Cell office</w:t>
            </w:r>
          </w:p>
        </w:tc>
        <w:tc>
          <w:tcPr>
            <w:tcW w:w="714" w:type="pct"/>
          </w:tcPr>
          <w:p w14:paraId="76E47005" w14:textId="77777777" w:rsidR="00D86E27" w:rsidRPr="00D41D25" w:rsidRDefault="00D86E27" w:rsidP="0033476B">
            <w:pPr>
              <w:pStyle w:val="MDPI42tablebody"/>
              <w:rPr>
                <w:rFonts w:cs="Calibri"/>
                <w:lang w:val="en-GB"/>
              </w:rPr>
            </w:pPr>
            <w:r w:rsidRPr="00D41D25">
              <w:rPr>
                <w:lang w:val="en-GB"/>
              </w:rPr>
              <w:t>236</w:t>
            </w:r>
          </w:p>
        </w:tc>
        <w:tc>
          <w:tcPr>
            <w:tcW w:w="806" w:type="pct"/>
            <w:hideMark/>
          </w:tcPr>
          <w:p w14:paraId="34AA6E99" w14:textId="77777777" w:rsidR="00D86E27" w:rsidRPr="00D41D25" w:rsidRDefault="00D86E27" w:rsidP="0033476B">
            <w:pPr>
              <w:pStyle w:val="MDPI42tablebody"/>
              <w:rPr>
                <w:color w:val="auto"/>
                <w:lang w:val="en-GB"/>
              </w:rPr>
            </w:pPr>
            <w:r w:rsidRPr="00D41D25">
              <w:rPr>
                <w:rFonts w:cs="Calibri"/>
                <w:lang w:val="en-GB"/>
              </w:rPr>
              <w:t>12055</w:t>
            </w:r>
          </w:p>
        </w:tc>
        <w:tc>
          <w:tcPr>
            <w:tcW w:w="805" w:type="pct"/>
            <w:hideMark/>
          </w:tcPr>
          <w:p w14:paraId="0961A3F3" w14:textId="77777777" w:rsidR="00D86E27" w:rsidRPr="00D41D25" w:rsidRDefault="00D86E27" w:rsidP="0033476B">
            <w:pPr>
              <w:pStyle w:val="MDPI42tablebody"/>
              <w:rPr>
                <w:color w:val="auto"/>
                <w:lang w:val="en-GB"/>
              </w:rPr>
            </w:pPr>
            <w:r w:rsidRPr="00D41D25">
              <w:rPr>
                <w:lang w:val="en-GB"/>
              </w:rPr>
              <w:t>40%</w:t>
            </w:r>
          </w:p>
        </w:tc>
        <w:tc>
          <w:tcPr>
            <w:tcW w:w="564" w:type="pct"/>
            <w:hideMark/>
          </w:tcPr>
          <w:p w14:paraId="01DB55E2" w14:textId="77777777" w:rsidR="00D86E27" w:rsidRPr="00D41D25" w:rsidRDefault="00D86E27" w:rsidP="0033476B">
            <w:pPr>
              <w:pStyle w:val="MDPI42tablebody"/>
              <w:rPr>
                <w:color w:val="auto"/>
                <w:lang w:val="en-GB"/>
              </w:rPr>
            </w:pPr>
            <w:r w:rsidRPr="00D41D25">
              <w:rPr>
                <w:lang w:val="en-GB"/>
              </w:rPr>
              <w:t>60%</w:t>
            </w:r>
          </w:p>
        </w:tc>
      </w:tr>
      <w:tr w:rsidR="009737FB" w:rsidRPr="00D41D25" w14:paraId="3257B977" w14:textId="77777777" w:rsidTr="0086642C">
        <w:trPr>
          <w:trHeight w:val="321"/>
          <w:jc w:val="left"/>
        </w:trPr>
        <w:tc>
          <w:tcPr>
            <w:tcW w:w="679" w:type="pct"/>
            <w:hideMark/>
          </w:tcPr>
          <w:p w14:paraId="2FBBC9C6" w14:textId="6E10F9A8" w:rsidR="00D86E27" w:rsidRPr="00D41D25" w:rsidRDefault="00BA5CB1" w:rsidP="0033476B">
            <w:pPr>
              <w:pStyle w:val="MDPI42tablebody"/>
              <w:rPr>
                <w:color w:val="auto"/>
                <w:lang w:val="en-GB"/>
              </w:rPr>
            </w:pPr>
            <w:r w:rsidRPr="00D41D25">
              <w:rPr>
                <w:lang w:val="en-GB"/>
              </w:rPr>
              <w:t>O</w:t>
            </w:r>
            <w:r w:rsidR="00D86E27" w:rsidRPr="00D41D25">
              <w:rPr>
                <w:lang w:val="en-GB"/>
              </w:rPr>
              <w:t>9</w:t>
            </w:r>
          </w:p>
        </w:tc>
        <w:tc>
          <w:tcPr>
            <w:tcW w:w="445" w:type="pct"/>
            <w:hideMark/>
          </w:tcPr>
          <w:p w14:paraId="5238756A" w14:textId="77777777" w:rsidR="00D86E27" w:rsidRPr="00D41D25" w:rsidRDefault="00D86E27" w:rsidP="0033476B">
            <w:pPr>
              <w:pStyle w:val="MDPI42tablebody"/>
              <w:rPr>
                <w:color w:val="auto"/>
                <w:lang w:val="en-GB"/>
              </w:rPr>
            </w:pPr>
            <w:r w:rsidRPr="00D41D25">
              <w:rPr>
                <w:lang w:val="en-GB"/>
              </w:rPr>
              <w:t>2014</w:t>
            </w:r>
          </w:p>
        </w:tc>
        <w:tc>
          <w:tcPr>
            <w:tcW w:w="985" w:type="pct"/>
            <w:hideMark/>
          </w:tcPr>
          <w:p w14:paraId="5AFD3E18" w14:textId="77777777" w:rsidR="00D86E27" w:rsidRPr="00D41D25" w:rsidRDefault="00D86E27" w:rsidP="0033476B">
            <w:pPr>
              <w:pStyle w:val="MDPI42tablebody"/>
              <w:rPr>
                <w:color w:val="auto"/>
                <w:lang w:val="en-GB"/>
              </w:rPr>
            </w:pPr>
            <w:r w:rsidRPr="00D41D25">
              <w:rPr>
                <w:lang w:val="en-GB"/>
              </w:rPr>
              <w:t>Open structure</w:t>
            </w:r>
          </w:p>
        </w:tc>
        <w:tc>
          <w:tcPr>
            <w:tcW w:w="714" w:type="pct"/>
          </w:tcPr>
          <w:p w14:paraId="40440FB6" w14:textId="77777777" w:rsidR="00D86E27" w:rsidRPr="00D41D25" w:rsidRDefault="00D86E27" w:rsidP="0033476B">
            <w:pPr>
              <w:pStyle w:val="MDPI42tablebody"/>
              <w:rPr>
                <w:rFonts w:cs="Calibri"/>
                <w:lang w:val="en-GB"/>
              </w:rPr>
            </w:pPr>
            <w:r w:rsidRPr="00D41D25">
              <w:rPr>
                <w:lang w:val="en-GB"/>
              </w:rPr>
              <w:t>272</w:t>
            </w:r>
          </w:p>
        </w:tc>
        <w:tc>
          <w:tcPr>
            <w:tcW w:w="806" w:type="pct"/>
            <w:hideMark/>
          </w:tcPr>
          <w:p w14:paraId="0E1B8FAA" w14:textId="77777777" w:rsidR="00D86E27" w:rsidRPr="00D41D25" w:rsidRDefault="00D86E27" w:rsidP="0033476B">
            <w:pPr>
              <w:pStyle w:val="MDPI42tablebody"/>
              <w:rPr>
                <w:color w:val="auto"/>
                <w:lang w:val="en-GB"/>
              </w:rPr>
            </w:pPr>
            <w:r w:rsidRPr="00D41D25">
              <w:rPr>
                <w:rFonts w:cs="Calibri"/>
                <w:lang w:val="en-GB"/>
              </w:rPr>
              <w:t>13588</w:t>
            </w:r>
          </w:p>
        </w:tc>
        <w:tc>
          <w:tcPr>
            <w:tcW w:w="805" w:type="pct"/>
            <w:hideMark/>
          </w:tcPr>
          <w:p w14:paraId="5263185E" w14:textId="77777777" w:rsidR="00D86E27" w:rsidRPr="00D41D25" w:rsidRDefault="00D86E27" w:rsidP="0033476B">
            <w:pPr>
              <w:pStyle w:val="MDPI42tablebody"/>
              <w:rPr>
                <w:color w:val="auto"/>
                <w:lang w:val="en-GB"/>
              </w:rPr>
            </w:pPr>
            <w:r w:rsidRPr="00D41D25">
              <w:rPr>
                <w:lang w:val="en-GB"/>
              </w:rPr>
              <w:t>26%</w:t>
            </w:r>
          </w:p>
        </w:tc>
        <w:tc>
          <w:tcPr>
            <w:tcW w:w="564" w:type="pct"/>
            <w:hideMark/>
          </w:tcPr>
          <w:p w14:paraId="3EAA9D0C" w14:textId="77777777" w:rsidR="00D86E27" w:rsidRPr="00D41D25" w:rsidRDefault="00D86E27" w:rsidP="0033476B">
            <w:pPr>
              <w:pStyle w:val="MDPI42tablebody"/>
              <w:rPr>
                <w:color w:val="auto"/>
                <w:lang w:val="en-GB"/>
              </w:rPr>
            </w:pPr>
            <w:r w:rsidRPr="00D41D25">
              <w:rPr>
                <w:lang w:val="en-GB"/>
              </w:rPr>
              <w:t>74%</w:t>
            </w:r>
          </w:p>
        </w:tc>
      </w:tr>
      <w:tr w:rsidR="009737FB" w:rsidRPr="00D41D25" w14:paraId="3274F5CD" w14:textId="77777777" w:rsidTr="0086642C">
        <w:trPr>
          <w:trHeight w:val="321"/>
          <w:jc w:val="left"/>
        </w:trPr>
        <w:tc>
          <w:tcPr>
            <w:tcW w:w="679" w:type="pct"/>
            <w:hideMark/>
          </w:tcPr>
          <w:p w14:paraId="6A72D77B" w14:textId="1C46A682" w:rsidR="00D86E27" w:rsidRPr="00D41D25" w:rsidRDefault="00BA5CB1" w:rsidP="0033476B">
            <w:pPr>
              <w:pStyle w:val="MDPI42tablebody"/>
              <w:rPr>
                <w:color w:val="auto"/>
                <w:lang w:val="en-GB"/>
              </w:rPr>
            </w:pPr>
            <w:r w:rsidRPr="00D41D25">
              <w:rPr>
                <w:lang w:val="en-GB"/>
              </w:rPr>
              <w:t>O</w:t>
            </w:r>
            <w:r w:rsidR="00D86E27" w:rsidRPr="00D41D25">
              <w:rPr>
                <w:lang w:val="en-GB"/>
              </w:rPr>
              <w:t>10</w:t>
            </w:r>
          </w:p>
        </w:tc>
        <w:tc>
          <w:tcPr>
            <w:tcW w:w="445" w:type="pct"/>
            <w:hideMark/>
          </w:tcPr>
          <w:p w14:paraId="52C16DF0" w14:textId="77777777" w:rsidR="00D86E27" w:rsidRPr="00D41D25" w:rsidRDefault="00D86E27" w:rsidP="0033476B">
            <w:pPr>
              <w:pStyle w:val="MDPI42tablebody"/>
              <w:rPr>
                <w:color w:val="auto"/>
                <w:lang w:val="en-GB"/>
              </w:rPr>
            </w:pPr>
            <w:r w:rsidRPr="00D41D25">
              <w:rPr>
                <w:lang w:val="en-GB"/>
              </w:rPr>
              <w:t>2014</w:t>
            </w:r>
          </w:p>
        </w:tc>
        <w:tc>
          <w:tcPr>
            <w:tcW w:w="985" w:type="pct"/>
            <w:hideMark/>
          </w:tcPr>
          <w:p w14:paraId="61A36B60" w14:textId="77777777" w:rsidR="00D86E27" w:rsidRPr="00D41D25" w:rsidRDefault="00D86E27" w:rsidP="0033476B">
            <w:pPr>
              <w:pStyle w:val="MDPI42tablebody"/>
              <w:rPr>
                <w:color w:val="auto"/>
                <w:lang w:val="en-GB"/>
              </w:rPr>
            </w:pPr>
            <w:r w:rsidRPr="00D41D25">
              <w:rPr>
                <w:lang w:val="en-GB"/>
              </w:rPr>
              <w:t>Open structure</w:t>
            </w:r>
          </w:p>
        </w:tc>
        <w:tc>
          <w:tcPr>
            <w:tcW w:w="714" w:type="pct"/>
          </w:tcPr>
          <w:p w14:paraId="555B1DE3" w14:textId="77777777" w:rsidR="00D86E27" w:rsidRPr="00D41D25" w:rsidRDefault="00D86E27" w:rsidP="0033476B">
            <w:pPr>
              <w:pStyle w:val="MDPI42tablebody"/>
              <w:rPr>
                <w:rFonts w:cs="Calibri"/>
                <w:lang w:val="en-GB"/>
              </w:rPr>
            </w:pPr>
            <w:r w:rsidRPr="00D41D25">
              <w:rPr>
                <w:lang w:val="en-GB"/>
              </w:rPr>
              <w:t>182</w:t>
            </w:r>
          </w:p>
        </w:tc>
        <w:tc>
          <w:tcPr>
            <w:tcW w:w="806" w:type="pct"/>
            <w:hideMark/>
          </w:tcPr>
          <w:p w14:paraId="23966967" w14:textId="77777777" w:rsidR="00D86E27" w:rsidRPr="00D41D25" w:rsidRDefault="00D86E27" w:rsidP="0033476B">
            <w:pPr>
              <w:pStyle w:val="MDPI42tablebody"/>
              <w:rPr>
                <w:color w:val="auto"/>
                <w:lang w:val="en-GB"/>
              </w:rPr>
            </w:pPr>
            <w:r w:rsidRPr="00D41D25">
              <w:rPr>
                <w:rFonts w:cs="Calibri"/>
                <w:lang w:val="en-GB"/>
              </w:rPr>
              <w:t>9170</w:t>
            </w:r>
          </w:p>
        </w:tc>
        <w:tc>
          <w:tcPr>
            <w:tcW w:w="805" w:type="pct"/>
            <w:hideMark/>
          </w:tcPr>
          <w:p w14:paraId="5C566963" w14:textId="77777777" w:rsidR="00D86E27" w:rsidRPr="00D41D25" w:rsidRDefault="00D86E27" w:rsidP="0033476B">
            <w:pPr>
              <w:pStyle w:val="MDPI42tablebody"/>
              <w:rPr>
                <w:color w:val="auto"/>
                <w:lang w:val="en-GB"/>
              </w:rPr>
            </w:pPr>
            <w:r w:rsidRPr="00D41D25">
              <w:rPr>
                <w:lang w:val="en-GB"/>
              </w:rPr>
              <w:t>40%</w:t>
            </w:r>
          </w:p>
        </w:tc>
        <w:tc>
          <w:tcPr>
            <w:tcW w:w="564" w:type="pct"/>
            <w:hideMark/>
          </w:tcPr>
          <w:p w14:paraId="7A15D40D" w14:textId="77777777" w:rsidR="00D86E27" w:rsidRPr="00D41D25" w:rsidRDefault="00D86E27" w:rsidP="0033476B">
            <w:pPr>
              <w:pStyle w:val="MDPI42tablebody"/>
              <w:rPr>
                <w:color w:val="auto"/>
                <w:lang w:val="en-GB"/>
              </w:rPr>
            </w:pPr>
            <w:r w:rsidRPr="00D41D25">
              <w:rPr>
                <w:lang w:val="en-GB"/>
              </w:rPr>
              <w:t>60%</w:t>
            </w:r>
          </w:p>
        </w:tc>
      </w:tr>
      <w:tr w:rsidR="009737FB" w:rsidRPr="00D41D25" w14:paraId="77E59081" w14:textId="77777777" w:rsidTr="0086642C">
        <w:trPr>
          <w:trHeight w:val="321"/>
          <w:jc w:val="left"/>
        </w:trPr>
        <w:tc>
          <w:tcPr>
            <w:tcW w:w="679" w:type="pct"/>
            <w:hideMark/>
          </w:tcPr>
          <w:p w14:paraId="4C0695B5" w14:textId="5D6E8218" w:rsidR="00D86E27" w:rsidRPr="00D41D25" w:rsidRDefault="00BA5CB1" w:rsidP="0033476B">
            <w:pPr>
              <w:pStyle w:val="MDPI42tablebody"/>
              <w:rPr>
                <w:color w:val="auto"/>
                <w:lang w:val="en-GB"/>
              </w:rPr>
            </w:pPr>
            <w:r w:rsidRPr="00D41D25">
              <w:rPr>
                <w:lang w:val="en-GB"/>
              </w:rPr>
              <w:t>O</w:t>
            </w:r>
            <w:r w:rsidR="00D86E27" w:rsidRPr="00D41D25">
              <w:rPr>
                <w:lang w:val="en-GB"/>
              </w:rPr>
              <w:t>11</w:t>
            </w:r>
          </w:p>
        </w:tc>
        <w:tc>
          <w:tcPr>
            <w:tcW w:w="445" w:type="pct"/>
            <w:hideMark/>
          </w:tcPr>
          <w:p w14:paraId="33AA3199" w14:textId="77777777" w:rsidR="00D86E27" w:rsidRPr="00D41D25" w:rsidRDefault="00D86E27" w:rsidP="0033476B">
            <w:pPr>
              <w:pStyle w:val="MDPI42tablebody"/>
              <w:rPr>
                <w:color w:val="auto"/>
                <w:lang w:val="en-GB"/>
              </w:rPr>
            </w:pPr>
            <w:r w:rsidRPr="00D41D25">
              <w:rPr>
                <w:lang w:val="en-GB"/>
              </w:rPr>
              <w:t>2014</w:t>
            </w:r>
          </w:p>
        </w:tc>
        <w:tc>
          <w:tcPr>
            <w:tcW w:w="985" w:type="pct"/>
            <w:hideMark/>
          </w:tcPr>
          <w:p w14:paraId="233D8331" w14:textId="77777777" w:rsidR="00D86E27" w:rsidRPr="00D41D25" w:rsidRDefault="00D86E27" w:rsidP="0033476B">
            <w:pPr>
              <w:pStyle w:val="MDPI42tablebody"/>
              <w:rPr>
                <w:color w:val="auto"/>
                <w:lang w:val="en-GB"/>
              </w:rPr>
            </w:pPr>
            <w:r w:rsidRPr="00D41D25">
              <w:rPr>
                <w:lang w:val="en-GB"/>
              </w:rPr>
              <w:t>Open structure</w:t>
            </w:r>
          </w:p>
        </w:tc>
        <w:tc>
          <w:tcPr>
            <w:tcW w:w="714" w:type="pct"/>
          </w:tcPr>
          <w:p w14:paraId="09DEA2A8" w14:textId="77777777" w:rsidR="00D86E27" w:rsidRPr="00D41D25" w:rsidRDefault="00D86E27" w:rsidP="0033476B">
            <w:pPr>
              <w:pStyle w:val="MDPI42tablebody"/>
              <w:rPr>
                <w:rFonts w:cs="Calibri"/>
                <w:lang w:val="en-GB"/>
              </w:rPr>
            </w:pPr>
            <w:r w:rsidRPr="00D41D25">
              <w:rPr>
                <w:lang w:val="en-GB"/>
              </w:rPr>
              <w:t>633</w:t>
            </w:r>
          </w:p>
        </w:tc>
        <w:tc>
          <w:tcPr>
            <w:tcW w:w="806" w:type="pct"/>
            <w:hideMark/>
          </w:tcPr>
          <w:p w14:paraId="3D12AED2" w14:textId="77777777" w:rsidR="00D86E27" w:rsidRPr="00D41D25" w:rsidRDefault="00D86E27" w:rsidP="0033476B">
            <w:pPr>
              <w:pStyle w:val="MDPI42tablebody"/>
              <w:rPr>
                <w:color w:val="auto"/>
                <w:lang w:val="en-GB"/>
              </w:rPr>
            </w:pPr>
            <w:r w:rsidRPr="00D41D25">
              <w:rPr>
                <w:rFonts w:cs="Calibri"/>
                <w:lang w:val="en-GB"/>
              </w:rPr>
              <w:t>34386</w:t>
            </w:r>
          </w:p>
        </w:tc>
        <w:tc>
          <w:tcPr>
            <w:tcW w:w="805" w:type="pct"/>
            <w:hideMark/>
          </w:tcPr>
          <w:p w14:paraId="10C97314" w14:textId="77777777" w:rsidR="00D86E27" w:rsidRPr="00D41D25" w:rsidRDefault="00D86E27" w:rsidP="0033476B">
            <w:pPr>
              <w:pStyle w:val="MDPI42tablebody"/>
              <w:rPr>
                <w:color w:val="auto"/>
                <w:lang w:val="en-GB"/>
              </w:rPr>
            </w:pPr>
            <w:r w:rsidRPr="00D41D25">
              <w:rPr>
                <w:lang w:val="en-GB"/>
              </w:rPr>
              <w:t>39%</w:t>
            </w:r>
          </w:p>
        </w:tc>
        <w:tc>
          <w:tcPr>
            <w:tcW w:w="564" w:type="pct"/>
            <w:hideMark/>
          </w:tcPr>
          <w:p w14:paraId="1B507001" w14:textId="77777777" w:rsidR="00D86E27" w:rsidRPr="00D41D25" w:rsidRDefault="00D86E27" w:rsidP="0033476B">
            <w:pPr>
              <w:pStyle w:val="MDPI42tablebody"/>
              <w:rPr>
                <w:color w:val="auto"/>
                <w:lang w:val="en-GB"/>
              </w:rPr>
            </w:pPr>
            <w:r w:rsidRPr="00D41D25">
              <w:rPr>
                <w:lang w:val="en-GB"/>
              </w:rPr>
              <w:t>61%</w:t>
            </w:r>
          </w:p>
        </w:tc>
      </w:tr>
      <w:tr w:rsidR="009737FB" w:rsidRPr="00D41D25" w14:paraId="69D380CC" w14:textId="77777777" w:rsidTr="0086642C">
        <w:trPr>
          <w:trHeight w:val="321"/>
          <w:jc w:val="left"/>
        </w:trPr>
        <w:tc>
          <w:tcPr>
            <w:tcW w:w="679" w:type="pct"/>
            <w:hideMark/>
          </w:tcPr>
          <w:p w14:paraId="3CE5A345" w14:textId="7381CDC0" w:rsidR="00D86E27" w:rsidRPr="00D41D25" w:rsidRDefault="00BA5CB1" w:rsidP="0033476B">
            <w:pPr>
              <w:pStyle w:val="MDPI42tablebody"/>
              <w:rPr>
                <w:color w:val="auto"/>
                <w:lang w:val="en-GB"/>
              </w:rPr>
            </w:pPr>
            <w:r w:rsidRPr="00D41D25">
              <w:rPr>
                <w:lang w:val="en-GB"/>
              </w:rPr>
              <w:t>O</w:t>
            </w:r>
            <w:r w:rsidR="00D86E27" w:rsidRPr="00D41D25">
              <w:rPr>
                <w:lang w:val="en-GB"/>
              </w:rPr>
              <w:t>12</w:t>
            </w:r>
          </w:p>
        </w:tc>
        <w:tc>
          <w:tcPr>
            <w:tcW w:w="445" w:type="pct"/>
            <w:hideMark/>
          </w:tcPr>
          <w:p w14:paraId="50B55207" w14:textId="77777777" w:rsidR="00D86E27" w:rsidRPr="00D41D25" w:rsidRDefault="00D86E27" w:rsidP="0033476B">
            <w:pPr>
              <w:pStyle w:val="MDPI42tablebody"/>
              <w:rPr>
                <w:color w:val="auto"/>
                <w:lang w:val="en-GB"/>
              </w:rPr>
            </w:pPr>
            <w:r w:rsidRPr="00D41D25">
              <w:rPr>
                <w:lang w:val="en-GB"/>
              </w:rPr>
              <w:t>2015</w:t>
            </w:r>
          </w:p>
        </w:tc>
        <w:tc>
          <w:tcPr>
            <w:tcW w:w="985" w:type="pct"/>
            <w:hideMark/>
          </w:tcPr>
          <w:p w14:paraId="5718A6B7" w14:textId="77777777" w:rsidR="00D86E27" w:rsidRPr="00D41D25" w:rsidRDefault="00D86E27" w:rsidP="0033476B">
            <w:pPr>
              <w:pStyle w:val="MDPI42tablebody"/>
              <w:rPr>
                <w:color w:val="auto"/>
                <w:lang w:val="en-GB"/>
              </w:rPr>
            </w:pPr>
            <w:r w:rsidRPr="00D41D25">
              <w:rPr>
                <w:lang w:val="en-GB"/>
              </w:rPr>
              <w:t>ABW</w:t>
            </w:r>
          </w:p>
        </w:tc>
        <w:tc>
          <w:tcPr>
            <w:tcW w:w="714" w:type="pct"/>
          </w:tcPr>
          <w:p w14:paraId="67C0A1F4" w14:textId="77777777" w:rsidR="00D86E27" w:rsidRPr="00D41D25" w:rsidRDefault="00D86E27" w:rsidP="0033476B">
            <w:pPr>
              <w:pStyle w:val="MDPI42tablebody"/>
              <w:rPr>
                <w:rFonts w:cs="Calibri"/>
                <w:lang w:val="en-GB"/>
              </w:rPr>
            </w:pPr>
            <w:r w:rsidRPr="00D41D25">
              <w:rPr>
                <w:lang w:val="en-GB"/>
              </w:rPr>
              <w:t>281</w:t>
            </w:r>
          </w:p>
        </w:tc>
        <w:tc>
          <w:tcPr>
            <w:tcW w:w="806" w:type="pct"/>
            <w:hideMark/>
          </w:tcPr>
          <w:p w14:paraId="641207EC" w14:textId="77777777" w:rsidR="00D86E27" w:rsidRPr="00D41D25" w:rsidRDefault="00D86E27" w:rsidP="0033476B">
            <w:pPr>
              <w:pStyle w:val="MDPI42tablebody"/>
              <w:rPr>
                <w:color w:val="auto"/>
                <w:lang w:val="en-GB"/>
              </w:rPr>
            </w:pPr>
            <w:r w:rsidRPr="00D41D25">
              <w:rPr>
                <w:rFonts w:cs="Calibri"/>
                <w:lang w:val="en-GB"/>
              </w:rPr>
              <w:t>14271</w:t>
            </w:r>
          </w:p>
        </w:tc>
        <w:tc>
          <w:tcPr>
            <w:tcW w:w="805" w:type="pct"/>
            <w:hideMark/>
          </w:tcPr>
          <w:p w14:paraId="22C6D35C" w14:textId="77777777" w:rsidR="00D86E27" w:rsidRPr="00D41D25" w:rsidRDefault="00D86E27" w:rsidP="0033476B">
            <w:pPr>
              <w:pStyle w:val="MDPI42tablebody"/>
              <w:rPr>
                <w:color w:val="auto"/>
                <w:lang w:val="en-GB"/>
              </w:rPr>
            </w:pPr>
            <w:r w:rsidRPr="00D41D25">
              <w:rPr>
                <w:lang w:val="en-GB"/>
              </w:rPr>
              <w:t>30%</w:t>
            </w:r>
          </w:p>
        </w:tc>
        <w:tc>
          <w:tcPr>
            <w:tcW w:w="564" w:type="pct"/>
            <w:hideMark/>
          </w:tcPr>
          <w:p w14:paraId="40A7361B" w14:textId="77777777" w:rsidR="00D86E27" w:rsidRPr="00D41D25" w:rsidRDefault="00D86E27" w:rsidP="0033476B">
            <w:pPr>
              <w:pStyle w:val="MDPI42tablebody"/>
              <w:rPr>
                <w:color w:val="auto"/>
                <w:lang w:val="en-GB"/>
              </w:rPr>
            </w:pPr>
            <w:r w:rsidRPr="00D41D25">
              <w:rPr>
                <w:lang w:val="en-GB"/>
              </w:rPr>
              <w:t>70%</w:t>
            </w:r>
          </w:p>
        </w:tc>
      </w:tr>
      <w:tr w:rsidR="009737FB" w:rsidRPr="00D41D25" w14:paraId="7158B093" w14:textId="77777777" w:rsidTr="0086642C">
        <w:trPr>
          <w:trHeight w:val="321"/>
          <w:jc w:val="left"/>
        </w:trPr>
        <w:tc>
          <w:tcPr>
            <w:tcW w:w="679" w:type="pct"/>
            <w:hideMark/>
          </w:tcPr>
          <w:p w14:paraId="72010DE3" w14:textId="55BF2254" w:rsidR="00D86E27" w:rsidRPr="00D41D25" w:rsidRDefault="00BA5CB1" w:rsidP="0033476B">
            <w:pPr>
              <w:pStyle w:val="MDPI42tablebody"/>
              <w:rPr>
                <w:color w:val="auto"/>
                <w:lang w:val="en-GB"/>
              </w:rPr>
            </w:pPr>
            <w:r w:rsidRPr="00D41D25">
              <w:rPr>
                <w:lang w:val="en-GB"/>
              </w:rPr>
              <w:t>O</w:t>
            </w:r>
            <w:r w:rsidR="00D86E27" w:rsidRPr="00D41D25">
              <w:rPr>
                <w:lang w:val="en-GB"/>
              </w:rPr>
              <w:t>13</w:t>
            </w:r>
          </w:p>
        </w:tc>
        <w:tc>
          <w:tcPr>
            <w:tcW w:w="445" w:type="pct"/>
            <w:hideMark/>
          </w:tcPr>
          <w:p w14:paraId="2D7EC05E" w14:textId="77777777" w:rsidR="00D86E27" w:rsidRPr="00D41D25" w:rsidRDefault="00D86E27" w:rsidP="0033476B">
            <w:pPr>
              <w:pStyle w:val="MDPI42tablebody"/>
              <w:rPr>
                <w:color w:val="auto"/>
                <w:lang w:val="en-GB"/>
              </w:rPr>
            </w:pPr>
            <w:r w:rsidRPr="00D41D25">
              <w:rPr>
                <w:lang w:val="en-GB"/>
              </w:rPr>
              <w:t>2016</w:t>
            </w:r>
          </w:p>
        </w:tc>
        <w:tc>
          <w:tcPr>
            <w:tcW w:w="985" w:type="pct"/>
            <w:hideMark/>
          </w:tcPr>
          <w:p w14:paraId="72A69636" w14:textId="77777777" w:rsidR="00D86E27" w:rsidRPr="00D41D25" w:rsidRDefault="00D86E27" w:rsidP="0033476B">
            <w:pPr>
              <w:pStyle w:val="MDPI42tablebody"/>
              <w:rPr>
                <w:color w:val="auto"/>
                <w:lang w:val="en-GB"/>
              </w:rPr>
            </w:pPr>
            <w:r w:rsidRPr="00D41D25">
              <w:rPr>
                <w:lang w:val="en-GB"/>
              </w:rPr>
              <w:t>Open structure</w:t>
            </w:r>
          </w:p>
        </w:tc>
        <w:tc>
          <w:tcPr>
            <w:tcW w:w="714" w:type="pct"/>
          </w:tcPr>
          <w:p w14:paraId="7BDD7B11" w14:textId="77777777" w:rsidR="00D86E27" w:rsidRPr="00D41D25" w:rsidRDefault="00D86E27" w:rsidP="0033476B">
            <w:pPr>
              <w:pStyle w:val="MDPI42tablebody"/>
              <w:rPr>
                <w:rFonts w:cs="Calibri"/>
                <w:lang w:val="en-GB"/>
              </w:rPr>
            </w:pPr>
            <w:r w:rsidRPr="00D41D25">
              <w:rPr>
                <w:lang w:val="en-GB"/>
              </w:rPr>
              <w:t>158</w:t>
            </w:r>
          </w:p>
        </w:tc>
        <w:tc>
          <w:tcPr>
            <w:tcW w:w="806" w:type="pct"/>
            <w:hideMark/>
          </w:tcPr>
          <w:p w14:paraId="7AC73947" w14:textId="77777777" w:rsidR="00D86E27" w:rsidRPr="00D41D25" w:rsidRDefault="00D86E27" w:rsidP="0033476B">
            <w:pPr>
              <w:pStyle w:val="MDPI42tablebody"/>
              <w:rPr>
                <w:color w:val="auto"/>
                <w:lang w:val="en-GB"/>
              </w:rPr>
            </w:pPr>
            <w:r w:rsidRPr="00D41D25">
              <w:rPr>
                <w:rFonts w:cs="Calibri"/>
                <w:lang w:val="en-GB"/>
              </w:rPr>
              <w:t>8162</w:t>
            </w:r>
          </w:p>
        </w:tc>
        <w:tc>
          <w:tcPr>
            <w:tcW w:w="805" w:type="pct"/>
            <w:hideMark/>
          </w:tcPr>
          <w:p w14:paraId="47ED4D9B" w14:textId="77777777" w:rsidR="00D86E27" w:rsidRPr="00D41D25" w:rsidRDefault="00D86E27" w:rsidP="0033476B">
            <w:pPr>
              <w:pStyle w:val="MDPI42tablebody"/>
              <w:rPr>
                <w:color w:val="auto"/>
                <w:lang w:val="en-GB"/>
              </w:rPr>
            </w:pPr>
            <w:r w:rsidRPr="00D41D25">
              <w:rPr>
                <w:lang w:val="en-GB"/>
              </w:rPr>
              <w:t>34%</w:t>
            </w:r>
          </w:p>
        </w:tc>
        <w:tc>
          <w:tcPr>
            <w:tcW w:w="564" w:type="pct"/>
            <w:hideMark/>
          </w:tcPr>
          <w:p w14:paraId="75C7140A" w14:textId="77777777" w:rsidR="00D86E27" w:rsidRPr="00D41D25" w:rsidRDefault="00D86E27" w:rsidP="0033476B">
            <w:pPr>
              <w:pStyle w:val="MDPI42tablebody"/>
              <w:rPr>
                <w:color w:val="auto"/>
                <w:lang w:val="en-GB"/>
              </w:rPr>
            </w:pPr>
            <w:r w:rsidRPr="00D41D25">
              <w:rPr>
                <w:lang w:val="en-GB"/>
              </w:rPr>
              <w:t>66%</w:t>
            </w:r>
          </w:p>
        </w:tc>
      </w:tr>
      <w:tr w:rsidR="009737FB" w:rsidRPr="00D41D25" w14:paraId="06790040" w14:textId="77777777" w:rsidTr="0086642C">
        <w:trPr>
          <w:trHeight w:val="321"/>
          <w:jc w:val="left"/>
        </w:trPr>
        <w:tc>
          <w:tcPr>
            <w:tcW w:w="679" w:type="pct"/>
            <w:hideMark/>
          </w:tcPr>
          <w:p w14:paraId="727AFBCC" w14:textId="2094D9CB" w:rsidR="00D86E27" w:rsidRPr="00D41D25" w:rsidRDefault="00BA5CB1" w:rsidP="0033476B">
            <w:pPr>
              <w:pStyle w:val="MDPI42tablebody"/>
              <w:rPr>
                <w:color w:val="auto"/>
                <w:lang w:val="en-GB"/>
              </w:rPr>
            </w:pPr>
            <w:r w:rsidRPr="00D41D25">
              <w:rPr>
                <w:lang w:val="en-GB"/>
              </w:rPr>
              <w:t>O</w:t>
            </w:r>
            <w:r w:rsidR="00D86E27" w:rsidRPr="00D41D25">
              <w:rPr>
                <w:lang w:val="en-GB"/>
              </w:rPr>
              <w:t>14</w:t>
            </w:r>
          </w:p>
        </w:tc>
        <w:tc>
          <w:tcPr>
            <w:tcW w:w="445" w:type="pct"/>
            <w:hideMark/>
          </w:tcPr>
          <w:p w14:paraId="731ABFCF" w14:textId="77777777" w:rsidR="00D86E27" w:rsidRPr="00D41D25" w:rsidRDefault="00D86E27" w:rsidP="0033476B">
            <w:pPr>
              <w:pStyle w:val="MDPI42tablebody"/>
              <w:rPr>
                <w:color w:val="auto"/>
                <w:lang w:val="en-GB"/>
              </w:rPr>
            </w:pPr>
            <w:r w:rsidRPr="00D41D25">
              <w:rPr>
                <w:lang w:val="en-GB"/>
              </w:rPr>
              <w:t>2016</w:t>
            </w:r>
          </w:p>
        </w:tc>
        <w:tc>
          <w:tcPr>
            <w:tcW w:w="985" w:type="pct"/>
            <w:hideMark/>
          </w:tcPr>
          <w:p w14:paraId="643D6E65" w14:textId="77777777" w:rsidR="00D86E27" w:rsidRPr="00D41D25" w:rsidRDefault="00D86E27" w:rsidP="0033476B">
            <w:pPr>
              <w:pStyle w:val="MDPI42tablebody"/>
              <w:rPr>
                <w:color w:val="auto"/>
                <w:lang w:val="en-GB"/>
              </w:rPr>
            </w:pPr>
            <w:r w:rsidRPr="00D41D25">
              <w:rPr>
                <w:lang w:val="en-GB"/>
              </w:rPr>
              <w:t>Open structure</w:t>
            </w:r>
          </w:p>
        </w:tc>
        <w:tc>
          <w:tcPr>
            <w:tcW w:w="714" w:type="pct"/>
          </w:tcPr>
          <w:p w14:paraId="23C0FED2" w14:textId="77777777" w:rsidR="00D86E27" w:rsidRPr="00D41D25" w:rsidRDefault="00D86E27" w:rsidP="0033476B">
            <w:pPr>
              <w:pStyle w:val="MDPI42tablebody"/>
              <w:rPr>
                <w:rFonts w:cs="Calibri"/>
                <w:lang w:val="en-GB"/>
              </w:rPr>
            </w:pPr>
            <w:r w:rsidRPr="00D41D25">
              <w:rPr>
                <w:lang w:val="en-GB"/>
              </w:rPr>
              <w:t>782</w:t>
            </w:r>
          </w:p>
        </w:tc>
        <w:tc>
          <w:tcPr>
            <w:tcW w:w="806" w:type="pct"/>
            <w:hideMark/>
          </w:tcPr>
          <w:p w14:paraId="3DFC87DE" w14:textId="77777777" w:rsidR="00D86E27" w:rsidRPr="00D41D25" w:rsidRDefault="00D86E27" w:rsidP="0033476B">
            <w:pPr>
              <w:pStyle w:val="MDPI42tablebody"/>
              <w:rPr>
                <w:color w:val="auto"/>
                <w:lang w:val="en-GB"/>
              </w:rPr>
            </w:pPr>
            <w:r w:rsidRPr="00D41D25">
              <w:rPr>
                <w:rFonts w:cs="Calibri"/>
                <w:lang w:val="en-GB"/>
              </w:rPr>
              <w:t>38646</w:t>
            </w:r>
          </w:p>
        </w:tc>
        <w:tc>
          <w:tcPr>
            <w:tcW w:w="805" w:type="pct"/>
            <w:hideMark/>
          </w:tcPr>
          <w:p w14:paraId="1BF537BA" w14:textId="77777777" w:rsidR="00D86E27" w:rsidRPr="00D41D25" w:rsidRDefault="00D86E27" w:rsidP="0033476B">
            <w:pPr>
              <w:pStyle w:val="MDPI42tablebody"/>
              <w:rPr>
                <w:color w:val="auto"/>
                <w:lang w:val="en-GB"/>
              </w:rPr>
            </w:pPr>
            <w:r w:rsidRPr="00D41D25">
              <w:rPr>
                <w:lang w:val="en-GB"/>
              </w:rPr>
              <w:t>39%</w:t>
            </w:r>
          </w:p>
        </w:tc>
        <w:tc>
          <w:tcPr>
            <w:tcW w:w="564" w:type="pct"/>
            <w:hideMark/>
          </w:tcPr>
          <w:p w14:paraId="29679983" w14:textId="77777777" w:rsidR="00D86E27" w:rsidRPr="00D41D25" w:rsidRDefault="00D86E27" w:rsidP="0033476B">
            <w:pPr>
              <w:pStyle w:val="MDPI42tablebody"/>
              <w:rPr>
                <w:color w:val="auto"/>
                <w:lang w:val="en-GB"/>
              </w:rPr>
            </w:pPr>
            <w:r w:rsidRPr="00D41D25">
              <w:rPr>
                <w:lang w:val="en-GB"/>
              </w:rPr>
              <w:t>61%</w:t>
            </w:r>
          </w:p>
        </w:tc>
      </w:tr>
    </w:tbl>
    <w:p w14:paraId="7F31CC8A" w14:textId="49259B86" w:rsidR="002410A3" w:rsidRPr="00D41D25" w:rsidRDefault="002410A3" w:rsidP="0033476B">
      <w:pPr>
        <w:pStyle w:val="MDPI42tablebody"/>
        <w:rPr>
          <w:rFonts w:eastAsiaTheme="minorEastAsia"/>
          <w:lang w:val="en-GB"/>
        </w:rPr>
      </w:pPr>
    </w:p>
    <w:p w14:paraId="42CC32A8" w14:textId="77777777" w:rsidR="003B02CE" w:rsidRPr="00D41D25" w:rsidRDefault="003B02CE" w:rsidP="002410A3">
      <w:pPr>
        <w:pStyle w:val="MDPI31text"/>
        <w:ind w:left="2040"/>
        <w:rPr>
          <w:rFonts w:ascii="Georgia" w:eastAsiaTheme="minorEastAsia" w:hAnsi="Georgia" w:cs="Arial"/>
          <w:lang w:val="en-GB"/>
        </w:rPr>
      </w:pPr>
    </w:p>
    <w:p w14:paraId="564C3001" w14:textId="7FA877F2" w:rsidR="008A555D" w:rsidRPr="00D41D25" w:rsidRDefault="00764832" w:rsidP="0033476B">
      <w:pPr>
        <w:pStyle w:val="MDPI22heading2"/>
        <w:rPr>
          <w:rFonts w:eastAsiaTheme="minorEastAsia"/>
          <w:lang w:val="en-GB"/>
        </w:rPr>
      </w:pPr>
      <w:r w:rsidRPr="00D41D25">
        <w:rPr>
          <w:rFonts w:eastAsiaTheme="minorEastAsia"/>
          <w:lang w:val="en-GB"/>
        </w:rPr>
        <w:t xml:space="preserve">2.4. </w:t>
      </w:r>
      <w:r w:rsidR="00275A61" w:rsidRPr="00D41D25">
        <w:rPr>
          <w:rFonts w:eastAsiaTheme="minorEastAsia"/>
          <w:lang w:val="en-GB"/>
        </w:rPr>
        <w:t>Data Collection</w:t>
      </w:r>
      <w:r w:rsidR="00E832AD" w:rsidRPr="00D41D25">
        <w:rPr>
          <w:rFonts w:eastAsiaTheme="minorEastAsia"/>
          <w:lang w:val="en-GB"/>
        </w:rPr>
        <w:t xml:space="preserve"> and Analysis</w:t>
      </w:r>
    </w:p>
    <w:p w14:paraId="67B547B0" w14:textId="6B01D73C" w:rsidR="007D5D10" w:rsidRPr="00D41D25" w:rsidRDefault="00E832AD" w:rsidP="007D5D10">
      <w:pPr>
        <w:pStyle w:val="MDPI31text"/>
        <w:rPr>
          <w:rFonts w:ascii="Georgia" w:eastAsiaTheme="minorEastAsia" w:hAnsi="Georgia" w:cs="Arial"/>
          <w:lang w:val="en-GB"/>
        </w:rPr>
      </w:pPr>
      <w:r w:rsidRPr="00D41D25">
        <w:rPr>
          <w:rFonts w:ascii="Georgia" w:eastAsiaTheme="minorEastAsia" w:hAnsi="Georgia" w:cs="Arial"/>
          <w:lang w:val="en-GB"/>
        </w:rPr>
        <w:t xml:space="preserve">The Space </w:t>
      </w:r>
      <w:r w:rsidR="00676154" w:rsidRPr="00D41D25">
        <w:rPr>
          <w:rFonts w:ascii="Georgia" w:eastAsiaTheme="minorEastAsia" w:hAnsi="Georgia" w:cs="Arial"/>
          <w:lang w:val="en-GB"/>
        </w:rPr>
        <w:t>Utilization</w:t>
      </w:r>
      <w:r w:rsidRPr="00D41D25">
        <w:rPr>
          <w:rFonts w:ascii="Georgia" w:eastAsiaTheme="minorEastAsia" w:hAnsi="Georgia" w:cs="Arial"/>
          <w:lang w:val="en-GB"/>
        </w:rPr>
        <w:t xml:space="preserve"> </w:t>
      </w:r>
      <w:r w:rsidR="0018685E" w:rsidRPr="00D41D25">
        <w:rPr>
          <w:rFonts w:ascii="Georgia" w:eastAsiaTheme="minorEastAsia" w:hAnsi="Georgia" w:cs="Arial"/>
          <w:lang w:val="en-GB"/>
        </w:rPr>
        <w:t>Study</w:t>
      </w:r>
      <w:r w:rsidRPr="00D41D25">
        <w:rPr>
          <w:rFonts w:ascii="Georgia" w:eastAsiaTheme="minorEastAsia" w:hAnsi="Georgia" w:cs="Arial"/>
          <w:lang w:val="en-GB"/>
        </w:rPr>
        <w:t xml:space="preserve"> focuses on the use of space or workplaces. Here, the investigations were conducted as observational studies since occupancy measurement via </w:t>
      </w:r>
      <w:r w:rsidR="00C70130" w:rsidRPr="00D41D25">
        <w:rPr>
          <w:rFonts w:ascii="Georgia" w:eastAsiaTheme="minorEastAsia" w:hAnsi="Georgia" w:cs="Arial"/>
          <w:lang w:val="en-GB"/>
        </w:rPr>
        <w:t>electronic methods</w:t>
      </w:r>
      <w:r w:rsidRPr="00D41D25">
        <w:rPr>
          <w:rFonts w:ascii="Georgia" w:eastAsiaTheme="minorEastAsia" w:hAnsi="Georgia" w:cs="Arial"/>
          <w:lang w:val="en-GB"/>
        </w:rPr>
        <w:t xml:space="preserve"> prevents the recording of activities. </w:t>
      </w:r>
    </w:p>
    <w:p w14:paraId="02DBC62B" w14:textId="0B24F429" w:rsidR="00676154" w:rsidRPr="00D41D25" w:rsidRDefault="00676154" w:rsidP="00992E12">
      <w:pPr>
        <w:pStyle w:val="MDPI31text"/>
        <w:rPr>
          <w:rFonts w:ascii="Georgia" w:eastAsiaTheme="minorEastAsia" w:hAnsi="Georgia" w:cs="Arial"/>
          <w:lang w:val="en-GB"/>
        </w:rPr>
      </w:pPr>
      <w:r w:rsidRPr="00D41D25">
        <w:rPr>
          <w:rFonts w:ascii="Georgia" w:eastAsiaTheme="minorEastAsia" w:hAnsi="Georgia" w:cs="Arial"/>
          <w:lang w:val="en-GB"/>
        </w:rPr>
        <w:t>Only data from standard workstation</w:t>
      </w:r>
      <w:r w:rsidR="00C94B05" w:rsidRPr="00D41D25">
        <w:rPr>
          <w:rFonts w:ascii="Georgia" w:eastAsiaTheme="minorEastAsia" w:hAnsi="Georgia" w:cs="Arial"/>
          <w:lang w:val="en-GB"/>
        </w:rPr>
        <w:t>s</w:t>
      </w:r>
      <w:r w:rsidRPr="00D41D25">
        <w:rPr>
          <w:rFonts w:ascii="Georgia" w:eastAsiaTheme="minorEastAsia" w:hAnsi="Georgia" w:cs="Arial"/>
          <w:lang w:val="en-GB"/>
        </w:rPr>
        <w:t xml:space="preserve"> were included in the study. Data from other place</w:t>
      </w:r>
      <w:r w:rsidR="00443A31" w:rsidRPr="00D41D25">
        <w:rPr>
          <w:rFonts w:ascii="Georgia" w:eastAsiaTheme="minorEastAsia" w:hAnsi="Georgia" w:cs="Arial"/>
          <w:lang w:val="en-GB"/>
        </w:rPr>
        <w:t>s</w:t>
      </w:r>
      <w:r w:rsidRPr="00D41D25">
        <w:rPr>
          <w:rFonts w:ascii="Georgia" w:eastAsiaTheme="minorEastAsia" w:hAnsi="Georgia" w:cs="Arial"/>
          <w:lang w:val="en-GB"/>
        </w:rPr>
        <w:t xml:space="preserve"> like meeting facilities</w:t>
      </w:r>
      <w:r w:rsidR="00443A31" w:rsidRPr="00D41D25">
        <w:rPr>
          <w:rFonts w:ascii="Georgia" w:eastAsiaTheme="minorEastAsia" w:hAnsi="Georgia" w:cs="Arial"/>
          <w:lang w:val="en-GB"/>
        </w:rPr>
        <w:t>,</w:t>
      </w:r>
      <w:r w:rsidRPr="00D41D25">
        <w:rPr>
          <w:rFonts w:ascii="Georgia" w:eastAsiaTheme="minorEastAsia" w:hAnsi="Georgia" w:cs="Arial"/>
          <w:lang w:val="en-GB"/>
        </w:rPr>
        <w:t xml:space="preserve"> think tanks</w:t>
      </w:r>
      <w:r w:rsidR="00443A31" w:rsidRPr="00D41D25">
        <w:rPr>
          <w:rFonts w:ascii="Georgia" w:eastAsiaTheme="minorEastAsia" w:hAnsi="Georgia" w:cs="Arial"/>
          <w:lang w:val="en-GB"/>
        </w:rPr>
        <w:t>,</w:t>
      </w:r>
      <w:r w:rsidRPr="00D41D25">
        <w:rPr>
          <w:rFonts w:ascii="Georgia" w:eastAsiaTheme="minorEastAsia" w:hAnsi="Georgia" w:cs="Arial"/>
          <w:lang w:val="en-GB"/>
        </w:rPr>
        <w:t xml:space="preserve"> and recreation areas were only available in one case of activity-based working and excluded because the dataset was too small. Users of the offices </w:t>
      </w:r>
      <w:r w:rsidR="00061367" w:rsidRPr="00D41D25">
        <w:rPr>
          <w:rFonts w:ascii="Georgia" w:eastAsiaTheme="minorEastAsia" w:hAnsi="Georgia" w:cs="Arial"/>
          <w:lang w:val="en-GB"/>
        </w:rPr>
        <w:t>observed</w:t>
      </w:r>
      <w:r w:rsidRPr="00D41D25">
        <w:rPr>
          <w:rFonts w:ascii="Georgia" w:eastAsiaTheme="minorEastAsia" w:hAnsi="Georgia" w:cs="Arial"/>
          <w:lang w:val="en-GB"/>
        </w:rPr>
        <w:t xml:space="preserve"> were physicians, non-medical professionals, nurses, and employees with strategic or administrative functions.  </w:t>
      </w:r>
    </w:p>
    <w:p w14:paraId="654FFED9" w14:textId="51BC3A36" w:rsidR="002A0342" w:rsidRPr="00D41D25" w:rsidRDefault="001B0CFE" w:rsidP="00B72A49">
      <w:pPr>
        <w:pStyle w:val="MDPI31text"/>
        <w:rPr>
          <w:rFonts w:ascii="Georgia" w:eastAsiaTheme="minorEastAsia" w:hAnsi="Georgia" w:cs="Arial"/>
          <w:lang w:val="en-GB"/>
        </w:rPr>
      </w:pPr>
      <w:r w:rsidRPr="00D41D25">
        <w:rPr>
          <w:rFonts w:ascii="Georgia" w:eastAsiaTheme="minorEastAsia" w:hAnsi="Georgia" w:cs="Arial"/>
          <w:lang w:val="en-GB"/>
        </w:rPr>
        <w:t xml:space="preserve">The occupancy of the workstations was documented in two projects with three categories: "occupied", "empty" or "cold </w:t>
      </w:r>
      <w:r w:rsidR="00415C28" w:rsidRPr="00D41D25">
        <w:rPr>
          <w:rFonts w:ascii="Georgia" w:eastAsiaTheme="minorEastAsia" w:hAnsi="Georgia" w:cs="Arial"/>
          <w:lang w:val="en-GB"/>
        </w:rPr>
        <w:t>occupation</w:t>
      </w:r>
      <w:r w:rsidRPr="00D41D25">
        <w:rPr>
          <w:rFonts w:ascii="Georgia" w:eastAsiaTheme="minorEastAsia" w:hAnsi="Georgia" w:cs="Arial"/>
          <w:lang w:val="en-GB"/>
        </w:rPr>
        <w:t>"</w:t>
      </w:r>
      <w:r w:rsidR="00BB542B" w:rsidRPr="00D41D25">
        <w:rPr>
          <w:rFonts w:ascii="Georgia" w:eastAsiaTheme="minorEastAsia" w:hAnsi="Georgia" w:cs="Arial"/>
          <w:lang w:val="en-GB"/>
        </w:rPr>
        <w:t xml:space="preserve"> (workstation is occupied but currently not used</w:t>
      </w:r>
      <w:r w:rsidR="00415C28" w:rsidRPr="00D41D25">
        <w:rPr>
          <w:rFonts w:ascii="Georgia" w:eastAsiaTheme="minorEastAsia" w:hAnsi="Georgia" w:cs="Arial"/>
          <w:lang w:val="en-GB"/>
        </w:rPr>
        <w:t>)</w:t>
      </w:r>
      <w:r w:rsidR="00DC539E">
        <w:rPr>
          <w:rFonts w:ascii="Georgia" w:eastAsiaTheme="minorEastAsia" w:hAnsi="Georgia" w:cs="Arial"/>
          <w:lang w:val="en-GB"/>
        </w:rPr>
        <w:t>,</w:t>
      </w:r>
      <w:r w:rsidRPr="00D41D25">
        <w:rPr>
          <w:rFonts w:ascii="Georgia" w:eastAsiaTheme="minorEastAsia" w:hAnsi="Georgia" w:cs="Arial"/>
          <w:lang w:val="en-GB"/>
        </w:rPr>
        <w:t xml:space="preserve"> and in two projects with only two categories: "occupied" or "empty". For the data analysis, the records with information on "empty" and "cold </w:t>
      </w:r>
      <w:r w:rsidR="00415C28" w:rsidRPr="00D41D25">
        <w:rPr>
          <w:rFonts w:ascii="Georgia" w:eastAsiaTheme="minorEastAsia" w:hAnsi="Georgia" w:cs="Arial"/>
          <w:lang w:val="en-GB"/>
        </w:rPr>
        <w:t>occupation</w:t>
      </w:r>
      <w:r w:rsidRPr="00D41D25">
        <w:rPr>
          <w:rFonts w:ascii="Georgia" w:eastAsiaTheme="minorEastAsia" w:hAnsi="Georgia" w:cs="Arial"/>
          <w:lang w:val="en-GB"/>
        </w:rPr>
        <w:t xml:space="preserve">" were summed and </w:t>
      </w:r>
      <w:r w:rsidR="00415C28" w:rsidRPr="00D41D25">
        <w:rPr>
          <w:rFonts w:ascii="Georgia" w:eastAsiaTheme="minorEastAsia" w:hAnsi="Georgia" w:cs="Arial"/>
          <w:lang w:val="en-GB"/>
        </w:rPr>
        <w:t>recoded into the</w:t>
      </w:r>
      <w:r w:rsidR="007960E8" w:rsidRPr="00D41D25">
        <w:rPr>
          <w:rFonts w:ascii="Georgia" w:eastAsiaTheme="minorEastAsia" w:hAnsi="Georgia" w:cs="Arial"/>
          <w:lang w:val="en-GB"/>
        </w:rPr>
        <w:t xml:space="preserve"> </w:t>
      </w:r>
      <w:r w:rsidR="006C78C9" w:rsidRPr="00D41D25">
        <w:rPr>
          <w:rFonts w:ascii="Georgia" w:eastAsiaTheme="minorEastAsia" w:hAnsi="Georgia" w:cs="Arial"/>
          <w:lang w:val="en-GB"/>
        </w:rPr>
        <w:t>"</w:t>
      </w:r>
      <w:r w:rsidR="007960E8" w:rsidRPr="00D41D25">
        <w:rPr>
          <w:rFonts w:ascii="Georgia" w:eastAsiaTheme="minorEastAsia" w:hAnsi="Georgia" w:cs="Arial"/>
          <w:lang w:val="en-GB"/>
        </w:rPr>
        <w:t>empty</w:t>
      </w:r>
      <w:r w:rsidR="006C78C9" w:rsidRPr="00D41D25">
        <w:rPr>
          <w:rFonts w:ascii="Georgia" w:eastAsiaTheme="minorEastAsia" w:hAnsi="Georgia" w:cs="Arial"/>
          <w:lang w:val="en-GB"/>
        </w:rPr>
        <w:t>"</w:t>
      </w:r>
      <w:r w:rsidRPr="00D41D25">
        <w:rPr>
          <w:rFonts w:ascii="Georgia" w:eastAsiaTheme="minorEastAsia" w:hAnsi="Georgia" w:cs="Arial"/>
          <w:lang w:val="en-GB"/>
        </w:rPr>
        <w:t xml:space="preserve"> category. After this adjustment of the datasets, they were comparable. The background for the adjustment is a changed observation logic for </w:t>
      </w:r>
      <w:r w:rsidR="008A4B94" w:rsidRPr="00D41D25">
        <w:rPr>
          <w:rFonts w:ascii="Georgia" w:eastAsiaTheme="minorEastAsia" w:hAnsi="Georgia" w:cs="Arial"/>
          <w:lang w:val="en-GB"/>
        </w:rPr>
        <w:t>hospital</w:t>
      </w:r>
      <w:r w:rsidRPr="00D41D25">
        <w:rPr>
          <w:rFonts w:ascii="Georgia" w:eastAsiaTheme="minorEastAsia" w:hAnsi="Georgia" w:cs="Arial"/>
          <w:lang w:val="en-GB"/>
        </w:rPr>
        <w:t xml:space="preserve"> workplaces</w:t>
      </w:r>
      <w:r w:rsidR="008A4B94" w:rsidRPr="00D41D25">
        <w:rPr>
          <w:rFonts w:ascii="Georgia" w:eastAsiaTheme="minorEastAsia" w:hAnsi="Georgia" w:cs="Arial"/>
          <w:lang w:val="en-GB"/>
        </w:rPr>
        <w:t xml:space="preserve"> as compared to office workplaces </w:t>
      </w:r>
      <w:r w:rsidR="00AF3268">
        <w:rPr>
          <w:rFonts w:ascii="Georgia" w:eastAsiaTheme="minorEastAsia" w:hAnsi="Georgia" w:cs="Arial"/>
          <w:lang w:val="en-GB"/>
        </w:rPr>
        <w:t>in</w:t>
      </w:r>
      <w:r w:rsidR="00AF3268" w:rsidRPr="00D41D25">
        <w:rPr>
          <w:rFonts w:ascii="Georgia" w:eastAsiaTheme="minorEastAsia" w:hAnsi="Georgia" w:cs="Arial"/>
          <w:lang w:val="en-GB"/>
        </w:rPr>
        <w:t xml:space="preserve"> </w:t>
      </w:r>
      <w:r w:rsidR="008A4B94" w:rsidRPr="00D41D25">
        <w:rPr>
          <w:rFonts w:ascii="Georgia" w:eastAsiaTheme="minorEastAsia" w:hAnsi="Georgia" w:cs="Arial"/>
          <w:lang w:val="en-GB"/>
        </w:rPr>
        <w:t>other industries</w:t>
      </w:r>
      <w:r w:rsidRPr="00D41D25">
        <w:rPr>
          <w:rFonts w:ascii="Georgia" w:eastAsiaTheme="minorEastAsia" w:hAnsi="Georgia" w:cs="Arial"/>
          <w:lang w:val="en-GB"/>
        </w:rPr>
        <w:t xml:space="preserve">. This is because the category "cold </w:t>
      </w:r>
      <w:r w:rsidR="00014E7D" w:rsidRPr="00D41D25">
        <w:rPr>
          <w:rFonts w:ascii="Georgia" w:eastAsiaTheme="minorEastAsia" w:hAnsi="Georgia" w:cs="Arial"/>
          <w:lang w:val="en-GB"/>
        </w:rPr>
        <w:t>occupation</w:t>
      </w:r>
      <w:r w:rsidRPr="00D41D25">
        <w:rPr>
          <w:rFonts w:ascii="Georgia" w:eastAsiaTheme="minorEastAsia" w:hAnsi="Georgia" w:cs="Arial"/>
          <w:lang w:val="en-GB"/>
        </w:rPr>
        <w:t xml:space="preserve">" is </w:t>
      </w:r>
      <w:r w:rsidR="002C5574" w:rsidRPr="00D41D25">
        <w:rPr>
          <w:rFonts w:ascii="Georgia" w:eastAsiaTheme="minorEastAsia" w:hAnsi="Georgia" w:cs="Arial"/>
          <w:lang w:val="en-GB"/>
        </w:rPr>
        <w:t xml:space="preserve">challenging </w:t>
      </w:r>
      <w:r w:rsidRPr="00D41D25">
        <w:rPr>
          <w:rFonts w:ascii="Georgia" w:eastAsiaTheme="minorEastAsia" w:hAnsi="Georgia" w:cs="Arial"/>
          <w:lang w:val="en-GB"/>
        </w:rPr>
        <w:t xml:space="preserve">to identify in hospitals with traditional office concepts </w:t>
      </w:r>
      <w:r w:rsidR="007E71AE" w:rsidRPr="00D41D25">
        <w:rPr>
          <w:rFonts w:ascii="Georgia" w:eastAsiaTheme="minorEastAsia" w:hAnsi="Georgia" w:cs="Arial"/>
          <w:lang w:val="en-GB"/>
        </w:rPr>
        <w:t>lacking</w:t>
      </w:r>
      <w:r w:rsidRPr="00D41D25">
        <w:rPr>
          <w:rFonts w:ascii="Georgia" w:eastAsiaTheme="minorEastAsia" w:hAnsi="Georgia" w:cs="Arial"/>
          <w:lang w:val="en-GB"/>
        </w:rPr>
        <w:t xml:space="preserve"> clean desk routine</w:t>
      </w:r>
      <w:r w:rsidR="007E71AE" w:rsidRPr="00D41D25">
        <w:rPr>
          <w:rFonts w:ascii="Georgia" w:eastAsiaTheme="minorEastAsia" w:hAnsi="Georgia" w:cs="Arial"/>
          <w:lang w:val="en-GB"/>
        </w:rPr>
        <w:t>s</w:t>
      </w:r>
      <w:r w:rsidRPr="00D41D25">
        <w:rPr>
          <w:rFonts w:ascii="Georgia" w:eastAsiaTheme="minorEastAsia" w:hAnsi="Georgia" w:cs="Arial"/>
          <w:lang w:val="en-GB"/>
        </w:rPr>
        <w:t>.</w:t>
      </w:r>
    </w:p>
    <w:p w14:paraId="12BB03BB" w14:textId="2E6171DF" w:rsidR="00250605" w:rsidRPr="00D41D25" w:rsidRDefault="00871A20" w:rsidP="00B72A49">
      <w:pPr>
        <w:pStyle w:val="MDPI31text"/>
        <w:rPr>
          <w:rFonts w:ascii="Georgia" w:eastAsiaTheme="minorEastAsia" w:hAnsi="Georgia" w:cs="Arial"/>
        </w:rPr>
      </w:pPr>
      <w:r w:rsidRPr="00D41D25">
        <w:rPr>
          <w:rFonts w:ascii="Georgia" w:eastAsiaTheme="minorEastAsia" w:hAnsi="Georgia" w:cs="Arial"/>
          <w:lang w:val="en-GB"/>
        </w:rPr>
        <w:t>As c</w:t>
      </w:r>
      <w:r w:rsidR="00C07077" w:rsidRPr="00D41D25">
        <w:rPr>
          <w:rFonts w:ascii="Georgia" w:eastAsiaTheme="minorEastAsia" w:hAnsi="Georgia" w:cs="Arial"/>
          <w:lang w:val="en-GB"/>
        </w:rPr>
        <w:t>ategories of t</w:t>
      </w:r>
      <w:r w:rsidR="002A6621" w:rsidRPr="00D41D25">
        <w:rPr>
          <w:rFonts w:ascii="Georgia" w:eastAsiaTheme="minorEastAsia" w:hAnsi="Georgia" w:cs="Arial"/>
          <w:lang w:val="en-GB"/>
        </w:rPr>
        <w:t xml:space="preserve">he </w:t>
      </w:r>
      <w:r w:rsidRPr="00D41D25">
        <w:rPr>
          <w:rFonts w:ascii="Georgia" w:eastAsiaTheme="minorEastAsia" w:hAnsi="Georgia" w:cs="Arial"/>
          <w:lang w:val="en-GB"/>
        </w:rPr>
        <w:t>a</w:t>
      </w:r>
      <w:r w:rsidR="002A6621" w:rsidRPr="00D41D25">
        <w:rPr>
          <w:rFonts w:ascii="Georgia" w:eastAsiaTheme="minorEastAsia" w:hAnsi="Georgia" w:cs="Arial"/>
          <w:lang w:val="en-GB"/>
        </w:rPr>
        <w:t xml:space="preserve">ctivities </w:t>
      </w:r>
      <w:r w:rsidRPr="00D41D25">
        <w:rPr>
          <w:rFonts w:ascii="Georgia" w:eastAsiaTheme="minorEastAsia" w:hAnsi="Georgia" w:cs="Arial"/>
          <w:lang w:val="en-GB"/>
        </w:rPr>
        <w:t xml:space="preserve">in four projects </w:t>
      </w:r>
      <w:r w:rsidR="002A6621" w:rsidRPr="00D41D25">
        <w:rPr>
          <w:rFonts w:ascii="Georgia" w:eastAsiaTheme="minorEastAsia" w:hAnsi="Georgia" w:cs="Arial"/>
          <w:lang w:val="en-GB"/>
        </w:rPr>
        <w:t>w</w:t>
      </w:r>
      <w:r w:rsidR="00C07077" w:rsidRPr="00D41D25">
        <w:rPr>
          <w:rFonts w:ascii="Georgia" w:eastAsiaTheme="minorEastAsia" w:hAnsi="Georgia" w:cs="Arial"/>
          <w:lang w:val="en-GB"/>
        </w:rPr>
        <w:t>ere</w:t>
      </w:r>
      <w:r w:rsidR="002A6621" w:rsidRPr="00D41D25">
        <w:rPr>
          <w:rFonts w:ascii="Georgia" w:eastAsiaTheme="minorEastAsia" w:hAnsi="Georgia" w:cs="Arial"/>
          <w:lang w:val="en-GB"/>
        </w:rPr>
        <w:t xml:space="preserve"> documented</w:t>
      </w:r>
      <w:r w:rsidRPr="00D41D25">
        <w:rPr>
          <w:rFonts w:ascii="Georgia" w:eastAsiaTheme="minorEastAsia" w:hAnsi="Georgia" w:cs="Arial"/>
          <w:lang w:val="en-GB"/>
        </w:rPr>
        <w:t xml:space="preserve"> differently, activities </w:t>
      </w:r>
      <w:r w:rsidR="00DB204D" w:rsidRPr="00D41D25">
        <w:rPr>
          <w:rFonts w:ascii="Georgia" w:eastAsiaTheme="minorEastAsia" w:hAnsi="Georgia" w:cs="Arial"/>
          <w:lang w:val="en-GB"/>
        </w:rPr>
        <w:t xml:space="preserve">of occupants </w:t>
      </w:r>
      <w:r w:rsidRPr="00D41D25">
        <w:rPr>
          <w:rFonts w:ascii="Georgia" w:eastAsiaTheme="minorEastAsia" w:hAnsi="Georgia" w:cs="Arial"/>
          <w:lang w:val="en-GB"/>
        </w:rPr>
        <w:t xml:space="preserve">were </w:t>
      </w:r>
      <w:r w:rsidR="003B02CE" w:rsidRPr="00D41D25">
        <w:rPr>
          <w:rFonts w:ascii="Georgia" w:eastAsiaTheme="minorEastAsia" w:hAnsi="Georgia" w:cs="Arial"/>
          <w:lang w:val="en-GB"/>
        </w:rPr>
        <w:t xml:space="preserve">merged and </w:t>
      </w:r>
      <w:r w:rsidRPr="00D41D25">
        <w:rPr>
          <w:rFonts w:ascii="Georgia" w:eastAsiaTheme="minorEastAsia" w:hAnsi="Georgia" w:cs="Arial"/>
          <w:lang w:val="en-GB"/>
        </w:rPr>
        <w:t xml:space="preserve">recategorized </w:t>
      </w:r>
      <w:r w:rsidR="00F809B9" w:rsidRPr="00D41D25">
        <w:rPr>
          <w:rFonts w:ascii="Georgia" w:eastAsiaTheme="minorEastAsia" w:hAnsi="Georgia" w:cs="Arial"/>
          <w:lang w:val="en-GB"/>
        </w:rPr>
        <w:t xml:space="preserve">into </w:t>
      </w:r>
      <w:r w:rsidR="00BE6DEA" w:rsidRPr="00D41D25">
        <w:rPr>
          <w:rFonts w:ascii="Georgia" w:eastAsiaTheme="minorEastAsia" w:hAnsi="Georgia" w:cs="Arial"/>
          <w:lang w:val="en-GB"/>
        </w:rPr>
        <w:t>"</w:t>
      </w:r>
      <w:r w:rsidR="00F809B9" w:rsidRPr="00D41D25">
        <w:rPr>
          <w:rFonts w:ascii="Georgia" w:eastAsiaTheme="minorEastAsia" w:hAnsi="Georgia" w:cs="Arial"/>
          <w:lang w:val="en-GB"/>
        </w:rPr>
        <w:t>communication onsite</w:t>
      </w:r>
      <w:r w:rsidR="00BE6DEA" w:rsidRPr="00D41D25">
        <w:rPr>
          <w:rFonts w:ascii="Georgia" w:eastAsiaTheme="minorEastAsia" w:hAnsi="Georgia" w:cs="Arial"/>
          <w:lang w:val="en-GB"/>
        </w:rPr>
        <w:t>"</w:t>
      </w:r>
      <w:r w:rsidR="00F809B9" w:rsidRPr="00D41D25">
        <w:rPr>
          <w:rFonts w:ascii="Georgia" w:eastAsiaTheme="minorEastAsia" w:hAnsi="Georgia" w:cs="Arial"/>
          <w:lang w:val="en-GB"/>
        </w:rPr>
        <w:t xml:space="preserve">, </w:t>
      </w:r>
      <w:r w:rsidR="00BE6DEA" w:rsidRPr="00D41D25">
        <w:rPr>
          <w:rFonts w:ascii="Georgia" w:eastAsiaTheme="minorEastAsia" w:hAnsi="Georgia" w:cs="Arial"/>
          <w:lang w:val="en-GB"/>
        </w:rPr>
        <w:t>"</w:t>
      </w:r>
      <w:r w:rsidR="00F809B9" w:rsidRPr="00D41D25">
        <w:rPr>
          <w:rFonts w:ascii="Georgia" w:eastAsiaTheme="minorEastAsia" w:hAnsi="Georgia" w:cs="Arial"/>
          <w:lang w:val="en-GB"/>
        </w:rPr>
        <w:t>dig</w:t>
      </w:r>
      <w:r w:rsidR="00CD20F4" w:rsidRPr="00D41D25">
        <w:rPr>
          <w:rFonts w:ascii="Georgia" w:eastAsiaTheme="minorEastAsia" w:hAnsi="Georgia" w:cs="Arial"/>
          <w:lang w:val="en-GB"/>
        </w:rPr>
        <w:t>i</w:t>
      </w:r>
      <w:r w:rsidR="00F809B9" w:rsidRPr="00D41D25">
        <w:rPr>
          <w:rFonts w:ascii="Georgia" w:eastAsiaTheme="minorEastAsia" w:hAnsi="Georgia" w:cs="Arial"/>
          <w:lang w:val="en-GB"/>
        </w:rPr>
        <w:t>tal communication</w:t>
      </w:r>
      <w:r w:rsidR="00BE6DEA" w:rsidRPr="00D41D25">
        <w:rPr>
          <w:rFonts w:ascii="Georgia" w:eastAsiaTheme="minorEastAsia" w:hAnsi="Georgia" w:cs="Arial"/>
          <w:lang w:val="en-GB"/>
        </w:rPr>
        <w:t>"</w:t>
      </w:r>
      <w:r w:rsidR="00F809B9" w:rsidRPr="00D41D25">
        <w:rPr>
          <w:rFonts w:ascii="Georgia" w:eastAsiaTheme="minorEastAsia" w:hAnsi="Georgia" w:cs="Arial"/>
          <w:lang w:val="en-GB"/>
        </w:rPr>
        <w:t xml:space="preserve">, </w:t>
      </w:r>
      <w:r w:rsidR="00BE6DEA" w:rsidRPr="00D41D25">
        <w:rPr>
          <w:rFonts w:ascii="Georgia" w:eastAsiaTheme="minorEastAsia" w:hAnsi="Georgia" w:cs="Arial"/>
          <w:lang w:val="en-GB"/>
        </w:rPr>
        <w:t>"</w:t>
      </w:r>
      <w:r w:rsidR="00F809B9" w:rsidRPr="00D41D25">
        <w:rPr>
          <w:rFonts w:ascii="Georgia" w:eastAsiaTheme="minorEastAsia" w:hAnsi="Georgia" w:cs="Arial"/>
          <w:lang w:val="en-GB"/>
        </w:rPr>
        <w:t>deskwork</w:t>
      </w:r>
      <w:r w:rsidR="00BE6DEA" w:rsidRPr="00D41D25">
        <w:rPr>
          <w:rFonts w:ascii="Georgia" w:eastAsiaTheme="minorEastAsia" w:hAnsi="Georgia" w:cs="Arial"/>
          <w:lang w:val="en-GB"/>
        </w:rPr>
        <w:t>"</w:t>
      </w:r>
      <w:r w:rsidR="00156046">
        <w:rPr>
          <w:rFonts w:ascii="Georgia" w:eastAsiaTheme="minorEastAsia" w:hAnsi="Georgia" w:cs="Arial"/>
          <w:lang w:val="en-GB"/>
        </w:rPr>
        <w:t>,</w:t>
      </w:r>
      <w:r w:rsidR="00F809B9" w:rsidRPr="00D41D25">
        <w:rPr>
          <w:rFonts w:ascii="Georgia" w:eastAsiaTheme="minorEastAsia" w:hAnsi="Georgia" w:cs="Arial"/>
          <w:lang w:val="en-GB"/>
        </w:rPr>
        <w:t xml:space="preserve"> and </w:t>
      </w:r>
      <w:r w:rsidR="00BE6DEA" w:rsidRPr="00D41D25">
        <w:rPr>
          <w:rFonts w:ascii="Georgia" w:eastAsiaTheme="minorEastAsia" w:hAnsi="Georgia" w:cs="Arial"/>
          <w:lang w:val="en-GB"/>
        </w:rPr>
        <w:t>"</w:t>
      </w:r>
      <w:r w:rsidR="00F809B9" w:rsidRPr="00D41D25">
        <w:rPr>
          <w:rFonts w:ascii="Georgia" w:eastAsiaTheme="minorEastAsia" w:hAnsi="Georgia" w:cs="Arial"/>
          <w:lang w:val="en-GB"/>
        </w:rPr>
        <w:t>break</w:t>
      </w:r>
      <w:r w:rsidR="00BE6DEA" w:rsidRPr="00D41D25">
        <w:rPr>
          <w:rFonts w:ascii="Georgia" w:eastAsiaTheme="minorEastAsia" w:hAnsi="Georgia" w:cs="Arial"/>
          <w:lang w:val="en-GB"/>
        </w:rPr>
        <w:t>"</w:t>
      </w:r>
      <w:r w:rsidR="00F809B9" w:rsidRPr="00D41D25">
        <w:rPr>
          <w:rFonts w:ascii="Georgia" w:eastAsiaTheme="minorEastAsia" w:hAnsi="Georgia" w:cs="Arial"/>
          <w:lang w:val="en-GB"/>
        </w:rPr>
        <w:t xml:space="preserve">. </w:t>
      </w:r>
      <w:r w:rsidR="00661B81" w:rsidRPr="00D41D25">
        <w:rPr>
          <w:rFonts w:ascii="Georgia" w:eastAsiaTheme="minorEastAsia" w:hAnsi="Georgia" w:cs="Arial"/>
          <w:lang w:val="en-GB"/>
        </w:rPr>
        <w:t xml:space="preserve">Communication onsite </w:t>
      </w:r>
      <w:r w:rsidR="00CD20F4" w:rsidRPr="00D41D25">
        <w:rPr>
          <w:rFonts w:ascii="Georgia" w:eastAsiaTheme="minorEastAsia" w:hAnsi="Georgia" w:cs="Arial"/>
          <w:lang w:val="en-GB"/>
        </w:rPr>
        <w:t>refers to</w:t>
      </w:r>
      <w:r w:rsidR="00661B81" w:rsidRPr="00D41D25">
        <w:rPr>
          <w:rFonts w:ascii="Georgia" w:eastAsiaTheme="minorEastAsia" w:hAnsi="Georgia" w:cs="Arial"/>
          <w:lang w:val="en-GB"/>
        </w:rPr>
        <w:t xml:space="preserve"> communication with colleagues in the same room, whereas digital communication </w:t>
      </w:r>
      <w:r w:rsidR="00CD20F4" w:rsidRPr="00D41D25">
        <w:rPr>
          <w:rFonts w:ascii="Georgia" w:eastAsiaTheme="minorEastAsia" w:hAnsi="Georgia" w:cs="Arial"/>
          <w:lang w:val="en-GB"/>
        </w:rPr>
        <w:t>includes</w:t>
      </w:r>
      <w:r w:rsidR="00661B81" w:rsidRPr="00D41D25">
        <w:rPr>
          <w:rFonts w:ascii="Georgia" w:eastAsiaTheme="minorEastAsia" w:hAnsi="Georgia" w:cs="Arial"/>
          <w:lang w:val="en-GB"/>
        </w:rPr>
        <w:t xml:space="preserve"> any communication using</w:t>
      </w:r>
      <w:r w:rsidR="00FF41D6">
        <w:rPr>
          <w:rFonts w:ascii="Georgia" w:eastAsiaTheme="minorEastAsia" w:hAnsi="Georgia" w:cs="Arial"/>
          <w:lang w:val="en-GB"/>
        </w:rPr>
        <w:t xml:space="preserve"> a</w:t>
      </w:r>
      <w:r w:rsidR="00661B81" w:rsidRPr="00D41D25">
        <w:rPr>
          <w:rFonts w:ascii="Georgia" w:eastAsiaTheme="minorEastAsia" w:hAnsi="Georgia" w:cs="Arial"/>
          <w:lang w:val="en-GB"/>
        </w:rPr>
        <w:t xml:space="preserve"> </w:t>
      </w:r>
      <w:r w:rsidR="00CD20F4" w:rsidRPr="00D41D25">
        <w:rPr>
          <w:rFonts w:ascii="Georgia" w:eastAsiaTheme="minorEastAsia" w:hAnsi="Georgia" w:cs="Arial"/>
          <w:lang w:val="en-GB"/>
        </w:rPr>
        <w:t>tele</w:t>
      </w:r>
      <w:r w:rsidR="00661B81" w:rsidRPr="00D41D25">
        <w:rPr>
          <w:rFonts w:ascii="Georgia" w:eastAsiaTheme="minorEastAsia" w:hAnsi="Georgia" w:cs="Arial"/>
          <w:lang w:val="en-GB"/>
        </w:rPr>
        <w:t>phone or computer. Deskwork includes all qui</w:t>
      </w:r>
      <w:r w:rsidR="00CD20F4" w:rsidRPr="00D41D25">
        <w:rPr>
          <w:rFonts w:ascii="Georgia" w:eastAsiaTheme="minorEastAsia" w:hAnsi="Georgia" w:cs="Arial"/>
          <w:lang w:val="en-GB"/>
        </w:rPr>
        <w:t>e</w:t>
      </w:r>
      <w:r w:rsidR="00661B81" w:rsidRPr="00D41D25">
        <w:rPr>
          <w:rFonts w:ascii="Georgia" w:eastAsiaTheme="minorEastAsia" w:hAnsi="Georgia" w:cs="Arial"/>
          <w:lang w:val="en-GB"/>
        </w:rPr>
        <w:t>t tasks</w:t>
      </w:r>
      <w:r w:rsidR="00FF41D6">
        <w:rPr>
          <w:rFonts w:ascii="Georgia" w:eastAsiaTheme="minorEastAsia" w:hAnsi="Georgia" w:cs="Arial"/>
          <w:lang w:val="en-GB"/>
        </w:rPr>
        <w:t>,</w:t>
      </w:r>
      <w:r w:rsidR="00661B81" w:rsidRPr="00D41D25">
        <w:rPr>
          <w:rFonts w:ascii="Georgia" w:eastAsiaTheme="minorEastAsia" w:hAnsi="Georgia" w:cs="Arial"/>
          <w:lang w:val="en-GB"/>
        </w:rPr>
        <w:t xml:space="preserve"> like reading</w:t>
      </w:r>
      <w:r w:rsidR="00CD20F4" w:rsidRPr="00D41D25">
        <w:rPr>
          <w:rFonts w:ascii="Georgia" w:eastAsiaTheme="minorEastAsia" w:hAnsi="Georgia" w:cs="Arial"/>
          <w:lang w:val="en-GB"/>
        </w:rPr>
        <w:t xml:space="preserve"> and</w:t>
      </w:r>
      <w:r w:rsidR="00661B81" w:rsidRPr="00D41D25">
        <w:rPr>
          <w:rFonts w:ascii="Georgia" w:eastAsiaTheme="minorEastAsia" w:hAnsi="Georgia" w:cs="Arial"/>
          <w:lang w:val="en-GB"/>
        </w:rPr>
        <w:t xml:space="preserve"> writing. When people </w:t>
      </w:r>
      <w:r w:rsidR="009F7C85" w:rsidRPr="00D41D25">
        <w:rPr>
          <w:rFonts w:ascii="Georgia" w:eastAsiaTheme="minorEastAsia" w:hAnsi="Georgia" w:cs="Arial"/>
          <w:lang w:val="en-GB"/>
        </w:rPr>
        <w:t>relaxed or ate at their desk</w:t>
      </w:r>
      <w:r w:rsidR="0066334A">
        <w:rPr>
          <w:rFonts w:ascii="Georgia" w:eastAsiaTheme="minorEastAsia" w:hAnsi="Georgia" w:cs="Arial"/>
          <w:lang w:val="en-GB"/>
        </w:rPr>
        <w:t>s,</w:t>
      </w:r>
      <w:r w:rsidR="009F7C85" w:rsidRPr="00D41D25">
        <w:rPr>
          <w:rFonts w:ascii="Georgia" w:eastAsiaTheme="minorEastAsia" w:hAnsi="Georgia" w:cs="Arial"/>
          <w:lang w:val="en-GB"/>
        </w:rPr>
        <w:t xml:space="preserve"> </w:t>
      </w:r>
      <w:r w:rsidR="003B02CE" w:rsidRPr="00D41D25">
        <w:rPr>
          <w:rFonts w:ascii="Georgia" w:eastAsiaTheme="minorEastAsia" w:hAnsi="Georgia" w:cs="Arial"/>
          <w:lang w:val="en-GB"/>
        </w:rPr>
        <w:t>it</w:t>
      </w:r>
      <w:r w:rsidR="009F7C85" w:rsidRPr="00D41D25">
        <w:rPr>
          <w:rFonts w:ascii="Georgia" w:eastAsiaTheme="minorEastAsia" w:hAnsi="Georgia" w:cs="Arial"/>
          <w:lang w:val="en-GB"/>
        </w:rPr>
        <w:t xml:space="preserve"> was documented as </w:t>
      </w:r>
      <w:r w:rsidR="0066334A">
        <w:rPr>
          <w:rFonts w:ascii="Georgia" w:eastAsiaTheme="minorEastAsia" w:hAnsi="Georgia" w:cs="Arial"/>
          <w:lang w:val="en-GB"/>
        </w:rPr>
        <w:t xml:space="preserve">a </w:t>
      </w:r>
      <w:r w:rsidR="009F7C85" w:rsidRPr="00D41D25">
        <w:rPr>
          <w:rFonts w:ascii="Georgia" w:eastAsiaTheme="minorEastAsia" w:hAnsi="Georgia" w:cs="Arial"/>
          <w:lang w:val="en-GB"/>
        </w:rPr>
        <w:t>break.</w:t>
      </w:r>
    </w:p>
    <w:p w14:paraId="7F3DAA75" w14:textId="2189030C" w:rsidR="005A3A5B" w:rsidRPr="00D41D25" w:rsidRDefault="00E81440" w:rsidP="007D5D10">
      <w:pPr>
        <w:pStyle w:val="MDPI31text"/>
        <w:rPr>
          <w:rFonts w:ascii="Georgia" w:eastAsiaTheme="minorEastAsia" w:hAnsi="Georgia" w:cs="Arial"/>
          <w:color w:val="auto"/>
          <w:lang w:val="en-GB"/>
        </w:rPr>
      </w:pPr>
      <w:r w:rsidRPr="00D41D25">
        <w:rPr>
          <w:rFonts w:ascii="Georgia" w:eastAsiaTheme="minorEastAsia" w:hAnsi="Georgia" w:cs="Arial"/>
          <w:lang w:val="en-GB"/>
        </w:rPr>
        <w:t xml:space="preserve">Adopting the procedure of a </w:t>
      </w:r>
      <w:r w:rsidR="00E832AD" w:rsidRPr="00D41D25">
        <w:rPr>
          <w:rFonts w:ascii="Georgia" w:eastAsiaTheme="minorEastAsia" w:hAnsi="Georgia" w:cs="Arial"/>
          <w:lang w:val="en-GB"/>
        </w:rPr>
        <w:t xml:space="preserve">systematic </w:t>
      </w:r>
      <w:r w:rsidR="00C11B05" w:rsidRPr="00D41D25">
        <w:rPr>
          <w:rFonts w:ascii="Georgia" w:eastAsiaTheme="minorEastAsia" w:hAnsi="Georgia" w:cs="Arial"/>
          <w:lang w:val="en-GB"/>
        </w:rPr>
        <w:t xml:space="preserve">space </w:t>
      </w:r>
      <w:r w:rsidR="006C78C9" w:rsidRPr="00D41D25">
        <w:rPr>
          <w:rFonts w:ascii="Georgia" w:eastAsiaTheme="minorEastAsia" w:hAnsi="Georgia" w:cs="Arial"/>
          <w:lang w:val="en-GB"/>
        </w:rPr>
        <w:t xml:space="preserve">utilization </w:t>
      </w:r>
      <w:r w:rsidR="00C11B05" w:rsidRPr="00D41D25">
        <w:rPr>
          <w:rFonts w:ascii="Georgia" w:eastAsiaTheme="minorEastAsia" w:hAnsi="Georgia" w:cs="Arial"/>
          <w:lang w:val="en-GB"/>
        </w:rPr>
        <w:t>study</w:t>
      </w:r>
      <w:r w:rsidR="00E832AD" w:rsidRPr="00D41D25">
        <w:rPr>
          <w:rFonts w:ascii="Georgia" w:eastAsiaTheme="minorEastAsia" w:hAnsi="Georgia" w:cs="Arial"/>
          <w:lang w:val="en-GB"/>
        </w:rPr>
        <w:t xml:space="preserve">, workstations were observed following a regular observation grid on a fixed route within the defined observation area. The observation grid specified </w:t>
      </w:r>
      <w:r w:rsidR="00271704" w:rsidRPr="00D41D25">
        <w:rPr>
          <w:rFonts w:ascii="Georgia" w:eastAsiaTheme="minorEastAsia" w:hAnsi="Georgia" w:cs="Arial"/>
          <w:lang w:val="en-GB"/>
        </w:rPr>
        <w:t>data collection</w:t>
      </w:r>
      <w:r w:rsidR="00E832AD" w:rsidRPr="00D41D25">
        <w:rPr>
          <w:rFonts w:ascii="Georgia" w:eastAsiaTheme="minorEastAsia" w:hAnsi="Georgia" w:cs="Arial"/>
          <w:lang w:val="en-GB"/>
        </w:rPr>
        <w:t xml:space="preserve"> every 30 </w:t>
      </w:r>
      <w:r w:rsidR="00E832AD" w:rsidRPr="00D41D25">
        <w:rPr>
          <w:rFonts w:ascii="Georgia" w:eastAsiaTheme="minorEastAsia" w:hAnsi="Georgia" w:cs="Arial"/>
          <w:color w:val="auto"/>
          <w:lang w:val="en-GB"/>
        </w:rPr>
        <w:t>minutes between 7:00 am</w:t>
      </w:r>
      <w:r w:rsidR="008F0353" w:rsidRPr="00D41D25">
        <w:rPr>
          <w:rFonts w:ascii="Georgia" w:eastAsiaTheme="minorEastAsia" w:hAnsi="Georgia" w:cs="Arial"/>
          <w:color w:val="auto"/>
          <w:lang w:val="en-GB"/>
        </w:rPr>
        <w:t>,</w:t>
      </w:r>
      <w:r w:rsidR="00E832AD" w:rsidRPr="00D41D25">
        <w:rPr>
          <w:rFonts w:ascii="Georgia" w:eastAsiaTheme="minorEastAsia" w:hAnsi="Georgia" w:cs="Arial"/>
          <w:color w:val="auto"/>
          <w:lang w:val="en-GB"/>
        </w:rPr>
        <w:t xml:space="preserve"> and 6:00 pm</w:t>
      </w:r>
      <w:r w:rsidR="003F7D4F" w:rsidRPr="00D41D25">
        <w:rPr>
          <w:rFonts w:ascii="Georgia" w:eastAsiaTheme="minorEastAsia" w:hAnsi="Georgia" w:cs="Arial"/>
          <w:color w:val="auto"/>
          <w:lang w:val="en-GB"/>
        </w:rPr>
        <w:t xml:space="preserve"> in hospitals</w:t>
      </w:r>
      <w:r w:rsidR="00696898" w:rsidRPr="00D41D25">
        <w:rPr>
          <w:rFonts w:ascii="Georgia" w:eastAsiaTheme="minorEastAsia" w:hAnsi="Georgia" w:cs="Arial"/>
          <w:color w:val="auto"/>
          <w:lang w:val="en-GB"/>
        </w:rPr>
        <w:t xml:space="preserve"> and </w:t>
      </w:r>
      <w:r w:rsidR="00EE75C6" w:rsidRPr="00D41D25">
        <w:rPr>
          <w:rFonts w:ascii="Georgia" w:eastAsiaTheme="minorEastAsia" w:hAnsi="Georgia" w:cs="Arial"/>
          <w:color w:val="auto"/>
          <w:lang w:val="en-GB"/>
        </w:rPr>
        <w:t>8:00</w:t>
      </w:r>
      <w:r w:rsidR="008F0353" w:rsidRPr="00D41D25">
        <w:rPr>
          <w:rFonts w:ascii="Georgia" w:eastAsiaTheme="minorEastAsia" w:hAnsi="Georgia" w:cs="Arial"/>
          <w:color w:val="auto"/>
          <w:lang w:val="en-GB"/>
        </w:rPr>
        <w:t xml:space="preserve"> </w:t>
      </w:r>
      <w:r w:rsidR="00EE75C6" w:rsidRPr="00D41D25">
        <w:rPr>
          <w:rFonts w:ascii="Georgia" w:eastAsiaTheme="minorEastAsia" w:hAnsi="Georgia" w:cs="Arial"/>
          <w:color w:val="auto"/>
          <w:lang w:val="en-GB"/>
        </w:rPr>
        <w:t>am and 5:00</w:t>
      </w:r>
      <w:r w:rsidR="008F0353" w:rsidRPr="00D41D25">
        <w:rPr>
          <w:rFonts w:ascii="Georgia" w:eastAsiaTheme="minorEastAsia" w:hAnsi="Georgia" w:cs="Arial"/>
          <w:color w:val="auto"/>
          <w:lang w:val="en-GB"/>
        </w:rPr>
        <w:t xml:space="preserve"> </w:t>
      </w:r>
      <w:r w:rsidR="00EE75C6" w:rsidRPr="00D41D25">
        <w:rPr>
          <w:rFonts w:ascii="Georgia" w:eastAsiaTheme="minorEastAsia" w:hAnsi="Georgia" w:cs="Arial"/>
          <w:color w:val="auto"/>
          <w:lang w:val="en-GB"/>
        </w:rPr>
        <w:t>pm in offices for</w:t>
      </w:r>
      <w:r w:rsidR="00E832AD" w:rsidRPr="00D41D25">
        <w:rPr>
          <w:rFonts w:ascii="Georgia" w:eastAsiaTheme="minorEastAsia" w:hAnsi="Georgia" w:cs="Arial"/>
          <w:color w:val="auto"/>
          <w:lang w:val="en-GB"/>
        </w:rPr>
        <w:t xml:space="preserve"> </w:t>
      </w:r>
      <w:r w:rsidR="005026EF" w:rsidRPr="00D41D25">
        <w:rPr>
          <w:rFonts w:ascii="Georgia" w:eastAsiaTheme="minorEastAsia" w:hAnsi="Georgia" w:cs="Arial"/>
          <w:color w:val="auto"/>
          <w:lang w:val="en-GB"/>
        </w:rPr>
        <w:t>three to five</w:t>
      </w:r>
      <w:r w:rsidR="0018795F" w:rsidRPr="00D41D25">
        <w:rPr>
          <w:rFonts w:ascii="Georgia" w:eastAsiaTheme="minorEastAsia" w:hAnsi="Georgia" w:cs="Arial"/>
          <w:color w:val="auto"/>
          <w:lang w:val="en-GB"/>
        </w:rPr>
        <w:t xml:space="preserve"> days</w:t>
      </w:r>
      <w:r w:rsidR="00E832AD" w:rsidRPr="00D41D25">
        <w:rPr>
          <w:rFonts w:ascii="Georgia" w:eastAsiaTheme="minorEastAsia" w:hAnsi="Georgia" w:cs="Arial"/>
          <w:color w:val="auto"/>
          <w:lang w:val="en-GB"/>
        </w:rPr>
        <w:t xml:space="preserve"> in each project. In total, </w:t>
      </w:r>
      <w:r w:rsidR="00BE4C35" w:rsidRPr="00D41D25">
        <w:rPr>
          <w:rFonts w:ascii="Georgia" w:eastAsiaTheme="minorEastAsia" w:hAnsi="Georgia" w:cs="Arial"/>
          <w:color w:val="auto"/>
          <w:lang w:val="en-GB"/>
        </w:rPr>
        <w:t>4067</w:t>
      </w:r>
      <w:r w:rsidR="005D7465" w:rsidRPr="00D41D25">
        <w:rPr>
          <w:rFonts w:ascii="Georgia" w:eastAsiaTheme="minorEastAsia" w:hAnsi="Georgia" w:cs="Arial"/>
          <w:color w:val="auto"/>
          <w:lang w:val="en-GB"/>
        </w:rPr>
        <w:t xml:space="preserve"> (</w:t>
      </w:r>
      <w:r w:rsidR="00852D11" w:rsidRPr="00D41D25">
        <w:rPr>
          <w:rFonts w:ascii="Georgia" w:eastAsiaTheme="minorEastAsia" w:hAnsi="Georgia" w:cs="Arial"/>
          <w:color w:val="auto"/>
          <w:lang w:val="en-GB"/>
        </w:rPr>
        <w:t>533 hospital</w:t>
      </w:r>
      <w:r w:rsidR="008F0353" w:rsidRPr="00D41D25">
        <w:rPr>
          <w:rFonts w:ascii="Georgia" w:eastAsiaTheme="minorEastAsia" w:hAnsi="Georgia" w:cs="Arial"/>
          <w:color w:val="auto"/>
          <w:lang w:val="en-GB"/>
        </w:rPr>
        <w:t>-</w:t>
      </w:r>
      <w:r w:rsidR="00852D11" w:rsidRPr="00D41D25">
        <w:rPr>
          <w:rFonts w:ascii="Georgia" w:eastAsiaTheme="minorEastAsia" w:hAnsi="Georgia" w:cs="Arial"/>
          <w:color w:val="auto"/>
          <w:lang w:val="en-GB"/>
        </w:rPr>
        <w:t xml:space="preserve"> and </w:t>
      </w:r>
      <w:r w:rsidR="005D7465" w:rsidRPr="00D41D25">
        <w:rPr>
          <w:rFonts w:ascii="Georgia" w:eastAsiaTheme="minorEastAsia" w:hAnsi="Georgia" w:cs="Arial"/>
          <w:color w:val="auto"/>
          <w:lang w:val="en-GB"/>
        </w:rPr>
        <w:t>3534 office</w:t>
      </w:r>
      <w:r w:rsidR="008F0353" w:rsidRPr="00D41D25">
        <w:rPr>
          <w:rFonts w:ascii="Georgia" w:eastAsiaTheme="minorEastAsia" w:hAnsi="Georgia" w:cs="Arial"/>
          <w:color w:val="auto"/>
          <w:lang w:val="en-GB"/>
        </w:rPr>
        <w:t>-</w:t>
      </w:r>
      <w:r w:rsidR="005D7465" w:rsidRPr="00D41D25">
        <w:rPr>
          <w:rFonts w:ascii="Georgia" w:eastAsiaTheme="minorEastAsia" w:hAnsi="Georgia" w:cs="Arial"/>
          <w:color w:val="auto"/>
          <w:lang w:val="en-GB"/>
        </w:rPr>
        <w:t>)</w:t>
      </w:r>
      <w:r w:rsidR="00E832AD" w:rsidRPr="00D41D25">
        <w:rPr>
          <w:rFonts w:ascii="Georgia" w:eastAsiaTheme="minorEastAsia" w:hAnsi="Georgia" w:cs="Arial"/>
          <w:color w:val="auto"/>
          <w:lang w:val="en-GB"/>
        </w:rPr>
        <w:t xml:space="preserve"> workstations were </w:t>
      </w:r>
      <w:r w:rsidR="00067248" w:rsidRPr="00D41D25">
        <w:rPr>
          <w:rFonts w:ascii="Georgia" w:eastAsiaTheme="minorEastAsia" w:hAnsi="Georgia" w:cs="Arial"/>
          <w:color w:val="auto"/>
          <w:lang w:val="en-GB"/>
        </w:rPr>
        <w:t>observed,</w:t>
      </w:r>
      <w:r w:rsidR="00E832AD" w:rsidRPr="00D41D25">
        <w:rPr>
          <w:rFonts w:ascii="Georgia" w:eastAsiaTheme="minorEastAsia" w:hAnsi="Georgia" w:cs="Arial"/>
          <w:color w:val="auto"/>
          <w:lang w:val="en-GB"/>
        </w:rPr>
        <w:t xml:space="preserve"> and</w:t>
      </w:r>
      <w:r w:rsidR="00BE4C35" w:rsidRPr="00D41D25">
        <w:rPr>
          <w:rFonts w:ascii="Georgia" w:eastAsiaTheme="minorEastAsia" w:hAnsi="Georgia" w:cs="Arial"/>
          <w:color w:val="auto"/>
          <w:lang w:val="en-GB"/>
        </w:rPr>
        <w:t xml:space="preserve"> </w:t>
      </w:r>
      <w:r w:rsidR="00B113A6" w:rsidRPr="00D41D25">
        <w:rPr>
          <w:rFonts w:ascii="Georgia" w:eastAsiaTheme="minorEastAsia" w:hAnsi="Georgia" w:cs="Arial"/>
          <w:lang w:val="en-GB"/>
        </w:rPr>
        <w:t>2</w:t>
      </w:r>
      <w:r w:rsidR="006E5A62" w:rsidRPr="00D41D25">
        <w:rPr>
          <w:rFonts w:ascii="Georgia" w:eastAsiaTheme="minorEastAsia" w:hAnsi="Georgia" w:cs="Arial"/>
          <w:lang w:val="en-GB"/>
        </w:rPr>
        <w:t>16</w:t>
      </w:r>
      <w:r w:rsidR="006C78C9" w:rsidRPr="00D41D25">
        <w:rPr>
          <w:rFonts w:ascii="Georgia" w:eastAsiaTheme="minorEastAsia" w:hAnsi="Georgia" w:cs="Arial"/>
          <w:lang w:val="en-GB"/>
        </w:rPr>
        <w:t>'</w:t>
      </w:r>
      <w:r w:rsidR="006E5A62" w:rsidRPr="00D41D25">
        <w:rPr>
          <w:rFonts w:ascii="Georgia" w:eastAsiaTheme="minorEastAsia" w:hAnsi="Georgia" w:cs="Arial"/>
          <w:lang w:val="en-GB"/>
        </w:rPr>
        <w:t>862</w:t>
      </w:r>
      <w:r w:rsidR="00570936" w:rsidRPr="00D41D25">
        <w:rPr>
          <w:rFonts w:ascii="Georgia" w:eastAsiaTheme="minorEastAsia" w:hAnsi="Georgia" w:cs="Arial"/>
          <w:lang w:val="en-GB"/>
        </w:rPr>
        <w:t xml:space="preserve"> </w:t>
      </w:r>
      <w:r w:rsidR="00B1513C" w:rsidRPr="00D41D25">
        <w:rPr>
          <w:rFonts w:ascii="Georgia" w:eastAsiaTheme="minorEastAsia" w:hAnsi="Georgia" w:cs="Arial"/>
          <w:color w:val="auto"/>
          <w:lang w:val="en-GB"/>
        </w:rPr>
        <w:t>(</w:t>
      </w:r>
      <w:r w:rsidR="00855FA0" w:rsidRPr="00D41D25">
        <w:rPr>
          <w:rFonts w:ascii="Georgia" w:eastAsiaTheme="minorEastAsia" w:hAnsi="Georgia" w:cs="Arial"/>
          <w:color w:val="auto"/>
          <w:lang w:val="en-GB"/>
        </w:rPr>
        <w:t>38’860</w:t>
      </w:r>
      <w:r w:rsidR="00B1513C" w:rsidRPr="00D41D25">
        <w:rPr>
          <w:rFonts w:ascii="Georgia" w:eastAsiaTheme="minorEastAsia" w:hAnsi="Georgia" w:cs="Arial"/>
          <w:color w:val="auto"/>
          <w:lang w:val="en-GB"/>
        </w:rPr>
        <w:t xml:space="preserve"> hospital- and </w:t>
      </w:r>
      <w:r w:rsidR="00855FA0" w:rsidRPr="00D41D25">
        <w:rPr>
          <w:rFonts w:ascii="Georgia" w:eastAsiaTheme="minorEastAsia" w:hAnsi="Georgia" w:cs="Arial"/>
          <w:lang w:val="en-GB"/>
        </w:rPr>
        <w:t>178’002</w:t>
      </w:r>
      <w:r w:rsidR="00B1513C" w:rsidRPr="00D41D25">
        <w:rPr>
          <w:rFonts w:ascii="Georgia" w:eastAsiaTheme="minorEastAsia" w:hAnsi="Georgia" w:cs="Arial"/>
          <w:color w:val="auto"/>
          <w:lang w:val="en-GB"/>
        </w:rPr>
        <w:t xml:space="preserve"> office-) </w:t>
      </w:r>
      <w:r w:rsidR="006757D7" w:rsidRPr="00D41D25">
        <w:rPr>
          <w:rFonts w:ascii="Georgia" w:eastAsiaTheme="minorEastAsia" w:hAnsi="Georgia" w:cs="Arial"/>
          <w:color w:val="auto"/>
          <w:lang w:val="en-GB"/>
        </w:rPr>
        <w:t>observations</w:t>
      </w:r>
      <w:r w:rsidR="00E832AD" w:rsidRPr="00D41D25">
        <w:rPr>
          <w:rFonts w:ascii="Georgia" w:eastAsiaTheme="minorEastAsia" w:hAnsi="Georgia" w:cs="Arial"/>
          <w:color w:val="auto"/>
          <w:lang w:val="en-GB"/>
        </w:rPr>
        <w:t xml:space="preserve"> </w:t>
      </w:r>
      <w:r w:rsidR="008F0353" w:rsidRPr="00D41D25">
        <w:rPr>
          <w:rFonts w:ascii="Georgia" w:eastAsiaTheme="minorEastAsia" w:hAnsi="Georgia" w:cs="Arial"/>
          <w:color w:val="auto"/>
          <w:lang w:val="en-GB"/>
        </w:rPr>
        <w:t xml:space="preserve">were </w:t>
      </w:r>
      <w:r w:rsidR="00067248" w:rsidRPr="00D41D25">
        <w:rPr>
          <w:rFonts w:ascii="Georgia" w:eastAsiaTheme="minorEastAsia" w:hAnsi="Georgia" w:cs="Arial"/>
          <w:color w:val="auto"/>
          <w:lang w:val="en-GB"/>
        </w:rPr>
        <w:t xml:space="preserve">generated </w:t>
      </w:r>
      <w:r w:rsidR="008157AF" w:rsidRPr="00D41D25">
        <w:rPr>
          <w:rFonts w:ascii="Georgia" w:eastAsiaTheme="minorEastAsia" w:hAnsi="Georgia" w:cs="Arial"/>
          <w:color w:val="auto"/>
          <w:lang w:val="en-GB"/>
        </w:rPr>
        <w:t>for the analyses</w:t>
      </w:r>
      <w:r w:rsidR="00990ADD" w:rsidRPr="00D41D25">
        <w:rPr>
          <w:rFonts w:ascii="Georgia" w:eastAsiaTheme="minorEastAsia" w:hAnsi="Georgia" w:cs="Arial"/>
          <w:color w:val="auto"/>
          <w:lang w:val="en-GB"/>
        </w:rPr>
        <w:t>.</w:t>
      </w:r>
      <w:r w:rsidR="00EB16A5" w:rsidRPr="00D41D25">
        <w:rPr>
          <w:rFonts w:ascii="Georgia" w:eastAsiaTheme="minorEastAsia" w:hAnsi="Georgia" w:cs="Arial"/>
          <w:color w:val="auto"/>
          <w:lang w:val="en-GB"/>
        </w:rPr>
        <w:t xml:space="preserve"> </w:t>
      </w:r>
    </w:p>
    <w:p w14:paraId="2A88FE11" w14:textId="10487D85" w:rsidR="004664EB" w:rsidRPr="00D41D25" w:rsidRDefault="001A45B0" w:rsidP="00E832AD">
      <w:pPr>
        <w:pStyle w:val="MDPI31text"/>
        <w:rPr>
          <w:rFonts w:ascii="Georgia" w:eastAsiaTheme="minorEastAsia" w:hAnsi="Georgia" w:cs="Arial"/>
          <w:lang w:val="en-GB"/>
        </w:rPr>
      </w:pPr>
      <w:r w:rsidRPr="00D41D25">
        <w:rPr>
          <w:rFonts w:ascii="Georgia" w:eastAsiaTheme="minorEastAsia" w:hAnsi="Georgia" w:cs="Arial"/>
          <w:lang w:val="en-GB"/>
        </w:rPr>
        <w:lastRenderedPageBreak/>
        <w:t xml:space="preserve">Observation data were collected by students. Students received 2 hours of training on how to conduct an observation and navigate to the observation points. Paper and pencil were provided, and data were transferred directly into </w:t>
      </w:r>
      <w:r w:rsidR="00FA28E3" w:rsidRPr="00D41D25">
        <w:rPr>
          <w:rFonts w:ascii="Georgia" w:eastAsiaTheme="minorEastAsia" w:hAnsi="Georgia" w:cs="Arial"/>
          <w:lang w:val="en-GB"/>
        </w:rPr>
        <w:t xml:space="preserve">Microsoft </w:t>
      </w:r>
      <w:r w:rsidRPr="00D41D25">
        <w:rPr>
          <w:rFonts w:ascii="Georgia" w:eastAsiaTheme="minorEastAsia" w:hAnsi="Georgia" w:cs="Arial"/>
          <w:lang w:val="en-GB"/>
        </w:rPr>
        <w:t>Excel</w:t>
      </w:r>
      <w:r w:rsidR="00FA28E3" w:rsidRPr="00D41D25">
        <w:rPr>
          <w:rFonts w:ascii="Georgia" w:eastAsiaTheme="minorEastAsia" w:hAnsi="Georgia" w:cs="Arial"/>
          <w:lang w:val="en-GB"/>
        </w:rPr>
        <w:t xml:space="preserve"> </w:t>
      </w:r>
      <w:r w:rsidR="0038124E" w:rsidRPr="00D41D25">
        <w:rPr>
          <w:rFonts w:ascii="Georgia" w:eastAsiaTheme="minorEastAsia" w:hAnsi="Georgia" w:cs="Arial"/>
          <w:lang w:val="en-GB"/>
        </w:rPr>
        <w:t>spreadsheets</w:t>
      </w:r>
      <w:r w:rsidRPr="00D41D25">
        <w:rPr>
          <w:rFonts w:ascii="Georgia" w:eastAsiaTheme="minorEastAsia" w:hAnsi="Georgia" w:cs="Arial"/>
          <w:lang w:val="en-GB"/>
        </w:rPr>
        <w:t>.</w:t>
      </w:r>
      <w:r w:rsidR="00B006B4" w:rsidRPr="00D41D25">
        <w:rPr>
          <w:rFonts w:ascii="Georgia" w:eastAsiaTheme="minorEastAsia" w:hAnsi="Georgia" w:cs="Arial"/>
          <w:lang w:val="en-GB"/>
        </w:rPr>
        <w:t xml:space="preserve"> After combining all data</w:t>
      </w:r>
      <w:r w:rsidR="006F3FE5" w:rsidRPr="00D41D25">
        <w:rPr>
          <w:rFonts w:ascii="Georgia" w:eastAsiaTheme="minorEastAsia" w:hAnsi="Georgia" w:cs="Arial"/>
          <w:lang w:val="en-GB"/>
        </w:rPr>
        <w:t>,</w:t>
      </w:r>
      <w:r w:rsidR="00A676AD" w:rsidRPr="00D41D25">
        <w:rPr>
          <w:rFonts w:ascii="Georgia" w:eastAsiaTheme="minorEastAsia" w:hAnsi="Georgia" w:cs="Arial"/>
          <w:lang w:val="en-GB"/>
        </w:rPr>
        <w:t xml:space="preserve"> mistakes from the transfer and errors were eliminated. </w:t>
      </w:r>
    </w:p>
    <w:p w14:paraId="2841068D" w14:textId="5EB178D2" w:rsidR="00320AA8" w:rsidRPr="00D41D25" w:rsidRDefault="0083103E" w:rsidP="0029420B">
      <w:pPr>
        <w:pStyle w:val="MDPI31text"/>
        <w:rPr>
          <w:rFonts w:ascii="Georgia" w:eastAsiaTheme="minorEastAsia" w:hAnsi="Georgia" w:cs="Arial"/>
          <w:lang w:val="en-GB"/>
        </w:rPr>
      </w:pPr>
      <w:r w:rsidRPr="00D41D25">
        <w:rPr>
          <w:rFonts w:ascii="Georgia" w:eastAsiaTheme="minorEastAsia" w:hAnsi="Georgia" w:cs="Arial"/>
          <w:lang w:val="en-GB"/>
        </w:rPr>
        <w:t>Data</w:t>
      </w:r>
      <w:r w:rsidR="00F6009E" w:rsidRPr="00D41D25">
        <w:rPr>
          <w:rFonts w:ascii="Georgia" w:eastAsiaTheme="minorEastAsia" w:hAnsi="Georgia" w:cs="Arial"/>
          <w:lang w:val="en-GB"/>
        </w:rPr>
        <w:t xml:space="preserve"> were </w:t>
      </w:r>
      <w:proofErr w:type="spellStart"/>
      <w:r w:rsidR="006C78C9" w:rsidRPr="00D41D25">
        <w:rPr>
          <w:rFonts w:ascii="Georgia" w:eastAsiaTheme="minorEastAsia" w:hAnsi="Georgia" w:cs="Arial"/>
          <w:lang w:val="en-GB"/>
        </w:rPr>
        <w:t>analyzed</w:t>
      </w:r>
      <w:proofErr w:type="spellEnd"/>
      <w:r w:rsidR="006C78C9" w:rsidRPr="00D41D25">
        <w:rPr>
          <w:rFonts w:ascii="Georgia" w:eastAsiaTheme="minorEastAsia" w:hAnsi="Georgia" w:cs="Arial"/>
          <w:lang w:val="en-GB"/>
        </w:rPr>
        <w:t xml:space="preserve"> </w:t>
      </w:r>
      <w:r w:rsidR="00F6009E" w:rsidRPr="00D41D25">
        <w:rPr>
          <w:rFonts w:ascii="Georgia" w:eastAsiaTheme="minorEastAsia" w:hAnsi="Georgia" w:cs="Arial"/>
          <w:lang w:val="en-GB"/>
        </w:rPr>
        <w:t>using descriptive statistics</w:t>
      </w:r>
      <w:r w:rsidR="009D2E41" w:rsidRPr="00D41D25">
        <w:rPr>
          <w:rFonts w:ascii="Georgia" w:eastAsiaTheme="minorEastAsia" w:hAnsi="Georgia" w:cs="Arial"/>
          <w:lang w:val="en-GB"/>
        </w:rPr>
        <w:t>,</w:t>
      </w:r>
      <w:r w:rsidR="00F6009E" w:rsidRPr="00D41D25">
        <w:rPr>
          <w:rFonts w:ascii="Georgia" w:eastAsiaTheme="minorEastAsia" w:hAnsi="Georgia" w:cs="Arial"/>
          <w:lang w:val="en-GB"/>
        </w:rPr>
        <w:t xml:space="preserve"> and </w:t>
      </w:r>
      <w:r w:rsidR="003E0CC2" w:rsidRPr="00D41D25">
        <w:rPr>
          <w:rFonts w:ascii="Georgia" w:eastAsiaTheme="minorEastAsia" w:hAnsi="Georgia" w:cs="Arial"/>
          <w:lang w:val="en-GB"/>
        </w:rPr>
        <w:t xml:space="preserve">comparisons using </w:t>
      </w:r>
      <w:r w:rsidR="00F6009E" w:rsidRPr="00D41D25">
        <w:rPr>
          <w:rFonts w:ascii="Georgia" w:eastAsiaTheme="minorEastAsia" w:hAnsi="Georgia" w:cs="Arial"/>
          <w:lang w:val="en-GB"/>
        </w:rPr>
        <w:t>chi-square test</w:t>
      </w:r>
      <w:r w:rsidR="003E0CC2" w:rsidRPr="00D41D25">
        <w:rPr>
          <w:rFonts w:ascii="Georgia" w:eastAsiaTheme="minorEastAsia" w:hAnsi="Georgia" w:cs="Arial"/>
          <w:lang w:val="en-GB"/>
        </w:rPr>
        <w:t>s</w:t>
      </w:r>
      <w:r w:rsidR="00F6009E" w:rsidRPr="00D41D25">
        <w:rPr>
          <w:rFonts w:ascii="Georgia" w:eastAsiaTheme="minorEastAsia" w:hAnsi="Georgia" w:cs="Arial"/>
          <w:lang w:val="en-GB"/>
        </w:rPr>
        <w:t xml:space="preserve"> </w:t>
      </w:r>
      <w:r w:rsidR="003E0CC2" w:rsidRPr="00D41D25">
        <w:rPr>
          <w:rFonts w:ascii="Georgia" w:eastAsiaTheme="minorEastAsia" w:hAnsi="Georgia" w:cs="Arial"/>
          <w:lang w:val="en-GB"/>
        </w:rPr>
        <w:t>were</w:t>
      </w:r>
      <w:r w:rsidR="00F6009E" w:rsidRPr="00D41D25">
        <w:rPr>
          <w:rFonts w:ascii="Georgia" w:eastAsiaTheme="minorEastAsia" w:hAnsi="Georgia" w:cs="Arial"/>
          <w:lang w:val="en-GB"/>
        </w:rPr>
        <w:t xml:space="preserve"> carried out. </w:t>
      </w:r>
    </w:p>
    <w:p w14:paraId="515A79ED" w14:textId="6AADCA91" w:rsidR="00E04DB1" w:rsidRPr="00D41D25" w:rsidRDefault="00320AA8" w:rsidP="0029420B">
      <w:pPr>
        <w:pStyle w:val="MDPI31text"/>
        <w:rPr>
          <w:rFonts w:ascii="Georgia" w:eastAsiaTheme="minorEastAsia" w:hAnsi="Georgia" w:cs="Arial"/>
          <w:lang w:val="en-GB"/>
        </w:rPr>
      </w:pPr>
      <w:r w:rsidRPr="00D41D25">
        <w:rPr>
          <w:rFonts w:ascii="Georgia" w:eastAsiaTheme="minorEastAsia" w:hAnsi="Georgia" w:cs="Arial"/>
          <w:lang w:val="en-GB"/>
        </w:rPr>
        <w:t xml:space="preserve"> </w:t>
      </w:r>
      <w:r w:rsidR="00690E55" w:rsidRPr="00D41D25">
        <w:rPr>
          <w:rFonts w:ascii="Georgia" w:eastAsiaTheme="minorEastAsia" w:hAnsi="Georgia" w:cs="Arial"/>
          <w:lang w:val="en-GB"/>
        </w:rPr>
        <w:t xml:space="preserve"> </w:t>
      </w:r>
    </w:p>
    <w:p w14:paraId="3BF4FF8F" w14:textId="00DCA020" w:rsidR="002A7F6A" w:rsidRDefault="00A86E9F" w:rsidP="0021774F">
      <w:pPr>
        <w:pStyle w:val="MDPI21heading1"/>
        <w:rPr>
          <w:rFonts w:eastAsiaTheme="minorEastAsia"/>
          <w:lang w:val="en-GB"/>
        </w:rPr>
      </w:pPr>
      <w:r w:rsidRPr="00D41D25">
        <w:rPr>
          <w:rFonts w:eastAsiaTheme="minorEastAsia"/>
          <w:lang w:val="en-GB"/>
        </w:rPr>
        <w:t xml:space="preserve">3. </w:t>
      </w:r>
      <w:r w:rsidRPr="0033476B">
        <w:rPr>
          <w:rFonts w:eastAsiaTheme="minorEastAsia"/>
        </w:rPr>
        <w:t>Results</w:t>
      </w:r>
    </w:p>
    <w:p w14:paraId="1577B23A" w14:textId="531A888A" w:rsidR="00510FAC" w:rsidRPr="00D41D25" w:rsidRDefault="00A86E9F" w:rsidP="0033476B">
      <w:pPr>
        <w:pStyle w:val="MDPI22heading2"/>
        <w:rPr>
          <w:rFonts w:eastAsiaTheme="minorEastAsia"/>
          <w:i/>
          <w:lang w:val="en-GB"/>
        </w:rPr>
      </w:pPr>
      <w:r w:rsidRPr="00D41D25">
        <w:rPr>
          <w:rFonts w:eastAsiaTheme="minorEastAsia"/>
          <w:lang w:val="en-GB"/>
        </w:rPr>
        <w:t xml:space="preserve">3.1. </w:t>
      </w:r>
      <w:r w:rsidR="00CF66F8" w:rsidRPr="00D41D25">
        <w:rPr>
          <w:rFonts w:eastAsiaTheme="minorEastAsia"/>
          <w:lang w:val="en-GB"/>
        </w:rPr>
        <w:t xml:space="preserve">Occupancy </w:t>
      </w:r>
      <w:r w:rsidR="00571853" w:rsidRPr="00D41D25">
        <w:rPr>
          <w:rFonts w:eastAsiaTheme="minorEastAsia"/>
          <w:lang w:val="en-GB"/>
        </w:rPr>
        <w:t>of workplace</w:t>
      </w:r>
      <w:r w:rsidR="00221B72" w:rsidRPr="00D41D25">
        <w:rPr>
          <w:rFonts w:eastAsiaTheme="minorEastAsia"/>
          <w:lang w:val="en-GB"/>
        </w:rPr>
        <w:t>s</w:t>
      </w:r>
      <w:r w:rsidR="00571853" w:rsidRPr="00D41D25">
        <w:rPr>
          <w:rFonts w:eastAsiaTheme="minorEastAsia"/>
          <w:lang w:val="en-GB"/>
        </w:rPr>
        <w:t xml:space="preserve"> </w:t>
      </w:r>
      <w:r w:rsidR="0002456C" w:rsidRPr="00D41D25">
        <w:rPr>
          <w:rFonts w:eastAsiaTheme="minorEastAsia"/>
          <w:lang w:val="en-GB"/>
        </w:rPr>
        <w:t>in hospitals</w:t>
      </w:r>
    </w:p>
    <w:p w14:paraId="2A05B2AF" w14:textId="10D62741" w:rsidR="00FA4EA9" w:rsidRPr="00D41D25" w:rsidRDefault="008C5498" w:rsidP="0029420B">
      <w:pPr>
        <w:pStyle w:val="MDPI31text"/>
        <w:rPr>
          <w:rFonts w:ascii="Georgia" w:eastAsiaTheme="minorEastAsia" w:hAnsi="Georgia" w:cs="Arial"/>
          <w:lang w:val="en-GB"/>
        </w:rPr>
      </w:pPr>
      <w:r w:rsidRPr="00D41D25">
        <w:rPr>
          <w:rFonts w:ascii="Georgia" w:eastAsiaTheme="minorEastAsia" w:hAnsi="Georgia" w:cs="Arial"/>
          <w:lang w:val="en-GB"/>
        </w:rPr>
        <w:t xml:space="preserve">A frequency analysis </w:t>
      </w:r>
      <w:r w:rsidR="00137788" w:rsidRPr="00D41D25">
        <w:rPr>
          <w:rFonts w:ascii="Georgia" w:eastAsiaTheme="minorEastAsia" w:hAnsi="Georgia" w:cs="Arial"/>
          <w:lang w:val="en-GB"/>
        </w:rPr>
        <w:t xml:space="preserve">of </w:t>
      </w:r>
      <w:r w:rsidR="00DB7B2B" w:rsidRPr="00D41D25">
        <w:rPr>
          <w:rFonts w:ascii="Georgia" w:eastAsiaTheme="minorEastAsia" w:hAnsi="Georgia" w:cs="Arial"/>
          <w:lang w:val="en-GB"/>
        </w:rPr>
        <w:t>physicians</w:t>
      </w:r>
      <w:r w:rsidR="006C78C9" w:rsidRPr="00D41D25">
        <w:rPr>
          <w:rFonts w:ascii="Georgia" w:eastAsiaTheme="minorEastAsia" w:hAnsi="Georgia" w:cs="Arial"/>
          <w:lang w:val="en-GB"/>
        </w:rPr>
        <w:t>'</w:t>
      </w:r>
      <w:r w:rsidR="00DB7B2B" w:rsidRPr="00D41D25">
        <w:rPr>
          <w:rFonts w:ascii="Georgia" w:eastAsiaTheme="minorEastAsia" w:hAnsi="Georgia" w:cs="Arial"/>
          <w:lang w:val="en-GB"/>
        </w:rPr>
        <w:t xml:space="preserve"> </w:t>
      </w:r>
      <w:r w:rsidR="00137788" w:rsidRPr="00D41D25">
        <w:rPr>
          <w:rFonts w:ascii="Georgia" w:eastAsiaTheme="minorEastAsia" w:hAnsi="Georgia" w:cs="Arial"/>
          <w:lang w:val="en-GB"/>
        </w:rPr>
        <w:t xml:space="preserve">administrative </w:t>
      </w:r>
      <w:r w:rsidR="00B33B8F" w:rsidRPr="00D41D25">
        <w:rPr>
          <w:rFonts w:ascii="Georgia" w:eastAsiaTheme="minorEastAsia" w:hAnsi="Georgia" w:cs="Arial"/>
          <w:lang w:val="en-GB"/>
        </w:rPr>
        <w:t xml:space="preserve">workplaces </w:t>
      </w:r>
      <w:r w:rsidR="00137788" w:rsidRPr="00D41D25">
        <w:rPr>
          <w:rFonts w:ascii="Georgia" w:eastAsiaTheme="minorEastAsia" w:hAnsi="Georgia" w:cs="Arial"/>
          <w:lang w:val="en-GB"/>
        </w:rPr>
        <w:t>in hospital</w:t>
      </w:r>
      <w:r w:rsidR="0047098C" w:rsidRPr="00D41D25">
        <w:rPr>
          <w:rFonts w:ascii="Georgia" w:eastAsiaTheme="minorEastAsia" w:hAnsi="Georgia" w:cs="Arial"/>
          <w:lang w:val="en-GB"/>
        </w:rPr>
        <w:t>s</w:t>
      </w:r>
      <w:r w:rsidR="00336C61" w:rsidRPr="00D41D25">
        <w:rPr>
          <w:rFonts w:ascii="Georgia" w:eastAsiaTheme="minorEastAsia" w:hAnsi="Georgia" w:cs="Arial"/>
          <w:lang w:val="en-GB"/>
        </w:rPr>
        <w:t xml:space="preserve"> was conducted. </w:t>
      </w:r>
      <w:r w:rsidR="00AF1572" w:rsidRPr="00D41D25">
        <w:rPr>
          <w:rFonts w:ascii="Georgia" w:eastAsiaTheme="minorEastAsia" w:hAnsi="Georgia" w:cs="Arial"/>
          <w:lang w:val="en-GB"/>
        </w:rPr>
        <w:t xml:space="preserve">Physicians were </w:t>
      </w:r>
      <w:r w:rsidR="00336C61" w:rsidRPr="00D41D25">
        <w:rPr>
          <w:rFonts w:ascii="Georgia" w:eastAsiaTheme="minorEastAsia" w:hAnsi="Georgia" w:cs="Arial"/>
          <w:lang w:val="en-GB"/>
        </w:rPr>
        <w:t>divided into two group</w:t>
      </w:r>
      <w:r w:rsidR="00F702CD" w:rsidRPr="00D41D25">
        <w:rPr>
          <w:rFonts w:ascii="Georgia" w:eastAsiaTheme="minorEastAsia" w:hAnsi="Georgia" w:cs="Arial"/>
          <w:lang w:val="en-GB"/>
        </w:rPr>
        <w:t>s (</w:t>
      </w:r>
      <w:r w:rsidR="00BA0D75" w:rsidRPr="00D41D25">
        <w:rPr>
          <w:rFonts w:ascii="Georgia" w:eastAsiaTheme="minorEastAsia" w:hAnsi="Georgia" w:cs="Arial"/>
          <w:lang w:val="en-GB"/>
        </w:rPr>
        <w:t>c</w:t>
      </w:r>
      <w:r w:rsidR="003D6C7D" w:rsidRPr="00D41D25">
        <w:rPr>
          <w:rFonts w:ascii="Georgia" w:eastAsiaTheme="minorEastAsia" w:hAnsi="Georgia" w:cs="Arial"/>
          <w:lang w:val="en-GB"/>
        </w:rPr>
        <w:t xml:space="preserve">hief physician </w:t>
      </w:r>
      <w:r w:rsidR="00B33641">
        <w:rPr>
          <w:rFonts w:ascii="Georgia" w:eastAsiaTheme="minorEastAsia" w:hAnsi="Georgia" w:cs="Arial"/>
          <w:lang w:val="en-GB"/>
        </w:rPr>
        <w:t>and</w:t>
      </w:r>
      <w:r w:rsidR="00B33641" w:rsidRPr="00D41D25">
        <w:rPr>
          <w:lang w:val="en-GB"/>
        </w:rPr>
        <w:t xml:space="preserve"> </w:t>
      </w:r>
      <w:r w:rsidR="003D6C7D" w:rsidRPr="00D41D25">
        <w:rPr>
          <w:rFonts w:ascii="Georgia" w:eastAsiaTheme="minorEastAsia" w:hAnsi="Georgia" w:cs="Arial"/>
          <w:lang w:val="en-GB"/>
        </w:rPr>
        <w:t xml:space="preserve">chief of service; </w:t>
      </w:r>
      <w:r w:rsidR="009A1287" w:rsidRPr="00D41D25">
        <w:rPr>
          <w:rFonts w:ascii="Georgia" w:eastAsiaTheme="minorEastAsia" w:hAnsi="Georgia" w:cs="Arial"/>
          <w:lang w:val="en-GB"/>
        </w:rPr>
        <w:t xml:space="preserve">resident physician </w:t>
      </w:r>
      <w:r w:rsidR="00B33641">
        <w:rPr>
          <w:rFonts w:ascii="Georgia" w:eastAsiaTheme="minorEastAsia" w:hAnsi="Georgia" w:cs="Arial"/>
          <w:lang w:val="en-GB"/>
        </w:rPr>
        <w:t>and</w:t>
      </w:r>
      <w:r w:rsidR="00B33641" w:rsidRPr="00D41D25">
        <w:rPr>
          <w:rFonts w:ascii="Georgia" w:eastAsiaTheme="minorEastAsia" w:hAnsi="Georgia" w:cs="Arial"/>
          <w:lang w:val="en-GB"/>
        </w:rPr>
        <w:t xml:space="preserve"> </w:t>
      </w:r>
      <w:r w:rsidR="009A1287" w:rsidRPr="00D41D25">
        <w:rPr>
          <w:rFonts w:ascii="Georgia" w:eastAsiaTheme="minorEastAsia" w:hAnsi="Georgia" w:cs="Arial"/>
          <w:lang w:val="en-GB"/>
        </w:rPr>
        <w:t>attending physician</w:t>
      </w:r>
      <w:r w:rsidR="003D6C7D" w:rsidRPr="00D41D25">
        <w:rPr>
          <w:rFonts w:ascii="Georgia" w:eastAsiaTheme="minorEastAsia" w:hAnsi="Georgia" w:cs="Arial"/>
          <w:lang w:val="en-GB"/>
        </w:rPr>
        <w:t>)</w:t>
      </w:r>
      <w:r w:rsidR="00AF1572" w:rsidRPr="00D41D25">
        <w:rPr>
          <w:rFonts w:ascii="Georgia" w:eastAsiaTheme="minorEastAsia" w:hAnsi="Georgia" w:cs="Arial"/>
          <w:lang w:val="en-GB"/>
        </w:rPr>
        <w:t xml:space="preserve"> according to their tasks and roles. </w:t>
      </w:r>
      <w:r w:rsidR="00745FF2" w:rsidRPr="00D41D25">
        <w:rPr>
          <w:rFonts w:ascii="Georgia" w:eastAsiaTheme="minorEastAsia" w:hAnsi="Georgia" w:cs="Arial"/>
          <w:lang w:val="en-GB"/>
        </w:rPr>
        <w:t xml:space="preserve">The groups were not subdivided further in order to ensure anonymity, which could be impaired by resulting in too small group sizes. </w:t>
      </w:r>
      <w:r w:rsidR="00296460" w:rsidRPr="00D41D25">
        <w:rPr>
          <w:rFonts w:ascii="Georgia" w:eastAsiaTheme="minorEastAsia" w:hAnsi="Georgia" w:cs="Arial"/>
          <w:lang w:val="en-GB"/>
        </w:rPr>
        <w:t>The n</w:t>
      </w:r>
      <w:r w:rsidR="008F27A7" w:rsidRPr="00D41D25">
        <w:rPr>
          <w:rFonts w:ascii="Georgia" w:eastAsiaTheme="minorEastAsia" w:hAnsi="Georgia" w:cs="Arial"/>
          <w:lang w:val="en-GB"/>
        </w:rPr>
        <w:t xml:space="preserve">umber of observed </w:t>
      </w:r>
      <w:r w:rsidR="00407F1C" w:rsidRPr="00D41D25">
        <w:rPr>
          <w:rFonts w:ascii="Georgia" w:eastAsiaTheme="minorEastAsia" w:hAnsi="Georgia" w:cs="Arial"/>
          <w:lang w:val="en-GB"/>
        </w:rPr>
        <w:t>workstations</w:t>
      </w:r>
      <w:r w:rsidR="008F27A7" w:rsidRPr="00D41D25">
        <w:rPr>
          <w:rFonts w:ascii="Georgia" w:eastAsiaTheme="minorEastAsia" w:hAnsi="Georgia" w:cs="Arial"/>
          <w:lang w:val="en-GB"/>
        </w:rPr>
        <w:t xml:space="preserve"> of</w:t>
      </w:r>
      <w:r w:rsidR="00296460" w:rsidRPr="00D41D25">
        <w:rPr>
          <w:rFonts w:ascii="Georgia" w:eastAsiaTheme="minorEastAsia" w:hAnsi="Georgia" w:cs="Arial"/>
          <w:lang w:val="en-GB"/>
        </w:rPr>
        <w:t xml:space="preserve"> the</w:t>
      </w:r>
      <w:r w:rsidR="008F27A7" w:rsidRPr="00D41D25">
        <w:rPr>
          <w:rFonts w:ascii="Georgia" w:eastAsiaTheme="minorEastAsia" w:hAnsi="Georgia" w:cs="Arial"/>
          <w:lang w:val="en-GB"/>
        </w:rPr>
        <w:t xml:space="preserve"> two groups </w:t>
      </w:r>
      <w:r w:rsidR="00E013C3">
        <w:rPr>
          <w:rFonts w:ascii="Georgia" w:eastAsiaTheme="minorEastAsia" w:hAnsi="Georgia" w:cs="Arial"/>
          <w:lang w:val="en-GB"/>
        </w:rPr>
        <w:t>was</w:t>
      </w:r>
      <w:r w:rsidR="00E013C3" w:rsidRPr="00D41D25">
        <w:rPr>
          <w:rFonts w:ascii="Georgia" w:eastAsiaTheme="minorEastAsia" w:hAnsi="Georgia" w:cs="Arial"/>
          <w:lang w:val="en-GB"/>
        </w:rPr>
        <w:t xml:space="preserve"> </w:t>
      </w:r>
      <w:r w:rsidR="008F27A7" w:rsidRPr="00D41D25">
        <w:rPr>
          <w:rFonts w:ascii="Georgia" w:eastAsiaTheme="minorEastAsia" w:hAnsi="Georgia" w:cs="Arial"/>
          <w:lang w:val="en-GB"/>
        </w:rPr>
        <w:t xml:space="preserve">not </w:t>
      </w:r>
      <w:r w:rsidR="00407F1C" w:rsidRPr="00D41D25">
        <w:rPr>
          <w:rFonts w:ascii="Georgia" w:eastAsiaTheme="minorEastAsia" w:hAnsi="Georgia" w:cs="Arial"/>
          <w:lang w:val="en-GB"/>
        </w:rPr>
        <w:t>significantly different (</w:t>
      </w:r>
      <w:r w:rsidR="00296460" w:rsidRPr="00D41D25">
        <w:rPr>
          <w:rFonts w:ascii="Georgia" w:eastAsiaTheme="minorEastAsia" w:hAnsi="Georgia" w:cs="Arial"/>
          <w:lang w:val="en-GB"/>
        </w:rPr>
        <w:t>c</w:t>
      </w:r>
      <w:r w:rsidR="00512027" w:rsidRPr="00D41D25">
        <w:rPr>
          <w:rFonts w:ascii="Georgia" w:eastAsiaTheme="minorEastAsia" w:hAnsi="Georgia" w:cs="Arial"/>
          <w:lang w:val="en-GB"/>
        </w:rPr>
        <w:t xml:space="preserve">hief physician </w:t>
      </w:r>
      <w:r w:rsidR="00E013C3">
        <w:rPr>
          <w:rFonts w:ascii="Georgia" w:eastAsiaTheme="minorEastAsia" w:hAnsi="Georgia" w:cs="Arial"/>
          <w:lang w:val="en-GB"/>
        </w:rPr>
        <w:t>and</w:t>
      </w:r>
      <w:r w:rsidR="00E013C3" w:rsidRPr="00D41D25">
        <w:rPr>
          <w:lang w:val="en-GB"/>
        </w:rPr>
        <w:t xml:space="preserve"> </w:t>
      </w:r>
      <w:r w:rsidR="00512027" w:rsidRPr="00D41D25">
        <w:rPr>
          <w:rFonts w:ascii="Georgia" w:eastAsiaTheme="minorEastAsia" w:hAnsi="Georgia" w:cs="Arial"/>
          <w:lang w:val="en-GB"/>
        </w:rPr>
        <w:t>chief of service</w:t>
      </w:r>
      <w:r w:rsidR="00407F1C" w:rsidRPr="00D41D25">
        <w:rPr>
          <w:rFonts w:ascii="Georgia" w:eastAsiaTheme="minorEastAsia" w:hAnsi="Georgia" w:cs="Arial"/>
          <w:lang w:val="en-GB"/>
        </w:rPr>
        <w:t xml:space="preserve">: 106, </w:t>
      </w:r>
      <w:r w:rsidR="009A1287" w:rsidRPr="00D41D25">
        <w:rPr>
          <w:rFonts w:ascii="Georgia" w:eastAsiaTheme="minorEastAsia" w:hAnsi="Georgia" w:cs="Arial"/>
          <w:lang w:val="en-GB"/>
        </w:rPr>
        <w:t xml:space="preserve">resident physician </w:t>
      </w:r>
      <w:r w:rsidR="00E013C3">
        <w:rPr>
          <w:rFonts w:ascii="Georgia" w:eastAsiaTheme="minorEastAsia" w:hAnsi="Georgia" w:cs="Arial"/>
          <w:lang w:val="en-GB"/>
        </w:rPr>
        <w:t>and</w:t>
      </w:r>
      <w:r w:rsidR="00E013C3" w:rsidRPr="00D41D25">
        <w:rPr>
          <w:rFonts w:ascii="Georgia" w:eastAsiaTheme="minorEastAsia" w:hAnsi="Georgia" w:cs="Arial"/>
          <w:lang w:val="en-GB"/>
        </w:rPr>
        <w:t xml:space="preserve"> </w:t>
      </w:r>
      <w:r w:rsidR="009A1287" w:rsidRPr="00D41D25">
        <w:rPr>
          <w:rFonts w:ascii="Georgia" w:eastAsiaTheme="minorEastAsia" w:hAnsi="Georgia" w:cs="Arial"/>
          <w:lang w:val="en-GB"/>
        </w:rPr>
        <w:t>attending physician</w:t>
      </w:r>
      <w:r w:rsidR="00407F1C" w:rsidRPr="00D41D25">
        <w:rPr>
          <w:rFonts w:ascii="Georgia" w:eastAsiaTheme="minorEastAsia" w:hAnsi="Georgia" w:cs="Arial"/>
          <w:lang w:val="en-GB"/>
        </w:rPr>
        <w:t>: 127).</w:t>
      </w:r>
      <w:r w:rsidR="003D6C7D" w:rsidRPr="00D41D25">
        <w:rPr>
          <w:rFonts w:ascii="Georgia" w:eastAsiaTheme="minorEastAsia" w:hAnsi="Georgia" w:cs="Arial"/>
          <w:lang w:val="en-GB"/>
        </w:rPr>
        <w:t xml:space="preserve"> </w:t>
      </w:r>
      <w:r w:rsidR="00D3664D" w:rsidRPr="00D41D25">
        <w:rPr>
          <w:rFonts w:ascii="Georgia" w:eastAsiaTheme="minorEastAsia" w:hAnsi="Georgia" w:cs="Arial"/>
          <w:lang w:val="en-GB"/>
        </w:rPr>
        <w:t xml:space="preserve">The observed </w:t>
      </w:r>
      <w:r w:rsidR="001170D1" w:rsidRPr="00D41D25">
        <w:rPr>
          <w:rFonts w:ascii="Georgia" w:eastAsiaTheme="minorEastAsia" w:hAnsi="Georgia" w:cs="Arial"/>
          <w:lang w:val="en-GB"/>
        </w:rPr>
        <w:t>workstations</w:t>
      </w:r>
      <w:r w:rsidR="00D3664D" w:rsidRPr="00D41D25">
        <w:rPr>
          <w:rFonts w:ascii="Georgia" w:eastAsiaTheme="minorEastAsia" w:hAnsi="Georgia" w:cs="Arial"/>
          <w:lang w:val="en-GB"/>
        </w:rPr>
        <w:t xml:space="preserve"> of </w:t>
      </w:r>
      <w:r w:rsidR="00D315DE">
        <w:rPr>
          <w:rFonts w:ascii="Georgia" w:eastAsiaTheme="minorEastAsia" w:hAnsi="Georgia" w:cs="Arial"/>
          <w:lang w:val="en-GB"/>
        </w:rPr>
        <w:t xml:space="preserve">the </w:t>
      </w:r>
      <w:r w:rsidR="00D3664D" w:rsidRPr="00D41D25">
        <w:rPr>
          <w:rFonts w:ascii="Georgia" w:eastAsiaTheme="minorEastAsia" w:hAnsi="Georgia" w:cs="Arial"/>
          <w:lang w:val="en-GB"/>
        </w:rPr>
        <w:t xml:space="preserve">chief physician </w:t>
      </w:r>
      <w:r w:rsidR="00E013C3">
        <w:rPr>
          <w:rFonts w:ascii="Georgia" w:eastAsiaTheme="minorEastAsia" w:hAnsi="Georgia" w:cs="Arial"/>
          <w:lang w:val="en-GB"/>
        </w:rPr>
        <w:t>and</w:t>
      </w:r>
      <w:r w:rsidR="00E013C3" w:rsidRPr="00D41D25">
        <w:rPr>
          <w:lang w:val="en-GB"/>
        </w:rPr>
        <w:t xml:space="preserve"> </w:t>
      </w:r>
      <w:r w:rsidR="00D3664D" w:rsidRPr="00D41D25">
        <w:rPr>
          <w:rFonts w:ascii="Georgia" w:eastAsiaTheme="minorEastAsia" w:hAnsi="Georgia" w:cs="Arial"/>
          <w:lang w:val="en-GB"/>
        </w:rPr>
        <w:t xml:space="preserve">chief of service </w:t>
      </w:r>
      <w:r w:rsidR="00D56836" w:rsidRPr="00D41D25">
        <w:rPr>
          <w:rFonts w:ascii="Georgia" w:eastAsiaTheme="minorEastAsia" w:hAnsi="Georgia" w:cs="Arial"/>
          <w:lang w:val="en-GB"/>
        </w:rPr>
        <w:t>showed</w:t>
      </w:r>
      <w:r w:rsidR="00B431C2" w:rsidRPr="00D41D25">
        <w:rPr>
          <w:rFonts w:ascii="Georgia" w:eastAsiaTheme="minorEastAsia" w:hAnsi="Georgia" w:cs="Arial"/>
          <w:lang w:val="en-GB"/>
        </w:rPr>
        <w:t xml:space="preserve"> </w:t>
      </w:r>
      <w:r w:rsidR="00951B5B" w:rsidRPr="00D41D25">
        <w:rPr>
          <w:rFonts w:ascii="Georgia" w:eastAsiaTheme="minorEastAsia" w:hAnsi="Georgia" w:cs="Arial"/>
          <w:lang w:val="en-GB"/>
        </w:rPr>
        <w:t xml:space="preserve">a </w:t>
      </w:r>
      <w:r w:rsidR="00B431C2" w:rsidRPr="00D41D25">
        <w:rPr>
          <w:rFonts w:ascii="Georgia" w:eastAsiaTheme="minorEastAsia" w:hAnsi="Georgia" w:cs="Arial"/>
          <w:lang w:val="en-GB"/>
        </w:rPr>
        <w:t>higher occupancy rate</w:t>
      </w:r>
      <w:r w:rsidR="003C2A79" w:rsidRPr="00D41D25">
        <w:rPr>
          <w:rFonts w:ascii="Georgia" w:eastAsiaTheme="minorEastAsia" w:hAnsi="Georgia" w:cs="Arial"/>
          <w:lang w:val="en-GB"/>
        </w:rPr>
        <w:t>:</w:t>
      </w:r>
      <w:r w:rsidR="00B431C2" w:rsidRPr="00D41D25">
        <w:rPr>
          <w:rFonts w:ascii="Georgia" w:eastAsiaTheme="minorEastAsia" w:hAnsi="Georgia" w:cs="Arial"/>
          <w:lang w:val="en-GB"/>
        </w:rPr>
        <w:t xml:space="preserve"> 37% of </w:t>
      </w:r>
      <w:r w:rsidR="00951B5B" w:rsidRPr="00D41D25">
        <w:rPr>
          <w:rFonts w:ascii="Georgia" w:eastAsiaTheme="minorEastAsia" w:hAnsi="Georgia" w:cs="Arial"/>
          <w:lang w:val="en-GB"/>
        </w:rPr>
        <w:t xml:space="preserve">the </w:t>
      </w:r>
      <w:r w:rsidR="00B431C2" w:rsidRPr="00D41D25">
        <w:rPr>
          <w:rFonts w:ascii="Georgia" w:eastAsiaTheme="minorEastAsia" w:hAnsi="Georgia" w:cs="Arial"/>
          <w:lang w:val="en-GB"/>
        </w:rPr>
        <w:t xml:space="preserve">observed </w:t>
      </w:r>
      <w:r w:rsidR="001170D1" w:rsidRPr="00D41D25">
        <w:rPr>
          <w:rFonts w:ascii="Georgia" w:eastAsiaTheme="minorEastAsia" w:hAnsi="Georgia" w:cs="Arial"/>
          <w:lang w:val="en-GB"/>
        </w:rPr>
        <w:t>workstations</w:t>
      </w:r>
      <w:r w:rsidR="00B431C2" w:rsidRPr="00D41D25">
        <w:rPr>
          <w:rFonts w:ascii="Georgia" w:eastAsiaTheme="minorEastAsia" w:hAnsi="Georgia" w:cs="Arial"/>
          <w:lang w:val="en-GB"/>
        </w:rPr>
        <w:t xml:space="preserve"> of </w:t>
      </w:r>
      <w:r w:rsidR="00D315DE">
        <w:rPr>
          <w:rFonts w:ascii="Georgia" w:eastAsiaTheme="minorEastAsia" w:hAnsi="Georgia" w:cs="Arial"/>
          <w:lang w:val="en-GB"/>
        </w:rPr>
        <w:t xml:space="preserve">the </w:t>
      </w:r>
      <w:r w:rsidR="00B431C2" w:rsidRPr="00D41D25">
        <w:rPr>
          <w:rFonts w:ascii="Georgia" w:eastAsiaTheme="minorEastAsia" w:hAnsi="Georgia" w:cs="Arial"/>
          <w:lang w:val="en-GB"/>
        </w:rPr>
        <w:t xml:space="preserve">chief physician </w:t>
      </w:r>
      <w:r w:rsidR="00D315DE">
        <w:rPr>
          <w:rFonts w:ascii="Georgia" w:eastAsiaTheme="minorEastAsia" w:hAnsi="Georgia" w:cs="Arial"/>
          <w:lang w:val="en-GB"/>
        </w:rPr>
        <w:t>and</w:t>
      </w:r>
      <w:r w:rsidR="00D315DE" w:rsidRPr="00D41D25">
        <w:rPr>
          <w:lang w:val="en-GB"/>
        </w:rPr>
        <w:t xml:space="preserve"> </w:t>
      </w:r>
      <w:r w:rsidR="00B431C2" w:rsidRPr="00D41D25">
        <w:rPr>
          <w:rFonts w:ascii="Georgia" w:eastAsiaTheme="minorEastAsia" w:hAnsi="Georgia" w:cs="Arial"/>
          <w:lang w:val="en-GB"/>
        </w:rPr>
        <w:t>chief of service were occupied</w:t>
      </w:r>
      <w:r w:rsidR="003C2A79" w:rsidRPr="00D41D25">
        <w:rPr>
          <w:rFonts w:ascii="Georgia" w:eastAsiaTheme="minorEastAsia" w:hAnsi="Georgia" w:cs="Arial"/>
          <w:lang w:val="en-GB"/>
        </w:rPr>
        <w:t xml:space="preserve">, whereas 23% of </w:t>
      </w:r>
      <w:r w:rsidR="005E636E" w:rsidRPr="00D41D25">
        <w:rPr>
          <w:rFonts w:ascii="Georgia" w:eastAsiaTheme="minorEastAsia" w:hAnsi="Georgia" w:cs="Arial"/>
          <w:lang w:val="en-GB"/>
        </w:rPr>
        <w:t xml:space="preserve">the </w:t>
      </w:r>
      <w:r w:rsidR="003C2A79" w:rsidRPr="00D41D25">
        <w:rPr>
          <w:rFonts w:ascii="Georgia" w:eastAsiaTheme="minorEastAsia" w:hAnsi="Georgia" w:cs="Arial"/>
          <w:lang w:val="en-GB"/>
        </w:rPr>
        <w:t xml:space="preserve">observed </w:t>
      </w:r>
      <w:r w:rsidR="001170D1" w:rsidRPr="00D41D25">
        <w:rPr>
          <w:rFonts w:ascii="Georgia" w:eastAsiaTheme="minorEastAsia" w:hAnsi="Georgia" w:cs="Arial"/>
          <w:lang w:val="en-GB"/>
        </w:rPr>
        <w:t>workstations</w:t>
      </w:r>
      <w:r w:rsidR="003C2A79" w:rsidRPr="00D41D25">
        <w:rPr>
          <w:rFonts w:ascii="Georgia" w:eastAsiaTheme="minorEastAsia" w:hAnsi="Georgia" w:cs="Arial"/>
          <w:lang w:val="en-GB"/>
        </w:rPr>
        <w:t xml:space="preserve"> of </w:t>
      </w:r>
      <w:r w:rsidR="004216A9">
        <w:rPr>
          <w:rFonts w:ascii="Georgia" w:eastAsiaTheme="minorEastAsia" w:hAnsi="Georgia" w:cs="Arial"/>
          <w:lang w:val="en-GB"/>
        </w:rPr>
        <w:t xml:space="preserve">the </w:t>
      </w:r>
      <w:r w:rsidR="009A1287" w:rsidRPr="00D41D25">
        <w:rPr>
          <w:rFonts w:ascii="Georgia" w:eastAsiaTheme="minorEastAsia" w:hAnsi="Georgia" w:cs="Arial"/>
          <w:lang w:val="en-GB"/>
        </w:rPr>
        <w:t xml:space="preserve">resident physician </w:t>
      </w:r>
      <w:r w:rsidR="004216A9">
        <w:rPr>
          <w:rFonts w:ascii="Georgia" w:eastAsiaTheme="minorEastAsia" w:hAnsi="Georgia" w:cs="Arial"/>
          <w:lang w:val="en-GB"/>
        </w:rPr>
        <w:t>and</w:t>
      </w:r>
      <w:r w:rsidR="004216A9" w:rsidRPr="00D41D25">
        <w:rPr>
          <w:rFonts w:ascii="Georgia" w:eastAsiaTheme="minorEastAsia" w:hAnsi="Georgia" w:cs="Arial"/>
          <w:lang w:val="en-GB"/>
        </w:rPr>
        <w:t xml:space="preserve"> </w:t>
      </w:r>
      <w:r w:rsidR="009A1287" w:rsidRPr="00D41D25">
        <w:rPr>
          <w:rFonts w:ascii="Georgia" w:eastAsiaTheme="minorEastAsia" w:hAnsi="Georgia" w:cs="Arial"/>
          <w:lang w:val="en-GB"/>
        </w:rPr>
        <w:t>attending physician</w:t>
      </w:r>
      <w:r w:rsidR="003C2A79" w:rsidRPr="00D41D25">
        <w:rPr>
          <w:rFonts w:ascii="Georgia" w:eastAsiaTheme="minorEastAsia" w:hAnsi="Georgia" w:cs="Arial"/>
          <w:lang w:val="en-GB"/>
        </w:rPr>
        <w:t xml:space="preserve"> were occupied.</w:t>
      </w:r>
      <w:r w:rsidR="005E636E" w:rsidRPr="00D41D25">
        <w:rPr>
          <w:rFonts w:ascii="Georgia" w:eastAsiaTheme="minorEastAsia" w:hAnsi="Georgia" w:cs="Arial"/>
          <w:lang w:val="en-GB"/>
        </w:rPr>
        <w:t xml:space="preserve"> </w:t>
      </w:r>
    </w:p>
    <w:p w14:paraId="6DB8D2A9" w14:textId="66D52E02" w:rsidR="00570B7A" w:rsidRPr="00D41D25" w:rsidRDefault="009C0CAB" w:rsidP="0029420B">
      <w:pPr>
        <w:pStyle w:val="MDPI31text"/>
        <w:rPr>
          <w:rFonts w:ascii="Georgia" w:eastAsiaTheme="minorEastAsia" w:hAnsi="Georgia" w:cs="Arial"/>
          <w:lang w:val="en-GB"/>
        </w:rPr>
      </w:pPr>
      <w:r w:rsidRPr="00D41D25">
        <w:rPr>
          <w:rFonts w:ascii="Georgia" w:eastAsiaTheme="minorEastAsia" w:hAnsi="Georgia" w:cs="Arial"/>
          <w:lang w:val="en-GB"/>
        </w:rPr>
        <w:t xml:space="preserve">In the next step, </w:t>
      </w:r>
      <w:r w:rsidR="002D7AE8" w:rsidRPr="00D41D25">
        <w:rPr>
          <w:rFonts w:ascii="Georgia" w:eastAsiaTheme="minorEastAsia" w:hAnsi="Georgia" w:cs="Arial"/>
          <w:lang w:val="en-GB"/>
        </w:rPr>
        <w:t>the</w:t>
      </w:r>
      <w:r w:rsidR="00C61897" w:rsidRPr="00D41D25">
        <w:rPr>
          <w:rFonts w:ascii="Georgia" w:eastAsiaTheme="minorEastAsia" w:hAnsi="Georgia" w:cs="Arial"/>
          <w:lang w:val="en-GB"/>
        </w:rPr>
        <w:t xml:space="preserve"> </w:t>
      </w:r>
      <w:r w:rsidR="009C15DC" w:rsidRPr="00D41D25">
        <w:rPr>
          <w:rFonts w:ascii="Georgia" w:eastAsiaTheme="minorEastAsia" w:hAnsi="Georgia" w:cs="Arial"/>
          <w:lang w:val="en-GB"/>
        </w:rPr>
        <w:t>o</w:t>
      </w:r>
      <w:r w:rsidR="00C61897" w:rsidRPr="00D41D25">
        <w:rPr>
          <w:rFonts w:ascii="Georgia" w:eastAsiaTheme="minorEastAsia" w:hAnsi="Georgia" w:cs="Arial"/>
          <w:lang w:val="en-GB"/>
        </w:rPr>
        <w:t>ccupancy of administrative office</w:t>
      </w:r>
      <w:r w:rsidR="0027208E" w:rsidRPr="00D41D25">
        <w:rPr>
          <w:rFonts w:ascii="Georgia" w:eastAsiaTheme="minorEastAsia" w:hAnsi="Georgia" w:cs="Arial"/>
          <w:lang w:val="en-GB"/>
        </w:rPr>
        <w:t xml:space="preserve"> workplaces</w:t>
      </w:r>
      <w:r w:rsidR="00C61897" w:rsidRPr="00D41D25">
        <w:rPr>
          <w:rFonts w:ascii="Georgia" w:eastAsiaTheme="minorEastAsia" w:hAnsi="Georgia" w:cs="Arial"/>
          <w:lang w:val="en-GB"/>
        </w:rPr>
        <w:t xml:space="preserve"> in hospital</w:t>
      </w:r>
      <w:r w:rsidR="00051C9F" w:rsidRPr="00D41D25">
        <w:rPr>
          <w:rFonts w:ascii="Georgia" w:eastAsiaTheme="minorEastAsia" w:hAnsi="Georgia" w:cs="Arial"/>
          <w:lang w:val="en-GB"/>
        </w:rPr>
        <w:t>s</w:t>
      </w:r>
      <w:r w:rsidR="00C61897" w:rsidRPr="00D41D25">
        <w:rPr>
          <w:rFonts w:ascii="Georgia" w:eastAsiaTheme="minorEastAsia" w:hAnsi="Georgia" w:cs="Arial"/>
          <w:lang w:val="en-GB"/>
        </w:rPr>
        <w:t xml:space="preserve"> was </w:t>
      </w:r>
      <w:proofErr w:type="spellStart"/>
      <w:r w:rsidR="006C78C9" w:rsidRPr="00D41D25">
        <w:rPr>
          <w:rFonts w:ascii="Georgia" w:eastAsiaTheme="minorEastAsia" w:hAnsi="Georgia" w:cs="Arial"/>
          <w:lang w:val="en-GB"/>
        </w:rPr>
        <w:t>analyzed</w:t>
      </w:r>
      <w:proofErr w:type="spellEnd"/>
      <w:r w:rsidR="006C78C9" w:rsidRPr="00D41D25">
        <w:rPr>
          <w:rFonts w:ascii="Georgia" w:eastAsiaTheme="minorEastAsia" w:hAnsi="Georgia" w:cs="Arial"/>
          <w:lang w:val="en-GB"/>
        </w:rPr>
        <w:t xml:space="preserve"> </w:t>
      </w:r>
      <w:r w:rsidR="009B2777" w:rsidRPr="00D41D25">
        <w:rPr>
          <w:rFonts w:ascii="Georgia" w:eastAsiaTheme="minorEastAsia" w:hAnsi="Georgia" w:cs="Arial"/>
          <w:lang w:val="en-GB"/>
        </w:rPr>
        <w:t>regarding occupant type</w:t>
      </w:r>
      <w:r w:rsidR="00C61897" w:rsidRPr="00D41D25">
        <w:rPr>
          <w:rFonts w:ascii="Georgia" w:eastAsiaTheme="minorEastAsia" w:hAnsi="Georgia" w:cs="Arial"/>
          <w:lang w:val="en-GB"/>
        </w:rPr>
        <w:t>.</w:t>
      </w:r>
      <w:r w:rsidR="00AD6CD5" w:rsidRPr="00D41D25">
        <w:rPr>
          <w:rFonts w:ascii="Georgia" w:eastAsiaTheme="minorEastAsia" w:hAnsi="Georgia" w:cs="Arial"/>
          <w:lang w:val="en-GB"/>
        </w:rPr>
        <w:t xml:space="preserve"> Occupant</w:t>
      </w:r>
      <w:r w:rsidR="00972159" w:rsidRPr="00D41D25">
        <w:rPr>
          <w:rFonts w:ascii="Georgia" w:eastAsiaTheme="minorEastAsia" w:hAnsi="Georgia" w:cs="Arial"/>
          <w:lang w:val="en-GB"/>
        </w:rPr>
        <w:t xml:space="preserve">s </w:t>
      </w:r>
      <w:r w:rsidR="00AD6CD5" w:rsidRPr="00D41D25">
        <w:rPr>
          <w:rFonts w:ascii="Georgia" w:eastAsiaTheme="minorEastAsia" w:hAnsi="Georgia" w:cs="Arial"/>
          <w:lang w:val="en-GB"/>
        </w:rPr>
        <w:t xml:space="preserve">were divided into three </w:t>
      </w:r>
      <w:r w:rsidR="00972159" w:rsidRPr="00D41D25">
        <w:rPr>
          <w:rFonts w:ascii="Georgia" w:eastAsiaTheme="minorEastAsia" w:hAnsi="Georgia" w:cs="Arial"/>
          <w:lang w:val="en-GB"/>
        </w:rPr>
        <w:t>types</w:t>
      </w:r>
      <w:r w:rsidR="00AD6CD5" w:rsidRPr="00D41D25">
        <w:rPr>
          <w:rFonts w:ascii="Georgia" w:eastAsiaTheme="minorEastAsia" w:hAnsi="Georgia" w:cs="Arial"/>
          <w:lang w:val="en-GB"/>
        </w:rPr>
        <w:t xml:space="preserve"> (</w:t>
      </w:r>
      <w:r w:rsidR="00037639" w:rsidRPr="00D41D25">
        <w:rPr>
          <w:rFonts w:ascii="Georgia" w:eastAsiaTheme="minorEastAsia" w:hAnsi="Georgia" w:cs="Arial"/>
          <w:lang w:val="en-GB"/>
        </w:rPr>
        <w:t>p</w:t>
      </w:r>
      <w:r w:rsidR="00AD6CD5" w:rsidRPr="00D41D25">
        <w:rPr>
          <w:rFonts w:ascii="Georgia" w:eastAsiaTheme="minorEastAsia" w:hAnsi="Georgia" w:cs="Arial"/>
          <w:lang w:val="en-GB"/>
        </w:rPr>
        <w:t xml:space="preserve">hysicians; </w:t>
      </w:r>
      <w:r w:rsidR="00037639" w:rsidRPr="00D41D25">
        <w:rPr>
          <w:rFonts w:ascii="Georgia" w:eastAsiaTheme="minorEastAsia" w:hAnsi="Georgia" w:cs="Arial"/>
          <w:lang w:val="en-GB"/>
        </w:rPr>
        <w:t>n</w:t>
      </w:r>
      <w:r w:rsidR="00AD6CD5" w:rsidRPr="00D41D25">
        <w:rPr>
          <w:rFonts w:ascii="Georgia" w:eastAsiaTheme="minorEastAsia" w:hAnsi="Georgia" w:cs="Arial"/>
          <w:lang w:val="en-GB"/>
        </w:rPr>
        <w:t xml:space="preserve">ursing staff </w:t>
      </w:r>
      <w:r w:rsidR="00DD16C3">
        <w:rPr>
          <w:rFonts w:ascii="Georgia" w:eastAsiaTheme="minorEastAsia" w:hAnsi="Georgia" w:cs="Arial"/>
          <w:lang w:val="en-GB"/>
        </w:rPr>
        <w:t>and</w:t>
      </w:r>
      <w:r w:rsidR="00DD16C3" w:rsidRPr="00D41D25">
        <w:rPr>
          <w:rFonts w:ascii="Georgia" w:eastAsiaTheme="minorEastAsia" w:hAnsi="Georgia" w:cs="Arial"/>
          <w:lang w:val="en-GB"/>
        </w:rPr>
        <w:t xml:space="preserve"> </w:t>
      </w:r>
      <w:r w:rsidR="00AD6CD5" w:rsidRPr="00D41D25">
        <w:rPr>
          <w:rFonts w:ascii="Georgia" w:eastAsiaTheme="minorEastAsia" w:hAnsi="Georgia" w:cs="Arial"/>
          <w:lang w:val="en-GB"/>
        </w:rPr>
        <w:t>therapist</w:t>
      </w:r>
      <w:r w:rsidR="00033527" w:rsidRPr="00D41D25">
        <w:rPr>
          <w:rFonts w:ascii="Georgia" w:eastAsiaTheme="minorEastAsia" w:hAnsi="Georgia" w:cs="Arial"/>
          <w:lang w:val="en-GB"/>
        </w:rPr>
        <w:t>s</w:t>
      </w:r>
      <w:r w:rsidR="00AD6CD5" w:rsidRPr="00D41D25">
        <w:rPr>
          <w:rFonts w:ascii="Georgia" w:eastAsiaTheme="minorEastAsia" w:hAnsi="Georgia" w:cs="Arial"/>
          <w:lang w:val="en-GB"/>
        </w:rPr>
        <w:t xml:space="preserve">; </w:t>
      </w:r>
      <w:r w:rsidR="00C66377" w:rsidRPr="00D41D25">
        <w:rPr>
          <w:rFonts w:ascii="Georgia" w:eastAsiaTheme="minorEastAsia" w:hAnsi="Georgia" w:cs="Arial"/>
          <w:lang w:val="en-GB"/>
        </w:rPr>
        <w:t>management</w:t>
      </w:r>
      <w:r w:rsidR="00AD6CD5" w:rsidRPr="00D41D25">
        <w:rPr>
          <w:rFonts w:ascii="Georgia" w:eastAsiaTheme="minorEastAsia" w:hAnsi="Georgia" w:cs="Arial"/>
          <w:lang w:val="en-GB"/>
        </w:rPr>
        <w:t xml:space="preserve">/administrative staff). </w:t>
      </w:r>
      <w:r w:rsidR="00245E3A" w:rsidRPr="00D41D25">
        <w:rPr>
          <w:rFonts w:ascii="Georgia" w:eastAsiaTheme="minorEastAsia" w:hAnsi="Georgia" w:cs="Arial"/>
          <w:lang w:val="en-GB"/>
        </w:rPr>
        <w:t>The n</w:t>
      </w:r>
      <w:r w:rsidR="00AD6CD5" w:rsidRPr="00D41D25">
        <w:rPr>
          <w:rFonts w:ascii="Georgia" w:eastAsiaTheme="minorEastAsia" w:hAnsi="Georgia" w:cs="Arial"/>
          <w:lang w:val="en-GB"/>
        </w:rPr>
        <w:t>umber of observed workstations of</w:t>
      </w:r>
      <w:r w:rsidR="00D661FD" w:rsidRPr="00D41D25">
        <w:rPr>
          <w:rFonts w:ascii="Georgia" w:eastAsiaTheme="minorEastAsia" w:hAnsi="Georgia" w:cs="Arial"/>
          <w:lang w:val="en-GB"/>
        </w:rPr>
        <w:t xml:space="preserve"> physicians</w:t>
      </w:r>
      <w:r w:rsidR="00CD23A6" w:rsidRPr="00D41D25">
        <w:rPr>
          <w:lang w:val="en-GB"/>
        </w:rPr>
        <w:t xml:space="preserve"> </w:t>
      </w:r>
      <w:r w:rsidR="00CD23A6" w:rsidRPr="00D41D25">
        <w:rPr>
          <w:rFonts w:ascii="Georgia" w:eastAsiaTheme="minorEastAsia" w:hAnsi="Georgia" w:cs="Arial"/>
          <w:lang w:val="en-GB"/>
        </w:rPr>
        <w:t xml:space="preserve">was nearly </w:t>
      </w:r>
      <w:r w:rsidR="00245E3A" w:rsidRPr="00D41D25">
        <w:rPr>
          <w:rFonts w:ascii="Georgia" w:eastAsiaTheme="minorEastAsia" w:hAnsi="Georgia" w:cs="Arial"/>
          <w:lang w:val="en-GB"/>
        </w:rPr>
        <w:t>twice</w:t>
      </w:r>
      <w:r w:rsidR="00CD23A6" w:rsidRPr="00D41D25">
        <w:rPr>
          <w:rFonts w:ascii="Georgia" w:eastAsiaTheme="minorEastAsia" w:hAnsi="Georgia" w:cs="Arial"/>
          <w:lang w:val="en-GB"/>
        </w:rPr>
        <w:t xml:space="preserve"> that of other</w:t>
      </w:r>
      <w:r w:rsidR="003F0BB8" w:rsidRPr="00D41D25">
        <w:rPr>
          <w:rFonts w:ascii="Georgia" w:eastAsiaTheme="minorEastAsia" w:hAnsi="Georgia" w:cs="Arial"/>
          <w:lang w:val="en-GB"/>
        </w:rPr>
        <w:t>s</w:t>
      </w:r>
      <w:r w:rsidR="00CD23A6" w:rsidRPr="00D41D25">
        <w:rPr>
          <w:rFonts w:ascii="Georgia" w:eastAsiaTheme="minorEastAsia" w:hAnsi="Georgia" w:cs="Arial"/>
          <w:lang w:val="en-GB"/>
        </w:rPr>
        <w:t xml:space="preserve"> </w:t>
      </w:r>
      <w:r w:rsidR="00AD6CD5" w:rsidRPr="00D41D25">
        <w:rPr>
          <w:rFonts w:ascii="Georgia" w:eastAsiaTheme="minorEastAsia" w:hAnsi="Georgia" w:cs="Arial"/>
          <w:lang w:val="en-GB"/>
        </w:rPr>
        <w:t>(</w:t>
      </w:r>
      <w:r w:rsidR="00245E3A" w:rsidRPr="00D41D25">
        <w:rPr>
          <w:rFonts w:ascii="Georgia" w:eastAsiaTheme="minorEastAsia" w:hAnsi="Georgia" w:cs="Arial"/>
          <w:lang w:val="en-GB"/>
        </w:rPr>
        <w:t>p</w:t>
      </w:r>
      <w:r w:rsidR="009B2661" w:rsidRPr="00D41D25">
        <w:rPr>
          <w:rFonts w:ascii="Georgia" w:eastAsiaTheme="minorEastAsia" w:hAnsi="Georgia" w:cs="Arial"/>
          <w:lang w:val="en-GB"/>
        </w:rPr>
        <w:t xml:space="preserve">hysicians: </w:t>
      </w:r>
      <w:r w:rsidR="00174F30" w:rsidRPr="00D41D25">
        <w:rPr>
          <w:rFonts w:ascii="Georgia" w:eastAsiaTheme="minorEastAsia" w:hAnsi="Georgia" w:cs="Arial"/>
          <w:lang w:val="en-GB"/>
        </w:rPr>
        <w:t xml:space="preserve">262, </w:t>
      </w:r>
      <w:r w:rsidR="00245E3A" w:rsidRPr="00D41D25">
        <w:rPr>
          <w:rFonts w:ascii="Georgia" w:eastAsiaTheme="minorEastAsia" w:hAnsi="Georgia" w:cs="Arial"/>
          <w:lang w:val="en-GB"/>
        </w:rPr>
        <w:t>n</w:t>
      </w:r>
      <w:r w:rsidR="00AD6CD5" w:rsidRPr="00D41D25">
        <w:rPr>
          <w:rFonts w:ascii="Georgia" w:eastAsiaTheme="minorEastAsia" w:hAnsi="Georgia" w:cs="Arial"/>
          <w:lang w:val="en-GB"/>
        </w:rPr>
        <w:t xml:space="preserve">ursing staff </w:t>
      </w:r>
      <w:r w:rsidR="00DD16C3">
        <w:rPr>
          <w:rFonts w:ascii="Georgia" w:eastAsiaTheme="minorEastAsia" w:hAnsi="Georgia" w:cs="Arial"/>
          <w:lang w:val="en-GB"/>
        </w:rPr>
        <w:t>and</w:t>
      </w:r>
      <w:r w:rsidR="00DD16C3" w:rsidRPr="00D41D25">
        <w:rPr>
          <w:rFonts w:ascii="Georgia" w:eastAsiaTheme="minorEastAsia" w:hAnsi="Georgia" w:cs="Arial"/>
          <w:lang w:val="en-GB"/>
        </w:rPr>
        <w:t xml:space="preserve"> </w:t>
      </w:r>
      <w:r w:rsidR="00AD6CD5" w:rsidRPr="00D41D25">
        <w:rPr>
          <w:rFonts w:ascii="Georgia" w:eastAsiaTheme="minorEastAsia" w:hAnsi="Georgia" w:cs="Arial"/>
          <w:lang w:val="en-GB"/>
        </w:rPr>
        <w:t>therapist</w:t>
      </w:r>
      <w:r w:rsidR="00033527" w:rsidRPr="00D41D25">
        <w:rPr>
          <w:rFonts w:ascii="Georgia" w:eastAsiaTheme="minorEastAsia" w:hAnsi="Georgia" w:cs="Arial"/>
          <w:lang w:val="en-GB"/>
        </w:rPr>
        <w:t>s</w:t>
      </w:r>
      <w:r w:rsidR="00AD6CD5" w:rsidRPr="00D41D25">
        <w:rPr>
          <w:rFonts w:ascii="Georgia" w:eastAsiaTheme="minorEastAsia" w:hAnsi="Georgia" w:cs="Arial"/>
          <w:lang w:val="en-GB"/>
        </w:rPr>
        <w:t xml:space="preserve">: 132, </w:t>
      </w:r>
      <w:r w:rsidR="00C66377" w:rsidRPr="00D41D25">
        <w:rPr>
          <w:rFonts w:ascii="Georgia" w:eastAsiaTheme="minorEastAsia" w:hAnsi="Georgia" w:cs="Arial"/>
          <w:lang w:val="en-GB"/>
        </w:rPr>
        <w:t>management</w:t>
      </w:r>
      <w:r w:rsidR="00AD6CD5" w:rsidRPr="00D41D25">
        <w:rPr>
          <w:rFonts w:ascii="Georgia" w:eastAsiaTheme="minorEastAsia" w:hAnsi="Georgia" w:cs="Arial"/>
          <w:lang w:val="en-GB"/>
        </w:rPr>
        <w:t>/administrative staff: 139).</w:t>
      </w:r>
      <w:r w:rsidR="00E07F26" w:rsidRPr="00D41D25">
        <w:rPr>
          <w:rFonts w:ascii="Georgia" w:eastAsiaTheme="minorEastAsia" w:hAnsi="Georgia" w:cs="Arial"/>
          <w:lang w:val="en-GB"/>
        </w:rPr>
        <w:t xml:space="preserve"> </w:t>
      </w:r>
      <w:r w:rsidR="00FE3134" w:rsidRPr="00D41D25">
        <w:rPr>
          <w:rFonts w:ascii="Georgia" w:eastAsiaTheme="minorEastAsia" w:hAnsi="Georgia" w:cs="Arial"/>
          <w:lang w:val="en-GB"/>
        </w:rPr>
        <w:t xml:space="preserve">Among </w:t>
      </w:r>
      <w:r w:rsidR="00694D17" w:rsidRPr="00D41D25">
        <w:rPr>
          <w:rFonts w:ascii="Georgia" w:eastAsiaTheme="minorEastAsia" w:hAnsi="Georgia" w:cs="Arial"/>
          <w:lang w:val="en-GB"/>
        </w:rPr>
        <w:t xml:space="preserve">the </w:t>
      </w:r>
      <w:r w:rsidR="00FE3134" w:rsidRPr="00D41D25">
        <w:rPr>
          <w:rFonts w:ascii="Georgia" w:eastAsiaTheme="minorEastAsia" w:hAnsi="Georgia" w:cs="Arial"/>
          <w:lang w:val="en-GB"/>
        </w:rPr>
        <w:t>three groups,</w:t>
      </w:r>
      <w:r w:rsidR="001170D1" w:rsidRPr="00D41D25">
        <w:rPr>
          <w:rFonts w:ascii="Georgia" w:eastAsiaTheme="minorEastAsia" w:hAnsi="Georgia" w:cs="Arial"/>
          <w:lang w:val="en-GB"/>
        </w:rPr>
        <w:t xml:space="preserve"> </w:t>
      </w:r>
      <w:r w:rsidR="00C619D4">
        <w:rPr>
          <w:rFonts w:ascii="Georgia" w:eastAsiaTheme="minorEastAsia" w:hAnsi="Georgia" w:cs="Arial"/>
          <w:lang w:val="en-GB"/>
        </w:rPr>
        <w:t xml:space="preserve">the </w:t>
      </w:r>
      <w:r w:rsidR="001170D1" w:rsidRPr="00D41D25">
        <w:rPr>
          <w:rFonts w:ascii="Georgia" w:eastAsiaTheme="minorEastAsia" w:hAnsi="Georgia" w:cs="Arial"/>
          <w:lang w:val="en-GB"/>
        </w:rPr>
        <w:t xml:space="preserve">observed </w:t>
      </w:r>
      <w:r w:rsidR="00CA0F24" w:rsidRPr="00D41D25">
        <w:rPr>
          <w:rFonts w:ascii="Georgia" w:eastAsiaTheme="minorEastAsia" w:hAnsi="Georgia" w:cs="Arial"/>
          <w:lang w:val="en-GB"/>
        </w:rPr>
        <w:t>management/administrative staff workstations</w:t>
      </w:r>
      <w:r w:rsidR="00FE3134" w:rsidRPr="00D41D25">
        <w:rPr>
          <w:rFonts w:ascii="Georgia" w:eastAsiaTheme="minorEastAsia" w:hAnsi="Georgia" w:cs="Arial"/>
          <w:lang w:val="en-GB"/>
        </w:rPr>
        <w:t xml:space="preserve"> had the highest occupancy rate with</w:t>
      </w:r>
      <w:r w:rsidR="00694D17" w:rsidRPr="00D41D25">
        <w:rPr>
          <w:rFonts w:ascii="Georgia" w:eastAsiaTheme="minorEastAsia" w:hAnsi="Georgia" w:cs="Arial"/>
          <w:lang w:val="en-GB"/>
        </w:rPr>
        <w:t xml:space="preserve"> an average of</w:t>
      </w:r>
      <w:r w:rsidR="00FE3134" w:rsidRPr="00D41D25">
        <w:rPr>
          <w:rFonts w:ascii="Georgia" w:eastAsiaTheme="minorEastAsia" w:hAnsi="Georgia" w:cs="Arial"/>
          <w:lang w:val="en-GB"/>
        </w:rPr>
        <w:t xml:space="preserve"> 37%. </w:t>
      </w:r>
      <w:r w:rsidR="0021782D" w:rsidRPr="00D41D25">
        <w:rPr>
          <w:rFonts w:ascii="Georgia" w:eastAsiaTheme="minorEastAsia" w:hAnsi="Georgia" w:cs="Arial"/>
          <w:lang w:val="en-GB"/>
        </w:rPr>
        <w:t>The occupancy</w:t>
      </w:r>
      <w:r w:rsidR="00802C91" w:rsidRPr="00D41D25">
        <w:rPr>
          <w:rFonts w:ascii="Georgia" w:eastAsiaTheme="minorEastAsia" w:hAnsi="Georgia" w:cs="Arial"/>
          <w:lang w:val="en-GB"/>
        </w:rPr>
        <w:t xml:space="preserve"> rates</w:t>
      </w:r>
      <w:r w:rsidR="0021782D" w:rsidRPr="00D41D25">
        <w:rPr>
          <w:rFonts w:ascii="Georgia" w:eastAsiaTheme="minorEastAsia" w:hAnsi="Georgia" w:cs="Arial"/>
          <w:lang w:val="en-GB"/>
        </w:rPr>
        <w:t xml:space="preserve"> of physician</w:t>
      </w:r>
      <w:r w:rsidR="003F0BB8" w:rsidRPr="00D41D25">
        <w:rPr>
          <w:rFonts w:ascii="Georgia" w:eastAsiaTheme="minorEastAsia" w:hAnsi="Georgia" w:cs="Arial"/>
          <w:lang w:val="en-GB"/>
        </w:rPr>
        <w:t>s</w:t>
      </w:r>
      <w:r w:rsidR="00423AD2" w:rsidRPr="00D41D25">
        <w:rPr>
          <w:rFonts w:ascii="Georgia" w:eastAsiaTheme="minorEastAsia" w:hAnsi="Georgia" w:cs="Arial"/>
          <w:lang w:val="en-GB"/>
        </w:rPr>
        <w:t>,</w:t>
      </w:r>
      <w:r w:rsidR="0021782D" w:rsidRPr="00D41D25">
        <w:rPr>
          <w:rFonts w:ascii="Georgia" w:eastAsiaTheme="minorEastAsia" w:hAnsi="Georgia" w:cs="Arial"/>
          <w:lang w:val="en-GB"/>
        </w:rPr>
        <w:t xml:space="preserve"> </w:t>
      </w:r>
      <w:r w:rsidR="005C6252">
        <w:rPr>
          <w:rFonts w:ascii="Georgia" w:eastAsiaTheme="minorEastAsia" w:hAnsi="Georgia" w:cs="Arial"/>
          <w:lang w:val="en-GB"/>
        </w:rPr>
        <w:t xml:space="preserve">and </w:t>
      </w:r>
      <w:r w:rsidR="0021782D" w:rsidRPr="00D41D25">
        <w:rPr>
          <w:rFonts w:ascii="Georgia" w:eastAsiaTheme="minorEastAsia" w:hAnsi="Georgia" w:cs="Arial"/>
          <w:lang w:val="en-GB"/>
        </w:rPr>
        <w:t xml:space="preserve">nursing staff </w:t>
      </w:r>
      <w:r w:rsidR="005C6252">
        <w:rPr>
          <w:rFonts w:ascii="Georgia" w:eastAsiaTheme="minorEastAsia" w:hAnsi="Georgia" w:cs="Arial"/>
          <w:lang w:val="en-GB"/>
        </w:rPr>
        <w:t>and</w:t>
      </w:r>
      <w:r w:rsidR="005C6252" w:rsidRPr="00D41D25">
        <w:rPr>
          <w:rFonts w:ascii="Georgia" w:eastAsiaTheme="minorEastAsia" w:hAnsi="Georgia" w:cs="Arial"/>
          <w:lang w:val="en-GB"/>
        </w:rPr>
        <w:t xml:space="preserve"> </w:t>
      </w:r>
      <w:r w:rsidR="0021782D" w:rsidRPr="00D41D25">
        <w:rPr>
          <w:rFonts w:ascii="Georgia" w:eastAsiaTheme="minorEastAsia" w:hAnsi="Georgia" w:cs="Arial"/>
          <w:lang w:val="en-GB"/>
        </w:rPr>
        <w:t>therapist</w:t>
      </w:r>
      <w:r w:rsidR="00033527" w:rsidRPr="00D41D25">
        <w:rPr>
          <w:rFonts w:ascii="Georgia" w:eastAsiaTheme="minorEastAsia" w:hAnsi="Georgia" w:cs="Arial"/>
          <w:lang w:val="en-GB"/>
        </w:rPr>
        <w:t>s</w:t>
      </w:r>
      <w:r w:rsidR="0021782D" w:rsidRPr="00D41D25">
        <w:rPr>
          <w:rFonts w:ascii="Georgia" w:eastAsiaTheme="minorEastAsia" w:hAnsi="Georgia" w:cs="Arial"/>
          <w:lang w:val="en-GB"/>
        </w:rPr>
        <w:t xml:space="preserve"> were b</w:t>
      </w:r>
      <w:r w:rsidR="00940F66" w:rsidRPr="00D41D25">
        <w:rPr>
          <w:rFonts w:ascii="Georgia" w:eastAsiaTheme="minorEastAsia" w:hAnsi="Georgia" w:cs="Arial"/>
          <w:lang w:val="en-GB"/>
        </w:rPr>
        <w:t>oth under 30% (</w:t>
      </w:r>
      <w:r w:rsidR="00F063E7" w:rsidRPr="00D41D25">
        <w:rPr>
          <w:rFonts w:ascii="Georgia" w:eastAsiaTheme="minorEastAsia" w:hAnsi="Georgia" w:cs="Arial"/>
          <w:lang w:val="en-GB"/>
        </w:rPr>
        <w:t>p</w:t>
      </w:r>
      <w:r w:rsidR="00940F66" w:rsidRPr="00D41D25">
        <w:rPr>
          <w:rFonts w:ascii="Georgia" w:eastAsiaTheme="minorEastAsia" w:hAnsi="Georgia" w:cs="Arial"/>
          <w:lang w:val="en-GB"/>
        </w:rPr>
        <w:t>hysician</w:t>
      </w:r>
      <w:r w:rsidR="00F063E7" w:rsidRPr="00D41D25">
        <w:rPr>
          <w:rFonts w:ascii="Georgia" w:eastAsiaTheme="minorEastAsia" w:hAnsi="Georgia" w:cs="Arial"/>
          <w:lang w:val="en-GB"/>
        </w:rPr>
        <w:t>s</w:t>
      </w:r>
      <w:r w:rsidR="00940F66" w:rsidRPr="00D41D25">
        <w:rPr>
          <w:rFonts w:ascii="Georgia" w:eastAsiaTheme="minorEastAsia" w:hAnsi="Georgia" w:cs="Arial"/>
          <w:lang w:val="en-GB"/>
        </w:rPr>
        <w:t>: 2</w:t>
      </w:r>
      <w:r w:rsidR="003B659E" w:rsidRPr="00D41D25">
        <w:rPr>
          <w:rFonts w:ascii="Georgia" w:eastAsiaTheme="minorEastAsia" w:hAnsi="Georgia" w:cs="Arial"/>
          <w:lang w:val="en-GB"/>
        </w:rPr>
        <w:t xml:space="preserve">9%, </w:t>
      </w:r>
      <w:r w:rsidR="00F063E7" w:rsidRPr="00D41D25">
        <w:rPr>
          <w:rFonts w:ascii="Georgia" w:eastAsiaTheme="minorEastAsia" w:hAnsi="Georgia" w:cs="Arial"/>
          <w:lang w:val="en-GB"/>
        </w:rPr>
        <w:t>n</w:t>
      </w:r>
      <w:r w:rsidR="003B659E" w:rsidRPr="00D41D25">
        <w:rPr>
          <w:rFonts w:ascii="Georgia" w:eastAsiaTheme="minorEastAsia" w:hAnsi="Georgia" w:cs="Arial"/>
          <w:lang w:val="en-GB"/>
        </w:rPr>
        <w:t xml:space="preserve">ursing staff </w:t>
      </w:r>
      <w:r w:rsidR="005C6252">
        <w:rPr>
          <w:rFonts w:ascii="Georgia" w:eastAsiaTheme="minorEastAsia" w:hAnsi="Georgia" w:cs="Arial"/>
          <w:lang w:val="en-GB"/>
        </w:rPr>
        <w:t>and</w:t>
      </w:r>
      <w:r w:rsidR="005C6252" w:rsidRPr="00D41D25">
        <w:rPr>
          <w:rFonts w:ascii="Georgia" w:eastAsiaTheme="minorEastAsia" w:hAnsi="Georgia" w:cs="Arial"/>
          <w:lang w:val="en-GB"/>
        </w:rPr>
        <w:t xml:space="preserve"> </w:t>
      </w:r>
      <w:r w:rsidR="003B659E" w:rsidRPr="00D41D25">
        <w:rPr>
          <w:rFonts w:ascii="Georgia" w:eastAsiaTheme="minorEastAsia" w:hAnsi="Georgia" w:cs="Arial"/>
          <w:lang w:val="en-GB"/>
        </w:rPr>
        <w:t>therapist</w:t>
      </w:r>
      <w:r w:rsidR="00870E84" w:rsidRPr="00D41D25">
        <w:rPr>
          <w:rFonts w:ascii="Georgia" w:eastAsiaTheme="minorEastAsia" w:hAnsi="Georgia" w:cs="Arial"/>
          <w:lang w:val="en-GB"/>
        </w:rPr>
        <w:t>s</w:t>
      </w:r>
      <w:r w:rsidR="003B659E" w:rsidRPr="00D41D25">
        <w:rPr>
          <w:rFonts w:ascii="Georgia" w:eastAsiaTheme="minorEastAsia" w:hAnsi="Georgia" w:cs="Arial"/>
          <w:lang w:val="en-GB"/>
        </w:rPr>
        <w:t>:</w:t>
      </w:r>
      <w:r w:rsidR="00040EB2" w:rsidRPr="00D41D25">
        <w:rPr>
          <w:rFonts w:ascii="Georgia" w:eastAsiaTheme="minorEastAsia" w:hAnsi="Georgia" w:cs="Arial"/>
          <w:lang w:val="en-GB"/>
        </w:rPr>
        <w:t xml:space="preserve"> 27%)</w:t>
      </w:r>
      <w:r w:rsidR="00940F66" w:rsidRPr="00D41D25">
        <w:rPr>
          <w:rFonts w:ascii="Georgia" w:eastAsiaTheme="minorEastAsia" w:hAnsi="Georgia" w:cs="Arial"/>
          <w:lang w:val="en-GB"/>
        </w:rPr>
        <w:t xml:space="preserve">. </w:t>
      </w:r>
      <w:r w:rsidR="000D55DF" w:rsidRPr="00D41D25">
        <w:rPr>
          <w:rFonts w:ascii="Georgia" w:eastAsiaTheme="minorEastAsia" w:hAnsi="Georgia" w:cs="Arial"/>
          <w:lang w:val="en-GB"/>
        </w:rPr>
        <w:t xml:space="preserve">Table </w:t>
      </w:r>
      <w:r w:rsidR="000F7782" w:rsidRPr="00D41D25">
        <w:rPr>
          <w:rFonts w:ascii="Georgia" w:eastAsiaTheme="minorEastAsia" w:hAnsi="Georgia" w:cs="Arial"/>
          <w:lang w:val="en-GB"/>
        </w:rPr>
        <w:t>3</w:t>
      </w:r>
      <w:r w:rsidR="000D55DF" w:rsidRPr="00D41D25">
        <w:rPr>
          <w:rFonts w:ascii="Georgia" w:eastAsiaTheme="minorEastAsia" w:hAnsi="Georgia" w:cs="Arial"/>
          <w:lang w:val="en-GB"/>
        </w:rPr>
        <w:t xml:space="preserve"> </w:t>
      </w:r>
      <w:r w:rsidR="005B53BB" w:rsidRPr="00D41D25">
        <w:rPr>
          <w:rFonts w:ascii="Georgia" w:eastAsiaTheme="minorEastAsia" w:hAnsi="Georgia" w:cs="Arial"/>
          <w:lang w:val="en-GB"/>
        </w:rPr>
        <w:t>summari</w:t>
      </w:r>
      <w:r w:rsidR="005B53BB">
        <w:rPr>
          <w:rFonts w:ascii="Georgia" w:eastAsiaTheme="minorEastAsia" w:hAnsi="Georgia" w:cs="Arial"/>
          <w:lang w:val="en-GB"/>
        </w:rPr>
        <w:t>z</w:t>
      </w:r>
      <w:r w:rsidR="005B53BB" w:rsidRPr="00D41D25">
        <w:rPr>
          <w:rFonts w:ascii="Georgia" w:eastAsiaTheme="minorEastAsia" w:hAnsi="Georgia" w:cs="Arial"/>
          <w:lang w:val="en-GB"/>
        </w:rPr>
        <w:t xml:space="preserve">es </w:t>
      </w:r>
      <w:r w:rsidR="00372A91" w:rsidRPr="00D41D25">
        <w:rPr>
          <w:rFonts w:ascii="Georgia" w:eastAsiaTheme="minorEastAsia" w:hAnsi="Georgia" w:cs="Arial"/>
          <w:lang w:val="en-GB"/>
        </w:rPr>
        <w:t>the occupancy rates of the three employee types.</w:t>
      </w:r>
    </w:p>
    <w:p w14:paraId="0873F415" w14:textId="1B52E1F7" w:rsidR="00D809B7" w:rsidRPr="00D41D25" w:rsidRDefault="00D809B7" w:rsidP="0033476B">
      <w:pPr>
        <w:pStyle w:val="MDPI41tablecaption"/>
        <w:rPr>
          <w:rFonts w:eastAsiaTheme="minorEastAsia"/>
          <w:lang w:val="en-GB"/>
        </w:rPr>
      </w:pPr>
      <w:r w:rsidRPr="00D41D25">
        <w:rPr>
          <w:rFonts w:eastAsiaTheme="minorEastAsia"/>
          <w:lang w:val="en-GB"/>
        </w:rPr>
        <w:t xml:space="preserve">Table </w:t>
      </w:r>
      <w:r w:rsidRPr="00D41D25">
        <w:rPr>
          <w:rFonts w:eastAsiaTheme="minorEastAsia"/>
          <w:i/>
          <w:iCs/>
          <w:lang w:val="en-GB"/>
        </w:rPr>
        <w:fldChar w:fldCharType="begin"/>
      </w:r>
      <w:r w:rsidRPr="00D41D25">
        <w:rPr>
          <w:rFonts w:eastAsiaTheme="minorEastAsia"/>
          <w:lang w:val="en-GB"/>
        </w:rPr>
        <w:instrText xml:space="preserve"> SEQ Table \* ARABIC </w:instrText>
      </w:r>
      <w:r w:rsidRPr="00D41D25">
        <w:rPr>
          <w:rFonts w:eastAsiaTheme="minorEastAsia"/>
          <w:i/>
          <w:iCs/>
          <w:lang w:val="en-GB"/>
        </w:rPr>
        <w:fldChar w:fldCharType="separate"/>
      </w:r>
      <w:r w:rsidR="00577F37">
        <w:rPr>
          <w:rFonts w:eastAsiaTheme="minorEastAsia"/>
          <w:lang w:val="en-GB"/>
        </w:rPr>
        <w:t>3</w:t>
      </w:r>
      <w:r w:rsidRPr="00D41D25">
        <w:rPr>
          <w:rFonts w:eastAsiaTheme="minorEastAsia"/>
          <w:i/>
          <w:iCs/>
          <w:lang w:val="en-GB"/>
        </w:rPr>
        <w:fldChar w:fldCharType="end"/>
      </w:r>
      <w:r w:rsidRPr="00D41D25">
        <w:rPr>
          <w:rFonts w:eastAsiaTheme="minorEastAsia"/>
          <w:lang w:val="en-GB"/>
        </w:rPr>
        <w:t xml:space="preserve">: Occupancy regarding physician </w:t>
      </w:r>
      <w:proofErr w:type="spellStart"/>
      <w:r w:rsidRPr="00D41D25">
        <w:rPr>
          <w:rFonts w:eastAsiaTheme="minorEastAsia"/>
          <w:lang w:val="en-GB"/>
        </w:rPr>
        <w:t>types</w:t>
      </w:r>
      <w:r w:rsidR="005B53BB">
        <w:rPr>
          <w:rFonts w:eastAsiaTheme="minorEastAsia"/>
          <w:lang w:val="en-GB"/>
        </w:rPr>
        <w:t>and</w:t>
      </w:r>
      <w:proofErr w:type="spellEnd"/>
      <w:r w:rsidR="005B53BB" w:rsidRPr="00D41D25">
        <w:rPr>
          <w:rFonts w:eastAsiaTheme="minorEastAsia"/>
          <w:lang w:val="en-GB"/>
        </w:rPr>
        <w:t xml:space="preserve"> </w:t>
      </w:r>
      <w:r w:rsidRPr="00D41D25">
        <w:rPr>
          <w:rFonts w:eastAsiaTheme="minorEastAsia"/>
          <w:lang w:val="en-GB"/>
        </w:rPr>
        <w:t>other hospital occupant types</w:t>
      </w:r>
    </w:p>
    <w:tbl>
      <w:tblPr>
        <w:tblStyle w:val="MDPI41threelinetable"/>
        <w:tblW w:w="7859" w:type="dxa"/>
        <w:jc w:val="left"/>
        <w:tblInd w:w="2608" w:type="dxa"/>
        <w:tblLook w:val="0420" w:firstRow="1" w:lastRow="0" w:firstColumn="0" w:lastColumn="0" w:noHBand="0" w:noVBand="1"/>
      </w:tblPr>
      <w:tblGrid>
        <w:gridCol w:w="1181"/>
        <w:gridCol w:w="1669"/>
        <w:gridCol w:w="1669"/>
        <w:gridCol w:w="1669"/>
        <w:gridCol w:w="1671"/>
      </w:tblGrid>
      <w:tr w:rsidR="00D809B7" w:rsidRPr="00D41D25" w14:paraId="5A912682" w14:textId="77777777" w:rsidTr="00A31457">
        <w:trPr>
          <w:cnfStyle w:val="100000000000" w:firstRow="1" w:lastRow="0" w:firstColumn="0" w:lastColumn="0" w:oddVBand="0" w:evenVBand="0" w:oddHBand="0" w:evenHBand="0" w:firstRowFirstColumn="0" w:firstRowLastColumn="0" w:lastRowFirstColumn="0" w:lastRowLastColumn="0"/>
          <w:trHeight w:val="1043"/>
          <w:jc w:val="left"/>
        </w:trPr>
        <w:tc>
          <w:tcPr>
            <w:tcW w:w="751" w:type="pct"/>
            <w:hideMark/>
          </w:tcPr>
          <w:p w14:paraId="636780B3" w14:textId="77777777" w:rsidR="00D809B7" w:rsidRPr="00D41D25" w:rsidRDefault="00D809B7" w:rsidP="0033476B">
            <w:pPr>
              <w:pStyle w:val="MDPI42tablebody"/>
              <w:rPr>
                <w:lang w:val="en-GB"/>
              </w:rPr>
            </w:pPr>
            <w:r w:rsidRPr="00D41D25">
              <w:rPr>
                <w:lang w:val="en-GB"/>
              </w:rPr>
              <w:t>Project-name and year</w:t>
            </w:r>
          </w:p>
        </w:tc>
        <w:tc>
          <w:tcPr>
            <w:tcW w:w="1062" w:type="pct"/>
          </w:tcPr>
          <w:p w14:paraId="14C14047" w14:textId="43DFECC2" w:rsidR="00D809B7" w:rsidRPr="00D41D25" w:rsidRDefault="0094771E" w:rsidP="0033476B">
            <w:pPr>
              <w:pStyle w:val="MDPI42tablebody"/>
              <w:rPr>
                <w:lang w:val="en-GB"/>
              </w:rPr>
            </w:pPr>
            <w:r>
              <w:rPr>
                <w:lang w:val="en-GB"/>
              </w:rPr>
              <w:t xml:space="preserve">WS </w:t>
            </w:r>
            <w:r w:rsidR="00D809B7" w:rsidRPr="00D41D25">
              <w:rPr>
                <w:lang w:val="en-GB"/>
              </w:rPr>
              <w:t xml:space="preserve">Occupancy by </w:t>
            </w:r>
            <w:r w:rsidR="00D809B7" w:rsidRPr="00D41D25">
              <w:rPr>
                <w:lang w:val="en-GB"/>
              </w:rPr>
              <w:br/>
              <w:t xml:space="preserve">«Physicians: chief of service and chief </w:t>
            </w:r>
            <w:r w:rsidR="00D809B7" w:rsidRPr="00D41D25">
              <w:rPr>
                <w:lang w:val="en-GB"/>
              </w:rPr>
              <w:br/>
              <w:t>physician»</w:t>
            </w:r>
          </w:p>
        </w:tc>
        <w:tc>
          <w:tcPr>
            <w:tcW w:w="1062" w:type="pct"/>
            <w:hideMark/>
          </w:tcPr>
          <w:p w14:paraId="54CB90D3" w14:textId="6804E464" w:rsidR="00D809B7" w:rsidRPr="00D41D25" w:rsidRDefault="0094771E" w:rsidP="0033476B">
            <w:pPr>
              <w:pStyle w:val="MDPI42tablebody"/>
              <w:rPr>
                <w:lang w:val="en-GB"/>
              </w:rPr>
            </w:pPr>
            <w:r>
              <w:rPr>
                <w:lang w:val="en-GB"/>
              </w:rPr>
              <w:t xml:space="preserve">WS </w:t>
            </w:r>
            <w:r w:rsidR="00D809B7" w:rsidRPr="00D41D25">
              <w:rPr>
                <w:lang w:val="en-GB"/>
              </w:rPr>
              <w:t xml:space="preserve">Occupancy by </w:t>
            </w:r>
            <w:r w:rsidR="00D809B7" w:rsidRPr="00D41D25">
              <w:rPr>
                <w:lang w:val="en-GB"/>
              </w:rPr>
              <w:br/>
              <w:t>«Physicians: resident physician and attending physician »</w:t>
            </w:r>
          </w:p>
        </w:tc>
        <w:tc>
          <w:tcPr>
            <w:tcW w:w="1062" w:type="pct"/>
            <w:hideMark/>
          </w:tcPr>
          <w:p w14:paraId="207FCEDD" w14:textId="5FB78FD9" w:rsidR="00D809B7" w:rsidRPr="00D41D25" w:rsidRDefault="0094771E" w:rsidP="0033476B">
            <w:pPr>
              <w:pStyle w:val="MDPI42tablebody"/>
              <w:rPr>
                <w:lang w:val="en-GB"/>
              </w:rPr>
            </w:pPr>
            <w:r>
              <w:rPr>
                <w:lang w:val="en-GB"/>
              </w:rPr>
              <w:t xml:space="preserve">WS </w:t>
            </w:r>
            <w:r w:rsidR="00D809B7" w:rsidRPr="00D41D25">
              <w:rPr>
                <w:lang w:val="en-GB"/>
              </w:rPr>
              <w:t xml:space="preserve">Occupancy by </w:t>
            </w:r>
            <w:r w:rsidR="00D809B7" w:rsidRPr="00D41D25">
              <w:rPr>
                <w:lang w:val="en-GB"/>
              </w:rPr>
              <w:br/>
              <w:t>«Nursing staff/therapists»</w:t>
            </w:r>
          </w:p>
        </w:tc>
        <w:tc>
          <w:tcPr>
            <w:tcW w:w="1062" w:type="pct"/>
            <w:hideMark/>
          </w:tcPr>
          <w:p w14:paraId="622FB073" w14:textId="6FC262ED" w:rsidR="00D809B7" w:rsidRPr="00D41D25" w:rsidRDefault="0094771E" w:rsidP="0033476B">
            <w:pPr>
              <w:pStyle w:val="MDPI42tablebody"/>
              <w:rPr>
                <w:lang w:val="en-GB"/>
              </w:rPr>
            </w:pPr>
            <w:r>
              <w:rPr>
                <w:lang w:val="en-GB"/>
              </w:rPr>
              <w:t xml:space="preserve">WS </w:t>
            </w:r>
            <w:r w:rsidR="00CD20F4" w:rsidRPr="00D41D25">
              <w:rPr>
                <w:lang w:val="en-GB"/>
              </w:rPr>
              <w:t>Occupancy by</w:t>
            </w:r>
            <w:r w:rsidR="00D809B7" w:rsidRPr="00D41D25">
              <w:rPr>
                <w:lang w:val="en-GB"/>
              </w:rPr>
              <w:br/>
              <w:t>«Management/administration staff»</w:t>
            </w:r>
          </w:p>
        </w:tc>
      </w:tr>
      <w:tr w:rsidR="00D809B7" w:rsidRPr="00D41D25" w14:paraId="2B513457" w14:textId="77777777" w:rsidTr="00A31457">
        <w:trPr>
          <w:trHeight w:val="711"/>
          <w:jc w:val="left"/>
        </w:trPr>
        <w:tc>
          <w:tcPr>
            <w:tcW w:w="751" w:type="pct"/>
            <w:hideMark/>
          </w:tcPr>
          <w:p w14:paraId="0D7F374D" w14:textId="77777777" w:rsidR="00D809B7" w:rsidRPr="00D41D25" w:rsidRDefault="00D809B7" w:rsidP="0033476B">
            <w:pPr>
              <w:pStyle w:val="MDPI42tablebody"/>
              <w:rPr>
                <w:lang w:val="en-GB"/>
              </w:rPr>
            </w:pPr>
            <w:r w:rsidRPr="00D41D25">
              <w:rPr>
                <w:color w:val="000000" w:themeColor="dark1"/>
                <w:lang w:val="en-GB"/>
              </w:rPr>
              <w:t>H1, 2017</w:t>
            </w:r>
          </w:p>
        </w:tc>
        <w:tc>
          <w:tcPr>
            <w:tcW w:w="1062" w:type="pct"/>
          </w:tcPr>
          <w:p w14:paraId="647931EE" w14:textId="77777777" w:rsidR="00D809B7" w:rsidRPr="00D41D25" w:rsidRDefault="00D809B7" w:rsidP="0033476B">
            <w:pPr>
              <w:pStyle w:val="MDPI42tablebody"/>
              <w:rPr>
                <w:lang w:val="en-GB"/>
              </w:rPr>
            </w:pPr>
            <w:r w:rsidRPr="00D41D25">
              <w:rPr>
                <w:lang w:val="en-GB"/>
              </w:rPr>
              <w:t>Occupied: 22%</w:t>
            </w:r>
          </w:p>
          <w:p w14:paraId="48186F49" w14:textId="77777777" w:rsidR="00D809B7" w:rsidRDefault="00D809B7" w:rsidP="0033476B">
            <w:pPr>
              <w:pStyle w:val="MDPI42tablebody"/>
              <w:rPr>
                <w:lang w:val="en-GB"/>
              </w:rPr>
            </w:pPr>
            <w:r w:rsidRPr="00D41D25">
              <w:rPr>
                <w:lang w:val="en-GB"/>
              </w:rPr>
              <w:t>Empty: 78%</w:t>
            </w:r>
          </w:p>
          <w:p w14:paraId="187D50B4" w14:textId="6751764C" w:rsidR="00E22B0E" w:rsidRPr="00D41D25" w:rsidRDefault="00E22B0E" w:rsidP="0033476B">
            <w:pPr>
              <w:pStyle w:val="MDPI42tablebody"/>
              <w:rPr>
                <w:lang w:val="en-GB"/>
              </w:rPr>
            </w:pPr>
            <w:r>
              <w:rPr>
                <w:lang w:val="en-GB"/>
              </w:rPr>
              <w:t>(n=30)</w:t>
            </w:r>
          </w:p>
        </w:tc>
        <w:tc>
          <w:tcPr>
            <w:tcW w:w="1062" w:type="pct"/>
          </w:tcPr>
          <w:p w14:paraId="1A8DC9AF" w14:textId="77777777" w:rsidR="00D809B7" w:rsidRPr="00D41D25" w:rsidRDefault="00D809B7" w:rsidP="0033476B">
            <w:pPr>
              <w:pStyle w:val="MDPI42tablebody"/>
              <w:rPr>
                <w:lang w:val="en-GB"/>
              </w:rPr>
            </w:pPr>
            <w:r w:rsidRPr="00D41D25">
              <w:rPr>
                <w:lang w:val="en-GB"/>
              </w:rPr>
              <w:t>Occupied: 19%</w:t>
            </w:r>
          </w:p>
          <w:p w14:paraId="671936FB" w14:textId="77777777" w:rsidR="00D809B7" w:rsidRDefault="00D809B7" w:rsidP="0033476B">
            <w:pPr>
              <w:pStyle w:val="MDPI42tablebody"/>
              <w:rPr>
                <w:lang w:val="en-GB"/>
              </w:rPr>
            </w:pPr>
            <w:r w:rsidRPr="00D41D25">
              <w:rPr>
                <w:lang w:val="en-GB"/>
              </w:rPr>
              <w:t>Empty: 81%</w:t>
            </w:r>
          </w:p>
          <w:p w14:paraId="4C7EEC35" w14:textId="21110CC5" w:rsidR="00E22B0E" w:rsidRPr="00D41D25" w:rsidRDefault="00E22B0E" w:rsidP="0033476B">
            <w:pPr>
              <w:pStyle w:val="MDPI42tablebody"/>
              <w:rPr>
                <w:lang w:val="en-GB"/>
              </w:rPr>
            </w:pPr>
            <w:r>
              <w:rPr>
                <w:lang w:val="en-GB"/>
              </w:rPr>
              <w:t>(n=79)</w:t>
            </w:r>
          </w:p>
        </w:tc>
        <w:tc>
          <w:tcPr>
            <w:tcW w:w="1062" w:type="pct"/>
          </w:tcPr>
          <w:p w14:paraId="3C38787C" w14:textId="77777777" w:rsidR="00D809B7" w:rsidRPr="00D41D25" w:rsidRDefault="00D809B7" w:rsidP="0033476B">
            <w:pPr>
              <w:pStyle w:val="MDPI42tablebody"/>
              <w:rPr>
                <w:lang w:val="en-GB"/>
              </w:rPr>
            </w:pPr>
            <w:r w:rsidRPr="00D41D25">
              <w:rPr>
                <w:lang w:val="en-GB"/>
              </w:rPr>
              <w:t>Occupied: 27%</w:t>
            </w:r>
          </w:p>
          <w:p w14:paraId="3F082DEF" w14:textId="77777777" w:rsidR="00D809B7" w:rsidRDefault="00D809B7" w:rsidP="0033476B">
            <w:pPr>
              <w:pStyle w:val="MDPI42tablebody"/>
              <w:rPr>
                <w:lang w:val="en-GB"/>
              </w:rPr>
            </w:pPr>
            <w:r w:rsidRPr="00D41D25">
              <w:rPr>
                <w:lang w:val="en-GB"/>
              </w:rPr>
              <w:t>Empty: 73%</w:t>
            </w:r>
          </w:p>
          <w:p w14:paraId="5D72EE9C" w14:textId="7C1E498F" w:rsidR="00E22B0E" w:rsidRPr="00D41D25" w:rsidRDefault="00E22B0E" w:rsidP="0033476B">
            <w:pPr>
              <w:pStyle w:val="MDPI42tablebody"/>
              <w:rPr>
                <w:lang w:val="en-GB"/>
              </w:rPr>
            </w:pPr>
            <w:r>
              <w:rPr>
                <w:lang w:val="en-GB"/>
              </w:rPr>
              <w:t>(n=132)</w:t>
            </w:r>
          </w:p>
        </w:tc>
        <w:tc>
          <w:tcPr>
            <w:tcW w:w="1062" w:type="pct"/>
          </w:tcPr>
          <w:p w14:paraId="1D38AE0A" w14:textId="77777777" w:rsidR="00D809B7" w:rsidRPr="00D41D25" w:rsidRDefault="00D809B7" w:rsidP="0033476B">
            <w:pPr>
              <w:pStyle w:val="MDPI42tablebody"/>
              <w:rPr>
                <w:lang w:val="en-GB"/>
              </w:rPr>
            </w:pPr>
            <w:r w:rsidRPr="00D41D25">
              <w:rPr>
                <w:lang w:val="en-GB"/>
              </w:rPr>
              <w:t>Occupied: 43%</w:t>
            </w:r>
          </w:p>
          <w:p w14:paraId="58E2B8EF" w14:textId="77777777" w:rsidR="00D809B7" w:rsidRDefault="00D809B7" w:rsidP="0033476B">
            <w:pPr>
              <w:pStyle w:val="MDPI42tablebody"/>
              <w:rPr>
                <w:lang w:val="en-GB"/>
              </w:rPr>
            </w:pPr>
            <w:r w:rsidRPr="00D41D25">
              <w:rPr>
                <w:lang w:val="en-GB"/>
              </w:rPr>
              <w:t>Empty: 57%</w:t>
            </w:r>
          </w:p>
          <w:p w14:paraId="22798788" w14:textId="512E0787" w:rsidR="00E22B0E" w:rsidRPr="00D41D25" w:rsidRDefault="00E22B0E" w:rsidP="0033476B">
            <w:pPr>
              <w:pStyle w:val="MDPI42tablebody"/>
              <w:rPr>
                <w:lang w:val="en-GB"/>
              </w:rPr>
            </w:pPr>
            <w:r>
              <w:rPr>
                <w:lang w:val="en-GB"/>
              </w:rPr>
              <w:t>(n=62)</w:t>
            </w:r>
          </w:p>
        </w:tc>
      </w:tr>
      <w:tr w:rsidR="00D809B7" w:rsidRPr="00D41D25" w14:paraId="574423D0" w14:textId="77777777" w:rsidTr="00A31457">
        <w:trPr>
          <w:trHeight w:val="896"/>
          <w:jc w:val="left"/>
        </w:trPr>
        <w:tc>
          <w:tcPr>
            <w:tcW w:w="751" w:type="pct"/>
            <w:hideMark/>
          </w:tcPr>
          <w:p w14:paraId="6551AF77" w14:textId="77777777" w:rsidR="00D809B7" w:rsidRPr="00D41D25" w:rsidRDefault="00D809B7" w:rsidP="0033476B">
            <w:pPr>
              <w:pStyle w:val="MDPI42tablebody"/>
              <w:rPr>
                <w:lang w:val="en-GB"/>
              </w:rPr>
            </w:pPr>
            <w:r w:rsidRPr="00D41D25">
              <w:rPr>
                <w:color w:val="000000" w:themeColor="dark1"/>
                <w:lang w:val="en-GB"/>
              </w:rPr>
              <w:t>H1, 2020</w:t>
            </w:r>
          </w:p>
        </w:tc>
        <w:tc>
          <w:tcPr>
            <w:tcW w:w="1062" w:type="pct"/>
          </w:tcPr>
          <w:p w14:paraId="09C55B79" w14:textId="77777777" w:rsidR="00D809B7" w:rsidRPr="00D41D25" w:rsidRDefault="00D809B7" w:rsidP="0033476B">
            <w:pPr>
              <w:pStyle w:val="MDPI42tablebody"/>
              <w:rPr>
                <w:lang w:val="en-GB"/>
              </w:rPr>
            </w:pPr>
            <w:r w:rsidRPr="00D41D25">
              <w:rPr>
                <w:lang w:val="en-GB"/>
              </w:rPr>
              <w:t>Occupied: 20%</w:t>
            </w:r>
          </w:p>
          <w:p w14:paraId="501A970A" w14:textId="77777777" w:rsidR="00D809B7" w:rsidRDefault="00D809B7" w:rsidP="0033476B">
            <w:pPr>
              <w:pStyle w:val="MDPI42tablebody"/>
              <w:rPr>
                <w:lang w:val="en-GB"/>
              </w:rPr>
            </w:pPr>
            <w:r w:rsidRPr="00D41D25">
              <w:rPr>
                <w:lang w:val="en-GB"/>
              </w:rPr>
              <w:t>Empty: 80%</w:t>
            </w:r>
          </w:p>
          <w:p w14:paraId="7352F25E" w14:textId="2A535797" w:rsidR="00E22B0E" w:rsidRPr="00D41D25" w:rsidRDefault="00E22B0E" w:rsidP="0033476B">
            <w:pPr>
              <w:pStyle w:val="MDPI42tablebody"/>
              <w:rPr>
                <w:lang w:val="en-GB"/>
              </w:rPr>
            </w:pPr>
            <w:r>
              <w:rPr>
                <w:lang w:val="en-GB"/>
              </w:rPr>
              <w:t>(n=8)</w:t>
            </w:r>
          </w:p>
        </w:tc>
        <w:tc>
          <w:tcPr>
            <w:tcW w:w="1062" w:type="pct"/>
          </w:tcPr>
          <w:p w14:paraId="5028EFF1" w14:textId="77777777" w:rsidR="00D809B7" w:rsidRPr="00D41D25" w:rsidRDefault="00D809B7" w:rsidP="0033476B">
            <w:pPr>
              <w:pStyle w:val="MDPI42tablebody"/>
              <w:rPr>
                <w:lang w:val="en-GB"/>
              </w:rPr>
            </w:pPr>
            <w:r w:rsidRPr="00D41D25">
              <w:rPr>
                <w:lang w:val="en-GB"/>
              </w:rPr>
              <w:t>Occupied: 28%</w:t>
            </w:r>
          </w:p>
          <w:p w14:paraId="63C90241" w14:textId="77777777" w:rsidR="00D809B7" w:rsidRDefault="00D809B7" w:rsidP="0033476B">
            <w:pPr>
              <w:pStyle w:val="MDPI42tablebody"/>
              <w:rPr>
                <w:lang w:val="en-GB"/>
              </w:rPr>
            </w:pPr>
            <w:r w:rsidRPr="00D41D25">
              <w:rPr>
                <w:lang w:val="en-GB"/>
              </w:rPr>
              <w:t>Empty: 72%</w:t>
            </w:r>
          </w:p>
          <w:p w14:paraId="4D89CAB0" w14:textId="65FF81C4" w:rsidR="00E22B0E" w:rsidRPr="00D41D25" w:rsidRDefault="00E22B0E" w:rsidP="0033476B">
            <w:pPr>
              <w:pStyle w:val="MDPI42tablebody"/>
              <w:rPr>
                <w:lang w:val="en-GB"/>
              </w:rPr>
            </w:pPr>
            <w:r>
              <w:rPr>
                <w:lang w:val="en-GB"/>
              </w:rPr>
              <w:t>(n=22)</w:t>
            </w:r>
          </w:p>
        </w:tc>
        <w:tc>
          <w:tcPr>
            <w:tcW w:w="1062" w:type="pct"/>
          </w:tcPr>
          <w:p w14:paraId="3A31AF7C" w14:textId="77777777" w:rsidR="00D809B7" w:rsidRPr="00D41D25" w:rsidRDefault="00D809B7" w:rsidP="0033476B">
            <w:pPr>
              <w:pStyle w:val="MDPI42tablebody"/>
              <w:rPr>
                <w:lang w:val="en-GB"/>
              </w:rPr>
            </w:pPr>
            <w:r w:rsidRPr="00D41D25">
              <w:rPr>
                <w:color w:val="000000" w:themeColor="dark1"/>
                <w:lang w:val="en-GB"/>
              </w:rPr>
              <w:t>N/A</w:t>
            </w:r>
          </w:p>
        </w:tc>
        <w:tc>
          <w:tcPr>
            <w:tcW w:w="1062" w:type="pct"/>
          </w:tcPr>
          <w:p w14:paraId="1F25F0F4" w14:textId="77777777" w:rsidR="00D809B7" w:rsidRPr="00D41D25" w:rsidRDefault="00D809B7" w:rsidP="0033476B">
            <w:pPr>
              <w:pStyle w:val="MDPI42tablebody"/>
              <w:rPr>
                <w:lang w:val="en-GB"/>
              </w:rPr>
            </w:pPr>
            <w:r w:rsidRPr="00D41D25">
              <w:rPr>
                <w:lang w:val="en-GB"/>
              </w:rPr>
              <w:t>Occupied: 29%</w:t>
            </w:r>
          </w:p>
          <w:p w14:paraId="3A62F43B" w14:textId="77777777" w:rsidR="00D809B7" w:rsidRDefault="00D809B7" w:rsidP="0033476B">
            <w:pPr>
              <w:pStyle w:val="MDPI42tablebody"/>
              <w:rPr>
                <w:lang w:val="en-GB"/>
              </w:rPr>
            </w:pPr>
            <w:r w:rsidRPr="00D41D25">
              <w:rPr>
                <w:lang w:val="en-GB"/>
              </w:rPr>
              <w:t>Empty: 71%</w:t>
            </w:r>
          </w:p>
          <w:p w14:paraId="0D99905E" w14:textId="3FCFC3A5" w:rsidR="00E22B0E" w:rsidRPr="00D41D25" w:rsidRDefault="00E22B0E" w:rsidP="0033476B">
            <w:pPr>
              <w:pStyle w:val="MDPI42tablebody"/>
              <w:rPr>
                <w:lang w:val="en-GB"/>
              </w:rPr>
            </w:pPr>
            <w:r>
              <w:rPr>
                <w:lang w:val="en-GB"/>
              </w:rPr>
              <w:t>(n=30)</w:t>
            </w:r>
          </w:p>
        </w:tc>
      </w:tr>
      <w:tr w:rsidR="00D809B7" w:rsidRPr="00D41D25" w14:paraId="4E7F10D4" w14:textId="77777777" w:rsidTr="00A31457">
        <w:trPr>
          <w:trHeight w:val="711"/>
          <w:jc w:val="left"/>
        </w:trPr>
        <w:tc>
          <w:tcPr>
            <w:tcW w:w="751" w:type="pct"/>
            <w:hideMark/>
          </w:tcPr>
          <w:p w14:paraId="6C1ECF35" w14:textId="77777777" w:rsidR="00D809B7" w:rsidRPr="00D41D25" w:rsidRDefault="00D809B7" w:rsidP="0033476B">
            <w:pPr>
              <w:pStyle w:val="MDPI42tablebody"/>
              <w:rPr>
                <w:lang w:val="en-GB"/>
              </w:rPr>
            </w:pPr>
            <w:r w:rsidRPr="00D41D25">
              <w:rPr>
                <w:color w:val="000000" w:themeColor="dark1"/>
                <w:lang w:val="en-GB"/>
              </w:rPr>
              <w:t>H2, 2020</w:t>
            </w:r>
          </w:p>
          <w:p w14:paraId="75000CA0" w14:textId="77777777" w:rsidR="00D809B7" w:rsidRPr="00D41D25" w:rsidRDefault="00D809B7" w:rsidP="0033476B">
            <w:pPr>
              <w:pStyle w:val="MDPI42tablebody"/>
              <w:rPr>
                <w:lang w:val="en-GB"/>
              </w:rPr>
            </w:pPr>
          </w:p>
        </w:tc>
        <w:tc>
          <w:tcPr>
            <w:tcW w:w="1062" w:type="pct"/>
          </w:tcPr>
          <w:p w14:paraId="1DF15761" w14:textId="77777777" w:rsidR="00D809B7" w:rsidRPr="00D41D25" w:rsidRDefault="00D809B7" w:rsidP="0033476B">
            <w:pPr>
              <w:pStyle w:val="MDPI42tablebody"/>
              <w:rPr>
                <w:lang w:val="en-GB"/>
              </w:rPr>
            </w:pPr>
            <w:r w:rsidRPr="00D41D25">
              <w:rPr>
                <w:lang w:val="en-GB"/>
              </w:rPr>
              <w:t>Occupied: 46%</w:t>
            </w:r>
          </w:p>
          <w:p w14:paraId="530C2577" w14:textId="77777777" w:rsidR="00D809B7" w:rsidRDefault="00D809B7" w:rsidP="0033476B">
            <w:pPr>
              <w:pStyle w:val="MDPI42tablebody"/>
              <w:rPr>
                <w:lang w:val="en-GB"/>
              </w:rPr>
            </w:pPr>
            <w:r w:rsidRPr="00D41D25">
              <w:rPr>
                <w:lang w:val="en-GB"/>
              </w:rPr>
              <w:t>Empty: 54%</w:t>
            </w:r>
          </w:p>
          <w:p w14:paraId="4EB1E474" w14:textId="259D977C" w:rsidR="009C14E4" w:rsidRPr="00D41D25" w:rsidRDefault="009C14E4" w:rsidP="0033476B">
            <w:pPr>
              <w:pStyle w:val="MDPI42tablebody"/>
              <w:rPr>
                <w:lang w:val="en-GB"/>
              </w:rPr>
            </w:pPr>
            <w:r>
              <w:rPr>
                <w:lang w:val="en-GB"/>
              </w:rPr>
              <w:t>(n=64)</w:t>
            </w:r>
          </w:p>
        </w:tc>
        <w:tc>
          <w:tcPr>
            <w:tcW w:w="1062" w:type="pct"/>
          </w:tcPr>
          <w:p w14:paraId="1996032B" w14:textId="77777777" w:rsidR="00D809B7" w:rsidRPr="00D41D25" w:rsidRDefault="00D809B7" w:rsidP="0033476B">
            <w:pPr>
              <w:pStyle w:val="MDPI42tablebody"/>
              <w:rPr>
                <w:lang w:val="en-GB"/>
              </w:rPr>
            </w:pPr>
            <w:r w:rsidRPr="00D41D25">
              <w:rPr>
                <w:color w:val="000000" w:themeColor="dark1"/>
                <w:lang w:val="en-GB"/>
              </w:rPr>
              <w:t>N/A</w:t>
            </w:r>
          </w:p>
        </w:tc>
        <w:tc>
          <w:tcPr>
            <w:tcW w:w="1062" w:type="pct"/>
          </w:tcPr>
          <w:p w14:paraId="2B0457F9" w14:textId="77777777" w:rsidR="00D809B7" w:rsidRPr="00D41D25" w:rsidRDefault="00D809B7" w:rsidP="0033476B">
            <w:pPr>
              <w:pStyle w:val="MDPI42tablebody"/>
              <w:rPr>
                <w:lang w:val="en-GB"/>
              </w:rPr>
            </w:pPr>
            <w:r w:rsidRPr="00D41D25">
              <w:rPr>
                <w:color w:val="000000" w:themeColor="dark1"/>
                <w:lang w:val="en-GB"/>
              </w:rPr>
              <w:t>N/A</w:t>
            </w:r>
          </w:p>
        </w:tc>
        <w:tc>
          <w:tcPr>
            <w:tcW w:w="1062" w:type="pct"/>
          </w:tcPr>
          <w:p w14:paraId="60AFACA5" w14:textId="77777777" w:rsidR="00D809B7" w:rsidRPr="00D41D25" w:rsidRDefault="00D809B7" w:rsidP="0033476B">
            <w:pPr>
              <w:pStyle w:val="MDPI42tablebody"/>
              <w:rPr>
                <w:lang w:val="en-GB"/>
              </w:rPr>
            </w:pPr>
            <w:r w:rsidRPr="00D41D25">
              <w:rPr>
                <w:color w:val="000000" w:themeColor="dark1"/>
                <w:lang w:val="en-GB"/>
              </w:rPr>
              <w:t>N/A</w:t>
            </w:r>
          </w:p>
        </w:tc>
      </w:tr>
      <w:tr w:rsidR="00D809B7" w:rsidRPr="00D41D25" w14:paraId="6C6EE707" w14:textId="77777777" w:rsidTr="004A791F">
        <w:trPr>
          <w:trHeight w:val="938"/>
          <w:jc w:val="left"/>
        </w:trPr>
        <w:tc>
          <w:tcPr>
            <w:tcW w:w="751" w:type="pct"/>
            <w:hideMark/>
          </w:tcPr>
          <w:p w14:paraId="7BB57B84" w14:textId="77777777" w:rsidR="00D809B7" w:rsidRPr="00D41D25" w:rsidRDefault="00D809B7" w:rsidP="0033476B">
            <w:pPr>
              <w:pStyle w:val="MDPI42tablebody"/>
              <w:rPr>
                <w:color w:val="000000" w:themeColor="dark1"/>
                <w:lang w:val="en-GB"/>
              </w:rPr>
            </w:pPr>
            <w:r w:rsidRPr="00D41D25">
              <w:rPr>
                <w:color w:val="000000" w:themeColor="dark1"/>
                <w:lang w:val="en-GB"/>
              </w:rPr>
              <w:t>H3, 2021</w:t>
            </w:r>
          </w:p>
          <w:p w14:paraId="7C50635F" w14:textId="77777777" w:rsidR="00D809B7" w:rsidRPr="00D41D25" w:rsidRDefault="00D809B7" w:rsidP="0033476B">
            <w:pPr>
              <w:pStyle w:val="MDPI42tablebody"/>
              <w:rPr>
                <w:lang w:val="en-GB"/>
              </w:rPr>
            </w:pPr>
          </w:p>
        </w:tc>
        <w:tc>
          <w:tcPr>
            <w:tcW w:w="1062" w:type="pct"/>
          </w:tcPr>
          <w:p w14:paraId="33012D6C" w14:textId="77777777" w:rsidR="00D809B7" w:rsidRPr="00D41D25" w:rsidRDefault="00D809B7" w:rsidP="0033476B">
            <w:pPr>
              <w:pStyle w:val="MDPI42tablebody"/>
              <w:rPr>
                <w:lang w:val="en-GB"/>
              </w:rPr>
            </w:pPr>
            <w:r w:rsidRPr="00D41D25">
              <w:rPr>
                <w:lang w:val="en-GB"/>
              </w:rPr>
              <w:t>Occupied: 40%</w:t>
            </w:r>
          </w:p>
          <w:p w14:paraId="24815C0F" w14:textId="77777777" w:rsidR="00D809B7" w:rsidRDefault="00D809B7" w:rsidP="0033476B">
            <w:pPr>
              <w:pStyle w:val="MDPI42tablebody"/>
              <w:rPr>
                <w:lang w:val="en-GB"/>
              </w:rPr>
            </w:pPr>
            <w:r w:rsidRPr="00D41D25">
              <w:rPr>
                <w:lang w:val="en-GB"/>
              </w:rPr>
              <w:t>Empty: 60%</w:t>
            </w:r>
          </w:p>
          <w:p w14:paraId="4F385017" w14:textId="1ED88B95" w:rsidR="009C14E4" w:rsidRPr="00D41D25" w:rsidRDefault="009C14E4" w:rsidP="0033476B">
            <w:pPr>
              <w:pStyle w:val="MDPI42tablebody"/>
              <w:rPr>
                <w:lang w:val="en-GB"/>
              </w:rPr>
            </w:pPr>
            <w:r>
              <w:rPr>
                <w:lang w:val="en-GB"/>
              </w:rPr>
              <w:t>(n=4)</w:t>
            </w:r>
          </w:p>
        </w:tc>
        <w:tc>
          <w:tcPr>
            <w:tcW w:w="1062" w:type="pct"/>
          </w:tcPr>
          <w:p w14:paraId="3E65639D" w14:textId="77777777" w:rsidR="00D809B7" w:rsidRPr="00D41D25" w:rsidRDefault="00D809B7" w:rsidP="0033476B">
            <w:pPr>
              <w:pStyle w:val="MDPI42tablebody"/>
              <w:rPr>
                <w:lang w:val="en-GB"/>
              </w:rPr>
            </w:pPr>
            <w:r w:rsidRPr="00D41D25">
              <w:rPr>
                <w:lang w:val="en-GB"/>
              </w:rPr>
              <w:t>Occupied: 33%</w:t>
            </w:r>
          </w:p>
          <w:p w14:paraId="7AAA7F01" w14:textId="77777777" w:rsidR="00D809B7" w:rsidRDefault="00D809B7" w:rsidP="0033476B">
            <w:pPr>
              <w:pStyle w:val="MDPI42tablebody"/>
              <w:rPr>
                <w:lang w:val="en-GB"/>
              </w:rPr>
            </w:pPr>
            <w:r w:rsidRPr="00D41D25">
              <w:rPr>
                <w:lang w:val="en-GB"/>
              </w:rPr>
              <w:t>Empty: 67%</w:t>
            </w:r>
          </w:p>
          <w:p w14:paraId="52AB4F08" w14:textId="40C5BF71" w:rsidR="009C14E4" w:rsidRPr="00D41D25" w:rsidRDefault="009C14E4" w:rsidP="0033476B">
            <w:pPr>
              <w:pStyle w:val="MDPI42tablebody"/>
              <w:rPr>
                <w:lang w:val="en-GB"/>
              </w:rPr>
            </w:pPr>
            <w:r>
              <w:rPr>
                <w:lang w:val="en-GB"/>
              </w:rPr>
              <w:t>(n=26)</w:t>
            </w:r>
          </w:p>
        </w:tc>
        <w:tc>
          <w:tcPr>
            <w:tcW w:w="1062" w:type="pct"/>
          </w:tcPr>
          <w:p w14:paraId="1103CD4F" w14:textId="77777777" w:rsidR="00D809B7" w:rsidRPr="00D41D25" w:rsidRDefault="00D809B7" w:rsidP="0033476B">
            <w:pPr>
              <w:pStyle w:val="MDPI42tablebody"/>
              <w:rPr>
                <w:lang w:val="en-GB"/>
              </w:rPr>
            </w:pPr>
            <w:r w:rsidRPr="00D41D25">
              <w:rPr>
                <w:color w:val="000000" w:themeColor="dark1"/>
                <w:lang w:val="en-GB"/>
              </w:rPr>
              <w:t>N/A</w:t>
            </w:r>
          </w:p>
        </w:tc>
        <w:tc>
          <w:tcPr>
            <w:tcW w:w="1062" w:type="pct"/>
          </w:tcPr>
          <w:p w14:paraId="59E81CA6" w14:textId="77777777" w:rsidR="00D809B7" w:rsidRPr="00D41D25" w:rsidRDefault="00D809B7" w:rsidP="0033476B">
            <w:pPr>
              <w:pStyle w:val="MDPI42tablebody"/>
              <w:rPr>
                <w:lang w:val="en-GB"/>
              </w:rPr>
            </w:pPr>
            <w:r w:rsidRPr="00D41D25">
              <w:rPr>
                <w:lang w:val="en-GB"/>
              </w:rPr>
              <w:t>Occupied: 35%</w:t>
            </w:r>
          </w:p>
          <w:p w14:paraId="3986AC0E" w14:textId="77777777" w:rsidR="00D809B7" w:rsidRDefault="00D809B7" w:rsidP="0033476B">
            <w:pPr>
              <w:pStyle w:val="MDPI42tablebody"/>
              <w:rPr>
                <w:lang w:val="en-GB"/>
              </w:rPr>
            </w:pPr>
            <w:r w:rsidRPr="00D41D25">
              <w:rPr>
                <w:lang w:val="en-GB"/>
              </w:rPr>
              <w:t>Empty: 65%</w:t>
            </w:r>
          </w:p>
          <w:p w14:paraId="389FFB0D" w14:textId="122AC5D0" w:rsidR="009C14E4" w:rsidRPr="00D41D25" w:rsidRDefault="009C14E4" w:rsidP="0033476B">
            <w:pPr>
              <w:pStyle w:val="MDPI42tablebody"/>
              <w:rPr>
                <w:lang w:val="en-GB"/>
              </w:rPr>
            </w:pPr>
            <w:r>
              <w:rPr>
                <w:lang w:val="en-GB"/>
              </w:rPr>
              <w:t>(n=47)</w:t>
            </w:r>
          </w:p>
        </w:tc>
      </w:tr>
      <w:tr w:rsidR="00D809B7" w:rsidRPr="00D41D25" w14:paraId="592D6982" w14:textId="77777777" w:rsidTr="007C7BD9">
        <w:trPr>
          <w:trHeight w:val="711"/>
          <w:jc w:val="left"/>
        </w:trPr>
        <w:tc>
          <w:tcPr>
            <w:tcW w:w="751" w:type="pct"/>
            <w:tcBorders>
              <w:bottom w:val="single" w:sz="4" w:space="0" w:color="auto"/>
            </w:tcBorders>
          </w:tcPr>
          <w:p w14:paraId="75A1F86B" w14:textId="77777777" w:rsidR="00D809B7" w:rsidRPr="00D41D25" w:rsidRDefault="00D809B7" w:rsidP="0033476B">
            <w:pPr>
              <w:pStyle w:val="MDPI42tablebody"/>
              <w:rPr>
                <w:color w:val="000000" w:themeColor="dark1"/>
                <w:lang w:val="en-GB"/>
              </w:rPr>
            </w:pPr>
            <w:r w:rsidRPr="00D41D25">
              <w:rPr>
                <w:color w:val="000000" w:themeColor="dark1"/>
                <w:lang w:val="en-GB"/>
              </w:rPr>
              <w:t>Total</w:t>
            </w:r>
          </w:p>
        </w:tc>
        <w:tc>
          <w:tcPr>
            <w:tcW w:w="1062" w:type="pct"/>
            <w:tcBorders>
              <w:bottom w:val="single" w:sz="4" w:space="0" w:color="auto"/>
            </w:tcBorders>
          </w:tcPr>
          <w:p w14:paraId="61C40AE5" w14:textId="77777777" w:rsidR="00D809B7" w:rsidRPr="00D41D25" w:rsidRDefault="00D809B7" w:rsidP="0033476B">
            <w:pPr>
              <w:pStyle w:val="MDPI42tablebody"/>
              <w:rPr>
                <w:lang w:val="en-GB"/>
              </w:rPr>
            </w:pPr>
            <w:r w:rsidRPr="00D41D25">
              <w:rPr>
                <w:lang w:val="en-GB"/>
              </w:rPr>
              <w:t>Occupied: 37%</w:t>
            </w:r>
          </w:p>
          <w:p w14:paraId="245F6C1E" w14:textId="77777777" w:rsidR="00D809B7" w:rsidRDefault="00D809B7" w:rsidP="0033476B">
            <w:pPr>
              <w:pStyle w:val="MDPI42tablebody"/>
              <w:rPr>
                <w:lang w:val="en-GB"/>
              </w:rPr>
            </w:pPr>
            <w:r w:rsidRPr="00D41D25">
              <w:rPr>
                <w:lang w:val="en-GB"/>
              </w:rPr>
              <w:t>Empty: 63%</w:t>
            </w:r>
          </w:p>
          <w:p w14:paraId="38E2CDEE" w14:textId="4882CA48" w:rsidR="004A791F" w:rsidRPr="00D41D25" w:rsidRDefault="004A791F" w:rsidP="0033476B">
            <w:pPr>
              <w:pStyle w:val="MDPI42tablebody"/>
              <w:rPr>
                <w:lang w:val="en-GB"/>
              </w:rPr>
            </w:pPr>
            <w:r>
              <w:rPr>
                <w:lang w:val="en-GB"/>
              </w:rPr>
              <w:t>(n=106)</w:t>
            </w:r>
          </w:p>
        </w:tc>
        <w:tc>
          <w:tcPr>
            <w:tcW w:w="1062" w:type="pct"/>
            <w:tcBorders>
              <w:bottom w:val="single" w:sz="4" w:space="0" w:color="auto"/>
            </w:tcBorders>
          </w:tcPr>
          <w:p w14:paraId="7002FC06" w14:textId="77777777" w:rsidR="00D809B7" w:rsidRPr="00D41D25" w:rsidRDefault="00D809B7" w:rsidP="0033476B">
            <w:pPr>
              <w:pStyle w:val="MDPI42tablebody"/>
              <w:rPr>
                <w:lang w:val="en-GB"/>
              </w:rPr>
            </w:pPr>
            <w:r w:rsidRPr="00D41D25">
              <w:rPr>
                <w:lang w:val="en-GB"/>
              </w:rPr>
              <w:t>Occupied: 23%</w:t>
            </w:r>
          </w:p>
          <w:p w14:paraId="2B829A25" w14:textId="77777777" w:rsidR="00D809B7" w:rsidRDefault="00D809B7" w:rsidP="0033476B">
            <w:pPr>
              <w:pStyle w:val="MDPI42tablebody"/>
              <w:rPr>
                <w:lang w:val="en-GB"/>
              </w:rPr>
            </w:pPr>
            <w:r w:rsidRPr="00D41D25">
              <w:rPr>
                <w:lang w:val="en-GB"/>
              </w:rPr>
              <w:t>Empty: 77%</w:t>
            </w:r>
          </w:p>
          <w:p w14:paraId="3D8B66D8" w14:textId="7C35C6CF" w:rsidR="004A791F" w:rsidRPr="00D41D25" w:rsidRDefault="004A791F" w:rsidP="0033476B">
            <w:pPr>
              <w:pStyle w:val="MDPI42tablebody"/>
              <w:rPr>
                <w:lang w:val="en-GB"/>
              </w:rPr>
            </w:pPr>
            <w:r>
              <w:rPr>
                <w:lang w:val="en-GB"/>
              </w:rPr>
              <w:t>(n=127)</w:t>
            </w:r>
          </w:p>
        </w:tc>
        <w:tc>
          <w:tcPr>
            <w:tcW w:w="1062" w:type="pct"/>
            <w:tcBorders>
              <w:bottom w:val="single" w:sz="4" w:space="0" w:color="auto"/>
            </w:tcBorders>
          </w:tcPr>
          <w:p w14:paraId="27F53F44" w14:textId="77777777" w:rsidR="00D809B7" w:rsidRPr="00D41D25" w:rsidRDefault="00D809B7" w:rsidP="0033476B">
            <w:pPr>
              <w:pStyle w:val="MDPI42tablebody"/>
              <w:rPr>
                <w:lang w:val="en-GB"/>
              </w:rPr>
            </w:pPr>
            <w:r w:rsidRPr="00D41D25">
              <w:rPr>
                <w:lang w:val="en-GB"/>
              </w:rPr>
              <w:t>Occupied: 27%</w:t>
            </w:r>
          </w:p>
          <w:p w14:paraId="779D3862" w14:textId="77777777" w:rsidR="00D809B7" w:rsidRDefault="00D809B7" w:rsidP="0033476B">
            <w:pPr>
              <w:pStyle w:val="MDPI42tablebody"/>
              <w:rPr>
                <w:lang w:val="en-GB"/>
              </w:rPr>
            </w:pPr>
            <w:r w:rsidRPr="00D41D25">
              <w:rPr>
                <w:lang w:val="en-GB"/>
              </w:rPr>
              <w:t>Empty: 73%</w:t>
            </w:r>
          </w:p>
          <w:p w14:paraId="0688E288" w14:textId="003EF077" w:rsidR="004A791F" w:rsidRPr="00D41D25" w:rsidRDefault="004A791F" w:rsidP="0033476B">
            <w:pPr>
              <w:pStyle w:val="MDPI42tablebody"/>
              <w:rPr>
                <w:color w:val="000000" w:themeColor="dark1"/>
                <w:lang w:val="en-GB"/>
              </w:rPr>
            </w:pPr>
            <w:r>
              <w:rPr>
                <w:color w:val="000000" w:themeColor="dark1"/>
                <w:lang w:val="en-GB"/>
              </w:rPr>
              <w:t>(n=132)</w:t>
            </w:r>
          </w:p>
        </w:tc>
        <w:tc>
          <w:tcPr>
            <w:tcW w:w="1062" w:type="pct"/>
            <w:tcBorders>
              <w:bottom w:val="single" w:sz="4" w:space="0" w:color="auto"/>
            </w:tcBorders>
          </w:tcPr>
          <w:p w14:paraId="4C67322E" w14:textId="77777777" w:rsidR="00D809B7" w:rsidRPr="00D41D25" w:rsidRDefault="00D809B7" w:rsidP="0033476B">
            <w:pPr>
              <w:pStyle w:val="MDPI42tablebody"/>
              <w:rPr>
                <w:lang w:val="en-GB"/>
              </w:rPr>
            </w:pPr>
            <w:r w:rsidRPr="00D41D25">
              <w:rPr>
                <w:lang w:val="en-GB"/>
              </w:rPr>
              <w:t>Occupied: 37%</w:t>
            </w:r>
          </w:p>
          <w:p w14:paraId="346BDC0D" w14:textId="77777777" w:rsidR="00D809B7" w:rsidRDefault="00D809B7" w:rsidP="0033476B">
            <w:pPr>
              <w:pStyle w:val="MDPI42tablebody"/>
              <w:rPr>
                <w:lang w:val="en-GB"/>
              </w:rPr>
            </w:pPr>
            <w:r w:rsidRPr="00D41D25">
              <w:rPr>
                <w:lang w:val="en-GB"/>
              </w:rPr>
              <w:t>Empty: 63%</w:t>
            </w:r>
          </w:p>
          <w:p w14:paraId="2DFCE016" w14:textId="0E5595C2" w:rsidR="004A791F" w:rsidRPr="00D41D25" w:rsidRDefault="004A791F" w:rsidP="0033476B">
            <w:pPr>
              <w:pStyle w:val="MDPI42tablebody"/>
              <w:rPr>
                <w:lang w:val="en-GB"/>
              </w:rPr>
            </w:pPr>
            <w:r>
              <w:rPr>
                <w:lang w:val="en-GB"/>
              </w:rPr>
              <w:t>(n=139)</w:t>
            </w:r>
          </w:p>
        </w:tc>
      </w:tr>
      <w:tr w:rsidR="007C7BD9" w:rsidRPr="00D41D25" w14:paraId="1913F7DC" w14:textId="77777777" w:rsidTr="007C7BD9">
        <w:trPr>
          <w:trHeight w:val="266"/>
          <w:jc w:val="left"/>
        </w:trPr>
        <w:tc>
          <w:tcPr>
            <w:tcW w:w="5000" w:type="pct"/>
            <w:gridSpan w:val="5"/>
            <w:tcBorders>
              <w:top w:val="single" w:sz="4" w:space="0" w:color="auto"/>
              <w:left w:val="nil"/>
              <w:bottom w:val="single" w:sz="4" w:space="0" w:color="auto"/>
              <w:right w:val="nil"/>
            </w:tcBorders>
          </w:tcPr>
          <w:p w14:paraId="55D64B4F" w14:textId="6880193B" w:rsidR="007C7BD9" w:rsidRPr="00D41D25" w:rsidRDefault="007C7BD9" w:rsidP="0033476B">
            <w:pPr>
              <w:pStyle w:val="MDPI42tablebody"/>
              <w:rPr>
                <w:lang w:val="en-GB"/>
              </w:rPr>
            </w:pPr>
            <w:r w:rsidRPr="007C7BD9">
              <w:rPr>
                <w:lang w:val="en-GB"/>
              </w:rPr>
              <w:t>Note: Workstations not assigned by physician types are not included in this table.</w:t>
            </w:r>
          </w:p>
        </w:tc>
      </w:tr>
    </w:tbl>
    <w:p w14:paraId="2BDE2039" w14:textId="6383370B" w:rsidR="00C43F61" w:rsidRPr="00D41D25" w:rsidRDefault="00C43F61" w:rsidP="0029420B">
      <w:pPr>
        <w:pStyle w:val="MDPI31text"/>
        <w:rPr>
          <w:rFonts w:ascii="Georgia" w:eastAsiaTheme="minorEastAsia" w:hAnsi="Georgia" w:cs="Arial"/>
          <w:lang w:val="en-GB"/>
        </w:rPr>
      </w:pPr>
    </w:p>
    <w:p w14:paraId="13F18A99" w14:textId="77777777" w:rsidR="00412BF3" w:rsidRDefault="00412BF3">
      <w:pPr>
        <w:spacing w:line="240" w:lineRule="auto"/>
        <w:jc w:val="left"/>
        <w:rPr>
          <w:rFonts w:ascii="Georgia" w:eastAsiaTheme="minorEastAsia" w:hAnsi="Georgia"/>
          <w:snapToGrid w:val="0"/>
          <w:szCs w:val="22"/>
          <w:lang w:val="en-GB" w:eastAsia="de-DE" w:bidi="en-US"/>
        </w:rPr>
      </w:pPr>
      <w:r>
        <w:rPr>
          <w:rFonts w:eastAsiaTheme="minorEastAsia"/>
          <w:lang w:val="en-GB"/>
        </w:rPr>
        <w:br w:type="page"/>
      </w:r>
    </w:p>
    <w:p w14:paraId="695C5E4D" w14:textId="4B5B9860" w:rsidR="0002456C" w:rsidRPr="00D41D25" w:rsidRDefault="002B7D32" w:rsidP="0033476B">
      <w:pPr>
        <w:pStyle w:val="MDPI22heading2"/>
        <w:rPr>
          <w:rFonts w:eastAsiaTheme="minorEastAsia"/>
          <w:lang w:val="en-GB"/>
        </w:rPr>
      </w:pPr>
      <w:r w:rsidRPr="00D41D25">
        <w:rPr>
          <w:rFonts w:eastAsiaTheme="minorEastAsia"/>
          <w:lang w:val="en-GB"/>
        </w:rPr>
        <w:lastRenderedPageBreak/>
        <w:t xml:space="preserve">3.2. Activities </w:t>
      </w:r>
      <w:r w:rsidR="0002456C" w:rsidRPr="00D41D25">
        <w:rPr>
          <w:rFonts w:eastAsiaTheme="minorEastAsia"/>
          <w:lang w:val="en-GB"/>
        </w:rPr>
        <w:t xml:space="preserve">of </w:t>
      </w:r>
      <w:r w:rsidR="009626BE" w:rsidRPr="0033476B">
        <w:rPr>
          <w:rFonts w:eastAsiaTheme="minorEastAsia"/>
        </w:rPr>
        <w:t>occupants</w:t>
      </w:r>
      <w:r w:rsidR="0002456C" w:rsidRPr="00D41D25">
        <w:rPr>
          <w:rFonts w:eastAsiaTheme="minorEastAsia"/>
          <w:lang w:val="en-GB"/>
        </w:rPr>
        <w:t xml:space="preserve"> in hospitals</w:t>
      </w:r>
    </w:p>
    <w:p w14:paraId="00335A5C" w14:textId="2C2D463A" w:rsidR="002B7D32" w:rsidRPr="00D41D25" w:rsidRDefault="00C23AB7" w:rsidP="00810814">
      <w:pPr>
        <w:pStyle w:val="MDPI31text"/>
        <w:rPr>
          <w:rFonts w:ascii="Georgia" w:eastAsiaTheme="minorEastAsia" w:hAnsi="Georgia" w:cs="Arial"/>
          <w:lang w:val="en-GB"/>
        </w:rPr>
      </w:pPr>
      <w:r w:rsidRPr="00D41D25">
        <w:rPr>
          <w:rFonts w:ascii="Georgia" w:eastAsiaTheme="minorEastAsia" w:hAnsi="Georgia" w:cs="Arial"/>
          <w:lang w:val="en-GB"/>
        </w:rPr>
        <w:t xml:space="preserve">A frequency analysis of </w:t>
      </w:r>
      <w:r w:rsidR="000D3491" w:rsidRPr="00D41D25">
        <w:rPr>
          <w:rFonts w:ascii="Georgia" w:eastAsiaTheme="minorEastAsia" w:hAnsi="Georgia" w:cs="Arial"/>
          <w:lang w:val="en-GB"/>
        </w:rPr>
        <w:t xml:space="preserve">occupants’ </w:t>
      </w:r>
      <w:r w:rsidRPr="00D41D25">
        <w:rPr>
          <w:rFonts w:ascii="Georgia" w:eastAsiaTheme="minorEastAsia" w:hAnsi="Georgia" w:cs="Arial"/>
          <w:lang w:val="en-GB"/>
        </w:rPr>
        <w:t>activities in hospital</w:t>
      </w:r>
      <w:r w:rsidR="000D3491" w:rsidRPr="00D41D25">
        <w:rPr>
          <w:rFonts w:ascii="Georgia" w:eastAsiaTheme="minorEastAsia" w:hAnsi="Georgia" w:cs="Arial"/>
          <w:lang w:val="en-GB"/>
        </w:rPr>
        <w:t xml:space="preserve"> offices</w:t>
      </w:r>
      <w:r w:rsidRPr="00D41D25">
        <w:rPr>
          <w:rFonts w:ascii="Georgia" w:eastAsiaTheme="minorEastAsia" w:hAnsi="Georgia" w:cs="Arial"/>
          <w:lang w:val="en-GB"/>
        </w:rPr>
        <w:t xml:space="preserve"> was conducted.</w:t>
      </w:r>
      <w:r w:rsidR="000D3491" w:rsidRPr="00D41D25">
        <w:rPr>
          <w:rFonts w:ascii="Georgia" w:eastAsiaTheme="minorEastAsia" w:hAnsi="Georgia" w:cs="Arial"/>
          <w:lang w:val="en-GB"/>
        </w:rPr>
        <w:t xml:space="preserve"> A</w:t>
      </w:r>
      <w:r w:rsidRPr="00D41D25">
        <w:rPr>
          <w:rFonts w:ascii="Georgia" w:eastAsiaTheme="minorEastAsia" w:hAnsi="Georgia" w:cs="Arial"/>
          <w:lang w:val="en-GB"/>
        </w:rPr>
        <w:t xml:space="preserve">ctivities were </w:t>
      </w:r>
      <w:proofErr w:type="spellStart"/>
      <w:r w:rsidRPr="00D41D25">
        <w:rPr>
          <w:rFonts w:ascii="Georgia" w:eastAsiaTheme="minorEastAsia" w:hAnsi="Georgia" w:cs="Arial"/>
          <w:lang w:val="en-GB"/>
        </w:rPr>
        <w:t>analyzed</w:t>
      </w:r>
      <w:proofErr w:type="spellEnd"/>
      <w:r w:rsidRPr="00D41D25">
        <w:rPr>
          <w:rFonts w:ascii="Georgia" w:eastAsiaTheme="minorEastAsia" w:hAnsi="Georgia" w:cs="Arial"/>
          <w:lang w:val="en-GB"/>
        </w:rPr>
        <w:t xml:space="preserve"> in</w:t>
      </w:r>
      <w:r w:rsidR="000D3491" w:rsidRPr="00D41D25">
        <w:rPr>
          <w:rFonts w:ascii="Georgia" w:eastAsiaTheme="minorEastAsia" w:hAnsi="Georgia" w:cs="Arial"/>
          <w:lang w:val="en-GB"/>
        </w:rPr>
        <w:t xml:space="preserve"> the same</w:t>
      </w:r>
      <w:r w:rsidRPr="00D41D25">
        <w:rPr>
          <w:rFonts w:ascii="Georgia" w:eastAsiaTheme="minorEastAsia" w:hAnsi="Georgia" w:cs="Arial"/>
          <w:lang w:val="en-GB"/>
        </w:rPr>
        <w:t xml:space="preserve"> four groups</w:t>
      </w:r>
      <w:r w:rsidR="000D3491" w:rsidRPr="00D41D25">
        <w:rPr>
          <w:rFonts w:ascii="Georgia" w:eastAsiaTheme="minorEastAsia" w:hAnsi="Georgia" w:cs="Arial"/>
          <w:lang w:val="en-GB"/>
        </w:rPr>
        <w:t xml:space="preserve"> as occupancy</w:t>
      </w:r>
      <w:r w:rsidRPr="00D41D25">
        <w:rPr>
          <w:rFonts w:ascii="Georgia" w:eastAsiaTheme="minorEastAsia" w:hAnsi="Georgia" w:cs="Arial"/>
          <w:lang w:val="en-GB"/>
        </w:rPr>
        <w:t xml:space="preserve">: chief physician </w:t>
      </w:r>
      <w:r w:rsidR="00CD2B88">
        <w:rPr>
          <w:rFonts w:ascii="Georgia" w:eastAsiaTheme="minorEastAsia" w:hAnsi="Georgia" w:cs="Arial"/>
          <w:lang w:val="en-GB"/>
        </w:rPr>
        <w:t>and</w:t>
      </w:r>
      <w:r w:rsidR="00CD2B88" w:rsidRPr="00D41D25">
        <w:rPr>
          <w:rFonts w:ascii="Georgia" w:eastAsiaTheme="minorEastAsia" w:hAnsi="Georgia" w:cs="Arial"/>
          <w:lang w:val="en-GB"/>
        </w:rPr>
        <w:t xml:space="preserve"> </w:t>
      </w:r>
      <w:r w:rsidRPr="00D41D25">
        <w:rPr>
          <w:rFonts w:ascii="Georgia" w:eastAsiaTheme="minorEastAsia" w:hAnsi="Georgia" w:cs="Arial"/>
          <w:lang w:val="en-GB"/>
        </w:rPr>
        <w:t xml:space="preserve">chief of service; resident physician </w:t>
      </w:r>
      <w:r w:rsidR="00CD2B88">
        <w:rPr>
          <w:rFonts w:ascii="Georgia" w:eastAsiaTheme="minorEastAsia" w:hAnsi="Georgia" w:cs="Arial"/>
          <w:lang w:val="en-GB"/>
        </w:rPr>
        <w:t>and</w:t>
      </w:r>
      <w:r w:rsidR="00CD2B88" w:rsidRPr="00D41D25">
        <w:rPr>
          <w:rFonts w:ascii="Georgia" w:eastAsiaTheme="minorEastAsia" w:hAnsi="Georgia" w:cs="Arial"/>
          <w:lang w:val="en-GB"/>
        </w:rPr>
        <w:t xml:space="preserve"> </w:t>
      </w:r>
      <w:r w:rsidRPr="00D41D25">
        <w:rPr>
          <w:rFonts w:ascii="Georgia" w:eastAsiaTheme="minorEastAsia" w:hAnsi="Georgia" w:cs="Arial"/>
          <w:lang w:val="en-GB"/>
        </w:rPr>
        <w:t xml:space="preserve">attending physician; nursing staff </w:t>
      </w:r>
      <w:r w:rsidR="00CD2B88">
        <w:rPr>
          <w:rFonts w:ascii="Georgia" w:eastAsiaTheme="minorEastAsia" w:hAnsi="Georgia" w:cs="Arial"/>
          <w:lang w:val="en-GB"/>
        </w:rPr>
        <w:t>and</w:t>
      </w:r>
      <w:r w:rsidR="00CD2B88" w:rsidRPr="00D41D25">
        <w:rPr>
          <w:rFonts w:ascii="Georgia" w:eastAsiaTheme="minorEastAsia" w:hAnsi="Georgia" w:cs="Arial"/>
          <w:lang w:val="en-GB"/>
        </w:rPr>
        <w:t xml:space="preserve"> </w:t>
      </w:r>
      <w:r w:rsidRPr="00D41D25">
        <w:rPr>
          <w:rFonts w:ascii="Georgia" w:eastAsiaTheme="minorEastAsia" w:hAnsi="Georgia" w:cs="Arial"/>
          <w:lang w:val="en-GB"/>
        </w:rPr>
        <w:t xml:space="preserve">therapists; management/administrative staff. Figure 1 shows the percentile of activities regarding physician types and other hospital employee types and illustrates a similar proportion of activities for the four groups. The most </w:t>
      </w:r>
      <w:r w:rsidR="000D3491" w:rsidRPr="00D41D25">
        <w:rPr>
          <w:rFonts w:ascii="Georgia" w:eastAsiaTheme="minorEastAsia" w:hAnsi="Georgia" w:cs="Arial"/>
          <w:lang w:val="en-GB"/>
        </w:rPr>
        <w:t xml:space="preserve">frequent </w:t>
      </w:r>
      <w:r w:rsidRPr="00D41D25">
        <w:rPr>
          <w:rFonts w:ascii="Georgia" w:eastAsiaTheme="minorEastAsia" w:hAnsi="Georgia" w:cs="Arial"/>
          <w:lang w:val="en-GB"/>
        </w:rPr>
        <w:t>activities were deskwork</w:t>
      </w:r>
      <w:r w:rsidR="00385E07">
        <w:rPr>
          <w:rFonts w:ascii="Georgia" w:eastAsiaTheme="minorEastAsia" w:hAnsi="Georgia" w:cs="Arial"/>
          <w:lang w:val="en-GB"/>
        </w:rPr>
        <w:t>,</w:t>
      </w:r>
      <w:r w:rsidRPr="00D41D25">
        <w:rPr>
          <w:rFonts w:ascii="Georgia" w:eastAsiaTheme="minorEastAsia" w:hAnsi="Georgia" w:cs="Arial"/>
          <w:lang w:val="en-GB"/>
        </w:rPr>
        <w:t xml:space="preserve"> with more than half of all activities during the observation. Especially </w:t>
      </w:r>
      <w:r w:rsidR="00A64717">
        <w:rPr>
          <w:rFonts w:ascii="Georgia" w:eastAsiaTheme="minorEastAsia" w:hAnsi="Georgia" w:cs="Arial"/>
          <w:lang w:val="en-GB"/>
        </w:rPr>
        <w:t xml:space="preserve">the </w:t>
      </w:r>
      <w:r w:rsidRPr="00D41D25">
        <w:rPr>
          <w:rFonts w:ascii="Georgia" w:eastAsiaTheme="minorEastAsia" w:hAnsi="Georgia" w:cs="Arial"/>
          <w:lang w:val="en-GB"/>
        </w:rPr>
        <w:t xml:space="preserve">resident physician </w:t>
      </w:r>
      <w:r w:rsidR="00A64717">
        <w:rPr>
          <w:rFonts w:ascii="Georgia" w:eastAsiaTheme="minorEastAsia" w:hAnsi="Georgia" w:cs="Arial"/>
          <w:lang w:val="en-GB"/>
        </w:rPr>
        <w:t>and</w:t>
      </w:r>
      <w:r w:rsidR="00A64717" w:rsidRPr="00D41D25">
        <w:rPr>
          <w:rFonts w:ascii="Georgia" w:eastAsiaTheme="minorEastAsia" w:hAnsi="Georgia" w:cs="Arial"/>
          <w:lang w:val="en-GB"/>
        </w:rPr>
        <w:t xml:space="preserve"> </w:t>
      </w:r>
      <w:r w:rsidRPr="00D41D25">
        <w:rPr>
          <w:rFonts w:ascii="Georgia" w:eastAsiaTheme="minorEastAsia" w:hAnsi="Georgia" w:cs="Arial"/>
          <w:lang w:val="en-GB"/>
        </w:rPr>
        <w:t>attending physician were</w:t>
      </w:r>
      <w:r w:rsidR="000D3491" w:rsidRPr="00D41D25">
        <w:rPr>
          <w:rFonts w:ascii="Georgia" w:eastAsiaTheme="minorEastAsia" w:hAnsi="Georgia" w:cs="Arial"/>
          <w:lang w:val="en-GB"/>
        </w:rPr>
        <w:t xml:space="preserve"> observed</w:t>
      </w:r>
      <w:r w:rsidRPr="00D41D25">
        <w:rPr>
          <w:rFonts w:ascii="Georgia" w:eastAsiaTheme="minorEastAsia" w:hAnsi="Georgia" w:cs="Arial"/>
          <w:lang w:val="en-GB"/>
        </w:rPr>
        <w:t xml:space="preserve"> at deskwork for 74% of the observed time. The second most observed </w:t>
      </w:r>
      <w:proofErr w:type="spellStart"/>
      <w:r w:rsidRPr="00D41D25">
        <w:rPr>
          <w:rFonts w:ascii="Georgia" w:eastAsiaTheme="minorEastAsia" w:hAnsi="Georgia" w:cs="Arial"/>
          <w:lang w:val="en-GB"/>
        </w:rPr>
        <w:t>activitie</w:t>
      </w:r>
      <w:proofErr w:type="spellEnd"/>
      <w:r w:rsidRPr="00D41D25">
        <w:rPr>
          <w:rFonts w:ascii="Georgia" w:eastAsiaTheme="minorEastAsia" w:hAnsi="Georgia" w:cs="Arial"/>
          <w:lang w:val="en-GB"/>
        </w:rPr>
        <w:t xml:space="preserve"> </w:t>
      </w:r>
      <w:r w:rsidR="00E52252">
        <w:rPr>
          <w:rFonts w:ascii="Georgia" w:eastAsiaTheme="minorEastAsia" w:hAnsi="Georgia" w:cs="Arial"/>
          <w:lang w:val="en-GB"/>
        </w:rPr>
        <w:t>was</w:t>
      </w:r>
      <w:r w:rsidR="00E52252" w:rsidRPr="00D41D25">
        <w:rPr>
          <w:rFonts w:ascii="Georgia" w:eastAsiaTheme="minorEastAsia" w:hAnsi="Georgia" w:cs="Arial"/>
          <w:lang w:val="en-GB"/>
        </w:rPr>
        <w:t xml:space="preserve"> </w:t>
      </w:r>
      <w:r w:rsidRPr="00D41D25">
        <w:rPr>
          <w:rFonts w:ascii="Georgia" w:eastAsiaTheme="minorEastAsia" w:hAnsi="Georgia" w:cs="Arial"/>
          <w:lang w:val="en-GB"/>
        </w:rPr>
        <w:t xml:space="preserve">communication onsite. Communication onsite of </w:t>
      </w:r>
      <w:r w:rsidR="00F8164C">
        <w:rPr>
          <w:rFonts w:ascii="Georgia" w:eastAsiaTheme="minorEastAsia" w:hAnsi="Georgia" w:cs="Arial"/>
          <w:lang w:val="en-GB"/>
        </w:rPr>
        <w:t xml:space="preserve">the </w:t>
      </w:r>
      <w:r w:rsidRPr="00D41D25">
        <w:rPr>
          <w:rFonts w:ascii="Georgia" w:eastAsiaTheme="minorEastAsia" w:hAnsi="Georgia" w:cs="Arial"/>
          <w:lang w:val="en-GB"/>
        </w:rPr>
        <w:t xml:space="preserve">resident physician </w:t>
      </w:r>
      <w:r w:rsidR="00E52252">
        <w:rPr>
          <w:rFonts w:ascii="Georgia" w:eastAsiaTheme="minorEastAsia" w:hAnsi="Georgia" w:cs="Arial"/>
          <w:lang w:val="en-GB"/>
        </w:rPr>
        <w:t>and</w:t>
      </w:r>
      <w:r w:rsidR="00E52252" w:rsidRPr="00D41D25">
        <w:rPr>
          <w:rFonts w:ascii="Georgia" w:eastAsiaTheme="minorEastAsia" w:hAnsi="Georgia" w:cs="Arial"/>
          <w:lang w:val="en-GB"/>
        </w:rPr>
        <w:t xml:space="preserve"> </w:t>
      </w:r>
      <w:r w:rsidRPr="00D41D25">
        <w:rPr>
          <w:rFonts w:ascii="Georgia" w:eastAsiaTheme="minorEastAsia" w:hAnsi="Georgia" w:cs="Arial"/>
          <w:lang w:val="en-GB"/>
        </w:rPr>
        <w:t xml:space="preserve">attending physician was observed at 16% of the observed time, whereas communication onsite of </w:t>
      </w:r>
      <w:r w:rsidR="00F8164C">
        <w:rPr>
          <w:rFonts w:ascii="Georgia" w:eastAsiaTheme="minorEastAsia" w:hAnsi="Georgia" w:cs="Arial"/>
          <w:lang w:val="en-GB"/>
        </w:rPr>
        <w:t xml:space="preserve">the </w:t>
      </w:r>
      <w:r w:rsidRPr="00D41D25">
        <w:rPr>
          <w:rFonts w:ascii="Georgia" w:eastAsiaTheme="minorEastAsia" w:hAnsi="Georgia" w:cs="Arial"/>
          <w:lang w:val="en-GB"/>
        </w:rPr>
        <w:t xml:space="preserve">nursing staff </w:t>
      </w:r>
      <w:r w:rsidR="00F8164C">
        <w:rPr>
          <w:rFonts w:ascii="Georgia" w:eastAsiaTheme="minorEastAsia" w:hAnsi="Georgia" w:cs="Arial"/>
          <w:lang w:val="en-GB"/>
        </w:rPr>
        <w:t>and</w:t>
      </w:r>
      <w:r w:rsidR="00F8164C" w:rsidRPr="00D41D25">
        <w:rPr>
          <w:rFonts w:ascii="Georgia" w:eastAsiaTheme="minorEastAsia" w:hAnsi="Georgia" w:cs="Arial"/>
          <w:lang w:val="en-GB"/>
        </w:rPr>
        <w:t xml:space="preserve"> </w:t>
      </w:r>
      <w:r w:rsidRPr="00D41D25">
        <w:rPr>
          <w:rFonts w:ascii="Georgia" w:eastAsiaTheme="minorEastAsia" w:hAnsi="Georgia" w:cs="Arial"/>
          <w:lang w:val="en-GB"/>
        </w:rPr>
        <w:t>therapists was observed at more than 31% of the observed time. Both digital communication and break</w:t>
      </w:r>
      <w:r w:rsidR="001550B6">
        <w:rPr>
          <w:rFonts w:ascii="Georgia" w:eastAsiaTheme="minorEastAsia" w:hAnsi="Georgia" w:cs="Arial"/>
          <w:lang w:val="en-GB"/>
        </w:rPr>
        <w:t>s</w:t>
      </w:r>
      <w:r w:rsidRPr="00D41D25">
        <w:rPr>
          <w:rFonts w:ascii="Georgia" w:eastAsiaTheme="minorEastAsia" w:hAnsi="Georgia" w:cs="Arial"/>
          <w:lang w:val="en-GB"/>
        </w:rPr>
        <w:t xml:space="preserve"> were observed in less than 10% of the observed time. </w:t>
      </w:r>
      <w:r w:rsidR="002451F6" w:rsidRPr="00D41D25">
        <w:rPr>
          <w:rFonts w:ascii="Georgia" w:eastAsiaTheme="minorEastAsia" w:hAnsi="Georgia" w:cs="Arial"/>
          <w:lang w:val="en-GB"/>
        </w:rPr>
        <w:t xml:space="preserve"> </w:t>
      </w:r>
    </w:p>
    <w:p w14:paraId="4E7CB026" w14:textId="79D5BE88" w:rsidR="00825AFF" w:rsidRDefault="00522212" w:rsidP="0033476B">
      <w:pPr>
        <w:pStyle w:val="MDPI51figurecaption"/>
        <w:rPr>
          <w:rFonts w:eastAsiaTheme="minorEastAsia"/>
          <w:lang w:val="en-GB"/>
        </w:rPr>
      </w:pPr>
      <w:r w:rsidRPr="00D41D25">
        <w:rPr>
          <w:noProof/>
          <w:lang w:val="nl-NL" w:eastAsia="nl-NL"/>
        </w:rPr>
        <w:drawing>
          <wp:inline distT="0" distB="0" distL="0" distR="0" wp14:anchorId="47BA354B" wp14:editId="01DAF8A3">
            <wp:extent cx="5003597" cy="2971800"/>
            <wp:effectExtent l="0" t="0" r="6985" b="0"/>
            <wp:docPr id="9" name="Chart 9">
              <a:extLst xmlns:a="http://schemas.openxmlformats.org/drawingml/2006/main">
                <a:ext uri="{FF2B5EF4-FFF2-40B4-BE49-F238E27FC236}">
                  <a16:creationId xmlns:a16="http://schemas.microsoft.com/office/drawing/2014/main" id="{27AD3538-C466-B84D-892E-6BF4ADF35C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CA5D1F" w:rsidRPr="00D41D25">
        <w:rPr>
          <w:rFonts w:eastAsiaTheme="minorEastAsia"/>
          <w:lang w:val="en-GB"/>
        </w:rPr>
        <w:t xml:space="preserve">Figure </w:t>
      </w:r>
      <w:r w:rsidR="00CA5D1F" w:rsidRPr="00D41D25">
        <w:rPr>
          <w:rFonts w:eastAsiaTheme="minorEastAsia"/>
          <w:i/>
          <w:iCs/>
          <w:lang w:val="en-GB"/>
        </w:rPr>
        <w:fldChar w:fldCharType="begin"/>
      </w:r>
      <w:r w:rsidR="00CA5D1F" w:rsidRPr="00D41D25">
        <w:rPr>
          <w:rFonts w:eastAsiaTheme="minorEastAsia"/>
          <w:lang w:val="en-GB"/>
        </w:rPr>
        <w:instrText xml:space="preserve"> SEQ Figure \* ARABIC </w:instrText>
      </w:r>
      <w:r w:rsidR="00CA5D1F" w:rsidRPr="00D41D25">
        <w:rPr>
          <w:rFonts w:eastAsiaTheme="minorEastAsia"/>
          <w:i/>
          <w:iCs/>
          <w:lang w:val="en-GB"/>
        </w:rPr>
        <w:fldChar w:fldCharType="separate"/>
      </w:r>
      <w:r w:rsidR="00577F37">
        <w:rPr>
          <w:rFonts w:eastAsiaTheme="minorEastAsia"/>
          <w:lang w:val="en-GB"/>
        </w:rPr>
        <w:t>1</w:t>
      </w:r>
      <w:r w:rsidR="00CA5D1F" w:rsidRPr="00D41D25">
        <w:rPr>
          <w:rFonts w:eastAsiaTheme="minorEastAsia"/>
          <w:i/>
          <w:iCs/>
          <w:lang w:val="en-GB"/>
        </w:rPr>
        <w:fldChar w:fldCharType="end"/>
      </w:r>
      <w:r w:rsidR="00CA5D1F" w:rsidRPr="00D41D25">
        <w:rPr>
          <w:rFonts w:eastAsiaTheme="minorEastAsia"/>
          <w:lang w:val="en-GB"/>
        </w:rPr>
        <w:t xml:space="preserve">: Activities regarding physician </w:t>
      </w:r>
      <w:proofErr w:type="spellStart"/>
      <w:r w:rsidR="00CA5D1F" w:rsidRPr="00D41D25">
        <w:rPr>
          <w:rFonts w:eastAsiaTheme="minorEastAsia"/>
          <w:lang w:val="en-GB"/>
        </w:rPr>
        <w:t>types</w:t>
      </w:r>
      <w:r w:rsidR="001550B6">
        <w:rPr>
          <w:rFonts w:eastAsiaTheme="minorEastAsia"/>
          <w:lang w:val="en-GB"/>
        </w:rPr>
        <w:t>and</w:t>
      </w:r>
      <w:proofErr w:type="spellEnd"/>
      <w:r w:rsidR="001550B6" w:rsidRPr="00D41D25">
        <w:rPr>
          <w:rFonts w:eastAsiaTheme="minorEastAsia"/>
          <w:lang w:val="en-GB"/>
        </w:rPr>
        <w:t xml:space="preserve"> </w:t>
      </w:r>
      <w:r w:rsidR="00CA5D1F" w:rsidRPr="00D41D25">
        <w:rPr>
          <w:rFonts w:eastAsiaTheme="minorEastAsia"/>
          <w:lang w:val="en-GB"/>
        </w:rPr>
        <w:t>other hospital occupant types</w:t>
      </w:r>
    </w:p>
    <w:p w14:paraId="34C2849A" w14:textId="77777777" w:rsidR="00F86427" w:rsidRPr="00D41D25" w:rsidRDefault="00F86427" w:rsidP="0033476B">
      <w:pPr>
        <w:pStyle w:val="MDPI36textafterlist"/>
        <w:rPr>
          <w:rFonts w:eastAsiaTheme="minorEastAsia"/>
          <w:lang w:val="en-GB"/>
        </w:rPr>
      </w:pPr>
    </w:p>
    <w:p w14:paraId="7B4D2EF3" w14:textId="1F750654" w:rsidR="00EF297B" w:rsidRPr="00D41D25" w:rsidRDefault="00361FF4" w:rsidP="0033476B">
      <w:pPr>
        <w:pStyle w:val="MDPI22heading2"/>
        <w:rPr>
          <w:rFonts w:eastAsiaTheme="minorEastAsia"/>
          <w:i/>
          <w:lang w:val="en-GB"/>
        </w:rPr>
      </w:pPr>
      <w:r w:rsidRPr="00D41D25">
        <w:rPr>
          <w:rFonts w:eastAsiaTheme="minorEastAsia"/>
          <w:lang w:val="en-GB"/>
        </w:rPr>
        <w:t>3.</w:t>
      </w:r>
      <w:r w:rsidR="002B7D32" w:rsidRPr="00D41D25">
        <w:rPr>
          <w:rFonts w:eastAsiaTheme="minorEastAsia"/>
          <w:lang w:val="en-GB"/>
        </w:rPr>
        <w:t>3</w:t>
      </w:r>
      <w:r w:rsidRPr="00D41D25">
        <w:rPr>
          <w:rFonts w:eastAsiaTheme="minorEastAsia"/>
          <w:lang w:val="en-GB"/>
        </w:rPr>
        <w:t xml:space="preserve">. </w:t>
      </w:r>
      <w:r w:rsidR="0009057E" w:rsidRPr="00D41D25">
        <w:rPr>
          <w:rFonts w:eastAsiaTheme="minorEastAsia"/>
          <w:lang w:val="en-GB"/>
        </w:rPr>
        <w:t xml:space="preserve">Comparison of workplace </w:t>
      </w:r>
      <w:r w:rsidR="006C78C9" w:rsidRPr="0033476B">
        <w:rPr>
          <w:rFonts w:eastAsiaTheme="minorEastAsia"/>
        </w:rPr>
        <w:t>utilization</w:t>
      </w:r>
      <w:r w:rsidR="006C78C9" w:rsidRPr="00D41D25">
        <w:rPr>
          <w:rFonts w:eastAsiaTheme="minorEastAsia"/>
          <w:lang w:val="en-GB"/>
        </w:rPr>
        <w:t xml:space="preserve"> </w:t>
      </w:r>
      <w:r w:rsidR="009F6335" w:rsidRPr="00D41D25">
        <w:rPr>
          <w:rFonts w:eastAsiaTheme="minorEastAsia"/>
          <w:lang w:val="en-GB"/>
        </w:rPr>
        <w:t xml:space="preserve">and activities </w:t>
      </w:r>
      <w:r w:rsidR="0009057E" w:rsidRPr="00D41D25">
        <w:rPr>
          <w:rFonts w:eastAsiaTheme="minorEastAsia"/>
          <w:lang w:val="en-GB"/>
        </w:rPr>
        <w:t>in hospitals and office buildings</w:t>
      </w:r>
    </w:p>
    <w:p w14:paraId="567FAF26" w14:textId="222E24DB" w:rsidR="00C1459D" w:rsidRPr="00D41D25" w:rsidRDefault="00C1459D" w:rsidP="00C1459D">
      <w:pPr>
        <w:pStyle w:val="MDPI31text"/>
        <w:rPr>
          <w:rFonts w:ascii="Georgia" w:eastAsiaTheme="minorEastAsia" w:hAnsi="Georgia" w:cs="Arial"/>
          <w:lang w:val="en-GB"/>
        </w:rPr>
      </w:pPr>
      <w:r w:rsidRPr="00D41D25">
        <w:rPr>
          <w:rFonts w:ascii="Georgia" w:eastAsiaTheme="minorEastAsia" w:hAnsi="Georgia" w:cs="Arial"/>
          <w:lang w:val="en-GB"/>
        </w:rPr>
        <w:t>Lastly, occupancy rates of workplaces in offices and hospitals were compared using frequency analysis.</w:t>
      </w:r>
      <w:r w:rsidR="000E07B9" w:rsidRPr="00D41D25">
        <w:rPr>
          <w:rFonts w:ascii="Georgia" w:eastAsiaTheme="minorEastAsia" w:hAnsi="Georgia" w:cs="Arial"/>
          <w:lang w:val="en-GB"/>
        </w:rPr>
        <w:t xml:space="preserve"> T</w:t>
      </w:r>
      <w:r w:rsidRPr="00D41D25">
        <w:rPr>
          <w:rFonts w:ascii="Georgia" w:eastAsiaTheme="minorEastAsia" w:hAnsi="Georgia" w:cs="Arial"/>
          <w:lang w:val="en-GB"/>
        </w:rPr>
        <w:t>he observed workstations of office projects had a higher occupancy rate than those in hospitals</w:t>
      </w:r>
      <w:r w:rsidR="000E07B9" w:rsidRPr="00D41D25">
        <w:rPr>
          <w:rFonts w:ascii="Georgia" w:eastAsiaTheme="minorEastAsia" w:hAnsi="Georgia" w:cs="Arial"/>
          <w:lang w:val="en-GB"/>
        </w:rPr>
        <w:t xml:space="preserve"> (figure 2)</w:t>
      </w:r>
      <w:r w:rsidRPr="00D41D25">
        <w:rPr>
          <w:rFonts w:ascii="Georgia" w:eastAsiaTheme="minorEastAsia" w:hAnsi="Georgia" w:cs="Arial"/>
          <w:lang w:val="en-GB"/>
        </w:rPr>
        <w:t>: 38% of the observed workstations of office projects were occupied (</w:t>
      </w:r>
      <w:r w:rsidR="00EB5969" w:rsidRPr="00D41D25">
        <w:rPr>
          <w:rFonts w:ascii="Georgia" w:eastAsiaTheme="minorEastAsia" w:hAnsi="Georgia" w:cs="Arial"/>
          <w:lang w:val="en-GB"/>
        </w:rPr>
        <w:t xml:space="preserve">see </w:t>
      </w:r>
      <w:r w:rsidRPr="00D41D25">
        <w:rPr>
          <w:rFonts w:ascii="Georgia" w:eastAsiaTheme="minorEastAsia" w:hAnsi="Georgia" w:cs="Arial"/>
          <w:lang w:val="en-GB"/>
        </w:rPr>
        <w:t xml:space="preserve">table 2 </w:t>
      </w:r>
      <w:r w:rsidR="00EB5969" w:rsidRPr="00D41D25">
        <w:rPr>
          <w:rFonts w:ascii="Georgia" w:eastAsiaTheme="minorEastAsia" w:hAnsi="Georgia" w:cs="Arial"/>
          <w:lang w:val="en-GB"/>
        </w:rPr>
        <w:t>for information on</w:t>
      </w:r>
      <w:r w:rsidRPr="00D41D25">
        <w:rPr>
          <w:rFonts w:ascii="Georgia" w:eastAsiaTheme="minorEastAsia" w:hAnsi="Georgia" w:cs="Arial"/>
          <w:lang w:val="en-GB"/>
        </w:rPr>
        <w:t xml:space="preserve"> the occupancy of workstations </w:t>
      </w:r>
      <w:r w:rsidR="00EB5969" w:rsidRPr="00D41D25">
        <w:rPr>
          <w:rFonts w:ascii="Georgia" w:eastAsiaTheme="minorEastAsia" w:hAnsi="Georgia" w:cs="Arial"/>
          <w:lang w:val="en-GB"/>
        </w:rPr>
        <w:t>in offices</w:t>
      </w:r>
      <w:r w:rsidRPr="00D41D25">
        <w:rPr>
          <w:rFonts w:ascii="Georgia" w:eastAsiaTheme="minorEastAsia" w:hAnsi="Georgia" w:cs="Arial"/>
          <w:lang w:val="en-GB"/>
        </w:rPr>
        <w:t>), whereas 31% of the observed workstations of hospital projects were occupied.</w:t>
      </w:r>
    </w:p>
    <w:p w14:paraId="01F62D13" w14:textId="3102EE12" w:rsidR="009F6335" w:rsidRPr="00D41D25" w:rsidRDefault="009F6335" w:rsidP="0033476B">
      <w:pPr>
        <w:pStyle w:val="MDPI51figurecaption"/>
        <w:rPr>
          <w:rFonts w:eastAsiaTheme="minorEastAsia"/>
          <w:lang w:val="en-GB"/>
        </w:rPr>
      </w:pPr>
      <w:r w:rsidRPr="00D41D25">
        <w:rPr>
          <w:rFonts w:eastAsiaTheme="minorEastAsia"/>
          <w:i/>
          <w:iCs/>
          <w:noProof/>
          <w:lang w:val="nl-NL" w:eastAsia="nl-NL"/>
        </w:rPr>
        <w:drawing>
          <wp:inline distT="0" distB="0" distL="0" distR="0" wp14:anchorId="5C2BD81D" wp14:editId="79CDFC92">
            <wp:extent cx="2435469" cy="2159635"/>
            <wp:effectExtent l="0" t="0" r="3175" b="0"/>
            <wp:docPr id="16" name="Chart 16">
              <a:extLst xmlns:a="http://schemas.openxmlformats.org/drawingml/2006/main">
                <a:ext uri="{FF2B5EF4-FFF2-40B4-BE49-F238E27FC236}">
                  <a16:creationId xmlns:a16="http://schemas.microsoft.com/office/drawing/2014/main" id="{9336D17E-7FCF-484A-8DD2-F4DA558805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D41D25">
        <w:rPr>
          <w:rFonts w:eastAsiaTheme="minorEastAsia"/>
          <w:lang w:val="en-GB"/>
        </w:rPr>
        <w:t xml:space="preserve"> </w:t>
      </w:r>
      <w:r w:rsidRPr="00D41D25">
        <w:rPr>
          <w:rFonts w:eastAsiaTheme="minorEastAsia"/>
          <w:i/>
          <w:iCs/>
          <w:noProof/>
          <w:lang w:val="nl-NL" w:eastAsia="nl-NL"/>
        </w:rPr>
        <w:drawing>
          <wp:inline distT="0" distB="0" distL="0" distR="0" wp14:anchorId="66542363" wp14:editId="26E19526">
            <wp:extent cx="2437200" cy="2159635"/>
            <wp:effectExtent l="0" t="0" r="1270" b="0"/>
            <wp:docPr id="14" name="Chart 14">
              <a:extLst xmlns:a="http://schemas.openxmlformats.org/drawingml/2006/main">
                <a:ext uri="{FF2B5EF4-FFF2-40B4-BE49-F238E27FC236}">
                  <a16:creationId xmlns:a16="http://schemas.microsoft.com/office/drawing/2014/main" id="{202D9ED8-F908-4384-8CF1-08C8A60E15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D41D25">
        <w:rPr>
          <w:rFonts w:eastAsiaTheme="minorEastAsia"/>
          <w:lang w:val="en-GB"/>
        </w:rPr>
        <w:t xml:space="preserve">Figure </w:t>
      </w:r>
      <w:r w:rsidRPr="00D41D25">
        <w:rPr>
          <w:rFonts w:eastAsiaTheme="minorEastAsia"/>
          <w:i/>
          <w:iCs/>
          <w:lang w:val="en-GB"/>
        </w:rPr>
        <w:fldChar w:fldCharType="begin"/>
      </w:r>
      <w:r w:rsidRPr="00D41D25">
        <w:rPr>
          <w:rFonts w:eastAsiaTheme="minorEastAsia"/>
          <w:lang w:val="en-GB"/>
        </w:rPr>
        <w:instrText xml:space="preserve"> SEQ Figure \* ARABIC </w:instrText>
      </w:r>
      <w:r w:rsidRPr="00D41D25">
        <w:rPr>
          <w:rFonts w:eastAsiaTheme="minorEastAsia"/>
          <w:i/>
          <w:iCs/>
          <w:lang w:val="en-GB"/>
        </w:rPr>
        <w:fldChar w:fldCharType="separate"/>
      </w:r>
      <w:r w:rsidR="00577F37">
        <w:rPr>
          <w:rFonts w:eastAsiaTheme="minorEastAsia"/>
          <w:lang w:val="en-GB"/>
        </w:rPr>
        <w:t>2</w:t>
      </w:r>
      <w:r w:rsidRPr="00D41D25">
        <w:rPr>
          <w:rFonts w:eastAsiaTheme="minorEastAsia"/>
          <w:i/>
          <w:iCs/>
          <w:lang w:val="en-GB"/>
        </w:rPr>
        <w:fldChar w:fldCharType="end"/>
      </w:r>
      <w:r w:rsidRPr="00D41D25">
        <w:rPr>
          <w:rFonts w:eastAsiaTheme="minorEastAsia"/>
          <w:lang w:val="en-GB"/>
        </w:rPr>
        <w:t xml:space="preserve">: </w:t>
      </w:r>
      <w:r w:rsidR="00EB5969" w:rsidRPr="00D41D25">
        <w:rPr>
          <w:rFonts w:eastAsiaTheme="minorEastAsia"/>
          <w:lang w:val="en-GB"/>
        </w:rPr>
        <w:t>O</w:t>
      </w:r>
      <w:r w:rsidRPr="00D41D25">
        <w:rPr>
          <w:rFonts w:eastAsiaTheme="minorEastAsia"/>
          <w:lang w:val="en-GB"/>
        </w:rPr>
        <w:t>ccupancy rates of workplaces in hospitals</w:t>
      </w:r>
      <w:r w:rsidR="00EB5969" w:rsidRPr="00D41D25">
        <w:rPr>
          <w:rFonts w:eastAsiaTheme="minorEastAsia"/>
          <w:lang w:val="en-GB"/>
        </w:rPr>
        <w:t xml:space="preserve"> and offices</w:t>
      </w:r>
    </w:p>
    <w:p w14:paraId="286CB444" w14:textId="6D4C4BEC" w:rsidR="009F6335" w:rsidRPr="00D41D25" w:rsidRDefault="009F6335" w:rsidP="0029420B">
      <w:pPr>
        <w:pStyle w:val="MDPI31text"/>
        <w:rPr>
          <w:rFonts w:ascii="Georgia" w:eastAsiaTheme="minorEastAsia" w:hAnsi="Georgia" w:cs="Arial"/>
          <w:lang w:val="en-GB"/>
        </w:rPr>
      </w:pPr>
    </w:p>
    <w:p w14:paraId="12042659" w14:textId="3306D155" w:rsidR="006A6974" w:rsidRPr="00D41D25" w:rsidRDefault="00C1459D" w:rsidP="002646BF">
      <w:pPr>
        <w:pStyle w:val="MDPI31text"/>
        <w:rPr>
          <w:rFonts w:ascii="Georgia" w:eastAsiaTheme="minorEastAsia" w:hAnsi="Georgia" w:cs="Arial"/>
          <w:lang w:val="en-GB"/>
        </w:rPr>
      </w:pPr>
      <w:r w:rsidRPr="00D41D25">
        <w:rPr>
          <w:rFonts w:ascii="Georgia" w:eastAsiaTheme="minorEastAsia" w:hAnsi="Georgia" w:cs="Arial"/>
          <w:lang w:val="en-GB"/>
        </w:rPr>
        <w:t>To complete the comparison</w:t>
      </w:r>
      <w:r w:rsidR="000E07B9" w:rsidRPr="00D41D25">
        <w:rPr>
          <w:rFonts w:ascii="Georgia" w:eastAsiaTheme="minorEastAsia" w:hAnsi="Georgia" w:cs="Arial"/>
          <w:lang w:val="en-GB"/>
        </w:rPr>
        <w:t>,</w:t>
      </w:r>
      <w:r w:rsidRPr="00D41D25">
        <w:rPr>
          <w:rFonts w:ascii="Georgia" w:eastAsiaTheme="minorEastAsia" w:hAnsi="Georgia" w:cs="Arial"/>
          <w:lang w:val="en-GB"/>
        </w:rPr>
        <w:t xml:space="preserve"> a frequency analysis was conducted in order to compare </w:t>
      </w:r>
      <w:r w:rsidR="00C67CD3">
        <w:rPr>
          <w:rFonts w:ascii="Georgia" w:eastAsiaTheme="minorEastAsia" w:hAnsi="Georgia" w:cs="Arial"/>
          <w:lang w:val="en-GB"/>
        </w:rPr>
        <w:t xml:space="preserve">the </w:t>
      </w:r>
      <w:r w:rsidRPr="00D41D25">
        <w:rPr>
          <w:rFonts w:ascii="Georgia" w:eastAsiaTheme="minorEastAsia" w:hAnsi="Georgia" w:cs="Arial"/>
          <w:lang w:val="en-GB"/>
        </w:rPr>
        <w:t xml:space="preserve">activities of occupants in workplaces in hospitals and office buildings. Results are illustrated in </w:t>
      </w:r>
      <w:r w:rsidR="00C67CD3">
        <w:rPr>
          <w:rFonts w:ascii="Georgia" w:eastAsiaTheme="minorEastAsia" w:hAnsi="Georgia" w:cs="Arial"/>
          <w:lang w:val="en-GB"/>
        </w:rPr>
        <w:t>F</w:t>
      </w:r>
      <w:r w:rsidR="00C67CD3" w:rsidRPr="00D41D25">
        <w:rPr>
          <w:rFonts w:ascii="Georgia" w:eastAsiaTheme="minorEastAsia" w:hAnsi="Georgia" w:cs="Arial"/>
          <w:lang w:val="en-GB"/>
        </w:rPr>
        <w:t xml:space="preserve">igure </w:t>
      </w:r>
      <w:r w:rsidRPr="00D41D25">
        <w:rPr>
          <w:rFonts w:ascii="Georgia" w:eastAsiaTheme="minorEastAsia" w:hAnsi="Georgia" w:cs="Arial"/>
          <w:lang w:val="en-GB"/>
        </w:rPr>
        <w:t xml:space="preserve">3. Both onsite and digital communication are remarkably more </w:t>
      </w:r>
      <w:proofErr w:type="spellStart"/>
      <w:r w:rsidR="008E2080">
        <w:rPr>
          <w:rFonts w:ascii="Georgia" w:eastAsiaTheme="minorEastAsia" w:hAnsi="Georgia" w:cs="Arial"/>
          <w:lang w:val="en-GB"/>
        </w:rPr>
        <w:t>prevelant</w:t>
      </w:r>
      <w:proofErr w:type="spellEnd"/>
      <w:r w:rsidR="008E2080" w:rsidRPr="00D41D25">
        <w:rPr>
          <w:rFonts w:ascii="Georgia" w:eastAsiaTheme="minorEastAsia" w:hAnsi="Georgia" w:cs="Arial"/>
          <w:lang w:val="en-GB"/>
        </w:rPr>
        <w:t xml:space="preserve"> </w:t>
      </w:r>
      <w:r w:rsidRPr="00D41D25">
        <w:rPr>
          <w:rFonts w:ascii="Georgia" w:eastAsiaTheme="minorEastAsia" w:hAnsi="Georgia" w:cs="Arial"/>
          <w:lang w:val="en-GB"/>
        </w:rPr>
        <w:t xml:space="preserve">in the hospital (29%) than </w:t>
      </w:r>
      <w:r w:rsidR="008E2080">
        <w:rPr>
          <w:rFonts w:ascii="Georgia" w:eastAsiaTheme="minorEastAsia" w:hAnsi="Georgia" w:cs="Arial"/>
          <w:lang w:val="en-GB"/>
        </w:rPr>
        <w:t xml:space="preserve">in </w:t>
      </w:r>
      <w:r w:rsidRPr="00D41D25">
        <w:rPr>
          <w:rFonts w:ascii="Georgia" w:eastAsiaTheme="minorEastAsia" w:hAnsi="Georgia" w:cs="Arial"/>
          <w:lang w:val="en-GB"/>
        </w:rPr>
        <w:t xml:space="preserve">the office buildings (17%). However, deskwork was observed less in the hospital (67%) </w:t>
      </w:r>
      <w:r w:rsidR="008E2080">
        <w:rPr>
          <w:rFonts w:ascii="Georgia" w:eastAsiaTheme="minorEastAsia" w:hAnsi="Georgia" w:cs="Arial"/>
          <w:lang w:val="en-GB"/>
        </w:rPr>
        <w:t>than in</w:t>
      </w:r>
      <w:r w:rsidR="008E2080" w:rsidRPr="00D41D25">
        <w:rPr>
          <w:rFonts w:ascii="Georgia" w:eastAsiaTheme="minorEastAsia" w:hAnsi="Georgia" w:cs="Arial"/>
          <w:lang w:val="en-GB"/>
        </w:rPr>
        <w:t xml:space="preserve"> </w:t>
      </w:r>
      <w:r w:rsidRPr="00D41D25">
        <w:rPr>
          <w:rFonts w:ascii="Georgia" w:eastAsiaTheme="minorEastAsia" w:hAnsi="Georgia" w:cs="Arial"/>
          <w:lang w:val="en-GB"/>
        </w:rPr>
        <w:t xml:space="preserve">the office buildings (82%). This indicates that the occupants of hospitals spent more time in communication and less time in deskwork in heads down or administrative workplaces compared with </w:t>
      </w:r>
      <w:r w:rsidR="009A4047">
        <w:rPr>
          <w:rFonts w:ascii="Georgia" w:eastAsiaTheme="minorEastAsia" w:hAnsi="Georgia" w:cs="Arial"/>
          <w:lang w:val="en-GB"/>
        </w:rPr>
        <w:t>those</w:t>
      </w:r>
      <w:r w:rsidR="009A4047" w:rsidRPr="00D41D25">
        <w:rPr>
          <w:rFonts w:ascii="Georgia" w:eastAsiaTheme="minorEastAsia" w:hAnsi="Georgia" w:cs="Arial"/>
          <w:lang w:val="en-GB"/>
        </w:rPr>
        <w:t xml:space="preserve"> </w:t>
      </w:r>
      <w:r w:rsidRPr="00D41D25">
        <w:rPr>
          <w:rFonts w:ascii="Georgia" w:eastAsiaTheme="minorEastAsia" w:hAnsi="Georgia" w:cs="Arial"/>
          <w:lang w:val="en-GB"/>
        </w:rPr>
        <w:t xml:space="preserve">in office buildings.  </w:t>
      </w:r>
    </w:p>
    <w:p w14:paraId="7E5A18C0" w14:textId="77777777" w:rsidR="00C1459D" w:rsidRPr="00D41D25" w:rsidRDefault="00C1459D" w:rsidP="002646BF">
      <w:pPr>
        <w:pStyle w:val="MDPI31text"/>
        <w:rPr>
          <w:rFonts w:ascii="Georgia" w:eastAsiaTheme="minorEastAsia" w:hAnsi="Georgia" w:cs="Arial"/>
          <w:lang w:val="en-GB"/>
        </w:rPr>
      </w:pPr>
    </w:p>
    <w:p w14:paraId="131EC9B0" w14:textId="34879C5A" w:rsidR="003B4422" w:rsidRPr="00D41D25" w:rsidRDefault="003B4422" w:rsidP="003B4422">
      <w:pPr>
        <w:pStyle w:val="MDPI31text"/>
        <w:ind w:left="2040"/>
        <w:rPr>
          <w:rFonts w:ascii="Georgia" w:eastAsiaTheme="minorEastAsia" w:hAnsi="Georgia" w:cs="Arial"/>
          <w:lang w:val="en-GB"/>
        </w:rPr>
      </w:pPr>
      <w:r w:rsidRPr="00D41D25">
        <w:rPr>
          <w:rFonts w:ascii="Georgia" w:eastAsiaTheme="minorEastAsia" w:hAnsi="Georgia" w:cs="Arial"/>
          <w:lang w:val="en-GB"/>
        </w:rPr>
        <w:t xml:space="preserve"> </w:t>
      </w:r>
      <w:r w:rsidR="006A6974" w:rsidRPr="00D41D25">
        <w:rPr>
          <w:noProof/>
          <w:lang w:val="nl-NL" w:eastAsia="nl-NL" w:bidi="ar-SA"/>
        </w:rPr>
        <w:drawing>
          <wp:inline distT="0" distB="0" distL="0" distR="0" wp14:anchorId="30A53A0D" wp14:editId="51013EA7">
            <wp:extent cx="5003165" cy="2052955"/>
            <wp:effectExtent l="0" t="0" r="6985" b="4445"/>
            <wp:docPr id="15" name="Chart 15">
              <a:extLst xmlns:a="http://schemas.openxmlformats.org/drawingml/2006/main">
                <a:ext uri="{FF2B5EF4-FFF2-40B4-BE49-F238E27FC236}">
                  <a16:creationId xmlns:a16="http://schemas.microsoft.com/office/drawing/2014/main" id="{0F6DA08F-573D-46A0-A5DB-13B031455D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83C269A" w14:textId="03C97664" w:rsidR="00F5321A" w:rsidRPr="00D41D25" w:rsidRDefault="00F5321A" w:rsidP="0033476B">
      <w:pPr>
        <w:pStyle w:val="MDPI51figurecaption"/>
        <w:rPr>
          <w:rFonts w:eastAsiaTheme="minorEastAsia"/>
          <w:lang w:val="en-GB"/>
        </w:rPr>
      </w:pPr>
      <w:r w:rsidRPr="00D41D25">
        <w:rPr>
          <w:rFonts w:eastAsiaTheme="minorEastAsia"/>
          <w:lang w:val="en-GB"/>
        </w:rPr>
        <w:t xml:space="preserve">Figure </w:t>
      </w:r>
      <w:r w:rsidR="00E37377" w:rsidRPr="00D41D25">
        <w:rPr>
          <w:rFonts w:eastAsiaTheme="minorEastAsia"/>
          <w:lang w:val="en-GB"/>
        </w:rPr>
        <w:t>3</w:t>
      </w:r>
      <w:r w:rsidRPr="00D41D25">
        <w:rPr>
          <w:rFonts w:eastAsiaTheme="minorEastAsia"/>
          <w:lang w:val="en-GB"/>
        </w:rPr>
        <w:t>: Activities in hospitals and office buildings</w:t>
      </w:r>
    </w:p>
    <w:p w14:paraId="1BE51020" w14:textId="68FBE8E0" w:rsidR="002A7F6A" w:rsidRPr="0021774F" w:rsidRDefault="00A86E9F" w:rsidP="0021774F">
      <w:pPr>
        <w:pStyle w:val="MDPI21heading1"/>
        <w:rPr>
          <w:rFonts w:eastAsiaTheme="minorEastAsia"/>
          <w:lang w:val="en-GB"/>
        </w:rPr>
      </w:pPr>
      <w:r w:rsidRPr="00D41D25">
        <w:rPr>
          <w:rFonts w:eastAsiaTheme="minorEastAsia"/>
          <w:lang w:val="en-GB"/>
        </w:rPr>
        <w:t xml:space="preserve">4. </w:t>
      </w:r>
      <w:r w:rsidR="0043151A" w:rsidRPr="00D41D25">
        <w:rPr>
          <w:rFonts w:eastAsiaTheme="minorEastAsia"/>
          <w:lang w:val="en-GB"/>
        </w:rPr>
        <w:t xml:space="preserve">Discussion and </w:t>
      </w:r>
      <w:r w:rsidR="0043151A" w:rsidRPr="0033476B">
        <w:rPr>
          <w:rFonts w:eastAsiaTheme="minorEastAsia"/>
        </w:rPr>
        <w:t>conclusions</w:t>
      </w:r>
    </w:p>
    <w:p w14:paraId="497F96BD" w14:textId="55C5AF5B" w:rsidR="00A300BC" w:rsidRPr="00D41D25" w:rsidRDefault="00A300BC" w:rsidP="00A300BC">
      <w:pPr>
        <w:pStyle w:val="MDPI31text"/>
        <w:rPr>
          <w:rFonts w:ascii="Georgia" w:eastAsiaTheme="minorEastAsia" w:hAnsi="Georgia" w:cs="Arial"/>
          <w:lang w:val="en-GB"/>
        </w:rPr>
      </w:pPr>
      <w:r w:rsidRPr="00D41D25">
        <w:rPr>
          <w:rFonts w:ascii="Georgia" w:eastAsiaTheme="minorEastAsia" w:hAnsi="Georgia" w:cs="Arial"/>
          <w:lang w:val="en-GB"/>
        </w:rPr>
        <w:t xml:space="preserve">The utilization of administrative workplaces in hospitals is low. Medical staff spend a large part of the working day away from their backstage (non-patient) desks. Therefore, on a generally low occupancy level, the occupancy rate in hospitals is lower than in administrative offices, where the workstation is the central place of work. </w:t>
      </w:r>
    </w:p>
    <w:p w14:paraId="3EC6AA33" w14:textId="47399D32" w:rsidR="00A300BC" w:rsidRPr="00D41D25" w:rsidRDefault="00A300BC" w:rsidP="00A300BC">
      <w:pPr>
        <w:pStyle w:val="MDPI31text"/>
        <w:rPr>
          <w:rFonts w:ascii="Georgia" w:eastAsiaTheme="minorEastAsia" w:hAnsi="Georgia" w:cs="Arial"/>
          <w:lang w:val="en-GB"/>
        </w:rPr>
      </w:pPr>
      <w:r w:rsidRPr="00D41D25">
        <w:rPr>
          <w:rFonts w:ascii="Georgia" w:eastAsiaTheme="minorEastAsia" w:hAnsi="Georgia" w:cs="Arial"/>
          <w:lang w:val="en-GB"/>
        </w:rPr>
        <w:t>These results suggest significant space efficiency potential. Theoretic</w:t>
      </w:r>
      <w:r w:rsidR="00B7087E" w:rsidRPr="00D41D25">
        <w:rPr>
          <w:rFonts w:ascii="Georgia" w:eastAsiaTheme="minorEastAsia" w:hAnsi="Georgia" w:cs="Arial"/>
          <w:lang w:val="en-GB"/>
        </w:rPr>
        <w:t>ally,</w:t>
      </w:r>
      <w:r w:rsidRPr="00D41D25">
        <w:rPr>
          <w:rFonts w:ascii="Georgia" w:eastAsiaTheme="minorEastAsia" w:hAnsi="Georgia" w:cs="Arial"/>
          <w:lang w:val="en-GB"/>
        </w:rPr>
        <w:t xml:space="preserve"> work</w:t>
      </w:r>
      <w:r w:rsidR="00B7087E" w:rsidRPr="00D41D25">
        <w:rPr>
          <w:rFonts w:ascii="Georgia" w:eastAsiaTheme="minorEastAsia" w:hAnsi="Georgia" w:cs="Arial"/>
          <w:lang w:val="en-GB"/>
        </w:rPr>
        <w:t>stations</w:t>
      </w:r>
      <w:r w:rsidRPr="00D41D25">
        <w:rPr>
          <w:rFonts w:ascii="Georgia" w:eastAsiaTheme="minorEastAsia" w:hAnsi="Georgia" w:cs="Arial"/>
          <w:lang w:val="en-GB"/>
        </w:rPr>
        <w:t xml:space="preserve"> could be shared, i.e.</w:t>
      </w:r>
      <w:r w:rsidR="007E2682">
        <w:rPr>
          <w:rFonts w:ascii="Georgia" w:eastAsiaTheme="minorEastAsia" w:hAnsi="Georgia" w:cs="Arial"/>
          <w:lang w:val="en-GB"/>
        </w:rPr>
        <w:t>,</w:t>
      </w:r>
      <w:r w:rsidRPr="00D41D25">
        <w:rPr>
          <w:rFonts w:ascii="Georgia" w:eastAsiaTheme="minorEastAsia" w:hAnsi="Georgia" w:cs="Arial"/>
          <w:lang w:val="en-GB"/>
        </w:rPr>
        <w:t xml:space="preserve"> instead of assigning employees to specific places, workstations and support spaces could be used by a defined group of employees. Considering the low occupancy rates, </w:t>
      </w:r>
      <w:r w:rsidR="00B7087E" w:rsidRPr="00D41D25">
        <w:rPr>
          <w:rFonts w:ascii="Georgia" w:eastAsiaTheme="minorEastAsia" w:hAnsi="Georgia" w:cs="Arial"/>
          <w:lang w:val="en-GB"/>
        </w:rPr>
        <w:t xml:space="preserve">the number of workstations could be reduced through </w:t>
      </w:r>
      <w:proofErr w:type="spellStart"/>
      <w:r w:rsidRPr="00D41D25">
        <w:rPr>
          <w:rFonts w:ascii="Georgia" w:eastAsiaTheme="minorEastAsia" w:hAnsi="Georgia" w:cs="Arial"/>
          <w:lang w:val="en-GB"/>
        </w:rPr>
        <w:t>desksharing</w:t>
      </w:r>
      <w:proofErr w:type="spellEnd"/>
      <w:r w:rsidRPr="00D41D25">
        <w:rPr>
          <w:rFonts w:ascii="Georgia" w:eastAsiaTheme="minorEastAsia" w:hAnsi="Georgia" w:cs="Arial"/>
          <w:lang w:val="en-GB"/>
        </w:rPr>
        <w:t>.</w:t>
      </w:r>
    </w:p>
    <w:p w14:paraId="667C42B0" w14:textId="10DC7B90" w:rsidR="00A300BC" w:rsidRPr="00D41D25" w:rsidRDefault="00A300BC" w:rsidP="00A300BC">
      <w:pPr>
        <w:pStyle w:val="MDPI31text"/>
        <w:rPr>
          <w:rFonts w:ascii="Georgia" w:eastAsiaTheme="minorEastAsia" w:hAnsi="Georgia" w:cs="Arial"/>
          <w:lang w:val="en-GB"/>
        </w:rPr>
      </w:pPr>
      <w:r w:rsidRPr="00D41D25">
        <w:rPr>
          <w:rFonts w:ascii="Georgia" w:eastAsiaTheme="minorEastAsia" w:hAnsi="Georgia" w:cs="Arial"/>
          <w:lang w:val="en-GB"/>
        </w:rPr>
        <w:t xml:space="preserve">Before implementing desk-sharing in hospitals, some issues have to be considered: (1) </w:t>
      </w:r>
      <w:r w:rsidR="00B959AE">
        <w:rPr>
          <w:rFonts w:ascii="Georgia" w:eastAsiaTheme="minorEastAsia" w:hAnsi="Georgia" w:cs="Arial"/>
          <w:lang w:val="en-GB"/>
        </w:rPr>
        <w:t>B</w:t>
      </w:r>
      <w:r w:rsidR="00B959AE" w:rsidRPr="00D41D25">
        <w:rPr>
          <w:rFonts w:ascii="Georgia" w:eastAsiaTheme="minorEastAsia" w:hAnsi="Georgia" w:cs="Arial"/>
          <w:lang w:val="en-GB"/>
        </w:rPr>
        <w:t xml:space="preserve">ased </w:t>
      </w:r>
      <w:r w:rsidR="00256242" w:rsidRPr="00D41D25">
        <w:rPr>
          <w:rFonts w:ascii="Georgia" w:eastAsiaTheme="minorEastAsia" w:hAnsi="Georgia" w:cs="Arial"/>
          <w:lang w:val="en-GB"/>
        </w:rPr>
        <w:t xml:space="preserve">on </w:t>
      </w:r>
      <w:r w:rsidR="00B7087E" w:rsidRPr="00D41D25">
        <w:rPr>
          <w:rFonts w:ascii="Georgia" w:eastAsiaTheme="minorEastAsia" w:hAnsi="Georgia" w:cs="Arial"/>
          <w:lang w:val="en-GB"/>
        </w:rPr>
        <w:t xml:space="preserve">our </w:t>
      </w:r>
      <w:r w:rsidR="00256242" w:rsidRPr="00D41D25">
        <w:rPr>
          <w:rFonts w:ascii="Georgia" w:eastAsiaTheme="minorEastAsia" w:hAnsi="Georgia" w:cs="Arial"/>
          <w:lang w:val="en-GB"/>
        </w:rPr>
        <w:t>experiences</w:t>
      </w:r>
      <w:r w:rsidR="00B7087E" w:rsidRPr="00D41D25">
        <w:rPr>
          <w:rFonts w:ascii="Georgia" w:eastAsiaTheme="minorEastAsia" w:hAnsi="Georgia" w:cs="Arial"/>
          <w:lang w:val="en-GB"/>
        </w:rPr>
        <w:t>,</w:t>
      </w:r>
      <w:r w:rsidR="00256242" w:rsidRPr="00D41D25">
        <w:rPr>
          <w:rFonts w:ascii="Georgia" w:eastAsiaTheme="minorEastAsia" w:hAnsi="Georgia" w:cs="Arial"/>
          <w:lang w:val="en-GB"/>
        </w:rPr>
        <w:t xml:space="preserve"> </w:t>
      </w:r>
      <w:r w:rsidRPr="00D41D25">
        <w:rPr>
          <w:rFonts w:ascii="Georgia" w:eastAsiaTheme="minorEastAsia" w:hAnsi="Georgia" w:cs="Arial"/>
          <w:lang w:val="en-GB"/>
        </w:rPr>
        <w:t>desk-sharing works better for larger groups than for smaller ones, i.e.</w:t>
      </w:r>
      <w:r w:rsidR="00B959AE">
        <w:rPr>
          <w:rFonts w:ascii="Georgia" w:eastAsiaTheme="minorEastAsia" w:hAnsi="Georgia" w:cs="Arial"/>
          <w:lang w:val="en-GB"/>
        </w:rPr>
        <w:t>,</w:t>
      </w:r>
      <w:r w:rsidRPr="00D41D25">
        <w:rPr>
          <w:rFonts w:ascii="Georgia" w:eastAsiaTheme="minorEastAsia" w:hAnsi="Georgia" w:cs="Arial"/>
          <w:lang w:val="en-GB"/>
        </w:rPr>
        <w:t xml:space="preserve"> the efficiency gains are higher and easier to realize with larger user groups</w:t>
      </w:r>
      <w:r w:rsidR="00B7087E" w:rsidRPr="00D41D25">
        <w:rPr>
          <w:rFonts w:ascii="Georgia" w:eastAsiaTheme="minorEastAsia" w:hAnsi="Georgia" w:cs="Arial"/>
          <w:lang w:val="en-GB"/>
        </w:rPr>
        <w:t xml:space="preserve"> (</w:t>
      </w:r>
      <w:r w:rsidR="00256242" w:rsidRPr="00D41D25">
        <w:rPr>
          <w:rFonts w:ascii="Georgia" w:eastAsiaTheme="minorEastAsia" w:hAnsi="Georgia" w:cs="Arial"/>
          <w:lang w:val="en-GB"/>
        </w:rPr>
        <w:t>economies of scale</w:t>
      </w:r>
      <w:r w:rsidR="00B7087E" w:rsidRPr="00D41D25">
        <w:rPr>
          <w:rFonts w:ascii="Georgia" w:eastAsiaTheme="minorEastAsia" w:hAnsi="Georgia" w:cs="Arial"/>
          <w:lang w:val="en-GB"/>
        </w:rPr>
        <w:t>)</w:t>
      </w:r>
      <w:r w:rsidRPr="00D41D25">
        <w:rPr>
          <w:rFonts w:ascii="Georgia" w:eastAsiaTheme="minorEastAsia" w:hAnsi="Georgia" w:cs="Arial"/>
          <w:lang w:val="en-GB"/>
        </w:rPr>
        <w:t xml:space="preserve">. (2) </w:t>
      </w:r>
      <w:r w:rsidR="00A02745">
        <w:rPr>
          <w:rFonts w:ascii="Georgia" w:eastAsiaTheme="minorEastAsia" w:hAnsi="Georgia" w:cs="Arial"/>
          <w:lang w:val="en-GB"/>
        </w:rPr>
        <w:t>D</w:t>
      </w:r>
      <w:r w:rsidR="00A02745" w:rsidRPr="00D41D25">
        <w:rPr>
          <w:rFonts w:ascii="Georgia" w:eastAsiaTheme="minorEastAsia" w:hAnsi="Georgia" w:cs="Arial"/>
          <w:lang w:val="en-GB"/>
        </w:rPr>
        <w:t>esk</w:t>
      </w:r>
      <w:r w:rsidRPr="00D41D25">
        <w:rPr>
          <w:rFonts w:ascii="Georgia" w:eastAsiaTheme="minorEastAsia" w:hAnsi="Georgia" w:cs="Arial"/>
          <w:lang w:val="en-GB"/>
        </w:rPr>
        <w:t>-sharing may affect group identity (</w:t>
      </w:r>
      <w:proofErr w:type="spellStart"/>
      <w:r w:rsidRPr="00D41D25">
        <w:rPr>
          <w:rFonts w:ascii="Georgia" w:eastAsiaTheme="minorEastAsia" w:hAnsi="Georgia" w:cs="Arial"/>
          <w:lang w:val="en-GB"/>
        </w:rPr>
        <w:t>Elsbach</w:t>
      </w:r>
      <w:proofErr w:type="spellEnd"/>
      <w:r w:rsidRPr="00D41D25">
        <w:rPr>
          <w:rFonts w:ascii="Georgia" w:eastAsiaTheme="minorEastAsia" w:hAnsi="Georgia" w:cs="Arial"/>
          <w:lang w:val="en-GB"/>
        </w:rPr>
        <w:t xml:space="preserve">, 2003) and may conflict with organizational culture. Particularly, the role of workplaces as status markers fundamentally changes with the introduction of desk-sharing (cf. Vischer, 2005). (3) Organisation-specific conditions and work processes of the different user groups must be studied and understood in any case.  </w:t>
      </w:r>
    </w:p>
    <w:p w14:paraId="481743D0" w14:textId="7D64DB5E" w:rsidR="00A300BC" w:rsidRPr="00D41D25" w:rsidRDefault="00A300BC" w:rsidP="00A300BC">
      <w:pPr>
        <w:pStyle w:val="MDPI31text"/>
        <w:rPr>
          <w:rFonts w:ascii="Georgia" w:eastAsiaTheme="minorEastAsia" w:hAnsi="Georgia" w:cs="Arial"/>
          <w:lang w:val="en-GB"/>
        </w:rPr>
      </w:pPr>
      <w:r w:rsidRPr="00D41D25">
        <w:rPr>
          <w:rFonts w:ascii="Georgia" w:eastAsiaTheme="minorEastAsia" w:hAnsi="Georgia" w:cs="Arial"/>
          <w:lang w:val="en-GB"/>
        </w:rPr>
        <w:t>Despite low utilization, the administrative workplace is an important place of work for medical staff. A high workload, long working hours</w:t>
      </w:r>
      <w:r w:rsidR="00B7087E" w:rsidRPr="00D41D25">
        <w:rPr>
          <w:rFonts w:ascii="Georgia" w:eastAsiaTheme="minorEastAsia" w:hAnsi="Georgia" w:cs="Arial"/>
          <w:lang w:val="en-GB"/>
        </w:rPr>
        <w:t>,</w:t>
      </w:r>
      <w:r w:rsidRPr="00D41D25">
        <w:rPr>
          <w:rFonts w:ascii="Georgia" w:eastAsiaTheme="minorEastAsia" w:hAnsi="Georgia" w:cs="Arial"/>
          <w:lang w:val="en-GB"/>
        </w:rPr>
        <w:t xml:space="preserve"> and daily medical routines result in requirements for the workplace environment that must be considered for future solutions. For example, not only the duration of using a workstation is important but also the frequency. Frequent short periods of utilization may imply that it would be impractical to put away one's utensils every time and clear the workstation so that colleagues could use it. The same ap</w:t>
      </w:r>
      <w:r w:rsidR="00B7087E" w:rsidRPr="00D41D25">
        <w:rPr>
          <w:rFonts w:ascii="Georgia" w:eastAsiaTheme="minorEastAsia" w:hAnsi="Georgia" w:cs="Arial"/>
          <w:lang w:val="en-GB"/>
        </w:rPr>
        <w:t>p</w:t>
      </w:r>
      <w:r w:rsidRPr="00D41D25">
        <w:rPr>
          <w:rFonts w:ascii="Georgia" w:eastAsiaTheme="minorEastAsia" w:hAnsi="Georgia" w:cs="Arial"/>
          <w:lang w:val="en-GB"/>
        </w:rPr>
        <w:t xml:space="preserve">lies for frequently changing activities while using a workstation. Shorter periods of </w:t>
      </w:r>
      <w:r w:rsidR="002A0214" w:rsidRPr="00D41D25">
        <w:rPr>
          <w:rFonts w:ascii="Georgia" w:eastAsiaTheme="minorEastAsia" w:hAnsi="Georgia" w:cs="Arial"/>
          <w:lang w:val="en-GB"/>
        </w:rPr>
        <w:t>activit</w:t>
      </w:r>
      <w:r w:rsidR="002A0214">
        <w:rPr>
          <w:rFonts w:ascii="Georgia" w:eastAsiaTheme="minorEastAsia" w:hAnsi="Georgia" w:cs="Arial"/>
          <w:lang w:val="en-GB"/>
        </w:rPr>
        <w:t>y</w:t>
      </w:r>
      <w:r w:rsidRPr="00D41D25">
        <w:rPr>
          <w:rFonts w:ascii="Georgia" w:eastAsiaTheme="minorEastAsia" w:hAnsi="Georgia" w:cs="Arial"/>
          <w:lang w:val="en-GB"/>
        </w:rPr>
        <w:t>, like short phone calls, imply that it would be impractical to change from a</w:t>
      </w:r>
      <w:r w:rsidR="006B14D8" w:rsidRPr="00D41D25">
        <w:rPr>
          <w:rFonts w:ascii="Georgia" w:eastAsiaTheme="minorEastAsia" w:hAnsi="Georgia" w:cs="Arial"/>
          <w:lang w:val="en-GB"/>
        </w:rPr>
        <w:t xml:space="preserve"> </w:t>
      </w:r>
      <w:r w:rsidRPr="00D41D25">
        <w:rPr>
          <w:rFonts w:ascii="Georgia" w:eastAsiaTheme="minorEastAsia" w:hAnsi="Georgia" w:cs="Arial"/>
          <w:lang w:val="en-GB"/>
        </w:rPr>
        <w:t xml:space="preserve">desk to a phone </w:t>
      </w:r>
      <w:r w:rsidR="002D7590">
        <w:rPr>
          <w:rFonts w:ascii="Georgia" w:eastAsiaTheme="minorEastAsia" w:hAnsi="Georgia" w:cs="Arial"/>
          <w:lang w:val="en-GB"/>
        </w:rPr>
        <w:t>booth</w:t>
      </w:r>
      <w:r w:rsidRPr="00D41D25">
        <w:rPr>
          <w:rFonts w:ascii="Georgia" w:eastAsiaTheme="minorEastAsia" w:hAnsi="Georgia" w:cs="Arial"/>
          <w:lang w:val="en-GB"/>
        </w:rPr>
        <w:t xml:space="preserve">. </w:t>
      </w:r>
    </w:p>
    <w:p w14:paraId="424DCB66" w14:textId="18EA2B78" w:rsidR="00BF14F1" w:rsidRPr="00D41D25" w:rsidRDefault="00BF14F1" w:rsidP="00A300BC">
      <w:pPr>
        <w:pStyle w:val="MDPI31text"/>
        <w:rPr>
          <w:rFonts w:ascii="Georgia" w:eastAsiaTheme="minorEastAsia" w:hAnsi="Georgia" w:cs="Arial"/>
          <w:lang w:val="en-GB"/>
        </w:rPr>
      </w:pPr>
      <w:r w:rsidRPr="00D41D25">
        <w:rPr>
          <w:rFonts w:ascii="Georgia" w:eastAsiaTheme="minorEastAsia" w:hAnsi="Georgia" w:cs="Arial"/>
          <w:lang w:val="en-GB"/>
        </w:rPr>
        <w:t>Considering the activity patter</w:t>
      </w:r>
      <w:r w:rsidR="002D7590">
        <w:rPr>
          <w:rFonts w:ascii="Georgia" w:eastAsiaTheme="minorEastAsia" w:hAnsi="Georgia" w:cs="Arial"/>
          <w:lang w:val="en-GB"/>
        </w:rPr>
        <w:t>n</w:t>
      </w:r>
      <w:r w:rsidRPr="00D41D25">
        <w:rPr>
          <w:rFonts w:ascii="Georgia" w:eastAsiaTheme="minorEastAsia" w:hAnsi="Georgia" w:cs="Arial"/>
          <w:lang w:val="en-GB"/>
        </w:rPr>
        <w:t>s found in these four hospital projects</w:t>
      </w:r>
      <w:r w:rsidR="00B7087E" w:rsidRPr="00D41D25">
        <w:rPr>
          <w:rFonts w:ascii="Georgia" w:eastAsiaTheme="minorEastAsia" w:hAnsi="Georgia" w:cs="Arial"/>
          <w:lang w:val="en-GB"/>
        </w:rPr>
        <w:t>,</w:t>
      </w:r>
      <w:r w:rsidRPr="00D41D25">
        <w:rPr>
          <w:rFonts w:ascii="Georgia" w:eastAsiaTheme="minorEastAsia" w:hAnsi="Georgia" w:cs="Arial"/>
          <w:lang w:val="en-GB"/>
        </w:rPr>
        <w:t xml:space="preserve"> the backstage office has to be multifunctional and support</w:t>
      </w:r>
      <w:r w:rsidR="00B7087E" w:rsidRPr="00D41D25">
        <w:rPr>
          <w:rFonts w:ascii="Georgia" w:eastAsiaTheme="minorEastAsia" w:hAnsi="Georgia" w:cs="Arial"/>
          <w:lang w:val="en-GB"/>
        </w:rPr>
        <w:t xml:space="preserve"> both</w:t>
      </w:r>
      <w:r w:rsidRPr="00D41D25">
        <w:rPr>
          <w:rFonts w:ascii="Georgia" w:eastAsiaTheme="minorEastAsia" w:hAnsi="Georgia" w:cs="Arial"/>
          <w:lang w:val="en-GB"/>
        </w:rPr>
        <w:t xml:space="preserve"> concentrat</w:t>
      </w:r>
      <w:r w:rsidR="00B7087E" w:rsidRPr="00D41D25">
        <w:rPr>
          <w:rFonts w:ascii="Georgia" w:eastAsiaTheme="minorEastAsia" w:hAnsi="Georgia" w:cs="Arial"/>
          <w:lang w:val="en-GB"/>
        </w:rPr>
        <w:t xml:space="preserve">ed </w:t>
      </w:r>
      <w:r w:rsidRPr="00D41D25">
        <w:rPr>
          <w:rFonts w:ascii="Georgia" w:eastAsiaTheme="minorEastAsia" w:hAnsi="Georgia" w:cs="Arial"/>
          <w:lang w:val="en-GB"/>
        </w:rPr>
        <w:t>deskwork and communication. This could be very challenging when it come</w:t>
      </w:r>
      <w:r w:rsidR="00CE0018" w:rsidRPr="00D41D25">
        <w:rPr>
          <w:rFonts w:ascii="Georgia" w:eastAsiaTheme="minorEastAsia" w:hAnsi="Georgia" w:cs="Arial"/>
          <w:lang w:val="en-GB"/>
        </w:rPr>
        <w:t>s</w:t>
      </w:r>
      <w:r w:rsidRPr="00D41D25">
        <w:rPr>
          <w:rFonts w:ascii="Georgia" w:eastAsiaTheme="minorEastAsia" w:hAnsi="Georgia" w:cs="Arial"/>
          <w:lang w:val="en-GB"/>
        </w:rPr>
        <w:t xml:space="preserve"> to open offices with shared desks. Frequent communication may cause interruptions and disruptions</w:t>
      </w:r>
      <w:r w:rsidR="00CE0018" w:rsidRPr="00D41D25">
        <w:rPr>
          <w:rFonts w:ascii="Georgia" w:eastAsiaTheme="minorEastAsia" w:hAnsi="Georgia" w:cs="Arial"/>
          <w:lang w:val="en-GB"/>
        </w:rPr>
        <w:t xml:space="preserve"> </w:t>
      </w:r>
      <w:r w:rsidR="00EF6D73">
        <w:rPr>
          <w:rFonts w:ascii="Georgia" w:eastAsiaTheme="minorEastAsia" w:hAnsi="Georgia" w:cs="Arial"/>
          <w:lang w:val="en-GB"/>
        </w:rPr>
        <w:t>to</w:t>
      </w:r>
      <w:r w:rsidR="00EF6D73" w:rsidRPr="00D41D25">
        <w:rPr>
          <w:rFonts w:ascii="Georgia" w:eastAsiaTheme="minorEastAsia" w:hAnsi="Georgia" w:cs="Arial"/>
          <w:lang w:val="en-GB"/>
        </w:rPr>
        <w:t xml:space="preserve"> </w:t>
      </w:r>
      <w:r w:rsidR="00CE0018" w:rsidRPr="00D41D25">
        <w:rPr>
          <w:rFonts w:ascii="Georgia" w:eastAsiaTheme="minorEastAsia" w:hAnsi="Georgia" w:cs="Arial"/>
          <w:lang w:val="en-GB"/>
        </w:rPr>
        <w:t>colleagues’ concentrated individual work</w:t>
      </w:r>
      <w:r w:rsidRPr="00D41D25">
        <w:rPr>
          <w:rFonts w:ascii="Georgia" w:eastAsiaTheme="minorEastAsia" w:hAnsi="Georgia" w:cs="Arial"/>
          <w:lang w:val="en-GB"/>
        </w:rPr>
        <w:t>.</w:t>
      </w:r>
    </w:p>
    <w:p w14:paraId="5A0C7C48" w14:textId="57EB65F2" w:rsidR="002031CF" w:rsidRPr="00D41D25" w:rsidRDefault="00A300BC" w:rsidP="00A300BC">
      <w:pPr>
        <w:pStyle w:val="MDPI31text"/>
        <w:rPr>
          <w:rFonts w:ascii="Georgia" w:eastAsiaTheme="minorEastAsia" w:hAnsi="Georgia" w:cs="Arial"/>
          <w:lang w:val="en-GB"/>
        </w:rPr>
      </w:pPr>
      <w:r w:rsidRPr="00D41D25">
        <w:rPr>
          <w:rFonts w:ascii="Georgia" w:eastAsiaTheme="minorEastAsia" w:hAnsi="Georgia" w:cs="Arial"/>
          <w:lang w:val="en-GB"/>
        </w:rPr>
        <w:t xml:space="preserve">There is clearly a need to </w:t>
      </w:r>
      <w:r w:rsidR="00CE0018" w:rsidRPr="00D41D25">
        <w:rPr>
          <w:rFonts w:ascii="Georgia" w:eastAsiaTheme="minorEastAsia" w:hAnsi="Georgia" w:cs="Arial"/>
          <w:lang w:val="en-GB"/>
        </w:rPr>
        <w:t xml:space="preserve">further </w:t>
      </w:r>
      <w:proofErr w:type="spellStart"/>
      <w:r w:rsidRPr="00D41D25">
        <w:rPr>
          <w:rFonts w:ascii="Georgia" w:eastAsiaTheme="minorEastAsia" w:hAnsi="Georgia" w:cs="Arial"/>
          <w:lang w:val="en-GB"/>
        </w:rPr>
        <w:t>analyze</w:t>
      </w:r>
      <w:proofErr w:type="spellEnd"/>
      <w:r w:rsidRPr="00D41D25">
        <w:rPr>
          <w:rFonts w:ascii="Georgia" w:eastAsiaTheme="minorEastAsia" w:hAnsi="Georgia" w:cs="Arial"/>
          <w:lang w:val="en-GB"/>
        </w:rPr>
        <w:t xml:space="preserve"> the current and future role of </w:t>
      </w:r>
      <w:proofErr w:type="spellStart"/>
      <w:r w:rsidRPr="00D41D25">
        <w:rPr>
          <w:rFonts w:ascii="Georgia" w:eastAsiaTheme="minorEastAsia" w:hAnsi="Georgia" w:cs="Arial"/>
          <w:lang w:val="en-GB"/>
        </w:rPr>
        <w:t>administra-tive</w:t>
      </w:r>
      <w:proofErr w:type="spellEnd"/>
      <w:r w:rsidRPr="00D41D25">
        <w:rPr>
          <w:rFonts w:ascii="Georgia" w:eastAsiaTheme="minorEastAsia" w:hAnsi="Georgia" w:cs="Arial"/>
          <w:lang w:val="en-GB"/>
        </w:rPr>
        <w:t xml:space="preserve"> workplaces in hospitals regarding their functional, symbolical, and spatial properties.</w:t>
      </w:r>
    </w:p>
    <w:p w14:paraId="008CB810" w14:textId="77777777" w:rsidR="00383E43" w:rsidRPr="00D41D25" w:rsidRDefault="00383E43" w:rsidP="00891FDB">
      <w:pPr>
        <w:pStyle w:val="MDPI31text"/>
        <w:rPr>
          <w:rFonts w:ascii="Georgia" w:eastAsiaTheme="minorEastAsia" w:hAnsi="Georgia" w:cs="Arial"/>
          <w:lang w:val="en-GB"/>
        </w:rPr>
      </w:pPr>
    </w:p>
    <w:p w14:paraId="68E63E26" w14:textId="7E47F36E" w:rsidR="008A555D" w:rsidRPr="00D41D25" w:rsidRDefault="008A555D" w:rsidP="007D6114">
      <w:pPr>
        <w:pStyle w:val="MDPI31text"/>
        <w:ind w:left="0" w:firstLine="0"/>
        <w:rPr>
          <w:rFonts w:ascii="Georgia" w:eastAsiaTheme="minorEastAsia" w:hAnsi="Georgia" w:cs="Arial"/>
          <w:lang w:val="en-GB"/>
        </w:rPr>
      </w:pPr>
    </w:p>
    <w:p w14:paraId="7931077B" w14:textId="5763B60B" w:rsidR="00E63A2B" w:rsidRDefault="00E63A2B" w:rsidP="008A555D">
      <w:pPr>
        <w:pStyle w:val="MDPI31text"/>
        <w:rPr>
          <w:rFonts w:ascii="Georgia" w:eastAsiaTheme="minorEastAsia" w:hAnsi="Georgia" w:cs="Arial"/>
          <w:lang w:val="en-GB"/>
        </w:rPr>
      </w:pPr>
    </w:p>
    <w:p w14:paraId="071E4E01" w14:textId="57D5EB64" w:rsidR="00A86E9F" w:rsidRPr="00D41D25" w:rsidRDefault="00A86E9F" w:rsidP="0033476B">
      <w:pPr>
        <w:pStyle w:val="MDPI21heading1"/>
        <w:ind w:left="0"/>
        <w:jc w:val="both"/>
        <w:rPr>
          <w:rFonts w:eastAsiaTheme="minorEastAsia"/>
          <w:lang w:val="en-GB"/>
        </w:rPr>
      </w:pPr>
      <w:r w:rsidRPr="0033476B">
        <w:rPr>
          <w:rFonts w:eastAsiaTheme="minorEastAsia"/>
        </w:rPr>
        <w:lastRenderedPageBreak/>
        <w:t>References</w:t>
      </w:r>
    </w:p>
    <w:p w14:paraId="7F0B9913" w14:textId="77777777" w:rsidR="005B19B3" w:rsidRPr="00D41D25" w:rsidRDefault="005B19B3" w:rsidP="001A051E">
      <w:pPr>
        <w:pStyle w:val="MDPI31text"/>
        <w:ind w:left="425" w:firstLine="0"/>
        <w:rPr>
          <w:rFonts w:ascii="Georgia" w:eastAsiaTheme="minorEastAsia" w:hAnsi="Georgia" w:cs="Arial"/>
          <w:lang w:val="en-GB"/>
        </w:rPr>
      </w:pPr>
    </w:p>
    <w:p w14:paraId="36733833" w14:textId="12CAEEE1" w:rsidR="00216F33" w:rsidRPr="00D41D25" w:rsidRDefault="00216F33" w:rsidP="0033476B">
      <w:pPr>
        <w:pStyle w:val="MDPI71References"/>
        <w:rPr>
          <w:rFonts w:eastAsiaTheme="minorEastAsia"/>
          <w:lang w:val="en-GB"/>
        </w:rPr>
      </w:pPr>
      <w:r w:rsidRPr="00D41D25">
        <w:rPr>
          <w:rFonts w:eastAsiaTheme="minorEastAsia"/>
          <w:lang w:val="en-GB"/>
        </w:rPr>
        <w:t xml:space="preserve">Becker, F., &amp; Parsons, K. S. (2007). Hospital facilities and the role of evidence-based design. </w:t>
      </w:r>
      <w:r w:rsidRPr="00D41D25">
        <w:rPr>
          <w:rFonts w:eastAsiaTheme="minorEastAsia"/>
          <w:i/>
          <w:iCs/>
          <w:lang w:val="en-GB"/>
        </w:rPr>
        <w:t>Journal of Facilities Management</w:t>
      </w:r>
      <w:r w:rsidRPr="00D41D25">
        <w:rPr>
          <w:rFonts w:eastAsiaTheme="minorEastAsia"/>
          <w:lang w:val="en-GB"/>
        </w:rPr>
        <w:t>, 5(4), 263-274.</w:t>
      </w:r>
    </w:p>
    <w:p w14:paraId="3F9D64A0" w14:textId="340ECA4A" w:rsidR="005B19B3" w:rsidRPr="00D41D25" w:rsidRDefault="007D3F1C" w:rsidP="0033476B">
      <w:pPr>
        <w:pStyle w:val="MDPI71References"/>
        <w:rPr>
          <w:rStyle w:val="Hyperlink"/>
          <w:rFonts w:eastAsiaTheme="minorEastAsia" w:cs="Arial"/>
          <w:color w:val="000000"/>
          <w:u w:val="none"/>
          <w:lang w:val="en-GB"/>
        </w:rPr>
      </w:pPr>
      <w:r w:rsidRPr="00D41D25">
        <w:rPr>
          <w:rFonts w:eastAsiaTheme="minorEastAsia"/>
          <w:lang w:val="de-CH"/>
        </w:rPr>
        <w:t xml:space="preserve">Bundesamt für Statistik </w:t>
      </w:r>
      <w:r w:rsidR="00011D7B" w:rsidRPr="00D41D25">
        <w:rPr>
          <w:rFonts w:eastAsiaTheme="minorEastAsia"/>
          <w:lang w:val="de-CH"/>
        </w:rPr>
        <w:t>(2021)</w:t>
      </w:r>
      <w:r w:rsidR="00117378" w:rsidRPr="00D41D25">
        <w:rPr>
          <w:rFonts w:eastAsiaTheme="minorEastAsia"/>
          <w:lang w:val="de-CH"/>
        </w:rPr>
        <w:t xml:space="preserve">. </w:t>
      </w:r>
      <w:r w:rsidR="00117378" w:rsidRPr="00D41D25">
        <w:rPr>
          <w:rFonts w:eastAsiaTheme="minorEastAsia"/>
          <w:i/>
          <w:iCs/>
          <w:lang w:val="de-CH"/>
        </w:rPr>
        <w:t xml:space="preserve">Anzahl Patienten nach Altersklassen und Anzahl Hospitalisierungen im Lauf des Jahres </w:t>
      </w:r>
      <w:r w:rsidR="00AF7567" w:rsidRPr="00D41D25">
        <w:rPr>
          <w:rFonts w:eastAsiaTheme="minorEastAsia"/>
          <w:lang w:val="de-CH"/>
        </w:rPr>
        <w:t>[</w:t>
      </w:r>
      <w:proofErr w:type="spellStart"/>
      <w:r w:rsidR="00A82892" w:rsidRPr="00D41D25">
        <w:rPr>
          <w:rFonts w:eastAsiaTheme="minorEastAsia"/>
          <w:lang w:val="de-CH"/>
        </w:rPr>
        <w:t>Number</w:t>
      </w:r>
      <w:proofErr w:type="spellEnd"/>
      <w:r w:rsidR="00A82892" w:rsidRPr="00D41D25">
        <w:rPr>
          <w:rFonts w:eastAsiaTheme="minorEastAsia"/>
          <w:lang w:val="de-CH"/>
        </w:rPr>
        <w:t xml:space="preserve"> of </w:t>
      </w:r>
      <w:proofErr w:type="spellStart"/>
      <w:r w:rsidR="00A82892" w:rsidRPr="00D41D25">
        <w:rPr>
          <w:rFonts w:eastAsiaTheme="minorEastAsia"/>
          <w:lang w:val="de-CH"/>
        </w:rPr>
        <w:t>patients</w:t>
      </w:r>
      <w:proofErr w:type="spellEnd"/>
      <w:r w:rsidR="00A82892" w:rsidRPr="00D41D25">
        <w:rPr>
          <w:rFonts w:eastAsiaTheme="minorEastAsia"/>
          <w:lang w:val="de-CH"/>
        </w:rPr>
        <w:t xml:space="preserve"> </w:t>
      </w:r>
      <w:proofErr w:type="spellStart"/>
      <w:r w:rsidR="00A82892" w:rsidRPr="00D41D25">
        <w:rPr>
          <w:rFonts w:eastAsiaTheme="minorEastAsia"/>
          <w:lang w:val="de-CH"/>
        </w:rPr>
        <w:t>by</w:t>
      </w:r>
      <w:proofErr w:type="spellEnd"/>
      <w:r w:rsidR="00A82892" w:rsidRPr="00D41D25">
        <w:rPr>
          <w:rFonts w:eastAsiaTheme="minorEastAsia"/>
          <w:lang w:val="de-CH"/>
        </w:rPr>
        <w:t xml:space="preserve"> </w:t>
      </w:r>
      <w:proofErr w:type="spellStart"/>
      <w:r w:rsidR="00A82892" w:rsidRPr="00D41D25">
        <w:rPr>
          <w:rFonts w:eastAsiaTheme="minorEastAsia"/>
          <w:lang w:val="de-CH"/>
        </w:rPr>
        <w:t>age</w:t>
      </w:r>
      <w:proofErr w:type="spellEnd"/>
      <w:r w:rsidR="00A82892" w:rsidRPr="00D41D25">
        <w:rPr>
          <w:rFonts w:eastAsiaTheme="minorEastAsia"/>
          <w:lang w:val="de-CH"/>
        </w:rPr>
        <w:t xml:space="preserve"> </w:t>
      </w:r>
      <w:proofErr w:type="spellStart"/>
      <w:r w:rsidR="00A82892" w:rsidRPr="00D41D25">
        <w:rPr>
          <w:rFonts w:eastAsiaTheme="minorEastAsia"/>
          <w:lang w:val="de-CH"/>
        </w:rPr>
        <w:t>group</w:t>
      </w:r>
      <w:proofErr w:type="spellEnd"/>
      <w:r w:rsidR="00A82892" w:rsidRPr="00D41D25">
        <w:rPr>
          <w:rFonts w:eastAsiaTheme="minorEastAsia"/>
          <w:lang w:val="de-CH"/>
        </w:rPr>
        <w:t xml:space="preserve"> and </w:t>
      </w:r>
      <w:proofErr w:type="spellStart"/>
      <w:r w:rsidR="00A82892" w:rsidRPr="00D41D25">
        <w:rPr>
          <w:rFonts w:eastAsiaTheme="minorEastAsia"/>
          <w:lang w:val="de-CH"/>
        </w:rPr>
        <w:t>number</w:t>
      </w:r>
      <w:proofErr w:type="spellEnd"/>
      <w:r w:rsidR="00A82892" w:rsidRPr="00D41D25">
        <w:rPr>
          <w:rFonts w:eastAsiaTheme="minorEastAsia"/>
          <w:lang w:val="de-CH"/>
        </w:rPr>
        <w:t xml:space="preserve"> of </w:t>
      </w:r>
      <w:proofErr w:type="spellStart"/>
      <w:r w:rsidR="00A82892" w:rsidRPr="00D41D25">
        <w:rPr>
          <w:rFonts w:eastAsiaTheme="minorEastAsia"/>
          <w:lang w:val="de-CH"/>
        </w:rPr>
        <w:t>hospitalisations</w:t>
      </w:r>
      <w:proofErr w:type="spellEnd"/>
      <w:r w:rsidR="00A82892" w:rsidRPr="00D41D25">
        <w:rPr>
          <w:rFonts w:eastAsiaTheme="minorEastAsia"/>
          <w:lang w:val="de-CH"/>
        </w:rPr>
        <w:t xml:space="preserve"> </w:t>
      </w:r>
      <w:proofErr w:type="spellStart"/>
      <w:r w:rsidR="00A82892" w:rsidRPr="00D41D25">
        <w:rPr>
          <w:rFonts w:eastAsiaTheme="minorEastAsia"/>
          <w:lang w:val="de-CH"/>
        </w:rPr>
        <w:t>during</w:t>
      </w:r>
      <w:proofErr w:type="spellEnd"/>
      <w:r w:rsidR="00A82892" w:rsidRPr="00D41D25">
        <w:rPr>
          <w:rFonts w:eastAsiaTheme="minorEastAsia"/>
          <w:lang w:val="de-CH"/>
        </w:rPr>
        <w:t xml:space="preserve"> the </w:t>
      </w:r>
      <w:proofErr w:type="spellStart"/>
      <w:r w:rsidR="00A82892" w:rsidRPr="00D41D25">
        <w:rPr>
          <w:rFonts w:eastAsiaTheme="minorEastAsia"/>
          <w:lang w:val="de-CH"/>
        </w:rPr>
        <w:t>year</w:t>
      </w:r>
      <w:proofErr w:type="spellEnd"/>
      <w:r w:rsidR="00D97653" w:rsidRPr="00D41D25">
        <w:rPr>
          <w:rFonts w:eastAsiaTheme="minorEastAsia"/>
          <w:lang w:val="de-CH"/>
        </w:rPr>
        <w:t>]</w:t>
      </w:r>
      <w:r w:rsidR="00ED189D" w:rsidRPr="00D41D25">
        <w:rPr>
          <w:rFonts w:eastAsiaTheme="minorEastAsia"/>
          <w:lang w:val="de-CH"/>
        </w:rPr>
        <w:t>.</w:t>
      </w:r>
      <w:r w:rsidR="00011D7B" w:rsidRPr="00D41D25">
        <w:rPr>
          <w:rFonts w:eastAsiaTheme="minorEastAsia"/>
          <w:lang w:val="de-CH"/>
        </w:rPr>
        <w:t xml:space="preserve"> </w:t>
      </w:r>
      <w:r w:rsidR="005B19B3" w:rsidRPr="00D41D25">
        <w:rPr>
          <w:rFonts w:eastAsiaTheme="minorEastAsia"/>
          <w:lang w:val="en-GB"/>
        </w:rPr>
        <w:t xml:space="preserve">Retrieved from </w:t>
      </w:r>
      <w:hyperlink r:id="rId12">
        <w:r w:rsidR="00011D7B" w:rsidRPr="00D41D25">
          <w:rPr>
            <w:rStyle w:val="Hyperlink"/>
            <w:rFonts w:eastAsiaTheme="minorEastAsia" w:cs="Arial"/>
            <w:lang w:val="en-GB"/>
          </w:rPr>
          <w:t>https://www.bfs.admin.ch/bfs/de/home/statistiken/gesundheit/gesundheitswesen/spitaeler/patienten-hospitalisierungen.assetdetail.20044051.html</w:t>
        </w:r>
      </w:hyperlink>
    </w:p>
    <w:p w14:paraId="25C30165" w14:textId="72E64BDF" w:rsidR="002D2DDA" w:rsidRPr="00D41D25" w:rsidRDefault="002D2DDA" w:rsidP="0033476B">
      <w:pPr>
        <w:pStyle w:val="MDPI71References"/>
        <w:rPr>
          <w:rFonts w:eastAsiaTheme="minorEastAsia"/>
          <w:lang w:val="en-GB"/>
        </w:rPr>
      </w:pPr>
      <w:r w:rsidRPr="002F227F">
        <w:rPr>
          <w:rFonts w:eastAsiaTheme="minorEastAsia"/>
          <w:lang w:val="nl-NL"/>
        </w:rPr>
        <w:t xml:space="preserve">De Bruyne, E., &amp; Beijer, M. (2015). </w:t>
      </w:r>
      <w:r w:rsidRPr="00D41D25">
        <w:rPr>
          <w:rFonts w:eastAsiaTheme="minorEastAsia"/>
          <w:lang w:val="en-GB"/>
        </w:rPr>
        <w:t xml:space="preserve">Calculating </w:t>
      </w:r>
      <w:proofErr w:type="spellStart"/>
      <w:r w:rsidRPr="00D41D25">
        <w:rPr>
          <w:rFonts w:eastAsiaTheme="minorEastAsia"/>
          <w:lang w:val="en-GB"/>
        </w:rPr>
        <w:t>NWoW</w:t>
      </w:r>
      <w:proofErr w:type="spellEnd"/>
      <w:r w:rsidRPr="00D41D25">
        <w:rPr>
          <w:rFonts w:eastAsiaTheme="minorEastAsia"/>
          <w:lang w:val="en-GB"/>
        </w:rPr>
        <w:t xml:space="preserve"> office space with the PACT model. </w:t>
      </w:r>
      <w:r w:rsidRPr="00D41D25">
        <w:rPr>
          <w:rFonts w:eastAsiaTheme="minorEastAsia"/>
          <w:i/>
          <w:iCs/>
          <w:lang w:val="en-GB"/>
        </w:rPr>
        <w:t>Journal of Corporate Real Estate</w:t>
      </w:r>
      <w:r w:rsidRPr="00D41D25">
        <w:rPr>
          <w:rFonts w:eastAsiaTheme="minorEastAsia"/>
          <w:lang w:val="en-GB"/>
        </w:rPr>
        <w:t xml:space="preserve">, 17(2), 122-133. </w:t>
      </w:r>
      <w:proofErr w:type="spellStart"/>
      <w:r w:rsidRPr="00D41D25">
        <w:rPr>
          <w:rFonts w:eastAsiaTheme="minorEastAsia"/>
          <w:lang w:val="en-GB"/>
        </w:rPr>
        <w:t>doi:http</w:t>
      </w:r>
      <w:proofErr w:type="spellEnd"/>
      <w:r w:rsidRPr="00D41D25">
        <w:rPr>
          <w:rFonts w:eastAsiaTheme="minorEastAsia"/>
          <w:lang w:val="en-GB"/>
        </w:rPr>
        <w:t>://dx.doi.org/10.1108/JCRE-12-2014-0032</w:t>
      </w:r>
    </w:p>
    <w:p w14:paraId="096D9955" w14:textId="4C990A7F" w:rsidR="00941967" w:rsidRPr="00D41D25" w:rsidRDefault="00941967" w:rsidP="0033476B">
      <w:pPr>
        <w:pStyle w:val="MDPI71References"/>
        <w:rPr>
          <w:rFonts w:eastAsiaTheme="minorEastAsia"/>
          <w:lang w:val="en-GB"/>
        </w:rPr>
      </w:pPr>
      <w:proofErr w:type="spellStart"/>
      <w:r w:rsidRPr="00D41D25">
        <w:rPr>
          <w:rFonts w:eastAsiaTheme="minorEastAsia"/>
          <w:lang w:val="en-GB"/>
        </w:rPr>
        <w:t>Elsbach</w:t>
      </w:r>
      <w:proofErr w:type="spellEnd"/>
      <w:r w:rsidRPr="00D41D25">
        <w:rPr>
          <w:rFonts w:eastAsiaTheme="minorEastAsia"/>
          <w:lang w:val="en-GB"/>
        </w:rPr>
        <w:t xml:space="preserve">, K. D. (2003). Relating physical environment to self-categorizations: Identity threat and affirmation in a non-territorial office space. </w:t>
      </w:r>
      <w:r w:rsidRPr="00D41D25">
        <w:rPr>
          <w:rFonts w:eastAsiaTheme="minorEastAsia"/>
          <w:i/>
          <w:iCs/>
          <w:lang w:val="en-GB"/>
        </w:rPr>
        <w:t>Administrative Science Quarterly</w:t>
      </w:r>
      <w:r w:rsidRPr="00D41D25">
        <w:rPr>
          <w:rFonts w:eastAsiaTheme="minorEastAsia"/>
          <w:lang w:val="en-GB"/>
        </w:rPr>
        <w:t>, 48(4), 622-654.</w:t>
      </w:r>
    </w:p>
    <w:p w14:paraId="375A78D2" w14:textId="6DE3B1BB" w:rsidR="00D61138" w:rsidRPr="00D41D25" w:rsidRDefault="00D61138" w:rsidP="0033476B">
      <w:pPr>
        <w:pStyle w:val="MDPI71References"/>
        <w:rPr>
          <w:rFonts w:eastAsiaTheme="minorEastAsia"/>
          <w:lang w:val="en-GB"/>
        </w:rPr>
      </w:pPr>
      <w:r w:rsidRPr="00D41D25">
        <w:rPr>
          <w:rFonts w:eastAsiaTheme="minorEastAsia"/>
          <w:lang w:val="en-GB"/>
        </w:rPr>
        <w:t xml:space="preserve">Fornara, F., &amp; Andrade, C. (2012). Health Care Environments. In S. Clayton (Ed.), </w:t>
      </w:r>
      <w:r w:rsidRPr="00D41D25">
        <w:rPr>
          <w:rFonts w:eastAsiaTheme="minorEastAsia"/>
          <w:i/>
          <w:iCs/>
          <w:lang w:val="en-GB"/>
        </w:rPr>
        <w:t>The Oxford Handbook of Environmental and Conservation Psychology</w:t>
      </w:r>
      <w:r w:rsidRPr="00D41D25">
        <w:rPr>
          <w:rFonts w:eastAsiaTheme="minorEastAsia"/>
          <w:lang w:val="en-GB"/>
        </w:rPr>
        <w:t xml:space="preserve"> (pp. 295-315). Oxford: Oxford University Press.</w:t>
      </w:r>
    </w:p>
    <w:p w14:paraId="13331F71" w14:textId="26153CE9" w:rsidR="000341A7" w:rsidRPr="00D41D25" w:rsidRDefault="000341A7" w:rsidP="0033476B">
      <w:pPr>
        <w:pStyle w:val="MDPI71References"/>
        <w:rPr>
          <w:rFonts w:eastAsiaTheme="minorEastAsia"/>
          <w:lang w:val="en-GB"/>
        </w:rPr>
      </w:pPr>
      <w:proofErr w:type="spellStart"/>
      <w:r w:rsidRPr="00D41D25">
        <w:rPr>
          <w:rFonts w:eastAsiaTheme="minorEastAsia"/>
          <w:lang w:val="en-GB"/>
        </w:rPr>
        <w:t>Fröst</w:t>
      </w:r>
      <w:proofErr w:type="spellEnd"/>
      <w:r w:rsidRPr="00D41D25">
        <w:rPr>
          <w:rFonts w:eastAsiaTheme="minorEastAsia"/>
          <w:lang w:val="en-GB"/>
        </w:rPr>
        <w:t xml:space="preserve">, P. (2016). Administrative workplaces in healthcare: Designing an efficient and patient-focused environment. </w:t>
      </w:r>
      <w:r w:rsidRPr="00D41D25">
        <w:rPr>
          <w:rFonts w:eastAsiaTheme="minorEastAsia"/>
          <w:i/>
          <w:iCs/>
          <w:lang w:val="en-GB"/>
        </w:rPr>
        <w:t>Journal of Hospital Administration</w:t>
      </w:r>
      <w:r w:rsidRPr="00D41D25">
        <w:rPr>
          <w:rFonts w:eastAsiaTheme="minorEastAsia"/>
          <w:lang w:val="en-GB"/>
        </w:rPr>
        <w:t>, 5(4), 68-75.</w:t>
      </w:r>
    </w:p>
    <w:p w14:paraId="54FF5283" w14:textId="016DE066" w:rsidR="00011D7B" w:rsidRPr="00D41D25" w:rsidRDefault="00BD5296" w:rsidP="0033476B">
      <w:pPr>
        <w:pStyle w:val="MDPI71References"/>
        <w:rPr>
          <w:rFonts w:eastAsiaTheme="minorEastAsia"/>
          <w:lang w:val="de-CH"/>
        </w:rPr>
      </w:pPr>
      <w:r w:rsidRPr="00D41D25">
        <w:rPr>
          <w:rFonts w:eastAsiaTheme="minorEastAsia"/>
          <w:lang w:val="de-CH"/>
        </w:rPr>
        <w:t xml:space="preserve">H+ Die Spitäler der Schweiz </w:t>
      </w:r>
      <w:r w:rsidR="003E3DB7" w:rsidRPr="00D41D25">
        <w:rPr>
          <w:rFonts w:eastAsiaTheme="minorEastAsia"/>
          <w:lang w:val="de-CH"/>
        </w:rPr>
        <w:t>(2019)</w:t>
      </w:r>
      <w:r w:rsidR="00C96C87" w:rsidRPr="00D41D25">
        <w:rPr>
          <w:rFonts w:eastAsiaTheme="minorEastAsia"/>
          <w:lang w:val="de-CH"/>
        </w:rPr>
        <w:t xml:space="preserve">. </w:t>
      </w:r>
      <w:r w:rsidR="007A68D2" w:rsidRPr="00D41D25">
        <w:rPr>
          <w:rFonts w:eastAsiaTheme="minorEastAsia"/>
          <w:i/>
          <w:iCs/>
          <w:lang w:val="de-CH"/>
        </w:rPr>
        <w:t>Strukturwandel: Grundversorgung immer mehr in Zentrumsspitälern</w:t>
      </w:r>
      <w:r w:rsidR="0090498D" w:rsidRPr="00D41D25">
        <w:rPr>
          <w:rFonts w:eastAsiaTheme="minorEastAsia"/>
          <w:lang w:val="de-CH"/>
        </w:rPr>
        <w:t xml:space="preserve"> [</w:t>
      </w:r>
      <w:proofErr w:type="spellStart"/>
      <w:r w:rsidR="00911D63" w:rsidRPr="00D41D25">
        <w:rPr>
          <w:rFonts w:eastAsiaTheme="minorEastAsia"/>
          <w:lang w:val="de-CH"/>
        </w:rPr>
        <w:t>Structural</w:t>
      </w:r>
      <w:proofErr w:type="spellEnd"/>
      <w:r w:rsidR="00911D63" w:rsidRPr="00D41D25">
        <w:rPr>
          <w:rFonts w:eastAsiaTheme="minorEastAsia"/>
          <w:lang w:val="de-CH"/>
        </w:rPr>
        <w:t xml:space="preserve"> </w:t>
      </w:r>
      <w:proofErr w:type="spellStart"/>
      <w:r w:rsidR="00911D63" w:rsidRPr="00D41D25">
        <w:rPr>
          <w:rFonts w:eastAsiaTheme="minorEastAsia"/>
          <w:lang w:val="de-CH"/>
        </w:rPr>
        <w:t>change</w:t>
      </w:r>
      <w:proofErr w:type="spellEnd"/>
      <w:r w:rsidR="00911D63" w:rsidRPr="00D41D25">
        <w:rPr>
          <w:rFonts w:eastAsiaTheme="minorEastAsia"/>
          <w:lang w:val="de-CH"/>
        </w:rPr>
        <w:t xml:space="preserve">: </w:t>
      </w:r>
      <w:proofErr w:type="spellStart"/>
      <w:r w:rsidR="00911D63" w:rsidRPr="00D41D25">
        <w:rPr>
          <w:rFonts w:eastAsiaTheme="minorEastAsia"/>
          <w:lang w:val="de-CH"/>
        </w:rPr>
        <w:t>primary</w:t>
      </w:r>
      <w:proofErr w:type="spellEnd"/>
      <w:r w:rsidR="00911D63" w:rsidRPr="00D41D25">
        <w:rPr>
          <w:rFonts w:eastAsiaTheme="minorEastAsia"/>
          <w:lang w:val="de-CH"/>
        </w:rPr>
        <w:t xml:space="preserve"> care </w:t>
      </w:r>
      <w:proofErr w:type="spellStart"/>
      <w:r w:rsidR="00911D63" w:rsidRPr="00D41D25">
        <w:rPr>
          <w:rFonts w:eastAsiaTheme="minorEastAsia"/>
          <w:lang w:val="de-CH"/>
        </w:rPr>
        <w:t>increasingly</w:t>
      </w:r>
      <w:proofErr w:type="spellEnd"/>
      <w:r w:rsidR="00911D63" w:rsidRPr="00D41D25">
        <w:rPr>
          <w:rFonts w:eastAsiaTheme="minorEastAsia"/>
          <w:lang w:val="de-CH"/>
        </w:rPr>
        <w:t xml:space="preserve"> in </w:t>
      </w:r>
      <w:proofErr w:type="spellStart"/>
      <w:r w:rsidR="00911D63" w:rsidRPr="00D41D25">
        <w:rPr>
          <w:rFonts w:eastAsiaTheme="minorEastAsia"/>
          <w:lang w:val="de-CH"/>
        </w:rPr>
        <w:t>centre</w:t>
      </w:r>
      <w:proofErr w:type="spellEnd"/>
      <w:r w:rsidR="00911D63" w:rsidRPr="00D41D25">
        <w:rPr>
          <w:rFonts w:eastAsiaTheme="minorEastAsia"/>
          <w:lang w:val="de-CH"/>
        </w:rPr>
        <w:t xml:space="preserve"> </w:t>
      </w:r>
      <w:proofErr w:type="spellStart"/>
      <w:r w:rsidR="00911D63" w:rsidRPr="00D41D25">
        <w:rPr>
          <w:rFonts w:eastAsiaTheme="minorEastAsia"/>
          <w:lang w:val="de-CH"/>
        </w:rPr>
        <w:t>hospitals</w:t>
      </w:r>
      <w:proofErr w:type="spellEnd"/>
      <w:r w:rsidR="00911D63" w:rsidRPr="00D41D25">
        <w:rPr>
          <w:rFonts w:eastAsiaTheme="minorEastAsia"/>
          <w:lang w:val="de-CH"/>
        </w:rPr>
        <w:t>].</w:t>
      </w:r>
      <w:r w:rsidR="003E3DB7" w:rsidRPr="00D41D25">
        <w:rPr>
          <w:rFonts w:eastAsiaTheme="minorEastAsia"/>
          <w:lang w:val="de-CH"/>
        </w:rPr>
        <w:t xml:space="preserve"> </w:t>
      </w:r>
      <w:proofErr w:type="spellStart"/>
      <w:r w:rsidRPr="00D41D25">
        <w:rPr>
          <w:rFonts w:eastAsiaTheme="minorEastAsia"/>
          <w:lang w:val="de-CH"/>
        </w:rPr>
        <w:t>Retrieved</w:t>
      </w:r>
      <w:proofErr w:type="spellEnd"/>
      <w:r w:rsidRPr="00D41D25">
        <w:rPr>
          <w:rFonts w:eastAsiaTheme="minorEastAsia"/>
          <w:lang w:val="de-CH"/>
        </w:rPr>
        <w:t xml:space="preserve"> </w:t>
      </w:r>
      <w:proofErr w:type="spellStart"/>
      <w:r w:rsidRPr="00D41D25">
        <w:rPr>
          <w:rFonts w:eastAsiaTheme="minorEastAsia"/>
          <w:lang w:val="de-CH"/>
        </w:rPr>
        <w:t>from</w:t>
      </w:r>
      <w:proofErr w:type="spellEnd"/>
      <w:r w:rsidRPr="00D41D25">
        <w:rPr>
          <w:rFonts w:eastAsiaTheme="minorEastAsia"/>
          <w:lang w:val="de-CH"/>
        </w:rPr>
        <w:t xml:space="preserve"> </w:t>
      </w:r>
      <w:hyperlink r:id="rId13">
        <w:r w:rsidR="003E3DB7" w:rsidRPr="00D41D25">
          <w:rPr>
            <w:rStyle w:val="Hyperlink"/>
            <w:rFonts w:eastAsiaTheme="minorEastAsia" w:cs="Arial"/>
            <w:lang w:val="de-CH"/>
          </w:rPr>
          <w:t>https://www.hplus.ch/de/zahlen-statistiken/h-spital-und-klinik-monitor/gesamtbranche/strukturen/spitaeler/spitaltypen</w:t>
        </w:r>
      </w:hyperlink>
    </w:p>
    <w:p w14:paraId="13139155" w14:textId="7207C213" w:rsidR="009B4F1E" w:rsidRPr="00D41D25" w:rsidRDefault="00761496" w:rsidP="0033476B">
      <w:pPr>
        <w:pStyle w:val="MDPI71References"/>
        <w:rPr>
          <w:rFonts w:eastAsiaTheme="minorEastAsia"/>
          <w:lang w:val="en-GB"/>
        </w:rPr>
      </w:pPr>
      <w:proofErr w:type="spellStart"/>
      <w:r w:rsidRPr="00D41D25">
        <w:rPr>
          <w:rFonts w:eastAsiaTheme="minorEastAsia"/>
          <w:lang w:val="de-CH"/>
        </w:rPr>
        <w:t>Medinside</w:t>
      </w:r>
      <w:proofErr w:type="spellEnd"/>
      <w:r w:rsidRPr="00D41D25">
        <w:rPr>
          <w:rFonts w:eastAsiaTheme="minorEastAsia"/>
          <w:lang w:val="de-CH"/>
        </w:rPr>
        <w:t xml:space="preserve"> (2016)</w:t>
      </w:r>
      <w:r w:rsidR="00911D63" w:rsidRPr="00D41D25">
        <w:rPr>
          <w:rFonts w:eastAsiaTheme="minorEastAsia"/>
          <w:lang w:val="de-CH"/>
        </w:rPr>
        <w:t xml:space="preserve">. </w:t>
      </w:r>
      <w:r w:rsidR="00E87ACC" w:rsidRPr="00D41D25">
        <w:rPr>
          <w:rFonts w:eastAsiaTheme="minorEastAsia"/>
          <w:i/>
          <w:iCs/>
          <w:lang w:val="de-CH"/>
        </w:rPr>
        <w:t>Spital-Bau-Boom in der Schweiz: Ist das noch gesund?</w:t>
      </w:r>
      <w:r w:rsidR="00E87ACC" w:rsidRPr="00D41D25">
        <w:rPr>
          <w:rFonts w:eastAsiaTheme="minorEastAsia"/>
          <w:lang w:val="de-CH"/>
        </w:rPr>
        <w:t xml:space="preserve"> </w:t>
      </w:r>
      <w:r w:rsidR="00E87ACC" w:rsidRPr="00D41D25">
        <w:rPr>
          <w:rFonts w:eastAsiaTheme="minorEastAsia"/>
          <w:lang w:val="en-GB"/>
        </w:rPr>
        <w:t>[</w:t>
      </w:r>
      <w:r w:rsidR="00405E25" w:rsidRPr="00D41D25">
        <w:rPr>
          <w:rFonts w:eastAsiaTheme="minorEastAsia"/>
          <w:lang w:val="en-GB"/>
        </w:rPr>
        <w:t>Hospital construction boom in Switzerland: Is it still healthy?</w:t>
      </w:r>
      <w:r w:rsidR="00F159FD" w:rsidRPr="00D41D25">
        <w:rPr>
          <w:rFonts w:eastAsiaTheme="minorEastAsia"/>
          <w:lang w:val="en-GB"/>
        </w:rPr>
        <w:t>].</w:t>
      </w:r>
      <w:r w:rsidRPr="00D41D25">
        <w:rPr>
          <w:rFonts w:eastAsiaTheme="minorEastAsia"/>
          <w:lang w:val="en-GB"/>
        </w:rPr>
        <w:t xml:space="preserve"> Retrieved from </w:t>
      </w:r>
      <w:hyperlink r:id="rId14" w:history="1">
        <w:r w:rsidR="00D749F9" w:rsidRPr="00D41D25">
          <w:rPr>
            <w:rStyle w:val="Hyperlink"/>
            <w:rFonts w:eastAsiaTheme="minorEastAsia" w:cs="Arial"/>
            <w:lang w:val="en-GB"/>
          </w:rPr>
          <w:t>https://www.medinside.ch/de/post/spital-bau-boom-in-der-schweiz-ist-das-noch-gesund</w:t>
        </w:r>
      </w:hyperlink>
    </w:p>
    <w:p w14:paraId="21C67030" w14:textId="77777777" w:rsidR="006B14D8" w:rsidRPr="00D41D25" w:rsidRDefault="006B14D8" w:rsidP="0033476B">
      <w:pPr>
        <w:pStyle w:val="MDPI71References"/>
        <w:rPr>
          <w:rFonts w:eastAsiaTheme="minorEastAsia"/>
          <w:lang w:val="en-GB"/>
        </w:rPr>
      </w:pPr>
      <w:r w:rsidRPr="00D41D25">
        <w:rPr>
          <w:rFonts w:eastAsiaTheme="minorEastAsia"/>
        </w:rPr>
        <w:t>Rawlinson, C. (1978). Space utilization in hospitals.</w:t>
      </w:r>
      <w:r w:rsidRPr="00D41D25">
        <w:rPr>
          <w:rFonts w:eastAsiaTheme="minorEastAsia"/>
          <w:i/>
          <w:iCs/>
        </w:rPr>
        <w:t xml:space="preserve"> Journal of Architectural Research</w:t>
      </w:r>
      <w:r w:rsidRPr="00D41D25">
        <w:rPr>
          <w:rFonts w:eastAsiaTheme="minorEastAsia"/>
        </w:rPr>
        <w:t>, 4-12.</w:t>
      </w:r>
    </w:p>
    <w:p w14:paraId="7DC4C0AA" w14:textId="70630512" w:rsidR="00E25C55" w:rsidRPr="00D41D25" w:rsidRDefault="00E25C55" w:rsidP="0033476B">
      <w:pPr>
        <w:pStyle w:val="MDPI71References"/>
        <w:rPr>
          <w:rFonts w:eastAsiaTheme="minorEastAsia"/>
          <w:lang w:val="en-GB"/>
        </w:rPr>
      </w:pPr>
      <w:r w:rsidRPr="00D41D25">
        <w:rPr>
          <w:rFonts w:eastAsiaTheme="minorEastAsia"/>
          <w:lang w:val="it-IT"/>
        </w:rPr>
        <w:t xml:space="preserve">Tagliaro, C., Zhou, Y. Y., &amp; Hua, Y. (2021). </w:t>
      </w:r>
      <w:r w:rsidRPr="00D41D25">
        <w:rPr>
          <w:rFonts w:eastAsiaTheme="minorEastAsia"/>
          <w:lang w:val="en-GB"/>
        </w:rPr>
        <w:t xml:space="preserve">A change in granularity: measure space utilization through smart technologies. </w:t>
      </w:r>
      <w:r w:rsidRPr="00D41D25">
        <w:rPr>
          <w:rFonts w:eastAsiaTheme="minorEastAsia"/>
          <w:i/>
          <w:iCs/>
          <w:lang w:val="en-GB"/>
        </w:rPr>
        <w:t>Facilities</w:t>
      </w:r>
      <w:r w:rsidRPr="00D41D25">
        <w:rPr>
          <w:rFonts w:eastAsiaTheme="minorEastAsia"/>
          <w:lang w:val="en-GB"/>
        </w:rPr>
        <w:t>, 39(1-2), 64-79. doi:10.1108/F-08-2019-0093</w:t>
      </w:r>
    </w:p>
    <w:p w14:paraId="63059431" w14:textId="4460C586" w:rsidR="00D749F9" w:rsidRPr="00D41D25" w:rsidRDefault="002D2DDA" w:rsidP="0033476B">
      <w:pPr>
        <w:pStyle w:val="MDPI71References"/>
        <w:rPr>
          <w:rFonts w:eastAsiaTheme="minorEastAsia"/>
          <w:lang w:val="en-GB"/>
        </w:rPr>
      </w:pPr>
      <w:r w:rsidRPr="00D41D25">
        <w:rPr>
          <w:rFonts w:eastAsiaTheme="minorEastAsia"/>
          <w:lang w:val="en-GB"/>
        </w:rPr>
        <w:t xml:space="preserve">Vischer, J. C. (1996). </w:t>
      </w:r>
      <w:r w:rsidRPr="00D41D25">
        <w:rPr>
          <w:rFonts w:eastAsiaTheme="minorEastAsia"/>
          <w:i/>
          <w:iCs/>
          <w:lang w:val="en-GB"/>
        </w:rPr>
        <w:t>Workspace strategies. Environment as a tool for work</w:t>
      </w:r>
      <w:r w:rsidRPr="00D41D25">
        <w:rPr>
          <w:rFonts w:eastAsiaTheme="minorEastAsia"/>
          <w:lang w:val="en-GB"/>
        </w:rPr>
        <w:t>. New York: Chapman and Hall.</w:t>
      </w:r>
    </w:p>
    <w:p w14:paraId="00CD42C4" w14:textId="4A5C11FD" w:rsidR="00941967" w:rsidRPr="00D41D25" w:rsidRDefault="00941967" w:rsidP="0033476B">
      <w:pPr>
        <w:pStyle w:val="MDPI71References"/>
        <w:rPr>
          <w:rFonts w:eastAsiaTheme="minorEastAsia"/>
          <w:lang w:val="en-GB"/>
        </w:rPr>
      </w:pPr>
      <w:r w:rsidRPr="00D41D25">
        <w:rPr>
          <w:rFonts w:eastAsiaTheme="minorEastAsia"/>
          <w:lang w:val="en-GB"/>
        </w:rPr>
        <w:t xml:space="preserve">Vischer, J. C. (2005). </w:t>
      </w:r>
      <w:r w:rsidRPr="00D41D25">
        <w:rPr>
          <w:rFonts w:eastAsiaTheme="minorEastAsia"/>
          <w:i/>
          <w:iCs/>
          <w:lang w:val="en-GB"/>
        </w:rPr>
        <w:t>Space meets status. Designing workplace performance</w:t>
      </w:r>
      <w:r w:rsidRPr="00D41D25">
        <w:rPr>
          <w:rFonts w:eastAsiaTheme="minorEastAsia"/>
          <w:lang w:val="en-GB"/>
        </w:rPr>
        <w:t>. London: Routledge.</w:t>
      </w:r>
    </w:p>
    <w:p w14:paraId="00708795" w14:textId="77777777" w:rsidR="002E769C" w:rsidRPr="00D41D25" w:rsidRDefault="002E769C" w:rsidP="0033476B">
      <w:pPr>
        <w:pStyle w:val="MDPI71References"/>
        <w:rPr>
          <w:rFonts w:eastAsiaTheme="minorEastAsia"/>
          <w:lang w:val="en-GB"/>
        </w:rPr>
      </w:pPr>
      <w:r w:rsidRPr="00D41D25">
        <w:rPr>
          <w:rFonts w:eastAsiaTheme="minorEastAsia"/>
          <w:lang w:val="fr-CH"/>
        </w:rPr>
        <w:t xml:space="preserve">Wenger, N., </w:t>
      </w:r>
      <w:proofErr w:type="spellStart"/>
      <w:r w:rsidRPr="00D41D25">
        <w:rPr>
          <w:rFonts w:eastAsiaTheme="minorEastAsia"/>
          <w:lang w:val="fr-CH"/>
        </w:rPr>
        <w:t>Méan</w:t>
      </w:r>
      <w:proofErr w:type="spellEnd"/>
      <w:r w:rsidRPr="00D41D25">
        <w:rPr>
          <w:rFonts w:eastAsiaTheme="minorEastAsia"/>
          <w:lang w:val="fr-CH"/>
        </w:rPr>
        <w:t xml:space="preserve">, M., </w:t>
      </w:r>
      <w:proofErr w:type="spellStart"/>
      <w:r w:rsidRPr="00D41D25">
        <w:rPr>
          <w:rFonts w:eastAsiaTheme="minorEastAsia"/>
          <w:lang w:val="fr-CH"/>
        </w:rPr>
        <w:t>Castioni</w:t>
      </w:r>
      <w:proofErr w:type="spellEnd"/>
      <w:r w:rsidRPr="00D41D25">
        <w:rPr>
          <w:rFonts w:eastAsiaTheme="minorEastAsia"/>
          <w:lang w:val="fr-CH"/>
        </w:rPr>
        <w:t xml:space="preserve">, J., Marques-Vidal, P., </w:t>
      </w:r>
      <w:proofErr w:type="spellStart"/>
      <w:r w:rsidRPr="00D41D25">
        <w:rPr>
          <w:rFonts w:eastAsiaTheme="minorEastAsia"/>
          <w:lang w:val="fr-CH"/>
        </w:rPr>
        <w:t>Waeber</w:t>
      </w:r>
      <w:proofErr w:type="spellEnd"/>
      <w:r w:rsidRPr="00D41D25">
        <w:rPr>
          <w:rFonts w:eastAsiaTheme="minorEastAsia"/>
          <w:lang w:val="fr-CH"/>
        </w:rPr>
        <w:t xml:space="preserve">, G., &amp; Garnier, A. (2017). </w:t>
      </w:r>
      <w:r w:rsidRPr="00D41D25">
        <w:rPr>
          <w:rFonts w:eastAsiaTheme="minorEastAsia"/>
          <w:lang w:val="en-GB"/>
        </w:rPr>
        <w:t xml:space="preserve">Allocation of internal medicine resident time in a Swiss hospital: a time and motion study of day and evening shifts. </w:t>
      </w:r>
      <w:r w:rsidRPr="00D41D25">
        <w:rPr>
          <w:rFonts w:eastAsiaTheme="minorEastAsia"/>
          <w:i/>
          <w:iCs/>
          <w:lang w:val="en-GB"/>
        </w:rPr>
        <w:t>Annals of internal medicine</w:t>
      </w:r>
      <w:r w:rsidRPr="00D41D25">
        <w:rPr>
          <w:rFonts w:eastAsiaTheme="minorEastAsia"/>
          <w:lang w:val="en-GB"/>
        </w:rPr>
        <w:t xml:space="preserve">, 166(8), 579-586. </w:t>
      </w:r>
    </w:p>
    <w:p w14:paraId="333F7AF1" w14:textId="0F7E6EE2" w:rsidR="005D7BE6" w:rsidRPr="00D41D25" w:rsidRDefault="005D7BE6" w:rsidP="0033476B">
      <w:pPr>
        <w:pStyle w:val="MDPI71References"/>
        <w:rPr>
          <w:rFonts w:eastAsiaTheme="minorEastAsia"/>
          <w:lang w:val="en-GB"/>
        </w:rPr>
      </w:pPr>
      <w:r w:rsidRPr="00D41D25">
        <w:rPr>
          <w:rFonts w:eastAsiaTheme="minorEastAsia"/>
          <w:lang w:val="en-GB"/>
        </w:rPr>
        <w:t xml:space="preserve">Windlinger, L., &amp; </w:t>
      </w:r>
      <w:proofErr w:type="spellStart"/>
      <w:r w:rsidRPr="00D41D25">
        <w:rPr>
          <w:rFonts w:eastAsiaTheme="minorEastAsia"/>
          <w:lang w:val="en-GB"/>
        </w:rPr>
        <w:t>Tuzcuoglu</w:t>
      </w:r>
      <w:proofErr w:type="spellEnd"/>
      <w:r w:rsidRPr="00D41D25">
        <w:rPr>
          <w:rFonts w:eastAsiaTheme="minorEastAsia"/>
          <w:lang w:val="en-GB"/>
        </w:rPr>
        <w:t>, D. (2021). Usability theory: Adding a user-centric perspective to workplace management In V. Danivska &amp; R. Appel-</w:t>
      </w:r>
      <w:proofErr w:type="spellStart"/>
      <w:r w:rsidRPr="00D41D25">
        <w:rPr>
          <w:rFonts w:eastAsiaTheme="minorEastAsia"/>
          <w:lang w:val="en-GB"/>
        </w:rPr>
        <w:t>Meulenbroek</w:t>
      </w:r>
      <w:proofErr w:type="spellEnd"/>
      <w:r w:rsidRPr="00D41D25">
        <w:rPr>
          <w:rFonts w:eastAsiaTheme="minorEastAsia"/>
          <w:lang w:val="en-GB"/>
        </w:rPr>
        <w:t xml:space="preserve"> (Eds</w:t>
      </w:r>
      <w:r w:rsidRPr="00D41D25">
        <w:rPr>
          <w:rFonts w:eastAsiaTheme="minorEastAsia"/>
          <w:i/>
          <w:iCs/>
          <w:lang w:val="en-GB"/>
        </w:rPr>
        <w:t>.), A Handbook of Management Theories and Models for Office Environments and Services</w:t>
      </w:r>
      <w:r w:rsidRPr="00D41D25">
        <w:rPr>
          <w:rFonts w:eastAsiaTheme="minorEastAsia"/>
          <w:lang w:val="en-GB"/>
        </w:rPr>
        <w:t xml:space="preserve"> (pp. 173-183). London: Routledge.</w:t>
      </w:r>
    </w:p>
    <w:p w14:paraId="07A79DF1" w14:textId="77777777" w:rsidR="003E3DB7" w:rsidRPr="00543354" w:rsidRDefault="003E3DB7" w:rsidP="009B4F1E">
      <w:pPr>
        <w:pStyle w:val="MDPI31text"/>
        <w:rPr>
          <w:rFonts w:ascii="Georgia" w:eastAsiaTheme="minorEastAsia" w:hAnsi="Georgia" w:cs="Arial"/>
          <w:lang w:val="en-GB"/>
        </w:rPr>
      </w:pPr>
    </w:p>
    <w:p w14:paraId="5E525A38" w14:textId="77777777" w:rsidR="00055594" w:rsidRPr="00543354" w:rsidRDefault="00055594" w:rsidP="00D92DD2">
      <w:pPr>
        <w:pStyle w:val="MDPI31text"/>
        <w:ind w:left="0" w:firstLine="0"/>
        <w:rPr>
          <w:rFonts w:ascii="Georgia" w:eastAsiaTheme="minorEastAsia" w:hAnsi="Georgia" w:cs="Arial"/>
          <w:lang w:val="en-GB"/>
        </w:rPr>
      </w:pPr>
    </w:p>
    <w:sectPr w:rsidR="00055594" w:rsidRPr="00543354" w:rsidSect="00D1582C">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418" w:right="720" w:bottom="1077" w:left="720" w:header="1021"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7B34A" w14:textId="77777777" w:rsidR="00D1582C" w:rsidRDefault="00D1582C">
      <w:pPr>
        <w:spacing w:line="240" w:lineRule="auto"/>
      </w:pPr>
      <w:r>
        <w:separator/>
      </w:r>
    </w:p>
  </w:endnote>
  <w:endnote w:type="continuationSeparator" w:id="0">
    <w:p w14:paraId="1A26C34C" w14:textId="77777777" w:rsidR="00D1582C" w:rsidRDefault="00D1582C">
      <w:pPr>
        <w:spacing w:line="240" w:lineRule="auto"/>
      </w:pPr>
      <w:r>
        <w:continuationSeparator/>
      </w:r>
    </w:p>
  </w:endnote>
  <w:endnote w:type="continuationNotice" w:id="1">
    <w:p w14:paraId="28B4F546" w14:textId="77777777" w:rsidR="00D1582C" w:rsidRDefault="00D158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odoni SvtyTwo OS ITC TT-Book">
    <w:altName w:val="Cambri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1C03" w14:textId="77777777" w:rsidR="003509D7" w:rsidRDefault="003509D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9381" w14:textId="77777777" w:rsidR="003509D7" w:rsidRDefault="003509D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281E5B" w:rsidRDefault="00281E5B" w:rsidP="004F0E02">
    <w:pPr>
      <w:pStyle w:val="MDPIfooterfirstpage"/>
      <w:pBdr>
        <w:top w:val="single" w:sz="4" w:space="0" w:color="000000"/>
      </w:pBdr>
      <w:adjustRightInd w:val="0"/>
      <w:snapToGrid w:val="0"/>
      <w:spacing w:before="480" w:line="100" w:lineRule="exact"/>
      <w:rPr>
        <w:i/>
        <w:iCs/>
        <w:szCs w:val="16"/>
      </w:rPr>
    </w:pPr>
  </w:p>
  <w:p w14:paraId="59A4BB1A" w14:textId="781A9057" w:rsidR="00C45F1E" w:rsidRPr="008B308E" w:rsidRDefault="003509D7" w:rsidP="00BA570C">
    <w:pPr>
      <w:pStyle w:val="MDPIfooterfirstpage"/>
      <w:tabs>
        <w:tab w:val="clear" w:pos="8845"/>
        <w:tab w:val="right" w:pos="10466"/>
      </w:tabs>
      <w:spacing w:line="240" w:lineRule="auto"/>
      <w:jc w:val="both"/>
      <w:rPr>
        <w:lang w:val="fr-CH"/>
      </w:rPr>
    </w:pPr>
    <w:r w:rsidRPr="003509D7">
      <w:rPr>
        <w:bCs/>
        <w:iCs/>
        <w:szCs w:val="16"/>
        <w:lang w:val="fr-CH"/>
      </w:rPr>
      <w:t>https://doi.org/10.24404/6241c9e3f67aea8fb0ee9ec2</w:t>
    </w:r>
    <w:r w:rsidR="00BA570C" w:rsidRPr="008B308E">
      <w:rPr>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63A36" w14:textId="77777777" w:rsidR="00D1582C" w:rsidRDefault="00D1582C">
      <w:pPr>
        <w:spacing w:line="240" w:lineRule="auto"/>
      </w:pPr>
      <w:r>
        <w:separator/>
      </w:r>
    </w:p>
  </w:footnote>
  <w:footnote w:type="continuationSeparator" w:id="0">
    <w:p w14:paraId="3516DBE9" w14:textId="77777777" w:rsidR="00D1582C" w:rsidRDefault="00D1582C">
      <w:pPr>
        <w:spacing w:line="240" w:lineRule="auto"/>
      </w:pPr>
      <w:r>
        <w:continuationSeparator/>
      </w:r>
    </w:p>
  </w:footnote>
  <w:footnote w:type="continuationNotice" w:id="1">
    <w:p w14:paraId="05A893EE" w14:textId="77777777" w:rsidR="00D1582C" w:rsidRDefault="00D1582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C45F1E" w:rsidRDefault="00C45F1E" w:rsidP="00C45F1E">
    <w:pPr>
      <w:pStyle w:val="Koptekst"/>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222B" w14:textId="434CD749" w:rsidR="00281E5B" w:rsidRDefault="00BA570C" w:rsidP="00BA570C">
    <w:pPr>
      <w:tabs>
        <w:tab w:val="right" w:pos="10466"/>
      </w:tabs>
      <w:adjustRightInd w:val="0"/>
      <w:snapToGrid w:val="0"/>
      <w:spacing w:line="240" w:lineRule="auto"/>
      <w:rPr>
        <w:sz w:val="16"/>
      </w:rPr>
    </w:pPr>
    <w:r>
      <w:rPr>
        <w:sz w:val="16"/>
      </w:rPr>
      <w:tab/>
    </w:r>
    <w:r w:rsidR="00A36565">
      <w:rPr>
        <w:sz w:val="16"/>
      </w:rPr>
      <w:fldChar w:fldCharType="begin"/>
    </w:r>
    <w:r w:rsidR="00A36565">
      <w:rPr>
        <w:sz w:val="16"/>
      </w:rPr>
      <w:instrText xml:space="preserve"> PAGE   \* MERGEFORMAT </w:instrText>
    </w:r>
    <w:r w:rsidR="00A36565">
      <w:rPr>
        <w:sz w:val="16"/>
      </w:rPr>
      <w:fldChar w:fldCharType="separate"/>
    </w:r>
    <w:r w:rsidR="00577F37">
      <w:rPr>
        <w:sz w:val="16"/>
      </w:rPr>
      <w:t>4</w:t>
    </w:r>
    <w:r w:rsidR="00A36565">
      <w:rPr>
        <w:sz w:val="16"/>
      </w:rPr>
      <w:fldChar w:fldCharType="end"/>
    </w:r>
    <w:r w:rsidR="00A36565">
      <w:rPr>
        <w:sz w:val="16"/>
      </w:rPr>
      <w:t xml:space="preserve"> of </w:t>
    </w:r>
    <w:r w:rsidR="00A36565">
      <w:rPr>
        <w:sz w:val="16"/>
      </w:rPr>
      <w:fldChar w:fldCharType="begin"/>
    </w:r>
    <w:r w:rsidR="00A36565">
      <w:rPr>
        <w:sz w:val="16"/>
      </w:rPr>
      <w:instrText xml:space="preserve"> NUMPAGES   \* MERGEFORMAT </w:instrText>
    </w:r>
    <w:r w:rsidR="00A36565">
      <w:rPr>
        <w:sz w:val="16"/>
      </w:rPr>
      <w:fldChar w:fldCharType="separate"/>
    </w:r>
    <w:r w:rsidR="00577F37">
      <w:rPr>
        <w:sz w:val="16"/>
      </w:rPr>
      <w:t>8</w:t>
    </w:r>
    <w:r w:rsidR="00A36565">
      <w:rPr>
        <w:sz w:val="16"/>
      </w:rPr>
      <w:fldChar w:fldCharType="end"/>
    </w:r>
  </w:p>
  <w:p w14:paraId="4101652C" w14:textId="77777777" w:rsidR="00C45F1E" w:rsidRPr="0050778E" w:rsidRDefault="00C45F1E"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7" w:type="dxa"/>
      <w:tblCellMar>
        <w:left w:w="0" w:type="dxa"/>
        <w:right w:w="0" w:type="dxa"/>
      </w:tblCellMar>
      <w:tblLook w:val="04A0" w:firstRow="1" w:lastRow="0" w:firstColumn="1" w:lastColumn="0" w:noHBand="0" w:noVBand="1"/>
    </w:tblPr>
    <w:tblGrid>
      <w:gridCol w:w="5103"/>
      <w:gridCol w:w="5384"/>
      <w:gridCol w:w="20"/>
    </w:tblGrid>
    <w:tr w:rsidR="008678D7" w:rsidRPr="00BA570C" w14:paraId="4B1ED3D9" w14:textId="77777777" w:rsidTr="003D46A7">
      <w:trPr>
        <w:trHeight w:val="686"/>
      </w:trPr>
      <w:tc>
        <w:tcPr>
          <w:tcW w:w="5103" w:type="dxa"/>
          <w:shd w:val="clear" w:color="auto" w:fill="auto"/>
          <w:vAlign w:val="center"/>
        </w:tcPr>
        <w:p w14:paraId="06345350" w14:textId="77777777" w:rsidR="008678D7" w:rsidRPr="00401235" w:rsidRDefault="008678D7" w:rsidP="008678D7">
          <w:pPr>
            <w:pStyle w:val="Koptekst"/>
            <w:pBdr>
              <w:bottom w:val="none" w:sz="0" w:space="0" w:color="auto"/>
            </w:pBdr>
            <w:jc w:val="left"/>
            <w:rPr>
              <w:rFonts w:eastAsia="DengXian"/>
              <w:b/>
              <w:bCs/>
            </w:rPr>
          </w:pPr>
          <w:r>
            <w:rPr>
              <w:lang w:val="de-DE" w:eastAsia="de-DE"/>
            </w:rPr>
            <w:drawing>
              <wp:inline distT="0" distB="0" distL="0" distR="0" wp14:anchorId="78B2121A" wp14:editId="626D65AE">
                <wp:extent cx="451796" cy="456269"/>
                <wp:effectExtent l="0" t="0" r="5715" b="1270"/>
                <wp:docPr id="4" name="Afbeelding 4" descr="Afbeelding met schermopname, Graphics, grafische vormgeving, Kleurrijkhei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schermopname, Graphics, grafische vormgeving, Kleurrijkheid&#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796" cy="456269"/>
                        </a:xfrm>
                        <a:prstGeom prst="rect">
                          <a:avLst/>
                        </a:prstGeom>
                      </pic:spPr>
                    </pic:pic>
                  </a:graphicData>
                </a:graphic>
              </wp:inline>
            </w:drawing>
          </w:r>
          <w:r w:rsidRPr="177542A6">
            <w:rPr>
              <w:rFonts w:eastAsia="DengXian"/>
              <w:b/>
              <w:bCs/>
            </w:rPr>
            <w:t xml:space="preserve"> </w:t>
          </w:r>
          <w:r>
            <w:rPr>
              <w:lang w:val="de-DE" w:eastAsia="de-DE"/>
            </w:rPr>
            <w:drawing>
              <wp:inline distT="0" distB="0" distL="0" distR="0" wp14:anchorId="19E2B654" wp14:editId="2979807F">
                <wp:extent cx="1541417" cy="618309"/>
                <wp:effectExtent l="0" t="0" r="0" b="4445"/>
                <wp:docPr id="5" name="Afbeelding 5" descr="Afbeelding met tekst, schets, Lettertyp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schets, Lettertype, ontwerp&#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541417" cy="618309"/>
                        </a:xfrm>
                        <a:prstGeom prst="rect">
                          <a:avLst/>
                        </a:prstGeom>
                      </pic:spPr>
                    </pic:pic>
                  </a:graphicData>
                </a:graphic>
              </wp:inline>
            </w:drawing>
          </w:r>
          <w:r>
            <w:t xml:space="preserve"> </w:t>
          </w:r>
        </w:p>
      </w:tc>
      <w:tc>
        <w:tcPr>
          <w:tcW w:w="5384" w:type="dxa"/>
          <w:shd w:val="clear" w:color="auto" w:fill="auto"/>
          <w:vAlign w:val="center"/>
        </w:tcPr>
        <w:p w14:paraId="206CCB41" w14:textId="77777777" w:rsidR="008678D7" w:rsidRDefault="008678D7" w:rsidP="008678D7">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ARCH22 ‘</w:t>
          </w:r>
          <w:r w:rsidRPr="000547D8">
            <w:rPr>
              <w:rFonts w:ascii="Palatino Linotype" w:hAnsi="Palatino Linotype" w:cs="Segoe UI"/>
              <w:sz w:val="16"/>
              <w:szCs w:val="16"/>
            </w:rPr>
            <w:t>Enabling health, care and well-being through design research'</w:t>
          </w:r>
        </w:p>
        <w:p w14:paraId="08BE3005" w14:textId="77777777" w:rsidR="008678D7" w:rsidRDefault="008678D7" w:rsidP="008678D7">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w:t>
          </w:r>
          <w:r w:rsidRPr="000547D8">
            <w:rPr>
              <w:rFonts w:ascii="Palatino Linotype" w:hAnsi="Palatino Linotype" w:cs="Segoe UI"/>
              <w:sz w:val="16"/>
              <w:szCs w:val="16"/>
            </w:rPr>
            <w:t xml:space="preserve">5th Architecture Research Care and Health conference </w:t>
          </w:r>
        </w:p>
        <w:p w14:paraId="0344D429" w14:textId="77777777" w:rsidR="008678D7" w:rsidRPr="004752C1" w:rsidRDefault="008678D7" w:rsidP="008678D7">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Delft / </w:t>
          </w:r>
          <w:r w:rsidRPr="000547D8">
            <w:rPr>
              <w:rFonts w:ascii="Palatino Linotype" w:hAnsi="Palatino Linotype" w:cs="Segoe UI"/>
              <w:sz w:val="16"/>
              <w:szCs w:val="16"/>
            </w:rPr>
            <w:t>Rotterdam – the Netherlands – 22nd until 24th of August 2022.</w:t>
          </w:r>
        </w:p>
      </w:tc>
      <w:tc>
        <w:tcPr>
          <w:tcW w:w="20" w:type="dxa"/>
          <w:shd w:val="clear" w:color="auto" w:fill="auto"/>
          <w:vAlign w:val="center"/>
        </w:tcPr>
        <w:p w14:paraId="028BE00C" w14:textId="77777777" w:rsidR="008678D7" w:rsidRPr="00401235" w:rsidRDefault="008678D7" w:rsidP="008678D7">
          <w:pPr>
            <w:pStyle w:val="Koptekst"/>
            <w:pBdr>
              <w:bottom w:val="none" w:sz="0" w:space="0" w:color="auto"/>
            </w:pBdr>
            <w:jc w:val="right"/>
            <w:rPr>
              <w:rFonts w:eastAsia="DengXian"/>
              <w:b/>
              <w:bCs/>
            </w:rPr>
          </w:pPr>
        </w:p>
      </w:tc>
    </w:tr>
  </w:tbl>
  <w:p w14:paraId="62486C05" w14:textId="77777777" w:rsidR="00C45F1E" w:rsidRPr="00281E5B" w:rsidRDefault="00C45F1E" w:rsidP="004752C1">
    <w:pPr>
      <w:pBdr>
        <w:bottom w:val="single" w:sz="4" w:space="0"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6297"/>
    <w:multiLevelType w:val="hybridMultilevel"/>
    <w:tmpl w:val="1752FA26"/>
    <w:lvl w:ilvl="0" w:tplc="6392455E">
      <w:numFmt w:val="bullet"/>
      <w:lvlText w:val="-"/>
      <w:lvlJc w:val="left"/>
      <w:pPr>
        <w:ind w:left="3420" w:hanging="360"/>
      </w:pPr>
      <w:rPr>
        <w:rFonts w:ascii="Georgia" w:eastAsiaTheme="minorEastAsia" w:hAnsi="Georgia" w:cs="Arial" w:hint="default"/>
      </w:rPr>
    </w:lvl>
    <w:lvl w:ilvl="1" w:tplc="08070003">
      <w:start w:val="1"/>
      <w:numFmt w:val="bullet"/>
      <w:lvlText w:val="o"/>
      <w:lvlJc w:val="left"/>
      <w:pPr>
        <w:ind w:left="1467" w:hanging="360"/>
      </w:pPr>
      <w:rPr>
        <w:rFonts w:ascii="Courier New" w:hAnsi="Courier New" w:cs="Courier New" w:hint="default"/>
      </w:rPr>
    </w:lvl>
    <w:lvl w:ilvl="2" w:tplc="08070005">
      <w:start w:val="1"/>
      <w:numFmt w:val="bullet"/>
      <w:lvlText w:val=""/>
      <w:lvlJc w:val="left"/>
      <w:pPr>
        <w:ind w:left="2187" w:hanging="360"/>
      </w:pPr>
      <w:rPr>
        <w:rFonts w:ascii="Wingdings" w:hAnsi="Wingdings" w:hint="default"/>
      </w:rPr>
    </w:lvl>
    <w:lvl w:ilvl="3" w:tplc="08070001">
      <w:start w:val="1"/>
      <w:numFmt w:val="bullet"/>
      <w:lvlText w:val=""/>
      <w:lvlJc w:val="left"/>
      <w:pPr>
        <w:ind w:left="2907" w:hanging="360"/>
      </w:pPr>
      <w:rPr>
        <w:rFonts w:ascii="Symbol" w:hAnsi="Symbol" w:hint="default"/>
      </w:rPr>
    </w:lvl>
    <w:lvl w:ilvl="4" w:tplc="08070003">
      <w:start w:val="1"/>
      <w:numFmt w:val="bullet"/>
      <w:lvlText w:val="o"/>
      <w:lvlJc w:val="left"/>
      <w:pPr>
        <w:ind w:left="3627" w:hanging="360"/>
      </w:pPr>
      <w:rPr>
        <w:rFonts w:ascii="Courier New" w:hAnsi="Courier New" w:cs="Courier New" w:hint="default"/>
      </w:rPr>
    </w:lvl>
    <w:lvl w:ilvl="5" w:tplc="08070005">
      <w:start w:val="1"/>
      <w:numFmt w:val="bullet"/>
      <w:lvlText w:val=""/>
      <w:lvlJc w:val="left"/>
      <w:pPr>
        <w:ind w:left="4347" w:hanging="360"/>
      </w:pPr>
      <w:rPr>
        <w:rFonts w:ascii="Wingdings" w:hAnsi="Wingdings" w:hint="default"/>
      </w:rPr>
    </w:lvl>
    <w:lvl w:ilvl="6" w:tplc="08070001" w:tentative="1">
      <w:start w:val="1"/>
      <w:numFmt w:val="bullet"/>
      <w:lvlText w:val=""/>
      <w:lvlJc w:val="left"/>
      <w:pPr>
        <w:ind w:left="5067" w:hanging="360"/>
      </w:pPr>
      <w:rPr>
        <w:rFonts w:ascii="Symbol" w:hAnsi="Symbol" w:hint="default"/>
      </w:rPr>
    </w:lvl>
    <w:lvl w:ilvl="7" w:tplc="08070003" w:tentative="1">
      <w:start w:val="1"/>
      <w:numFmt w:val="bullet"/>
      <w:lvlText w:val="o"/>
      <w:lvlJc w:val="left"/>
      <w:pPr>
        <w:ind w:left="5787" w:hanging="360"/>
      </w:pPr>
      <w:rPr>
        <w:rFonts w:ascii="Courier New" w:hAnsi="Courier New" w:cs="Courier New" w:hint="default"/>
      </w:rPr>
    </w:lvl>
    <w:lvl w:ilvl="8" w:tplc="08070005" w:tentative="1">
      <w:start w:val="1"/>
      <w:numFmt w:val="bullet"/>
      <w:lvlText w:val=""/>
      <w:lvlJc w:val="left"/>
      <w:pPr>
        <w:ind w:left="6507" w:hanging="360"/>
      </w:pPr>
      <w:rPr>
        <w:rFonts w:ascii="Wingdings" w:hAnsi="Wingdings" w:hint="default"/>
      </w:rPr>
    </w:lvl>
  </w:abstractNum>
  <w:abstractNum w:abstractNumId="1" w15:restartNumberingAfterBreak="0">
    <w:nsid w:val="0BBE35CA"/>
    <w:multiLevelType w:val="hybridMultilevel"/>
    <w:tmpl w:val="BA32ACFC"/>
    <w:lvl w:ilvl="0" w:tplc="67466D48">
      <w:numFmt w:val="bullet"/>
      <w:lvlText w:val="-"/>
      <w:lvlJc w:val="left"/>
      <w:pPr>
        <w:ind w:left="3393" w:hanging="360"/>
      </w:pPr>
      <w:rPr>
        <w:rFonts w:ascii="Georgia" w:eastAsiaTheme="minorEastAsia" w:hAnsi="Georgia" w:cs="Arial" w:hint="default"/>
      </w:rPr>
    </w:lvl>
    <w:lvl w:ilvl="1" w:tplc="08070003" w:tentative="1">
      <w:start w:val="1"/>
      <w:numFmt w:val="bullet"/>
      <w:lvlText w:val="o"/>
      <w:lvlJc w:val="left"/>
      <w:pPr>
        <w:ind w:left="4113" w:hanging="360"/>
      </w:pPr>
      <w:rPr>
        <w:rFonts w:ascii="Courier New" w:hAnsi="Courier New" w:cs="Courier New" w:hint="default"/>
      </w:rPr>
    </w:lvl>
    <w:lvl w:ilvl="2" w:tplc="08070005" w:tentative="1">
      <w:start w:val="1"/>
      <w:numFmt w:val="bullet"/>
      <w:lvlText w:val=""/>
      <w:lvlJc w:val="left"/>
      <w:pPr>
        <w:ind w:left="4833" w:hanging="360"/>
      </w:pPr>
      <w:rPr>
        <w:rFonts w:ascii="Wingdings" w:hAnsi="Wingdings" w:hint="default"/>
      </w:rPr>
    </w:lvl>
    <w:lvl w:ilvl="3" w:tplc="08070001" w:tentative="1">
      <w:start w:val="1"/>
      <w:numFmt w:val="bullet"/>
      <w:lvlText w:val=""/>
      <w:lvlJc w:val="left"/>
      <w:pPr>
        <w:ind w:left="5553" w:hanging="360"/>
      </w:pPr>
      <w:rPr>
        <w:rFonts w:ascii="Symbol" w:hAnsi="Symbol" w:hint="default"/>
      </w:rPr>
    </w:lvl>
    <w:lvl w:ilvl="4" w:tplc="08070003" w:tentative="1">
      <w:start w:val="1"/>
      <w:numFmt w:val="bullet"/>
      <w:lvlText w:val="o"/>
      <w:lvlJc w:val="left"/>
      <w:pPr>
        <w:ind w:left="6273" w:hanging="360"/>
      </w:pPr>
      <w:rPr>
        <w:rFonts w:ascii="Courier New" w:hAnsi="Courier New" w:cs="Courier New" w:hint="default"/>
      </w:rPr>
    </w:lvl>
    <w:lvl w:ilvl="5" w:tplc="08070005" w:tentative="1">
      <w:start w:val="1"/>
      <w:numFmt w:val="bullet"/>
      <w:lvlText w:val=""/>
      <w:lvlJc w:val="left"/>
      <w:pPr>
        <w:ind w:left="6993" w:hanging="360"/>
      </w:pPr>
      <w:rPr>
        <w:rFonts w:ascii="Wingdings" w:hAnsi="Wingdings" w:hint="default"/>
      </w:rPr>
    </w:lvl>
    <w:lvl w:ilvl="6" w:tplc="08070001" w:tentative="1">
      <w:start w:val="1"/>
      <w:numFmt w:val="bullet"/>
      <w:lvlText w:val=""/>
      <w:lvlJc w:val="left"/>
      <w:pPr>
        <w:ind w:left="7713" w:hanging="360"/>
      </w:pPr>
      <w:rPr>
        <w:rFonts w:ascii="Symbol" w:hAnsi="Symbol" w:hint="default"/>
      </w:rPr>
    </w:lvl>
    <w:lvl w:ilvl="7" w:tplc="08070003" w:tentative="1">
      <w:start w:val="1"/>
      <w:numFmt w:val="bullet"/>
      <w:lvlText w:val="o"/>
      <w:lvlJc w:val="left"/>
      <w:pPr>
        <w:ind w:left="8433" w:hanging="360"/>
      </w:pPr>
      <w:rPr>
        <w:rFonts w:ascii="Courier New" w:hAnsi="Courier New" w:cs="Courier New" w:hint="default"/>
      </w:rPr>
    </w:lvl>
    <w:lvl w:ilvl="8" w:tplc="08070005" w:tentative="1">
      <w:start w:val="1"/>
      <w:numFmt w:val="bullet"/>
      <w:lvlText w:val=""/>
      <w:lvlJc w:val="left"/>
      <w:pPr>
        <w:ind w:left="9153" w:hanging="360"/>
      </w:pPr>
      <w:rPr>
        <w:rFonts w:ascii="Wingdings" w:hAnsi="Wingdings" w:hint="default"/>
      </w:rPr>
    </w:lvl>
  </w:abstractNum>
  <w:abstractNum w:abstractNumId="2"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82C8C"/>
    <w:multiLevelType w:val="hybridMultilevel"/>
    <w:tmpl w:val="6C4E810E"/>
    <w:lvl w:ilvl="0" w:tplc="08070001">
      <w:start w:val="1"/>
      <w:numFmt w:val="bullet"/>
      <w:lvlText w:val=""/>
      <w:lvlJc w:val="left"/>
      <w:pPr>
        <w:ind w:left="3753" w:hanging="360"/>
      </w:pPr>
      <w:rPr>
        <w:rFonts w:ascii="Symbol" w:hAnsi="Symbol" w:hint="default"/>
      </w:rPr>
    </w:lvl>
    <w:lvl w:ilvl="1" w:tplc="08070003" w:tentative="1">
      <w:start w:val="1"/>
      <w:numFmt w:val="bullet"/>
      <w:lvlText w:val="o"/>
      <w:lvlJc w:val="left"/>
      <w:pPr>
        <w:ind w:left="4473" w:hanging="360"/>
      </w:pPr>
      <w:rPr>
        <w:rFonts w:ascii="Courier New" w:hAnsi="Courier New" w:cs="Courier New" w:hint="default"/>
      </w:rPr>
    </w:lvl>
    <w:lvl w:ilvl="2" w:tplc="08070005" w:tentative="1">
      <w:start w:val="1"/>
      <w:numFmt w:val="bullet"/>
      <w:lvlText w:val=""/>
      <w:lvlJc w:val="left"/>
      <w:pPr>
        <w:ind w:left="5193" w:hanging="360"/>
      </w:pPr>
      <w:rPr>
        <w:rFonts w:ascii="Wingdings" w:hAnsi="Wingdings" w:hint="default"/>
      </w:rPr>
    </w:lvl>
    <w:lvl w:ilvl="3" w:tplc="08070001" w:tentative="1">
      <w:start w:val="1"/>
      <w:numFmt w:val="bullet"/>
      <w:lvlText w:val=""/>
      <w:lvlJc w:val="left"/>
      <w:pPr>
        <w:ind w:left="5913" w:hanging="360"/>
      </w:pPr>
      <w:rPr>
        <w:rFonts w:ascii="Symbol" w:hAnsi="Symbol" w:hint="default"/>
      </w:rPr>
    </w:lvl>
    <w:lvl w:ilvl="4" w:tplc="08070003" w:tentative="1">
      <w:start w:val="1"/>
      <w:numFmt w:val="bullet"/>
      <w:lvlText w:val="o"/>
      <w:lvlJc w:val="left"/>
      <w:pPr>
        <w:ind w:left="6633" w:hanging="360"/>
      </w:pPr>
      <w:rPr>
        <w:rFonts w:ascii="Courier New" w:hAnsi="Courier New" w:cs="Courier New" w:hint="default"/>
      </w:rPr>
    </w:lvl>
    <w:lvl w:ilvl="5" w:tplc="08070005" w:tentative="1">
      <w:start w:val="1"/>
      <w:numFmt w:val="bullet"/>
      <w:lvlText w:val=""/>
      <w:lvlJc w:val="left"/>
      <w:pPr>
        <w:ind w:left="7353" w:hanging="360"/>
      </w:pPr>
      <w:rPr>
        <w:rFonts w:ascii="Wingdings" w:hAnsi="Wingdings" w:hint="default"/>
      </w:rPr>
    </w:lvl>
    <w:lvl w:ilvl="6" w:tplc="08070001" w:tentative="1">
      <w:start w:val="1"/>
      <w:numFmt w:val="bullet"/>
      <w:lvlText w:val=""/>
      <w:lvlJc w:val="left"/>
      <w:pPr>
        <w:ind w:left="8073" w:hanging="360"/>
      </w:pPr>
      <w:rPr>
        <w:rFonts w:ascii="Symbol" w:hAnsi="Symbol" w:hint="default"/>
      </w:rPr>
    </w:lvl>
    <w:lvl w:ilvl="7" w:tplc="08070003" w:tentative="1">
      <w:start w:val="1"/>
      <w:numFmt w:val="bullet"/>
      <w:lvlText w:val="o"/>
      <w:lvlJc w:val="left"/>
      <w:pPr>
        <w:ind w:left="8793" w:hanging="360"/>
      </w:pPr>
      <w:rPr>
        <w:rFonts w:ascii="Courier New" w:hAnsi="Courier New" w:cs="Courier New" w:hint="default"/>
      </w:rPr>
    </w:lvl>
    <w:lvl w:ilvl="8" w:tplc="08070005" w:tentative="1">
      <w:start w:val="1"/>
      <w:numFmt w:val="bullet"/>
      <w:lvlText w:val=""/>
      <w:lvlJc w:val="left"/>
      <w:pPr>
        <w:ind w:left="9513" w:hanging="360"/>
      </w:pPr>
      <w:rPr>
        <w:rFonts w:ascii="Wingdings" w:hAnsi="Wingdings" w:hint="default"/>
      </w:rPr>
    </w:lvl>
  </w:abstractNum>
  <w:abstractNum w:abstractNumId="4"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5" w15:restartNumberingAfterBreak="0">
    <w:nsid w:val="2002156D"/>
    <w:multiLevelType w:val="hybridMultilevel"/>
    <w:tmpl w:val="E60A896E"/>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8"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50721"/>
    <w:multiLevelType w:val="hybridMultilevel"/>
    <w:tmpl w:val="BC4085E4"/>
    <w:lvl w:ilvl="0" w:tplc="6392455E">
      <w:numFmt w:val="bullet"/>
      <w:lvlText w:val="-"/>
      <w:lvlJc w:val="left"/>
      <w:pPr>
        <w:ind w:left="3393" w:hanging="360"/>
      </w:pPr>
      <w:rPr>
        <w:rFonts w:ascii="Georgia" w:eastAsiaTheme="minorEastAsia" w:hAnsi="Georgia" w:cs="Arial" w:hint="default"/>
      </w:rPr>
    </w:lvl>
    <w:lvl w:ilvl="1" w:tplc="08070003" w:tentative="1">
      <w:start w:val="1"/>
      <w:numFmt w:val="bullet"/>
      <w:lvlText w:val="o"/>
      <w:lvlJc w:val="left"/>
      <w:pPr>
        <w:ind w:left="4113" w:hanging="360"/>
      </w:pPr>
      <w:rPr>
        <w:rFonts w:ascii="Courier New" w:hAnsi="Courier New" w:cs="Courier New" w:hint="default"/>
      </w:rPr>
    </w:lvl>
    <w:lvl w:ilvl="2" w:tplc="08070005" w:tentative="1">
      <w:start w:val="1"/>
      <w:numFmt w:val="bullet"/>
      <w:lvlText w:val=""/>
      <w:lvlJc w:val="left"/>
      <w:pPr>
        <w:ind w:left="4833" w:hanging="360"/>
      </w:pPr>
      <w:rPr>
        <w:rFonts w:ascii="Wingdings" w:hAnsi="Wingdings" w:hint="default"/>
      </w:rPr>
    </w:lvl>
    <w:lvl w:ilvl="3" w:tplc="08070001" w:tentative="1">
      <w:start w:val="1"/>
      <w:numFmt w:val="bullet"/>
      <w:lvlText w:val=""/>
      <w:lvlJc w:val="left"/>
      <w:pPr>
        <w:ind w:left="5553" w:hanging="360"/>
      </w:pPr>
      <w:rPr>
        <w:rFonts w:ascii="Symbol" w:hAnsi="Symbol" w:hint="default"/>
      </w:rPr>
    </w:lvl>
    <w:lvl w:ilvl="4" w:tplc="08070003" w:tentative="1">
      <w:start w:val="1"/>
      <w:numFmt w:val="bullet"/>
      <w:lvlText w:val="o"/>
      <w:lvlJc w:val="left"/>
      <w:pPr>
        <w:ind w:left="6273" w:hanging="360"/>
      </w:pPr>
      <w:rPr>
        <w:rFonts w:ascii="Courier New" w:hAnsi="Courier New" w:cs="Courier New" w:hint="default"/>
      </w:rPr>
    </w:lvl>
    <w:lvl w:ilvl="5" w:tplc="08070005" w:tentative="1">
      <w:start w:val="1"/>
      <w:numFmt w:val="bullet"/>
      <w:lvlText w:val=""/>
      <w:lvlJc w:val="left"/>
      <w:pPr>
        <w:ind w:left="6993" w:hanging="360"/>
      </w:pPr>
      <w:rPr>
        <w:rFonts w:ascii="Wingdings" w:hAnsi="Wingdings" w:hint="default"/>
      </w:rPr>
    </w:lvl>
    <w:lvl w:ilvl="6" w:tplc="08070001" w:tentative="1">
      <w:start w:val="1"/>
      <w:numFmt w:val="bullet"/>
      <w:lvlText w:val=""/>
      <w:lvlJc w:val="left"/>
      <w:pPr>
        <w:ind w:left="7713" w:hanging="360"/>
      </w:pPr>
      <w:rPr>
        <w:rFonts w:ascii="Symbol" w:hAnsi="Symbol" w:hint="default"/>
      </w:rPr>
    </w:lvl>
    <w:lvl w:ilvl="7" w:tplc="08070003" w:tentative="1">
      <w:start w:val="1"/>
      <w:numFmt w:val="bullet"/>
      <w:lvlText w:val="o"/>
      <w:lvlJc w:val="left"/>
      <w:pPr>
        <w:ind w:left="8433" w:hanging="360"/>
      </w:pPr>
      <w:rPr>
        <w:rFonts w:ascii="Courier New" w:hAnsi="Courier New" w:cs="Courier New" w:hint="default"/>
      </w:rPr>
    </w:lvl>
    <w:lvl w:ilvl="8" w:tplc="08070005" w:tentative="1">
      <w:start w:val="1"/>
      <w:numFmt w:val="bullet"/>
      <w:lvlText w:val=""/>
      <w:lvlJc w:val="left"/>
      <w:pPr>
        <w:ind w:left="9153" w:hanging="360"/>
      </w:pPr>
      <w:rPr>
        <w:rFonts w:ascii="Wingdings" w:hAnsi="Wingdings" w:hint="default"/>
      </w:rPr>
    </w:lvl>
  </w:abstractNum>
  <w:abstractNum w:abstractNumId="10" w15:restartNumberingAfterBreak="0">
    <w:nsid w:val="315420A3"/>
    <w:multiLevelType w:val="hybridMultilevel"/>
    <w:tmpl w:val="AC000294"/>
    <w:lvl w:ilvl="0" w:tplc="08070001">
      <w:start w:val="1"/>
      <w:numFmt w:val="bullet"/>
      <w:lvlText w:val=""/>
      <w:lvlJc w:val="left"/>
      <w:pPr>
        <w:ind w:left="3753" w:hanging="360"/>
      </w:pPr>
      <w:rPr>
        <w:rFonts w:ascii="Symbol" w:hAnsi="Symbol" w:hint="default"/>
      </w:rPr>
    </w:lvl>
    <w:lvl w:ilvl="1" w:tplc="08070003" w:tentative="1">
      <w:start w:val="1"/>
      <w:numFmt w:val="bullet"/>
      <w:lvlText w:val="o"/>
      <w:lvlJc w:val="left"/>
      <w:pPr>
        <w:ind w:left="4473" w:hanging="360"/>
      </w:pPr>
      <w:rPr>
        <w:rFonts w:ascii="Courier New" w:hAnsi="Courier New" w:cs="Courier New" w:hint="default"/>
      </w:rPr>
    </w:lvl>
    <w:lvl w:ilvl="2" w:tplc="08070005" w:tentative="1">
      <w:start w:val="1"/>
      <w:numFmt w:val="bullet"/>
      <w:lvlText w:val=""/>
      <w:lvlJc w:val="left"/>
      <w:pPr>
        <w:ind w:left="5193" w:hanging="360"/>
      </w:pPr>
      <w:rPr>
        <w:rFonts w:ascii="Wingdings" w:hAnsi="Wingdings" w:hint="default"/>
      </w:rPr>
    </w:lvl>
    <w:lvl w:ilvl="3" w:tplc="08070001" w:tentative="1">
      <w:start w:val="1"/>
      <w:numFmt w:val="bullet"/>
      <w:lvlText w:val=""/>
      <w:lvlJc w:val="left"/>
      <w:pPr>
        <w:ind w:left="5913" w:hanging="360"/>
      </w:pPr>
      <w:rPr>
        <w:rFonts w:ascii="Symbol" w:hAnsi="Symbol" w:hint="default"/>
      </w:rPr>
    </w:lvl>
    <w:lvl w:ilvl="4" w:tplc="08070003" w:tentative="1">
      <w:start w:val="1"/>
      <w:numFmt w:val="bullet"/>
      <w:lvlText w:val="o"/>
      <w:lvlJc w:val="left"/>
      <w:pPr>
        <w:ind w:left="6633" w:hanging="360"/>
      </w:pPr>
      <w:rPr>
        <w:rFonts w:ascii="Courier New" w:hAnsi="Courier New" w:cs="Courier New" w:hint="default"/>
      </w:rPr>
    </w:lvl>
    <w:lvl w:ilvl="5" w:tplc="08070005" w:tentative="1">
      <w:start w:val="1"/>
      <w:numFmt w:val="bullet"/>
      <w:lvlText w:val=""/>
      <w:lvlJc w:val="left"/>
      <w:pPr>
        <w:ind w:left="7353" w:hanging="360"/>
      </w:pPr>
      <w:rPr>
        <w:rFonts w:ascii="Wingdings" w:hAnsi="Wingdings" w:hint="default"/>
      </w:rPr>
    </w:lvl>
    <w:lvl w:ilvl="6" w:tplc="08070001" w:tentative="1">
      <w:start w:val="1"/>
      <w:numFmt w:val="bullet"/>
      <w:lvlText w:val=""/>
      <w:lvlJc w:val="left"/>
      <w:pPr>
        <w:ind w:left="8073" w:hanging="360"/>
      </w:pPr>
      <w:rPr>
        <w:rFonts w:ascii="Symbol" w:hAnsi="Symbol" w:hint="default"/>
      </w:rPr>
    </w:lvl>
    <w:lvl w:ilvl="7" w:tplc="08070003" w:tentative="1">
      <w:start w:val="1"/>
      <w:numFmt w:val="bullet"/>
      <w:lvlText w:val="o"/>
      <w:lvlJc w:val="left"/>
      <w:pPr>
        <w:ind w:left="8793" w:hanging="360"/>
      </w:pPr>
      <w:rPr>
        <w:rFonts w:ascii="Courier New" w:hAnsi="Courier New" w:cs="Courier New" w:hint="default"/>
      </w:rPr>
    </w:lvl>
    <w:lvl w:ilvl="8" w:tplc="08070005" w:tentative="1">
      <w:start w:val="1"/>
      <w:numFmt w:val="bullet"/>
      <w:lvlText w:val=""/>
      <w:lvlJc w:val="left"/>
      <w:pPr>
        <w:ind w:left="9513" w:hanging="360"/>
      </w:pPr>
      <w:rPr>
        <w:rFonts w:ascii="Wingdings" w:hAnsi="Wingdings" w:hint="default"/>
      </w:rPr>
    </w:lvl>
  </w:abstractNum>
  <w:abstractNum w:abstractNumId="11"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2" w15:restartNumberingAfterBreak="0">
    <w:nsid w:val="4557565F"/>
    <w:multiLevelType w:val="hybridMultilevel"/>
    <w:tmpl w:val="8E7CA77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49841A56"/>
    <w:multiLevelType w:val="hybridMultilevel"/>
    <w:tmpl w:val="209691AE"/>
    <w:lvl w:ilvl="0" w:tplc="08070019">
      <w:start w:val="1"/>
      <w:numFmt w:val="lowerLetter"/>
      <w:lvlText w:val="%1."/>
      <w:lvlJc w:val="left"/>
      <w:pPr>
        <w:ind w:left="3420" w:hanging="360"/>
      </w:pPr>
    </w:lvl>
    <w:lvl w:ilvl="1" w:tplc="08070019" w:tentative="1">
      <w:start w:val="1"/>
      <w:numFmt w:val="lowerLetter"/>
      <w:lvlText w:val="%2."/>
      <w:lvlJc w:val="left"/>
      <w:pPr>
        <w:ind w:left="4140" w:hanging="360"/>
      </w:pPr>
    </w:lvl>
    <w:lvl w:ilvl="2" w:tplc="0807001B" w:tentative="1">
      <w:start w:val="1"/>
      <w:numFmt w:val="lowerRoman"/>
      <w:lvlText w:val="%3."/>
      <w:lvlJc w:val="right"/>
      <w:pPr>
        <w:ind w:left="4860" w:hanging="180"/>
      </w:pPr>
    </w:lvl>
    <w:lvl w:ilvl="3" w:tplc="0807000F" w:tentative="1">
      <w:start w:val="1"/>
      <w:numFmt w:val="decimal"/>
      <w:lvlText w:val="%4."/>
      <w:lvlJc w:val="left"/>
      <w:pPr>
        <w:ind w:left="5580" w:hanging="360"/>
      </w:pPr>
    </w:lvl>
    <w:lvl w:ilvl="4" w:tplc="08070019" w:tentative="1">
      <w:start w:val="1"/>
      <w:numFmt w:val="lowerLetter"/>
      <w:lvlText w:val="%5."/>
      <w:lvlJc w:val="left"/>
      <w:pPr>
        <w:ind w:left="6300" w:hanging="360"/>
      </w:pPr>
    </w:lvl>
    <w:lvl w:ilvl="5" w:tplc="0807001B" w:tentative="1">
      <w:start w:val="1"/>
      <w:numFmt w:val="lowerRoman"/>
      <w:lvlText w:val="%6."/>
      <w:lvlJc w:val="right"/>
      <w:pPr>
        <w:ind w:left="7020" w:hanging="180"/>
      </w:pPr>
    </w:lvl>
    <w:lvl w:ilvl="6" w:tplc="0807000F" w:tentative="1">
      <w:start w:val="1"/>
      <w:numFmt w:val="decimal"/>
      <w:lvlText w:val="%7."/>
      <w:lvlJc w:val="left"/>
      <w:pPr>
        <w:ind w:left="7740" w:hanging="360"/>
      </w:pPr>
    </w:lvl>
    <w:lvl w:ilvl="7" w:tplc="08070019" w:tentative="1">
      <w:start w:val="1"/>
      <w:numFmt w:val="lowerLetter"/>
      <w:lvlText w:val="%8."/>
      <w:lvlJc w:val="left"/>
      <w:pPr>
        <w:ind w:left="8460" w:hanging="360"/>
      </w:pPr>
    </w:lvl>
    <w:lvl w:ilvl="8" w:tplc="0807001B" w:tentative="1">
      <w:start w:val="1"/>
      <w:numFmt w:val="lowerRoman"/>
      <w:lvlText w:val="%9."/>
      <w:lvlJc w:val="right"/>
      <w:pPr>
        <w:ind w:left="9180" w:hanging="180"/>
      </w:pPr>
    </w:lvl>
  </w:abstractNum>
  <w:abstractNum w:abstractNumId="14"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6" w15:restartNumberingAfterBreak="0">
    <w:nsid w:val="545C1E32"/>
    <w:multiLevelType w:val="hybridMultilevel"/>
    <w:tmpl w:val="17660E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E7E4526"/>
    <w:multiLevelType w:val="multilevel"/>
    <w:tmpl w:val="0DE8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16cid:durableId="77751407">
    <w:abstractNumId w:val="7"/>
  </w:num>
  <w:num w:numId="2" w16cid:durableId="1016733289">
    <w:abstractNumId w:val="11"/>
  </w:num>
  <w:num w:numId="3" w16cid:durableId="1747337002">
    <w:abstractNumId w:val="6"/>
  </w:num>
  <w:num w:numId="4" w16cid:durableId="19504292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8770655">
    <w:abstractNumId w:val="8"/>
  </w:num>
  <w:num w:numId="6" w16cid:durableId="1805779805">
    <w:abstractNumId w:val="15"/>
  </w:num>
  <w:num w:numId="7" w16cid:durableId="1146094111">
    <w:abstractNumId w:val="4"/>
  </w:num>
  <w:num w:numId="8" w16cid:durableId="1963917933">
    <w:abstractNumId w:val="15"/>
  </w:num>
  <w:num w:numId="9" w16cid:durableId="1928533261">
    <w:abstractNumId w:val="4"/>
  </w:num>
  <w:num w:numId="10" w16cid:durableId="1130246452">
    <w:abstractNumId w:val="15"/>
  </w:num>
  <w:num w:numId="11" w16cid:durableId="1802378632">
    <w:abstractNumId w:val="4"/>
  </w:num>
  <w:num w:numId="12" w16cid:durableId="1980764056">
    <w:abstractNumId w:val="18"/>
  </w:num>
  <w:num w:numId="13" w16cid:durableId="71123332">
    <w:abstractNumId w:val="15"/>
  </w:num>
  <w:num w:numId="14" w16cid:durableId="1429691282">
    <w:abstractNumId w:val="4"/>
  </w:num>
  <w:num w:numId="15" w16cid:durableId="2133282573">
    <w:abstractNumId w:val="2"/>
  </w:num>
  <w:num w:numId="16" w16cid:durableId="1340619844">
    <w:abstractNumId w:val="14"/>
  </w:num>
  <w:num w:numId="17" w16cid:durableId="28915333">
    <w:abstractNumId w:val="17"/>
  </w:num>
  <w:num w:numId="18" w16cid:durableId="1375040386">
    <w:abstractNumId w:val="2"/>
  </w:num>
  <w:num w:numId="19" w16cid:durableId="830028254">
    <w:abstractNumId w:val="2"/>
  </w:num>
  <w:num w:numId="20" w16cid:durableId="392240603">
    <w:abstractNumId w:val="2"/>
  </w:num>
  <w:num w:numId="21" w16cid:durableId="182594607">
    <w:abstractNumId w:val="2"/>
  </w:num>
  <w:num w:numId="22" w16cid:durableId="1415933307">
    <w:abstractNumId w:val="2"/>
  </w:num>
  <w:num w:numId="23" w16cid:durableId="474371009">
    <w:abstractNumId w:val="2"/>
  </w:num>
  <w:num w:numId="24" w16cid:durableId="2117602079">
    <w:abstractNumId w:val="3"/>
  </w:num>
  <w:num w:numId="25" w16cid:durableId="563949574">
    <w:abstractNumId w:val="13"/>
  </w:num>
  <w:num w:numId="26" w16cid:durableId="1379934980">
    <w:abstractNumId w:val="9"/>
  </w:num>
  <w:num w:numId="27" w16cid:durableId="906840361">
    <w:abstractNumId w:val="0"/>
  </w:num>
  <w:num w:numId="28" w16cid:durableId="1232621152">
    <w:abstractNumId w:val="1"/>
  </w:num>
  <w:num w:numId="29" w16cid:durableId="1283923158">
    <w:abstractNumId w:val="10"/>
  </w:num>
  <w:num w:numId="30" w16cid:durableId="1282805251">
    <w:abstractNumId w:val="12"/>
  </w:num>
  <w:num w:numId="31" w16cid:durableId="1176581591">
    <w:abstractNumId w:val="16"/>
  </w:num>
  <w:num w:numId="32" w16cid:durableId="11965059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0NTIyM7EwMTezNDNV0lEKTi0uzszPAykwqgUA8tdTKywAAAA="/>
  </w:docVars>
  <w:rsids>
    <w:rsidRoot w:val="00206552"/>
    <w:rsid w:val="000000E1"/>
    <w:rsid w:val="00000B70"/>
    <w:rsid w:val="00004B07"/>
    <w:rsid w:val="000117AC"/>
    <w:rsid w:val="00011BB2"/>
    <w:rsid w:val="00011D7B"/>
    <w:rsid w:val="000142CA"/>
    <w:rsid w:val="00014DDA"/>
    <w:rsid w:val="00014E7D"/>
    <w:rsid w:val="000151E5"/>
    <w:rsid w:val="000163C5"/>
    <w:rsid w:val="000178F0"/>
    <w:rsid w:val="00017D36"/>
    <w:rsid w:val="00020894"/>
    <w:rsid w:val="00020CE2"/>
    <w:rsid w:val="0002279E"/>
    <w:rsid w:val="00023036"/>
    <w:rsid w:val="00023885"/>
    <w:rsid w:val="00023BCD"/>
    <w:rsid w:val="0002456C"/>
    <w:rsid w:val="0002785E"/>
    <w:rsid w:val="00027CCD"/>
    <w:rsid w:val="00030ADB"/>
    <w:rsid w:val="00031199"/>
    <w:rsid w:val="00032699"/>
    <w:rsid w:val="00033527"/>
    <w:rsid w:val="00033E75"/>
    <w:rsid w:val="000341A7"/>
    <w:rsid w:val="00037639"/>
    <w:rsid w:val="00037AE6"/>
    <w:rsid w:val="000400D0"/>
    <w:rsid w:val="00040EB2"/>
    <w:rsid w:val="00044157"/>
    <w:rsid w:val="00044883"/>
    <w:rsid w:val="0004535A"/>
    <w:rsid w:val="00051876"/>
    <w:rsid w:val="00051C9F"/>
    <w:rsid w:val="00054F18"/>
    <w:rsid w:val="00055594"/>
    <w:rsid w:val="000565E3"/>
    <w:rsid w:val="00061367"/>
    <w:rsid w:val="0006400D"/>
    <w:rsid w:val="00064772"/>
    <w:rsid w:val="00066452"/>
    <w:rsid w:val="00066FC0"/>
    <w:rsid w:val="00067248"/>
    <w:rsid w:val="00071218"/>
    <w:rsid w:val="00075EFF"/>
    <w:rsid w:val="00077817"/>
    <w:rsid w:val="00080EFC"/>
    <w:rsid w:val="00083534"/>
    <w:rsid w:val="000855EA"/>
    <w:rsid w:val="00086AA7"/>
    <w:rsid w:val="00087029"/>
    <w:rsid w:val="0009033B"/>
    <w:rsid w:val="0009057E"/>
    <w:rsid w:val="00090CED"/>
    <w:rsid w:val="000925CA"/>
    <w:rsid w:val="000929CB"/>
    <w:rsid w:val="00093B5F"/>
    <w:rsid w:val="00093E7F"/>
    <w:rsid w:val="00097102"/>
    <w:rsid w:val="00097FC9"/>
    <w:rsid w:val="000A1BA4"/>
    <w:rsid w:val="000A326C"/>
    <w:rsid w:val="000A34C3"/>
    <w:rsid w:val="000A7959"/>
    <w:rsid w:val="000B292A"/>
    <w:rsid w:val="000B3363"/>
    <w:rsid w:val="000B67B4"/>
    <w:rsid w:val="000C7B27"/>
    <w:rsid w:val="000D0691"/>
    <w:rsid w:val="000D0E7E"/>
    <w:rsid w:val="000D3491"/>
    <w:rsid w:val="000D3E32"/>
    <w:rsid w:val="000D55DF"/>
    <w:rsid w:val="000E07B9"/>
    <w:rsid w:val="000E21CE"/>
    <w:rsid w:val="000E3E71"/>
    <w:rsid w:val="000E60D0"/>
    <w:rsid w:val="000F1CC3"/>
    <w:rsid w:val="000F487D"/>
    <w:rsid w:val="000F61AB"/>
    <w:rsid w:val="000F677D"/>
    <w:rsid w:val="000F76C6"/>
    <w:rsid w:val="000F7782"/>
    <w:rsid w:val="0010188C"/>
    <w:rsid w:val="00101CB4"/>
    <w:rsid w:val="00101F9F"/>
    <w:rsid w:val="001022EB"/>
    <w:rsid w:val="00104D24"/>
    <w:rsid w:val="00111D65"/>
    <w:rsid w:val="00112A86"/>
    <w:rsid w:val="001132CC"/>
    <w:rsid w:val="00114997"/>
    <w:rsid w:val="001170D1"/>
    <w:rsid w:val="00117378"/>
    <w:rsid w:val="00117D7E"/>
    <w:rsid w:val="001207EB"/>
    <w:rsid w:val="001210BF"/>
    <w:rsid w:val="00130228"/>
    <w:rsid w:val="0013116F"/>
    <w:rsid w:val="00132F3C"/>
    <w:rsid w:val="00133F49"/>
    <w:rsid w:val="00136486"/>
    <w:rsid w:val="001367F1"/>
    <w:rsid w:val="001370E5"/>
    <w:rsid w:val="0013726E"/>
    <w:rsid w:val="001375AD"/>
    <w:rsid w:val="00137788"/>
    <w:rsid w:val="0014459E"/>
    <w:rsid w:val="00144759"/>
    <w:rsid w:val="00151538"/>
    <w:rsid w:val="00151EE7"/>
    <w:rsid w:val="0015223A"/>
    <w:rsid w:val="00152CD7"/>
    <w:rsid w:val="001550B6"/>
    <w:rsid w:val="00156046"/>
    <w:rsid w:val="001565A3"/>
    <w:rsid w:val="001578EA"/>
    <w:rsid w:val="00163979"/>
    <w:rsid w:val="00163E6F"/>
    <w:rsid w:val="00164F0E"/>
    <w:rsid w:val="00165C16"/>
    <w:rsid w:val="00173E5B"/>
    <w:rsid w:val="00174F30"/>
    <w:rsid w:val="00174FB3"/>
    <w:rsid w:val="0017734D"/>
    <w:rsid w:val="001833F9"/>
    <w:rsid w:val="0018579B"/>
    <w:rsid w:val="00185980"/>
    <w:rsid w:val="0018685E"/>
    <w:rsid w:val="0018795F"/>
    <w:rsid w:val="00191A2D"/>
    <w:rsid w:val="00191CDF"/>
    <w:rsid w:val="001941F0"/>
    <w:rsid w:val="00194A3E"/>
    <w:rsid w:val="001A051E"/>
    <w:rsid w:val="001A1BB3"/>
    <w:rsid w:val="001A27B2"/>
    <w:rsid w:val="001A41CA"/>
    <w:rsid w:val="001A45B0"/>
    <w:rsid w:val="001A579D"/>
    <w:rsid w:val="001A57BF"/>
    <w:rsid w:val="001A79E2"/>
    <w:rsid w:val="001B0CFE"/>
    <w:rsid w:val="001B2CE6"/>
    <w:rsid w:val="001B38D4"/>
    <w:rsid w:val="001C1340"/>
    <w:rsid w:val="001C3354"/>
    <w:rsid w:val="001C49D3"/>
    <w:rsid w:val="001C529A"/>
    <w:rsid w:val="001C55FD"/>
    <w:rsid w:val="001D057B"/>
    <w:rsid w:val="001D5153"/>
    <w:rsid w:val="001D5453"/>
    <w:rsid w:val="001D545E"/>
    <w:rsid w:val="001D5BF7"/>
    <w:rsid w:val="001E07F3"/>
    <w:rsid w:val="001E083C"/>
    <w:rsid w:val="001E2AEB"/>
    <w:rsid w:val="001E5F48"/>
    <w:rsid w:val="001E6C26"/>
    <w:rsid w:val="001F0757"/>
    <w:rsid w:val="001F2B11"/>
    <w:rsid w:val="001F2D1E"/>
    <w:rsid w:val="001F7126"/>
    <w:rsid w:val="002031CF"/>
    <w:rsid w:val="00203984"/>
    <w:rsid w:val="00204327"/>
    <w:rsid w:val="002052BB"/>
    <w:rsid w:val="002056F3"/>
    <w:rsid w:val="00206552"/>
    <w:rsid w:val="002067E4"/>
    <w:rsid w:val="002129CE"/>
    <w:rsid w:val="00215921"/>
    <w:rsid w:val="00216F33"/>
    <w:rsid w:val="0021774F"/>
    <w:rsid w:val="0021782D"/>
    <w:rsid w:val="002210AE"/>
    <w:rsid w:val="00221331"/>
    <w:rsid w:val="00221B72"/>
    <w:rsid w:val="0022638C"/>
    <w:rsid w:val="002263C2"/>
    <w:rsid w:val="002266AA"/>
    <w:rsid w:val="00226F4D"/>
    <w:rsid w:val="002315A2"/>
    <w:rsid w:val="002316BB"/>
    <w:rsid w:val="0023763A"/>
    <w:rsid w:val="002410A3"/>
    <w:rsid w:val="002429C0"/>
    <w:rsid w:val="002447EB"/>
    <w:rsid w:val="002451F6"/>
    <w:rsid w:val="00245E3A"/>
    <w:rsid w:val="00245E60"/>
    <w:rsid w:val="00247D4E"/>
    <w:rsid w:val="00250605"/>
    <w:rsid w:val="00251605"/>
    <w:rsid w:val="00253CA3"/>
    <w:rsid w:val="00255B27"/>
    <w:rsid w:val="00256242"/>
    <w:rsid w:val="00256E65"/>
    <w:rsid w:val="00257B49"/>
    <w:rsid w:val="00263BA0"/>
    <w:rsid w:val="002646BF"/>
    <w:rsid w:val="002650CF"/>
    <w:rsid w:val="0026638C"/>
    <w:rsid w:val="00270AA5"/>
    <w:rsid w:val="00271704"/>
    <w:rsid w:val="00271E94"/>
    <w:rsid w:val="0027208E"/>
    <w:rsid w:val="00273039"/>
    <w:rsid w:val="00273B9D"/>
    <w:rsid w:val="00275A61"/>
    <w:rsid w:val="00276B4D"/>
    <w:rsid w:val="00281E5B"/>
    <w:rsid w:val="002846A1"/>
    <w:rsid w:val="00285098"/>
    <w:rsid w:val="00285144"/>
    <w:rsid w:val="00291EF1"/>
    <w:rsid w:val="00292FFE"/>
    <w:rsid w:val="0029420B"/>
    <w:rsid w:val="00296460"/>
    <w:rsid w:val="00296DFB"/>
    <w:rsid w:val="002A0214"/>
    <w:rsid w:val="002A0342"/>
    <w:rsid w:val="002A044D"/>
    <w:rsid w:val="002A0586"/>
    <w:rsid w:val="002A0B90"/>
    <w:rsid w:val="002A192C"/>
    <w:rsid w:val="002A4800"/>
    <w:rsid w:val="002A4A69"/>
    <w:rsid w:val="002A6621"/>
    <w:rsid w:val="002A7F20"/>
    <w:rsid w:val="002A7F6A"/>
    <w:rsid w:val="002B1041"/>
    <w:rsid w:val="002B1CF3"/>
    <w:rsid w:val="002B5268"/>
    <w:rsid w:val="002B5FBC"/>
    <w:rsid w:val="002B6649"/>
    <w:rsid w:val="002B7D32"/>
    <w:rsid w:val="002C2ED6"/>
    <w:rsid w:val="002C4DF9"/>
    <w:rsid w:val="002C5574"/>
    <w:rsid w:val="002C7D8E"/>
    <w:rsid w:val="002D0ECA"/>
    <w:rsid w:val="002D2DDA"/>
    <w:rsid w:val="002D31A5"/>
    <w:rsid w:val="002D410A"/>
    <w:rsid w:val="002D650D"/>
    <w:rsid w:val="002D7590"/>
    <w:rsid w:val="002D7AE8"/>
    <w:rsid w:val="002E2E9C"/>
    <w:rsid w:val="002E30F2"/>
    <w:rsid w:val="002E57DB"/>
    <w:rsid w:val="002E5B86"/>
    <w:rsid w:val="002E6106"/>
    <w:rsid w:val="002E769C"/>
    <w:rsid w:val="002F1BFE"/>
    <w:rsid w:val="002F227F"/>
    <w:rsid w:val="002F4367"/>
    <w:rsid w:val="002F4EB7"/>
    <w:rsid w:val="002F7903"/>
    <w:rsid w:val="003033DC"/>
    <w:rsid w:val="00304829"/>
    <w:rsid w:val="003048DD"/>
    <w:rsid w:val="00305C9E"/>
    <w:rsid w:val="0030752D"/>
    <w:rsid w:val="00310D1D"/>
    <w:rsid w:val="003144FB"/>
    <w:rsid w:val="00316C89"/>
    <w:rsid w:val="00316F93"/>
    <w:rsid w:val="00320AA8"/>
    <w:rsid w:val="0032437A"/>
    <w:rsid w:val="00324BFB"/>
    <w:rsid w:val="00326141"/>
    <w:rsid w:val="0033051E"/>
    <w:rsid w:val="00330A75"/>
    <w:rsid w:val="003337EA"/>
    <w:rsid w:val="00334369"/>
    <w:rsid w:val="0033476B"/>
    <w:rsid w:val="00336C61"/>
    <w:rsid w:val="00337833"/>
    <w:rsid w:val="003408C1"/>
    <w:rsid w:val="00343869"/>
    <w:rsid w:val="00343BC5"/>
    <w:rsid w:val="00345265"/>
    <w:rsid w:val="00345FC1"/>
    <w:rsid w:val="003461A9"/>
    <w:rsid w:val="00346B5F"/>
    <w:rsid w:val="003509D7"/>
    <w:rsid w:val="00352240"/>
    <w:rsid w:val="00354A5A"/>
    <w:rsid w:val="003565BF"/>
    <w:rsid w:val="00361FF4"/>
    <w:rsid w:val="00362778"/>
    <w:rsid w:val="00363C39"/>
    <w:rsid w:val="00370216"/>
    <w:rsid w:val="00371581"/>
    <w:rsid w:val="00372A91"/>
    <w:rsid w:val="003735BD"/>
    <w:rsid w:val="0038124E"/>
    <w:rsid w:val="00383E43"/>
    <w:rsid w:val="00384DD0"/>
    <w:rsid w:val="00385DFC"/>
    <w:rsid w:val="00385E07"/>
    <w:rsid w:val="00386101"/>
    <w:rsid w:val="00386371"/>
    <w:rsid w:val="003914A5"/>
    <w:rsid w:val="00392713"/>
    <w:rsid w:val="003A14A1"/>
    <w:rsid w:val="003A38E1"/>
    <w:rsid w:val="003A55EC"/>
    <w:rsid w:val="003A5F4A"/>
    <w:rsid w:val="003A6BF9"/>
    <w:rsid w:val="003A6D18"/>
    <w:rsid w:val="003A7715"/>
    <w:rsid w:val="003B02CE"/>
    <w:rsid w:val="003B2060"/>
    <w:rsid w:val="003B2690"/>
    <w:rsid w:val="003B4422"/>
    <w:rsid w:val="003B659E"/>
    <w:rsid w:val="003B6D3B"/>
    <w:rsid w:val="003C0AE4"/>
    <w:rsid w:val="003C0C78"/>
    <w:rsid w:val="003C22BD"/>
    <w:rsid w:val="003C2A79"/>
    <w:rsid w:val="003C3C9C"/>
    <w:rsid w:val="003C5D81"/>
    <w:rsid w:val="003D1D40"/>
    <w:rsid w:val="003D2439"/>
    <w:rsid w:val="003D60BC"/>
    <w:rsid w:val="003D60EE"/>
    <w:rsid w:val="003D6C7D"/>
    <w:rsid w:val="003E0CC2"/>
    <w:rsid w:val="003E3DB7"/>
    <w:rsid w:val="003E61CD"/>
    <w:rsid w:val="003E7640"/>
    <w:rsid w:val="003F0BB8"/>
    <w:rsid w:val="003F1493"/>
    <w:rsid w:val="003F4EFE"/>
    <w:rsid w:val="003F6339"/>
    <w:rsid w:val="003F6C3A"/>
    <w:rsid w:val="003F76CD"/>
    <w:rsid w:val="003F7D4F"/>
    <w:rsid w:val="0040015C"/>
    <w:rsid w:val="00401235"/>
    <w:rsid w:val="00401585"/>
    <w:rsid w:val="00401D30"/>
    <w:rsid w:val="004021B3"/>
    <w:rsid w:val="00405E25"/>
    <w:rsid w:val="00407F1C"/>
    <w:rsid w:val="004101A7"/>
    <w:rsid w:val="00411C8E"/>
    <w:rsid w:val="00412BF3"/>
    <w:rsid w:val="0041382A"/>
    <w:rsid w:val="00415C28"/>
    <w:rsid w:val="00420191"/>
    <w:rsid w:val="004216A9"/>
    <w:rsid w:val="00421827"/>
    <w:rsid w:val="00421DB9"/>
    <w:rsid w:val="00423AD2"/>
    <w:rsid w:val="00425338"/>
    <w:rsid w:val="00425371"/>
    <w:rsid w:val="004302E9"/>
    <w:rsid w:val="0043151A"/>
    <w:rsid w:val="00431D81"/>
    <w:rsid w:val="004422AB"/>
    <w:rsid w:val="00442BDA"/>
    <w:rsid w:val="00443799"/>
    <w:rsid w:val="00443A31"/>
    <w:rsid w:val="00446930"/>
    <w:rsid w:val="0046000F"/>
    <w:rsid w:val="00461BAD"/>
    <w:rsid w:val="00464398"/>
    <w:rsid w:val="004664EB"/>
    <w:rsid w:val="004666DF"/>
    <w:rsid w:val="00467D6A"/>
    <w:rsid w:val="0047066B"/>
    <w:rsid w:val="0047098C"/>
    <w:rsid w:val="00472F92"/>
    <w:rsid w:val="0047388F"/>
    <w:rsid w:val="00473ADA"/>
    <w:rsid w:val="00474B28"/>
    <w:rsid w:val="004752C1"/>
    <w:rsid w:val="0048108F"/>
    <w:rsid w:val="004900E2"/>
    <w:rsid w:val="004901DE"/>
    <w:rsid w:val="0049133C"/>
    <w:rsid w:val="00492A88"/>
    <w:rsid w:val="00492BD7"/>
    <w:rsid w:val="004A2C7A"/>
    <w:rsid w:val="004A6167"/>
    <w:rsid w:val="004A6A67"/>
    <w:rsid w:val="004A791F"/>
    <w:rsid w:val="004B0745"/>
    <w:rsid w:val="004B0B17"/>
    <w:rsid w:val="004B1A53"/>
    <w:rsid w:val="004B4287"/>
    <w:rsid w:val="004B5371"/>
    <w:rsid w:val="004B54A9"/>
    <w:rsid w:val="004C3F57"/>
    <w:rsid w:val="004C46B1"/>
    <w:rsid w:val="004C7F86"/>
    <w:rsid w:val="004D135D"/>
    <w:rsid w:val="004E0F98"/>
    <w:rsid w:val="004E21A1"/>
    <w:rsid w:val="004E7248"/>
    <w:rsid w:val="004F0081"/>
    <w:rsid w:val="004F0E02"/>
    <w:rsid w:val="004F1770"/>
    <w:rsid w:val="004F1E58"/>
    <w:rsid w:val="004F1F8A"/>
    <w:rsid w:val="004F2BEA"/>
    <w:rsid w:val="00500CBC"/>
    <w:rsid w:val="00501066"/>
    <w:rsid w:val="005026EF"/>
    <w:rsid w:val="005028E5"/>
    <w:rsid w:val="00502EEE"/>
    <w:rsid w:val="00506CD0"/>
    <w:rsid w:val="00506D20"/>
    <w:rsid w:val="00510FAC"/>
    <w:rsid w:val="00511B4A"/>
    <w:rsid w:val="00511E44"/>
    <w:rsid w:val="00512027"/>
    <w:rsid w:val="00512EEF"/>
    <w:rsid w:val="005130D4"/>
    <w:rsid w:val="00513AF0"/>
    <w:rsid w:val="00516AB0"/>
    <w:rsid w:val="00517262"/>
    <w:rsid w:val="0052082E"/>
    <w:rsid w:val="00520E91"/>
    <w:rsid w:val="00521B8C"/>
    <w:rsid w:val="005221A8"/>
    <w:rsid w:val="00522212"/>
    <w:rsid w:val="005262EA"/>
    <w:rsid w:val="00527D80"/>
    <w:rsid w:val="00530781"/>
    <w:rsid w:val="005327C9"/>
    <w:rsid w:val="00534699"/>
    <w:rsid w:val="00534C81"/>
    <w:rsid w:val="00534D5F"/>
    <w:rsid w:val="00542CAB"/>
    <w:rsid w:val="00543354"/>
    <w:rsid w:val="0055063B"/>
    <w:rsid w:val="00550886"/>
    <w:rsid w:val="00550D03"/>
    <w:rsid w:val="00552D8D"/>
    <w:rsid w:val="00553197"/>
    <w:rsid w:val="00556C79"/>
    <w:rsid w:val="00560C3E"/>
    <w:rsid w:val="005612BD"/>
    <w:rsid w:val="00561325"/>
    <w:rsid w:val="00565435"/>
    <w:rsid w:val="005660F6"/>
    <w:rsid w:val="00567B95"/>
    <w:rsid w:val="00567C9F"/>
    <w:rsid w:val="0057059E"/>
    <w:rsid w:val="00570936"/>
    <w:rsid w:val="00570B7A"/>
    <w:rsid w:val="00571853"/>
    <w:rsid w:val="00572599"/>
    <w:rsid w:val="00573461"/>
    <w:rsid w:val="0057386C"/>
    <w:rsid w:val="00573B52"/>
    <w:rsid w:val="00573DA3"/>
    <w:rsid w:val="005749D6"/>
    <w:rsid w:val="0057553F"/>
    <w:rsid w:val="00575EA9"/>
    <w:rsid w:val="00577F37"/>
    <w:rsid w:val="00580220"/>
    <w:rsid w:val="005811F7"/>
    <w:rsid w:val="00582A55"/>
    <w:rsid w:val="00583714"/>
    <w:rsid w:val="00584931"/>
    <w:rsid w:val="00593C46"/>
    <w:rsid w:val="00594787"/>
    <w:rsid w:val="005A1332"/>
    <w:rsid w:val="005A1814"/>
    <w:rsid w:val="005A3A5B"/>
    <w:rsid w:val="005A70D8"/>
    <w:rsid w:val="005B19B3"/>
    <w:rsid w:val="005B3F72"/>
    <w:rsid w:val="005B53BB"/>
    <w:rsid w:val="005B73F3"/>
    <w:rsid w:val="005B7D2B"/>
    <w:rsid w:val="005C6252"/>
    <w:rsid w:val="005C6417"/>
    <w:rsid w:val="005C716D"/>
    <w:rsid w:val="005C77D0"/>
    <w:rsid w:val="005D13A9"/>
    <w:rsid w:val="005D19E2"/>
    <w:rsid w:val="005D59F6"/>
    <w:rsid w:val="005D5B20"/>
    <w:rsid w:val="005D620C"/>
    <w:rsid w:val="005D7465"/>
    <w:rsid w:val="005D7BE6"/>
    <w:rsid w:val="005E0240"/>
    <w:rsid w:val="005E14E8"/>
    <w:rsid w:val="005E1CAB"/>
    <w:rsid w:val="005E636E"/>
    <w:rsid w:val="005F0671"/>
    <w:rsid w:val="005F0719"/>
    <w:rsid w:val="005F44A1"/>
    <w:rsid w:val="005F4AE2"/>
    <w:rsid w:val="005F6C05"/>
    <w:rsid w:val="006001A0"/>
    <w:rsid w:val="00600384"/>
    <w:rsid w:val="006035AF"/>
    <w:rsid w:val="00604EDE"/>
    <w:rsid w:val="00606D63"/>
    <w:rsid w:val="00607D47"/>
    <w:rsid w:val="00607F24"/>
    <w:rsid w:val="0061088B"/>
    <w:rsid w:val="00610916"/>
    <w:rsid w:val="00612980"/>
    <w:rsid w:val="006129EC"/>
    <w:rsid w:val="00615C93"/>
    <w:rsid w:val="006204BC"/>
    <w:rsid w:val="00622846"/>
    <w:rsid w:val="00623331"/>
    <w:rsid w:val="00626DEE"/>
    <w:rsid w:val="00627F6F"/>
    <w:rsid w:val="00632077"/>
    <w:rsid w:val="0063334A"/>
    <w:rsid w:val="00633377"/>
    <w:rsid w:val="00634CA0"/>
    <w:rsid w:val="00636EAF"/>
    <w:rsid w:val="00641DED"/>
    <w:rsid w:val="006429BB"/>
    <w:rsid w:val="00644965"/>
    <w:rsid w:val="006511D1"/>
    <w:rsid w:val="00654E46"/>
    <w:rsid w:val="006574AA"/>
    <w:rsid w:val="00660467"/>
    <w:rsid w:val="00661B81"/>
    <w:rsid w:val="0066334A"/>
    <w:rsid w:val="0066370A"/>
    <w:rsid w:val="00665621"/>
    <w:rsid w:val="00666886"/>
    <w:rsid w:val="006669DD"/>
    <w:rsid w:val="00667587"/>
    <w:rsid w:val="006707B5"/>
    <w:rsid w:val="006727F5"/>
    <w:rsid w:val="00672885"/>
    <w:rsid w:val="006757D7"/>
    <w:rsid w:val="00676154"/>
    <w:rsid w:val="00676EF1"/>
    <w:rsid w:val="00677A10"/>
    <w:rsid w:val="00690E55"/>
    <w:rsid w:val="006914BA"/>
    <w:rsid w:val="006917D7"/>
    <w:rsid w:val="00691AFB"/>
    <w:rsid w:val="00692393"/>
    <w:rsid w:val="00692FF7"/>
    <w:rsid w:val="00694D17"/>
    <w:rsid w:val="00695C29"/>
    <w:rsid w:val="00696898"/>
    <w:rsid w:val="006975AE"/>
    <w:rsid w:val="00697C0D"/>
    <w:rsid w:val="00697D65"/>
    <w:rsid w:val="006A606B"/>
    <w:rsid w:val="006A6974"/>
    <w:rsid w:val="006A6E26"/>
    <w:rsid w:val="006A72B6"/>
    <w:rsid w:val="006A7E57"/>
    <w:rsid w:val="006A7FF4"/>
    <w:rsid w:val="006B14D8"/>
    <w:rsid w:val="006B1E85"/>
    <w:rsid w:val="006B2668"/>
    <w:rsid w:val="006C0C37"/>
    <w:rsid w:val="006C0C50"/>
    <w:rsid w:val="006C2539"/>
    <w:rsid w:val="006C28AE"/>
    <w:rsid w:val="006C4217"/>
    <w:rsid w:val="006C547F"/>
    <w:rsid w:val="006C60F4"/>
    <w:rsid w:val="006C72ED"/>
    <w:rsid w:val="006C78C9"/>
    <w:rsid w:val="006D0993"/>
    <w:rsid w:val="006D512F"/>
    <w:rsid w:val="006D63F1"/>
    <w:rsid w:val="006D64F1"/>
    <w:rsid w:val="006E0B56"/>
    <w:rsid w:val="006E142A"/>
    <w:rsid w:val="006E223E"/>
    <w:rsid w:val="006E44EE"/>
    <w:rsid w:val="006E5A62"/>
    <w:rsid w:val="006E6D37"/>
    <w:rsid w:val="006F04F0"/>
    <w:rsid w:val="006F07A2"/>
    <w:rsid w:val="006F07FA"/>
    <w:rsid w:val="006F3FE5"/>
    <w:rsid w:val="006F5463"/>
    <w:rsid w:val="006F551B"/>
    <w:rsid w:val="006F6A27"/>
    <w:rsid w:val="00702C64"/>
    <w:rsid w:val="00704554"/>
    <w:rsid w:val="00707DE8"/>
    <w:rsid w:val="0072283B"/>
    <w:rsid w:val="007243CC"/>
    <w:rsid w:val="00733BD6"/>
    <w:rsid w:val="007344B1"/>
    <w:rsid w:val="00740A8F"/>
    <w:rsid w:val="00740B6F"/>
    <w:rsid w:val="007433C8"/>
    <w:rsid w:val="00745FF2"/>
    <w:rsid w:val="00746E42"/>
    <w:rsid w:val="0074782D"/>
    <w:rsid w:val="0074792F"/>
    <w:rsid w:val="007521C7"/>
    <w:rsid w:val="00752E27"/>
    <w:rsid w:val="00755AD1"/>
    <w:rsid w:val="0075794E"/>
    <w:rsid w:val="007607CE"/>
    <w:rsid w:val="00761496"/>
    <w:rsid w:val="00761B66"/>
    <w:rsid w:val="00761CFF"/>
    <w:rsid w:val="007628E6"/>
    <w:rsid w:val="00764832"/>
    <w:rsid w:val="0076686D"/>
    <w:rsid w:val="00766F56"/>
    <w:rsid w:val="007674BF"/>
    <w:rsid w:val="007675DF"/>
    <w:rsid w:val="00770948"/>
    <w:rsid w:val="00770BCA"/>
    <w:rsid w:val="00771FB2"/>
    <w:rsid w:val="0077402B"/>
    <w:rsid w:val="007746C9"/>
    <w:rsid w:val="00775123"/>
    <w:rsid w:val="0078208A"/>
    <w:rsid w:val="00785F52"/>
    <w:rsid w:val="00786B20"/>
    <w:rsid w:val="0079005D"/>
    <w:rsid w:val="0079016D"/>
    <w:rsid w:val="007953B9"/>
    <w:rsid w:val="007960E8"/>
    <w:rsid w:val="007971CE"/>
    <w:rsid w:val="007A00BC"/>
    <w:rsid w:val="007A01D5"/>
    <w:rsid w:val="007A108C"/>
    <w:rsid w:val="007A283C"/>
    <w:rsid w:val="007A45C9"/>
    <w:rsid w:val="007A591E"/>
    <w:rsid w:val="007A68D2"/>
    <w:rsid w:val="007B47D3"/>
    <w:rsid w:val="007B4970"/>
    <w:rsid w:val="007B50DD"/>
    <w:rsid w:val="007B529B"/>
    <w:rsid w:val="007B5FD6"/>
    <w:rsid w:val="007B7F69"/>
    <w:rsid w:val="007C29A1"/>
    <w:rsid w:val="007C4683"/>
    <w:rsid w:val="007C5EC8"/>
    <w:rsid w:val="007C61AC"/>
    <w:rsid w:val="007C6541"/>
    <w:rsid w:val="007C7BD9"/>
    <w:rsid w:val="007D06D1"/>
    <w:rsid w:val="007D165C"/>
    <w:rsid w:val="007D18E9"/>
    <w:rsid w:val="007D2775"/>
    <w:rsid w:val="007D3605"/>
    <w:rsid w:val="007D3F1C"/>
    <w:rsid w:val="007D5D10"/>
    <w:rsid w:val="007D6114"/>
    <w:rsid w:val="007D612C"/>
    <w:rsid w:val="007D624D"/>
    <w:rsid w:val="007D7580"/>
    <w:rsid w:val="007D76B4"/>
    <w:rsid w:val="007E1AD0"/>
    <w:rsid w:val="007E2682"/>
    <w:rsid w:val="007E5740"/>
    <w:rsid w:val="007E5CAA"/>
    <w:rsid w:val="007E71AE"/>
    <w:rsid w:val="007F21BF"/>
    <w:rsid w:val="007F2B23"/>
    <w:rsid w:val="00800CA2"/>
    <w:rsid w:val="00802C91"/>
    <w:rsid w:val="00803048"/>
    <w:rsid w:val="00810230"/>
    <w:rsid w:val="00810814"/>
    <w:rsid w:val="0081241C"/>
    <w:rsid w:val="00814D05"/>
    <w:rsid w:val="00815234"/>
    <w:rsid w:val="008157AF"/>
    <w:rsid w:val="008173F2"/>
    <w:rsid w:val="0081758B"/>
    <w:rsid w:val="00822A4F"/>
    <w:rsid w:val="00822B3D"/>
    <w:rsid w:val="00825AFF"/>
    <w:rsid w:val="0083103E"/>
    <w:rsid w:val="00831D9B"/>
    <w:rsid w:val="008322C8"/>
    <w:rsid w:val="00832857"/>
    <w:rsid w:val="008344C8"/>
    <w:rsid w:val="008400A4"/>
    <w:rsid w:val="00840934"/>
    <w:rsid w:val="00841933"/>
    <w:rsid w:val="00841C20"/>
    <w:rsid w:val="008506C6"/>
    <w:rsid w:val="008523BB"/>
    <w:rsid w:val="00852D11"/>
    <w:rsid w:val="0085482C"/>
    <w:rsid w:val="00855FA0"/>
    <w:rsid w:val="008631B3"/>
    <w:rsid w:val="00863551"/>
    <w:rsid w:val="0086642C"/>
    <w:rsid w:val="008678D7"/>
    <w:rsid w:val="00870355"/>
    <w:rsid w:val="00870D2A"/>
    <w:rsid w:val="00870E84"/>
    <w:rsid w:val="00871A20"/>
    <w:rsid w:val="0087390A"/>
    <w:rsid w:val="00876A0B"/>
    <w:rsid w:val="00877A3F"/>
    <w:rsid w:val="008838CF"/>
    <w:rsid w:val="008852D8"/>
    <w:rsid w:val="00886794"/>
    <w:rsid w:val="00886940"/>
    <w:rsid w:val="0088777C"/>
    <w:rsid w:val="00890007"/>
    <w:rsid w:val="008900DD"/>
    <w:rsid w:val="00891AEB"/>
    <w:rsid w:val="00891CC4"/>
    <w:rsid w:val="00891FDB"/>
    <w:rsid w:val="008932CD"/>
    <w:rsid w:val="0089344C"/>
    <w:rsid w:val="008964FC"/>
    <w:rsid w:val="008974DC"/>
    <w:rsid w:val="008978B8"/>
    <w:rsid w:val="008A4B94"/>
    <w:rsid w:val="008A555D"/>
    <w:rsid w:val="008B0772"/>
    <w:rsid w:val="008B5125"/>
    <w:rsid w:val="008B5DEA"/>
    <w:rsid w:val="008C04C6"/>
    <w:rsid w:val="008C137C"/>
    <w:rsid w:val="008C16B0"/>
    <w:rsid w:val="008C1D13"/>
    <w:rsid w:val="008C228B"/>
    <w:rsid w:val="008C3808"/>
    <w:rsid w:val="008C5498"/>
    <w:rsid w:val="008C6F4E"/>
    <w:rsid w:val="008D1E30"/>
    <w:rsid w:val="008D5585"/>
    <w:rsid w:val="008E2080"/>
    <w:rsid w:val="008E34AB"/>
    <w:rsid w:val="008E4296"/>
    <w:rsid w:val="008F0353"/>
    <w:rsid w:val="008F0E6E"/>
    <w:rsid w:val="008F0F63"/>
    <w:rsid w:val="008F27A7"/>
    <w:rsid w:val="008F446B"/>
    <w:rsid w:val="008F4D09"/>
    <w:rsid w:val="00902837"/>
    <w:rsid w:val="009036CD"/>
    <w:rsid w:val="0090498D"/>
    <w:rsid w:val="00907EA6"/>
    <w:rsid w:val="009111C9"/>
    <w:rsid w:val="00911D63"/>
    <w:rsid w:val="00914C18"/>
    <w:rsid w:val="00914EA6"/>
    <w:rsid w:val="009175C8"/>
    <w:rsid w:val="0092340E"/>
    <w:rsid w:val="009252E8"/>
    <w:rsid w:val="0092546E"/>
    <w:rsid w:val="009261F8"/>
    <w:rsid w:val="0093189C"/>
    <w:rsid w:val="00933E2C"/>
    <w:rsid w:val="00940F66"/>
    <w:rsid w:val="00941967"/>
    <w:rsid w:val="00942BCA"/>
    <w:rsid w:val="009451BA"/>
    <w:rsid w:val="00945E12"/>
    <w:rsid w:val="0094771E"/>
    <w:rsid w:val="00947FB6"/>
    <w:rsid w:val="009500F2"/>
    <w:rsid w:val="0095019E"/>
    <w:rsid w:val="009515A6"/>
    <w:rsid w:val="00951B5B"/>
    <w:rsid w:val="009522E1"/>
    <w:rsid w:val="00956613"/>
    <w:rsid w:val="009573D6"/>
    <w:rsid w:val="00957720"/>
    <w:rsid w:val="00957927"/>
    <w:rsid w:val="009626BE"/>
    <w:rsid w:val="00964A28"/>
    <w:rsid w:val="00965959"/>
    <w:rsid w:val="00972159"/>
    <w:rsid w:val="00972E0F"/>
    <w:rsid w:val="009737FB"/>
    <w:rsid w:val="0097666E"/>
    <w:rsid w:val="00983172"/>
    <w:rsid w:val="00990ADD"/>
    <w:rsid w:val="00992E12"/>
    <w:rsid w:val="00993A21"/>
    <w:rsid w:val="00995A44"/>
    <w:rsid w:val="009961C2"/>
    <w:rsid w:val="0099640B"/>
    <w:rsid w:val="009A04C1"/>
    <w:rsid w:val="009A1287"/>
    <w:rsid w:val="009A2BD6"/>
    <w:rsid w:val="009A4047"/>
    <w:rsid w:val="009A6812"/>
    <w:rsid w:val="009A7162"/>
    <w:rsid w:val="009B179A"/>
    <w:rsid w:val="009B2661"/>
    <w:rsid w:val="009B2777"/>
    <w:rsid w:val="009B367C"/>
    <w:rsid w:val="009B4F1E"/>
    <w:rsid w:val="009B6818"/>
    <w:rsid w:val="009C0276"/>
    <w:rsid w:val="009C0CAB"/>
    <w:rsid w:val="009C14E4"/>
    <w:rsid w:val="009C156D"/>
    <w:rsid w:val="009C15DC"/>
    <w:rsid w:val="009C308B"/>
    <w:rsid w:val="009C7027"/>
    <w:rsid w:val="009D038C"/>
    <w:rsid w:val="009D0DA8"/>
    <w:rsid w:val="009D1EEE"/>
    <w:rsid w:val="009D2E41"/>
    <w:rsid w:val="009D34B7"/>
    <w:rsid w:val="009D5560"/>
    <w:rsid w:val="009E0C3E"/>
    <w:rsid w:val="009E1AE0"/>
    <w:rsid w:val="009E5E23"/>
    <w:rsid w:val="009E7A04"/>
    <w:rsid w:val="009E7E90"/>
    <w:rsid w:val="009F26C0"/>
    <w:rsid w:val="009F2891"/>
    <w:rsid w:val="009F38B7"/>
    <w:rsid w:val="009F6335"/>
    <w:rsid w:val="009F7074"/>
    <w:rsid w:val="009F70E6"/>
    <w:rsid w:val="009F768E"/>
    <w:rsid w:val="009F7C85"/>
    <w:rsid w:val="00A023F4"/>
    <w:rsid w:val="00A02745"/>
    <w:rsid w:val="00A02CA5"/>
    <w:rsid w:val="00A04FD6"/>
    <w:rsid w:val="00A0751C"/>
    <w:rsid w:val="00A1726E"/>
    <w:rsid w:val="00A1736A"/>
    <w:rsid w:val="00A219E1"/>
    <w:rsid w:val="00A220BF"/>
    <w:rsid w:val="00A2227D"/>
    <w:rsid w:val="00A22EDF"/>
    <w:rsid w:val="00A22FF1"/>
    <w:rsid w:val="00A2666F"/>
    <w:rsid w:val="00A26D28"/>
    <w:rsid w:val="00A27339"/>
    <w:rsid w:val="00A300BC"/>
    <w:rsid w:val="00A306C2"/>
    <w:rsid w:val="00A35C3F"/>
    <w:rsid w:val="00A35D40"/>
    <w:rsid w:val="00A36565"/>
    <w:rsid w:val="00A404AB"/>
    <w:rsid w:val="00A4104C"/>
    <w:rsid w:val="00A51F36"/>
    <w:rsid w:val="00A52DE0"/>
    <w:rsid w:val="00A530CD"/>
    <w:rsid w:val="00A54C1C"/>
    <w:rsid w:val="00A57B43"/>
    <w:rsid w:val="00A64717"/>
    <w:rsid w:val="00A65307"/>
    <w:rsid w:val="00A66CEB"/>
    <w:rsid w:val="00A676AD"/>
    <w:rsid w:val="00A70B08"/>
    <w:rsid w:val="00A7125E"/>
    <w:rsid w:val="00A75EF6"/>
    <w:rsid w:val="00A8118B"/>
    <w:rsid w:val="00A82892"/>
    <w:rsid w:val="00A86E9F"/>
    <w:rsid w:val="00A87713"/>
    <w:rsid w:val="00A920E0"/>
    <w:rsid w:val="00A9580F"/>
    <w:rsid w:val="00A97987"/>
    <w:rsid w:val="00AA126D"/>
    <w:rsid w:val="00AA13E8"/>
    <w:rsid w:val="00AA5469"/>
    <w:rsid w:val="00AA5FFF"/>
    <w:rsid w:val="00AA684A"/>
    <w:rsid w:val="00AA7135"/>
    <w:rsid w:val="00AA75CB"/>
    <w:rsid w:val="00AB045F"/>
    <w:rsid w:val="00AB123A"/>
    <w:rsid w:val="00AB1BA0"/>
    <w:rsid w:val="00AC300F"/>
    <w:rsid w:val="00AC4653"/>
    <w:rsid w:val="00AC64DE"/>
    <w:rsid w:val="00AD0B60"/>
    <w:rsid w:val="00AD3B96"/>
    <w:rsid w:val="00AD3F21"/>
    <w:rsid w:val="00AD6CD5"/>
    <w:rsid w:val="00AE17CF"/>
    <w:rsid w:val="00AE35D1"/>
    <w:rsid w:val="00AE46C9"/>
    <w:rsid w:val="00AF0644"/>
    <w:rsid w:val="00AF1572"/>
    <w:rsid w:val="00AF3268"/>
    <w:rsid w:val="00AF5708"/>
    <w:rsid w:val="00AF5A91"/>
    <w:rsid w:val="00AF7567"/>
    <w:rsid w:val="00B006B4"/>
    <w:rsid w:val="00B00AFB"/>
    <w:rsid w:val="00B01CD6"/>
    <w:rsid w:val="00B02FF9"/>
    <w:rsid w:val="00B04FAA"/>
    <w:rsid w:val="00B05EB3"/>
    <w:rsid w:val="00B06113"/>
    <w:rsid w:val="00B0743B"/>
    <w:rsid w:val="00B076B3"/>
    <w:rsid w:val="00B10B68"/>
    <w:rsid w:val="00B113A6"/>
    <w:rsid w:val="00B13E49"/>
    <w:rsid w:val="00B1513C"/>
    <w:rsid w:val="00B1751F"/>
    <w:rsid w:val="00B21347"/>
    <w:rsid w:val="00B220F1"/>
    <w:rsid w:val="00B27A16"/>
    <w:rsid w:val="00B3249A"/>
    <w:rsid w:val="00B32661"/>
    <w:rsid w:val="00B33641"/>
    <w:rsid w:val="00B33B8F"/>
    <w:rsid w:val="00B372BB"/>
    <w:rsid w:val="00B402B4"/>
    <w:rsid w:val="00B40382"/>
    <w:rsid w:val="00B431C2"/>
    <w:rsid w:val="00B43434"/>
    <w:rsid w:val="00B4734C"/>
    <w:rsid w:val="00B47D7D"/>
    <w:rsid w:val="00B516B9"/>
    <w:rsid w:val="00B51E74"/>
    <w:rsid w:val="00B5376C"/>
    <w:rsid w:val="00B674C8"/>
    <w:rsid w:val="00B7087E"/>
    <w:rsid w:val="00B7106D"/>
    <w:rsid w:val="00B72A49"/>
    <w:rsid w:val="00B84F5A"/>
    <w:rsid w:val="00B85704"/>
    <w:rsid w:val="00B85D7A"/>
    <w:rsid w:val="00B85F85"/>
    <w:rsid w:val="00B92AE1"/>
    <w:rsid w:val="00B92EB9"/>
    <w:rsid w:val="00B93418"/>
    <w:rsid w:val="00B959AE"/>
    <w:rsid w:val="00B966D0"/>
    <w:rsid w:val="00BA013E"/>
    <w:rsid w:val="00BA0491"/>
    <w:rsid w:val="00BA0D75"/>
    <w:rsid w:val="00BA4714"/>
    <w:rsid w:val="00BA570C"/>
    <w:rsid w:val="00BA5CB1"/>
    <w:rsid w:val="00BA76C0"/>
    <w:rsid w:val="00BB0D0F"/>
    <w:rsid w:val="00BB46C5"/>
    <w:rsid w:val="00BB542B"/>
    <w:rsid w:val="00BB5981"/>
    <w:rsid w:val="00BC0A8B"/>
    <w:rsid w:val="00BC5771"/>
    <w:rsid w:val="00BC57E4"/>
    <w:rsid w:val="00BC5801"/>
    <w:rsid w:val="00BC6916"/>
    <w:rsid w:val="00BC77A3"/>
    <w:rsid w:val="00BD0A8F"/>
    <w:rsid w:val="00BD1B5B"/>
    <w:rsid w:val="00BD2405"/>
    <w:rsid w:val="00BD40C5"/>
    <w:rsid w:val="00BD5296"/>
    <w:rsid w:val="00BD5735"/>
    <w:rsid w:val="00BD58DA"/>
    <w:rsid w:val="00BE0791"/>
    <w:rsid w:val="00BE20F0"/>
    <w:rsid w:val="00BE4C35"/>
    <w:rsid w:val="00BE6DEA"/>
    <w:rsid w:val="00BF14F1"/>
    <w:rsid w:val="00BF3592"/>
    <w:rsid w:val="00C007E0"/>
    <w:rsid w:val="00C029AF"/>
    <w:rsid w:val="00C02A07"/>
    <w:rsid w:val="00C036E8"/>
    <w:rsid w:val="00C0462B"/>
    <w:rsid w:val="00C04DAF"/>
    <w:rsid w:val="00C07077"/>
    <w:rsid w:val="00C102CF"/>
    <w:rsid w:val="00C11B05"/>
    <w:rsid w:val="00C1459D"/>
    <w:rsid w:val="00C23AB7"/>
    <w:rsid w:val="00C30ECA"/>
    <w:rsid w:val="00C32990"/>
    <w:rsid w:val="00C34E38"/>
    <w:rsid w:val="00C3517D"/>
    <w:rsid w:val="00C358F3"/>
    <w:rsid w:val="00C369F2"/>
    <w:rsid w:val="00C3760C"/>
    <w:rsid w:val="00C42318"/>
    <w:rsid w:val="00C4316D"/>
    <w:rsid w:val="00C43255"/>
    <w:rsid w:val="00C43F61"/>
    <w:rsid w:val="00C45F1E"/>
    <w:rsid w:val="00C52196"/>
    <w:rsid w:val="00C53737"/>
    <w:rsid w:val="00C53E38"/>
    <w:rsid w:val="00C570AD"/>
    <w:rsid w:val="00C600B5"/>
    <w:rsid w:val="00C61897"/>
    <w:rsid w:val="00C619D4"/>
    <w:rsid w:val="00C61F39"/>
    <w:rsid w:val="00C640A5"/>
    <w:rsid w:val="00C6418C"/>
    <w:rsid w:val="00C65556"/>
    <w:rsid w:val="00C66377"/>
    <w:rsid w:val="00C67CD3"/>
    <w:rsid w:val="00C70130"/>
    <w:rsid w:val="00C711EC"/>
    <w:rsid w:val="00C75F58"/>
    <w:rsid w:val="00C77B2E"/>
    <w:rsid w:val="00C81E50"/>
    <w:rsid w:val="00C82E72"/>
    <w:rsid w:val="00C8316E"/>
    <w:rsid w:val="00C90EAB"/>
    <w:rsid w:val="00C90F92"/>
    <w:rsid w:val="00C93074"/>
    <w:rsid w:val="00C946C3"/>
    <w:rsid w:val="00C946CD"/>
    <w:rsid w:val="00C94B05"/>
    <w:rsid w:val="00C95D22"/>
    <w:rsid w:val="00C9601A"/>
    <w:rsid w:val="00C96C87"/>
    <w:rsid w:val="00C97DA5"/>
    <w:rsid w:val="00CA0F24"/>
    <w:rsid w:val="00CA26A0"/>
    <w:rsid w:val="00CA2FBF"/>
    <w:rsid w:val="00CA5D1F"/>
    <w:rsid w:val="00CA6896"/>
    <w:rsid w:val="00CB0E88"/>
    <w:rsid w:val="00CB1FE4"/>
    <w:rsid w:val="00CC1152"/>
    <w:rsid w:val="00CC4232"/>
    <w:rsid w:val="00CC5A72"/>
    <w:rsid w:val="00CD20F4"/>
    <w:rsid w:val="00CD23A6"/>
    <w:rsid w:val="00CD2B88"/>
    <w:rsid w:val="00CD2EB9"/>
    <w:rsid w:val="00CD3203"/>
    <w:rsid w:val="00CE0018"/>
    <w:rsid w:val="00CE1104"/>
    <w:rsid w:val="00CE158D"/>
    <w:rsid w:val="00CE2698"/>
    <w:rsid w:val="00CE50C7"/>
    <w:rsid w:val="00CE63F3"/>
    <w:rsid w:val="00CE7302"/>
    <w:rsid w:val="00CF189E"/>
    <w:rsid w:val="00CF66F8"/>
    <w:rsid w:val="00CF7FB0"/>
    <w:rsid w:val="00D0104A"/>
    <w:rsid w:val="00D05311"/>
    <w:rsid w:val="00D058B9"/>
    <w:rsid w:val="00D07230"/>
    <w:rsid w:val="00D11464"/>
    <w:rsid w:val="00D1582C"/>
    <w:rsid w:val="00D223A8"/>
    <w:rsid w:val="00D2664A"/>
    <w:rsid w:val="00D2684C"/>
    <w:rsid w:val="00D30795"/>
    <w:rsid w:val="00D315DE"/>
    <w:rsid w:val="00D32E9B"/>
    <w:rsid w:val="00D3338E"/>
    <w:rsid w:val="00D36442"/>
    <w:rsid w:val="00D3664D"/>
    <w:rsid w:val="00D37242"/>
    <w:rsid w:val="00D37274"/>
    <w:rsid w:val="00D4197C"/>
    <w:rsid w:val="00D41D25"/>
    <w:rsid w:val="00D41D37"/>
    <w:rsid w:val="00D42003"/>
    <w:rsid w:val="00D4412E"/>
    <w:rsid w:val="00D47AA1"/>
    <w:rsid w:val="00D52C01"/>
    <w:rsid w:val="00D52FEA"/>
    <w:rsid w:val="00D5458A"/>
    <w:rsid w:val="00D566E3"/>
    <w:rsid w:val="00D56836"/>
    <w:rsid w:val="00D56A46"/>
    <w:rsid w:val="00D61138"/>
    <w:rsid w:val="00D643A1"/>
    <w:rsid w:val="00D659E9"/>
    <w:rsid w:val="00D661FD"/>
    <w:rsid w:val="00D70C26"/>
    <w:rsid w:val="00D749F9"/>
    <w:rsid w:val="00D76319"/>
    <w:rsid w:val="00D809B7"/>
    <w:rsid w:val="00D83956"/>
    <w:rsid w:val="00D83EB0"/>
    <w:rsid w:val="00D8504D"/>
    <w:rsid w:val="00D86338"/>
    <w:rsid w:val="00D86E27"/>
    <w:rsid w:val="00D90D52"/>
    <w:rsid w:val="00D92691"/>
    <w:rsid w:val="00D92DD2"/>
    <w:rsid w:val="00D932FF"/>
    <w:rsid w:val="00D94F8A"/>
    <w:rsid w:val="00D96930"/>
    <w:rsid w:val="00D96A94"/>
    <w:rsid w:val="00D97653"/>
    <w:rsid w:val="00DA12EB"/>
    <w:rsid w:val="00DA1415"/>
    <w:rsid w:val="00DA24B9"/>
    <w:rsid w:val="00DA3FE0"/>
    <w:rsid w:val="00DA45FB"/>
    <w:rsid w:val="00DA469D"/>
    <w:rsid w:val="00DB04E8"/>
    <w:rsid w:val="00DB0CB2"/>
    <w:rsid w:val="00DB204D"/>
    <w:rsid w:val="00DB2764"/>
    <w:rsid w:val="00DB365B"/>
    <w:rsid w:val="00DB4A89"/>
    <w:rsid w:val="00DB7B2B"/>
    <w:rsid w:val="00DC18A9"/>
    <w:rsid w:val="00DC1B34"/>
    <w:rsid w:val="00DC2387"/>
    <w:rsid w:val="00DC426C"/>
    <w:rsid w:val="00DC539E"/>
    <w:rsid w:val="00DC5535"/>
    <w:rsid w:val="00DC7926"/>
    <w:rsid w:val="00DD16C3"/>
    <w:rsid w:val="00DD4B5E"/>
    <w:rsid w:val="00DD50E6"/>
    <w:rsid w:val="00DE1FEF"/>
    <w:rsid w:val="00DE749F"/>
    <w:rsid w:val="00DF1528"/>
    <w:rsid w:val="00DF1DED"/>
    <w:rsid w:val="00DF3BBE"/>
    <w:rsid w:val="00DF648E"/>
    <w:rsid w:val="00DF7C34"/>
    <w:rsid w:val="00E013C3"/>
    <w:rsid w:val="00E034CE"/>
    <w:rsid w:val="00E04DAB"/>
    <w:rsid w:val="00E04DB1"/>
    <w:rsid w:val="00E07F26"/>
    <w:rsid w:val="00E11356"/>
    <w:rsid w:val="00E11A86"/>
    <w:rsid w:val="00E11CAA"/>
    <w:rsid w:val="00E15175"/>
    <w:rsid w:val="00E15CD1"/>
    <w:rsid w:val="00E1686D"/>
    <w:rsid w:val="00E16E77"/>
    <w:rsid w:val="00E1717F"/>
    <w:rsid w:val="00E17E72"/>
    <w:rsid w:val="00E22508"/>
    <w:rsid w:val="00E22B0E"/>
    <w:rsid w:val="00E2322E"/>
    <w:rsid w:val="00E23855"/>
    <w:rsid w:val="00E25C55"/>
    <w:rsid w:val="00E25C92"/>
    <w:rsid w:val="00E30E54"/>
    <w:rsid w:val="00E32502"/>
    <w:rsid w:val="00E32E1A"/>
    <w:rsid w:val="00E3367B"/>
    <w:rsid w:val="00E37377"/>
    <w:rsid w:val="00E40217"/>
    <w:rsid w:val="00E42B0A"/>
    <w:rsid w:val="00E44A58"/>
    <w:rsid w:val="00E44EE6"/>
    <w:rsid w:val="00E46645"/>
    <w:rsid w:val="00E46E28"/>
    <w:rsid w:val="00E47BD0"/>
    <w:rsid w:val="00E51FAF"/>
    <w:rsid w:val="00E52252"/>
    <w:rsid w:val="00E532B2"/>
    <w:rsid w:val="00E550BD"/>
    <w:rsid w:val="00E632B6"/>
    <w:rsid w:val="00E63A2B"/>
    <w:rsid w:val="00E70428"/>
    <w:rsid w:val="00E7707E"/>
    <w:rsid w:val="00E81440"/>
    <w:rsid w:val="00E832AD"/>
    <w:rsid w:val="00E873C9"/>
    <w:rsid w:val="00E87ACC"/>
    <w:rsid w:val="00E9131D"/>
    <w:rsid w:val="00E91DBD"/>
    <w:rsid w:val="00E943BD"/>
    <w:rsid w:val="00E94AAD"/>
    <w:rsid w:val="00E94E33"/>
    <w:rsid w:val="00E95AC6"/>
    <w:rsid w:val="00E960A7"/>
    <w:rsid w:val="00EA1784"/>
    <w:rsid w:val="00EA1BBB"/>
    <w:rsid w:val="00EA3670"/>
    <w:rsid w:val="00EA3907"/>
    <w:rsid w:val="00EA5049"/>
    <w:rsid w:val="00EA6302"/>
    <w:rsid w:val="00EA77BB"/>
    <w:rsid w:val="00EA7DCB"/>
    <w:rsid w:val="00EB0A6E"/>
    <w:rsid w:val="00EB16A5"/>
    <w:rsid w:val="00EB17BF"/>
    <w:rsid w:val="00EB54AA"/>
    <w:rsid w:val="00EB5969"/>
    <w:rsid w:val="00EB7D53"/>
    <w:rsid w:val="00EB7FAF"/>
    <w:rsid w:val="00EC7116"/>
    <w:rsid w:val="00ED189D"/>
    <w:rsid w:val="00ED1CC7"/>
    <w:rsid w:val="00ED4A0F"/>
    <w:rsid w:val="00ED51A2"/>
    <w:rsid w:val="00ED6919"/>
    <w:rsid w:val="00EE32BA"/>
    <w:rsid w:val="00EE52B6"/>
    <w:rsid w:val="00EE58BE"/>
    <w:rsid w:val="00EE5B9A"/>
    <w:rsid w:val="00EE75C6"/>
    <w:rsid w:val="00EF297B"/>
    <w:rsid w:val="00EF37BC"/>
    <w:rsid w:val="00EF4739"/>
    <w:rsid w:val="00EF48E9"/>
    <w:rsid w:val="00EF4BC9"/>
    <w:rsid w:val="00EF6C6C"/>
    <w:rsid w:val="00EF6D73"/>
    <w:rsid w:val="00EF7C2A"/>
    <w:rsid w:val="00F063E7"/>
    <w:rsid w:val="00F064F4"/>
    <w:rsid w:val="00F159FD"/>
    <w:rsid w:val="00F17FB5"/>
    <w:rsid w:val="00F21AD5"/>
    <w:rsid w:val="00F25D88"/>
    <w:rsid w:val="00F26352"/>
    <w:rsid w:val="00F27CA9"/>
    <w:rsid w:val="00F31C08"/>
    <w:rsid w:val="00F340AF"/>
    <w:rsid w:val="00F34D88"/>
    <w:rsid w:val="00F40FAA"/>
    <w:rsid w:val="00F41B2F"/>
    <w:rsid w:val="00F427CD"/>
    <w:rsid w:val="00F432A6"/>
    <w:rsid w:val="00F47D7D"/>
    <w:rsid w:val="00F51EFB"/>
    <w:rsid w:val="00F528DD"/>
    <w:rsid w:val="00F5321A"/>
    <w:rsid w:val="00F53F0E"/>
    <w:rsid w:val="00F55D1E"/>
    <w:rsid w:val="00F57906"/>
    <w:rsid w:val="00F6009E"/>
    <w:rsid w:val="00F601DD"/>
    <w:rsid w:val="00F658F9"/>
    <w:rsid w:val="00F65D74"/>
    <w:rsid w:val="00F6624B"/>
    <w:rsid w:val="00F702CD"/>
    <w:rsid w:val="00F713C0"/>
    <w:rsid w:val="00F73C38"/>
    <w:rsid w:val="00F762E9"/>
    <w:rsid w:val="00F764C6"/>
    <w:rsid w:val="00F77B40"/>
    <w:rsid w:val="00F8089D"/>
    <w:rsid w:val="00F809B9"/>
    <w:rsid w:val="00F81145"/>
    <w:rsid w:val="00F81401"/>
    <w:rsid w:val="00F8164C"/>
    <w:rsid w:val="00F82226"/>
    <w:rsid w:val="00F822A1"/>
    <w:rsid w:val="00F83F0C"/>
    <w:rsid w:val="00F846A0"/>
    <w:rsid w:val="00F86427"/>
    <w:rsid w:val="00F92ED6"/>
    <w:rsid w:val="00F9599C"/>
    <w:rsid w:val="00F9777E"/>
    <w:rsid w:val="00F97969"/>
    <w:rsid w:val="00F97983"/>
    <w:rsid w:val="00FA28E3"/>
    <w:rsid w:val="00FA363B"/>
    <w:rsid w:val="00FA4EA9"/>
    <w:rsid w:val="00FB07C0"/>
    <w:rsid w:val="00FB66F1"/>
    <w:rsid w:val="00FB75D3"/>
    <w:rsid w:val="00FC64E2"/>
    <w:rsid w:val="00FC72F2"/>
    <w:rsid w:val="00FD00D8"/>
    <w:rsid w:val="00FD053A"/>
    <w:rsid w:val="00FD42EC"/>
    <w:rsid w:val="00FE0029"/>
    <w:rsid w:val="00FE2CCE"/>
    <w:rsid w:val="00FE3134"/>
    <w:rsid w:val="00FE3FF1"/>
    <w:rsid w:val="00FE4172"/>
    <w:rsid w:val="00FE4E95"/>
    <w:rsid w:val="00FE6213"/>
    <w:rsid w:val="00FF00B3"/>
    <w:rsid w:val="00FF3A0A"/>
    <w:rsid w:val="00FF41D6"/>
    <w:rsid w:val="00FF4631"/>
    <w:rsid w:val="00FF5AC1"/>
    <w:rsid w:val="00FF63EE"/>
    <w:rsid w:val="033AE399"/>
    <w:rsid w:val="036CAE65"/>
    <w:rsid w:val="0377873B"/>
    <w:rsid w:val="0862CFCA"/>
    <w:rsid w:val="09E86D26"/>
    <w:rsid w:val="0BCF47E0"/>
    <w:rsid w:val="0DFD9DD6"/>
    <w:rsid w:val="0EBF29E1"/>
    <w:rsid w:val="0EF8B5DC"/>
    <w:rsid w:val="125D4863"/>
    <w:rsid w:val="137EBC0B"/>
    <w:rsid w:val="15E26512"/>
    <w:rsid w:val="1698EAD0"/>
    <w:rsid w:val="1743C3B4"/>
    <w:rsid w:val="178F00A8"/>
    <w:rsid w:val="1D501D25"/>
    <w:rsid w:val="1D81DB7A"/>
    <w:rsid w:val="21C83407"/>
    <w:rsid w:val="27831D6B"/>
    <w:rsid w:val="279E019A"/>
    <w:rsid w:val="29383CB6"/>
    <w:rsid w:val="2B073A08"/>
    <w:rsid w:val="2CA50E8E"/>
    <w:rsid w:val="32370C31"/>
    <w:rsid w:val="335E1027"/>
    <w:rsid w:val="354D9CF4"/>
    <w:rsid w:val="3859E061"/>
    <w:rsid w:val="3AD8CF7D"/>
    <w:rsid w:val="42AECC78"/>
    <w:rsid w:val="46B877E6"/>
    <w:rsid w:val="4B80F3B5"/>
    <w:rsid w:val="4E17A957"/>
    <w:rsid w:val="4F06FBD8"/>
    <w:rsid w:val="4FDB22BE"/>
    <w:rsid w:val="4FF72495"/>
    <w:rsid w:val="51F9FF90"/>
    <w:rsid w:val="54545848"/>
    <w:rsid w:val="569C023D"/>
    <w:rsid w:val="58F3FFA2"/>
    <w:rsid w:val="59A23889"/>
    <w:rsid w:val="5DE96118"/>
    <w:rsid w:val="61F6CB26"/>
    <w:rsid w:val="62CF2E16"/>
    <w:rsid w:val="644E47A1"/>
    <w:rsid w:val="660BF472"/>
    <w:rsid w:val="6838DF54"/>
    <w:rsid w:val="6937EBC9"/>
    <w:rsid w:val="6969D592"/>
    <w:rsid w:val="71298AFD"/>
    <w:rsid w:val="7199A27C"/>
    <w:rsid w:val="75AE2800"/>
    <w:rsid w:val="75BC41F7"/>
    <w:rsid w:val="77C55C4E"/>
    <w:rsid w:val="77D15911"/>
    <w:rsid w:val="7ACB28EC"/>
    <w:rsid w:val="7AF26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806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6E9F"/>
    <w:pPr>
      <w:spacing w:line="260" w:lineRule="atLeast"/>
      <w:jc w:val="both"/>
    </w:pPr>
    <w:rPr>
      <w:rFonts w:ascii="Palatino Linotype" w:hAnsi="Palatino Linotype"/>
      <w:noProof/>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DPI11articletype">
    <w:name w:val="MDPI_1.1_article_type"/>
    <w:next w:val="Standaard"/>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Standaard"/>
    <w:qFormat/>
    <w:rsid w:val="00D058B9"/>
    <w:pPr>
      <w:adjustRightInd w:val="0"/>
      <w:snapToGrid w:val="0"/>
      <w:spacing w:after="240" w:line="240" w:lineRule="atLeast"/>
    </w:pPr>
    <w:rPr>
      <w:rFonts w:ascii="Georgia" w:eastAsia="Times New Roman" w:hAnsi="Georgia"/>
      <w:b/>
      <w:snapToGrid w:val="0"/>
      <w:color w:val="000000"/>
      <w:sz w:val="36"/>
      <w:lang w:eastAsia="de-DE" w:bidi="en-US"/>
    </w:rPr>
  </w:style>
  <w:style w:type="paragraph" w:customStyle="1" w:styleId="MDPI13authornames">
    <w:name w:val="MDPI_1.3_authornames"/>
    <w:next w:val="Standaard"/>
    <w:qFormat/>
    <w:rsid w:val="00D058B9"/>
    <w:pPr>
      <w:adjustRightInd w:val="0"/>
      <w:snapToGrid w:val="0"/>
      <w:spacing w:after="360" w:line="260" w:lineRule="atLeast"/>
    </w:pPr>
    <w:rPr>
      <w:rFonts w:ascii="Georgia" w:eastAsia="Times New Roman" w:hAnsi="Georgia"/>
      <w:color w:val="000000"/>
      <w:szCs w:val="22"/>
      <w:lang w:eastAsia="de-DE" w:bidi="en-US"/>
    </w:rPr>
  </w:style>
  <w:style w:type="paragraph" w:customStyle="1" w:styleId="MDPI14history">
    <w:name w:val="MDPI_1.4_history"/>
    <w:basedOn w:val="Standaard"/>
    <w:next w:val="Standaard"/>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Standaard"/>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Standaard"/>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Standaardtabe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elraster">
    <w:name w:val="Table Grid"/>
    <w:basedOn w:val="Standaardtabel"/>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KoptekstChar">
    <w:name w:val="Koptekst Char"/>
    <w:link w:val="Koptekst"/>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F86427"/>
    <w:pPr>
      <w:adjustRightInd w:val="0"/>
      <w:snapToGrid w:val="0"/>
      <w:spacing w:before="120" w:line="228" w:lineRule="auto"/>
      <w:ind w:left="2608"/>
      <w:jc w:val="both"/>
    </w:pPr>
    <w:rPr>
      <w:rFonts w:ascii="Georgia" w:eastAsia="Times New Roman" w:hAnsi="Georgia"/>
      <w:snapToGrid w:val="0"/>
      <w:color w:val="000000"/>
      <w:sz w:val="18"/>
      <w:szCs w:val="22"/>
      <w:lang w:eastAsia="de-DE" w:bidi="en-US"/>
    </w:rPr>
  </w:style>
  <w:style w:type="paragraph" w:customStyle="1" w:styleId="MDPI37itemize">
    <w:name w:val="MDPI_3.7_itemize"/>
    <w:qFormat/>
    <w:rsid w:val="00A86E9F"/>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B966D0"/>
    <w:pPr>
      <w:numPr>
        <w:numId w:val="14"/>
      </w:numPr>
      <w:adjustRightInd w:val="0"/>
      <w:snapToGrid w:val="0"/>
      <w:spacing w:line="228" w:lineRule="auto"/>
      <w:jc w:val="both"/>
    </w:pPr>
    <w:rPr>
      <w:rFonts w:ascii="Georgia" w:eastAsia="Times New Roman" w:hAnsi="Georgia"/>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B966D0"/>
    <w:pPr>
      <w:adjustRightInd w:val="0"/>
      <w:snapToGrid w:val="0"/>
      <w:spacing w:before="240" w:after="120" w:line="228" w:lineRule="auto"/>
      <w:ind w:left="2608"/>
    </w:pPr>
    <w:rPr>
      <w:rFonts w:ascii="Georgia" w:eastAsia="Times New Roman" w:hAnsi="Georgia" w:cs="Cordia New"/>
      <w:color w:val="000000"/>
      <w:sz w:val="18"/>
      <w:szCs w:val="22"/>
      <w:lang w:eastAsia="de-DE" w:bidi="en-US"/>
    </w:rPr>
  </w:style>
  <w:style w:type="paragraph" w:customStyle="1" w:styleId="MDPI42tablebody">
    <w:name w:val="MDPI_4.2_table_body"/>
    <w:qFormat/>
    <w:rsid w:val="00F40FAA"/>
    <w:pPr>
      <w:adjustRightInd w:val="0"/>
      <w:snapToGrid w:val="0"/>
      <w:spacing w:line="260" w:lineRule="atLeast"/>
      <w:jc w:val="center"/>
    </w:pPr>
    <w:rPr>
      <w:rFonts w:ascii="Georgia" w:eastAsia="Times New Roman" w:hAnsi="Georgia"/>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194A3E"/>
    <w:pPr>
      <w:adjustRightInd w:val="0"/>
      <w:snapToGrid w:val="0"/>
      <w:spacing w:before="120" w:after="240" w:line="228" w:lineRule="auto"/>
      <w:ind w:left="2608"/>
    </w:pPr>
    <w:rPr>
      <w:rFonts w:ascii="Georgia" w:eastAsia="Times New Roman" w:hAnsi="Georgia"/>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F86427"/>
    <w:pPr>
      <w:adjustRightInd w:val="0"/>
      <w:snapToGrid w:val="0"/>
      <w:spacing w:before="240" w:after="60" w:line="228" w:lineRule="auto"/>
      <w:ind w:left="2608"/>
      <w:outlineLvl w:val="0"/>
    </w:pPr>
    <w:rPr>
      <w:rFonts w:ascii="Georgia" w:eastAsia="Times New Roman" w:hAnsi="Georgia"/>
      <w:b/>
      <w:snapToGrid w:val="0"/>
      <w:color w:val="000000"/>
      <w:szCs w:val="22"/>
      <w:lang w:eastAsia="de-DE" w:bidi="en-US"/>
    </w:rPr>
  </w:style>
  <w:style w:type="paragraph" w:customStyle="1" w:styleId="MDPI22heading2">
    <w:name w:val="MDPI_2.2_heading2"/>
    <w:qFormat/>
    <w:rsid w:val="008978B8"/>
    <w:pPr>
      <w:adjustRightInd w:val="0"/>
      <w:snapToGrid w:val="0"/>
      <w:spacing w:before="60" w:after="60" w:line="228" w:lineRule="auto"/>
      <w:ind w:left="2608"/>
      <w:outlineLvl w:val="1"/>
    </w:pPr>
    <w:rPr>
      <w:rFonts w:ascii="Georgia" w:eastAsia="Times New Roman" w:hAnsi="Georgia"/>
      <w:noProof/>
      <w:snapToGrid w:val="0"/>
      <w:color w:val="000000"/>
      <w:szCs w:val="22"/>
      <w:lang w:eastAsia="de-DE" w:bidi="en-US"/>
    </w:rPr>
  </w:style>
  <w:style w:type="paragraph" w:customStyle="1" w:styleId="MDPI71References">
    <w:name w:val="MDPI_7.1_References"/>
    <w:qFormat/>
    <w:rsid w:val="00F86427"/>
    <w:pPr>
      <w:numPr>
        <w:numId w:val="15"/>
      </w:numPr>
      <w:adjustRightInd w:val="0"/>
      <w:snapToGrid w:val="0"/>
      <w:spacing w:line="228" w:lineRule="auto"/>
      <w:jc w:val="both"/>
    </w:pPr>
    <w:rPr>
      <w:rFonts w:ascii="Georgia" w:eastAsia="Times New Roman" w:hAnsi="Georgia"/>
      <w:color w:val="000000"/>
      <w:sz w:val="18"/>
      <w:lang w:eastAsia="de-DE" w:bidi="en-US"/>
    </w:rPr>
  </w:style>
  <w:style w:type="paragraph" w:styleId="Ballontekst">
    <w:name w:val="Balloon Text"/>
    <w:basedOn w:val="Standaard"/>
    <w:link w:val="BallontekstChar"/>
    <w:uiPriority w:val="99"/>
    <w:rsid w:val="00A86E9F"/>
    <w:rPr>
      <w:rFonts w:cs="Tahoma"/>
      <w:szCs w:val="18"/>
    </w:rPr>
  </w:style>
  <w:style w:type="character" w:customStyle="1" w:styleId="BallontekstChar">
    <w:name w:val="Ballontekst Char"/>
    <w:link w:val="Ballontekst"/>
    <w:uiPriority w:val="99"/>
    <w:rsid w:val="00A86E9F"/>
    <w:rPr>
      <w:rFonts w:ascii="Palatino Linotype" w:hAnsi="Palatino Linotype" w:cs="Tahoma"/>
      <w:noProof/>
      <w:color w:val="000000"/>
      <w:szCs w:val="18"/>
    </w:rPr>
  </w:style>
  <w:style w:type="character" w:styleId="Regelnummer">
    <w:name w:val="line number"/>
    <w:uiPriority w:val="99"/>
    <w:rsid w:val="00AF0644"/>
    <w:rPr>
      <w:rFonts w:ascii="Palatino Linotype" w:hAnsi="Palatino Linotype"/>
      <w:sz w:val="16"/>
    </w:rPr>
  </w:style>
  <w:style w:type="table" w:customStyle="1" w:styleId="MDPI41threelinetable">
    <w:name w:val="MDPI_4.1_three_line_table"/>
    <w:basedOn w:val="Standaardtabel"/>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rsid w:val="00A86E9F"/>
    <w:rPr>
      <w:color w:val="0000FF"/>
      <w:u w:val="single"/>
    </w:rPr>
  </w:style>
  <w:style w:type="character" w:customStyle="1" w:styleId="NichtaufgelsteErwhnung1">
    <w:name w:val="Nicht aufgelöste Erwähnung1"/>
    <w:uiPriority w:val="99"/>
    <w:semiHidden/>
    <w:unhideWhenUsed/>
    <w:rsid w:val="004C46B1"/>
    <w:rPr>
      <w:color w:val="605E5C"/>
      <w:shd w:val="clear" w:color="auto" w:fill="E1DFDD"/>
    </w:rPr>
  </w:style>
  <w:style w:type="paragraph" w:styleId="Voettekst">
    <w:name w:val="footer"/>
    <w:basedOn w:val="Standaard"/>
    <w:link w:val="VoettekstChar"/>
    <w:uiPriority w:val="99"/>
    <w:rsid w:val="00A86E9F"/>
    <w:pPr>
      <w:tabs>
        <w:tab w:val="center" w:pos="4153"/>
        <w:tab w:val="right" w:pos="8306"/>
      </w:tabs>
      <w:snapToGrid w:val="0"/>
      <w:spacing w:line="240" w:lineRule="atLeast"/>
    </w:pPr>
    <w:rPr>
      <w:szCs w:val="18"/>
    </w:rPr>
  </w:style>
  <w:style w:type="character" w:customStyle="1" w:styleId="VoettekstChar">
    <w:name w:val="Voettekst Char"/>
    <w:link w:val="Voettekst"/>
    <w:uiPriority w:val="99"/>
    <w:rsid w:val="00A86E9F"/>
    <w:rPr>
      <w:rFonts w:ascii="Palatino Linotype" w:hAnsi="Palatino Linotype"/>
      <w:noProof/>
      <w:color w:val="000000"/>
      <w:szCs w:val="18"/>
    </w:rPr>
  </w:style>
  <w:style w:type="table" w:styleId="Onopgemaaktetabel4">
    <w:name w:val="Plain Table 4"/>
    <w:basedOn w:val="Standaardtabe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86E9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Standaardtabel"/>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Bibliografie">
    <w:name w:val="Bibliography"/>
    <w:basedOn w:val="Standaard"/>
    <w:next w:val="Standaard"/>
    <w:uiPriority w:val="37"/>
    <w:semiHidden/>
    <w:unhideWhenUsed/>
    <w:rsid w:val="00A86E9F"/>
  </w:style>
  <w:style w:type="paragraph" w:styleId="Plattetekst">
    <w:name w:val="Body Text"/>
    <w:link w:val="PlattetekstChar"/>
    <w:rsid w:val="00A86E9F"/>
    <w:pPr>
      <w:spacing w:after="120" w:line="340" w:lineRule="atLeast"/>
      <w:jc w:val="both"/>
    </w:pPr>
    <w:rPr>
      <w:rFonts w:ascii="Palatino Linotype" w:hAnsi="Palatino Linotype"/>
      <w:color w:val="000000"/>
      <w:sz w:val="24"/>
      <w:lang w:eastAsia="de-DE"/>
    </w:rPr>
  </w:style>
  <w:style w:type="character" w:customStyle="1" w:styleId="PlattetekstChar">
    <w:name w:val="Platte tekst Char"/>
    <w:link w:val="Plattetekst"/>
    <w:rsid w:val="00A86E9F"/>
    <w:rPr>
      <w:rFonts w:ascii="Palatino Linotype" w:hAnsi="Palatino Linotype"/>
      <w:color w:val="000000"/>
      <w:sz w:val="24"/>
      <w:lang w:eastAsia="de-DE"/>
    </w:rPr>
  </w:style>
  <w:style w:type="character" w:styleId="Verwijzingopmerking">
    <w:name w:val="annotation reference"/>
    <w:rsid w:val="00A86E9F"/>
    <w:rPr>
      <w:sz w:val="21"/>
      <w:szCs w:val="21"/>
    </w:rPr>
  </w:style>
  <w:style w:type="paragraph" w:styleId="Tekstopmerking">
    <w:name w:val="annotation text"/>
    <w:basedOn w:val="Standaard"/>
    <w:link w:val="TekstopmerkingChar"/>
    <w:rsid w:val="00A86E9F"/>
  </w:style>
  <w:style w:type="character" w:customStyle="1" w:styleId="TekstopmerkingChar">
    <w:name w:val="Tekst opmerking Char"/>
    <w:link w:val="Tekstopmerking"/>
    <w:rsid w:val="00A86E9F"/>
    <w:rPr>
      <w:rFonts w:ascii="Palatino Linotype" w:hAnsi="Palatino Linotype"/>
      <w:noProof/>
      <w:color w:val="000000"/>
    </w:rPr>
  </w:style>
  <w:style w:type="paragraph" w:styleId="Onderwerpvanopmerking">
    <w:name w:val="annotation subject"/>
    <w:basedOn w:val="Tekstopmerking"/>
    <w:next w:val="Tekstopmerking"/>
    <w:link w:val="OnderwerpvanopmerkingChar"/>
    <w:rsid w:val="00A86E9F"/>
    <w:rPr>
      <w:b/>
      <w:bCs/>
    </w:rPr>
  </w:style>
  <w:style w:type="character" w:customStyle="1" w:styleId="OnderwerpvanopmerkingChar">
    <w:name w:val="Onderwerp van opmerking Char"/>
    <w:link w:val="Onderwerpvanopmerking"/>
    <w:rsid w:val="00A86E9F"/>
    <w:rPr>
      <w:rFonts w:ascii="Palatino Linotype" w:hAnsi="Palatino Linotype"/>
      <w:b/>
      <w:bCs/>
      <w:noProof/>
      <w:color w:val="000000"/>
    </w:rPr>
  </w:style>
  <w:style w:type="character" w:styleId="Eindnootmarkering">
    <w:name w:val="endnote reference"/>
    <w:rsid w:val="00A86E9F"/>
    <w:rPr>
      <w:vertAlign w:val="superscript"/>
    </w:rPr>
  </w:style>
  <w:style w:type="paragraph" w:styleId="Eindnoottekst">
    <w:name w:val="endnote text"/>
    <w:basedOn w:val="Standaard"/>
    <w:link w:val="EindnoottekstChar"/>
    <w:semiHidden/>
    <w:unhideWhenUsed/>
    <w:rsid w:val="00A86E9F"/>
    <w:pPr>
      <w:spacing w:line="240" w:lineRule="auto"/>
    </w:pPr>
  </w:style>
  <w:style w:type="character" w:customStyle="1" w:styleId="EindnoottekstChar">
    <w:name w:val="Eindnoottekst Char"/>
    <w:link w:val="Eindnoottekst"/>
    <w:semiHidden/>
    <w:rsid w:val="00A86E9F"/>
    <w:rPr>
      <w:rFonts w:ascii="Palatino Linotype" w:hAnsi="Palatino Linotype"/>
      <w:noProof/>
      <w:color w:val="000000"/>
    </w:rPr>
  </w:style>
  <w:style w:type="character" w:styleId="GevolgdeHyperlink">
    <w:name w:val="FollowedHyperlink"/>
    <w:rsid w:val="00A86E9F"/>
    <w:rPr>
      <w:color w:val="954F72"/>
      <w:u w:val="single"/>
    </w:rPr>
  </w:style>
  <w:style w:type="paragraph" w:styleId="Voetnoottekst">
    <w:name w:val="footnote text"/>
    <w:basedOn w:val="Standaard"/>
    <w:link w:val="VoetnoottekstChar"/>
    <w:unhideWhenUsed/>
    <w:rsid w:val="00A86E9F"/>
    <w:pPr>
      <w:spacing w:line="240" w:lineRule="auto"/>
    </w:pPr>
  </w:style>
  <w:style w:type="character" w:customStyle="1" w:styleId="VoetnoottekstChar">
    <w:name w:val="Voetnoottekst Char"/>
    <w:link w:val="Voetnoottekst"/>
    <w:rsid w:val="00A86E9F"/>
    <w:rPr>
      <w:rFonts w:ascii="Palatino Linotype" w:hAnsi="Palatino Linotype"/>
      <w:noProof/>
      <w:color w:val="000000"/>
    </w:rPr>
  </w:style>
  <w:style w:type="paragraph" w:styleId="Normaalweb">
    <w:name w:val="Normal (Web)"/>
    <w:basedOn w:val="Standaard"/>
    <w:uiPriority w:val="99"/>
    <w:rsid w:val="00A86E9F"/>
    <w:rPr>
      <w:szCs w:val="24"/>
    </w:rPr>
  </w:style>
  <w:style w:type="paragraph" w:customStyle="1" w:styleId="MsoFootnoteText0">
    <w:name w:val="MsoFootnoteText"/>
    <w:basedOn w:val="Normaalweb"/>
    <w:qFormat/>
    <w:rsid w:val="00A86E9F"/>
    <w:rPr>
      <w:rFonts w:ascii="Times New Roman" w:hAnsi="Times New Roman"/>
    </w:rPr>
  </w:style>
  <w:style w:type="character" w:styleId="Paginanummer">
    <w:name w:val="page number"/>
    <w:rsid w:val="00A86E9F"/>
  </w:style>
  <w:style w:type="character" w:styleId="Tekstvantijdelijkeaanduiding">
    <w:name w:val="Placeholder Text"/>
    <w:uiPriority w:val="99"/>
    <w:semiHidden/>
    <w:rsid w:val="00A86E9F"/>
    <w:rPr>
      <w:color w:val="808080"/>
    </w:rPr>
  </w:style>
  <w:style w:type="paragraph" w:customStyle="1" w:styleId="MDPI71FootNotes">
    <w:name w:val="MDPI_7.1_FootNotes"/>
    <w:qFormat/>
    <w:rsid w:val="006A7FF4"/>
    <w:pPr>
      <w:numPr>
        <w:numId w:val="16"/>
      </w:numPr>
      <w:adjustRightInd w:val="0"/>
      <w:snapToGrid w:val="0"/>
      <w:spacing w:line="228" w:lineRule="auto"/>
      <w:jc w:val="both"/>
    </w:pPr>
    <w:rPr>
      <w:rFonts w:ascii="Palatino Linotype" w:eastAsiaTheme="minorEastAsia" w:hAnsi="Palatino Linotype"/>
      <w:noProof/>
      <w:color w:val="000000"/>
      <w:sz w:val="18"/>
    </w:rPr>
  </w:style>
  <w:style w:type="paragraph" w:customStyle="1" w:styleId="paragraph">
    <w:name w:val="paragraph"/>
    <w:basedOn w:val="Standaard"/>
    <w:rsid w:val="00206552"/>
    <w:pPr>
      <w:spacing w:before="100" w:beforeAutospacing="1" w:after="100" w:afterAutospacing="1" w:line="240" w:lineRule="auto"/>
      <w:jc w:val="left"/>
    </w:pPr>
    <w:rPr>
      <w:rFonts w:ascii="Times New Roman" w:eastAsia="Times New Roman" w:hAnsi="Times New Roman"/>
      <w:noProof w:val="0"/>
      <w:color w:val="auto"/>
      <w:sz w:val="24"/>
      <w:szCs w:val="24"/>
    </w:rPr>
  </w:style>
  <w:style w:type="character" w:customStyle="1" w:styleId="normaltextrun">
    <w:name w:val="normaltextrun"/>
    <w:basedOn w:val="Standaardalinea-lettertype"/>
    <w:rsid w:val="00206552"/>
  </w:style>
  <w:style w:type="character" w:customStyle="1" w:styleId="eop">
    <w:name w:val="eop"/>
    <w:basedOn w:val="Standaardalinea-lettertype"/>
    <w:rsid w:val="00206552"/>
  </w:style>
  <w:style w:type="paragraph" w:customStyle="1" w:styleId="References">
    <w:name w:val="References"/>
    <w:basedOn w:val="Standaard"/>
    <w:qFormat/>
    <w:rsid w:val="00DC1B34"/>
    <w:pPr>
      <w:spacing w:line="240" w:lineRule="auto"/>
      <w:ind w:left="720" w:hanging="720"/>
    </w:pPr>
    <w:rPr>
      <w:rFonts w:ascii="Bodoni SvtyTwo OS ITC TT-Book" w:eastAsia="Times New Roman" w:hAnsi="Bodoni SvtyTwo OS ITC TT-Book"/>
      <w:noProof w:val="0"/>
      <w:color w:val="auto"/>
      <w:szCs w:val="24"/>
      <w:lang w:val="en-GB" w:eastAsia="en-US"/>
    </w:rPr>
  </w:style>
  <w:style w:type="character" w:styleId="Nadruk">
    <w:name w:val="Emphasis"/>
    <w:basedOn w:val="Standaardalinea-lettertype"/>
    <w:uiPriority w:val="20"/>
    <w:qFormat/>
    <w:rsid w:val="00FD00D8"/>
    <w:rPr>
      <w:i/>
      <w:iCs/>
    </w:rPr>
  </w:style>
  <w:style w:type="paragraph" w:styleId="Lijstalinea">
    <w:name w:val="List Paragraph"/>
    <w:basedOn w:val="Standaard"/>
    <w:uiPriority w:val="34"/>
    <w:qFormat/>
    <w:rsid w:val="00FD00D8"/>
    <w:pPr>
      <w:ind w:left="720"/>
      <w:contextualSpacing/>
    </w:pPr>
  </w:style>
  <w:style w:type="character" w:customStyle="1" w:styleId="Onopgelostemelding1">
    <w:name w:val="Onopgeloste melding1"/>
    <w:basedOn w:val="Standaardalinea-lettertype"/>
    <w:uiPriority w:val="99"/>
    <w:semiHidden/>
    <w:unhideWhenUsed/>
    <w:rsid w:val="00446930"/>
    <w:rPr>
      <w:color w:val="605E5C"/>
      <w:shd w:val="clear" w:color="auto" w:fill="E1DFDD"/>
    </w:rPr>
  </w:style>
  <w:style w:type="paragraph" w:styleId="Bijschrift">
    <w:name w:val="caption"/>
    <w:basedOn w:val="Standaard"/>
    <w:next w:val="Standaard"/>
    <w:uiPriority w:val="35"/>
    <w:unhideWhenUsed/>
    <w:qFormat/>
    <w:rsid w:val="00B92EB9"/>
    <w:pPr>
      <w:spacing w:after="200" w:line="240" w:lineRule="auto"/>
    </w:pPr>
    <w:rPr>
      <w:i/>
      <w:iCs/>
      <w:color w:val="44546A" w:themeColor="text2"/>
      <w:sz w:val="18"/>
      <w:szCs w:val="18"/>
    </w:rPr>
  </w:style>
  <w:style w:type="paragraph" w:styleId="Revisie">
    <w:name w:val="Revision"/>
    <w:hidden/>
    <w:uiPriority w:val="99"/>
    <w:semiHidden/>
    <w:rsid w:val="008978B8"/>
    <w:rPr>
      <w:rFonts w:ascii="Palatino Linotype" w:hAnsi="Palatino Linotype"/>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4961">
      <w:bodyDiv w:val="1"/>
      <w:marLeft w:val="0"/>
      <w:marRight w:val="0"/>
      <w:marTop w:val="0"/>
      <w:marBottom w:val="0"/>
      <w:divBdr>
        <w:top w:val="none" w:sz="0" w:space="0" w:color="auto"/>
        <w:left w:val="none" w:sz="0" w:space="0" w:color="auto"/>
        <w:bottom w:val="none" w:sz="0" w:space="0" w:color="auto"/>
        <w:right w:val="none" w:sz="0" w:space="0" w:color="auto"/>
      </w:divBdr>
    </w:div>
    <w:div w:id="201483910">
      <w:bodyDiv w:val="1"/>
      <w:marLeft w:val="0"/>
      <w:marRight w:val="0"/>
      <w:marTop w:val="0"/>
      <w:marBottom w:val="0"/>
      <w:divBdr>
        <w:top w:val="none" w:sz="0" w:space="0" w:color="auto"/>
        <w:left w:val="none" w:sz="0" w:space="0" w:color="auto"/>
        <w:bottom w:val="none" w:sz="0" w:space="0" w:color="auto"/>
        <w:right w:val="none" w:sz="0" w:space="0" w:color="auto"/>
      </w:divBdr>
    </w:div>
    <w:div w:id="450051836">
      <w:bodyDiv w:val="1"/>
      <w:marLeft w:val="0"/>
      <w:marRight w:val="0"/>
      <w:marTop w:val="0"/>
      <w:marBottom w:val="0"/>
      <w:divBdr>
        <w:top w:val="none" w:sz="0" w:space="0" w:color="auto"/>
        <w:left w:val="none" w:sz="0" w:space="0" w:color="auto"/>
        <w:bottom w:val="none" w:sz="0" w:space="0" w:color="auto"/>
        <w:right w:val="none" w:sz="0" w:space="0" w:color="auto"/>
      </w:divBdr>
      <w:divsChild>
        <w:div w:id="700782893">
          <w:marLeft w:val="0"/>
          <w:marRight w:val="0"/>
          <w:marTop w:val="0"/>
          <w:marBottom w:val="0"/>
          <w:divBdr>
            <w:top w:val="none" w:sz="0" w:space="0" w:color="auto"/>
            <w:left w:val="none" w:sz="0" w:space="0" w:color="auto"/>
            <w:bottom w:val="none" w:sz="0" w:space="0" w:color="auto"/>
            <w:right w:val="none" w:sz="0" w:space="0" w:color="auto"/>
          </w:divBdr>
        </w:div>
        <w:div w:id="798258592">
          <w:marLeft w:val="0"/>
          <w:marRight w:val="0"/>
          <w:marTop w:val="0"/>
          <w:marBottom w:val="0"/>
          <w:divBdr>
            <w:top w:val="none" w:sz="0" w:space="0" w:color="auto"/>
            <w:left w:val="none" w:sz="0" w:space="0" w:color="auto"/>
            <w:bottom w:val="none" w:sz="0" w:space="0" w:color="auto"/>
            <w:right w:val="none" w:sz="0" w:space="0" w:color="auto"/>
          </w:divBdr>
        </w:div>
      </w:divsChild>
    </w:div>
    <w:div w:id="469830522">
      <w:bodyDiv w:val="1"/>
      <w:marLeft w:val="0"/>
      <w:marRight w:val="0"/>
      <w:marTop w:val="0"/>
      <w:marBottom w:val="0"/>
      <w:divBdr>
        <w:top w:val="none" w:sz="0" w:space="0" w:color="auto"/>
        <w:left w:val="none" w:sz="0" w:space="0" w:color="auto"/>
        <w:bottom w:val="none" w:sz="0" w:space="0" w:color="auto"/>
        <w:right w:val="none" w:sz="0" w:space="0" w:color="auto"/>
      </w:divBdr>
    </w:div>
    <w:div w:id="485361114">
      <w:bodyDiv w:val="1"/>
      <w:marLeft w:val="0"/>
      <w:marRight w:val="0"/>
      <w:marTop w:val="0"/>
      <w:marBottom w:val="0"/>
      <w:divBdr>
        <w:top w:val="none" w:sz="0" w:space="0" w:color="auto"/>
        <w:left w:val="none" w:sz="0" w:space="0" w:color="auto"/>
        <w:bottom w:val="none" w:sz="0" w:space="0" w:color="auto"/>
        <w:right w:val="none" w:sz="0" w:space="0" w:color="auto"/>
      </w:divBdr>
    </w:div>
    <w:div w:id="518979887">
      <w:bodyDiv w:val="1"/>
      <w:marLeft w:val="0"/>
      <w:marRight w:val="0"/>
      <w:marTop w:val="0"/>
      <w:marBottom w:val="0"/>
      <w:divBdr>
        <w:top w:val="none" w:sz="0" w:space="0" w:color="auto"/>
        <w:left w:val="none" w:sz="0" w:space="0" w:color="auto"/>
        <w:bottom w:val="none" w:sz="0" w:space="0" w:color="auto"/>
        <w:right w:val="none" w:sz="0" w:space="0" w:color="auto"/>
      </w:divBdr>
    </w:div>
    <w:div w:id="605507116">
      <w:bodyDiv w:val="1"/>
      <w:marLeft w:val="0"/>
      <w:marRight w:val="0"/>
      <w:marTop w:val="0"/>
      <w:marBottom w:val="0"/>
      <w:divBdr>
        <w:top w:val="none" w:sz="0" w:space="0" w:color="auto"/>
        <w:left w:val="none" w:sz="0" w:space="0" w:color="auto"/>
        <w:bottom w:val="none" w:sz="0" w:space="0" w:color="auto"/>
        <w:right w:val="none" w:sz="0" w:space="0" w:color="auto"/>
      </w:divBdr>
    </w:div>
    <w:div w:id="734426624">
      <w:bodyDiv w:val="1"/>
      <w:marLeft w:val="0"/>
      <w:marRight w:val="0"/>
      <w:marTop w:val="0"/>
      <w:marBottom w:val="0"/>
      <w:divBdr>
        <w:top w:val="none" w:sz="0" w:space="0" w:color="auto"/>
        <w:left w:val="none" w:sz="0" w:space="0" w:color="auto"/>
        <w:bottom w:val="none" w:sz="0" w:space="0" w:color="auto"/>
        <w:right w:val="none" w:sz="0" w:space="0" w:color="auto"/>
      </w:divBdr>
    </w:div>
    <w:div w:id="745690746">
      <w:bodyDiv w:val="1"/>
      <w:marLeft w:val="0"/>
      <w:marRight w:val="0"/>
      <w:marTop w:val="0"/>
      <w:marBottom w:val="0"/>
      <w:divBdr>
        <w:top w:val="none" w:sz="0" w:space="0" w:color="auto"/>
        <w:left w:val="none" w:sz="0" w:space="0" w:color="auto"/>
        <w:bottom w:val="none" w:sz="0" w:space="0" w:color="auto"/>
        <w:right w:val="none" w:sz="0" w:space="0" w:color="auto"/>
      </w:divBdr>
    </w:div>
    <w:div w:id="751782964">
      <w:bodyDiv w:val="1"/>
      <w:marLeft w:val="0"/>
      <w:marRight w:val="0"/>
      <w:marTop w:val="0"/>
      <w:marBottom w:val="0"/>
      <w:divBdr>
        <w:top w:val="none" w:sz="0" w:space="0" w:color="auto"/>
        <w:left w:val="none" w:sz="0" w:space="0" w:color="auto"/>
        <w:bottom w:val="none" w:sz="0" w:space="0" w:color="auto"/>
        <w:right w:val="none" w:sz="0" w:space="0" w:color="auto"/>
      </w:divBdr>
      <w:divsChild>
        <w:div w:id="1973901446">
          <w:marLeft w:val="0"/>
          <w:marRight w:val="0"/>
          <w:marTop w:val="0"/>
          <w:marBottom w:val="0"/>
          <w:divBdr>
            <w:top w:val="none" w:sz="0" w:space="0" w:color="auto"/>
            <w:left w:val="none" w:sz="0" w:space="0" w:color="auto"/>
            <w:bottom w:val="none" w:sz="0" w:space="0" w:color="auto"/>
            <w:right w:val="none" w:sz="0" w:space="0" w:color="auto"/>
          </w:divBdr>
        </w:div>
        <w:div w:id="784157827">
          <w:marLeft w:val="0"/>
          <w:marRight w:val="0"/>
          <w:marTop w:val="0"/>
          <w:marBottom w:val="0"/>
          <w:divBdr>
            <w:top w:val="none" w:sz="0" w:space="0" w:color="auto"/>
            <w:left w:val="none" w:sz="0" w:space="0" w:color="auto"/>
            <w:bottom w:val="none" w:sz="0" w:space="0" w:color="auto"/>
            <w:right w:val="none" w:sz="0" w:space="0" w:color="auto"/>
          </w:divBdr>
        </w:div>
        <w:div w:id="1385176921">
          <w:marLeft w:val="0"/>
          <w:marRight w:val="0"/>
          <w:marTop w:val="0"/>
          <w:marBottom w:val="0"/>
          <w:divBdr>
            <w:top w:val="none" w:sz="0" w:space="0" w:color="auto"/>
            <w:left w:val="none" w:sz="0" w:space="0" w:color="auto"/>
            <w:bottom w:val="none" w:sz="0" w:space="0" w:color="auto"/>
            <w:right w:val="none" w:sz="0" w:space="0" w:color="auto"/>
          </w:divBdr>
        </w:div>
      </w:divsChild>
    </w:div>
    <w:div w:id="753748767">
      <w:bodyDiv w:val="1"/>
      <w:marLeft w:val="0"/>
      <w:marRight w:val="0"/>
      <w:marTop w:val="0"/>
      <w:marBottom w:val="0"/>
      <w:divBdr>
        <w:top w:val="none" w:sz="0" w:space="0" w:color="auto"/>
        <w:left w:val="none" w:sz="0" w:space="0" w:color="auto"/>
        <w:bottom w:val="none" w:sz="0" w:space="0" w:color="auto"/>
        <w:right w:val="none" w:sz="0" w:space="0" w:color="auto"/>
      </w:divBdr>
      <w:divsChild>
        <w:div w:id="678894672">
          <w:marLeft w:val="0"/>
          <w:marRight w:val="0"/>
          <w:marTop w:val="0"/>
          <w:marBottom w:val="0"/>
          <w:divBdr>
            <w:top w:val="none" w:sz="0" w:space="0" w:color="auto"/>
            <w:left w:val="none" w:sz="0" w:space="0" w:color="auto"/>
            <w:bottom w:val="none" w:sz="0" w:space="0" w:color="auto"/>
            <w:right w:val="none" w:sz="0" w:space="0" w:color="auto"/>
          </w:divBdr>
        </w:div>
        <w:div w:id="1102605574">
          <w:marLeft w:val="0"/>
          <w:marRight w:val="0"/>
          <w:marTop w:val="0"/>
          <w:marBottom w:val="0"/>
          <w:divBdr>
            <w:top w:val="none" w:sz="0" w:space="0" w:color="auto"/>
            <w:left w:val="none" w:sz="0" w:space="0" w:color="auto"/>
            <w:bottom w:val="none" w:sz="0" w:space="0" w:color="auto"/>
            <w:right w:val="none" w:sz="0" w:space="0" w:color="auto"/>
          </w:divBdr>
        </w:div>
      </w:divsChild>
    </w:div>
    <w:div w:id="779376753">
      <w:bodyDiv w:val="1"/>
      <w:marLeft w:val="0"/>
      <w:marRight w:val="0"/>
      <w:marTop w:val="0"/>
      <w:marBottom w:val="0"/>
      <w:divBdr>
        <w:top w:val="none" w:sz="0" w:space="0" w:color="auto"/>
        <w:left w:val="none" w:sz="0" w:space="0" w:color="auto"/>
        <w:bottom w:val="none" w:sz="0" w:space="0" w:color="auto"/>
        <w:right w:val="none" w:sz="0" w:space="0" w:color="auto"/>
      </w:divBdr>
    </w:div>
    <w:div w:id="797184374">
      <w:bodyDiv w:val="1"/>
      <w:marLeft w:val="0"/>
      <w:marRight w:val="0"/>
      <w:marTop w:val="0"/>
      <w:marBottom w:val="0"/>
      <w:divBdr>
        <w:top w:val="none" w:sz="0" w:space="0" w:color="auto"/>
        <w:left w:val="none" w:sz="0" w:space="0" w:color="auto"/>
        <w:bottom w:val="none" w:sz="0" w:space="0" w:color="auto"/>
        <w:right w:val="none" w:sz="0" w:space="0" w:color="auto"/>
      </w:divBdr>
    </w:div>
    <w:div w:id="1000890109">
      <w:bodyDiv w:val="1"/>
      <w:marLeft w:val="0"/>
      <w:marRight w:val="0"/>
      <w:marTop w:val="0"/>
      <w:marBottom w:val="0"/>
      <w:divBdr>
        <w:top w:val="none" w:sz="0" w:space="0" w:color="auto"/>
        <w:left w:val="none" w:sz="0" w:space="0" w:color="auto"/>
        <w:bottom w:val="none" w:sz="0" w:space="0" w:color="auto"/>
        <w:right w:val="none" w:sz="0" w:space="0" w:color="auto"/>
      </w:divBdr>
    </w:div>
    <w:div w:id="1008362534">
      <w:bodyDiv w:val="1"/>
      <w:marLeft w:val="0"/>
      <w:marRight w:val="0"/>
      <w:marTop w:val="0"/>
      <w:marBottom w:val="0"/>
      <w:divBdr>
        <w:top w:val="none" w:sz="0" w:space="0" w:color="auto"/>
        <w:left w:val="none" w:sz="0" w:space="0" w:color="auto"/>
        <w:bottom w:val="none" w:sz="0" w:space="0" w:color="auto"/>
        <w:right w:val="none" w:sz="0" w:space="0" w:color="auto"/>
      </w:divBdr>
    </w:div>
    <w:div w:id="1156414125">
      <w:bodyDiv w:val="1"/>
      <w:marLeft w:val="0"/>
      <w:marRight w:val="0"/>
      <w:marTop w:val="0"/>
      <w:marBottom w:val="0"/>
      <w:divBdr>
        <w:top w:val="none" w:sz="0" w:space="0" w:color="auto"/>
        <w:left w:val="none" w:sz="0" w:space="0" w:color="auto"/>
        <w:bottom w:val="none" w:sz="0" w:space="0" w:color="auto"/>
        <w:right w:val="none" w:sz="0" w:space="0" w:color="auto"/>
      </w:divBdr>
    </w:div>
    <w:div w:id="1196851141">
      <w:bodyDiv w:val="1"/>
      <w:marLeft w:val="0"/>
      <w:marRight w:val="0"/>
      <w:marTop w:val="0"/>
      <w:marBottom w:val="0"/>
      <w:divBdr>
        <w:top w:val="none" w:sz="0" w:space="0" w:color="auto"/>
        <w:left w:val="none" w:sz="0" w:space="0" w:color="auto"/>
        <w:bottom w:val="none" w:sz="0" w:space="0" w:color="auto"/>
        <w:right w:val="none" w:sz="0" w:space="0" w:color="auto"/>
      </w:divBdr>
    </w:div>
    <w:div w:id="1404834619">
      <w:bodyDiv w:val="1"/>
      <w:marLeft w:val="0"/>
      <w:marRight w:val="0"/>
      <w:marTop w:val="0"/>
      <w:marBottom w:val="0"/>
      <w:divBdr>
        <w:top w:val="none" w:sz="0" w:space="0" w:color="auto"/>
        <w:left w:val="none" w:sz="0" w:space="0" w:color="auto"/>
        <w:bottom w:val="none" w:sz="0" w:space="0" w:color="auto"/>
        <w:right w:val="none" w:sz="0" w:space="0" w:color="auto"/>
      </w:divBdr>
    </w:div>
    <w:div w:id="1472286581">
      <w:bodyDiv w:val="1"/>
      <w:marLeft w:val="0"/>
      <w:marRight w:val="0"/>
      <w:marTop w:val="0"/>
      <w:marBottom w:val="0"/>
      <w:divBdr>
        <w:top w:val="none" w:sz="0" w:space="0" w:color="auto"/>
        <w:left w:val="none" w:sz="0" w:space="0" w:color="auto"/>
        <w:bottom w:val="none" w:sz="0" w:space="0" w:color="auto"/>
        <w:right w:val="none" w:sz="0" w:space="0" w:color="auto"/>
      </w:divBdr>
    </w:div>
    <w:div w:id="1614363115">
      <w:bodyDiv w:val="1"/>
      <w:marLeft w:val="0"/>
      <w:marRight w:val="0"/>
      <w:marTop w:val="0"/>
      <w:marBottom w:val="0"/>
      <w:divBdr>
        <w:top w:val="none" w:sz="0" w:space="0" w:color="auto"/>
        <w:left w:val="none" w:sz="0" w:space="0" w:color="auto"/>
        <w:bottom w:val="none" w:sz="0" w:space="0" w:color="auto"/>
        <w:right w:val="none" w:sz="0" w:space="0" w:color="auto"/>
      </w:divBdr>
    </w:div>
    <w:div w:id="1757625828">
      <w:bodyDiv w:val="1"/>
      <w:marLeft w:val="0"/>
      <w:marRight w:val="0"/>
      <w:marTop w:val="0"/>
      <w:marBottom w:val="0"/>
      <w:divBdr>
        <w:top w:val="none" w:sz="0" w:space="0" w:color="auto"/>
        <w:left w:val="none" w:sz="0" w:space="0" w:color="auto"/>
        <w:bottom w:val="none" w:sz="0" w:space="0" w:color="auto"/>
        <w:right w:val="none" w:sz="0" w:space="0" w:color="auto"/>
      </w:divBdr>
    </w:div>
    <w:div w:id="1786194589">
      <w:bodyDiv w:val="1"/>
      <w:marLeft w:val="0"/>
      <w:marRight w:val="0"/>
      <w:marTop w:val="0"/>
      <w:marBottom w:val="0"/>
      <w:divBdr>
        <w:top w:val="none" w:sz="0" w:space="0" w:color="auto"/>
        <w:left w:val="none" w:sz="0" w:space="0" w:color="auto"/>
        <w:bottom w:val="none" w:sz="0" w:space="0" w:color="auto"/>
        <w:right w:val="none" w:sz="0" w:space="0" w:color="auto"/>
      </w:divBdr>
    </w:div>
    <w:div w:id="2012490156">
      <w:bodyDiv w:val="1"/>
      <w:marLeft w:val="0"/>
      <w:marRight w:val="0"/>
      <w:marTop w:val="0"/>
      <w:marBottom w:val="0"/>
      <w:divBdr>
        <w:top w:val="none" w:sz="0" w:space="0" w:color="auto"/>
        <w:left w:val="none" w:sz="0" w:space="0" w:color="auto"/>
        <w:bottom w:val="none" w:sz="0" w:space="0" w:color="auto"/>
        <w:right w:val="none" w:sz="0" w:space="0" w:color="auto"/>
      </w:divBdr>
    </w:div>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hplus.ch/de/zahlen-statistiken/h-spital-und-klinik-monitor/gesamtbranche/strukturen/spitaeler/spitaltype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fs.admin.ch/bfs/de/home/statistiken/gesundheit/gesundheitswesen/spitaeler/patienten-hospitalisierungen.assetdetail.20044051.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medinside.ch/de/post/spital-bau-boom-in-der-schweiz-ist-das-noch-gesund"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zhaw-my.sharepoint.com/personal/hanu_zhaw_ch/Documents/work/WP%20in%20HC/Conference%20paper/Activities%20graphic.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zhaw-my.sharepoint.com/personal/hanu_zhaw_ch/Documents/work/WP%20in%20HC/2022/SUS%20Data%20analysis_25.04.2022%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zhaw-my.sharepoint.com/personal/hanu_zhaw_ch/Documents/work/WP%20in%20HC/2022/SUS%20Data%20analysis_25.04.2022%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zhaw-my.sharepoint.com/personal/hanu_zhaw_ch/Documents/work/WP%20in%20HC/Conference%20paper/Activities%20graphic.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080" b="0" i="0" u="none" strike="noStrike" kern="1200" spc="0" baseline="0">
                <a:solidFill>
                  <a:sysClr val="windowText" lastClr="000000"/>
                </a:solidFill>
                <a:latin typeface="Georgia" panose="02040502050405020303" pitchFamily="18" charset="0"/>
                <a:ea typeface="+mn-ea"/>
                <a:cs typeface="+mn-cs"/>
              </a:defRPr>
            </a:pPr>
            <a:r>
              <a:rPr lang="en-GB"/>
              <a:t>Activities regarding physician types, other hospital occupants types</a:t>
            </a:r>
            <a:endParaRPr lang="ko-KR"/>
          </a:p>
        </c:rich>
      </c:tx>
      <c:overlay val="0"/>
      <c:spPr>
        <a:noFill/>
        <a:ln>
          <a:noFill/>
        </a:ln>
        <a:effectLst/>
      </c:spPr>
      <c:txPr>
        <a:bodyPr rot="0" spcFirstLastPara="1" vertOverflow="ellipsis" vert="horz" wrap="square" anchor="ctr" anchorCtr="1"/>
        <a:lstStyle/>
        <a:p>
          <a:pPr>
            <a:defRPr sz="1080" b="0" i="0" u="none" strike="noStrike" kern="1200" spc="0" baseline="0">
              <a:solidFill>
                <a:sysClr val="windowText" lastClr="000000"/>
              </a:solidFill>
              <a:latin typeface="Georgia" panose="02040502050405020303" pitchFamily="18" charset="0"/>
              <a:ea typeface="+mn-ea"/>
              <a:cs typeface="+mn-cs"/>
            </a:defRPr>
          </a:pPr>
          <a:endParaRPr lang="en-150"/>
        </a:p>
      </c:txPr>
    </c:title>
    <c:autoTitleDeleted val="0"/>
    <c:plotArea>
      <c:layout/>
      <c:barChart>
        <c:barDir val="bar"/>
        <c:grouping val="stacked"/>
        <c:varyColors val="0"/>
        <c:ser>
          <c:idx val="0"/>
          <c:order val="0"/>
          <c:tx>
            <c:strRef>
              <c:f>Sheet1!$B$3</c:f>
              <c:strCache>
                <c:ptCount val="1"/>
                <c:pt idx="0">
                  <c:v>Communication onsite</c:v>
                </c:pt>
              </c:strCache>
            </c:strRef>
          </c:tx>
          <c:spPr>
            <a:solidFill>
              <a:schemeClr val="accent3">
                <a:tint val="58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Georgia" panose="02040502050405020303" pitchFamily="18" charset="0"/>
                    <a:ea typeface="+mn-ea"/>
                    <a:cs typeface="+mn-cs"/>
                  </a:defRPr>
                </a:pPr>
                <a:endParaRPr lang="en-150"/>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Sheet1!$A$4:$A$7</c:f>
              <c:strCache>
                <c:ptCount val="4"/>
                <c:pt idx="0">
                  <c:v>Chief of service / chief physician</c:v>
                </c:pt>
                <c:pt idx="1">
                  <c:v>Resident physician / attending physician </c:v>
                </c:pt>
                <c:pt idx="2">
                  <c:v>Nursing staffs / therapists</c:v>
                </c:pt>
                <c:pt idx="3">
                  <c:v>Management/administration staff</c:v>
                </c:pt>
              </c:strCache>
            </c:strRef>
          </c:cat>
          <c:val>
            <c:numRef>
              <c:f>Sheet1!$B$4:$B$7</c:f>
              <c:numCache>
                <c:formatCode>General</c:formatCode>
                <c:ptCount val="4"/>
                <c:pt idx="0">
                  <c:v>26</c:v>
                </c:pt>
                <c:pt idx="1">
                  <c:v>16</c:v>
                </c:pt>
                <c:pt idx="2">
                  <c:v>31</c:v>
                </c:pt>
                <c:pt idx="3">
                  <c:v>24</c:v>
                </c:pt>
              </c:numCache>
            </c:numRef>
          </c:val>
          <c:extLst>
            <c:ext xmlns:c16="http://schemas.microsoft.com/office/drawing/2014/chart" uri="{C3380CC4-5D6E-409C-BE32-E72D297353CC}">
              <c16:uniqueId val="{00000000-D094-4971-94F2-F7E085356D80}"/>
            </c:ext>
          </c:extLst>
        </c:ser>
        <c:ser>
          <c:idx val="1"/>
          <c:order val="1"/>
          <c:tx>
            <c:strRef>
              <c:f>Sheet1!$C$3</c:f>
              <c:strCache>
                <c:ptCount val="1"/>
                <c:pt idx="0">
                  <c:v>Digital communication</c:v>
                </c:pt>
              </c:strCache>
            </c:strRef>
          </c:tx>
          <c:spPr>
            <a:solidFill>
              <a:schemeClr val="accent3">
                <a:tint val="86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Georgia" panose="02040502050405020303" pitchFamily="18" charset="0"/>
                    <a:ea typeface="+mn-ea"/>
                    <a:cs typeface="+mn-cs"/>
                  </a:defRPr>
                </a:pPr>
                <a:endParaRPr lang="en-150"/>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Sheet1!$A$4:$A$7</c:f>
              <c:strCache>
                <c:ptCount val="4"/>
                <c:pt idx="0">
                  <c:v>Chief of service / chief physician</c:v>
                </c:pt>
                <c:pt idx="1">
                  <c:v>Resident physician / attending physician </c:v>
                </c:pt>
                <c:pt idx="2">
                  <c:v>Nursing staffs / therapists</c:v>
                </c:pt>
                <c:pt idx="3">
                  <c:v>Management/administration staff</c:v>
                </c:pt>
              </c:strCache>
            </c:strRef>
          </c:cat>
          <c:val>
            <c:numRef>
              <c:f>Sheet1!$C$4:$C$7</c:f>
              <c:numCache>
                <c:formatCode>General</c:formatCode>
                <c:ptCount val="4"/>
                <c:pt idx="0">
                  <c:v>9</c:v>
                </c:pt>
                <c:pt idx="1">
                  <c:v>6</c:v>
                </c:pt>
                <c:pt idx="2">
                  <c:v>4</c:v>
                </c:pt>
                <c:pt idx="3">
                  <c:v>7</c:v>
                </c:pt>
              </c:numCache>
            </c:numRef>
          </c:val>
          <c:extLst>
            <c:ext xmlns:c16="http://schemas.microsoft.com/office/drawing/2014/chart" uri="{C3380CC4-5D6E-409C-BE32-E72D297353CC}">
              <c16:uniqueId val="{00000001-D094-4971-94F2-F7E085356D80}"/>
            </c:ext>
          </c:extLst>
        </c:ser>
        <c:ser>
          <c:idx val="2"/>
          <c:order val="2"/>
          <c:tx>
            <c:strRef>
              <c:f>Sheet1!$D$3</c:f>
              <c:strCache>
                <c:ptCount val="1"/>
                <c:pt idx="0">
                  <c:v>Deskwork</c:v>
                </c:pt>
              </c:strCache>
            </c:strRef>
          </c:tx>
          <c:spPr>
            <a:solidFill>
              <a:schemeClr val="accent3">
                <a:shade val="86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Georgia" panose="02040502050405020303" pitchFamily="18" charset="0"/>
                    <a:ea typeface="+mn-ea"/>
                    <a:cs typeface="+mn-cs"/>
                  </a:defRPr>
                </a:pPr>
                <a:endParaRPr lang="en-150"/>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Sheet1!$A$4:$A$7</c:f>
              <c:strCache>
                <c:ptCount val="4"/>
                <c:pt idx="0">
                  <c:v>Chief of service / chief physician</c:v>
                </c:pt>
                <c:pt idx="1">
                  <c:v>Resident physician / attending physician </c:v>
                </c:pt>
                <c:pt idx="2">
                  <c:v>Nursing staffs / therapists</c:v>
                </c:pt>
                <c:pt idx="3">
                  <c:v>Management/administration staff</c:v>
                </c:pt>
              </c:strCache>
            </c:strRef>
          </c:cat>
          <c:val>
            <c:numRef>
              <c:f>Sheet1!$D$4:$D$7</c:f>
              <c:numCache>
                <c:formatCode>General</c:formatCode>
                <c:ptCount val="4"/>
                <c:pt idx="0">
                  <c:v>62</c:v>
                </c:pt>
                <c:pt idx="1">
                  <c:v>74</c:v>
                </c:pt>
                <c:pt idx="2">
                  <c:v>59</c:v>
                </c:pt>
                <c:pt idx="3">
                  <c:v>65</c:v>
                </c:pt>
              </c:numCache>
            </c:numRef>
          </c:val>
          <c:extLst>
            <c:ext xmlns:c16="http://schemas.microsoft.com/office/drawing/2014/chart" uri="{C3380CC4-5D6E-409C-BE32-E72D297353CC}">
              <c16:uniqueId val="{00000002-D094-4971-94F2-F7E085356D80}"/>
            </c:ext>
          </c:extLst>
        </c:ser>
        <c:ser>
          <c:idx val="3"/>
          <c:order val="3"/>
          <c:tx>
            <c:strRef>
              <c:f>Sheet1!$E$3</c:f>
              <c:strCache>
                <c:ptCount val="1"/>
                <c:pt idx="0">
                  <c:v>Break</c:v>
                </c:pt>
              </c:strCache>
            </c:strRef>
          </c:tx>
          <c:spPr>
            <a:solidFill>
              <a:schemeClr val="accent3">
                <a:shade val="58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Georgia" panose="02040502050405020303" pitchFamily="18" charset="0"/>
                    <a:ea typeface="+mn-ea"/>
                    <a:cs typeface="+mn-cs"/>
                  </a:defRPr>
                </a:pPr>
                <a:endParaRPr lang="en-150"/>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Sheet1!$A$4:$A$7</c:f>
              <c:strCache>
                <c:ptCount val="4"/>
                <c:pt idx="0">
                  <c:v>Chief of service / chief physician</c:v>
                </c:pt>
                <c:pt idx="1">
                  <c:v>Resident physician / attending physician </c:v>
                </c:pt>
                <c:pt idx="2">
                  <c:v>Nursing staffs / therapists</c:v>
                </c:pt>
                <c:pt idx="3">
                  <c:v>Management/administration staff</c:v>
                </c:pt>
              </c:strCache>
            </c:strRef>
          </c:cat>
          <c:val>
            <c:numRef>
              <c:f>Sheet1!$E$4:$E$7</c:f>
              <c:numCache>
                <c:formatCode>General</c:formatCode>
                <c:ptCount val="4"/>
                <c:pt idx="0">
                  <c:v>3</c:v>
                </c:pt>
                <c:pt idx="1">
                  <c:v>4</c:v>
                </c:pt>
                <c:pt idx="2">
                  <c:v>6</c:v>
                </c:pt>
                <c:pt idx="3">
                  <c:v>4</c:v>
                </c:pt>
              </c:numCache>
            </c:numRef>
          </c:val>
          <c:extLst>
            <c:ext xmlns:c16="http://schemas.microsoft.com/office/drawing/2014/chart" uri="{C3380CC4-5D6E-409C-BE32-E72D297353CC}">
              <c16:uniqueId val="{00000003-D094-4971-94F2-F7E085356D80}"/>
            </c:ext>
          </c:extLst>
        </c:ser>
        <c:dLbls>
          <c:dLblPos val="ctr"/>
          <c:showLegendKey val="0"/>
          <c:showVal val="1"/>
          <c:showCatName val="0"/>
          <c:showSerName val="0"/>
          <c:showPercent val="0"/>
          <c:showBubbleSize val="0"/>
        </c:dLbls>
        <c:gapWidth val="150"/>
        <c:overlap val="100"/>
        <c:axId val="46540271"/>
        <c:axId val="47112303"/>
      </c:barChart>
      <c:catAx>
        <c:axId val="46540271"/>
        <c:scaling>
          <c:orientation val="maxMin"/>
        </c:scaling>
        <c:delete val="0"/>
        <c:axPos val="l"/>
        <c:numFmt formatCode="@" sourceLinked="0"/>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Georgia" panose="02040502050405020303" pitchFamily="18" charset="0"/>
                <a:ea typeface="+mn-ea"/>
                <a:cs typeface="+mn-cs"/>
              </a:defRPr>
            </a:pPr>
            <a:endParaRPr lang="en-150"/>
          </a:p>
        </c:txPr>
        <c:crossAx val="47112303"/>
        <c:crosses val="autoZero"/>
        <c:auto val="1"/>
        <c:lblAlgn val="ctr"/>
        <c:lblOffset val="100"/>
        <c:noMultiLvlLbl val="0"/>
      </c:catAx>
      <c:valAx>
        <c:axId val="47112303"/>
        <c:scaling>
          <c:orientation val="minMax"/>
          <c:max val="100"/>
        </c:scaling>
        <c:delete val="1"/>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6540271"/>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Georgia" panose="02040502050405020303" pitchFamily="18" charset="0"/>
              <a:ea typeface="+mn-ea"/>
              <a:cs typeface="+mn-cs"/>
            </a:defRPr>
          </a:pPr>
          <a:endParaRPr lang="en-150"/>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0">
          <a:solidFill>
            <a:sysClr val="windowText" lastClr="000000"/>
          </a:solidFill>
          <a:latin typeface="Georgia" panose="02040502050405020303" pitchFamily="18" charset="0"/>
        </a:defRPr>
      </a:pPr>
      <a:endParaRPr lang="en-150"/>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GB" sz="1000" b="1" i="0" baseline="0">
                <a:effectLst/>
                <a:latin typeface="Georgia" panose="02040502050405020303" pitchFamily="18" charset="0"/>
              </a:rPr>
              <a:t>Workstation Occupancy Rate Hospitals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150"/>
        </a:p>
      </c:txPr>
    </c:title>
    <c:autoTitleDeleted val="0"/>
    <c:view3D>
      <c:rotX val="30"/>
      <c:rotY val="0"/>
      <c:rAngAx val="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pie3DChart>
        <c:varyColors val="1"/>
        <c:ser>
          <c:idx val="2"/>
          <c:order val="0"/>
          <c:dPt>
            <c:idx val="0"/>
            <c:bubble3D val="0"/>
            <c:spPr>
              <a:solidFill>
                <a:schemeClr val="dk1">
                  <a:tint val="88500"/>
                </a:schemeClr>
              </a:solidFill>
              <a:ln>
                <a:noFill/>
              </a:ln>
              <a:effectLst/>
              <a:sp3d/>
            </c:spPr>
            <c:extLst>
              <c:ext xmlns:c16="http://schemas.microsoft.com/office/drawing/2014/chart" uri="{C3380CC4-5D6E-409C-BE32-E72D297353CC}">
                <c16:uniqueId val="{00000001-662C-4A51-99CE-C7BD84AC162B}"/>
              </c:ext>
            </c:extLst>
          </c:dPt>
          <c:dPt>
            <c:idx val="1"/>
            <c:bubble3D val="0"/>
            <c:spPr>
              <a:solidFill>
                <a:schemeClr val="dk1">
                  <a:tint val="55000"/>
                </a:schemeClr>
              </a:solidFill>
              <a:ln>
                <a:noFill/>
              </a:ln>
              <a:effectLst/>
              <a:sp3d/>
            </c:spPr>
            <c:extLst>
              <c:ext xmlns:c16="http://schemas.microsoft.com/office/drawing/2014/chart" uri="{C3380CC4-5D6E-409C-BE32-E72D297353CC}">
                <c16:uniqueId val="{00000003-662C-4A51-99CE-C7BD84AC162B}"/>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Georgia" panose="02040502050405020303" pitchFamily="18" charset="0"/>
                    <a:ea typeface="+mn-ea"/>
                    <a:cs typeface="+mn-cs"/>
                  </a:defRPr>
                </a:pPr>
                <a:endParaRPr lang="en-150"/>
              </a:p>
            </c:txPr>
            <c:showLegendKey val="0"/>
            <c:showVal val="0"/>
            <c:showCatName val="0"/>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'andere Nutzer'!$C$45:$C$46</c:f>
              <c:strCache>
                <c:ptCount val="2"/>
                <c:pt idx="0">
                  <c:v>Occupied</c:v>
                </c:pt>
                <c:pt idx="1">
                  <c:v>Empty</c:v>
                </c:pt>
              </c:strCache>
            </c:strRef>
          </c:cat>
          <c:val>
            <c:numRef>
              <c:f>'andere Nutzer'!$D$45:$D$46</c:f>
              <c:numCache>
                <c:formatCode>###0</c:formatCode>
                <c:ptCount val="2"/>
                <c:pt idx="0">
                  <c:v>10582</c:v>
                </c:pt>
                <c:pt idx="1">
                  <c:v>23891</c:v>
                </c:pt>
              </c:numCache>
            </c:numRef>
          </c:val>
          <c:extLst>
            <c:ext xmlns:c16="http://schemas.microsoft.com/office/drawing/2014/chart" uri="{C3380CC4-5D6E-409C-BE32-E72D297353CC}">
              <c16:uniqueId val="{00000004-662C-4A51-99CE-C7BD84AC162B}"/>
            </c:ext>
          </c:extLst>
        </c:ser>
        <c:ser>
          <c:idx val="3"/>
          <c:order val="1"/>
          <c:dPt>
            <c:idx val="0"/>
            <c:bubble3D val="0"/>
            <c:spPr>
              <a:solidFill>
                <a:schemeClr val="dk1">
                  <a:tint val="88500"/>
                </a:schemeClr>
              </a:solidFill>
              <a:ln>
                <a:noFill/>
              </a:ln>
              <a:effectLst/>
              <a:sp3d/>
            </c:spPr>
            <c:extLst>
              <c:ext xmlns:c16="http://schemas.microsoft.com/office/drawing/2014/chart" uri="{C3380CC4-5D6E-409C-BE32-E72D297353CC}">
                <c16:uniqueId val="{00000006-662C-4A51-99CE-C7BD84AC162B}"/>
              </c:ext>
            </c:extLst>
          </c:dPt>
          <c:dPt>
            <c:idx val="1"/>
            <c:bubble3D val="0"/>
            <c:spPr>
              <a:solidFill>
                <a:schemeClr val="dk1">
                  <a:tint val="55000"/>
                </a:schemeClr>
              </a:solidFill>
              <a:ln>
                <a:noFill/>
              </a:ln>
              <a:effectLst/>
              <a:sp3d/>
            </c:spPr>
            <c:extLst>
              <c:ext xmlns:c16="http://schemas.microsoft.com/office/drawing/2014/chart" uri="{C3380CC4-5D6E-409C-BE32-E72D297353CC}">
                <c16:uniqueId val="{00000008-662C-4A51-99CE-C7BD84AC162B}"/>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150"/>
              </a:p>
            </c:txPr>
            <c:showLegendKey val="0"/>
            <c:showVal val="0"/>
            <c:showCatName val="0"/>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'andere Nutzer'!$C$45:$C$46</c:f>
              <c:strCache>
                <c:ptCount val="2"/>
                <c:pt idx="0">
                  <c:v>Occupied</c:v>
                </c:pt>
                <c:pt idx="1">
                  <c:v>Empty</c:v>
                </c:pt>
              </c:strCache>
            </c:strRef>
          </c:cat>
          <c:val>
            <c:numRef>
              <c:f>'andere Nutzer'!$D$5:$D$6</c:f>
              <c:numCache>
                <c:formatCode>###0</c:formatCode>
                <c:ptCount val="2"/>
                <c:pt idx="0">
                  <c:v>2044</c:v>
                </c:pt>
                <c:pt idx="1">
                  <c:v>5572</c:v>
                </c:pt>
              </c:numCache>
            </c:numRef>
          </c:val>
          <c:extLst>
            <c:ext xmlns:c16="http://schemas.microsoft.com/office/drawing/2014/chart" uri="{C3380CC4-5D6E-409C-BE32-E72D297353CC}">
              <c16:uniqueId val="{00000009-662C-4A51-99CE-C7BD84AC162B}"/>
            </c:ext>
          </c:extLst>
        </c:ser>
        <c:ser>
          <c:idx val="1"/>
          <c:order val="2"/>
          <c:dPt>
            <c:idx val="0"/>
            <c:bubble3D val="0"/>
            <c:spPr>
              <a:solidFill>
                <a:schemeClr val="dk1">
                  <a:tint val="88500"/>
                </a:schemeClr>
              </a:solidFill>
              <a:ln>
                <a:noFill/>
              </a:ln>
              <a:effectLst/>
              <a:sp3d/>
            </c:spPr>
            <c:extLst>
              <c:ext xmlns:c16="http://schemas.microsoft.com/office/drawing/2014/chart" uri="{C3380CC4-5D6E-409C-BE32-E72D297353CC}">
                <c16:uniqueId val="{0000000B-662C-4A51-99CE-C7BD84AC162B}"/>
              </c:ext>
            </c:extLst>
          </c:dPt>
          <c:dPt>
            <c:idx val="1"/>
            <c:bubble3D val="0"/>
            <c:spPr>
              <a:solidFill>
                <a:schemeClr val="dk1">
                  <a:tint val="55000"/>
                </a:schemeClr>
              </a:solidFill>
              <a:ln>
                <a:noFill/>
              </a:ln>
              <a:effectLst/>
              <a:sp3d/>
            </c:spPr>
            <c:extLst>
              <c:ext xmlns:c16="http://schemas.microsoft.com/office/drawing/2014/chart" uri="{C3380CC4-5D6E-409C-BE32-E72D297353CC}">
                <c16:uniqueId val="{0000000D-662C-4A51-99CE-C7BD84AC162B}"/>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150"/>
              </a:p>
            </c:txPr>
            <c:showLegendKey val="0"/>
            <c:showVal val="0"/>
            <c:showCatName val="0"/>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'andere Nutzer'!$C$45:$C$46</c:f>
              <c:strCache>
                <c:ptCount val="2"/>
                <c:pt idx="0">
                  <c:v>Occupied</c:v>
                </c:pt>
                <c:pt idx="1">
                  <c:v>Empty</c:v>
                </c:pt>
              </c:strCache>
            </c:strRef>
          </c:cat>
          <c:val>
            <c:numRef>
              <c:f>'andere Nutzer'!$D$45:$D$46</c:f>
              <c:numCache>
                <c:formatCode>###0</c:formatCode>
                <c:ptCount val="2"/>
                <c:pt idx="0">
                  <c:v>10582</c:v>
                </c:pt>
                <c:pt idx="1">
                  <c:v>23891</c:v>
                </c:pt>
              </c:numCache>
            </c:numRef>
          </c:val>
          <c:extLst>
            <c:ext xmlns:c16="http://schemas.microsoft.com/office/drawing/2014/chart" uri="{C3380CC4-5D6E-409C-BE32-E72D297353CC}">
              <c16:uniqueId val="{0000000E-662C-4A51-99CE-C7BD84AC162B}"/>
            </c:ext>
          </c:extLst>
        </c:ser>
        <c:ser>
          <c:idx val="0"/>
          <c:order val="3"/>
          <c:dPt>
            <c:idx val="0"/>
            <c:bubble3D val="0"/>
            <c:spPr>
              <a:solidFill>
                <a:schemeClr val="dk1">
                  <a:tint val="88500"/>
                </a:schemeClr>
              </a:solidFill>
              <a:ln>
                <a:noFill/>
              </a:ln>
              <a:effectLst/>
              <a:sp3d/>
            </c:spPr>
            <c:extLst>
              <c:ext xmlns:c16="http://schemas.microsoft.com/office/drawing/2014/chart" uri="{C3380CC4-5D6E-409C-BE32-E72D297353CC}">
                <c16:uniqueId val="{00000010-662C-4A51-99CE-C7BD84AC162B}"/>
              </c:ext>
            </c:extLst>
          </c:dPt>
          <c:dPt>
            <c:idx val="1"/>
            <c:bubble3D val="0"/>
            <c:spPr>
              <a:solidFill>
                <a:schemeClr val="dk1">
                  <a:tint val="55000"/>
                </a:schemeClr>
              </a:solidFill>
              <a:ln>
                <a:noFill/>
              </a:ln>
              <a:effectLst/>
              <a:sp3d/>
            </c:spPr>
            <c:extLst>
              <c:ext xmlns:c16="http://schemas.microsoft.com/office/drawing/2014/chart" uri="{C3380CC4-5D6E-409C-BE32-E72D297353CC}">
                <c16:uniqueId val="{00000012-662C-4A51-99CE-C7BD84AC162B}"/>
              </c:ext>
            </c:extLst>
          </c:dPt>
          <c:dPt>
            <c:idx val="2"/>
            <c:bubble3D val="0"/>
            <c:spPr>
              <a:solidFill>
                <a:schemeClr val="dk1">
                  <a:tint val="75000"/>
                </a:schemeClr>
              </a:solidFill>
              <a:ln>
                <a:noFill/>
              </a:ln>
              <a:effectLst/>
              <a:sp3d/>
            </c:spPr>
            <c:extLst>
              <c:ext xmlns:c16="http://schemas.microsoft.com/office/drawing/2014/chart" uri="{C3380CC4-5D6E-409C-BE32-E72D297353CC}">
                <c16:uniqueId val="{00000014-662C-4A51-99CE-C7BD84AC162B}"/>
              </c:ext>
            </c:extLst>
          </c:dPt>
          <c:dPt>
            <c:idx val="3"/>
            <c:bubble3D val="0"/>
            <c:spPr>
              <a:solidFill>
                <a:schemeClr val="dk1">
                  <a:tint val="98500"/>
                </a:schemeClr>
              </a:solidFill>
              <a:ln>
                <a:noFill/>
              </a:ln>
              <a:effectLst/>
              <a:sp3d/>
            </c:spPr>
            <c:extLst>
              <c:ext xmlns:c16="http://schemas.microsoft.com/office/drawing/2014/chart" uri="{C3380CC4-5D6E-409C-BE32-E72D297353CC}">
                <c16:uniqueId val="{00000016-662C-4A51-99CE-C7BD84AC162B}"/>
              </c:ext>
            </c:extLst>
          </c:dPt>
          <c:dPt>
            <c:idx val="4"/>
            <c:bubble3D val="0"/>
            <c:spPr>
              <a:solidFill>
                <a:schemeClr val="dk1">
                  <a:tint val="30000"/>
                </a:schemeClr>
              </a:solidFill>
              <a:ln>
                <a:noFill/>
              </a:ln>
              <a:effectLst/>
              <a:sp3d/>
            </c:spPr>
            <c:extLst>
              <c:ext xmlns:c16="http://schemas.microsoft.com/office/drawing/2014/chart" uri="{C3380CC4-5D6E-409C-BE32-E72D297353CC}">
                <c16:uniqueId val="{00000018-662C-4A51-99CE-C7BD84AC162B}"/>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150"/>
              </a:p>
            </c:txPr>
            <c:showLegendKey val="0"/>
            <c:showVal val="0"/>
            <c:showCatName val="0"/>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'andere Nutzer'!$C$45:$C$46</c:f>
              <c:strCache>
                <c:ptCount val="2"/>
                <c:pt idx="0">
                  <c:v>Occupied</c:v>
                </c:pt>
                <c:pt idx="1">
                  <c:v>Empty</c:v>
                </c:pt>
              </c:strCache>
            </c:strRef>
          </c:cat>
          <c:val>
            <c:numRef>
              <c:f>'andere Nutzer'!$D$5:$D$6</c:f>
              <c:numCache>
                <c:formatCode>###0</c:formatCode>
                <c:ptCount val="2"/>
                <c:pt idx="0">
                  <c:v>2044</c:v>
                </c:pt>
                <c:pt idx="1">
                  <c:v>5572</c:v>
                </c:pt>
              </c:numCache>
            </c:numRef>
          </c:val>
          <c:extLst>
            <c:ext xmlns:c16="http://schemas.microsoft.com/office/drawing/2014/chart" uri="{C3380CC4-5D6E-409C-BE32-E72D297353CC}">
              <c16:uniqueId val="{00000019-662C-4A51-99CE-C7BD84AC162B}"/>
            </c:ext>
          </c:extLst>
        </c:ser>
        <c:dLbls>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Georgia" panose="02040502050405020303" pitchFamily="18" charset="0"/>
              <a:ea typeface="+mn-ea"/>
              <a:cs typeface="+mn-cs"/>
            </a:defRPr>
          </a:pPr>
          <a:endParaRPr lang="en-150"/>
        </a:p>
      </c:txPr>
    </c:legend>
    <c:plotVisOnly val="1"/>
    <c:dispBlanksAs val="gap"/>
    <c:showDLblsOverMax val="0"/>
  </c:chart>
  <c:spPr>
    <a:solidFill>
      <a:schemeClr val="bg1"/>
    </a:solidFill>
    <a:ln w="6350" cap="flat" cmpd="sng" algn="ctr">
      <a:noFill/>
      <a:prstDash val="solid"/>
      <a:round/>
    </a:ln>
    <a:effectLst/>
  </c:spPr>
  <c:txPr>
    <a:bodyPr/>
    <a:lstStyle/>
    <a:p>
      <a:pPr>
        <a:defRPr/>
      </a:pPr>
      <a:endParaRPr lang="en-150"/>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GB" sz="1000" b="1" i="0" baseline="0">
                <a:effectLst/>
                <a:latin typeface="Georgia" panose="02040502050405020303" pitchFamily="18" charset="0"/>
              </a:rPr>
              <a:t>Workstation Occupancy Rate Offices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150"/>
        </a:p>
      </c:txPr>
    </c:title>
    <c:autoTitleDeleted val="0"/>
    <c:view3D>
      <c:rotX val="30"/>
      <c:rotY val="0"/>
      <c:rAngAx val="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pie3DChart>
        <c:varyColors val="1"/>
        <c:ser>
          <c:idx val="1"/>
          <c:order val="0"/>
          <c:dPt>
            <c:idx val="0"/>
            <c:bubble3D val="0"/>
            <c:spPr>
              <a:solidFill>
                <a:schemeClr val="dk1">
                  <a:tint val="88500"/>
                </a:schemeClr>
              </a:solidFill>
              <a:ln>
                <a:noFill/>
              </a:ln>
              <a:effectLst/>
              <a:sp3d/>
            </c:spPr>
            <c:extLst>
              <c:ext xmlns:c16="http://schemas.microsoft.com/office/drawing/2014/chart" uri="{C3380CC4-5D6E-409C-BE32-E72D297353CC}">
                <c16:uniqueId val="{00000001-D83C-4A8E-BF62-09E85AACBB4F}"/>
              </c:ext>
            </c:extLst>
          </c:dPt>
          <c:dPt>
            <c:idx val="1"/>
            <c:bubble3D val="0"/>
            <c:spPr>
              <a:solidFill>
                <a:schemeClr val="dk1">
                  <a:tint val="55000"/>
                </a:schemeClr>
              </a:solidFill>
              <a:ln>
                <a:noFill/>
              </a:ln>
              <a:effectLst/>
              <a:sp3d/>
            </c:spPr>
            <c:extLst>
              <c:ext xmlns:c16="http://schemas.microsoft.com/office/drawing/2014/chart" uri="{C3380CC4-5D6E-409C-BE32-E72D297353CC}">
                <c16:uniqueId val="{00000003-D83C-4A8E-BF62-09E85AACBB4F}"/>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Georgia" panose="02040502050405020303" pitchFamily="18" charset="0"/>
                    <a:ea typeface="+mn-ea"/>
                    <a:cs typeface="+mn-cs"/>
                  </a:defRPr>
                </a:pPr>
                <a:endParaRPr lang="en-150"/>
              </a:p>
            </c:txPr>
            <c:showLegendKey val="0"/>
            <c:showVal val="0"/>
            <c:showCatName val="0"/>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Büro!$C$5:$C$6</c:f>
              <c:strCache>
                <c:ptCount val="2"/>
                <c:pt idx="0">
                  <c:v>Occupied</c:v>
                </c:pt>
                <c:pt idx="1">
                  <c:v>Empty</c:v>
                </c:pt>
              </c:strCache>
            </c:strRef>
          </c:cat>
          <c:val>
            <c:numRef>
              <c:f>Büro!$D$5:$D$6</c:f>
              <c:numCache>
                <c:formatCode>###0</c:formatCode>
                <c:ptCount val="2"/>
                <c:pt idx="0">
                  <c:v>67556</c:v>
                </c:pt>
                <c:pt idx="1">
                  <c:v>109071</c:v>
                </c:pt>
              </c:numCache>
            </c:numRef>
          </c:val>
          <c:extLst>
            <c:ext xmlns:c16="http://schemas.microsoft.com/office/drawing/2014/chart" uri="{C3380CC4-5D6E-409C-BE32-E72D297353CC}">
              <c16:uniqueId val="{00000004-D83C-4A8E-BF62-09E85AACBB4F}"/>
            </c:ext>
          </c:extLst>
        </c:ser>
        <c:ser>
          <c:idx val="0"/>
          <c:order val="1"/>
          <c:dPt>
            <c:idx val="0"/>
            <c:bubble3D val="0"/>
            <c:spPr>
              <a:solidFill>
                <a:schemeClr val="dk1">
                  <a:tint val="88500"/>
                </a:schemeClr>
              </a:solidFill>
              <a:ln>
                <a:noFill/>
              </a:ln>
              <a:effectLst/>
              <a:sp3d/>
            </c:spPr>
            <c:extLst>
              <c:ext xmlns:c16="http://schemas.microsoft.com/office/drawing/2014/chart" uri="{C3380CC4-5D6E-409C-BE32-E72D297353CC}">
                <c16:uniqueId val="{00000006-D83C-4A8E-BF62-09E85AACBB4F}"/>
              </c:ext>
            </c:extLst>
          </c:dPt>
          <c:dPt>
            <c:idx val="1"/>
            <c:bubble3D val="0"/>
            <c:spPr>
              <a:solidFill>
                <a:schemeClr val="dk1">
                  <a:tint val="55000"/>
                </a:schemeClr>
              </a:solidFill>
              <a:ln>
                <a:noFill/>
              </a:ln>
              <a:effectLst/>
              <a:sp3d/>
            </c:spPr>
            <c:extLst>
              <c:ext xmlns:c16="http://schemas.microsoft.com/office/drawing/2014/chart" uri="{C3380CC4-5D6E-409C-BE32-E72D297353CC}">
                <c16:uniqueId val="{00000008-D83C-4A8E-BF62-09E85AACBB4F}"/>
              </c:ext>
            </c:extLst>
          </c:dPt>
          <c:dPt>
            <c:idx val="2"/>
            <c:bubble3D val="0"/>
            <c:spPr>
              <a:solidFill>
                <a:schemeClr val="dk1">
                  <a:tint val="75000"/>
                </a:schemeClr>
              </a:solidFill>
              <a:ln>
                <a:noFill/>
              </a:ln>
              <a:effectLst/>
              <a:sp3d/>
            </c:spPr>
            <c:extLst>
              <c:ext xmlns:c16="http://schemas.microsoft.com/office/drawing/2014/chart" uri="{C3380CC4-5D6E-409C-BE32-E72D297353CC}">
                <c16:uniqueId val="{0000000A-D83C-4A8E-BF62-09E85AACBB4F}"/>
              </c:ext>
            </c:extLst>
          </c:dPt>
          <c:dPt>
            <c:idx val="3"/>
            <c:bubble3D val="0"/>
            <c:spPr>
              <a:solidFill>
                <a:schemeClr val="dk1">
                  <a:tint val="98500"/>
                </a:schemeClr>
              </a:solidFill>
              <a:ln>
                <a:noFill/>
              </a:ln>
              <a:effectLst/>
              <a:sp3d/>
            </c:spPr>
            <c:extLst>
              <c:ext xmlns:c16="http://schemas.microsoft.com/office/drawing/2014/chart" uri="{C3380CC4-5D6E-409C-BE32-E72D297353CC}">
                <c16:uniqueId val="{0000000C-D83C-4A8E-BF62-09E85AACBB4F}"/>
              </c:ext>
            </c:extLst>
          </c:dPt>
          <c:dPt>
            <c:idx val="4"/>
            <c:bubble3D val="0"/>
            <c:spPr>
              <a:solidFill>
                <a:schemeClr val="dk1">
                  <a:tint val="30000"/>
                </a:schemeClr>
              </a:solidFill>
              <a:ln>
                <a:noFill/>
              </a:ln>
              <a:effectLst/>
              <a:sp3d/>
            </c:spPr>
            <c:extLst>
              <c:ext xmlns:c16="http://schemas.microsoft.com/office/drawing/2014/chart" uri="{C3380CC4-5D6E-409C-BE32-E72D297353CC}">
                <c16:uniqueId val="{0000000E-D83C-4A8E-BF62-09E85AACBB4F}"/>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150"/>
              </a:p>
            </c:txPr>
            <c:showLegendKey val="0"/>
            <c:showVal val="0"/>
            <c:showCatName val="0"/>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Büro!$C$5:$C$6</c:f>
              <c:strCache>
                <c:ptCount val="2"/>
                <c:pt idx="0">
                  <c:v>Occupied</c:v>
                </c:pt>
                <c:pt idx="1">
                  <c:v>Empty</c:v>
                </c:pt>
              </c:strCache>
            </c:strRef>
          </c:cat>
          <c:val>
            <c:numRef>
              <c:f>Büro!$D$5:$D$6</c:f>
              <c:numCache>
                <c:formatCode>###0</c:formatCode>
                <c:ptCount val="2"/>
                <c:pt idx="0">
                  <c:v>67556</c:v>
                </c:pt>
                <c:pt idx="1">
                  <c:v>109071</c:v>
                </c:pt>
              </c:numCache>
            </c:numRef>
          </c:val>
          <c:extLst>
            <c:ext xmlns:c16="http://schemas.microsoft.com/office/drawing/2014/chart" uri="{C3380CC4-5D6E-409C-BE32-E72D297353CC}">
              <c16:uniqueId val="{0000000F-D83C-4A8E-BF62-09E85AACBB4F}"/>
            </c:ext>
          </c:extLst>
        </c:ser>
        <c:dLbls>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Georgia" panose="02040502050405020303" pitchFamily="18" charset="0"/>
              <a:ea typeface="+mn-ea"/>
              <a:cs typeface="+mn-cs"/>
            </a:defRPr>
          </a:pPr>
          <a:endParaRPr lang="en-150"/>
        </a:p>
      </c:txPr>
    </c:legend>
    <c:plotVisOnly val="1"/>
    <c:dispBlanksAs val="gap"/>
    <c:showDLblsOverMax val="0"/>
  </c:chart>
  <c:spPr>
    <a:solidFill>
      <a:schemeClr val="bg1"/>
    </a:solidFill>
    <a:ln w="6350" cap="flat" cmpd="sng" algn="ctr">
      <a:noFill/>
      <a:prstDash val="solid"/>
      <a:round/>
    </a:ln>
    <a:effectLst/>
  </c:spPr>
  <c:txPr>
    <a:bodyPr/>
    <a:lstStyle/>
    <a:p>
      <a:pPr>
        <a:defRPr/>
      </a:pPr>
      <a:endParaRPr lang="en-150"/>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Georgia" panose="02040502050405020303" pitchFamily="18" charset="0"/>
                <a:ea typeface="+mn-ea"/>
                <a:cs typeface="+mn-cs"/>
              </a:defRPr>
            </a:pPr>
            <a:r>
              <a:rPr lang="en-GB" b="1"/>
              <a:t>Comparing</a:t>
            </a:r>
            <a:r>
              <a:rPr lang="en-GB" b="1" baseline="0"/>
              <a:t> a</a:t>
            </a:r>
            <a:r>
              <a:rPr lang="en-GB" b="1"/>
              <a:t>ctivities in hospitals</a:t>
            </a:r>
            <a:r>
              <a:rPr lang="en-GB" b="1" baseline="0"/>
              <a:t> and office buildings</a:t>
            </a:r>
            <a:r>
              <a:rPr lang="en-GB" b="1"/>
              <a:t> </a:t>
            </a:r>
            <a:endParaRPr lang="ko-KR" b="1"/>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Georgia" panose="02040502050405020303" pitchFamily="18" charset="0"/>
              <a:ea typeface="+mn-ea"/>
              <a:cs typeface="+mn-cs"/>
            </a:defRPr>
          </a:pPr>
          <a:endParaRPr lang="en-150"/>
        </a:p>
      </c:txPr>
    </c:title>
    <c:autoTitleDeleted val="0"/>
    <c:plotArea>
      <c:layout/>
      <c:barChart>
        <c:barDir val="bar"/>
        <c:grouping val="stacked"/>
        <c:varyColors val="0"/>
        <c:ser>
          <c:idx val="0"/>
          <c:order val="0"/>
          <c:tx>
            <c:strRef>
              <c:f>Sheet1!$B$3</c:f>
              <c:strCache>
                <c:ptCount val="1"/>
                <c:pt idx="0">
                  <c:v>Communication onsite</c:v>
                </c:pt>
              </c:strCache>
            </c:strRef>
          </c:tx>
          <c:spPr>
            <a:solidFill>
              <a:schemeClr val="accent3">
                <a:tint val="58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eorgia" panose="02040502050405020303" pitchFamily="18" charset="0"/>
                    <a:ea typeface="+mn-ea"/>
                    <a:cs typeface="+mn-cs"/>
                  </a:defRPr>
                </a:pPr>
                <a:endParaRPr lang="en-150"/>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Sheet1!$A$20:$A$21</c:f>
              <c:strCache>
                <c:ptCount val="2"/>
                <c:pt idx="0">
                  <c:v>Hospitals</c:v>
                </c:pt>
                <c:pt idx="1">
                  <c:v>Office buildings</c:v>
                </c:pt>
              </c:strCache>
            </c:strRef>
          </c:cat>
          <c:val>
            <c:numRef>
              <c:f>Sheet1!$B$20:$B$21</c:f>
              <c:numCache>
                <c:formatCode>General</c:formatCode>
                <c:ptCount val="2"/>
                <c:pt idx="0">
                  <c:v>22</c:v>
                </c:pt>
                <c:pt idx="1">
                  <c:v>13</c:v>
                </c:pt>
              </c:numCache>
            </c:numRef>
          </c:val>
          <c:extLst>
            <c:ext xmlns:c16="http://schemas.microsoft.com/office/drawing/2014/chart" uri="{C3380CC4-5D6E-409C-BE32-E72D297353CC}">
              <c16:uniqueId val="{00000000-DCC4-4598-ABE9-25BB3E47C46A}"/>
            </c:ext>
          </c:extLst>
        </c:ser>
        <c:ser>
          <c:idx val="1"/>
          <c:order val="1"/>
          <c:tx>
            <c:strRef>
              <c:f>Sheet1!$C$3</c:f>
              <c:strCache>
                <c:ptCount val="1"/>
                <c:pt idx="0">
                  <c:v>Digital communication</c:v>
                </c:pt>
              </c:strCache>
            </c:strRef>
          </c:tx>
          <c:spPr>
            <a:solidFill>
              <a:schemeClr val="accent3">
                <a:tint val="86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eorgia" panose="02040502050405020303" pitchFamily="18" charset="0"/>
                    <a:ea typeface="+mn-ea"/>
                    <a:cs typeface="+mn-cs"/>
                  </a:defRPr>
                </a:pPr>
                <a:endParaRPr lang="en-150"/>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Sheet1!$A$20:$A$21</c:f>
              <c:strCache>
                <c:ptCount val="2"/>
                <c:pt idx="0">
                  <c:v>Hospitals</c:v>
                </c:pt>
                <c:pt idx="1">
                  <c:v>Office buildings</c:v>
                </c:pt>
              </c:strCache>
            </c:strRef>
          </c:cat>
          <c:val>
            <c:numRef>
              <c:f>Sheet1!$C$20:$C$21</c:f>
              <c:numCache>
                <c:formatCode>General</c:formatCode>
                <c:ptCount val="2"/>
                <c:pt idx="0">
                  <c:v>7</c:v>
                </c:pt>
                <c:pt idx="1">
                  <c:v>4</c:v>
                </c:pt>
              </c:numCache>
            </c:numRef>
          </c:val>
          <c:extLst>
            <c:ext xmlns:c16="http://schemas.microsoft.com/office/drawing/2014/chart" uri="{C3380CC4-5D6E-409C-BE32-E72D297353CC}">
              <c16:uniqueId val="{00000001-DCC4-4598-ABE9-25BB3E47C46A}"/>
            </c:ext>
          </c:extLst>
        </c:ser>
        <c:ser>
          <c:idx val="2"/>
          <c:order val="2"/>
          <c:tx>
            <c:strRef>
              <c:f>Sheet1!$D$3</c:f>
              <c:strCache>
                <c:ptCount val="1"/>
                <c:pt idx="0">
                  <c:v>Deskwork</c:v>
                </c:pt>
              </c:strCache>
            </c:strRef>
          </c:tx>
          <c:spPr>
            <a:solidFill>
              <a:schemeClr val="accent3">
                <a:shade val="86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eorgia" panose="02040502050405020303" pitchFamily="18" charset="0"/>
                    <a:ea typeface="+mn-ea"/>
                    <a:cs typeface="+mn-cs"/>
                  </a:defRPr>
                </a:pPr>
                <a:endParaRPr lang="en-150"/>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Sheet1!$A$20:$A$21</c:f>
              <c:strCache>
                <c:ptCount val="2"/>
                <c:pt idx="0">
                  <c:v>Hospitals</c:v>
                </c:pt>
                <c:pt idx="1">
                  <c:v>Office buildings</c:v>
                </c:pt>
              </c:strCache>
            </c:strRef>
          </c:cat>
          <c:val>
            <c:numRef>
              <c:f>Sheet1!$D$20:$D$21</c:f>
              <c:numCache>
                <c:formatCode>General</c:formatCode>
                <c:ptCount val="2"/>
                <c:pt idx="0">
                  <c:v>67</c:v>
                </c:pt>
                <c:pt idx="1">
                  <c:v>82</c:v>
                </c:pt>
              </c:numCache>
            </c:numRef>
          </c:val>
          <c:extLst>
            <c:ext xmlns:c16="http://schemas.microsoft.com/office/drawing/2014/chart" uri="{C3380CC4-5D6E-409C-BE32-E72D297353CC}">
              <c16:uniqueId val="{00000002-DCC4-4598-ABE9-25BB3E47C46A}"/>
            </c:ext>
          </c:extLst>
        </c:ser>
        <c:ser>
          <c:idx val="3"/>
          <c:order val="3"/>
          <c:tx>
            <c:strRef>
              <c:f>Sheet1!$E$3</c:f>
              <c:strCache>
                <c:ptCount val="1"/>
                <c:pt idx="0">
                  <c:v>Break</c:v>
                </c:pt>
              </c:strCache>
            </c:strRef>
          </c:tx>
          <c:spPr>
            <a:solidFill>
              <a:schemeClr val="accent3">
                <a:shade val="58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eorgia" panose="02040502050405020303" pitchFamily="18" charset="0"/>
                    <a:ea typeface="+mn-ea"/>
                    <a:cs typeface="+mn-cs"/>
                  </a:defRPr>
                </a:pPr>
                <a:endParaRPr lang="en-150"/>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Sheet1!$A$20:$A$21</c:f>
              <c:strCache>
                <c:ptCount val="2"/>
                <c:pt idx="0">
                  <c:v>Hospitals</c:v>
                </c:pt>
                <c:pt idx="1">
                  <c:v>Office buildings</c:v>
                </c:pt>
              </c:strCache>
            </c:strRef>
          </c:cat>
          <c:val>
            <c:numRef>
              <c:f>Sheet1!$E$20:$E$21</c:f>
              <c:numCache>
                <c:formatCode>General</c:formatCode>
                <c:ptCount val="2"/>
                <c:pt idx="0">
                  <c:v>4</c:v>
                </c:pt>
                <c:pt idx="1">
                  <c:v>1</c:v>
                </c:pt>
              </c:numCache>
            </c:numRef>
          </c:val>
          <c:extLst>
            <c:ext xmlns:c16="http://schemas.microsoft.com/office/drawing/2014/chart" uri="{C3380CC4-5D6E-409C-BE32-E72D297353CC}">
              <c16:uniqueId val="{00000003-DCC4-4598-ABE9-25BB3E47C46A}"/>
            </c:ext>
          </c:extLst>
        </c:ser>
        <c:dLbls>
          <c:dLblPos val="ctr"/>
          <c:showLegendKey val="0"/>
          <c:showVal val="1"/>
          <c:showCatName val="0"/>
          <c:showSerName val="0"/>
          <c:showPercent val="0"/>
          <c:showBubbleSize val="0"/>
        </c:dLbls>
        <c:gapWidth val="150"/>
        <c:overlap val="100"/>
        <c:axId val="46540271"/>
        <c:axId val="47112303"/>
      </c:barChart>
      <c:catAx>
        <c:axId val="46540271"/>
        <c:scaling>
          <c:orientation val="maxMin"/>
        </c:scaling>
        <c:delete val="0"/>
        <c:axPos val="l"/>
        <c:numFmt formatCode="@" sourceLinked="0"/>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000" b="0" i="0" u="none" strike="noStrike" kern="1200" baseline="0">
                <a:solidFill>
                  <a:sysClr val="windowText" lastClr="000000"/>
                </a:solidFill>
                <a:latin typeface="Georgia" panose="02040502050405020303" pitchFamily="18" charset="0"/>
                <a:ea typeface="+mn-ea"/>
                <a:cs typeface="+mn-cs"/>
              </a:defRPr>
            </a:pPr>
            <a:endParaRPr lang="en-150"/>
          </a:p>
        </c:txPr>
        <c:crossAx val="47112303"/>
        <c:crosses val="autoZero"/>
        <c:auto val="1"/>
        <c:lblAlgn val="ctr"/>
        <c:lblOffset val="100"/>
        <c:noMultiLvlLbl val="0"/>
      </c:catAx>
      <c:valAx>
        <c:axId val="47112303"/>
        <c:scaling>
          <c:orientation val="minMax"/>
          <c:max val="100"/>
        </c:scaling>
        <c:delete val="1"/>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6540271"/>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eorgia" panose="02040502050405020303" pitchFamily="18" charset="0"/>
              <a:ea typeface="+mn-ea"/>
              <a:cs typeface="+mn-cs"/>
            </a:defRPr>
          </a:pPr>
          <a:endParaRPr lang="en-150"/>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a:solidFill>
            <a:sysClr val="windowText" lastClr="000000"/>
          </a:solidFill>
          <a:latin typeface="Georgia" panose="02040502050405020303" pitchFamily="18" charset="0"/>
        </a:defRPr>
      </a:pPr>
      <a:endParaRPr lang="en-150"/>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3">
  <a:schemeClr val="accent3"/>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withinLinearReversed" id="23">
  <a:schemeClr val="accent3"/>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E7DE5-57B2-4ED5-BD4E-D223A0997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3814</Words>
  <Characters>21745</Characters>
  <Application>Microsoft Office Word</Application>
  <DocSecurity>0</DocSecurity>
  <Lines>181</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2024-03-13T13:17:00Z</dcterms:created>
  <dcterms:modified xsi:type="dcterms:W3CDTF">2024-03-20T09:14:00Z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0d9bad3-6dac-4e9a-89a3-89f3b8d247b2_Enabled">
    <vt:lpwstr>true</vt:lpwstr>
  </property>
  <property fmtid="{D5CDD505-2E9C-101B-9397-08002B2CF9AE}" pid="3" name="MSIP_Label_10d9bad3-6dac-4e9a-89a3-89f3b8d247b2_SetDate">
    <vt:lpwstr>2022-05-09T07:15:23Z</vt:lpwstr>
  </property>
  <property fmtid="{D5CDD505-2E9C-101B-9397-08002B2CF9AE}" pid="4" name="MSIP_Label_10d9bad3-6dac-4e9a-89a3-89f3b8d247b2_Method">
    <vt:lpwstr>Privileged</vt:lpwstr>
  </property>
  <property fmtid="{D5CDD505-2E9C-101B-9397-08002B2CF9AE}" pid="5" name="MSIP_Label_10d9bad3-6dac-4e9a-89a3-89f3b8d247b2_Name">
    <vt:lpwstr>10d9bad3-6dac-4e9a-89a3-89f3b8d247b2</vt:lpwstr>
  </property>
  <property fmtid="{D5CDD505-2E9C-101B-9397-08002B2CF9AE}" pid="6" name="MSIP_Label_10d9bad3-6dac-4e9a-89a3-89f3b8d247b2_SiteId">
    <vt:lpwstr>5d1a9f9d-201f-4a10-b983-451cf65cbc1e</vt:lpwstr>
  </property>
  <property fmtid="{D5CDD505-2E9C-101B-9397-08002B2CF9AE}" pid="7" name="MSIP_Label_10d9bad3-6dac-4e9a-89a3-89f3b8d247b2_ActionId">
    <vt:lpwstr>5d0b9b39-f86d-4ae2-86d8-541046262b16</vt:lpwstr>
  </property>
  <property fmtid="{D5CDD505-2E9C-101B-9397-08002B2CF9AE}" pid="8" name="MSIP_Label_10d9bad3-6dac-4e9a-89a3-89f3b8d247b2_ContentBits">
    <vt:lpwstr>0</vt:lpwstr>
  </property>
</Properties>
</file>