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8DA63" w14:textId="2B2EE73D" w:rsidR="00AD6D2D" w:rsidRDefault="00E40F9E" w:rsidP="00542798">
      <w:pPr>
        <w:jc w:val="center"/>
        <w:rPr>
          <w:sz w:val="36"/>
          <w:szCs w:val="36"/>
        </w:rPr>
      </w:pPr>
      <w:r w:rsidRPr="00E40F9E">
        <w:rPr>
          <w:sz w:val="36"/>
          <w:szCs w:val="36"/>
        </w:rPr>
        <w:t xml:space="preserve">The </w:t>
      </w:r>
      <w:r w:rsidR="009C1C69">
        <w:rPr>
          <w:sz w:val="36"/>
          <w:szCs w:val="36"/>
        </w:rPr>
        <w:t>H</w:t>
      </w:r>
      <w:r w:rsidR="009C1C69" w:rsidRPr="009C1C69">
        <w:rPr>
          <w:sz w:val="36"/>
          <w:szCs w:val="36"/>
        </w:rPr>
        <w:t>eterogeneity</w:t>
      </w:r>
      <w:r w:rsidR="008C025A">
        <w:rPr>
          <w:sz w:val="36"/>
          <w:szCs w:val="36"/>
        </w:rPr>
        <w:t xml:space="preserve"> </w:t>
      </w:r>
      <w:r w:rsidRPr="00E40F9E">
        <w:rPr>
          <w:sz w:val="36"/>
          <w:szCs w:val="36"/>
        </w:rPr>
        <w:t xml:space="preserve">of Non-academic Staff </w:t>
      </w:r>
      <w:r w:rsidR="008C025A">
        <w:rPr>
          <w:sz w:val="36"/>
          <w:szCs w:val="36"/>
        </w:rPr>
        <w:t>and its Relation</w:t>
      </w:r>
      <w:r w:rsidR="00F43093">
        <w:rPr>
          <w:sz w:val="36"/>
          <w:szCs w:val="36"/>
        </w:rPr>
        <w:t>ships</w:t>
      </w:r>
      <w:r w:rsidR="008C025A">
        <w:rPr>
          <w:sz w:val="36"/>
          <w:szCs w:val="36"/>
        </w:rPr>
        <w:t xml:space="preserve"> with</w:t>
      </w:r>
      <w:r w:rsidRPr="00E40F9E">
        <w:rPr>
          <w:sz w:val="36"/>
          <w:szCs w:val="36"/>
        </w:rPr>
        <w:t xml:space="preserve"> the Performance of European and US Universities</w:t>
      </w:r>
    </w:p>
    <w:p w14:paraId="7B4C0CDB" w14:textId="77777777" w:rsidR="00E40F9E" w:rsidRPr="00AD6D2D" w:rsidRDefault="00E40F9E" w:rsidP="00542798">
      <w:pPr>
        <w:jc w:val="center"/>
      </w:pPr>
    </w:p>
    <w:p w14:paraId="49EED032" w14:textId="11A79973" w:rsidR="00AD6D2D" w:rsidRPr="008C025A" w:rsidRDefault="00E40F9E" w:rsidP="00542798">
      <w:pPr>
        <w:jc w:val="center"/>
        <w:rPr>
          <w:lang w:val="it-IT"/>
        </w:rPr>
      </w:pPr>
      <w:r w:rsidRPr="008C025A">
        <w:rPr>
          <w:lang w:val="it-IT"/>
        </w:rPr>
        <w:t xml:space="preserve">Alessandro Avenali </w:t>
      </w:r>
      <w:r w:rsidR="00AD6D2D" w:rsidRPr="008C025A">
        <w:rPr>
          <w:vertAlign w:val="superscript"/>
          <w:lang w:val="it-IT"/>
        </w:rPr>
        <w:t>*</w:t>
      </w:r>
      <w:r w:rsidR="00AD6D2D" w:rsidRPr="008C025A">
        <w:rPr>
          <w:lang w:val="it-IT"/>
        </w:rPr>
        <w:t xml:space="preserve">, </w:t>
      </w:r>
      <w:r w:rsidRPr="008C025A">
        <w:rPr>
          <w:lang w:val="it-IT"/>
        </w:rPr>
        <w:t>Cinzia Daraio</w:t>
      </w:r>
      <w:r w:rsidR="00AD6D2D" w:rsidRPr="008C025A">
        <w:rPr>
          <w:vertAlign w:val="superscript"/>
          <w:lang w:val="it-IT"/>
        </w:rPr>
        <w:t>**</w:t>
      </w:r>
      <w:r w:rsidR="00AD6D2D" w:rsidRPr="008C025A">
        <w:rPr>
          <w:lang w:val="it-IT"/>
        </w:rPr>
        <w:t xml:space="preserve"> and </w:t>
      </w:r>
      <w:r w:rsidRPr="008C025A">
        <w:rPr>
          <w:lang w:val="it-IT"/>
        </w:rPr>
        <w:t xml:space="preserve">Joanna Wolszczak-Derlacz </w:t>
      </w:r>
      <w:r w:rsidR="00AD6D2D" w:rsidRPr="008C025A">
        <w:rPr>
          <w:vertAlign w:val="superscript"/>
          <w:lang w:val="it-IT"/>
        </w:rPr>
        <w:t>*</w:t>
      </w:r>
      <w:r w:rsidRPr="008C025A">
        <w:rPr>
          <w:vertAlign w:val="superscript"/>
          <w:lang w:val="it-IT"/>
        </w:rPr>
        <w:t>*</w:t>
      </w:r>
      <w:r w:rsidR="00AD6D2D" w:rsidRPr="008C025A">
        <w:rPr>
          <w:vertAlign w:val="superscript"/>
          <w:lang w:val="it-IT"/>
        </w:rPr>
        <w:t>*</w:t>
      </w:r>
    </w:p>
    <w:p w14:paraId="69B5EBE6" w14:textId="77777777" w:rsidR="00AD6D2D" w:rsidRPr="008C025A" w:rsidRDefault="00AD6D2D" w:rsidP="00542798">
      <w:pPr>
        <w:jc w:val="center"/>
        <w:rPr>
          <w:sz w:val="20"/>
          <w:szCs w:val="20"/>
          <w:lang w:val="it-IT"/>
        </w:rPr>
      </w:pPr>
    </w:p>
    <w:p w14:paraId="591A6C10" w14:textId="474D4322" w:rsidR="00E40F9E" w:rsidRPr="008C025A" w:rsidRDefault="00AD6D2D" w:rsidP="00542798">
      <w:pPr>
        <w:jc w:val="center"/>
        <w:rPr>
          <w:i/>
          <w:iCs/>
          <w:sz w:val="20"/>
          <w:szCs w:val="20"/>
          <w:lang w:val="it-IT"/>
        </w:rPr>
      </w:pPr>
      <w:r w:rsidRPr="008C025A">
        <w:rPr>
          <w:sz w:val="20"/>
          <w:szCs w:val="20"/>
          <w:vertAlign w:val="superscript"/>
          <w:lang w:val="it-IT"/>
        </w:rPr>
        <w:t>*</w:t>
      </w:r>
      <w:r w:rsidR="00E40F9E" w:rsidRPr="008C025A">
        <w:rPr>
          <w:lang w:val="it-IT"/>
        </w:rPr>
        <w:t xml:space="preserve"> </w:t>
      </w:r>
      <w:r w:rsidR="00267EF1" w:rsidRPr="008C025A">
        <w:rPr>
          <w:i/>
          <w:iCs/>
          <w:sz w:val="20"/>
          <w:szCs w:val="20"/>
          <w:lang w:val="it-IT"/>
        </w:rPr>
        <w:t>alessandro.</w:t>
      </w:r>
      <w:r w:rsidR="00181073" w:rsidRPr="008C025A">
        <w:rPr>
          <w:lang w:val="it-IT"/>
        </w:rPr>
        <w:t>avenali@uniroma1.it</w:t>
      </w:r>
    </w:p>
    <w:p w14:paraId="25FCF4FA" w14:textId="499F44DA" w:rsidR="00AD6D2D" w:rsidRPr="008C025A" w:rsidRDefault="00AD6D2D" w:rsidP="00542798">
      <w:pPr>
        <w:jc w:val="center"/>
        <w:rPr>
          <w:sz w:val="20"/>
          <w:szCs w:val="20"/>
          <w:lang w:val="it-IT"/>
        </w:rPr>
      </w:pPr>
      <w:r w:rsidRPr="008C025A">
        <w:rPr>
          <w:sz w:val="20"/>
          <w:szCs w:val="20"/>
          <w:lang w:val="it-IT"/>
        </w:rPr>
        <w:t>ORCID</w:t>
      </w:r>
      <w:r w:rsidR="00267EF1" w:rsidRPr="003B6B55">
        <w:rPr>
          <w:sz w:val="20"/>
          <w:szCs w:val="20"/>
          <w:lang w:val="it-IT"/>
        </w:rPr>
        <w:t>: 0000-0001-7662-1928</w:t>
      </w:r>
    </w:p>
    <w:p w14:paraId="0F7AF4B5" w14:textId="4CE56B97" w:rsidR="00AD6D2D" w:rsidRPr="008C025A" w:rsidRDefault="00267EF1" w:rsidP="00542798">
      <w:pPr>
        <w:jc w:val="center"/>
        <w:rPr>
          <w:sz w:val="20"/>
          <w:szCs w:val="20"/>
          <w:lang w:val="en-US"/>
        </w:rPr>
      </w:pPr>
      <w:r w:rsidRPr="008C025A">
        <w:rPr>
          <w:sz w:val="20"/>
          <w:szCs w:val="20"/>
          <w:lang w:val="en-US"/>
        </w:rPr>
        <w:t>Department of Computer, Control, and Management Engineering Antonio Ruberti</w:t>
      </w:r>
      <w:r w:rsidR="00DE66DD" w:rsidRPr="008C025A">
        <w:rPr>
          <w:sz w:val="20"/>
          <w:szCs w:val="20"/>
          <w:lang w:val="en-US"/>
        </w:rPr>
        <w:t xml:space="preserve"> (DIAG), Sapienza University of Rome, Italy</w:t>
      </w:r>
    </w:p>
    <w:p w14:paraId="60223770" w14:textId="77777777" w:rsidR="00DE66DD" w:rsidRPr="008C025A" w:rsidRDefault="00DE66DD" w:rsidP="00542798">
      <w:pPr>
        <w:jc w:val="center"/>
        <w:rPr>
          <w:sz w:val="20"/>
          <w:szCs w:val="20"/>
          <w:lang w:val="en-US"/>
        </w:rPr>
      </w:pPr>
    </w:p>
    <w:p w14:paraId="274A31B2" w14:textId="6BD18683" w:rsidR="00E40F9E" w:rsidRPr="008C025A" w:rsidRDefault="00AD6D2D" w:rsidP="00542798">
      <w:pPr>
        <w:jc w:val="center"/>
        <w:rPr>
          <w:i/>
          <w:iCs/>
          <w:sz w:val="20"/>
          <w:szCs w:val="20"/>
          <w:lang w:val="en-US"/>
        </w:rPr>
      </w:pPr>
      <w:r w:rsidRPr="008C025A">
        <w:rPr>
          <w:sz w:val="20"/>
          <w:szCs w:val="20"/>
          <w:vertAlign w:val="superscript"/>
          <w:lang w:val="en-US"/>
        </w:rPr>
        <w:t>**</w:t>
      </w:r>
      <w:r w:rsidRPr="008C025A">
        <w:rPr>
          <w:i/>
          <w:iCs/>
          <w:sz w:val="20"/>
          <w:szCs w:val="20"/>
          <w:lang w:val="en-US"/>
        </w:rPr>
        <w:t xml:space="preserve"> </w:t>
      </w:r>
      <w:r w:rsidR="00DE66DD" w:rsidRPr="008C025A">
        <w:rPr>
          <w:i/>
          <w:iCs/>
          <w:sz w:val="20"/>
          <w:szCs w:val="20"/>
          <w:lang w:val="en-US"/>
        </w:rPr>
        <w:t>daraio@diag.uniroma1.it</w:t>
      </w:r>
      <w:r w:rsidRPr="008C025A">
        <w:rPr>
          <w:i/>
          <w:iCs/>
          <w:sz w:val="20"/>
          <w:szCs w:val="20"/>
          <w:lang w:val="en-US"/>
        </w:rPr>
        <w:t>;</w:t>
      </w:r>
    </w:p>
    <w:p w14:paraId="2133C420" w14:textId="661C6784" w:rsidR="00E40F9E" w:rsidRPr="008C025A" w:rsidRDefault="00E40F9E" w:rsidP="00E40F9E">
      <w:pPr>
        <w:jc w:val="center"/>
        <w:rPr>
          <w:sz w:val="20"/>
          <w:szCs w:val="20"/>
          <w:lang w:val="en-US"/>
        </w:rPr>
      </w:pPr>
      <w:r w:rsidRPr="008C025A">
        <w:rPr>
          <w:sz w:val="20"/>
          <w:szCs w:val="20"/>
          <w:lang w:val="en-US"/>
        </w:rPr>
        <w:t>ORCID:</w:t>
      </w:r>
      <w:r w:rsidRPr="008C025A">
        <w:rPr>
          <w:lang w:val="en-US"/>
        </w:rPr>
        <w:t xml:space="preserve"> </w:t>
      </w:r>
      <w:r w:rsidRPr="008C025A">
        <w:rPr>
          <w:sz w:val="20"/>
          <w:szCs w:val="20"/>
          <w:lang w:val="en-US"/>
        </w:rPr>
        <w:t>0000-0002-4825-0071</w:t>
      </w:r>
    </w:p>
    <w:p w14:paraId="3501586D" w14:textId="185D544D" w:rsidR="00E40F9E" w:rsidRPr="008C025A" w:rsidRDefault="00267EF1" w:rsidP="00542798">
      <w:pPr>
        <w:jc w:val="center"/>
        <w:rPr>
          <w:sz w:val="20"/>
          <w:szCs w:val="20"/>
          <w:lang w:val="en-US"/>
        </w:rPr>
      </w:pPr>
      <w:r w:rsidRPr="008C025A">
        <w:rPr>
          <w:sz w:val="20"/>
          <w:szCs w:val="20"/>
          <w:lang w:val="en-US"/>
        </w:rPr>
        <w:t>Department of Computer, Control, and Management Engineering Antonio Ruberti</w:t>
      </w:r>
      <w:r w:rsidRPr="008C025A" w:rsidDel="00267EF1">
        <w:rPr>
          <w:sz w:val="20"/>
          <w:szCs w:val="20"/>
          <w:lang w:val="en-US"/>
        </w:rPr>
        <w:t xml:space="preserve"> </w:t>
      </w:r>
      <w:r w:rsidR="00DE66DD" w:rsidRPr="008C025A">
        <w:rPr>
          <w:sz w:val="20"/>
          <w:szCs w:val="20"/>
          <w:lang w:val="en-US"/>
        </w:rPr>
        <w:t>(DIAG), Sapienza University of Rome, Italy</w:t>
      </w:r>
    </w:p>
    <w:p w14:paraId="0DEB5F38" w14:textId="77777777" w:rsidR="00DE66DD" w:rsidRPr="008C025A" w:rsidRDefault="00DE66DD" w:rsidP="00542798">
      <w:pPr>
        <w:jc w:val="center"/>
        <w:rPr>
          <w:i/>
          <w:iCs/>
          <w:sz w:val="20"/>
          <w:szCs w:val="20"/>
          <w:lang w:val="en-US"/>
        </w:rPr>
      </w:pPr>
    </w:p>
    <w:p w14:paraId="7B0A8982" w14:textId="53C889D9" w:rsidR="00AD6D2D" w:rsidRPr="008C025A" w:rsidRDefault="00AD6D2D" w:rsidP="00542798">
      <w:pPr>
        <w:jc w:val="center"/>
        <w:rPr>
          <w:sz w:val="20"/>
          <w:szCs w:val="20"/>
          <w:lang w:val="en-US"/>
        </w:rPr>
      </w:pPr>
      <w:r w:rsidRPr="008C025A">
        <w:rPr>
          <w:i/>
          <w:iCs/>
          <w:sz w:val="20"/>
          <w:szCs w:val="20"/>
          <w:lang w:val="en-US"/>
        </w:rPr>
        <w:t xml:space="preserve"> </w:t>
      </w:r>
      <w:r w:rsidR="00E40F9E" w:rsidRPr="008C025A">
        <w:rPr>
          <w:sz w:val="20"/>
          <w:szCs w:val="20"/>
          <w:vertAlign w:val="superscript"/>
          <w:lang w:val="en-US"/>
        </w:rPr>
        <w:t>***</w:t>
      </w:r>
      <w:r w:rsidR="00E40F9E" w:rsidRPr="008C025A">
        <w:rPr>
          <w:i/>
          <w:iCs/>
          <w:sz w:val="20"/>
          <w:szCs w:val="20"/>
          <w:lang w:val="en-US"/>
        </w:rPr>
        <w:t xml:space="preserve"> </w:t>
      </w:r>
      <w:r w:rsidR="00DE66DD" w:rsidRPr="008C025A">
        <w:rPr>
          <w:i/>
          <w:iCs/>
          <w:sz w:val="20"/>
          <w:szCs w:val="20"/>
          <w:lang w:val="en-US"/>
        </w:rPr>
        <w:t>jwo@zie.pg.gda.pl</w:t>
      </w:r>
    </w:p>
    <w:p w14:paraId="5E4A448C" w14:textId="03D92B28" w:rsidR="00AD6D2D" w:rsidRPr="008C025A" w:rsidRDefault="00AD6D2D" w:rsidP="00542798">
      <w:pPr>
        <w:jc w:val="center"/>
        <w:rPr>
          <w:sz w:val="20"/>
          <w:szCs w:val="20"/>
          <w:lang w:val="en-US"/>
        </w:rPr>
      </w:pPr>
      <w:r w:rsidRPr="008C025A">
        <w:rPr>
          <w:sz w:val="20"/>
          <w:szCs w:val="20"/>
          <w:lang w:val="en-US"/>
        </w:rPr>
        <w:t>ORCID</w:t>
      </w:r>
      <w:r w:rsidR="00DE66DD" w:rsidRPr="008C025A">
        <w:rPr>
          <w:lang w:val="en-US"/>
        </w:rPr>
        <w:t xml:space="preserve"> </w:t>
      </w:r>
      <w:r w:rsidR="00DE66DD" w:rsidRPr="008C025A">
        <w:rPr>
          <w:sz w:val="20"/>
          <w:szCs w:val="20"/>
          <w:lang w:val="en-US"/>
        </w:rPr>
        <w:t>0000-0002-3392-5267</w:t>
      </w:r>
    </w:p>
    <w:p w14:paraId="6234A6AB" w14:textId="3B49E81A" w:rsidR="00AD6D2D" w:rsidRDefault="00DE66DD" w:rsidP="00542798">
      <w:pPr>
        <w:jc w:val="center"/>
        <w:rPr>
          <w:sz w:val="20"/>
          <w:szCs w:val="20"/>
        </w:rPr>
      </w:pPr>
      <w:r>
        <w:rPr>
          <w:sz w:val="20"/>
          <w:szCs w:val="20"/>
        </w:rPr>
        <w:t xml:space="preserve">Faculty of Management and Economics, </w:t>
      </w:r>
      <w:r w:rsidR="00772D67">
        <w:rPr>
          <w:sz w:val="20"/>
          <w:szCs w:val="20"/>
        </w:rPr>
        <w:t xml:space="preserve">Gdańk University of Technology, </w:t>
      </w:r>
      <w:r>
        <w:rPr>
          <w:sz w:val="20"/>
          <w:szCs w:val="20"/>
        </w:rPr>
        <w:t>Poland</w:t>
      </w:r>
    </w:p>
    <w:p w14:paraId="17EF037C" w14:textId="77777777" w:rsidR="00FA3CF4" w:rsidRDefault="00FA3CF4" w:rsidP="00542798">
      <w:pPr>
        <w:jc w:val="center"/>
        <w:rPr>
          <w:sz w:val="20"/>
          <w:szCs w:val="20"/>
        </w:rPr>
      </w:pPr>
    </w:p>
    <w:p w14:paraId="47655961" w14:textId="1622B3F6" w:rsidR="00FA3CF4" w:rsidRPr="00FA3CF4" w:rsidRDefault="00FA3CF4" w:rsidP="00542798">
      <w:pPr>
        <w:jc w:val="center"/>
        <w:rPr>
          <w:b/>
          <w:sz w:val="20"/>
          <w:szCs w:val="20"/>
        </w:rPr>
      </w:pPr>
      <w:r w:rsidRPr="00FA3CF4">
        <w:rPr>
          <w:b/>
          <w:sz w:val="20"/>
          <w:szCs w:val="20"/>
        </w:rPr>
        <w:t xml:space="preserve">Abstract </w:t>
      </w:r>
    </w:p>
    <w:p w14:paraId="18EAD8F9" w14:textId="77777777" w:rsidR="008168F4" w:rsidRPr="00D96243" w:rsidRDefault="008168F4" w:rsidP="00542798">
      <w:pPr>
        <w:jc w:val="center"/>
      </w:pPr>
    </w:p>
    <w:p w14:paraId="04927CB0" w14:textId="3FF61CA2" w:rsidR="008168F4" w:rsidRDefault="008168F4" w:rsidP="00542798">
      <w:pPr>
        <w:jc w:val="center"/>
      </w:pPr>
    </w:p>
    <w:p w14:paraId="26F746EB" w14:textId="77777777" w:rsidR="00CB15AC" w:rsidRPr="00D96243" w:rsidRDefault="00CB15AC" w:rsidP="00CB15AC">
      <w:pPr>
        <w:jc w:val="both"/>
      </w:pPr>
    </w:p>
    <w:p w14:paraId="053DFB94" w14:textId="0EEABA92" w:rsidR="00267EF1" w:rsidRDefault="00572BDF" w:rsidP="00572BDF">
      <w:pPr>
        <w:jc w:val="both"/>
        <w:rPr>
          <w:lang w:val="en-US"/>
        </w:rPr>
      </w:pPr>
      <w:r>
        <w:rPr>
          <w:lang w:val="en-US"/>
        </w:rPr>
        <w:t>T</w:t>
      </w:r>
      <w:r w:rsidRPr="002E76BA">
        <w:rPr>
          <w:lang w:val="en-US"/>
        </w:rPr>
        <w:t xml:space="preserve">he new public management paradigm, </w:t>
      </w:r>
      <w:r>
        <w:rPr>
          <w:lang w:val="en-US"/>
        </w:rPr>
        <w:t>the</w:t>
      </w:r>
      <w:r w:rsidRPr="002E76BA">
        <w:rPr>
          <w:lang w:val="en-US"/>
        </w:rPr>
        <w:t xml:space="preserve"> raise of the number of students and a stronger international competition in attracting external funds for large research projects</w:t>
      </w:r>
      <w:r>
        <w:rPr>
          <w:lang w:val="en-US"/>
        </w:rPr>
        <w:t xml:space="preserve"> have lead universities to increase the number and role of non-academic</w:t>
      </w:r>
      <w:r w:rsidR="008C025A">
        <w:rPr>
          <w:lang w:val="en-US"/>
        </w:rPr>
        <w:t>s</w:t>
      </w:r>
      <w:r>
        <w:rPr>
          <w:lang w:val="en-US"/>
        </w:rPr>
        <w:t xml:space="preserve">. </w:t>
      </w:r>
      <w:r w:rsidRPr="00572BDF">
        <w:rPr>
          <w:lang w:val="en-US"/>
        </w:rPr>
        <w:t xml:space="preserve">Non-academic staff may be beneficial to university performance if it supports the main activities carried out by the academic staff. On the other </w:t>
      </w:r>
      <w:r w:rsidR="008C025A">
        <w:rPr>
          <w:lang w:val="en-US"/>
        </w:rPr>
        <w:t>ha</w:t>
      </w:r>
      <w:r w:rsidRPr="00572BDF">
        <w:rPr>
          <w:lang w:val="en-US"/>
        </w:rPr>
        <w:t xml:space="preserve">nd, it may be detrimental for university performance if it translates in an increase of administrative burden. We shed new lights analyzing European </w:t>
      </w:r>
      <w:r>
        <w:rPr>
          <w:lang w:val="en-US"/>
        </w:rPr>
        <w:t xml:space="preserve">and US </w:t>
      </w:r>
      <w:r w:rsidRPr="00572BDF">
        <w:rPr>
          <w:lang w:val="en-US"/>
        </w:rPr>
        <w:t>universities. We consider the</w:t>
      </w:r>
      <w:r w:rsidR="009C1C69">
        <w:rPr>
          <w:lang w:val="en-US"/>
        </w:rPr>
        <w:t xml:space="preserve"> </w:t>
      </w:r>
      <w:r w:rsidR="009C1C69" w:rsidRPr="009C1C69">
        <w:rPr>
          <w:lang w:val="en-US"/>
        </w:rPr>
        <w:t>heterogeneity</w:t>
      </w:r>
      <w:r w:rsidRPr="00572BDF">
        <w:rPr>
          <w:lang w:val="en-US"/>
        </w:rPr>
        <w:t xml:space="preserve"> of non-academic staff as an “unobserved” factor and estimate it non</w:t>
      </w:r>
      <w:r>
        <w:rPr>
          <w:lang w:val="en-US"/>
        </w:rPr>
        <w:t>-</w:t>
      </w:r>
      <w:r w:rsidRPr="00572BDF">
        <w:rPr>
          <w:lang w:val="en-US"/>
        </w:rPr>
        <w:t>parametrically</w:t>
      </w:r>
      <w:r>
        <w:rPr>
          <w:lang w:val="en-US"/>
        </w:rPr>
        <w:t xml:space="preserve">. We find indeed some differences of unobserved heterogeneity between Europe and the US. In </w:t>
      </w:r>
      <w:r w:rsidR="007B4D9D">
        <w:rPr>
          <w:lang w:val="en-US"/>
        </w:rPr>
        <w:t xml:space="preserve">the </w:t>
      </w:r>
      <w:r>
        <w:rPr>
          <w:lang w:val="en-US"/>
        </w:rPr>
        <w:t xml:space="preserve">case of US </w:t>
      </w:r>
      <w:r w:rsidR="007B4D9D">
        <w:rPr>
          <w:lang w:val="en-US"/>
        </w:rPr>
        <w:t xml:space="preserve">universities, </w:t>
      </w:r>
      <w:r>
        <w:rPr>
          <w:lang w:val="en-US"/>
        </w:rPr>
        <w:t>the latent variable is positively correlated with publication activity and core funding</w:t>
      </w:r>
      <w:r w:rsidR="00F43093">
        <w:rPr>
          <w:lang w:val="en-US"/>
        </w:rPr>
        <w:t>,</w:t>
      </w:r>
      <w:r>
        <w:rPr>
          <w:lang w:val="en-US"/>
        </w:rPr>
        <w:t xml:space="preserve"> while</w:t>
      </w:r>
      <w:r w:rsidR="00F43093">
        <w:rPr>
          <w:lang w:val="en-US"/>
        </w:rPr>
        <w:t>,</w:t>
      </w:r>
      <w:r>
        <w:rPr>
          <w:lang w:val="en-US"/>
        </w:rPr>
        <w:t xml:space="preserve"> </w:t>
      </w:r>
      <w:r w:rsidR="00267EF1">
        <w:rPr>
          <w:lang w:val="en-US"/>
        </w:rPr>
        <w:t xml:space="preserve">for </w:t>
      </w:r>
      <w:r>
        <w:rPr>
          <w:lang w:val="en-US"/>
        </w:rPr>
        <w:t>Europe</w:t>
      </w:r>
      <w:r w:rsidR="00F43093">
        <w:rPr>
          <w:lang w:val="en-US"/>
        </w:rPr>
        <w:t>,</w:t>
      </w:r>
      <w:r>
        <w:rPr>
          <w:lang w:val="en-US"/>
        </w:rPr>
        <w:t xml:space="preserve"> the relationships are inverse</w:t>
      </w:r>
      <w:r w:rsidR="009C1C69">
        <w:rPr>
          <w:lang w:val="en-US"/>
        </w:rPr>
        <w:t>.</w:t>
      </w:r>
    </w:p>
    <w:p w14:paraId="426B587F" w14:textId="77777777" w:rsidR="00F43093" w:rsidRDefault="00F43093" w:rsidP="00572BDF">
      <w:pPr>
        <w:jc w:val="both"/>
        <w:rPr>
          <w:lang w:val="en-US"/>
        </w:rPr>
      </w:pPr>
    </w:p>
    <w:p w14:paraId="1B785020" w14:textId="6FC5759D" w:rsidR="00FA3CF4" w:rsidRDefault="00FA3CF4" w:rsidP="00572BDF">
      <w:pPr>
        <w:jc w:val="both"/>
        <w:rPr>
          <w:b/>
          <w:bCs/>
        </w:rPr>
      </w:pPr>
      <w:r>
        <w:br w:type="page"/>
      </w:r>
    </w:p>
    <w:p w14:paraId="02C61035" w14:textId="218C3920" w:rsidR="008168F4" w:rsidRPr="00D96243" w:rsidRDefault="000C25AF">
      <w:pPr>
        <w:pStyle w:val="Titolo2"/>
        <w:jc w:val="both"/>
      </w:pPr>
      <w:r w:rsidRPr="00D96243">
        <w:lastRenderedPageBreak/>
        <w:t xml:space="preserve">1. </w:t>
      </w:r>
      <w:r w:rsidR="008168F4" w:rsidRPr="00D96243">
        <w:t>Introduction</w:t>
      </w:r>
    </w:p>
    <w:p w14:paraId="03687170" w14:textId="7866F9DB" w:rsidR="008168F4" w:rsidRDefault="00FA3CF4" w:rsidP="00FA3CF4">
      <w:pPr>
        <w:ind w:firstLine="1304"/>
        <w:jc w:val="both"/>
        <w:rPr>
          <w:iCs/>
        </w:rPr>
      </w:pPr>
      <w:r w:rsidRPr="00FA3CF4">
        <w:rPr>
          <w:iCs/>
        </w:rPr>
        <w:t>In the last two decades, the new public management paradigm, the raise of the number of students and a stronger international competition in attracting external funds for large research projects have lead European universities to a corporatization process, namely, changing their organization and governance with the aim of operating more like private organizations and thus enhancing their productivity and efficiency (Szekeres 2006, De Boer et al. 2007; Deem et al. 2007, Bleike et al. 2011). To deal with this organizational evolution and to support the efforts of the academic staff to effectively face these new and complex challenges, the number of non-academic (both administrative and technical) personnel have raised as well as their roles have become more crucial, even in the strategic planning process (Mcinnis 1998, Gornitza and Larsen 2004, Graham 2013, Veles and Carter 2016, Baltaru 2019). Therefore, non-academic staff often results to be a big part of the total staff of the university (in many cases, even larger than the academic staff) and it is located in every organizational structure of the organization (e.g. departments, faculties, central offices).</w:t>
      </w:r>
    </w:p>
    <w:p w14:paraId="43C37CAD" w14:textId="6100D48A" w:rsidR="00FA3CF4" w:rsidRDefault="00FA3CF4" w:rsidP="00FA3CF4">
      <w:pPr>
        <w:ind w:firstLine="1304"/>
        <w:jc w:val="both"/>
      </w:pPr>
      <w:r>
        <w:t xml:space="preserve">Non-academic staff is usually characterized by a multitude of very different professional roles. For instance, general staff may include technical personnel, maintenance staff, office workers and high professional administrative personnel. However, while the role of academic staff for university performance is clear (professors teach, do research and possibly other knowledge transfer activities), the contribution of non-academic staff is more vague. Non-academic staff may be beneficial to university performance if it supports the main activities carried out by the academic staff. On the other hand, it may be detrimental for university performance if it translates in an increase of administrative burden to academics that subtracts time to teaching and research. Avenali et al. (2022) in a recent study on the determinants of the non-academic staff incidence in higher education institutions </w:t>
      </w:r>
      <w:r w:rsidR="008C025A">
        <w:t>analyse</w:t>
      </w:r>
      <w:r>
        <w:t xml:space="preserve"> how the proportion of non-academic staff is related to key features such as size, prestige, year of foundation, and financial structure of universities. They find that both in Europe and in the US, public and larger (if sufficiently large) as well as more research-oriented HEIs are characterized by a higher proportion of non-academic staff. In Europe, they observe an inverted U-shaped effect of the share of non-personnel expenditure and the foundation year on the proportion of non-academic staff, while the proportion of non-academic staff decreases with the share of core and third-party funding. For the US, they obtain similar findings except that the share of core funding and third-party funding is characterized by a U-shaped effect, and the impact of the share of non-personnel expenditure has no empirical effect on the proportion of non-academic staff. Additionally, they conclude that some factors that contribute to the proportion of non-academic staff may constitute indicators of performance, suggesting the need for further research.</w:t>
      </w:r>
    </w:p>
    <w:p w14:paraId="493F71F9" w14:textId="7134415F" w:rsidR="00FA3CF4" w:rsidRDefault="00FA3CF4" w:rsidP="00FA3CF4">
      <w:pPr>
        <w:ind w:firstLine="1304"/>
        <w:jc w:val="both"/>
      </w:pPr>
      <w:r>
        <w:t xml:space="preserve">We shed new lights on this relevant topic </w:t>
      </w:r>
      <w:r w:rsidR="00F43093">
        <w:t>analysing</w:t>
      </w:r>
      <w:r>
        <w:t xml:space="preserve"> the impact of the </w:t>
      </w:r>
      <w:r w:rsidR="009C1C69" w:rsidRPr="009C1C69">
        <w:rPr>
          <w:lang w:val="en-US"/>
        </w:rPr>
        <w:t>heterogeneity</w:t>
      </w:r>
      <w:r w:rsidR="009C1C69" w:rsidRPr="00572BDF">
        <w:rPr>
          <w:lang w:val="en-US"/>
        </w:rPr>
        <w:t xml:space="preserve"> </w:t>
      </w:r>
      <w:r>
        <w:t xml:space="preserve">of non-academic staff on the performance of universities. We estimate the unobserved </w:t>
      </w:r>
      <w:r w:rsidR="009C1C69" w:rsidRPr="009C1C69">
        <w:rPr>
          <w:lang w:val="en-US"/>
        </w:rPr>
        <w:t>heterogeneity</w:t>
      </w:r>
      <w:r w:rsidR="009C1C69" w:rsidRPr="00572BDF">
        <w:rPr>
          <w:lang w:val="en-US"/>
        </w:rPr>
        <w:t xml:space="preserve"> </w:t>
      </w:r>
      <w:r>
        <w:t>of the non-academic staff in European and US universities, and compare their performance in an indirect comparative way.</w:t>
      </w:r>
    </w:p>
    <w:p w14:paraId="492E4E74" w14:textId="1C489021" w:rsidR="00FA3CF4" w:rsidRPr="00EF2082" w:rsidRDefault="00FA3CF4" w:rsidP="00EA6590">
      <w:pPr>
        <w:ind w:firstLine="1304"/>
        <w:jc w:val="both"/>
      </w:pPr>
      <w:r>
        <w:t>The contributi</w:t>
      </w:r>
      <w:r w:rsidR="00EA6590">
        <w:t xml:space="preserve">on of our analysis is manifold. </w:t>
      </w:r>
      <w:r>
        <w:t xml:space="preserve">First, we assess the effect of the </w:t>
      </w:r>
      <w:r w:rsidR="00F43093">
        <w:t xml:space="preserve">incidence of </w:t>
      </w:r>
      <w:r>
        <w:t>non-academic staff on university</w:t>
      </w:r>
      <w:r w:rsidR="00F43093">
        <w:t>’s</w:t>
      </w:r>
      <w:r>
        <w:t xml:space="preserve"> performance. Generally, universities produce teaching, research a</w:t>
      </w:r>
      <w:r w:rsidR="00F43093">
        <w:t>nd the so-called “third mission</w:t>
      </w:r>
      <w:r>
        <w:t xml:space="preserve">” outputs by using their resources, including capital investment and infrastructures, academic staff and non-academic staff, being localized in a city/region/country with a specific level of economic and cultural development. However, in the complex production process of </w:t>
      </w:r>
      <w:r w:rsidR="0087482E" w:rsidRPr="0087482E">
        <w:t xml:space="preserve">contemporary </w:t>
      </w:r>
      <w:r>
        <w:t>universities, it is difficult to disentangle the contribution of each input of production on the outputs produced. To carry out the analysis we apply a one stage non-parametric regression-type procedure which allows us to make inference on the impact of the non-academic staff on the conditional efﬁciency scores (Badin et al. 2012). By means of a nonparametric efficiency analysis (assessing the performance considering the inputs used to produce the maximum feasible outputs, given the external factor), we find a U-</w:t>
      </w:r>
      <w:r>
        <w:lastRenderedPageBreak/>
        <w:t>shaped impact of the percentage of non-academic staff on the best practices.</w:t>
      </w:r>
      <w:r w:rsidR="00EA6590">
        <w:t xml:space="preserve"> </w:t>
      </w:r>
      <w:r>
        <w:t xml:space="preserve">Then, we consider the </w:t>
      </w:r>
      <w:r w:rsidR="009C1C69" w:rsidRPr="009C1C69">
        <w:rPr>
          <w:lang w:val="en-US"/>
        </w:rPr>
        <w:t>heterogeneity</w:t>
      </w:r>
      <w:r w:rsidR="009C1C69" w:rsidRPr="00572BDF">
        <w:rPr>
          <w:lang w:val="en-US"/>
        </w:rPr>
        <w:t xml:space="preserve"> </w:t>
      </w:r>
      <w:r>
        <w:t>of non-academic staff as an “unobserved” factor and we estimate it non</w:t>
      </w:r>
      <w:r w:rsidR="009E586C">
        <w:t>-</w:t>
      </w:r>
      <w:r>
        <w:t xml:space="preserve">parametrically. Indeed, moving from standard production activities towards </w:t>
      </w:r>
      <w:r w:rsidR="008030C6" w:rsidRPr="008030C6">
        <w:t>complex production process</w:t>
      </w:r>
      <w:r w:rsidR="008030C6">
        <w:t>es induce</w:t>
      </w:r>
      <w:r w:rsidR="0087482E">
        <w:t>d</w:t>
      </w:r>
      <w:r>
        <w:t xml:space="preserve"> </w:t>
      </w:r>
      <w:r w:rsidR="008030C6">
        <w:t xml:space="preserve">a significant raise of the importance of </w:t>
      </w:r>
      <w:r>
        <w:t>the role of human capital</w:t>
      </w:r>
      <w:r w:rsidR="008030C6">
        <w:t xml:space="preserve">. </w:t>
      </w:r>
      <w:r w:rsidR="00F43093">
        <w:t>On the other hand, however,</w:t>
      </w:r>
      <w:r>
        <w:t xml:space="preserve"> </w:t>
      </w:r>
      <w:r w:rsidR="009C1C69">
        <w:t xml:space="preserve">it gets more ambiguous </w:t>
      </w:r>
      <w:r w:rsidR="0087482E">
        <w:t xml:space="preserve">to </w:t>
      </w:r>
      <w:r w:rsidR="009C1C69">
        <w:t>defin</w:t>
      </w:r>
      <w:r w:rsidR="008030C6">
        <w:t xml:space="preserve">e </w:t>
      </w:r>
      <w:r>
        <w:t xml:space="preserve">what </w:t>
      </w:r>
      <w:r w:rsidR="008030C6">
        <w:t xml:space="preserve">the effectiveness of non-academic staff </w:t>
      </w:r>
      <w:r w:rsidR="008030C6" w:rsidRPr="008030C6">
        <w:t>in</w:t>
      </w:r>
      <w:r w:rsidR="008030C6">
        <w:t>side</w:t>
      </w:r>
      <w:r w:rsidR="008030C6" w:rsidRPr="008030C6">
        <w:t xml:space="preserve"> the</w:t>
      </w:r>
      <w:r w:rsidR="008030C6">
        <w:t>se</w:t>
      </w:r>
      <w:r w:rsidR="008030C6" w:rsidRPr="008030C6">
        <w:t xml:space="preserve"> complex </w:t>
      </w:r>
      <w:r w:rsidR="00D70503" w:rsidRPr="008030C6">
        <w:t>universit</w:t>
      </w:r>
      <w:r w:rsidR="00D70503">
        <w:t>y</w:t>
      </w:r>
      <w:r w:rsidR="00D70503" w:rsidRPr="008030C6" w:rsidDel="008030C6">
        <w:t xml:space="preserve"> </w:t>
      </w:r>
      <w:r w:rsidR="008030C6" w:rsidRPr="008030C6">
        <w:t>process</w:t>
      </w:r>
      <w:r w:rsidR="008030C6">
        <w:t>es</w:t>
      </w:r>
      <w:r w:rsidR="008030C6" w:rsidRPr="008030C6">
        <w:t xml:space="preserve"> </w:t>
      </w:r>
      <w:r>
        <w:t xml:space="preserve">is and how it can be quantitatively assessed. When people are involved, it is more difficult to collect all the information related for instance to their efforts, motivation, skills and ability. Human capital and managerial tasks coordination and activities related to people in general are very difficult to measure quantitatively. To estimate the (unobserved) </w:t>
      </w:r>
      <w:r w:rsidR="00D70503" w:rsidRPr="009C1C69">
        <w:rPr>
          <w:lang w:val="en-US"/>
        </w:rPr>
        <w:t>heterogeneity</w:t>
      </w:r>
      <w:r w:rsidR="00D70503" w:rsidRPr="00572BDF">
        <w:rPr>
          <w:lang w:val="en-US"/>
        </w:rPr>
        <w:t xml:space="preserve"> </w:t>
      </w:r>
      <w:r>
        <w:t>of non-academic staff</w:t>
      </w:r>
      <w:r w:rsidR="004013F8">
        <w:t xml:space="preserve"> then,</w:t>
      </w:r>
      <w:r>
        <w:t xml:space="preserve"> we follow the approach proposed by Simar et al. (2016), which allows us to identify a latent factor linked to some input, as extended to the estimation </w:t>
      </w:r>
      <w:r w:rsidR="008823CE">
        <w:t>in efficiency analysis</w:t>
      </w:r>
      <w:r>
        <w:t xml:space="preserve"> in Daraio et al. (2021).</w:t>
      </w:r>
    </w:p>
    <w:p w14:paraId="58D4814C" w14:textId="77777777" w:rsidR="00E03487" w:rsidRDefault="00E03487">
      <w:pPr>
        <w:jc w:val="both"/>
      </w:pPr>
    </w:p>
    <w:p w14:paraId="7974EF73" w14:textId="2708DB70" w:rsidR="008168F4" w:rsidRDefault="000C25AF">
      <w:pPr>
        <w:pStyle w:val="Titolo2"/>
        <w:jc w:val="both"/>
      </w:pPr>
      <w:r>
        <w:t xml:space="preserve">2. </w:t>
      </w:r>
      <w:r w:rsidR="009E586C">
        <w:t>Data</w:t>
      </w:r>
    </w:p>
    <w:p w14:paraId="2AC71EAA" w14:textId="2618AF0A" w:rsidR="009E586C" w:rsidRPr="009E586C" w:rsidRDefault="009E586C" w:rsidP="009E586C">
      <w:pPr>
        <w:ind w:firstLine="1304"/>
        <w:jc w:val="both"/>
        <w:rPr>
          <w:iCs/>
          <w:color w:val="000000"/>
        </w:rPr>
      </w:pPr>
      <w:r w:rsidRPr="009E586C">
        <w:rPr>
          <w:iCs/>
          <w:color w:val="000000"/>
        </w:rPr>
        <w:t xml:space="preserve">The main source of the data </w:t>
      </w:r>
      <w:r w:rsidR="00EA333B">
        <w:rPr>
          <w:iCs/>
          <w:color w:val="000000"/>
        </w:rPr>
        <w:t xml:space="preserve">for Europe </w:t>
      </w:r>
      <w:r w:rsidRPr="009E586C">
        <w:rPr>
          <w:iCs/>
          <w:color w:val="000000"/>
        </w:rPr>
        <w:t xml:space="preserve">is </w:t>
      </w:r>
      <w:r w:rsidR="00EA333B">
        <w:rPr>
          <w:iCs/>
          <w:color w:val="000000"/>
        </w:rPr>
        <w:t xml:space="preserve">the </w:t>
      </w:r>
      <w:r w:rsidRPr="009E586C">
        <w:rPr>
          <w:iCs/>
          <w:color w:val="000000"/>
        </w:rPr>
        <w:t xml:space="preserve">European Tertiary Education Register (ETER, www.eter-project.com) which gives an open access to a cross-country database at the level of individual HEIs containing information of their characteristics, such as financial resources, staff, </w:t>
      </w:r>
      <w:r w:rsidR="00EA333B" w:rsidRPr="009E586C">
        <w:rPr>
          <w:iCs/>
          <w:color w:val="000000"/>
        </w:rPr>
        <w:t>st</w:t>
      </w:r>
      <w:r w:rsidR="00EA333B">
        <w:rPr>
          <w:iCs/>
          <w:color w:val="000000"/>
        </w:rPr>
        <w:t>udents’</w:t>
      </w:r>
      <w:r w:rsidR="006F6998">
        <w:rPr>
          <w:iCs/>
          <w:color w:val="000000"/>
        </w:rPr>
        <w:t xml:space="preserve"> enrolment, graduates etc</w:t>
      </w:r>
      <w:r>
        <w:rPr>
          <w:iCs/>
          <w:color w:val="000000"/>
        </w:rPr>
        <w:t xml:space="preserve">. </w:t>
      </w:r>
      <w:r w:rsidRPr="009E586C">
        <w:rPr>
          <w:iCs/>
          <w:color w:val="000000"/>
        </w:rPr>
        <w:t>Our analysis is restricted to the sample of universities defined as academic institutions with the right to award doctoral degree (as opposed to university of applied scienc</w:t>
      </w:r>
      <w:r w:rsidR="003332AD">
        <w:rPr>
          <w:iCs/>
          <w:color w:val="000000"/>
        </w:rPr>
        <w:t xml:space="preserve">es, college, vocational schools). </w:t>
      </w:r>
      <w:r w:rsidRPr="009E586C">
        <w:rPr>
          <w:iCs/>
          <w:color w:val="000000"/>
        </w:rPr>
        <w:t>Additionally we exclude also distance education universities where off campus teaching (e.g. through online courses) constitutes a substantial component of the educational offer which affects the staff structu</w:t>
      </w:r>
      <w:r w:rsidR="003332AD">
        <w:rPr>
          <w:iCs/>
          <w:color w:val="000000"/>
        </w:rPr>
        <w:t>re and students to staff ratios</w:t>
      </w:r>
      <w:r w:rsidRPr="009E586C">
        <w:rPr>
          <w:iCs/>
          <w:color w:val="000000"/>
        </w:rPr>
        <w:t>. Further, we limit the sample to the balanced panel of those HEIs reported for the subsequent six years from 2011 to 2016. As a result, we possess inf</w:t>
      </w:r>
      <w:r>
        <w:rPr>
          <w:iCs/>
          <w:color w:val="000000"/>
        </w:rPr>
        <w:t>ormation on 508 HEIs from 17 countries.</w:t>
      </w:r>
    </w:p>
    <w:p w14:paraId="708F2ED4" w14:textId="5312C672" w:rsidR="008168F4" w:rsidRDefault="009E586C" w:rsidP="009E586C">
      <w:pPr>
        <w:ind w:firstLine="1304"/>
        <w:jc w:val="both"/>
        <w:rPr>
          <w:iCs/>
          <w:color w:val="000000"/>
        </w:rPr>
      </w:pPr>
      <w:r w:rsidRPr="009E586C">
        <w:rPr>
          <w:iCs/>
          <w:color w:val="000000"/>
        </w:rPr>
        <w:t>In Table 1</w:t>
      </w:r>
      <w:r w:rsidR="003332AD">
        <w:rPr>
          <w:iCs/>
          <w:color w:val="000000"/>
        </w:rPr>
        <w:t xml:space="preserve"> we present</w:t>
      </w:r>
      <w:r w:rsidRPr="009E586C">
        <w:rPr>
          <w:iCs/>
          <w:color w:val="000000"/>
        </w:rPr>
        <w:t xml:space="preserve"> the key descriptive statistics on the institutions in our sample and on Figure 1 the cross-country comparison of non-academic staff to total staff ratio.</w:t>
      </w:r>
    </w:p>
    <w:p w14:paraId="02099567" w14:textId="18E6DC62" w:rsidR="003332AD" w:rsidRDefault="003332AD" w:rsidP="003332AD">
      <w:pPr>
        <w:jc w:val="center"/>
      </w:pPr>
      <w:r>
        <w:t xml:space="preserve">Table 1. </w:t>
      </w:r>
      <w:r w:rsidRPr="003332AD">
        <w:t>Key statistics on HEIs – mean values by country, time period 2011-2016</w:t>
      </w:r>
      <w:r>
        <w:t>.</w:t>
      </w:r>
    </w:p>
    <w:p w14:paraId="1253D6E3" w14:textId="77777777" w:rsidR="003332AD" w:rsidRDefault="003332AD" w:rsidP="009E586C">
      <w:pPr>
        <w:ind w:firstLine="1304"/>
        <w:jc w:val="both"/>
        <w:rPr>
          <w:iCs/>
          <w:color w:val="000000"/>
        </w:rPr>
      </w:pPr>
    </w:p>
    <w:tbl>
      <w:tblPr>
        <w:tblW w:w="9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1276"/>
        <w:gridCol w:w="1559"/>
        <w:gridCol w:w="1276"/>
        <w:gridCol w:w="1134"/>
        <w:gridCol w:w="1418"/>
        <w:gridCol w:w="1843"/>
      </w:tblGrid>
      <w:tr w:rsidR="003332AD" w:rsidRPr="00B707EE" w14:paraId="62635039" w14:textId="77777777" w:rsidTr="004013F8">
        <w:trPr>
          <w:trHeight w:val="288"/>
        </w:trPr>
        <w:tc>
          <w:tcPr>
            <w:tcW w:w="582" w:type="dxa"/>
            <w:shd w:val="clear" w:color="auto" w:fill="auto"/>
            <w:noWrap/>
            <w:vAlign w:val="bottom"/>
          </w:tcPr>
          <w:p w14:paraId="163D234C" w14:textId="77777777" w:rsidR="003332AD" w:rsidRPr="00C27FC0" w:rsidRDefault="003332AD" w:rsidP="004013F8">
            <w:pPr>
              <w:rPr>
                <w:color w:val="000000"/>
                <w:sz w:val="20"/>
                <w:szCs w:val="20"/>
                <w:lang w:val="en-US" w:eastAsia="pl-PL"/>
              </w:rPr>
            </w:pPr>
          </w:p>
        </w:tc>
        <w:tc>
          <w:tcPr>
            <w:tcW w:w="1276" w:type="dxa"/>
            <w:shd w:val="clear" w:color="auto" w:fill="auto"/>
            <w:noWrap/>
          </w:tcPr>
          <w:p w14:paraId="427FCA90"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Number of students per academic staff</w:t>
            </w:r>
          </w:p>
        </w:tc>
        <w:tc>
          <w:tcPr>
            <w:tcW w:w="1559" w:type="dxa"/>
            <w:shd w:val="clear" w:color="auto" w:fill="auto"/>
            <w:noWrap/>
          </w:tcPr>
          <w:p w14:paraId="3B8AD9BE" w14:textId="77777777" w:rsidR="003332AD" w:rsidRPr="003332AD" w:rsidRDefault="003332AD" w:rsidP="004013F8">
            <w:pPr>
              <w:rPr>
                <w:b/>
                <w:color w:val="000000"/>
                <w:sz w:val="20"/>
                <w:szCs w:val="20"/>
                <w:lang w:eastAsia="pl-PL"/>
              </w:rPr>
            </w:pPr>
            <w:r w:rsidRPr="003332AD">
              <w:rPr>
                <w:b/>
                <w:color w:val="000000"/>
                <w:sz w:val="20"/>
                <w:szCs w:val="20"/>
                <w:lang w:eastAsia="pl-PL"/>
              </w:rPr>
              <w:t>Revenue per</w:t>
            </w:r>
          </w:p>
          <w:p w14:paraId="58D02949" w14:textId="77777777" w:rsidR="003332AD" w:rsidRPr="003332AD" w:rsidRDefault="003332AD" w:rsidP="004013F8">
            <w:pPr>
              <w:rPr>
                <w:b/>
                <w:color w:val="000000"/>
                <w:sz w:val="20"/>
                <w:szCs w:val="20"/>
                <w:lang w:eastAsia="pl-PL"/>
              </w:rPr>
            </w:pPr>
            <w:r w:rsidRPr="003332AD">
              <w:rPr>
                <w:b/>
                <w:color w:val="000000"/>
                <w:sz w:val="20"/>
                <w:szCs w:val="20"/>
                <w:lang w:eastAsia="pl-PL"/>
              </w:rPr>
              <w:t xml:space="preserve">Academic staff per year in ppp </w:t>
            </w:r>
          </w:p>
          <w:p w14:paraId="44CCB880" w14:textId="77777777" w:rsidR="003332AD" w:rsidRPr="003332AD" w:rsidRDefault="003332AD" w:rsidP="004013F8">
            <w:pPr>
              <w:rPr>
                <w:b/>
                <w:color w:val="000000"/>
                <w:sz w:val="20"/>
                <w:szCs w:val="20"/>
                <w:lang w:eastAsia="pl-PL"/>
              </w:rPr>
            </w:pPr>
          </w:p>
        </w:tc>
        <w:tc>
          <w:tcPr>
            <w:tcW w:w="1276" w:type="dxa"/>
            <w:shd w:val="clear" w:color="auto" w:fill="auto"/>
            <w:noWrap/>
          </w:tcPr>
          <w:p w14:paraId="7CCEDE50"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Core budget to total budget</w:t>
            </w:r>
          </w:p>
        </w:tc>
        <w:tc>
          <w:tcPr>
            <w:tcW w:w="1134" w:type="dxa"/>
            <w:shd w:val="clear" w:color="auto" w:fill="auto"/>
            <w:noWrap/>
          </w:tcPr>
          <w:p w14:paraId="27339EC5"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Third party budget to total budget</w:t>
            </w:r>
          </w:p>
        </w:tc>
        <w:tc>
          <w:tcPr>
            <w:tcW w:w="1418" w:type="dxa"/>
            <w:shd w:val="clear" w:color="auto" w:fill="auto"/>
            <w:noWrap/>
          </w:tcPr>
          <w:p w14:paraId="025EC137"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Publications</w:t>
            </w:r>
          </w:p>
          <w:p w14:paraId="0826FFB3"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per academic</w:t>
            </w:r>
          </w:p>
          <w:p w14:paraId="5B2C29A7"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staff member</w:t>
            </w:r>
          </w:p>
        </w:tc>
        <w:tc>
          <w:tcPr>
            <w:tcW w:w="1843" w:type="dxa"/>
            <w:shd w:val="clear" w:color="auto" w:fill="auto"/>
            <w:noWrap/>
          </w:tcPr>
          <w:p w14:paraId="4846E245" w14:textId="77777777" w:rsidR="003332AD" w:rsidRPr="003332AD" w:rsidRDefault="003332AD" w:rsidP="004013F8">
            <w:pPr>
              <w:rPr>
                <w:b/>
                <w:color w:val="000000"/>
                <w:sz w:val="20"/>
                <w:szCs w:val="20"/>
                <w:lang w:val="en-US" w:eastAsia="pl-PL"/>
              </w:rPr>
            </w:pPr>
            <w:r w:rsidRPr="003332AD">
              <w:rPr>
                <w:b/>
                <w:color w:val="000000"/>
                <w:sz w:val="20"/>
                <w:szCs w:val="20"/>
                <w:lang w:val="en-US" w:eastAsia="pl-PL"/>
              </w:rPr>
              <w:t>Participation in EU projects</w:t>
            </w:r>
          </w:p>
        </w:tc>
      </w:tr>
      <w:tr w:rsidR="003332AD" w:rsidRPr="00B707EE" w14:paraId="7A1C5BF9" w14:textId="77777777" w:rsidTr="004013F8">
        <w:trPr>
          <w:trHeight w:val="288"/>
        </w:trPr>
        <w:tc>
          <w:tcPr>
            <w:tcW w:w="582" w:type="dxa"/>
            <w:shd w:val="clear" w:color="auto" w:fill="auto"/>
            <w:noWrap/>
            <w:vAlign w:val="bottom"/>
            <w:hideMark/>
          </w:tcPr>
          <w:p w14:paraId="17098EC6"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AT</w:t>
            </w:r>
          </w:p>
        </w:tc>
        <w:tc>
          <w:tcPr>
            <w:tcW w:w="1276" w:type="dxa"/>
            <w:shd w:val="clear" w:color="auto" w:fill="auto"/>
            <w:noWrap/>
            <w:vAlign w:val="bottom"/>
            <w:hideMark/>
          </w:tcPr>
          <w:p w14:paraId="64B70344"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11.2</w:t>
            </w:r>
          </w:p>
        </w:tc>
        <w:tc>
          <w:tcPr>
            <w:tcW w:w="1559" w:type="dxa"/>
            <w:shd w:val="clear" w:color="auto" w:fill="auto"/>
            <w:noWrap/>
            <w:vAlign w:val="bottom"/>
            <w:hideMark/>
          </w:tcPr>
          <w:p w14:paraId="5C05308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165266.7</w:t>
            </w:r>
          </w:p>
        </w:tc>
        <w:tc>
          <w:tcPr>
            <w:tcW w:w="1276" w:type="dxa"/>
            <w:shd w:val="clear" w:color="auto" w:fill="auto"/>
            <w:noWrap/>
            <w:vAlign w:val="bottom"/>
            <w:hideMark/>
          </w:tcPr>
          <w:p w14:paraId="4E23894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0.76</w:t>
            </w:r>
          </w:p>
        </w:tc>
        <w:tc>
          <w:tcPr>
            <w:tcW w:w="1134" w:type="dxa"/>
            <w:shd w:val="clear" w:color="auto" w:fill="auto"/>
            <w:noWrap/>
            <w:vAlign w:val="bottom"/>
            <w:hideMark/>
          </w:tcPr>
          <w:p w14:paraId="44573C25"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0.16</w:t>
            </w:r>
          </w:p>
        </w:tc>
        <w:tc>
          <w:tcPr>
            <w:tcW w:w="1418" w:type="dxa"/>
            <w:shd w:val="clear" w:color="auto" w:fill="auto"/>
            <w:noWrap/>
            <w:vAlign w:val="bottom"/>
            <w:hideMark/>
          </w:tcPr>
          <w:p w14:paraId="61AB23DE"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0.56</w:t>
            </w:r>
          </w:p>
        </w:tc>
        <w:tc>
          <w:tcPr>
            <w:tcW w:w="1843" w:type="dxa"/>
            <w:shd w:val="clear" w:color="auto" w:fill="auto"/>
            <w:noWrap/>
            <w:vAlign w:val="bottom"/>
            <w:hideMark/>
          </w:tcPr>
          <w:p w14:paraId="7D8BDFF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44.7</w:t>
            </w:r>
          </w:p>
        </w:tc>
      </w:tr>
      <w:tr w:rsidR="003332AD" w:rsidRPr="00B707EE" w14:paraId="388F5D6C" w14:textId="77777777" w:rsidTr="004013F8">
        <w:trPr>
          <w:trHeight w:val="288"/>
        </w:trPr>
        <w:tc>
          <w:tcPr>
            <w:tcW w:w="582" w:type="dxa"/>
            <w:shd w:val="clear" w:color="auto" w:fill="auto"/>
            <w:noWrap/>
            <w:vAlign w:val="bottom"/>
            <w:hideMark/>
          </w:tcPr>
          <w:p w14:paraId="2D015DB6"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BE</w:t>
            </w:r>
          </w:p>
        </w:tc>
        <w:tc>
          <w:tcPr>
            <w:tcW w:w="1276" w:type="dxa"/>
            <w:shd w:val="clear" w:color="auto" w:fill="auto"/>
            <w:noWrap/>
            <w:vAlign w:val="bottom"/>
            <w:hideMark/>
          </w:tcPr>
          <w:p w14:paraId="2874EB8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6.2</w:t>
            </w:r>
          </w:p>
        </w:tc>
        <w:tc>
          <w:tcPr>
            <w:tcW w:w="1559" w:type="dxa"/>
            <w:shd w:val="clear" w:color="auto" w:fill="auto"/>
            <w:noWrap/>
            <w:vAlign w:val="bottom"/>
            <w:hideMark/>
          </w:tcPr>
          <w:p w14:paraId="287B8C4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112439.7</w:t>
            </w:r>
          </w:p>
        </w:tc>
        <w:tc>
          <w:tcPr>
            <w:tcW w:w="1276" w:type="dxa"/>
            <w:shd w:val="clear" w:color="auto" w:fill="auto"/>
            <w:noWrap/>
            <w:vAlign w:val="bottom"/>
            <w:hideMark/>
          </w:tcPr>
          <w:p w14:paraId="26C1668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0.49</w:t>
            </w:r>
          </w:p>
        </w:tc>
        <w:tc>
          <w:tcPr>
            <w:tcW w:w="1134" w:type="dxa"/>
            <w:shd w:val="clear" w:color="auto" w:fill="auto"/>
            <w:noWrap/>
            <w:vAlign w:val="bottom"/>
            <w:hideMark/>
          </w:tcPr>
          <w:p w14:paraId="6486D74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0.23</w:t>
            </w:r>
          </w:p>
        </w:tc>
        <w:tc>
          <w:tcPr>
            <w:tcW w:w="1418" w:type="dxa"/>
            <w:shd w:val="clear" w:color="auto" w:fill="auto"/>
            <w:noWrap/>
            <w:vAlign w:val="bottom"/>
            <w:hideMark/>
          </w:tcPr>
          <w:p w14:paraId="23FDAC44"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0.91</w:t>
            </w:r>
          </w:p>
        </w:tc>
        <w:tc>
          <w:tcPr>
            <w:tcW w:w="1843" w:type="dxa"/>
            <w:shd w:val="clear" w:color="auto" w:fill="auto"/>
            <w:noWrap/>
            <w:vAlign w:val="bottom"/>
            <w:hideMark/>
          </w:tcPr>
          <w:p w14:paraId="55C66EA4"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141.1</w:t>
            </w:r>
          </w:p>
        </w:tc>
      </w:tr>
      <w:tr w:rsidR="003332AD" w:rsidRPr="00B707EE" w14:paraId="2CAC05CD" w14:textId="77777777" w:rsidTr="004013F8">
        <w:trPr>
          <w:trHeight w:val="288"/>
        </w:trPr>
        <w:tc>
          <w:tcPr>
            <w:tcW w:w="582" w:type="dxa"/>
            <w:shd w:val="clear" w:color="auto" w:fill="auto"/>
            <w:noWrap/>
            <w:vAlign w:val="bottom"/>
            <w:hideMark/>
          </w:tcPr>
          <w:p w14:paraId="6EFFDBE3"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CH</w:t>
            </w:r>
          </w:p>
        </w:tc>
        <w:tc>
          <w:tcPr>
            <w:tcW w:w="1276" w:type="dxa"/>
            <w:shd w:val="clear" w:color="auto" w:fill="auto"/>
            <w:noWrap/>
            <w:vAlign w:val="bottom"/>
            <w:hideMark/>
          </w:tcPr>
          <w:p w14:paraId="68A383A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5.5</w:t>
            </w:r>
          </w:p>
        </w:tc>
        <w:tc>
          <w:tcPr>
            <w:tcW w:w="1559" w:type="dxa"/>
            <w:shd w:val="clear" w:color="auto" w:fill="auto"/>
            <w:noWrap/>
            <w:vAlign w:val="bottom"/>
            <w:hideMark/>
          </w:tcPr>
          <w:p w14:paraId="63FDB48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157441.7</w:t>
            </w:r>
          </w:p>
        </w:tc>
        <w:tc>
          <w:tcPr>
            <w:tcW w:w="1276" w:type="dxa"/>
            <w:shd w:val="clear" w:color="auto" w:fill="auto"/>
            <w:noWrap/>
            <w:vAlign w:val="bottom"/>
            <w:hideMark/>
          </w:tcPr>
          <w:p w14:paraId="1704186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0.70</w:t>
            </w:r>
          </w:p>
        </w:tc>
        <w:tc>
          <w:tcPr>
            <w:tcW w:w="1134" w:type="dxa"/>
            <w:shd w:val="clear" w:color="auto" w:fill="auto"/>
            <w:noWrap/>
            <w:vAlign w:val="bottom"/>
            <w:hideMark/>
          </w:tcPr>
          <w:p w14:paraId="1329147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0.23</w:t>
            </w:r>
          </w:p>
        </w:tc>
        <w:tc>
          <w:tcPr>
            <w:tcW w:w="1418" w:type="dxa"/>
            <w:shd w:val="clear" w:color="auto" w:fill="auto"/>
            <w:noWrap/>
            <w:vAlign w:val="bottom"/>
            <w:hideMark/>
          </w:tcPr>
          <w:p w14:paraId="2A01F18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0.79</w:t>
            </w:r>
          </w:p>
        </w:tc>
        <w:tc>
          <w:tcPr>
            <w:tcW w:w="1843" w:type="dxa"/>
            <w:shd w:val="clear" w:color="auto" w:fill="auto"/>
            <w:noWrap/>
            <w:vAlign w:val="bottom"/>
            <w:hideMark/>
          </w:tcPr>
          <w:p w14:paraId="279C27B5"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112.0</w:t>
            </w:r>
          </w:p>
        </w:tc>
      </w:tr>
      <w:tr w:rsidR="003332AD" w:rsidRPr="00B707EE" w14:paraId="48E1192F" w14:textId="77777777" w:rsidTr="004013F8">
        <w:trPr>
          <w:trHeight w:val="288"/>
        </w:trPr>
        <w:tc>
          <w:tcPr>
            <w:tcW w:w="582" w:type="dxa"/>
            <w:shd w:val="clear" w:color="auto" w:fill="auto"/>
            <w:noWrap/>
            <w:vAlign w:val="bottom"/>
            <w:hideMark/>
          </w:tcPr>
          <w:p w14:paraId="5E67420B"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CY</w:t>
            </w:r>
          </w:p>
        </w:tc>
        <w:tc>
          <w:tcPr>
            <w:tcW w:w="1276" w:type="dxa"/>
            <w:shd w:val="clear" w:color="auto" w:fill="auto"/>
            <w:noWrap/>
            <w:vAlign w:val="bottom"/>
            <w:hideMark/>
          </w:tcPr>
          <w:p w14:paraId="3A5D7F2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16.8</w:t>
            </w:r>
          </w:p>
        </w:tc>
        <w:tc>
          <w:tcPr>
            <w:tcW w:w="1559" w:type="dxa"/>
            <w:shd w:val="clear" w:color="auto" w:fill="auto"/>
            <w:noWrap/>
            <w:vAlign w:val="bottom"/>
            <w:hideMark/>
          </w:tcPr>
          <w:p w14:paraId="2FE3EF3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270473.2</w:t>
            </w:r>
          </w:p>
        </w:tc>
        <w:tc>
          <w:tcPr>
            <w:tcW w:w="1276" w:type="dxa"/>
            <w:shd w:val="clear" w:color="auto" w:fill="auto"/>
            <w:noWrap/>
            <w:vAlign w:val="bottom"/>
            <w:hideMark/>
          </w:tcPr>
          <w:p w14:paraId="565D9222"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0.60</w:t>
            </w:r>
          </w:p>
        </w:tc>
        <w:tc>
          <w:tcPr>
            <w:tcW w:w="1134" w:type="dxa"/>
            <w:shd w:val="clear" w:color="auto" w:fill="auto"/>
            <w:noWrap/>
            <w:vAlign w:val="bottom"/>
            <w:hideMark/>
          </w:tcPr>
          <w:p w14:paraId="5EBC0B2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0.17</w:t>
            </w:r>
          </w:p>
        </w:tc>
        <w:tc>
          <w:tcPr>
            <w:tcW w:w="1418" w:type="dxa"/>
            <w:shd w:val="clear" w:color="auto" w:fill="auto"/>
            <w:noWrap/>
            <w:vAlign w:val="bottom"/>
            <w:hideMark/>
          </w:tcPr>
          <w:p w14:paraId="6F059B9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1.30</w:t>
            </w:r>
          </w:p>
        </w:tc>
        <w:tc>
          <w:tcPr>
            <w:tcW w:w="1843" w:type="dxa"/>
            <w:shd w:val="clear" w:color="auto" w:fill="auto"/>
            <w:noWrap/>
            <w:vAlign w:val="bottom"/>
            <w:hideMark/>
          </w:tcPr>
          <w:p w14:paraId="452F767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66.8</w:t>
            </w:r>
          </w:p>
        </w:tc>
      </w:tr>
      <w:tr w:rsidR="003332AD" w:rsidRPr="00B707EE" w14:paraId="392D40D5" w14:textId="77777777" w:rsidTr="004013F8">
        <w:trPr>
          <w:trHeight w:val="288"/>
        </w:trPr>
        <w:tc>
          <w:tcPr>
            <w:tcW w:w="582" w:type="dxa"/>
            <w:shd w:val="clear" w:color="auto" w:fill="auto"/>
            <w:noWrap/>
            <w:vAlign w:val="bottom"/>
            <w:hideMark/>
          </w:tcPr>
          <w:p w14:paraId="7E900B5E"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DE</w:t>
            </w:r>
          </w:p>
        </w:tc>
        <w:tc>
          <w:tcPr>
            <w:tcW w:w="1276" w:type="dxa"/>
            <w:shd w:val="clear" w:color="auto" w:fill="auto"/>
            <w:noWrap/>
            <w:vAlign w:val="bottom"/>
            <w:hideMark/>
          </w:tcPr>
          <w:p w14:paraId="7711198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10.9</w:t>
            </w:r>
          </w:p>
        </w:tc>
        <w:tc>
          <w:tcPr>
            <w:tcW w:w="1559" w:type="dxa"/>
            <w:shd w:val="clear" w:color="auto" w:fill="auto"/>
            <w:noWrap/>
            <w:vAlign w:val="bottom"/>
            <w:hideMark/>
          </w:tcPr>
          <w:p w14:paraId="660DE83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127182.8</w:t>
            </w:r>
          </w:p>
        </w:tc>
        <w:tc>
          <w:tcPr>
            <w:tcW w:w="1276" w:type="dxa"/>
            <w:shd w:val="clear" w:color="auto" w:fill="auto"/>
            <w:noWrap/>
            <w:vAlign w:val="bottom"/>
            <w:hideMark/>
          </w:tcPr>
          <w:p w14:paraId="3E91CC5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0.70</w:t>
            </w:r>
          </w:p>
        </w:tc>
        <w:tc>
          <w:tcPr>
            <w:tcW w:w="1134" w:type="dxa"/>
            <w:shd w:val="clear" w:color="auto" w:fill="auto"/>
            <w:noWrap/>
            <w:vAlign w:val="bottom"/>
            <w:hideMark/>
          </w:tcPr>
          <w:p w14:paraId="7A59CB7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0.25</w:t>
            </w:r>
          </w:p>
        </w:tc>
        <w:tc>
          <w:tcPr>
            <w:tcW w:w="1418" w:type="dxa"/>
            <w:shd w:val="clear" w:color="auto" w:fill="auto"/>
            <w:noWrap/>
            <w:vAlign w:val="bottom"/>
            <w:hideMark/>
          </w:tcPr>
          <w:p w14:paraId="61DFC9EE"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0.58</w:t>
            </w:r>
          </w:p>
        </w:tc>
        <w:tc>
          <w:tcPr>
            <w:tcW w:w="1843" w:type="dxa"/>
            <w:shd w:val="clear" w:color="auto" w:fill="auto"/>
            <w:noWrap/>
            <w:vAlign w:val="bottom"/>
            <w:hideMark/>
          </w:tcPr>
          <w:p w14:paraId="61529BB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43.9</w:t>
            </w:r>
          </w:p>
        </w:tc>
      </w:tr>
      <w:tr w:rsidR="003332AD" w:rsidRPr="00B707EE" w14:paraId="2F36943A" w14:textId="77777777" w:rsidTr="004013F8">
        <w:trPr>
          <w:trHeight w:val="288"/>
        </w:trPr>
        <w:tc>
          <w:tcPr>
            <w:tcW w:w="582" w:type="dxa"/>
            <w:shd w:val="clear" w:color="auto" w:fill="auto"/>
            <w:noWrap/>
            <w:vAlign w:val="bottom"/>
            <w:hideMark/>
          </w:tcPr>
          <w:p w14:paraId="181CF470"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DK</w:t>
            </w:r>
          </w:p>
        </w:tc>
        <w:tc>
          <w:tcPr>
            <w:tcW w:w="1276" w:type="dxa"/>
            <w:shd w:val="clear" w:color="auto" w:fill="auto"/>
            <w:noWrap/>
            <w:vAlign w:val="bottom"/>
            <w:hideMark/>
          </w:tcPr>
          <w:p w14:paraId="29DA23F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10.2</w:t>
            </w:r>
          </w:p>
        </w:tc>
        <w:tc>
          <w:tcPr>
            <w:tcW w:w="1559" w:type="dxa"/>
            <w:shd w:val="clear" w:color="auto" w:fill="auto"/>
            <w:noWrap/>
            <w:vAlign w:val="bottom"/>
            <w:hideMark/>
          </w:tcPr>
          <w:p w14:paraId="30A3565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137772.5</w:t>
            </w:r>
          </w:p>
        </w:tc>
        <w:tc>
          <w:tcPr>
            <w:tcW w:w="1276" w:type="dxa"/>
            <w:shd w:val="clear" w:color="auto" w:fill="auto"/>
            <w:noWrap/>
            <w:vAlign w:val="bottom"/>
            <w:hideMark/>
          </w:tcPr>
          <w:p w14:paraId="0533E84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0.68</w:t>
            </w:r>
          </w:p>
        </w:tc>
        <w:tc>
          <w:tcPr>
            <w:tcW w:w="1134" w:type="dxa"/>
            <w:shd w:val="clear" w:color="auto" w:fill="auto"/>
            <w:noWrap/>
            <w:vAlign w:val="bottom"/>
            <w:hideMark/>
          </w:tcPr>
          <w:p w14:paraId="3362A6C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0.28</w:t>
            </w:r>
          </w:p>
        </w:tc>
        <w:tc>
          <w:tcPr>
            <w:tcW w:w="1418" w:type="dxa"/>
            <w:shd w:val="clear" w:color="auto" w:fill="auto"/>
            <w:noWrap/>
            <w:vAlign w:val="bottom"/>
            <w:hideMark/>
          </w:tcPr>
          <w:p w14:paraId="6AA45ECE"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0.61</w:t>
            </w:r>
          </w:p>
        </w:tc>
        <w:tc>
          <w:tcPr>
            <w:tcW w:w="1843" w:type="dxa"/>
            <w:shd w:val="clear" w:color="auto" w:fill="auto"/>
            <w:noWrap/>
            <w:vAlign w:val="bottom"/>
            <w:hideMark/>
          </w:tcPr>
          <w:p w14:paraId="3ED5E81E"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122.8</w:t>
            </w:r>
          </w:p>
        </w:tc>
      </w:tr>
      <w:tr w:rsidR="003332AD" w:rsidRPr="00B707EE" w14:paraId="1A92E35A" w14:textId="77777777" w:rsidTr="004013F8">
        <w:trPr>
          <w:trHeight w:val="288"/>
        </w:trPr>
        <w:tc>
          <w:tcPr>
            <w:tcW w:w="582" w:type="dxa"/>
            <w:shd w:val="clear" w:color="auto" w:fill="auto"/>
            <w:noWrap/>
            <w:vAlign w:val="bottom"/>
            <w:hideMark/>
          </w:tcPr>
          <w:p w14:paraId="5BE139EE"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FI</w:t>
            </w:r>
          </w:p>
        </w:tc>
        <w:tc>
          <w:tcPr>
            <w:tcW w:w="1276" w:type="dxa"/>
            <w:shd w:val="clear" w:color="auto" w:fill="auto"/>
            <w:noWrap/>
            <w:vAlign w:val="bottom"/>
            <w:hideMark/>
          </w:tcPr>
          <w:p w14:paraId="6A78368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9.2</w:t>
            </w:r>
          </w:p>
        </w:tc>
        <w:tc>
          <w:tcPr>
            <w:tcW w:w="1559" w:type="dxa"/>
            <w:shd w:val="clear" w:color="auto" w:fill="auto"/>
            <w:noWrap/>
            <w:vAlign w:val="bottom"/>
            <w:hideMark/>
          </w:tcPr>
          <w:p w14:paraId="20D0B56F"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125610.0</w:t>
            </w:r>
          </w:p>
        </w:tc>
        <w:tc>
          <w:tcPr>
            <w:tcW w:w="1276" w:type="dxa"/>
            <w:shd w:val="clear" w:color="auto" w:fill="auto"/>
            <w:noWrap/>
            <w:vAlign w:val="bottom"/>
            <w:hideMark/>
          </w:tcPr>
          <w:p w14:paraId="01CD156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0.78</w:t>
            </w:r>
          </w:p>
        </w:tc>
        <w:tc>
          <w:tcPr>
            <w:tcW w:w="1134" w:type="dxa"/>
            <w:shd w:val="clear" w:color="auto" w:fill="auto"/>
            <w:noWrap/>
            <w:vAlign w:val="bottom"/>
            <w:hideMark/>
          </w:tcPr>
          <w:p w14:paraId="33B9EA9A"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0.22</w:t>
            </w:r>
          </w:p>
        </w:tc>
        <w:tc>
          <w:tcPr>
            <w:tcW w:w="1418" w:type="dxa"/>
            <w:shd w:val="clear" w:color="auto" w:fill="auto"/>
            <w:noWrap/>
            <w:vAlign w:val="bottom"/>
            <w:hideMark/>
          </w:tcPr>
          <w:p w14:paraId="7E69F0E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0.75</w:t>
            </w:r>
          </w:p>
        </w:tc>
        <w:tc>
          <w:tcPr>
            <w:tcW w:w="1843" w:type="dxa"/>
            <w:shd w:val="clear" w:color="auto" w:fill="auto"/>
            <w:noWrap/>
            <w:vAlign w:val="bottom"/>
            <w:hideMark/>
          </w:tcPr>
          <w:p w14:paraId="414BF8C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45.8</w:t>
            </w:r>
          </w:p>
        </w:tc>
      </w:tr>
      <w:tr w:rsidR="003332AD" w:rsidRPr="00B707EE" w14:paraId="14270AA6" w14:textId="77777777" w:rsidTr="004013F8">
        <w:trPr>
          <w:trHeight w:val="288"/>
        </w:trPr>
        <w:tc>
          <w:tcPr>
            <w:tcW w:w="582" w:type="dxa"/>
            <w:shd w:val="clear" w:color="auto" w:fill="auto"/>
            <w:noWrap/>
            <w:vAlign w:val="bottom"/>
            <w:hideMark/>
          </w:tcPr>
          <w:p w14:paraId="1028A201"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IE</w:t>
            </w:r>
          </w:p>
        </w:tc>
        <w:tc>
          <w:tcPr>
            <w:tcW w:w="1276" w:type="dxa"/>
            <w:shd w:val="clear" w:color="auto" w:fill="auto"/>
            <w:noWrap/>
            <w:vAlign w:val="bottom"/>
            <w:hideMark/>
          </w:tcPr>
          <w:p w14:paraId="01DBBD95"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14.0</w:t>
            </w:r>
          </w:p>
        </w:tc>
        <w:tc>
          <w:tcPr>
            <w:tcW w:w="1559" w:type="dxa"/>
            <w:shd w:val="clear" w:color="auto" w:fill="auto"/>
            <w:noWrap/>
            <w:vAlign w:val="bottom"/>
            <w:hideMark/>
          </w:tcPr>
          <w:p w14:paraId="6604BFF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184565.2</w:t>
            </w:r>
          </w:p>
        </w:tc>
        <w:tc>
          <w:tcPr>
            <w:tcW w:w="1276" w:type="dxa"/>
            <w:shd w:val="clear" w:color="auto" w:fill="auto"/>
            <w:noWrap/>
            <w:vAlign w:val="bottom"/>
            <w:hideMark/>
          </w:tcPr>
          <w:p w14:paraId="5F45417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0.21</w:t>
            </w:r>
          </w:p>
        </w:tc>
        <w:tc>
          <w:tcPr>
            <w:tcW w:w="1134" w:type="dxa"/>
            <w:shd w:val="clear" w:color="auto" w:fill="auto"/>
            <w:noWrap/>
            <w:vAlign w:val="bottom"/>
            <w:hideMark/>
          </w:tcPr>
          <w:p w14:paraId="7EED882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0.32</w:t>
            </w:r>
          </w:p>
        </w:tc>
        <w:tc>
          <w:tcPr>
            <w:tcW w:w="1418" w:type="dxa"/>
            <w:shd w:val="clear" w:color="auto" w:fill="auto"/>
            <w:noWrap/>
            <w:vAlign w:val="bottom"/>
            <w:hideMark/>
          </w:tcPr>
          <w:p w14:paraId="798D787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0.88</w:t>
            </w:r>
          </w:p>
        </w:tc>
        <w:tc>
          <w:tcPr>
            <w:tcW w:w="1843" w:type="dxa"/>
            <w:shd w:val="clear" w:color="auto" w:fill="auto"/>
            <w:noWrap/>
            <w:vAlign w:val="bottom"/>
            <w:hideMark/>
          </w:tcPr>
          <w:p w14:paraId="43544D52"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86.6</w:t>
            </w:r>
          </w:p>
        </w:tc>
      </w:tr>
      <w:tr w:rsidR="003332AD" w:rsidRPr="00B707EE" w14:paraId="36AD2E33" w14:textId="77777777" w:rsidTr="004013F8">
        <w:trPr>
          <w:trHeight w:val="288"/>
        </w:trPr>
        <w:tc>
          <w:tcPr>
            <w:tcW w:w="582" w:type="dxa"/>
            <w:shd w:val="clear" w:color="auto" w:fill="auto"/>
            <w:noWrap/>
            <w:vAlign w:val="bottom"/>
            <w:hideMark/>
          </w:tcPr>
          <w:p w14:paraId="38D03D33"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LT</w:t>
            </w:r>
          </w:p>
        </w:tc>
        <w:tc>
          <w:tcPr>
            <w:tcW w:w="1276" w:type="dxa"/>
            <w:shd w:val="clear" w:color="auto" w:fill="auto"/>
            <w:noWrap/>
            <w:vAlign w:val="bottom"/>
            <w:hideMark/>
          </w:tcPr>
          <w:p w14:paraId="27C89E8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14.4</w:t>
            </w:r>
          </w:p>
        </w:tc>
        <w:tc>
          <w:tcPr>
            <w:tcW w:w="1559" w:type="dxa"/>
            <w:shd w:val="clear" w:color="auto" w:fill="auto"/>
            <w:noWrap/>
            <w:vAlign w:val="bottom"/>
            <w:hideMark/>
          </w:tcPr>
          <w:p w14:paraId="56766214"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91584.5</w:t>
            </w:r>
          </w:p>
        </w:tc>
        <w:tc>
          <w:tcPr>
            <w:tcW w:w="1276" w:type="dxa"/>
            <w:shd w:val="clear" w:color="auto" w:fill="auto"/>
            <w:noWrap/>
            <w:vAlign w:val="bottom"/>
            <w:hideMark/>
          </w:tcPr>
          <w:p w14:paraId="169D8C95"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0.41</w:t>
            </w:r>
          </w:p>
        </w:tc>
        <w:tc>
          <w:tcPr>
            <w:tcW w:w="1134" w:type="dxa"/>
            <w:shd w:val="clear" w:color="auto" w:fill="auto"/>
            <w:noWrap/>
            <w:vAlign w:val="bottom"/>
            <w:hideMark/>
          </w:tcPr>
          <w:p w14:paraId="3526F88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0.36</w:t>
            </w:r>
          </w:p>
        </w:tc>
        <w:tc>
          <w:tcPr>
            <w:tcW w:w="1418" w:type="dxa"/>
            <w:shd w:val="clear" w:color="auto" w:fill="auto"/>
            <w:noWrap/>
            <w:vAlign w:val="bottom"/>
            <w:hideMark/>
          </w:tcPr>
          <w:p w14:paraId="33187EE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0.25</w:t>
            </w:r>
          </w:p>
        </w:tc>
        <w:tc>
          <w:tcPr>
            <w:tcW w:w="1843" w:type="dxa"/>
            <w:shd w:val="clear" w:color="auto" w:fill="auto"/>
            <w:noWrap/>
            <w:vAlign w:val="bottom"/>
            <w:hideMark/>
          </w:tcPr>
          <w:p w14:paraId="4DC91811"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7.9</w:t>
            </w:r>
          </w:p>
        </w:tc>
      </w:tr>
      <w:tr w:rsidR="003332AD" w:rsidRPr="00B707EE" w14:paraId="5C03E945" w14:textId="77777777" w:rsidTr="004013F8">
        <w:trPr>
          <w:trHeight w:val="288"/>
        </w:trPr>
        <w:tc>
          <w:tcPr>
            <w:tcW w:w="582" w:type="dxa"/>
            <w:shd w:val="clear" w:color="auto" w:fill="auto"/>
            <w:noWrap/>
            <w:vAlign w:val="bottom"/>
            <w:hideMark/>
          </w:tcPr>
          <w:p w14:paraId="2CD23531"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MT</w:t>
            </w:r>
          </w:p>
        </w:tc>
        <w:tc>
          <w:tcPr>
            <w:tcW w:w="1276" w:type="dxa"/>
            <w:shd w:val="clear" w:color="auto" w:fill="auto"/>
            <w:noWrap/>
            <w:vAlign w:val="bottom"/>
            <w:hideMark/>
          </w:tcPr>
          <w:p w14:paraId="174F6A6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11.5</w:t>
            </w:r>
          </w:p>
        </w:tc>
        <w:tc>
          <w:tcPr>
            <w:tcW w:w="1559" w:type="dxa"/>
            <w:shd w:val="clear" w:color="auto" w:fill="auto"/>
            <w:noWrap/>
            <w:vAlign w:val="bottom"/>
            <w:hideMark/>
          </w:tcPr>
          <w:p w14:paraId="5CB19D7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101481.2</w:t>
            </w:r>
          </w:p>
        </w:tc>
        <w:tc>
          <w:tcPr>
            <w:tcW w:w="1276" w:type="dxa"/>
            <w:shd w:val="clear" w:color="auto" w:fill="auto"/>
            <w:noWrap/>
            <w:vAlign w:val="bottom"/>
            <w:hideMark/>
          </w:tcPr>
          <w:p w14:paraId="24F323A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0.79</w:t>
            </w:r>
          </w:p>
        </w:tc>
        <w:tc>
          <w:tcPr>
            <w:tcW w:w="1134" w:type="dxa"/>
            <w:shd w:val="clear" w:color="auto" w:fill="auto"/>
            <w:noWrap/>
            <w:vAlign w:val="bottom"/>
            <w:hideMark/>
          </w:tcPr>
          <w:p w14:paraId="1EAC228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0.07</w:t>
            </w:r>
          </w:p>
        </w:tc>
        <w:tc>
          <w:tcPr>
            <w:tcW w:w="1418" w:type="dxa"/>
            <w:shd w:val="clear" w:color="auto" w:fill="auto"/>
            <w:noWrap/>
            <w:vAlign w:val="bottom"/>
            <w:hideMark/>
          </w:tcPr>
          <w:p w14:paraId="4CB4580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0.19</w:t>
            </w:r>
          </w:p>
        </w:tc>
        <w:tc>
          <w:tcPr>
            <w:tcW w:w="1843" w:type="dxa"/>
            <w:shd w:val="clear" w:color="auto" w:fill="auto"/>
            <w:noWrap/>
            <w:vAlign w:val="bottom"/>
            <w:hideMark/>
          </w:tcPr>
          <w:p w14:paraId="3DA0C72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31.5</w:t>
            </w:r>
          </w:p>
        </w:tc>
      </w:tr>
      <w:tr w:rsidR="003332AD" w:rsidRPr="00B707EE" w14:paraId="7EF51A9D" w14:textId="77777777" w:rsidTr="004013F8">
        <w:trPr>
          <w:trHeight w:val="288"/>
        </w:trPr>
        <w:tc>
          <w:tcPr>
            <w:tcW w:w="582" w:type="dxa"/>
            <w:shd w:val="clear" w:color="auto" w:fill="auto"/>
            <w:noWrap/>
            <w:vAlign w:val="bottom"/>
            <w:hideMark/>
          </w:tcPr>
          <w:p w14:paraId="1D18E352"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NL</w:t>
            </w:r>
          </w:p>
        </w:tc>
        <w:tc>
          <w:tcPr>
            <w:tcW w:w="1276" w:type="dxa"/>
            <w:shd w:val="clear" w:color="auto" w:fill="auto"/>
            <w:noWrap/>
            <w:vAlign w:val="bottom"/>
            <w:hideMark/>
          </w:tcPr>
          <w:p w14:paraId="5ED57FC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10.4</w:t>
            </w:r>
          </w:p>
        </w:tc>
        <w:tc>
          <w:tcPr>
            <w:tcW w:w="1559" w:type="dxa"/>
            <w:shd w:val="clear" w:color="auto" w:fill="auto"/>
            <w:noWrap/>
            <w:vAlign w:val="bottom"/>
            <w:hideMark/>
          </w:tcPr>
          <w:p w14:paraId="3F94D27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233090.9</w:t>
            </w:r>
          </w:p>
        </w:tc>
        <w:tc>
          <w:tcPr>
            <w:tcW w:w="1276" w:type="dxa"/>
            <w:shd w:val="clear" w:color="auto" w:fill="auto"/>
            <w:noWrap/>
            <w:vAlign w:val="bottom"/>
            <w:hideMark/>
          </w:tcPr>
          <w:p w14:paraId="4B5ABD6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0.56</w:t>
            </w:r>
          </w:p>
        </w:tc>
        <w:tc>
          <w:tcPr>
            <w:tcW w:w="1134" w:type="dxa"/>
            <w:shd w:val="clear" w:color="auto" w:fill="auto"/>
            <w:noWrap/>
            <w:vAlign w:val="bottom"/>
            <w:hideMark/>
          </w:tcPr>
          <w:p w14:paraId="7321E02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0.27</w:t>
            </w:r>
          </w:p>
        </w:tc>
        <w:tc>
          <w:tcPr>
            <w:tcW w:w="1418" w:type="dxa"/>
            <w:shd w:val="clear" w:color="auto" w:fill="auto"/>
            <w:noWrap/>
            <w:vAlign w:val="bottom"/>
            <w:hideMark/>
          </w:tcPr>
          <w:p w14:paraId="75A1250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1.68</w:t>
            </w:r>
          </w:p>
        </w:tc>
        <w:tc>
          <w:tcPr>
            <w:tcW w:w="1843" w:type="dxa"/>
            <w:shd w:val="clear" w:color="auto" w:fill="auto"/>
            <w:noWrap/>
            <w:vAlign w:val="bottom"/>
            <w:hideMark/>
          </w:tcPr>
          <w:p w14:paraId="4216C7A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154.4</w:t>
            </w:r>
          </w:p>
        </w:tc>
      </w:tr>
      <w:tr w:rsidR="003332AD" w:rsidRPr="00B707EE" w14:paraId="4026957E" w14:textId="77777777" w:rsidTr="004013F8">
        <w:trPr>
          <w:trHeight w:val="288"/>
        </w:trPr>
        <w:tc>
          <w:tcPr>
            <w:tcW w:w="582" w:type="dxa"/>
            <w:shd w:val="clear" w:color="auto" w:fill="auto"/>
            <w:noWrap/>
            <w:vAlign w:val="bottom"/>
            <w:hideMark/>
          </w:tcPr>
          <w:p w14:paraId="1C0B02E8"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NO</w:t>
            </w:r>
          </w:p>
        </w:tc>
        <w:tc>
          <w:tcPr>
            <w:tcW w:w="1276" w:type="dxa"/>
            <w:shd w:val="clear" w:color="auto" w:fill="auto"/>
            <w:noWrap/>
            <w:vAlign w:val="bottom"/>
            <w:hideMark/>
          </w:tcPr>
          <w:p w14:paraId="6D7B3A26"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11.0</w:t>
            </w:r>
          </w:p>
        </w:tc>
        <w:tc>
          <w:tcPr>
            <w:tcW w:w="1559" w:type="dxa"/>
            <w:shd w:val="clear" w:color="auto" w:fill="auto"/>
            <w:noWrap/>
            <w:vAlign w:val="bottom"/>
            <w:hideMark/>
          </w:tcPr>
          <w:p w14:paraId="2B72A2AA"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154543.2</w:t>
            </w:r>
          </w:p>
        </w:tc>
        <w:tc>
          <w:tcPr>
            <w:tcW w:w="1276" w:type="dxa"/>
            <w:shd w:val="clear" w:color="auto" w:fill="auto"/>
            <w:noWrap/>
            <w:vAlign w:val="bottom"/>
            <w:hideMark/>
          </w:tcPr>
          <w:p w14:paraId="67D72BF2"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0.78</w:t>
            </w:r>
          </w:p>
        </w:tc>
        <w:tc>
          <w:tcPr>
            <w:tcW w:w="1134" w:type="dxa"/>
            <w:shd w:val="clear" w:color="auto" w:fill="auto"/>
            <w:noWrap/>
            <w:vAlign w:val="bottom"/>
            <w:hideMark/>
          </w:tcPr>
          <w:p w14:paraId="44BDDB1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0.18</w:t>
            </w:r>
          </w:p>
        </w:tc>
        <w:tc>
          <w:tcPr>
            <w:tcW w:w="1418" w:type="dxa"/>
            <w:shd w:val="clear" w:color="auto" w:fill="auto"/>
            <w:noWrap/>
            <w:vAlign w:val="bottom"/>
            <w:hideMark/>
          </w:tcPr>
          <w:p w14:paraId="428B356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0.73</w:t>
            </w:r>
          </w:p>
        </w:tc>
        <w:tc>
          <w:tcPr>
            <w:tcW w:w="1843" w:type="dxa"/>
            <w:shd w:val="clear" w:color="auto" w:fill="auto"/>
            <w:noWrap/>
            <w:vAlign w:val="bottom"/>
            <w:hideMark/>
          </w:tcPr>
          <w:p w14:paraId="718CC32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43.3</w:t>
            </w:r>
          </w:p>
        </w:tc>
      </w:tr>
      <w:tr w:rsidR="003332AD" w:rsidRPr="00B707EE" w14:paraId="01E5F0AB" w14:textId="77777777" w:rsidTr="004013F8">
        <w:trPr>
          <w:trHeight w:val="288"/>
        </w:trPr>
        <w:tc>
          <w:tcPr>
            <w:tcW w:w="582" w:type="dxa"/>
            <w:shd w:val="clear" w:color="auto" w:fill="auto"/>
            <w:noWrap/>
            <w:vAlign w:val="bottom"/>
            <w:hideMark/>
          </w:tcPr>
          <w:p w14:paraId="2341C7C9"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PL</w:t>
            </w:r>
          </w:p>
        </w:tc>
        <w:tc>
          <w:tcPr>
            <w:tcW w:w="1276" w:type="dxa"/>
            <w:shd w:val="clear" w:color="auto" w:fill="auto"/>
            <w:noWrap/>
            <w:vAlign w:val="bottom"/>
            <w:hideMark/>
          </w:tcPr>
          <w:p w14:paraId="2D9A28A9"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16.4</w:t>
            </w:r>
          </w:p>
        </w:tc>
        <w:tc>
          <w:tcPr>
            <w:tcW w:w="1559" w:type="dxa"/>
            <w:shd w:val="clear" w:color="auto" w:fill="auto"/>
            <w:noWrap/>
            <w:vAlign w:val="bottom"/>
            <w:hideMark/>
          </w:tcPr>
          <w:p w14:paraId="0E16AF8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102954.9</w:t>
            </w:r>
          </w:p>
        </w:tc>
        <w:tc>
          <w:tcPr>
            <w:tcW w:w="1276" w:type="dxa"/>
            <w:shd w:val="clear" w:color="auto" w:fill="auto"/>
            <w:noWrap/>
            <w:vAlign w:val="bottom"/>
            <w:hideMark/>
          </w:tcPr>
          <w:p w14:paraId="17591A4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0.70</w:t>
            </w:r>
          </w:p>
        </w:tc>
        <w:tc>
          <w:tcPr>
            <w:tcW w:w="1134" w:type="dxa"/>
            <w:shd w:val="clear" w:color="auto" w:fill="auto"/>
            <w:noWrap/>
            <w:vAlign w:val="bottom"/>
            <w:hideMark/>
          </w:tcPr>
          <w:p w14:paraId="5052B54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0.09</w:t>
            </w:r>
          </w:p>
        </w:tc>
        <w:tc>
          <w:tcPr>
            <w:tcW w:w="1418" w:type="dxa"/>
            <w:shd w:val="clear" w:color="auto" w:fill="auto"/>
            <w:noWrap/>
            <w:vAlign w:val="bottom"/>
            <w:hideMark/>
          </w:tcPr>
          <w:p w14:paraId="1001D65D"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0.27</w:t>
            </w:r>
          </w:p>
        </w:tc>
        <w:tc>
          <w:tcPr>
            <w:tcW w:w="1843" w:type="dxa"/>
            <w:shd w:val="clear" w:color="auto" w:fill="auto"/>
            <w:noWrap/>
            <w:vAlign w:val="bottom"/>
            <w:hideMark/>
          </w:tcPr>
          <w:p w14:paraId="318978A4"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6.8</w:t>
            </w:r>
          </w:p>
        </w:tc>
      </w:tr>
      <w:tr w:rsidR="003332AD" w:rsidRPr="00B707EE" w14:paraId="3164598E" w14:textId="77777777" w:rsidTr="004013F8">
        <w:trPr>
          <w:trHeight w:val="288"/>
        </w:trPr>
        <w:tc>
          <w:tcPr>
            <w:tcW w:w="582" w:type="dxa"/>
            <w:shd w:val="clear" w:color="auto" w:fill="auto"/>
            <w:noWrap/>
            <w:vAlign w:val="bottom"/>
            <w:hideMark/>
          </w:tcPr>
          <w:p w14:paraId="6D4E6F5D"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PT</w:t>
            </w:r>
          </w:p>
        </w:tc>
        <w:tc>
          <w:tcPr>
            <w:tcW w:w="1276" w:type="dxa"/>
            <w:shd w:val="clear" w:color="auto" w:fill="auto"/>
            <w:noWrap/>
            <w:vAlign w:val="bottom"/>
            <w:hideMark/>
          </w:tcPr>
          <w:p w14:paraId="7513392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12.0</w:t>
            </w:r>
          </w:p>
        </w:tc>
        <w:tc>
          <w:tcPr>
            <w:tcW w:w="1559" w:type="dxa"/>
            <w:shd w:val="clear" w:color="auto" w:fill="auto"/>
            <w:noWrap/>
            <w:vAlign w:val="bottom"/>
            <w:hideMark/>
          </w:tcPr>
          <w:p w14:paraId="7D853D7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112519.9</w:t>
            </w:r>
          </w:p>
        </w:tc>
        <w:tc>
          <w:tcPr>
            <w:tcW w:w="1276" w:type="dxa"/>
            <w:shd w:val="clear" w:color="auto" w:fill="auto"/>
            <w:noWrap/>
            <w:vAlign w:val="bottom"/>
            <w:hideMark/>
          </w:tcPr>
          <w:p w14:paraId="7B93575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0.71</w:t>
            </w:r>
          </w:p>
        </w:tc>
        <w:tc>
          <w:tcPr>
            <w:tcW w:w="1134" w:type="dxa"/>
            <w:shd w:val="clear" w:color="auto" w:fill="auto"/>
            <w:noWrap/>
            <w:vAlign w:val="bottom"/>
            <w:hideMark/>
          </w:tcPr>
          <w:p w14:paraId="5E8A9A77"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0.12</w:t>
            </w:r>
          </w:p>
        </w:tc>
        <w:tc>
          <w:tcPr>
            <w:tcW w:w="1418" w:type="dxa"/>
            <w:shd w:val="clear" w:color="auto" w:fill="auto"/>
            <w:noWrap/>
            <w:vAlign w:val="bottom"/>
            <w:hideMark/>
          </w:tcPr>
          <w:p w14:paraId="0654BCC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0.87</w:t>
            </w:r>
          </w:p>
        </w:tc>
        <w:tc>
          <w:tcPr>
            <w:tcW w:w="1843" w:type="dxa"/>
            <w:shd w:val="clear" w:color="auto" w:fill="auto"/>
            <w:noWrap/>
            <w:vAlign w:val="bottom"/>
            <w:hideMark/>
          </w:tcPr>
          <w:p w14:paraId="7BDB915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27.2</w:t>
            </w:r>
          </w:p>
        </w:tc>
      </w:tr>
      <w:tr w:rsidR="003332AD" w:rsidRPr="00B707EE" w14:paraId="2C7D0C41" w14:textId="77777777" w:rsidTr="004013F8">
        <w:trPr>
          <w:trHeight w:val="288"/>
        </w:trPr>
        <w:tc>
          <w:tcPr>
            <w:tcW w:w="582" w:type="dxa"/>
            <w:shd w:val="clear" w:color="auto" w:fill="auto"/>
            <w:noWrap/>
            <w:vAlign w:val="bottom"/>
            <w:hideMark/>
          </w:tcPr>
          <w:p w14:paraId="71CC5C0C"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SE</w:t>
            </w:r>
          </w:p>
        </w:tc>
        <w:tc>
          <w:tcPr>
            <w:tcW w:w="1276" w:type="dxa"/>
            <w:shd w:val="clear" w:color="auto" w:fill="auto"/>
            <w:noWrap/>
            <w:vAlign w:val="bottom"/>
            <w:hideMark/>
          </w:tcPr>
          <w:p w14:paraId="47F432C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20.1</w:t>
            </w:r>
          </w:p>
        </w:tc>
        <w:tc>
          <w:tcPr>
            <w:tcW w:w="1559" w:type="dxa"/>
            <w:shd w:val="clear" w:color="auto" w:fill="auto"/>
            <w:noWrap/>
            <w:vAlign w:val="bottom"/>
            <w:hideMark/>
          </w:tcPr>
          <w:p w14:paraId="7E4D67F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178256.3</w:t>
            </w:r>
          </w:p>
        </w:tc>
        <w:tc>
          <w:tcPr>
            <w:tcW w:w="1276" w:type="dxa"/>
            <w:shd w:val="clear" w:color="auto" w:fill="auto"/>
            <w:noWrap/>
            <w:vAlign w:val="bottom"/>
            <w:hideMark/>
          </w:tcPr>
          <w:p w14:paraId="7A996C5A"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0.72</w:t>
            </w:r>
          </w:p>
        </w:tc>
        <w:tc>
          <w:tcPr>
            <w:tcW w:w="1134" w:type="dxa"/>
            <w:shd w:val="clear" w:color="auto" w:fill="auto"/>
            <w:noWrap/>
            <w:vAlign w:val="bottom"/>
            <w:hideMark/>
          </w:tcPr>
          <w:p w14:paraId="6ADEB6C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0.26</w:t>
            </w:r>
          </w:p>
        </w:tc>
        <w:tc>
          <w:tcPr>
            <w:tcW w:w="1418" w:type="dxa"/>
            <w:shd w:val="clear" w:color="auto" w:fill="auto"/>
            <w:noWrap/>
            <w:vAlign w:val="bottom"/>
            <w:hideMark/>
          </w:tcPr>
          <w:p w14:paraId="7D17A4E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0.75</w:t>
            </w:r>
          </w:p>
        </w:tc>
        <w:tc>
          <w:tcPr>
            <w:tcW w:w="1843" w:type="dxa"/>
            <w:shd w:val="clear" w:color="auto" w:fill="auto"/>
            <w:noWrap/>
            <w:vAlign w:val="bottom"/>
            <w:hideMark/>
          </w:tcPr>
          <w:p w14:paraId="0F1ED27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61.0</w:t>
            </w:r>
          </w:p>
        </w:tc>
      </w:tr>
      <w:tr w:rsidR="003332AD" w:rsidRPr="00B707EE" w14:paraId="7CF264FC" w14:textId="77777777" w:rsidTr="004013F8">
        <w:trPr>
          <w:trHeight w:val="288"/>
        </w:trPr>
        <w:tc>
          <w:tcPr>
            <w:tcW w:w="582" w:type="dxa"/>
            <w:shd w:val="clear" w:color="auto" w:fill="auto"/>
            <w:noWrap/>
            <w:vAlign w:val="bottom"/>
            <w:hideMark/>
          </w:tcPr>
          <w:p w14:paraId="544BD81A"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t>SK</w:t>
            </w:r>
          </w:p>
        </w:tc>
        <w:tc>
          <w:tcPr>
            <w:tcW w:w="1276" w:type="dxa"/>
            <w:shd w:val="clear" w:color="auto" w:fill="auto"/>
            <w:noWrap/>
            <w:vAlign w:val="bottom"/>
            <w:hideMark/>
          </w:tcPr>
          <w:p w14:paraId="7CAE4A0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12.6</w:t>
            </w:r>
          </w:p>
        </w:tc>
        <w:tc>
          <w:tcPr>
            <w:tcW w:w="1559" w:type="dxa"/>
            <w:shd w:val="clear" w:color="auto" w:fill="auto"/>
            <w:noWrap/>
            <w:vAlign w:val="bottom"/>
            <w:hideMark/>
          </w:tcPr>
          <w:p w14:paraId="455A5CD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100806.7</w:t>
            </w:r>
          </w:p>
        </w:tc>
        <w:tc>
          <w:tcPr>
            <w:tcW w:w="1276" w:type="dxa"/>
            <w:shd w:val="clear" w:color="auto" w:fill="auto"/>
            <w:noWrap/>
            <w:vAlign w:val="bottom"/>
            <w:hideMark/>
          </w:tcPr>
          <w:p w14:paraId="36A942D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0.91</w:t>
            </w:r>
          </w:p>
        </w:tc>
        <w:tc>
          <w:tcPr>
            <w:tcW w:w="1134" w:type="dxa"/>
            <w:shd w:val="clear" w:color="auto" w:fill="auto"/>
            <w:noWrap/>
            <w:vAlign w:val="bottom"/>
            <w:hideMark/>
          </w:tcPr>
          <w:p w14:paraId="1676AAB8"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0.03</w:t>
            </w:r>
          </w:p>
        </w:tc>
        <w:tc>
          <w:tcPr>
            <w:tcW w:w="1418" w:type="dxa"/>
            <w:shd w:val="clear" w:color="auto" w:fill="auto"/>
            <w:noWrap/>
            <w:vAlign w:val="bottom"/>
            <w:hideMark/>
          </w:tcPr>
          <w:p w14:paraId="6180228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0.19</w:t>
            </w:r>
          </w:p>
        </w:tc>
        <w:tc>
          <w:tcPr>
            <w:tcW w:w="1843" w:type="dxa"/>
            <w:shd w:val="clear" w:color="auto" w:fill="auto"/>
            <w:noWrap/>
            <w:vAlign w:val="bottom"/>
            <w:hideMark/>
          </w:tcPr>
          <w:p w14:paraId="0BBA1633"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5.5</w:t>
            </w:r>
          </w:p>
        </w:tc>
      </w:tr>
      <w:tr w:rsidR="003332AD" w:rsidRPr="00B707EE" w14:paraId="51567D99" w14:textId="77777777" w:rsidTr="004013F8">
        <w:trPr>
          <w:trHeight w:val="288"/>
        </w:trPr>
        <w:tc>
          <w:tcPr>
            <w:tcW w:w="582" w:type="dxa"/>
            <w:shd w:val="clear" w:color="auto" w:fill="auto"/>
            <w:noWrap/>
            <w:vAlign w:val="bottom"/>
            <w:hideMark/>
          </w:tcPr>
          <w:p w14:paraId="7A191C2B" w14:textId="77777777" w:rsidR="003332AD" w:rsidRPr="00B707EE" w:rsidRDefault="003332AD" w:rsidP="004013F8">
            <w:pPr>
              <w:rPr>
                <w:color w:val="000000"/>
                <w:sz w:val="20"/>
                <w:szCs w:val="20"/>
                <w:lang w:val="pl-PL" w:eastAsia="pl-PL"/>
              </w:rPr>
            </w:pPr>
            <w:r w:rsidRPr="00B707EE">
              <w:rPr>
                <w:color w:val="000000"/>
                <w:sz w:val="20"/>
                <w:szCs w:val="20"/>
                <w:lang w:val="pl-PL" w:eastAsia="pl-PL"/>
              </w:rPr>
              <w:lastRenderedPageBreak/>
              <w:t>UK</w:t>
            </w:r>
          </w:p>
        </w:tc>
        <w:tc>
          <w:tcPr>
            <w:tcW w:w="1276" w:type="dxa"/>
            <w:shd w:val="clear" w:color="auto" w:fill="auto"/>
            <w:noWrap/>
            <w:vAlign w:val="bottom"/>
            <w:hideMark/>
          </w:tcPr>
          <w:p w14:paraId="305A8ACB"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17.2</w:t>
            </w:r>
          </w:p>
        </w:tc>
        <w:tc>
          <w:tcPr>
            <w:tcW w:w="1559" w:type="dxa"/>
            <w:shd w:val="clear" w:color="auto" w:fill="auto"/>
            <w:noWrap/>
            <w:vAlign w:val="bottom"/>
            <w:hideMark/>
          </w:tcPr>
          <w:p w14:paraId="1C8B5A4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214707.9</w:t>
            </w:r>
          </w:p>
        </w:tc>
        <w:tc>
          <w:tcPr>
            <w:tcW w:w="1276" w:type="dxa"/>
            <w:shd w:val="clear" w:color="auto" w:fill="auto"/>
            <w:noWrap/>
            <w:vAlign w:val="bottom"/>
            <w:hideMark/>
          </w:tcPr>
          <w:p w14:paraId="29120E30"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0.29</w:t>
            </w:r>
          </w:p>
        </w:tc>
        <w:tc>
          <w:tcPr>
            <w:tcW w:w="1134" w:type="dxa"/>
            <w:shd w:val="clear" w:color="auto" w:fill="auto"/>
            <w:noWrap/>
            <w:vAlign w:val="bottom"/>
            <w:hideMark/>
          </w:tcPr>
          <w:p w14:paraId="34B6FF1C"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0.16</w:t>
            </w:r>
          </w:p>
        </w:tc>
        <w:tc>
          <w:tcPr>
            <w:tcW w:w="1418" w:type="dxa"/>
            <w:shd w:val="clear" w:color="auto" w:fill="auto"/>
            <w:noWrap/>
            <w:vAlign w:val="bottom"/>
            <w:hideMark/>
          </w:tcPr>
          <w:p w14:paraId="6B65AD6F"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0.62</w:t>
            </w:r>
          </w:p>
        </w:tc>
        <w:tc>
          <w:tcPr>
            <w:tcW w:w="1843" w:type="dxa"/>
            <w:shd w:val="clear" w:color="auto" w:fill="auto"/>
            <w:noWrap/>
            <w:vAlign w:val="bottom"/>
            <w:hideMark/>
          </w:tcPr>
          <w:p w14:paraId="36BB7A7A" w14:textId="77777777" w:rsidR="003332AD" w:rsidRPr="00B707EE" w:rsidRDefault="003332AD" w:rsidP="004013F8">
            <w:pPr>
              <w:jc w:val="right"/>
              <w:rPr>
                <w:color w:val="000000"/>
                <w:sz w:val="20"/>
                <w:szCs w:val="20"/>
                <w:lang w:val="pl-PL" w:eastAsia="pl-PL"/>
              </w:rPr>
            </w:pPr>
            <w:r w:rsidRPr="00B707EE">
              <w:rPr>
                <w:color w:val="000000"/>
                <w:sz w:val="20"/>
                <w:szCs w:val="20"/>
                <w:lang w:val="pl-PL" w:eastAsia="pl-PL"/>
              </w:rPr>
              <w:t>59.4</w:t>
            </w:r>
          </w:p>
        </w:tc>
      </w:tr>
    </w:tbl>
    <w:p w14:paraId="09680B16" w14:textId="77777777" w:rsidR="003332AD" w:rsidRPr="00E279E9" w:rsidRDefault="003332AD" w:rsidP="003332AD">
      <w:pPr>
        <w:rPr>
          <w:sz w:val="20"/>
          <w:szCs w:val="20"/>
        </w:rPr>
      </w:pPr>
      <w:r w:rsidRPr="00E279E9">
        <w:rPr>
          <w:sz w:val="20"/>
          <w:szCs w:val="20"/>
        </w:rPr>
        <w:t>Source: own elaboration based on data from ETER, CWTS and EUPRO</w:t>
      </w:r>
    </w:p>
    <w:p w14:paraId="3CC7607F" w14:textId="77777777" w:rsidR="003332AD" w:rsidRDefault="003332AD" w:rsidP="009E586C">
      <w:pPr>
        <w:ind w:firstLine="1304"/>
        <w:jc w:val="both"/>
        <w:rPr>
          <w:iCs/>
          <w:color w:val="000000"/>
        </w:rPr>
      </w:pPr>
    </w:p>
    <w:p w14:paraId="6463E094" w14:textId="39F193B0" w:rsidR="003332AD" w:rsidRDefault="003332AD" w:rsidP="003332AD">
      <w:pPr>
        <w:keepNext/>
        <w:jc w:val="center"/>
      </w:pPr>
      <w:r>
        <w:t xml:space="preserve">Figure 1: </w:t>
      </w:r>
      <w:r w:rsidRPr="003332AD">
        <w:t>Non-academic staff to total staff, FTE – across countries, all years</w:t>
      </w:r>
      <w:r>
        <w:t>.</w:t>
      </w:r>
    </w:p>
    <w:p w14:paraId="47728A02" w14:textId="5B3AC3C9" w:rsidR="003332AD" w:rsidRDefault="003332AD" w:rsidP="003332AD">
      <w:pPr>
        <w:keepNext/>
        <w:jc w:val="center"/>
      </w:pPr>
      <w:r>
        <w:rPr>
          <w:noProof/>
          <w:lang w:eastAsia="en-GB"/>
        </w:rPr>
        <w:drawing>
          <wp:inline distT="0" distB="0" distL="0" distR="0" wp14:anchorId="7875CF8E" wp14:editId="5AA87D1C">
            <wp:extent cx="3954851" cy="29032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4851" cy="2903220"/>
                    </a:xfrm>
                    <a:prstGeom prst="rect">
                      <a:avLst/>
                    </a:prstGeom>
                    <a:noFill/>
                    <a:ln>
                      <a:noFill/>
                    </a:ln>
                  </pic:spPr>
                </pic:pic>
              </a:graphicData>
            </a:graphic>
          </wp:inline>
        </w:drawing>
      </w:r>
    </w:p>
    <w:p w14:paraId="1BFFE522" w14:textId="77777777" w:rsidR="00EA333B" w:rsidRDefault="00EA333B" w:rsidP="003332AD">
      <w:pPr>
        <w:keepNext/>
        <w:jc w:val="center"/>
      </w:pPr>
    </w:p>
    <w:p w14:paraId="3CD08C4D" w14:textId="04FEC4E9" w:rsidR="006F6998" w:rsidRDefault="006F6998" w:rsidP="006F6998">
      <w:pPr>
        <w:keepNext/>
        <w:ind w:firstLine="1304"/>
        <w:jc w:val="both"/>
      </w:pPr>
      <w:r w:rsidRPr="006F6998">
        <w:t>The main source of data for the US higher education institutions is th</w:t>
      </w:r>
      <w:r>
        <w:t xml:space="preserve">e Integrated </w:t>
      </w:r>
      <w:r w:rsidRPr="006F6998">
        <w:t xml:space="preserve">Postsecondary Education Data System (IPEDS). The final sample includes the institutions classified as public or private not-for-profit 4-year or longer, including institutions conducting research, excluding specialist (one-field) institutions such as: theological seminaries or medical schools (according to Carnegie classification): for which CWTS provides data on publication records and which are recorded in all analysed years (balanced panel). The final sample </w:t>
      </w:r>
      <w:r>
        <w:t>includes</w:t>
      </w:r>
      <w:r w:rsidRPr="006F6998">
        <w:t xml:space="preserve"> 341</w:t>
      </w:r>
      <w:r>
        <w:t xml:space="preserve"> HEIs. </w:t>
      </w:r>
    </w:p>
    <w:p w14:paraId="2E0FD529" w14:textId="77777777" w:rsidR="00F65803" w:rsidRDefault="00F65803" w:rsidP="009E586C">
      <w:pPr>
        <w:ind w:firstLine="1304"/>
        <w:jc w:val="both"/>
      </w:pPr>
    </w:p>
    <w:p w14:paraId="40047A3F" w14:textId="792BDE48" w:rsidR="008168F4" w:rsidRDefault="000C25AF">
      <w:pPr>
        <w:pStyle w:val="Titolo2"/>
        <w:jc w:val="both"/>
      </w:pPr>
      <w:r>
        <w:t xml:space="preserve">3. </w:t>
      </w:r>
      <w:r w:rsidR="009E586C">
        <w:t>Methodology</w:t>
      </w:r>
    </w:p>
    <w:p w14:paraId="15C09741" w14:textId="6596FF20" w:rsidR="00EC5073" w:rsidRPr="00EC5073" w:rsidRDefault="00EC5073" w:rsidP="00EC5073">
      <w:pPr>
        <w:autoSpaceDE w:val="0"/>
        <w:autoSpaceDN w:val="0"/>
        <w:adjustRightInd w:val="0"/>
        <w:jc w:val="both"/>
        <w:rPr>
          <w:lang w:val="en-US"/>
        </w:rPr>
      </w:pPr>
      <w:r w:rsidRPr="00EC5073">
        <w:rPr>
          <w:lang w:val="en-US"/>
        </w:rPr>
        <w:t xml:space="preserve">We assume that </w:t>
      </w:r>
      <w:r w:rsidR="00D70503" w:rsidRPr="009C1C69">
        <w:rPr>
          <w:lang w:val="en-US"/>
        </w:rPr>
        <w:t>heterogeneity</w:t>
      </w:r>
      <w:r w:rsidR="00D70503" w:rsidRPr="00572BDF">
        <w:rPr>
          <w:lang w:val="en-US"/>
        </w:rPr>
        <w:t xml:space="preserve"> </w:t>
      </w:r>
      <w:r w:rsidRPr="00EC5073">
        <w:rPr>
          <w:lang w:val="en-US"/>
        </w:rPr>
        <w:t>of nonacademic staff may be an unobserved (latent) factor of production and may affect the performance of universities</w:t>
      </w:r>
      <w:r w:rsidRPr="00EC5073">
        <w:rPr>
          <w:i/>
          <w:lang w:val="en-US"/>
        </w:rPr>
        <w:t>.</w:t>
      </w:r>
      <w:r w:rsidRPr="00EC5073">
        <w:rPr>
          <w:lang w:val="en-US"/>
        </w:rPr>
        <w:t xml:space="preserve"> We propose to use the approach suggested by Simar et al. (2016), which allows identification of a latent factor linked to some input as extended to the estimation of </w:t>
      </w:r>
      <w:r w:rsidR="00EA333B">
        <w:rPr>
          <w:lang w:val="en-US"/>
        </w:rPr>
        <w:t>efficiency analysis</w:t>
      </w:r>
      <w:r w:rsidRPr="00EC5073">
        <w:rPr>
          <w:lang w:val="en-US"/>
        </w:rPr>
        <w:t xml:space="preserve"> in Daraio et al. (</w:t>
      </w:r>
      <w:r w:rsidR="00D70503">
        <w:rPr>
          <w:lang w:val="en-US"/>
        </w:rPr>
        <w:t>2021</w:t>
      </w:r>
      <w:r w:rsidRPr="00EC5073">
        <w:rPr>
          <w:lang w:val="en-US"/>
        </w:rPr>
        <w:t>).</w:t>
      </w:r>
    </w:p>
    <w:p w14:paraId="18775A2E" w14:textId="63B16C6D" w:rsidR="00EC5073" w:rsidRPr="00EC5073" w:rsidRDefault="00EC5073" w:rsidP="00EC5073">
      <w:pPr>
        <w:autoSpaceDE w:val="0"/>
        <w:autoSpaceDN w:val="0"/>
        <w:adjustRightInd w:val="0"/>
        <w:jc w:val="both"/>
        <w:rPr>
          <w:lang w:val="en-US"/>
        </w:rPr>
      </w:pPr>
      <w:r w:rsidRPr="00EC5073">
        <w:rPr>
          <w:lang w:val="en-US"/>
        </w:rPr>
        <w:t xml:space="preserve">Let us assume, without loss of generality, that the latent </w:t>
      </w:r>
      <w:r w:rsidR="00D70503" w:rsidRPr="009C1C69">
        <w:rPr>
          <w:lang w:val="en-US"/>
        </w:rPr>
        <w:t>heterogeneity</w:t>
      </w:r>
      <w:r w:rsidR="00D70503" w:rsidRPr="00572BDF">
        <w:rPr>
          <w:lang w:val="en-US"/>
        </w:rPr>
        <w:t xml:space="preserve"> </w:t>
      </w:r>
      <w:r w:rsidRPr="00EC5073">
        <w:rPr>
          <w:lang w:val="en-US"/>
        </w:rPr>
        <w:t>factor, LQ is linked to the input X and that we can write the link through the following nonparametric model</w:t>
      </w:r>
    </w:p>
    <w:p w14:paraId="35CB47B7" w14:textId="77777777" w:rsidR="00EC5073" w:rsidRPr="00EC5073" w:rsidRDefault="00EC5073" w:rsidP="00EC5073">
      <w:pPr>
        <w:autoSpaceDE w:val="0"/>
        <w:autoSpaceDN w:val="0"/>
        <w:adjustRightInd w:val="0"/>
        <w:jc w:val="center"/>
        <w:rPr>
          <w:lang w:val="en-US"/>
        </w:rPr>
      </w:pPr>
      <w:r w:rsidRPr="00EC5073">
        <w:rPr>
          <w:lang w:val="en-US"/>
        </w:rPr>
        <w:t>X = γ(W,LQ)                          (1)</w:t>
      </w:r>
    </w:p>
    <w:p w14:paraId="528B0960" w14:textId="77777777" w:rsidR="00EC5073" w:rsidRPr="00EC5073" w:rsidRDefault="00EC5073" w:rsidP="00EC5073">
      <w:pPr>
        <w:autoSpaceDE w:val="0"/>
        <w:autoSpaceDN w:val="0"/>
        <w:adjustRightInd w:val="0"/>
        <w:jc w:val="both"/>
        <w:rPr>
          <w:lang w:val="en-US"/>
        </w:rPr>
      </w:pPr>
      <w:r w:rsidRPr="00EC5073">
        <w:rPr>
          <w:lang w:val="en-US"/>
        </w:rPr>
        <w:t xml:space="preserve">Where W is an auxiliary variable, correlated to X but independent of LQ . This model is nonseparable in LQ (see Matzkin, 2003). The classical assumptions of the model are: </w:t>
      </w:r>
    </w:p>
    <w:p w14:paraId="3AF3962C" w14:textId="77777777" w:rsidR="00EC5073" w:rsidRPr="00EC5073" w:rsidRDefault="00EC5073" w:rsidP="00EC5073">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EC5073">
        <w:rPr>
          <w:rFonts w:ascii="Times New Roman" w:hAnsi="Times New Roman" w:cs="Times New Roman"/>
          <w:sz w:val="24"/>
          <w:szCs w:val="24"/>
          <w:lang w:val="en-US"/>
        </w:rPr>
        <w:t xml:space="preserve">monotonicity (increasing) of γ with respect to LQ, and </w:t>
      </w:r>
    </w:p>
    <w:p w14:paraId="2DD4D7D9" w14:textId="77777777" w:rsidR="00EC5073" w:rsidRPr="00EC5073" w:rsidRDefault="00EC5073" w:rsidP="00EC5073">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EC5073">
        <w:rPr>
          <w:rFonts w:ascii="Times New Roman" w:hAnsi="Times New Roman" w:cs="Times New Roman"/>
          <w:sz w:val="24"/>
          <w:szCs w:val="24"/>
          <w:lang w:val="en-US"/>
        </w:rPr>
        <w:t xml:space="preserve">LQ is uniformly distributed on [0; 1]; this is just a rescaling of LQ such that it can be interpreted as a quantile. </w:t>
      </w:r>
    </w:p>
    <w:p w14:paraId="59696CB5" w14:textId="77777777" w:rsidR="00EC5073" w:rsidRPr="00EC5073" w:rsidRDefault="00EC5073" w:rsidP="00EC5073">
      <w:pPr>
        <w:autoSpaceDE w:val="0"/>
        <w:autoSpaceDN w:val="0"/>
        <w:adjustRightInd w:val="0"/>
        <w:jc w:val="both"/>
        <w:rPr>
          <w:lang w:val="en-US"/>
        </w:rPr>
      </w:pPr>
      <w:r w:rsidRPr="00EC5073">
        <w:rPr>
          <w:lang w:val="en-US"/>
        </w:rPr>
        <w:t>It is known that under these assumptions LQ is identified by the conditional distribution of X given W</w:t>
      </w:r>
    </w:p>
    <w:p w14:paraId="3C7C4388" w14:textId="77777777" w:rsidR="00EC5073" w:rsidRPr="00EC5073" w:rsidRDefault="00EC5073" w:rsidP="00EC5073">
      <w:pPr>
        <w:autoSpaceDE w:val="0"/>
        <w:autoSpaceDN w:val="0"/>
        <w:adjustRightInd w:val="0"/>
        <w:jc w:val="center"/>
        <w:rPr>
          <w:lang w:val="en-US"/>
        </w:rPr>
      </w:pPr>
      <w:r w:rsidRPr="00EC5073">
        <w:rPr>
          <w:lang w:val="en-US"/>
        </w:rPr>
        <w:t>LQ = F</w:t>
      </w:r>
      <w:r w:rsidRPr="00EC5073">
        <w:rPr>
          <w:vertAlign w:val="subscript"/>
          <w:lang w:val="en-US"/>
        </w:rPr>
        <w:t xml:space="preserve">X|W                                   </w:t>
      </w:r>
      <w:r w:rsidRPr="00EC5073">
        <w:rPr>
          <w:lang w:val="en-US"/>
        </w:rPr>
        <w:t>(2)</w:t>
      </w:r>
    </w:p>
    <w:p w14:paraId="063781D7" w14:textId="3FCB9B16" w:rsidR="00EC5073" w:rsidRPr="00EC5073" w:rsidRDefault="00EA333B" w:rsidP="00EC5073">
      <w:pPr>
        <w:autoSpaceDE w:val="0"/>
        <w:autoSpaceDN w:val="0"/>
        <w:adjustRightInd w:val="0"/>
        <w:jc w:val="both"/>
        <w:rPr>
          <w:lang w:val="en-US"/>
        </w:rPr>
      </w:pPr>
      <w:r>
        <w:rPr>
          <w:lang w:val="en-US"/>
        </w:rPr>
        <w:t>Hence</w:t>
      </w:r>
      <w:r w:rsidR="00EC5073" w:rsidRPr="00EC5073">
        <w:rPr>
          <w:lang w:val="en-US"/>
        </w:rPr>
        <w:t xml:space="preserve">, we can see the latent </w:t>
      </w:r>
      <w:r w:rsidR="00D70503" w:rsidRPr="009C1C69">
        <w:rPr>
          <w:lang w:val="en-US"/>
        </w:rPr>
        <w:t>heterogeneity</w:t>
      </w:r>
      <w:r w:rsidR="00D70503" w:rsidRPr="00572BDF">
        <w:rPr>
          <w:lang w:val="en-US"/>
        </w:rPr>
        <w:t xml:space="preserve"> </w:t>
      </w:r>
      <w:r w:rsidR="00EC5073" w:rsidRPr="00EC5073">
        <w:rPr>
          <w:lang w:val="en-US"/>
        </w:rPr>
        <w:t>variable LQ as the part of X which is independent of W.</w:t>
      </w:r>
    </w:p>
    <w:p w14:paraId="0B28B26E" w14:textId="64CDCA4A" w:rsidR="00EC5073" w:rsidRPr="00EC5073" w:rsidRDefault="00EC5073" w:rsidP="00EC5073">
      <w:pPr>
        <w:autoSpaceDE w:val="0"/>
        <w:autoSpaceDN w:val="0"/>
        <w:adjustRightInd w:val="0"/>
        <w:jc w:val="both"/>
        <w:rPr>
          <w:lang w:val="en-US"/>
        </w:rPr>
      </w:pPr>
      <w:r w:rsidRPr="00EC5073">
        <w:rPr>
          <w:lang w:val="en-US"/>
        </w:rPr>
        <w:t xml:space="preserve">The choice of the input X and of the auxiliary variable W are crucial to identify the latent </w:t>
      </w:r>
      <w:r w:rsidR="00D70503" w:rsidRPr="009C1C69">
        <w:rPr>
          <w:lang w:val="en-US"/>
        </w:rPr>
        <w:t>heterogeneity</w:t>
      </w:r>
      <w:r w:rsidR="00D70503" w:rsidRPr="00572BDF">
        <w:rPr>
          <w:lang w:val="en-US"/>
        </w:rPr>
        <w:t xml:space="preserve"> </w:t>
      </w:r>
      <w:r w:rsidRPr="00EC5073">
        <w:rPr>
          <w:lang w:val="en-US"/>
        </w:rPr>
        <w:t xml:space="preserve">variable we are interested in. We may identify latent quality factors using a different auxiliary variable for each input (Simar et al. 2016) or we could even use the same </w:t>
      </w:r>
      <w:r w:rsidRPr="00EC5073">
        <w:rPr>
          <w:lang w:val="en-US"/>
        </w:rPr>
        <w:lastRenderedPageBreak/>
        <w:t xml:space="preserve">auxiliary variable for identifying latent </w:t>
      </w:r>
      <w:r w:rsidR="00D70503" w:rsidRPr="009C1C69">
        <w:rPr>
          <w:lang w:val="en-US"/>
        </w:rPr>
        <w:t>heterogeneity</w:t>
      </w:r>
      <w:r w:rsidR="00D70503" w:rsidRPr="00572BDF">
        <w:rPr>
          <w:lang w:val="en-US"/>
        </w:rPr>
        <w:t xml:space="preserve"> </w:t>
      </w:r>
      <w:r w:rsidRPr="00EC5073">
        <w:rPr>
          <w:lang w:val="en-US"/>
        </w:rPr>
        <w:t xml:space="preserve">factors linked to different inputs. As pointed in Simar et al. (2016), it has to be noticed that the function γ is unknown and in nonseparable models like (1) LQ plays the role of residual. Under the monotonicity assumption, LQ is identified by (2) and since LQ is uniform on [0; 1], γ can be interpreted as a quantile function. This is a nice duality property of these nonseparable models. The choice of the uniform distribution for LQ is not a limitation since it is just a matter of rescaling LQ, but if we rescale it in another way, then we </w:t>
      </w:r>
      <w:r w:rsidR="00EA333B" w:rsidRPr="00EC5073">
        <w:rPr>
          <w:lang w:val="en-US"/>
        </w:rPr>
        <w:t>lose</w:t>
      </w:r>
      <w:r w:rsidRPr="00EC5073">
        <w:rPr>
          <w:lang w:val="en-US"/>
        </w:rPr>
        <w:t xml:space="preserve"> the natural interpretation in terms of quantile function and cdf (cumulative distribution function). </w:t>
      </w:r>
      <w:r w:rsidRPr="00EC5073">
        <w:rPr>
          <w:rFonts w:eastAsiaTheme="minorEastAsia"/>
          <w:lang w:val="en-US"/>
        </w:rPr>
        <w:t xml:space="preserve">Since γ and then FX|W are unknown, we will estimate them, nonparametrically, by means of kernel methods. For each observation </w:t>
      </w:r>
      <w:r w:rsidRPr="00F43093">
        <w:rPr>
          <w:rFonts w:eastAsiaTheme="minorEastAsia"/>
          <w:i/>
          <w:iCs/>
          <w:lang w:val="en-US"/>
        </w:rPr>
        <w:t>i</w:t>
      </w:r>
      <w:r w:rsidRPr="00EC5073">
        <w:rPr>
          <w:rFonts w:eastAsiaTheme="minorEastAsia"/>
          <w:lang w:val="en-US"/>
        </w:rPr>
        <w:t xml:space="preserve"> (university in our case), the latent </w:t>
      </w:r>
      <w:r w:rsidR="00D70503" w:rsidRPr="009C1C69">
        <w:rPr>
          <w:lang w:val="en-US"/>
        </w:rPr>
        <w:t>heterogeneity</w:t>
      </w:r>
      <w:r w:rsidR="00D70503" w:rsidRPr="00572BDF">
        <w:rPr>
          <w:lang w:val="en-US"/>
        </w:rPr>
        <w:t xml:space="preserve"> </w:t>
      </w:r>
      <w:r w:rsidRPr="00EC5073">
        <w:rPr>
          <w:rFonts w:eastAsiaTheme="minorEastAsia"/>
          <w:lang w:val="en-US"/>
        </w:rPr>
        <w:t xml:space="preserve">factor </w:t>
      </w:r>
      <m:oMath>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oMath>
      <w:r w:rsidRPr="00EC5073">
        <w:rPr>
          <w:rFonts w:eastAsiaTheme="minorEastAsia"/>
          <w:lang w:val="en-US"/>
        </w:rPr>
        <w:t xml:space="preserve"> will be estimated by a natural estimator given by</w:t>
      </w:r>
    </w:p>
    <w:p w14:paraId="3351CF53" w14:textId="4FF16869" w:rsidR="00EC5073" w:rsidRPr="00EC5073" w:rsidRDefault="00606E8E" w:rsidP="00EC5073">
      <w:pPr>
        <w:autoSpaceDE w:val="0"/>
        <w:autoSpaceDN w:val="0"/>
        <w:adjustRightInd w:val="0"/>
        <w:jc w:val="center"/>
        <w:rPr>
          <w:rFonts w:eastAsiaTheme="minorEastAsia"/>
          <w:lang w:val="en-US"/>
        </w:rPr>
      </w:pP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r>
          <m:rPr>
            <m:sty m:val="p"/>
          </m:rPr>
          <w:rPr>
            <w:rFonts w:ascii="Cambria Math" w:eastAsiaTheme="minorEastAsia" w:hAnsi="Cambria Math"/>
            <w:lang w:val="en-US"/>
          </w:rPr>
          <m:t>=</m:t>
        </m:r>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F</m:t>
                </m:r>
              </m:e>
              <m:sub>
                <m:r>
                  <w:rPr>
                    <w:rFonts w:ascii="Cambria Math" w:eastAsiaTheme="minorEastAsia" w:hAnsi="Cambria Math"/>
                    <w:lang w:val="en-US"/>
                  </w:rPr>
                  <m:t>X</m:t>
                </m:r>
                <m:r>
                  <m:rPr>
                    <m:sty m:val="p"/>
                  </m:rPr>
                  <w:rPr>
                    <w:rFonts w:ascii="Cambria Math" w:eastAsiaTheme="minorEastAsia" w:hAnsi="Cambria Math"/>
                    <w:lang w:val="en-US"/>
                  </w:rPr>
                  <m:t>|</m:t>
                </m:r>
                <m:r>
                  <w:rPr>
                    <w:rFonts w:ascii="Cambria Math" w:eastAsiaTheme="minorEastAsia" w:hAnsi="Cambria Math"/>
                    <w:lang w:val="en-US"/>
                  </w:rPr>
                  <m:t>W</m:t>
                </m:r>
              </m:sub>
            </m:sSub>
          </m:e>
        </m:acc>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X</m:t>
                </m:r>
              </m:e>
              <m:sub>
                <m:r>
                  <w:rPr>
                    <w:rFonts w:ascii="Cambria Math" w:eastAsiaTheme="minorEastAsia" w:hAnsi="Cambria Math"/>
                    <w:lang w:val="en-US"/>
                  </w:rPr>
                  <m:t>i</m:t>
                </m:r>
              </m:sub>
            </m:sSub>
          </m:e>
          <m:e>
            <m:sSub>
              <m:sSubPr>
                <m:ctrlPr>
                  <w:rPr>
                    <w:rFonts w:ascii="Cambria Math" w:eastAsiaTheme="minorEastAsia" w:hAnsi="Cambria Math"/>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e>
        </m:d>
        <m:r>
          <m:rPr>
            <m:sty m:val="p"/>
          </m:rPr>
          <w:rPr>
            <w:rFonts w:ascii="Cambria Math" w:eastAsiaTheme="minorEastAsia" w:hAnsi="Cambria Math"/>
            <w:lang w:val="en-US"/>
          </w:rPr>
          <m:t>=</m:t>
        </m:r>
        <m:f>
          <m:fPr>
            <m:ctrlPr>
              <w:rPr>
                <w:rFonts w:ascii="Cambria Math" w:eastAsiaTheme="minorEastAsia" w:hAnsi="Cambria Math"/>
                <w:lang w:val="en-US"/>
              </w:rPr>
            </m:ctrlPr>
          </m:fPr>
          <m:num>
            <m:nary>
              <m:naryPr>
                <m:chr m:val="∑"/>
                <m:limLoc m:val="undOvr"/>
                <m:ctrlPr>
                  <w:rPr>
                    <w:rFonts w:ascii="Cambria Math" w:eastAsiaTheme="minorEastAsia" w:hAnsi="Cambria Math"/>
                    <w:lang w:val="en-US"/>
                  </w:rPr>
                </m:ctrlPr>
              </m:naryPr>
              <m:sub>
                <m:r>
                  <w:rPr>
                    <w:rFonts w:ascii="Cambria Math" w:eastAsiaTheme="minorEastAsia" w:hAnsi="Cambria Math"/>
                    <w:lang w:val="en-US"/>
                  </w:rPr>
                  <m:t>k</m:t>
                </m:r>
                <m:r>
                  <m:rPr>
                    <m:sty m:val="p"/>
                  </m:rPr>
                  <w:rPr>
                    <w:rFonts w:ascii="Cambria Math" w:eastAsiaTheme="minorEastAsia" w:hAnsi="Cambria Math"/>
                    <w:lang w:val="en-US"/>
                  </w:rPr>
                  <m:t>=1</m:t>
                </m:r>
              </m:sub>
              <m:sup>
                <m:r>
                  <w:rPr>
                    <w:rFonts w:ascii="Cambria Math" w:eastAsiaTheme="minorEastAsia" w:hAnsi="Cambria Math"/>
                    <w:lang w:val="en-US"/>
                  </w:rPr>
                  <m:t>n</m:t>
                </m:r>
              </m:sup>
              <m:e>
                <m:r>
                  <w:rPr>
                    <w:rFonts w:ascii="Cambria Math" w:eastAsiaTheme="minorEastAsia" w:hAnsi="Cambria Math"/>
                    <w:lang w:val="en-US"/>
                  </w:rPr>
                  <m:t>I</m:t>
                </m:r>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X</m:t>
                        </m:r>
                      </m:e>
                      <m:sub>
                        <m:r>
                          <w:rPr>
                            <w:rFonts w:ascii="Cambria Math" w:eastAsiaTheme="minorEastAsia" w:hAnsi="Cambria Math"/>
                            <w:lang w:val="en-US"/>
                          </w:rPr>
                          <m:t>k</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X</m:t>
                        </m:r>
                      </m:e>
                      <m:sub>
                        <m:r>
                          <w:rPr>
                            <w:rFonts w:ascii="Cambria Math" w:eastAsiaTheme="minorEastAsia" w:hAnsi="Cambria Math"/>
                            <w:lang w:val="en-US"/>
                          </w:rPr>
                          <m:t>i</m:t>
                        </m:r>
                      </m:sub>
                    </m:sSub>
                  </m:e>
                </m:d>
                <m:sSub>
                  <m:sSubPr>
                    <m:ctrlPr>
                      <w:rPr>
                        <w:rFonts w:ascii="Cambria Math" w:eastAsiaTheme="minorEastAsia" w:hAnsi="Cambria Math"/>
                        <w:lang w:val="en-US"/>
                      </w:rPr>
                    </m:ctrlPr>
                  </m:sSubPr>
                  <m:e>
                    <m:r>
                      <w:rPr>
                        <w:rFonts w:ascii="Cambria Math" w:eastAsiaTheme="minorEastAsia" w:hAnsi="Cambria Math"/>
                        <w:lang w:val="en-US"/>
                      </w:rPr>
                      <m:t>K</m:t>
                    </m:r>
                  </m:e>
                  <m:sub>
                    <m:sSub>
                      <m:sSubPr>
                        <m:ctrlPr>
                          <w:rPr>
                            <w:rFonts w:ascii="Cambria Math" w:eastAsiaTheme="minorEastAsia" w:hAnsi="Cambria Math"/>
                            <w:lang w:val="en-US"/>
                          </w:rPr>
                        </m:ctrlPr>
                      </m:sSubPr>
                      <m:e>
                        <m:r>
                          <w:rPr>
                            <w:rFonts w:ascii="Cambria Math" w:eastAsiaTheme="minorEastAsia" w:hAnsi="Cambria Math"/>
                            <w:lang w:val="en-US"/>
                          </w:rPr>
                          <m:t>h</m:t>
                        </m:r>
                      </m:e>
                      <m:sub>
                        <m:r>
                          <w:rPr>
                            <w:rFonts w:ascii="Cambria Math" w:eastAsiaTheme="minorEastAsia" w:hAnsi="Cambria Math"/>
                            <w:lang w:val="en-US"/>
                          </w:rPr>
                          <m:t>w</m:t>
                        </m:r>
                      </m:sub>
                    </m:sSub>
                  </m:sub>
                </m:sSub>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W</m:t>
                        </m:r>
                      </m:e>
                      <m:sub>
                        <m:r>
                          <w:rPr>
                            <w:rFonts w:ascii="Cambria Math" w:eastAsiaTheme="minorEastAsia" w:hAnsi="Cambria Math"/>
                            <w:lang w:val="en-US"/>
                          </w:rPr>
                          <m:t>k</m:t>
                        </m:r>
                      </m:sub>
                    </m:sSub>
                  </m:e>
                </m:d>
              </m:e>
            </m:nary>
          </m:num>
          <m:den>
            <m:nary>
              <m:naryPr>
                <m:chr m:val="∑"/>
                <m:limLoc m:val="undOvr"/>
                <m:ctrlPr>
                  <w:rPr>
                    <w:rFonts w:ascii="Cambria Math" w:eastAsiaTheme="minorEastAsia" w:hAnsi="Cambria Math"/>
                    <w:lang w:val="en-US"/>
                  </w:rPr>
                </m:ctrlPr>
              </m:naryPr>
              <m:sub>
                <m:r>
                  <w:rPr>
                    <w:rFonts w:ascii="Cambria Math" w:eastAsiaTheme="minorEastAsia" w:hAnsi="Cambria Math"/>
                    <w:lang w:val="en-US"/>
                  </w:rPr>
                  <m:t>k</m:t>
                </m:r>
                <m:r>
                  <m:rPr>
                    <m:sty m:val="p"/>
                  </m:rPr>
                  <w:rPr>
                    <w:rFonts w:ascii="Cambria Math" w:eastAsiaTheme="minorEastAsia" w:hAnsi="Cambria Math"/>
                    <w:lang w:val="en-US"/>
                  </w:rPr>
                  <m:t>=1</m:t>
                </m:r>
              </m:sub>
              <m:sup>
                <m:r>
                  <w:rPr>
                    <w:rFonts w:ascii="Cambria Math" w:eastAsiaTheme="minorEastAsia" w:hAnsi="Cambria Math"/>
                    <w:lang w:val="en-US"/>
                  </w:rPr>
                  <m:t>n</m:t>
                </m:r>
              </m:sup>
              <m:e>
                <m:sSub>
                  <m:sSubPr>
                    <m:ctrlPr>
                      <w:rPr>
                        <w:rFonts w:ascii="Cambria Math" w:eastAsiaTheme="minorEastAsia" w:hAnsi="Cambria Math"/>
                        <w:lang w:val="en-US"/>
                      </w:rPr>
                    </m:ctrlPr>
                  </m:sSubPr>
                  <m:e>
                    <m:r>
                      <w:rPr>
                        <w:rFonts w:ascii="Cambria Math" w:eastAsiaTheme="minorEastAsia" w:hAnsi="Cambria Math"/>
                        <w:lang w:val="en-US"/>
                      </w:rPr>
                      <m:t>K</m:t>
                    </m:r>
                  </m:e>
                  <m:sub>
                    <m:sSub>
                      <m:sSubPr>
                        <m:ctrlPr>
                          <w:rPr>
                            <w:rFonts w:ascii="Cambria Math" w:eastAsiaTheme="minorEastAsia" w:hAnsi="Cambria Math"/>
                            <w:lang w:val="en-US"/>
                          </w:rPr>
                        </m:ctrlPr>
                      </m:sSubPr>
                      <m:e>
                        <m:r>
                          <w:rPr>
                            <w:rFonts w:ascii="Cambria Math" w:eastAsiaTheme="minorEastAsia" w:hAnsi="Cambria Math"/>
                            <w:lang w:val="en-US"/>
                          </w:rPr>
                          <m:t>h</m:t>
                        </m:r>
                      </m:e>
                      <m:sub>
                        <m:r>
                          <w:rPr>
                            <w:rFonts w:ascii="Cambria Math" w:eastAsiaTheme="minorEastAsia" w:hAnsi="Cambria Math"/>
                            <w:lang w:val="en-US"/>
                          </w:rPr>
                          <m:t>w</m:t>
                        </m:r>
                      </m:sub>
                    </m:sSub>
                  </m:sub>
                </m:sSub>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W</m:t>
                        </m:r>
                      </m:e>
                      <m:sub>
                        <m:r>
                          <w:rPr>
                            <w:rFonts w:ascii="Cambria Math" w:eastAsiaTheme="minorEastAsia" w:hAnsi="Cambria Math"/>
                            <w:lang w:val="en-US"/>
                          </w:rPr>
                          <m:t>k</m:t>
                        </m:r>
                      </m:sub>
                    </m:sSub>
                  </m:e>
                </m:d>
              </m:e>
            </m:nary>
          </m:den>
        </m:f>
      </m:oMath>
      <w:r w:rsidR="00EC5073">
        <w:rPr>
          <w:rFonts w:eastAsiaTheme="minorEastAsia"/>
          <w:lang w:val="en-US"/>
        </w:rPr>
        <w:t xml:space="preserve"> </w:t>
      </w:r>
      <w:r w:rsidR="00EC5073">
        <w:rPr>
          <w:rFonts w:eastAsiaTheme="minorEastAsia"/>
          <w:lang w:val="en-US"/>
        </w:rPr>
        <w:tab/>
        <w:t>(3)</w:t>
      </w:r>
    </w:p>
    <w:p w14:paraId="08033954" w14:textId="73E1C568" w:rsidR="00EC5073" w:rsidRPr="00EC5073" w:rsidRDefault="00EC5073" w:rsidP="00EC5073">
      <w:pPr>
        <w:autoSpaceDE w:val="0"/>
        <w:autoSpaceDN w:val="0"/>
        <w:adjustRightInd w:val="0"/>
        <w:jc w:val="both"/>
        <w:rPr>
          <w:rFonts w:eastAsiaTheme="minorEastAsia"/>
          <w:lang w:val="en-US"/>
        </w:rPr>
      </w:pPr>
      <w:r w:rsidRPr="00EC5073">
        <w:rPr>
          <w:rFonts w:eastAsiaTheme="minorEastAsia"/>
          <w:lang w:val="en-US"/>
        </w:rPr>
        <w:t xml:space="preserve">Where K is a kernel function and </w:t>
      </w:r>
      <m:oMath>
        <m:sSub>
          <m:sSubPr>
            <m:ctrlPr>
              <w:rPr>
                <w:rFonts w:ascii="Cambria Math" w:eastAsiaTheme="minorEastAsia" w:hAnsi="Cambria Math"/>
                <w:lang w:val="en-US"/>
              </w:rPr>
            </m:ctrlPr>
          </m:sSubPr>
          <m:e>
            <m:r>
              <w:rPr>
                <w:rFonts w:ascii="Cambria Math" w:eastAsiaTheme="minorEastAsia" w:hAnsi="Cambria Math"/>
                <w:lang w:val="en-US"/>
              </w:rPr>
              <m:t>h</m:t>
            </m:r>
          </m:e>
          <m:sub>
            <m:r>
              <w:rPr>
                <w:rFonts w:ascii="Cambria Math" w:eastAsiaTheme="minorEastAsia" w:hAnsi="Cambria Math"/>
                <w:lang w:val="en-US"/>
              </w:rPr>
              <m:t>w</m:t>
            </m:r>
          </m:sub>
        </m:sSub>
      </m:oMath>
      <w:r w:rsidRPr="00EC5073">
        <w:rPr>
          <w:rFonts w:eastAsiaTheme="minorEastAsia"/>
          <w:lang w:val="en-US"/>
        </w:rPr>
        <w:t xml:space="preserve"> is a bandwidth parameter that can be estimated on the sample.</w:t>
      </w:r>
      <w:r>
        <w:rPr>
          <w:rFonts w:eastAsiaTheme="minorEastAsia"/>
          <w:lang w:val="en-US"/>
        </w:rPr>
        <w:t xml:space="preserve"> </w:t>
      </w:r>
      <w:r w:rsidRPr="00EC5073">
        <w:rPr>
          <w:rFonts w:eastAsiaTheme="minorEastAsia"/>
          <w:lang w:val="en-US"/>
        </w:rPr>
        <w:t xml:space="preserve">Once the estimation is carried out, we have to check the independence of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oMath>
      <w:r w:rsidRPr="00EC5073">
        <w:rPr>
          <w:rFonts w:eastAsiaTheme="minorEastAsia"/>
          <w:lang w:val="en-US"/>
        </w:rPr>
        <w:t xml:space="preserve">, the estimated LQ factor, from W and the correlation of the partial observed indicators of quality with the estimated latent </w:t>
      </w:r>
      <w:r w:rsidR="00D70503" w:rsidRPr="009C1C69">
        <w:rPr>
          <w:lang w:val="en-US"/>
        </w:rPr>
        <w:t>heterogeneity</w:t>
      </w:r>
      <w:r w:rsidR="00D70503" w:rsidRPr="00572BDF">
        <w:rPr>
          <w:lang w:val="en-US"/>
        </w:rPr>
        <w:t xml:space="preserve"> </w:t>
      </w:r>
      <w:r w:rsidRPr="00EC5073">
        <w:rPr>
          <w:rFonts w:eastAsiaTheme="minorEastAsia"/>
          <w:lang w:val="en-US"/>
        </w:rPr>
        <w:t xml:space="preserve">factor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oMath>
      <w:r w:rsidRPr="00EC5073">
        <w:rPr>
          <w:rFonts w:eastAsiaTheme="minorEastAsia"/>
          <w:lang w:val="en-US"/>
        </w:rPr>
        <w:t>.</w:t>
      </w:r>
      <w:r>
        <w:rPr>
          <w:rFonts w:eastAsiaTheme="minorEastAsia"/>
          <w:lang w:val="en-US"/>
        </w:rPr>
        <w:t xml:space="preserve"> The</w:t>
      </w:r>
      <w:r w:rsidRPr="00EC5073">
        <w:rPr>
          <w:rFonts w:eastAsiaTheme="minorEastAsia"/>
          <w:lang w:val="en-US"/>
        </w:rPr>
        <w:t xml:space="preserve"> latent </w:t>
      </w:r>
      <w:r w:rsidR="00D70503" w:rsidRPr="009C1C69">
        <w:rPr>
          <w:lang w:val="en-US"/>
        </w:rPr>
        <w:t>heterogeneity</w:t>
      </w:r>
      <w:r w:rsidR="00D70503" w:rsidRPr="00572BDF">
        <w:rPr>
          <w:lang w:val="en-US"/>
        </w:rPr>
        <w:t xml:space="preserve"> </w:t>
      </w:r>
      <w:r w:rsidRPr="00EC5073">
        <w:rPr>
          <w:rFonts w:eastAsiaTheme="minorEastAsia"/>
          <w:lang w:val="en-US"/>
        </w:rPr>
        <w:t xml:space="preserve">factor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m:rPr>
                    <m:sty m:val="bi"/>
                  </m:rPr>
                  <w:rPr>
                    <w:rFonts w:ascii="Cambria Math" w:eastAsiaTheme="minorEastAsia" w:hAnsi="Cambria Math"/>
                    <w:lang w:val="en-US"/>
                  </w:rPr>
                  <m:t>LQ</m:t>
                </m:r>
              </m:e>
              <m:sub>
                <m:r>
                  <m:rPr>
                    <m:sty m:val="bi"/>
                  </m:rPr>
                  <w:rPr>
                    <w:rFonts w:ascii="Cambria Math" w:eastAsiaTheme="minorEastAsia" w:hAnsi="Cambria Math"/>
                    <w:lang w:val="en-US"/>
                  </w:rPr>
                  <m:t>i</m:t>
                </m:r>
              </m:sub>
            </m:sSub>
          </m:e>
        </m:acc>
        <m:r>
          <m:rPr>
            <m:sty m:val="p"/>
          </m:rPr>
          <w:rPr>
            <w:rFonts w:ascii="Cambria Math" w:eastAsiaTheme="minorEastAsia" w:hAnsi="Cambria Math"/>
            <w:lang w:val="en-US"/>
          </w:rPr>
          <m:t>.</m:t>
        </m:r>
      </m:oMath>
      <w:r w:rsidRPr="00EC5073">
        <w:rPr>
          <w:rFonts w:eastAsiaTheme="minorEastAsia"/>
          <w:lang w:val="en-US"/>
        </w:rPr>
        <w:t xml:space="preserve"> can be viewed as the part of X that is independent of W. In our case, X is the contribution of the Non-Academic staff to the output of university, W is the size of the Non-Ac</w:t>
      </w:r>
      <w:r>
        <w:rPr>
          <w:rFonts w:eastAsiaTheme="minorEastAsia"/>
          <w:lang w:val="en-US"/>
        </w:rPr>
        <w:t>ademic Staff and the estimated l</w:t>
      </w:r>
      <w:r w:rsidRPr="00EC5073">
        <w:rPr>
          <w:rFonts w:eastAsiaTheme="minorEastAsia"/>
          <w:lang w:val="en-US"/>
        </w:rPr>
        <w:t xml:space="preserve">atent </w:t>
      </w:r>
      <w:r w:rsidR="00D70503" w:rsidRPr="009C1C69">
        <w:rPr>
          <w:lang w:val="en-US"/>
        </w:rPr>
        <w:t>heterogeneity</w:t>
      </w:r>
      <w:r w:rsidR="00D70503" w:rsidRPr="00572BDF">
        <w:rPr>
          <w:lang w:val="en-US"/>
        </w:rPr>
        <w:t xml:space="preserve"> </w:t>
      </w:r>
      <w:r w:rsidRPr="00EC5073">
        <w:rPr>
          <w:rFonts w:eastAsiaTheme="minorEastAsia"/>
          <w:lang w:val="en-US"/>
        </w:rPr>
        <w:t>measured as a kind of residual, provides us what remains from the contribution of the Non-Academic staff that is independent from the size of the Non-Academic staff (number of people).</w:t>
      </w:r>
    </w:p>
    <w:p w14:paraId="558C0301" w14:textId="77777777" w:rsidR="008168F4" w:rsidRPr="00EC5073" w:rsidRDefault="008168F4">
      <w:pPr>
        <w:jc w:val="both"/>
        <w:rPr>
          <w:lang w:val="en-US"/>
        </w:rPr>
      </w:pPr>
    </w:p>
    <w:p w14:paraId="775C24D6" w14:textId="10DB6D9A" w:rsidR="008168F4" w:rsidRDefault="000C25AF" w:rsidP="0029211E">
      <w:pPr>
        <w:pStyle w:val="Titolo2"/>
        <w:jc w:val="both"/>
      </w:pPr>
      <w:r>
        <w:t xml:space="preserve">4. </w:t>
      </w:r>
      <w:r w:rsidR="00EC5073">
        <w:t>Results</w:t>
      </w:r>
      <w:r w:rsidR="0094732A">
        <w:t xml:space="preserve"> (preliminary)</w:t>
      </w:r>
    </w:p>
    <w:p w14:paraId="592BDD90" w14:textId="1F87AABA" w:rsidR="0094732A" w:rsidRDefault="00EA333B" w:rsidP="00EA333B">
      <w:pPr>
        <w:jc w:val="both"/>
      </w:pPr>
      <w:r>
        <w:t>We estimated the</w:t>
      </w:r>
      <w:r w:rsidR="0094732A">
        <w:t xml:space="preserve"> latent</w:t>
      </w:r>
      <w:r>
        <w:t xml:space="preserve"> heterogeneity</w:t>
      </w:r>
      <w:r w:rsidR="0094732A">
        <w:t xml:space="preserve"> variable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oMath>
      <w:r>
        <w:rPr>
          <w:rFonts w:eastAsiaTheme="minorEastAsia"/>
          <w:lang w:val="en-US"/>
        </w:rPr>
        <w:t xml:space="preserve"> </w:t>
      </w:r>
      <w:r w:rsidR="002D6CC9">
        <w:t xml:space="preserve">for Europe and the US separately. In Table 2 we </w:t>
      </w:r>
      <w:r w:rsidR="00FD0F61">
        <w:t xml:space="preserve">show </w:t>
      </w:r>
      <w:r w:rsidR="002D6CC9">
        <w:t xml:space="preserve">the correlation between </w:t>
      </w:r>
      <w:r>
        <w:t xml:space="preserve">this </w:t>
      </w:r>
      <w:r w:rsidR="002D6CC9">
        <w:t xml:space="preserve">latent variable and main characteristic of European HEIs and in Table 3 the analogous for the US sample. </w:t>
      </w:r>
    </w:p>
    <w:p w14:paraId="58D1B485" w14:textId="77777777" w:rsidR="002D6CC9" w:rsidRDefault="002D6CC9" w:rsidP="0094732A"/>
    <w:p w14:paraId="23E457A6" w14:textId="162B3B9B" w:rsidR="002D6CC9" w:rsidRDefault="002D6CC9" w:rsidP="00247A3E">
      <w:pPr>
        <w:jc w:val="center"/>
      </w:pPr>
      <w:r>
        <w:t xml:space="preserve">Table 2. </w:t>
      </w:r>
      <w:r w:rsidR="00247A3E">
        <w:t>C</w:t>
      </w:r>
      <w:r w:rsidRPr="002D6CC9">
        <w:t xml:space="preserve">orrelations of selected variables with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m:rPr>
                    <m:sty m:val="bi"/>
                  </m:rPr>
                  <w:rPr>
                    <w:rFonts w:ascii="Cambria Math" w:eastAsiaTheme="minorEastAsia" w:hAnsi="Cambria Math"/>
                    <w:lang w:val="en-US"/>
                  </w:rPr>
                  <m:t>LQ</m:t>
                </m:r>
              </m:e>
              <m:sub>
                <m:r>
                  <m:rPr>
                    <m:sty m:val="bi"/>
                  </m:rPr>
                  <w:rPr>
                    <w:rFonts w:ascii="Cambria Math" w:eastAsiaTheme="minorEastAsia" w:hAnsi="Cambria Math"/>
                    <w:lang w:val="en-US"/>
                  </w:rPr>
                  <m:t>i</m:t>
                </m:r>
              </m:sub>
            </m:sSub>
          </m:e>
        </m:acc>
      </m:oMath>
      <w:r w:rsidR="00247A3E" w:rsidRPr="0094732A">
        <w:t xml:space="preserve"> </w:t>
      </w:r>
      <w:r w:rsidR="00247A3E">
        <w:t>– Europe</w:t>
      </w:r>
    </w:p>
    <w:p w14:paraId="7AFEAA4D" w14:textId="77777777" w:rsidR="00D33AC4" w:rsidRPr="004C7031" w:rsidRDefault="00D33AC4" w:rsidP="00D33AC4"/>
    <w:tbl>
      <w:tblPr>
        <w:tblW w:w="9140" w:type="dxa"/>
        <w:tblLayout w:type="fixed"/>
        <w:tblLook w:val="0000" w:firstRow="0" w:lastRow="0" w:firstColumn="0" w:lastColumn="0" w:noHBand="0" w:noVBand="0"/>
      </w:tblPr>
      <w:tblGrid>
        <w:gridCol w:w="2308"/>
        <w:gridCol w:w="854"/>
        <w:gridCol w:w="854"/>
        <w:gridCol w:w="854"/>
        <w:gridCol w:w="854"/>
        <w:gridCol w:w="854"/>
        <w:gridCol w:w="854"/>
        <w:gridCol w:w="854"/>
        <w:gridCol w:w="854"/>
      </w:tblGrid>
      <w:tr w:rsidR="00D33AC4" w:rsidRPr="004C7031" w14:paraId="236F3619" w14:textId="77777777" w:rsidTr="004013F8">
        <w:tc>
          <w:tcPr>
            <w:tcW w:w="2308" w:type="dxa"/>
            <w:tcBorders>
              <w:top w:val="single" w:sz="4" w:space="0" w:color="auto"/>
              <w:left w:val="nil"/>
              <w:bottom w:val="single" w:sz="6" w:space="0" w:color="auto"/>
              <w:right w:val="nil"/>
            </w:tcBorders>
          </w:tcPr>
          <w:p w14:paraId="3F2592B4" w14:textId="77777777" w:rsidR="00D33AC4" w:rsidRPr="004C7031" w:rsidRDefault="00D33AC4" w:rsidP="004013F8">
            <w:pPr>
              <w:widowControl w:val="0"/>
              <w:autoSpaceDE w:val="0"/>
              <w:autoSpaceDN w:val="0"/>
              <w:adjustRightInd w:val="0"/>
              <w:rPr>
                <w:b/>
                <w:sz w:val="20"/>
                <w:szCs w:val="20"/>
              </w:rPr>
            </w:pPr>
            <w:r w:rsidRPr="004C7031">
              <w:rPr>
                <w:b/>
                <w:sz w:val="20"/>
                <w:szCs w:val="20"/>
              </w:rPr>
              <w:t>Variables</w:t>
            </w:r>
          </w:p>
        </w:tc>
        <w:tc>
          <w:tcPr>
            <w:tcW w:w="854" w:type="dxa"/>
            <w:tcBorders>
              <w:top w:val="single" w:sz="4" w:space="0" w:color="auto"/>
              <w:left w:val="nil"/>
              <w:bottom w:val="single" w:sz="6" w:space="0" w:color="auto"/>
              <w:right w:val="nil"/>
            </w:tcBorders>
          </w:tcPr>
          <w:p w14:paraId="1F79EC38"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(1)</w:t>
            </w:r>
          </w:p>
        </w:tc>
        <w:tc>
          <w:tcPr>
            <w:tcW w:w="854" w:type="dxa"/>
            <w:tcBorders>
              <w:top w:val="single" w:sz="4" w:space="0" w:color="auto"/>
              <w:left w:val="nil"/>
              <w:bottom w:val="single" w:sz="6" w:space="0" w:color="auto"/>
              <w:right w:val="nil"/>
            </w:tcBorders>
          </w:tcPr>
          <w:p w14:paraId="2367D83E"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(2)</w:t>
            </w:r>
          </w:p>
        </w:tc>
        <w:tc>
          <w:tcPr>
            <w:tcW w:w="854" w:type="dxa"/>
            <w:tcBorders>
              <w:top w:val="single" w:sz="4" w:space="0" w:color="auto"/>
              <w:left w:val="nil"/>
              <w:bottom w:val="single" w:sz="6" w:space="0" w:color="auto"/>
              <w:right w:val="nil"/>
            </w:tcBorders>
          </w:tcPr>
          <w:p w14:paraId="61DF8954"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(3)</w:t>
            </w:r>
          </w:p>
        </w:tc>
        <w:tc>
          <w:tcPr>
            <w:tcW w:w="854" w:type="dxa"/>
            <w:tcBorders>
              <w:top w:val="single" w:sz="4" w:space="0" w:color="auto"/>
              <w:left w:val="nil"/>
              <w:bottom w:val="single" w:sz="6" w:space="0" w:color="auto"/>
              <w:right w:val="nil"/>
            </w:tcBorders>
          </w:tcPr>
          <w:p w14:paraId="57A44E4E"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(4)</w:t>
            </w:r>
          </w:p>
        </w:tc>
        <w:tc>
          <w:tcPr>
            <w:tcW w:w="854" w:type="dxa"/>
            <w:tcBorders>
              <w:top w:val="single" w:sz="4" w:space="0" w:color="auto"/>
              <w:left w:val="nil"/>
              <w:bottom w:val="single" w:sz="6" w:space="0" w:color="auto"/>
              <w:right w:val="nil"/>
            </w:tcBorders>
          </w:tcPr>
          <w:p w14:paraId="555CEAAA"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(5)</w:t>
            </w:r>
          </w:p>
        </w:tc>
        <w:tc>
          <w:tcPr>
            <w:tcW w:w="854" w:type="dxa"/>
            <w:tcBorders>
              <w:top w:val="single" w:sz="4" w:space="0" w:color="auto"/>
              <w:left w:val="nil"/>
              <w:bottom w:val="single" w:sz="6" w:space="0" w:color="auto"/>
              <w:right w:val="nil"/>
            </w:tcBorders>
          </w:tcPr>
          <w:p w14:paraId="68A35DE9"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(6)</w:t>
            </w:r>
          </w:p>
        </w:tc>
        <w:tc>
          <w:tcPr>
            <w:tcW w:w="854" w:type="dxa"/>
            <w:tcBorders>
              <w:top w:val="single" w:sz="4" w:space="0" w:color="auto"/>
              <w:left w:val="nil"/>
              <w:bottom w:val="single" w:sz="6" w:space="0" w:color="auto"/>
              <w:right w:val="nil"/>
            </w:tcBorders>
          </w:tcPr>
          <w:p w14:paraId="5E56B1E6" w14:textId="77777777" w:rsidR="00D33AC4" w:rsidRPr="004C7031" w:rsidRDefault="00D33AC4" w:rsidP="004013F8">
            <w:pPr>
              <w:widowControl w:val="0"/>
              <w:autoSpaceDE w:val="0"/>
              <w:autoSpaceDN w:val="0"/>
              <w:adjustRightInd w:val="0"/>
              <w:jc w:val="right"/>
              <w:rPr>
                <w:b/>
                <w:sz w:val="20"/>
                <w:szCs w:val="20"/>
              </w:rPr>
            </w:pPr>
            <w:r w:rsidRPr="004C7031">
              <w:rPr>
                <w:b/>
                <w:sz w:val="20"/>
                <w:szCs w:val="20"/>
              </w:rPr>
              <w:t>(7)</w:t>
            </w:r>
          </w:p>
        </w:tc>
        <w:tc>
          <w:tcPr>
            <w:tcW w:w="854" w:type="dxa"/>
            <w:tcBorders>
              <w:top w:val="single" w:sz="4" w:space="0" w:color="auto"/>
              <w:left w:val="nil"/>
              <w:bottom w:val="single" w:sz="6" w:space="0" w:color="auto"/>
              <w:right w:val="nil"/>
            </w:tcBorders>
          </w:tcPr>
          <w:p w14:paraId="3EF3A0DE" w14:textId="4BEFC721" w:rsidR="00D33AC4" w:rsidRPr="004C7031" w:rsidRDefault="00D33AC4" w:rsidP="004013F8">
            <w:pPr>
              <w:widowControl w:val="0"/>
              <w:autoSpaceDE w:val="0"/>
              <w:autoSpaceDN w:val="0"/>
              <w:adjustRightInd w:val="0"/>
              <w:jc w:val="right"/>
              <w:rPr>
                <w:b/>
                <w:sz w:val="20"/>
                <w:szCs w:val="20"/>
              </w:rPr>
            </w:pPr>
            <w:r w:rsidRPr="004C7031">
              <w:rPr>
                <w:b/>
                <w:sz w:val="20"/>
                <w:szCs w:val="20"/>
              </w:rPr>
              <w:t>(8)</w:t>
            </w:r>
          </w:p>
        </w:tc>
      </w:tr>
      <w:tr w:rsidR="00D33AC4" w:rsidRPr="004C7031" w14:paraId="17654F58" w14:textId="77777777" w:rsidTr="004013F8">
        <w:tc>
          <w:tcPr>
            <w:tcW w:w="2308" w:type="dxa"/>
            <w:tcBorders>
              <w:top w:val="nil"/>
              <w:left w:val="nil"/>
              <w:bottom w:val="nil"/>
              <w:right w:val="nil"/>
            </w:tcBorders>
          </w:tcPr>
          <w:p w14:paraId="7C7B2190" w14:textId="5F543E87" w:rsidR="00D33AC4" w:rsidRPr="004C7031" w:rsidRDefault="00D33AC4" w:rsidP="004013F8">
            <w:pPr>
              <w:widowControl w:val="0"/>
              <w:autoSpaceDE w:val="0"/>
              <w:autoSpaceDN w:val="0"/>
              <w:adjustRightInd w:val="0"/>
              <w:rPr>
                <w:sz w:val="20"/>
                <w:szCs w:val="20"/>
              </w:rPr>
            </w:pPr>
            <w:r w:rsidRPr="004C7031">
              <w:rPr>
                <w:sz w:val="20"/>
                <w:szCs w:val="20"/>
              </w:rPr>
              <w:t xml:space="preserve">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r>
                <m:rPr>
                  <m:sty m:val="p"/>
                </m:rPr>
                <w:rPr>
                  <w:rFonts w:ascii="Cambria Math" w:eastAsiaTheme="minorEastAsia" w:hAnsi="Cambria Math"/>
                  <w:lang w:val="en-US"/>
                </w:rPr>
                <m:t>.</m:t>
              </m:r>
            </m:oMath>
          </w:p>
        </w:tc>
        <w:tc>
          <w:tcPr>
            <w:tcW w:w="854" w:type="dxa"/>
            <w:tcBorders>
              <w:top w:val="nil"/>
              <w:left w:val="nil"/>
              <w:bottom w:val="nil"/>
              <w:right w:val="nil"/>
            </w:tcBorders>
          </w:tcPr>
          <w:p w14:paraId="1AC39244"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5BCF0568"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300F444B"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54BBBF18"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419EF15B"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099E10A5"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0FF14297"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35945A9F"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4DE03CAB" w14:textId="77777777" w:rsidTr="004013F8">
        <w:tc>
          <w:tcPr>
            <w:tcW w:w="2308" w:type="dxa"/>
            <w:tcBorders>
              <w:top w:val="nil"/>
              <w:left w:val="nil"/>
              <w:bottom w:val="nil"/>
              <w:right w:val="nil"/>
            </w:tcBorders>
          </w:tcPr>
          <w:p w14:paraId="24A1A4AF" w14:textId="0435A3FF" w:rsidR="00D33AC4" w:rsidRPr="004C7031" w:rsidRDefault="00AD0303" w:rsidP="004013F8">
            <w:pPr>
              <w:widowControl w:val="0"/>
              <w:autoSpaceDE w:val="0"/>
              <w:autoSpaceDN w:val="0"/>
              <w:adjustRightInd w:val="0"/>
              <w:rPr>
                <w:sz w:val="20"/>
                <w:szCs w:val="20"/>
              </w:rPr>
            </w:pPr>
            <w:r w:rsidRPr="004C7031">
              <w:rPr>
                <w:sz w:val="20"/>
                <w:szCs w:val="20"/>
                <w:lang w:val="en-US" w:eastAsia="en-US"/>
              </w:rPr>
              <w:t xml:space="preserve"> NonAC_TOT</w:t>
            </w:r>
          </w:p>
        </w:tc>
        <w:tc>
          <w:tcPr>
            <w:tcW w:w="854" w:type="dxa"/>
            <w:tcBorders>
              <w:top w:val="nil"/>
              <w:left w:val="nil"/>
              <w:bottom w:val="nil"/>
              <w:right w:val="nil"/>
            </w:tcBorders>
          </w:tcPr>
          <w:p w14:paraId="68378C83"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0.918*</w:t>
            </w:r>
          </w:p>
        </w:tc>
        <w:tc>
          <w:tcPr>
            <w:tcW w:w="854" w:type="dxa"/>
            <w:tcBorders>
              <w:top w:val="nil"/>
              <w:left w:val="nil"/>
              <w:bottom w:val="nil"/>
              <w:right w:val="nil"/>
            </w:tcBorders>
          </w:tcPr>
          <w:p w14:paraId="36166D9C"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1577C25B"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2E67D7E1"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60D19CC4"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6477F6B9"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69410A25"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7F2F1FB4"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7093C62F" w14:textId="77777777" w:rsidTr="004013F8">
        <w:tc>
          <w:tcPr>
            <w:tcW w:w="2308" w:type="dxa"/>
            <w:tcBorders>
              <w:top w:val="nil"/>
              <w:left w:val="nil"/>
              <w:bottom w:val="nil"/>
              <w:right w:val="nil"/>
            </w:tcBorders>
          </w:tcPr>
          <w:p w14:paraId="2E8444C3" w14:textId="01471B4D" w:rsidR="00D33AC4" w:rsidRPr="004C7031" w:rsidRDefault="00AE1F18" w:rsidP="004013F8">
            <w:pPr>
              <w:widowControl w:val="0"/>
              <w:autoSpaceDE w:val="0"/>
              <w:autoSpaceDN w:val="0"/>
              <w:adjustRightInd w:val="0"/>
              <w:rPr>
                <w:sz w:val="20"/>
                <w:szCs w:val="20"/>
              </w:rPr>
            </w:pPr>
            <w:r w:rsidRPr="004C7031">
              <w:rPr>
                <w:sz w:val="20"/>
                <w:szCs w:val="20"/>
              </w:rPr>
              <w:t xml:space="preserve"> Pub</w:t>
            </w:r>
            <w:r w:rsidR="00D33AC4" w:rsidRPr="004C7031">
              <w:rPr>
                <w:sz w:val="20"/>
                <w:szCs w:val="20"/>
              </w:rPr>
              <w:t>lication_AC</w:t>
            </w:r>
          </w:p>
        </w:tc>
        <w:tc>
          <w:tcPr>
            <w:tcW w:w="854" w:type="dxa"/>
            <w:tcBorders>
              <w:top w:val="nil"/>
              <w:left w:val="nil"/>
              <w:bottom w:val="nil"/>
              <w:right w:val="nil"/>
            </w:tcBorders>
          </w:tcPr>
          <w:p w14:paraId="234EC21C"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-0.148*</w:t>
            </w:r>
          </w:p>
        </w:tc>
        <w:tc>
          <w:tcPr>
            <w:tcW w:w="854" w:type="dxa"/>
            <w:tcBorders>
              <w:top w:val="nil"/>
              <w:left w:val="nil"/>
              <w:bottom w:val="nil"/>
              <w:right w:val="nil"/>
            </w:tcBorders>
          </w:tcPr>
          <w:p w14:paraId="1F797AC6"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-0.038</w:t>
            </w:r>
          </w:p>
        </w:tc>
        <w:tc>
          <w:tcPr>
            <w:tcW w:w="854" w:type="dxa"/>
            <w:tcBorders>
              <w:top w:val="nil"/>
              <w:left w:val="nil"/>
              <w:bottom w:val="nil"/>
              <w:right w:val="nil"/>
            </w:tcBorders>
          </w:tcPr>
          <w:p w14:paraId="1267C62A"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3229F0A2"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0E01333F"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5F17BACC"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2C6605D1"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60F9F75E"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0EF65B8F" w14:textId="77777777" w:rsidTr="004013F8">
        <w:tc>
          <w:tcPr>
            <w:tcW w:w="2308" w:type="dxa"/>
            <w:tcBorders>
              <w:top w:val="nil"/>
              <w:left w:val="nil"/>
              <w:bottom w:val="nil"/>
              <w:right w:val="nil"/>
            </w:tcBorders>
          </w:tcPr>
          <w:p w14:paraId="7026EEA2" w14:textId="2A686FA9" w:rsidR="00D33AC4" w:rsidRPr="004C7031" w:rsidRDefault="00D33AC4" w:rsidP="004013F8">
            <w:pPr>
              <w:widowControl w:val="0"/>
              <w:autoSpaceDE w:val="0"/>
              <w:autoSpaceDN w:val="0"/>
              <w:adjustRightInd w:val="0"/>
              <w:rPr>
                <w:sz w:val="20"/>
                <w:szCs w:val="20"/>
              </w:rPr>
            </w:pPr>
            <w:r w:rsidRPr="004C7031">
              <w:rPr>
                <w:sz w:val="20"/>
                <w:szCs w:val="20"/>
              </w:rPr>
              <w:t xml:space="preserve"> </w:t>
            </w:r>
            <w:r w:rsidR="00AD0303" w:rsidRPr="004C7031">
              <w:rPr>
                <w:sz w:val="20"/>
                <w:szCs w:val="20"/>
                <w:lang w:val="en-US" w:eastAsia="en-US"/>
              </w:rPr>
              <w:t>GRAD_AC</w:t>
            </w:r>
          </w:p>
        </w:tc>
        <w:tc>
          <w:tcPr>
            <w:tcW w:w="854" w:type="dxa"/>
            <w:tcBorders>
              <w:top w:val="nil"/>
              <w:left w:val="nil"/>
              <w:bottom w:val="nil"/>
              <w:right w:val="nil"/>
            </w:tcBorders>
          </w:tcPr>
          <w:p w14:paraId="209DBCE8"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0.370*</w:t>
            </w:r>
          </w:p>
        </w:tc>
        <w:tc>
          <w:tcPr>
            <w:tcW w:w="854" w:type="dxa"/>
            <w:tcBorders>
              <w:top w:val="nil"/>
              <w:left w:val="nil"/>
              <w:bottom w:val="nil"/>
              <w:right w:val="nil"/>
            </w:tcBorders>
          </w:tcPr>
          <w:p w14:paraId="5E64D417"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0.297*</w:t>
            </w:r>
          </w:p>
        </w:tc>
        <w:tc>
          <w:tcPr>
            <w:tcW w:w="854" w:type="dxa"/>
            <w:tcBorders>
              <w:top w:val="nil"/>
              <w:left w:val="nil"/>
              <w:bottom w:val="nil"/>
              <w:right w:val="nil"/>
            </w:tcBorders>
          </w:tcPr>
          <w:p w14:paraId="5D295EF4"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-0.215*</w:t>
            </w:r>
          </w:p>
        </w:tc>
        <w:tc>
          <w:tcPr>
            <w:tcW w:w="854" w:type="dxa"/>
            <w:tcBorders>
              <w:top w:val="nil"/>
              <w:left w:val="nil"/>
              <w:bottom w:val="nil"/>
              <w:right w:val="nil"/>
            </w:tcBorders>
          </w:tcPr>
          <w:p w14:paraId="172CA65D"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26F6EA98"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69929485"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3758A136"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5E2D67DC"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2387356B" w14:textId="77777777" w:rsidTr="004013F8">
        <w:tc>
          <w:tcPr>
            <w:tcW w:w="2308" w:type="dxa"/>
            <w:tcBorders>
              <w:top w:val="nil"/>
              <w:left w:val="nil"/>
              <w:bottom w:val="nil"/>
              <w:right w:val="nil"/>
            </w:tcBorders>
          </w:tcPr>
          <w:p w14:paraId="1C23415C" w14:textId="58420708" w:rsidR="00D33AC4" w:rsidRPr="004C7031" w:rsidRDefault="00D33AC4" w:rsidP="004013F8">
            <w:pPr>
              <w:widowControl w:val="0"/>
              <w:autoSpaceDE w:val="0"/>
              <w:autoSpaceDN w:val="0"/>
              <w:adjustRightInd w:val="0"/>
              <w:rPr>
                <w:sz w:val="20"/>
                <w:szCs w:val="20"/>
              </w:rPr>
            </w:pPr>
            <w:r w:rsidRPr="004C7031">
              <w:rPr>
                <w:sz w:val="20"/>
                <w:szCs w:val="20"/>
              </w:rPr>
              <w:t xml:space="preserve"> STUD_AC</w:t>
            </w:r>
          </w:p>
        </w:tc>
        <w:tc>
          <w:tcPr>
            <w:tcW w:w="854" w:type="dxa"/>
            <w:tcBorders>
              <w:top w:val="nil"/>
              <w:left w:val="nil"/>
              <w:bottom w:val="nil"/>
              <w:right w:val="nil"/>
            </w:tcBorders>
          </w:tcPr>
          <w:p w14:paraId="0F8F3A0C"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0.109*</w:t>
            </w:r>
          </w:p>
        </w:tc>
        <w:tc>
          <w:tcPr>
            <w:tcW w:w="854" w:type="dxa"/>
            <w:tcBorders>
              <w:top w:val="nil"/>
              <w:left w:val="nil"/>
              <w:bottom w:val="nil"/>
              <w:right w:val="nil"/>
            </w:tcBorders>
          </w:tcPr>
          <w:p w14:paraId="04B286C0"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0.023</w:t>
            </w:r>
          </w:p>
        </w:tc>
        <w:tc>
          <w:tcPr>
            <w:tcW w:w="854" w:type="dxa"/>
            <w:tcBorders>
              <w:top w:val="nil"/>
              <w:left w:val="nil"/>
              <w:bottom w:val="nil"/>
              <w:right w:val="nil"/>
            </w:tcBorders>
          </w:tcPr>
          <w:p w14:paraId="4FE8238E"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-0.123*</w:t>
            </w:r>
          </w:p>
        </w:tc>
        <w:tc>
          <w:tcPr>
            <w:tcW w:w="854" w:type="dxa"/>
            <w:tcBorders>
              <w:top w:val="nil"/>
              <w:left w:val="nil"/>
              <w:bottom w:val="nil"/>
              <w:right w:val="nil"/>
            </w:tcBorders>
          </w:tcPr>
          <w:p w14:paraId="17A8D415"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0.623*</w:t>
            </w:r>
          </w:p>
        </w:tc>
        <w:tc>
          <w:tcPr>
            <w:tcW w:w="854" w:type="dxa"/>
            <w:tcBorders>
              <w:top w:val="nil"/>
              <w:left w:val="nil"/>
              <w:bottom w:val="nil"/>
              <w:right w:val="nil"/>
            </w:tcBorders>
          </w:tcPr>
          <w:p w14:paraId="42DCE6C5"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2F8DF5CC"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741B71F7"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5BF00F48"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45B6EEEB" w14:textId="77777777" w:rsidTr="004013F8">
        <w:tc>
          <w:tcPr>
            <w:tcW w:w="2308" w:type="dxa"/>
            <w:tcBorders>
              <w:top w:val="nil"/>
              <w:left w:val="nil"/>
              <w:bottom w:val="nil"/>
              <w:right w:val="nil"/>
            </w:tcBorders>
          </w:tcPr>
          <w:p w14:paraId="151911CE" w14:textId="1B6B962A" w:rsidR="00D33AC4" w:rsidRPr="004C7031" w:rsidRDefault="00D33AC4" w:rsidP="004013F8">
            <w:pPr>
              <w:widowControl w:val="0"/>
              <w:autoSpaceDE w:val="0"/>
              <w:autoSpaceDN w:val="0"/>
              <w:adjustRightInd w:val="0"/>
              <w:rPr>
                <w:sz w:val="20"/>
                <w:szCs w:val="20"/>
              </w:rPr>
            </w:pPr>
            <w:r w:rsidRPr="004C7031">
              <w:rPr>
                <w:sz w:val="20"/>
                <w:szCs w:val="20"/>
              </w:rPr>
              <w:t xml:space="preserve"> CORE_TOT</w:t>
            </w:r>
          </w:p>
        </w:tc>
        <w:tc>
          <w:tcPr>
            <w:tcW w:w="854" w:type="dxa"/>
            <w:tcBorders>
              <w:top w:val="nil"/>
              <w:left w:val="nil"/>
              <w:bottom w:val="nil"/>
              <w:right w:val="nil"/>
            </w:tcBorders>
          </w:tcPr>
          <w:p w14:paraId="7DCCCDB2"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-0.270*</w:t>
            </w:r>
          </w:p>
        </w:tc>
        <w:tc>
          <w:tcPr>
            <w:tcW w:w="854" w:type="dxa"/>
            <w:tcBorders>
              <w:top w:val="nil"/>
              <w:left w:val="nil"/>
              <w:bottom w:val="nil"/>
              <w:right w:val="nil"/>
            </w:tcBorders>
          </w:tcPr>
          <w:p w14:paraId="34FC18E8"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-0.251*</w:t>
            </w:r>
          </w:p>
        </w:tc>
        <w:tc>
          <w:tcPr>
            <w:tcW w:w="854" w:type="dxa"/>
            <w:tcBorders>
              <w:top w:val="nil"/>
              <w:left w:val="nil"/>
              <w:bottom w:val="nil"/>
              <w:right w:val="nil"/>
            </w:tcBorders>
          </w:tcPr>
          <w:p w14:paraId="46543DB2"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0.006</w:t>
            </w:r>
          </w:p>
        </w:tc>
        <w:tc>
          <w:tcPr>
            <w:tcW w:w="854" w:type="dxa"/>
            <w:tcBorders>
              <w:top w:val="nil"/>
              <w:left w:val="nil"/>
              <w:bottom w:val="nil"/>
              <w:right w:val="nil"/>
            </w:tcBorders>
          </w:tcPr>
          <w:p w14:paraId="28CF9F18"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-0.106*</w:t>
            </w:r>
          </w:p>
        </w:tc>
        <w:tc>
          <w:tcPr>
            <w:tcW w:w="854" w:type="dxa"/>
            <w:tcBorders>
              <w:top w:val="nil"/>
              <w:left w:val="nil"/>
              <w:bottom w:val="nil"/>
              <w:right w:val="nil"/>
            </w:tcBorders>
          </w:tcPr>
          <w:p w14:paraId="401735DC"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-0.004</w:t>
            </w:r>
          </w:p>
        </w:tc>
        <w:tc>
          <w:tcPr>
            <w:tcW w:w="854" w:type="dxa"/>
            <w:tcBorders>
              <w:top w:val="nil"/>
              <w:left w:val="nil"/>
              <w:bottom w:val="nil"/>
              <w:right w:val="nil"/>
            </w:tcBorders>
          </w:tcPr>
          <w:p w14:paraId="557A001A"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bottom w:val="nil"/>
              <w:right w:val="nil"/>
            </w:tcBorders>
          </w:tcPr>
          <w:p w14:paraId="4462D4B7" w14:textId="77777777" w:rsidR="00D33AC4" w:rsidRPr="004C7031" w:rsidRDefault="00D33AC4" w:rsidP="004013F8">
            <w:pPr>
              <w:widowControl w:val="0"/>
              <w:autoSpaceDE w:val="0"/>
              <w:autoSpaceDN w:val="0"/>
              <w:adjustRightInd w:val="0"/>
              <w:jc w:val="right"/>
              <w:rPr>
                <w:sz w:val="20"/>
                <w:szCs w:val="20"/>
              </w:rPr>
            </w:pPr>
          </w:p>
        </w:tc>
        <w:tc>
          <w:tcPr>
            <w:tcW w:w="854" w:type="dxa"/>
            <w:tcBorders>
              <w:top w:val="nil"/>
              <w:left w:val="nil"/>
              <w:bottom w:val="nil"/>
              <w:right w:val="nil"/>
            </w:tcBorders>
          </w:tcPr>
          <w:p w14:paraId="1E874035"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5F13E55F" w14:textId="77777777" w:rsidTr="00D33AC4">
        <w:tc>
          <w:tcPr>
            <w:tcW w:w="2308" w:type="dxa"/>
            <w:tcBorders>
              <w:top w:val="nil"/>
              <w:left w:val="nil"/>
              <w:right w:val="nil"/>
            </w:tcBorders>
          </w:tcPr>
          <w:p w14:paraId="15F89A05" w14:textId="2BEC5741" w:rsidR="00D33AC4" w:rsidRPr="004C7031" w:rsidRDefault="00D33AC4" w:rsidP="004013F8">
            <w:pPr>
              <w:widowControl w:val="0"/>
              <w:autoSpaceDE w:val="0"/>
              <w:autoSpaceDN w:val="0"/>
              <w:adjustRightInd w:val="0"/>
              <w:rPr>
                <w:sz w:val="20"/>
                <w:szCs w:val="20"/>
              </w:rPr>
            </w:pPr>
            <w:r w:rsidRPr="004C7031">
              <w:rPr>
                <w:sz w:val="20"/>
                <w:szCs w:val="20"/>
              </w:rPr>
              <w:t xml:space="preserve"> THIRdPARTY_TOT</w:t>
            </w:r>
          </w:p>
        </w:tc>
        <w:tc>
          <w:tcPr>
            <w:tcW w:w="854" w:type="dxa"/>
            <w:tcBorders>
              <w:top w:val="nil"/>
              <w:left w:val="nil"/>
              <w:right w:val="nil"/>
            </w:tcBorders>
          </w:tcPr>
          <w:p w14:paraId="7D3973D3"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-0.146*</w:t>
            </w:r>
          </w:p>
        </w:tc>
        <w:tc>
          <w:tcPr>
            <w:tcW w:w="854" w:type="dxa"/>
            <w:tcBorders>
              <w:top w:val="nil"/>
              <w:left w:val="nil"/>
              <w:right w:val="nil"/>
            </w:tcBorders>
          </w:tcPr>
          <w:p w14:paraId="201D66D5"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-0.042</w:t>
            </w:r>
          </w:p>
        </w:tc>
        <w:tc>
          <w:tcPr>
            <w:tcW w:w="854" w:type="dxa"/>
            <w:tcBorders>
              <w:top w:val="nil"/>
              <w:left w:val="nil"/>
              <w:right w:val="nil"/>
            </w:tcBorders>
          </w:tcPr>
          <w:p w14:paraId="22FEB28D"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0.321*</w:t>
            </w:r>
          </w:p>
        </w:tc>
        <w:tc>
          <w:tcPr>
            <w:tcW w:w="854" w:type="dxa"/>
            <w:tcBorders>
              <w:top w:val="nil"/>
              <w:left w:val="nil"/>
              <w:right w:val="nil"/>
            </w:tcBorders>
          </w:tcPr>
          <w:p w14:paraId="20149567"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-0.519*</w:t>
            </w:r>
          </w:p>
        </w:tc>
        <w:tc>
          <w:tcPr>
            <w:tcW w:w="854" w:type="dxa"/>
            <w:tcBorders>
              <w:top w:val="nil"/>
              <w:left w:val="nil"/>
              <w:right w:val="nil"/>
            </w:tcBorders>
          </w:tcPr>
          <w:p w14:paraId="50B46383"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-0.440*</w:t>
            </w:r>
          </w:p>
        </w:tc>
        <w:tc>
          <w:tcPr>
            <w:tcW w:w="854" w:type="dxa"/>
            <w:tcBorders>
              <w:top w:val="nil"/>
              <w:left w:val="nil"/>
              <w:right w:val="nil"/>
            </w:tcBorders>
          </w:tcPr>
          <w:p w14:paraId="335A834A"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-0.254*</w:t>
            </w:r>
          </w:p>
        </w:tc>
        <w:tc>
          <w:tcPr>
            <w:tcW w:w="854" w:type="dxa"/>
            <w:tcBorders>
              <w:top w:val="nil"/>
              <w:left w:val="nil"/>
              <w:right w:val="nil"/>
            </w:tcBorders>
          </w:tcPr>
          <w:p w14:paraId="326B7A89"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c>
          <w:tcPr>
            <w:tcW w:w="854" w:type="dxa"/>
            <w:tcBorders>
              <w:top w:val="nil"/>
              <w:left w:val="nil"/>
              <w:right w:val="nil"/>
            </w:tcBorders>
          </w:tcPr>
          <w:p w14:paraId="6048ACA3" w14:textId="77777777" w:rsidR="00D33AC4" w:rsidRPr="004C7031" w:rsidRDefault="00D33AC4" w:rsidP="004013F8">
            <w:pPr>
              <w:widowControl w:val="0"/>
              <w:autoSpaceDE w:val="0"/>
              <w:autoSpaceDN w:val="0"/>
              <w:adjustRightInd w:val="0"/>
              <w:jc w:val="right"/>
              <w:rPr>
                <w:sz w:val="20"/>
                <w:szCs w:val="20"/>
              </w:rPr>
            </w:pPr>
          </w:p>
        </w:tc>
      </w:tr>
      <w:tr w:rsidR="00D33AC4" w:rsidRPr="004C7031" w14:paraId="5A78154C" w14:textId="77777777" w:rsidTr="00D33AC4">
        <w:tc>
          <w:tcPr>
            <w:tcW w:w="2308" w:type="dxa"/>
            <w:tcBorders>
              <w:top w:val="nil"/>
              <w:left w:val="nil"/>
              <w:bottom w:val="single" w:sz="4" w:space="0" w:color="auto"/>
              <w:right w:val="nil"/>
            </w:tcBorders>
          </w:tcPr>
          <w:p w14:paraId="19534687" w14:textId="62AF5A47" w:rsidR="00D33AC4" w:rsidRPr="004C7031" w:rsidRDefault="00D33AC4" w:rsidP="004013F8">
            <w:pPr>
              <w:widowControl w:val="0"/>
              <w:autoSpaceDE w:val="0"/>
              <w:autoSpaceDN w:val="0"/>
              <w:adjustRightInd w:val="0"/>
              <w:rPr>
                <w:sz w:val="20"/>
                <w:szCs w:val="20"/>
              </w:rPr>
            </w:pPr>
            <w:r w:rsidRPr="004C7031">
              <w:rPr>
                <w:sz w:val="20"/>
                <w:szCs w:val="20"/>
              </w:rPr>
              <w:t xml:space="preserve"> foundation year</w:t>
            </w:r>
          </w:p>
        </w:tc>
        <w:tc>
          <w:tcPr>
            <w:tcW w:w="854" w:type="dxa"/>
            <w:tcBorders>
              <w:top w:val="nil"/>
              <w:left w:val="nil"/>
              <w:bottom w:val="single" w:sz="4" w:space="0" w:color="auto"/>
              <w:right w:val="nil"/>
            </w:tcBorders>
          </w:tcPr>
          <w:p w14:paraId="2AC57ACB"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0.119*</w:t>
            </w:r>
          </w:p>
        </w:tc>
        <w:tc>
          <w:tcPr>
            <w:tcW w:w="854" w:type="dxa"/>
            <w:tcBorders>
              <w:top w:val="nil"/>
              <w:left w:val="nil"/>
              <w:bottom w:val="single" w:sz="4" w:space="0" w:color="auto"/>
              <w:right w:val="nil"/>
            </w:tcBorders>
          </w:tcPr>
          <w:p w14:paraId="750477BD"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-0.023</w:t>
            </w:r>
          </w:p>
        </w:tc>
        <w:tc>
          <w:tcPr>
            <w:tcW w:w="854" w:type="dxa"/>
            <w:tcBorders>
              <w:top w:val="nil"/>
              <w:left w:val="nil"/>
              <w:bottom w:val="single" w:sz="4" w:space="0" w:color="auto"/>
              <w:right w:val="nil"/>
            </w:tcBorders>
          </w:tcPr>
          <w:p w14:paraId="47727E21"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-0.238*</w:t>
            </w:r>
          </w:p>
        </w:tc>
        <w:tc>
          <w:tcPr>
            <w:tcW w:w="854" w:type="dxa"/>
            <w:tcBorders>
              <w:top w:val="nil"/>
              <w:left w:val="nil"/>
              <w:bottom w:val="single" w:sz="4" w:space="0" w:color="auto"/>
              <w:right w:val="nil"/>
            </w:tcBorders>
          </w:tcPr>
          <w:p w14:paraId="0E5D8432"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0.217*</w:t>
            </w:r>
          </w:p>
        </w:tc>
        <w:tc>
          <w:tcPr>
            <w:tcW w:w="854" w:type="dxa"/>
            <w:tcBorders>
              <w:top w:val="nil"/>
              <w:left w:val="nil"/>
              <w:bottom w:val="single" w:sz="4" w:space="0" w:color="auto"/>
              <w:right w:val="nil"/>
            </w:tcBorders>
          </w:tcPr>
          <w:p w14:paraId="34A51B3A"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0.119*</w:t>
            </w:r>
          </w:p>
        </w:tc>
        <w:tc>
          <w:tcPr>
            <w:tcW w:w="854" w:type="dxa"/>
            <w:tcBorders>
              <w:top w:val="nil"/>
              <w:left w:val="nil"/>
              <w:bottom w:val="single" w:sz="4" w:space="0" w:color="auto"/>
              <w:right w:val="nil"/>
            </w:tcBorders>
          </w:tcPr>
          <w:p w14:paraId="3D12483A"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-0.019</w:t>
            </w:r>
          </w:p>
        </w:tc>
        <w:tc>
          <w:tcPr>
            <w:tcW w:w="854" w:type="dxa"/>
            <w:tcBorders>
              <w:top w:val="nil"/>
              <w:left w:val="nil"/>
              <w:bottom w:val="single" w:sz="4" w:space="0" w:color="auto"/>
              <w:right w:val="nil"/>
            </w:tcBorders>
          </w:tcPr>
          <w:p w14:paraId="0169AFD7"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-0.146*</w:t>
            </w:r>
          </w:p>
        </w:tc>
        <w:tc>
          <w:tcPr>
            <w:tcW w:w="854" w:type="dxa"/>
            <w:tcBorders>
              <w:top w:val="nil"/>
              <w:left w:val="nil"/>
              <w:bottom w:val="single" w:sz="4" w:space="0" w:color="auto"/>
              <w:right w:val="nil"/>
            </w:tcBorders>
          </w:tcPr>
          <w:p w14:paraId="4E8B8B9E" w14:textId="77777777" w:rsidR="00D33AC4" w:rsidRPr="004C7031" w:rsidRDefault="00D33AC4" w:rsidP="004013F8">
            <w:pPr>
              <w:widowControl w:val="0"/>
              <w:autoSpaceDE w:val="0"/>
              <w:autoSpaceDN w:val="0"/>
              <w:adjustRightInd w:val="0"/>
              <w:jc w:val="right"/>
              <w:rPr>
                <w:sz w:val="20"/>
                <w:szCs w:val="20"/>
              </w:rPr>
            </w:pPr>
            <w:r w:rsidRPr="004C7031">
              <w:rPr>
                <w:sz w:val="20"/>
                <w:szCs w:val="20"/>
              </w:rPr>
              <w:t>1.000</w:t>
            </w:r>
          </w:p>
        </w:tc>
      </w:tr>
    </w:tbl>
    <w:p w14:paraId="5E82602E" w14:textId="0A81B5E0" w:rsidR="00EC5073" w:rsidRPr="004C7031" w:rsidRDefault="00EC5073" w:rsidP="00EC5073"/>
    <w:p w14:paraId="493A6869" w14:textId="468DFB5A" w:rsidR="00247A3E" w:rsidRPr="004C7031" w:rsidRDefault="002D6CC9" w:rsidP="00247A3E">
      <w:pPr>
        <w:jc w:val="center"/>
      </w:pPr>
      <w:r w:rsidRPr="004C7031">
        <w:t xml:space="preserve">Table 3. </w:t>
      </w:r>
      <w:r w:rsidR="00247A3E" w:rsidRPr="004C7031">
        <w:t xml:space="preserve">Correlations of selected variables with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m:rPr>
                    <m:sty m:val="bi"/>
                  </m:rPr>
                  <w:rPr>
                    <w:rFonts w:ascii="Cambria Math" w:eastAsiaTheme="minorEastAsia" w:hAnsi="Cambria Math"/>
                    <w:lang w:val="en-US"/>
                  </w:rPr>
                  <m:t>LQ</m:t>
                </m:r>
              </m:e>
              <m:sub>
                <m:r>
                  <m:rPr>
                    <m:sty m:val="bi"/>
                  </m:rPr>
                  <w:rPr>
                    <w:rFonts w:ascii="Cambria Math" w:eastAsiaTheme="minorEastAsia" w:hAnsi="Cambria Math"/>
                    <w:lang w:val="en-US"/>
                  </w:rPr>
                  <m:t>i</m:t>
                </m:r>
              </m:sub>
            </m:sSub>
          </m:e>
        </m:acc>
      </m:oMath>
      <w:r w:rsidR="00247A3E" w:rsidRPr="004C7031">
        <w:t xml:space="preserve"> – USA</w:t>
      </w:r>
      <w:r w:rsidR="00FD0F61" w:rsidRPr="004C7031">
        <w:t xml:space="preserve"> </w:t>
      </w:r>
    </w:p>
    <w:p w14:paraId="346A4B0D" w14:textId="1D57B7FF" w:rsidR="002D6CC9" w:rsidRPr="004C7031" w:rsidRDefault="002D6CC9" w:rsidP="002D6CC9">
      <w:pPr>
        <w:jc w:val="center"/>
      </w:pPr>
    </w:p>
    <w:tbl>
      <w:tblPr>
        <w:tblW w:w="9140" w:type="dxa"/>
        <w:tblLayout w:type="fixed"/>
        <w:tblLook w:val="0000" w:firstRow="0" w:lastRow="0" w:firstColumn="0" w:lastColumn="0" w:noHBand="0" w:noVBand="0"/>
      </w:tblPr>
      <w:tblGrid>
        <w:gridCol w:w="2308"/>
        <w:gridCol w:w="854"/>
        <w:gridCol w:w="854"/>
        <w:gridCol w:w="854"/>
        <w:gridCol w:w="854"/>
        <w:gridCol w:w="854"/>
        <w:gridCol w:w="854"/>
        <w:gridCol w:w="854"/>
        <w:gridCol w:w="854"/>
      </w:tblGrid>
      <w:tr w:rsidR="00AE1F18" w:rsidRPr="004C7031" w14:paraId="7124E988" w14:textId="77777777" w:rsidTr="004013F8">
        <w:tc>
          <w:tcPr>
            <w:tcW w:w="2308" w:type="dxa"/>
            <w:tcBorders>
              <w:top w:val="single" w:sz="4" w:space="0" w:color="auto"/>
              <w:left w:val="nil"/>
              <w:bottom w:val="single" w:sz="6" w:space="0" w:color="auto"/>
              <w:right w:val="nil"/>
            </w:tcBorders>
          </w:tcPr>
          <w:p w14:paraId="271DA75C" w14:textId="77777777"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Variables</w:t>
            </w:r>
          </w:p>
        </w:tc>
        <w:tc>
          <w:tcPr>
            <w:tcW w:w="854" w:type="dxa"/>
            <w:tcBorders>
              <w:top w:val="single" w:sz="4" w:space="0" w:color="auto"/>
              <w:left w:val="nil"/>
              <w:bottom w:val="single" w:sz="6" w:space="0" w:color="auto"/>
              <w:right w:val="nil"/>
            </w:tcBorders>
          </w:tcPr>
          <w:p w14:paraId="37AA407A"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w:t>
            </w:r>
          </w:p>
        </w:tc>
        <w:tc>
          <w:tcPr>
            <w:tcW w:w="854" w:type="dxa"/>
            <w:tcBorders>
              <w:top w:val="single" w:sz="4" w:space="0" w:color="auto"/>
              <w:left w:val="nil"/>
              <w:bottom w:val="single" w:sz="6" w:space="0" w:color="auto"/>
              <w:right w:val="nil"/>
            </w:tcBorders>
          </w:tcPr>
          <w:p w14:paraId="19785550"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(2)</w:t>
            </w:r>
          </w:p>
        </w:tc>
        <w:tc>
          <w:tcPr>
            <w:tcW w:w="854" w:type="dxa"/>
            <w:tcBorders>
              <w:top w:val="single" w:sz="4" w:space="0" w:color="auto"/>
              <w:left w:val="nil"/>
              <w:bottom w:val="single" w:sz="6" w:space="0" w:color="auto"/>
              <w:right w:val="nil"/>
            </w:tcBorders>
          </w:tcPr>
          <w:p w14:paraId="386D96C9"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(3)</w:t>
            </w:r>
          </w:p>
        </w:tc>
        <w:tc>
          <w:tcPr>
            <w:tcW w:w="854" w:type="dxa"/>
            <w:tcBorders>
              <w:top w:val="single" w:sz="4" w:space="0" w:color="auto"/>
              <w:left w:val="nil"/>
              <w:bottom w:val="single" w:sz="6" w:space="0" w:color="auto"/>
              <w:right w:val="nil"/>
            </w:tcBorders>
          </w:tcPr>
          <w:p w14:paraId="5F3E63C0"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(4)</w:t>
            </w:r>
          </w:p>
        </w:tc>
        <w:tc>
          <w:tcPr>
            <w:tcW w:w="854" w:type="dxa"/>
            <w:tcBorders>
              <w:top w:val="single" w:sz="4" w:space="0" w:color="auto"/>
              <w:left w:val="nil"/>
              <w:bottom w:val="single" w:sz="6" w:space="0" w:color="auto"/>
              <w:right w:val="nil"/>
            </w:tcBorders>
          </w:tcPr>
          <w:p w14:paraId="7785A892"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(5)</w:t>
            </w:r>
          </w:p>
        </w:tc>
        <w:tc>
          <w:tcPr>
            <w:tcW w:w="854" w:type="dxa"/>
            <w:tcBorders>
              <w:top w:val="single" w:sz="4" w:space="0" w:color="auto"/>
              <w:left w:val="nil"/>
              <w:bottom w:val="single" w:sz="6" w:space="0" w:color="auto"/>
              <w:right w:val="nil"/>
            </w:tcBorders>
          </w:tcPr>
          <w:p w14:paraId="5DA0D17D"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(6)</w:t>
            </w:r>
          </w:p>
        </w:tc>
        <w:tc>
          <w:tcPr>
            <w:tcW w:w="854" w:type="dxa"/>
            <w:tcBorders>
              <w:top w:val="single" w:sz="4" w:space="0" w:color="auto"/>
              <w:left w:val="nil"/>
              <w:bottom w:val="single" w:sz="6" w:space="0" w:color="auto"/>
              <w:right w:val="nil"/>
            </w:tcBorders>
          </w:tcPr>
          <w:p w14:paraId="7D918A30"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(7)</w:t>
            </w:r>
          </w:p>
        </w:tc>
        <w:tc>
          <w:tcPr>
            <w:tcW w:w="854" w:type="dxa"/>
            <w:tcBorders>
              <w:top w:val="single" w:sz="4" w:space="0" w:color="auto"/>
              <w:left w:val="nil"/>
              <w:bottom w:val="single" w:sz="6" w:space="0" w:color="auto"/>
              <w:right w:val="nil"/>
            </w:tcBorders>
          </w:tcPr>
          <w:p w14:paraId="536F5536"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(13)</w:t>
            </w:r>
          </w:p>
        </w:tc>
      </w:tr>
      <w:tr w:rsidR="00AE1F18" w:rsidRPr="004C7031" w14:paraId="3932BE27" w14:textId="77777777" w:rsidTr="004013F8">
        <w:tc>
          <w:tcPr>
            <w:tcW w:w="2308" w:type="dxa"/>
            <w:tcBorders>
              <w:top w:val="nil"/>
              <w:left w:val="nil"/>
              <w:bottom w:val="nil"/>
              <w:right w:val="nil"/>
            </w:tcBorders>
          </w:tcPr>
          <w:p w14:paraId="301FFC58" w14:textId="1C8B64B0"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w:t>
            </w:r>
            <m:oMath>
              <m:acc>
                <m:accPr>
                  <m:ctrlPr>
                    <w:rPr>
                      <w:rFonts w:ascii="Cambria Math" w:eastAsiaTheme="minorEastAsia" w:hAnsi="Cambria Math"/>
                      <w:lang w:val="en-US"/>
                    </w:rPr>
                  </m:ctrlPr>
                </m:accPr>
                <m:e>
                  <m:sSub>
                    <m:sSubPr>
                      <m:ctrlPr>
                        <w:rPr>
                          <w:rFonts w:ascii="Cambria Math" w:eastAsiaTheme="minorEastAsia" w:hAnsi="Cambria Math"/>
                          <w:lang w:val="en-US"/>
                        </w:rPr>
                      </m:ctrlPr>
                    </m:sSubPr>
                    <m:e>
                      <m:r>
                        <w:rPr>
                          <w:rFonts w:ascii="Cambria Math" w:eastAsiaTheme="minorEastAsia" w:hAnsi="Cambria Math"/>
                          <w:lang w:val="en-US"/>
                        </w:rPr>
                        <m:t>LQ</m:t>
                      </m:r>
                    </m:e>
                    <m:sub>
                      <m:r>
                        <w:rPr>
                          <w:rFonts w:ascii="Cambria Math" w:eastAsiaTheme="minorEastAsia" w:hAnsi="Cambria Math"/>
                          <w:lang w:val="en-US"/>
                        </w:rPr>
                        <m:t>i</m:t>
                      </m:r>
                    </m:sub>
                  </m:sSub>
                </m:e>
              </m:acc>
              <m:r>
                <m:rPr>
                  <m:sty m:val="p"/>
                </m:rPr>
                <w:rPr>
                  <w:rFonts w:ascii="Cambria Math" w:eastAsiaTheme="minorEastAsia" w:hAnsi="Cambria Math"/>
                  <w:lang w:val="en-US"/>
                </w:rPr>
                <m:t>.</m:t>
              </m:r>
            </m:oMath>
          </w:p>
        </w:tc>
        <w:tc>
          <w:tcPr>
            <w:tcW w:w="854" w:type="dxa"/>
            <w:tcBorders>
              <w:top w:val="nil"/>
              <w:left w:val="nil"/>
              <w:bottom w:val="nil"/>
              <w:right w:val="nil"/>
            </w:tcBorders>
          </w:tcPr>
          <w:p w14:paraId="5620920F"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3A903E57"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AB450DE"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028F3682"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B2AD53E"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5439852"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D3768BD"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61BA0A87"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74AD8D20" w14:textId="77777777" w:rsidTr="004013F8">
        <w:tc>
          <w:tcPr>
            <w:tcW w:w="2308" w:type="dxa"/>
            <w:tcBorders>
              <w:top w:val="nil"/>
              <w:left w:val="nil"/>
              <w:bottom w:val="nil"/>
              <w:right w:val="nil"/>
            </w:tcBorders>
          </w:tcPr>
          <w:p w14:paraId="6AB5A13A" w14:textId="3F9566F7"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NonAC_TOT</w:t>
            </w:r>
          </w:p>
        </w:tc>
        <w:tc>
          <w:tcPr>
            <w:tcW w:w="854" w:type="dxa"/>
            <w:tcBorders>
              <w:top w:val="nil"/>
              <w:left w:val="nil"/>
              <w:bottom w:val="nil"/>
              <w:right w:val="nil"/>
            </w:tcBorders>
          </w:tcPr>
          <w:p w14:paraId="54F71DB6"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0.860*</w:t>
            </w:r>
          </w:p>
        </w:tc>
        <w:tc>
          <w:tcPr>
            <w:tcW w:w="854" w:type="dxa"/>
            <w:tcBorders>
              <w:top w:val="nil"/>
              <w:left w:val="nil"/>
              <w:bottom w:val="nil"/>
              <w:right w:val="nil"/>
            </w:tcBorders>
          </w:tcPr>
          <w:p w14:paraId="273BC1AF"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3A822600"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2DF89628"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34A5534D"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579717C"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5F038AF2"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25F64B25"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2790B78C" w14:textId="77777777" w:rsidTr="004013F8">
        <w:tc>
          <w:tcPr>
            <w:tcW w:w="2308" w:type="dxa"/>
            <w:tcBorders>
              <w:top w:val="nil"/>
              <w:left w:val="nil"/>
              <w:bottom w:val="nil"/>
              <w:right w:val="nil"/>
            </w:tcBorders>
          </w:tcPr>
          <w:p w14:paraId="410BF7CA" w14:textId="5E7663C5"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Publication_AC</w:t>
            </w:r>
          </w:p>
        </w:tc>
        <w:tc>
          <w:tcPr>
            <w:tcW w:w="854" w:type="dxa"/>
            <w:tcBorders>
              <w:top w:val="nil"/>
              <w:left w:val="nil"/>
              <w:bottom w:val="nil"/>
              <w:right w:val="nil"/>
            </w:tcBorders>
          </w:tcPr>
          <w:p w14:paraId="032DE145"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0.245*</w:t>
            </w:r>
          </w:p>
        </w:tc>
        <w:tc>
          <w:tcPr>
            <w:tcW w:w="854" w:type="dxa"/>
            <w:tcBorders>
              <w:top w:val="nil"/>
              <w:left w:val="nil"/>
              <w:bottom w:val="nil"/>
              <w:right w:val="nil"/>
            </w:tcBorders>
          </w:tcPr>
          <w:p w14:paraId="1227C23A"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0.484*</w:t>
            </w:r>
          </w:p>
        </w:tc>
        <w:tc>
          <w:tcPr>
            <w:tcW w:w="854" w:type="dxa"/>
            <w:tcBorders>
              <w:top w:val="nil"/>
              <w:left w:val="nil"/>
              <w:bottom w:val="nil"/>
              <w:right w:val="nil"/>
            </w:tcBorders>
          </w:tcPr>
          <w:p w14:paraId="1A52DA5B"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778F90C6"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59B1F337"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1ACC656A"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2E5B6495"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032E7024"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5BA3AB8A" w14:textId="77777777" w:rsidTr="004013F8">
        <w:tc>
          <w:tcPr>
            <w:tcW w:w="2308" w:type="dxa"/>
            <w:tcBorders>
              <w:top w:val="nil"/>
              <w:left w:val="nil"/>
              <w:bottom w:val="nil"/>
              <w:right w:val="nil"/>
            </w:tcBorders>
          </w:tcPr>
          <w:p w14:paraId="75DE3E9D" w14:textId="08EDC37E"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GRAD_AC</w:t>
            </w:r>
          </w:p>
        </w:tc>
        <w:tc>
          <w:tcPr>
            <w:tcW w:w="854" w:type="dxa"/>
            <w:tcBorders>
              <w:top w:val="nil"/>
              <w:left w:val="nil"/>
              <w:bottom w:val="nil"/>
              <w:right w:val="nil"/>
            </w:tcBorders>
          </w:tcPr>
          <w:p w14:paraId="6A150C30"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-0.058</w:t>
            </w:r>
          </w:p>
        </w:tc>
        <w:tc>
          <w:tcPr>
            <w:tcW w:w="854" w:type="dxa"/>
            <w:tcBorders>
              <w:top w:val="nil"/>
              <w:left w:val="nil"/>
              <w:bottom w:val="nil"/>
              <w:right w:val="nil"/>
            </w:tcBorders>
          </w:tcPr>
          <w:p w14:paraId="448170B8"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-0.207*</w:t>
            </w:r>
          </w:p>
        </w:tc>
        <w:tc>
          <w:tcPr>
            <w:tcW w:w="854" w:type="dxa"/>
            <w:tcBorders>
              <w:top w:val="nil"/>
              <w:left w:val="nil"/>
              <w:bottom w:val="nil"/>
              <w:right w:val="nil"/>
            </w:tcBorders>
          </w:tcPr>
          <w:p w14:paraId="34CE102C"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-0.450*</w:t>
            </w:r>
          </w:p>
        </w:tc>
        <w:tc>
          <w:tcPr>
            <w:tcW w:w="854" w:type="dxa"/>
            <w:tcBorders>
              <w:top w:val="nil"/>
              <w:left w:val="nil"/>
              <w:bottom w:val="nil"/>
              <w:right w:val="nil"/>
            </w:tcBorders>
          </w:tcPr>
          <w:p w14:paraId="604F2CD8"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58783189"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16113129"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2C97A3F3"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507961A4"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4611F8D1" w14:textId="77777777" w:rsidTr="004013F8">
        <w:tc>
          <w:tcPr>
            <w:tcW w:w="2308" w:type="dxa"/>
            <w:tcBorders>
              <w:top w:val="nil"/>
              <w:left w:val="nil"/>
              <w:bottom w:val="nil"/>
              <w:right w:val="nil"/>
            </w:tcBorders>
          </w:tcPr>
          <w:p w14:paraId="30F8BA9B" w14:textId="55507F26"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STUD_AC</w:t>
            </w:r>
          </w:p>
        </w:tc>
        <w:tc>
          <w:tcPr>
            <w:tcW w:w="854" w:type="dxa"/>
            <w:tcBorders>
              <w:top w:val="nil"/>
              <w:left w:val="nil"/>
              <w:bottom w:val="nil"/>
              <w:right w:val="nil"/>
            </w:tcBorders>
          </w:tcPr>
          <w:p w14:paraId="511B8E3F"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-0.050</w:t>
            </w:r>
          </w:p>
        </w:tc>
        <w:tc>
          <w:tcPr>
            <w:tcW w:w="854" w:type="dxa"/>
            <w:tcBorders>
              <w:top w:val="nil"/>
              <w:left w:val="nil"/>
              <w:bottom w:val="nil"/>
              <w:right w:val="nil"/>
            </w:tcBorders>
          </w:tcPr>
          <w:p w14:paraId="292CDABC"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-0.229*</w:t>
            </w:r>
          </w:p>
        </w:tc>
        <w:tc>
          <w:tcPr>
            <w:tcW w:w="854" w:type="dxa"/>
            <w:tcBorders>
              <w:top w:val="nil"/>
              <w:left w:val="nil"/>
              <w:bottom w:val="nil"/>
              <w:right w:val="nil"/>
            </w:tcBorders>
          </w:tcPr>
          <w:p w14:paraId="38D01B97"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-0.489*</w:t>
            </w:r>
          </w:p>
        </w:tc>
        <w:tc>
          <w:tcPr>
            <w:tcW w:w="854" w:type="dxa"/>
            <w:tcBorders>
              <w:top w:val="nil"/>
              <w:left w:val="nil"/>
              <w:bottom w:val="nil"/>
              <w:right w:val="nil"/>
            </w:tcBorders>
          </w:tcPr>
          <w:p w14:paraId="22BF39A9"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0.883*</w:t>
            </w:r>
          </w:p>
        </w:tc>
        <w:tc>
          <w:tcPr>
            <w:tcW w:w="854" w:type="dxa"/>
            <w:tcBorders>
              <w:top w:val="nil"/>
              <w:left w:val="nil"/>
              <w:bottom w:val="nil"/>
              <w:right w:val="nil"/>
            </w:tcBorders>
          </w:tcPr>
          <w:p w14:paraId="1D13DF04"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1E5F4F08"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4967B0AF"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29F20E0E"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041A2ABA" w14:textId="77777777" w:rsidTr="004013F8">
        <w:tc>
          <w:tcPr>
            <w:tcW w:w="2308" w:type="dxa"/>
            <w:tcBorders>
              <w:top w:val="nil"/>
              <w:left w:val="nil"/>
              <w:bottom w:val="nil"/>
              <w:right w:val="nil"/>
            </w:tcBorders>
          </w:tcPr>
          <w:p w14:paraId="3A833993" w14:textId="165CCDC0"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CORE_TOT</w:t>
            </w:r>
          </w:p>
        </w:tc>
        <w:tc>
          <w:tcPr>
            <w:tcW w:w="854" w:type="dxa"/>
            <w:tcBorders>
              <w:top w:val="nil"/>
              <w:left w:val="nil"/>
              <w:bottom w:val="nil"/>
              <w:right w:val="nil"/>
            </w:tcBorders>
          </w:tcPr>
          <w:p w14:paraId="57449976"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0.168*</w:t>
            </w:r>
          </w:p>
        </w:tc>
        <w:tc>
          <w:tcPr>
            <w:tcW w:w="854" w:type="dxa"/>
            <w:tcBorders>
              <w:top w:val="nil"/>
              <w:left w:val="nil"/>
              <w:bottom w:val="nil"/>
              <w:right w:val="nil"/>
            </w:tcBorders>
          </w:tcPr>
          <w:p w14:paraId="7DC034A1"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0.269*</w:t>
            </w:r>
          </w:p>
        </w:tc>
        <w:tc>
          <w:tcPr>
            <w:tcW w:w="854" w:type="dxa"/>
            <w:tcBorders>
              <w:top w:val="nil"/>
              <w:left w:val="nil"/>
              <w:bottom w:val="nil"/>
              <w:right w:val="nil"/>
            </w:tcBorders>
          </w:tcPr>
          <w:p w14:paraId="51B012DA"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0.300*</w:t>
            </w:r>
          </w:p>
        </w:tc>
        <w:tc>
          <w:tcPr>
            <w:tcW w:w="854" w:type="dxa"/>
            <w:tcBorders>
              <w:top w:val="nil"/>
              <w:left w:val="nil"/>
              <w:bottom w:val="nil"/>
              <w:right w:val="nil"/>
            </w:tcBorders>
          </w:tcPr>
          <w:p w14:paraId="6AD01387"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-0.150*</w:t>
            </w:r>
          </w:p>
        </w:tc>
        <w:tc>
          <w:tcPr>
            <w:tcW w:w="854" w:type="dxa"/>
            <w:tcBorders>
              <w:top w:val="nil"/>
              <w:left w:val="nil"/>
              <w:bottom w:val="nil"/>
              <w:right w:val="nil"/>
            </w:tcBorders>
          </w:tcPr>
          <w:p w14:paraId="4B8A162E"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-0.071</w:t>
            </w:r>
          </w:p>
        </w:tc>
        <w:tc>
          <w:tcPr>
            <w:tcW w:w="854" w:type="dxa"/>
            <w:tcBorders>
              <w:top w:val="nil"/>
              <w:left w:val="nil"/>
              <w:bottom w:val="nil"/>
              <w:right w:val="nil"/>
            </w:tcBorders>
          </w:tcPr>
          <w:p w14:paraId="0B81D162"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bottom w:val="nil"/>
              <w:right w:val="nil"/>
            </w:tcBorders>
          </w:tcPr>
          <w:p w14:paraId="0E4A5AF2" w14:textId="77777777" w:rsidR="00AE1F18" w:rsidRPr="004C7031" w:rsidRDefault="00AE1F18" w:rsidP="00AE1F18">
            <w:pPr>
              <w:widowControl w:val="0"/>
              <w:autoSpaceDE w:val="0"/>
              <w:autoSpaceDN w:val="0"/>
              <w:adjustRightInd w:val="0"/>
              <w:jc w:val="right"/>
              <w:rPr>
                <w:sz w:val="20"/>
                <w:szCs w:val="20"/>
                <w:lang w:val="en-US" w:eastAsia="en-US"/>
              </w:rPr>
            </w:pPr>
          </w:p>
        </w:tc>
        <w:tc>
          <w:tcPr>
            <w:tcW w:w="854" w:type="dxa"/>
            <w:tcBorders>
              <w:top w:val="nil"/>
              <w:left w:val="nil"/>
              <w:bottom w:val="nil"/>
              <w:right w:val="nil"/>
            </w:tcBorders>
          </w:tcPr>
          <w:p w14:paraId="558FAE2F"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6326CF1B" w14:textId="77777777" w:rsidTr="00AE1F18">
        <w:tc>
          <w:tcPr>
            <w:tcW w:w="2308" w:type="dxa"/>
            <w:tcBorders>
              <w:top w:val="nil"/>
              <w:left w:val="nil"/>
              <w:right w:val="nil"/>
            </w:tcBorders>
          </w:tcPr>
          <w:p w14:paraId="7AE5D963" w14:textId="3D3FCE93"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THIRdPARTY_TOT</w:t>
            </w:r>
          </w:p>
        </w:tc>
        <w:tc>
          <w:tcPr>
            <w:tcW w:w="854" w:type="dxa"/>
            <w:tcBorders>
              <w:top w:val="nil"/>
              <w:left w:val="nil"/>
              <w:right w:val="nil"/>
            </w:tcBorders>
          </w:tcPr>
          <w:p w14:paraId="5ED1B787"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0.072</w:t>
            </w:r>
          </w:p>
        </w:tc>
        <w:tc>
          <w:tcPr>
            <w:tcW w:w="854" w:type="dxa"/>
            <w:tcBorders>
              <w:top w:val="nil"/>
              <w:left w:val="nil"/>
              <w:right w:val="nil"/>
            </w:tcBorders>
          </w:tcPr>
          <w:p w14:paraId="2E7AACF5"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0.272*</w:t>
            </w:r>
          </w:p>
        </w:tc>
        <w:tc>
          <w:tcPr>
            <w:tcW w:w="854" w:type="dxa"/>
            <w:tcBorders>
              <w:top w:val="nil"/>
              <w:left w:val="nil"/>
              <w:right w:val="nil"/>
            </w:tcBorders>
          </w:tcPr>
          <w:p w14:paraId="3349F099"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0.594*</w:t>
            </w:r>
          </w:p>
        </w:tc>
        <w:tc>
          <w:tcPr>
            <w:tcW w:w="854" w:type="dxa"/>
            <w:tcBorders>
              <w:top w:val="nil"/>
              <w:left w:val="nil"/>
              <w:right w:val="nil"/>
            </w:tcBorders>
          </w:tcPr>
          <w:p w14:paraId="369FDCE6"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-0.501*</w:t>
            </w:r>
          </w:p>
        </w:tc>
        <w:tc>
          <w:tcPr>
            <w:tcW w:w="854" w:type="dxa"/>
            <w:tcBorders>
              <w:top w:val="nil"/>
              <w:left w:val="nil"/>
              <w:right w:val="nil"/>
            </w:tcBorders>
          </w:tcPr>
          <w:p w14:paraId="2DEA29B0"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-0.431*</w:t>
            </w:r>
          </w:p>
        </w:tc>
        <w:tc>
          <w:tcPr>
            <w:tcW w:w="854" w:type="dxa"/>
            <w:tcBorders>
              <w:top w:val="nil"/>
              <w:left w:val="nil"/>
              <w:right w:val="nil"/>
            </w:tcBorders>
          </w:tcPr>
          <w:p w14:paraId="0B4E1F61"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0.166*</w:t>
            </w:r>
          </w:p>
        </w:tc>
        <w:tc>
          <w:tcPr>
            <w:tcW w:w="854" w:type="dxa"/>
            <w:tcBorders>
              <w:top w:val="nil"/>
              <w:left w:val="nil"/>
              <w:right w:val="nil"/>
            </w:tcBorders>
          </w:tcPr>
          <w:p w14:paraId="4F1688EE"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c>
          <w:tcPr>
            <w:tcW w:w="854" w:type="dxa"/>
            <w:tcBorders>
              <w:top w:val="nil"/>
              <w:left w:val="nil"/>
              <w:right w:val="nil"/>
            </w:tcBorders>
          </w:tcPr>
          <w:p w14:paraId="2E8FF13F" w14:textId="77777777" w:rsidR="00AE1F18" w:rsidRPr="004C7031" w:rsidRDefault="00AE1F18" w:rsidP="00AE1F18">
            <w:pPr>
              <w:widowControl w:val="0"/>
              <w:autoSpaceDE w:val="0"/>
              <w:autoSpaceDN w:val="0"/>
              <w:adjustRightInd w:val="0"/>
              <w:jc w:val="right"/>
              <w:rPr>
                <w:sz w:val="20"/>
                <w:szCs w:val="20"/>
                <w:lang w:val="en-US" w:eastAsia="en-US"/>
              </w:rPr>
            </w:pPr>
          </w:p>
        </w:tc>
      </w:tr>
      <w:tr w:rsidR="00AE1F18" w:rsidRPr="004C7031" w14:paraId="2D81C255" w14:textId="77777777" w:rsidTr="00AE1F18">
        <w:tc>
          <w:tcPr>
            <w:tcW w:w="2308" w:type="dxa"/>
            <w:tcBorders>
              <w:top w:val="nil"/>
              <w:left w:val="nil"/>
              <w:bottom w:val="single" w:sz="4" w:space="0" w:color="auto"/>
              <w:right w:val="nil"/>
            </w:tcBorders>
          </w:tcPr>
          <w:p w14:paraId="62E43B1D" w14:textId="177689E0" w:rsidR="00AE1F18" w:rsidRPr="004C7031" w:rsidRDefault="00AE1F18" w:rsidP="00AE1F18">
            <w:pPr>
              <w:widowControl w:val="0"/>
              <w:autoSpaceDE w:val="0"/>
              <w:autoSpaceDN w:val="0"/>
              <w:adjustRightInd w:val="0"/>
              <w:rPr>
                <w:sz w:val="20"/>
                <w:szCs w:val="20"/>
                <w:lang w:val="en-US" w:eastAsia="en-US"/>
              </w:rPr>
            </w:pPr>
            <w:r w:rsidRPr="004C7031">
              <w:rPr>
                <w:sz w:val="20"/>
                <w:szCs w:val="20"/>
                <w:lang w:val="en-US" w:eastAsia="en-US"/>
              </w:rPr>
              <w:t xml:space="preserve"> foundation year</w:t>
            </w:r>
          </w:p>
        </w:tc>
        <w:tc>
          <w:tcPr>
            <w:tcW w:w="854" w:type="dxa"/>
            <w:tcBorders>
              <w:top w:val="nil"/>
              <w:left w:val="nil"/>
              <w:bottom w:val="single" w:sz="4" w:space="0" w:color="auto"/>
              <w:right w:val="nil"/>
            </w:tcBorders>
          </w:tcPr>
          <w:p w14:paraId="68BCAE7C"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-0.075</w:t>
            </w:r>
          </w:p>
        </w:tc>
        <w:tc>
          <w:tcPr>
            <w:tcW w:w="854" w:type="dxa"/>
            <w:tcBorders>
              <w:top w:val="nil"/>
              <w:left w:val="nil"/>
              <w:bottom w:val="single" w:sz="4" w:space="0" w:color="auto"/>
              <w:right w:val="nil"/>
            </w:tcBorders>
          </w:tcPr>
          <w:p w14:paraId="297EBAEB"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-0.217*</w:t>
            </w:r>
          </w:p>
        </w:tc>
        <w:tc>
          <w:tcPr>
            <w:tcW w:w="854" w:type="dxa"/>
            <w:tcBorders>
              <w:top w:val="nil"/>
              <w:left w:val="nil"/>
              <w:bottom w:val="single" w:sz="4" w:space="0" w:color="auto"/>
              <w:right w:val="nil"/>
            </w:tcBorders>
          </w:tcPr>
          <w:p w14:paraId="7DD5841D"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-0.365*</w:t>
            </w:r>
          </w:p>
        </w:tc>
        <w:tc>
          <w:tcPr>
            <w:tcW w:w="854" w:type="dxa"/>
            <w:tcBorders>
              <w:top w:val="nil"/>
              <w:left w:val="nil"/>
              <w:bottom w:val="single" w:sz="4" w:space="0" w:color="auto"/>
              <w:right w:val="nil"/>
            </w:tcBorders>
          </w:tcPr>
          <w:p w14:paraId="033A35F7"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0.415*</w:t>
            </w:r>
          </w:p>
        </w:tc>
        <w:tc>
          <w:tcPr>
            <w:tcW w:w="854" w:type="dxa"/>
            <w:tcBorders>
              <w:top w:val="nil"/>
              <w:left w:val="nil"/>
              <w:bottom w:val="single" w:sz="4" w:space="0" w:color="auto"/>
              <w:right w:val="nil"/>
            </w:tcBorders>
          </w:tcPr>
          <w:p w14:paraId="6B34E7B8"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0.492*</w:t>
            </w:r>
          </w:p>
        </w:tc>
        <w:tc>
          <w:tcPr>
            <w:tcW w:w="854" w:type="dxa"/>
            <w:tcBorders>
              <w:top w:val="nil"/>
              <w:left w:val="nil"/>
              <w:bottom w:val="single" w:sz="4" w:space="0" w:color="auto"/>
              <w:right w:val="nil"/>
            </w:tcBorders>
          </w:tcPr>
          <w:p w14:paraId="67AA7761"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-0.039</w:t>
            </w:r>
          </w:p>
        </w:tc>
        <w:tc>
          <w:tcPr>
            <w:tcW w:w="854" w:type="dxa"/>
            <w:tcBorders>
              <w:top w:val="nil"/>
              <w:left w:val="nil"/>
              <w:bottom w:val="single" w:sz="4" w:space="0" w:color="auto"/>
              <w:right w:val="nil"/>
            </w:tcBorders>
          </w:tcPr>
          <w:p w14:paraId="11B2A679"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-0.184*</w:t>
            </w:r>
          </w:p>
        </w:tc>
        <w:tc>
          <w:tcPr>
            <w:tcW w:w="854" w:type="dxa"/>
            <w:tcBorders>
              <w:top w:val="nil"/>
              <w:left w:val="nil"/>
              <w:bottom w:val="single" w:sz="4" w:space="0" w:color="auto"/>
              <w:right w:val="nil"/>
            </w:tcBorders>
          </w:tcPr>
          <w:p w14:paraId="0DA92875" w14:textId="77777777" w:rsidR="00AE1F18" w:rsidRPr="004C7031" w:rsidRDefault="00AE1F18" w:rsidP="00AE1F18">
            <w:pPr>
              <w:widowControl w:val="0"/>
              <w:autoSpaceDE w:val="0"/>
              <w:autoSpaceDN w:val="0"/>
              <w:adjustRightInd w:val="0"/>
              <w:jc w:val="right"/>
              <w:rPr>
                <w:sz w:val="20"/>
                <w:szCs w:val="20"/>
                <w:lang w:val="en-US" w:eastAsia="en-US"/>
              </w:rPr>
            </w:pPr>
            <w:r w:rsidRPr="004C7031">
              <w:rPr>
                <w:sz w:val="20"/>
                <w:szCs w:val="20"/>
                <w:lang w:val="en-US" w:eastAsia="en-US"/>
              </w:rPr>
              <w:t>1.000</w:t>
            </w:r>
          </w:p>
        </w:tc>
      </w:tr>
    </w:tbl>
    <w:p w14:paraId="1445F232" w14:textId="77777777" w:rsidR="0066687E" w:rsidRPr="004C7031" w:rsidRDefault="0066687E">
      <w:pPr>
        <w:jc w:val="both"/>
        <w:rPr>
          <w:i/>
          <w:iCs/>
          <w:lang w:val="en-US"/>
        </w:rPr>
      </w:pPr>
    </w:p>
    <w:p w14:paraId="05375486" w14:textId="3398E61E" w:rsidR="008168F4" w:rsidRDefault="0066687E">
      <w:pPr>
        <w:jc w:val="both"/>
      </w:pPr>
      <w:r w:rsidRPr="0066687E">
        <w:rPr>
          <w:iCs/>
          <w:lang w:val="en-US"/>
        </w:rPr>
        <w:lastRenderedPageBreak/>
        <w:t>We</w:t>
      </w:r>
      <w:r>
        <w:rPr>
          <w:iCs/>
          <w:lang w:val="en-US"/>
        </w:rPr>
        <w:t xml:space="preserve"> find some interesting results, and some differences between Europe and the US. The main difference is related to the correlation between latent variable and the measure of scientific performance (publication per academic staff). In case of Europe there is </w:t>
      </w:r>
      <w:r w:rsidR="00FD0F61">
        <w:rPr>
          <w:iCs/>
          <w:lang w:val="en-US"/>
        </w:rPr>
        <w:t xml:space="preserve">negative </w:t>
      </w:r>
      <w:r>
        <w:rPr>
          <w:iCs/>
          <w:lang w:val="en-US"/>
        </w:rPr>
        <w:t>correlation between latent variable and publication record</w:t>
      </w:r>
      <w:r w:rsidR="00FD0F61">
        <w:rPr>
          <w:iCs/>
          <w:lang w:val="en-US"/>
        </w:rPr>
        <w:t>,</w:t>
      </w:r>
      <w:r>
        <w:rPr>
          <w:iCs/>
          <w:lang w:val="en-US"/>
        </w:rPr>
        <w:t xml:space="preserve"> while for the US the latent variable is positively correlated with publication per academic staff. Additionally, the latent variable is negatively correlated with the ratio </w:t>
      </w:r>
      <w:r w:rsidRPr="00F43093">
        <w:rPr>
          <w:i/>
          <w:lang w:val="en-US"/>
        </w:rPr>
        <w:t>core funding to total budget</w:t>
      </w:r>
      <w:r>
        <w:rPr>
          <w:iCs/>
          <w:lang w:val="en-US"/>
        </w:rPr>
        <w:t xml:space="preserve"> in case of European universities and </w:t>
      </w:r>
      <w:r w:rsidR="007F2D21">
        <w:rPr>
          <w:iCs/>
          <w:lang w:val="en-US"/>
        </w:rPr>
        <w:t>positively</w:t>
      </w:r>
      <w:r>
        <w:rPr>
          <w:iCs/>
          <w:lang w:val="en-US"/>
        </w:rPr>
        <w:t xml:space="preserve"> for the US sample. </w:t>
      </w:r>
    </w:p>
    <w:p w14:paraId="36B2494F" w14:textId="77777777" w:rsidR="008168F4" w:rsidRDefault="008168F4">
      <w:pPr>
        <w:jc w:val="both"/>
      </w:pPr>
    </w:p>
    <w:p w14:paraId="2F35F292" w14:textId="2188C927" w:rsidR="00820AD0" w:rsidRPr="00820AD0" w:rsidRDefault="00820AD0" w:rsidP="00820AD0">
      <w:pPr>
        <w:keepNext/>
        <w:jc w:val="both"/>
        <w:outlineLvl w:val="1"/>
        <w:rPr>
          <w:b/>
          <w:bCs/>
        </w:rPr>
      </w:pPr>
      <w:r>
        <w:rPr>
          <w:b/>
          <w:bCs/>
        </w:rPr>
        <w:t>5</w:t>
      </w:r>
      <w:r w:rsidRPr="00820AD0">
        <w:rPr>
          <w:b/>
          <w:bCs/>
        </w:rPr>
        <w:t xml:space="preserve">. </w:t>
      </w:r>
      <w:r>
        <w:rPr>
          <w:b/>
          <w:bCs/>
        </w:rPr>
        <w:t>Conclusion</w:t>
      </w:r>
    </w:p>
    <w:p w14:paraId="25702870" w14:textId="5A2D1CC8" w:rsidR="00835B6B" w:rsidRDefault="00D41DFD" w:rsidP="00835B6B">
      <w:pPr>
        <w:jc w:val="both"/>
      </w:pPr>
      <w:r>
        <w:rPr>
          <w:lang w:val="en-US"/>
        </w:rPr>
        <w:t>Preliminary r</w:t>
      </w:r>
      <w:r w:rsidRPr="000A09B4">
        <w:rPr>
          <w:lang w:val="en-US"/>
        </w:rPr>
        <w:t xml:space="preserve">esults show that the latent </w:t>
      </w:r>
      <w:r w:rsidR="00D70503" w:rsidRPr="009C1C69">
        <w:rPr>
          <w:lang w:val="en-US"/>
        </w:rPr>
        <w:t>heterogeneity</w:t>
      </w:r>
      <w:r w:rsidR="00D70503" w:rsidRPr="00572BDF">
        <w:rPr>
          <w:lang w:val="en-US"/>
        </w:rPr>
        <w:t xml:space="preserve"> </w:t>
      </w:r>
      <w:r w:rsidRPr="000A09B4">
        <w:rPr>
          <w:lang w:val="en-US"/>
        </w:rPr>
        <w:t>is correlated positively with sc</w:t>
      </w:r>
      <w:r>
        <w:rPr>
          <w:lang w:val="en-US"/>
        </w:rPr>
        <w:t xml:space="preserve">ientific performance indicators in case of the US sample and negatively for </w:t>
      </w:r>
      <w:r w:rsidR="00FD0F61">
        <w:rPr>
          <w:lang w:val="en-US"/>
        </w:rPr>
        <w:t xml:space="preserve">the </w:t>
      </w:r>
      <w:r>
        <w:rPr>
          <w:lang w:val="en-US"/>
        </w:rPr>
        <w:t xml:space="preserve">European </w:t>
      </w:r>
      <w:r w:rsidR="00FD0F61">
        <w:rPr>
          <w:lang w:val="en-US"/>
        </w:rPr>
        <w:t>one</w:t>
      </w:r>
      <w:r>
        <w:rPr>
          <w:lang w:val="en-US"/>
        </w:rPr>
        <w:t>. Additionally</w:t>
      </w:r>
      <w:r w:rsidR="00FD0F61">
        <w:rPr>
          <w:lang w:val="en-US"/>
        </w:rPr>
        <w:t>,</w:t>
      </w:r>
      <w:r w:rsidR="00EA333B">
        <w:rPr>
          <w:lang w:val="en-US"/>
        </w:rPr>
        <w:t xml:space="preserve"> there is also an inverse</w:t>
      </w:r>
      <w:r>
        <w:rPr>
          <w:lang w:val="en-US"/>
        </w:rPr>
        <w:t xml:space="preserve"> correlation for core budget, </w:t>
      </w:r>
      <w:r w:rsidR="00FD0F61">
        <w:rPr>
          <w:lang w:val="en-US"/>
        </w:rPr>
        <w:t xml:space="preserve">namely, </w:t>
      </w:r>
      <w:r>
        <w:rPr>
          <w:lang w:val="en-US"/>
        </w:rPr>
        <w:t xml:space="preserve">the latent variable is correlated positively in case of the US sample and negatively for Europe. We can conclude that this unobserved heterogeneity (proxy of the </w:t>
      </w:r>
      <w:r w:rsidR="00D70503">
        <w:rPr>
          <w:lang w:val="en-US"/>
        </w:rPr>
        <w:t xml:space="preserve">effectiveness </w:t>
      </w:r>
      <w:r>
        <w:rPr>
          <w:lang w:val="en-US"/>
        </w:rPr>
        <w:t>of non-academic staff) acts differently in Europe</w:t>
      </w:r>
      <w:r w:rsidR="00EA333B">
        <w:rPr>
          <w:lang w:val="en-US"/>
        </w:rPr>
        <w:t>an and US universities</w:t>
      </w:r>
      <w:r>
        <w:rPr>
          <w:lang w:val="en-US"/>
        </w:rPr>
        <w:t xml:space="preserve">. </w:t>
      </w:r>
      <w:r w:rsidR="00EA333B">
        <w:rPr>
          <w:lang w:val="en-US"/>
        </w:rPr>
        <w:t xml:space="preserve">If this findings will be confirmed by further analyses, they will be </w:t>
      </w:r>
      <w:r>
        <w:rPr>
          <w:lang w:val="en-US"/>
        </w:rPr>
        <w:t xml:space="preserve">very important as far </w:t>
      </w:r>
      <w:r w:rsidR="00EA333B">
        <w:rPr>
          <w:lang w:val="en-US"/>
        </w:rPr>
        <w:t xml:space="preserve">as </w:t>
      </w:r>
      <w:r>
        <w:rPr>
          <w:lang w:val="en-US"/>
        </w:rPr>
        <w:t>policy implication</w:t>
      </w:r>
      <w:r w:rsidR="00EA333B">
        <w:rPr>
          <w:lang w:val="en-US"/>
        </w:rPr>
        <w:t>s</w:t>
      </w:r>
      <w:r>
        <w:rPr>
          <w:lang w:val="en-US"/>
        </w:rPr>
        <w:t xml:space="preserve"> are concerned</w:t>
      </w:r>
      <w:r w:rsidR="001C030D">
        <w:rPr>
          <w:lang w:val="en-US"/>
        </w:rPr>
        <w:t xml:space="preserve">. </w:t>
      </w:r>
      <w:r w:rsidR="00EA333B">
        <w:rPr>
          <w:lang w:val="en-US"/>
        </w:rPr>
        <w:t>For</w:t>
      </w:r>
      <w:r w:rsidR="001C030D">
        <w:rPr>
          <w:lang w:val="en-US"/>
        </w:rPr>
        <w:t xml:space="preserve"> Europe</w:t>
      </w:r>
      <w:r w:rsidR="00EA333B">
        <w:rPr>
          <w:lang w:val="en-US"/>
        </w:rPr>
        <w:t>an universities</w:t>
      </w:r>
      <w:r w:rsidR="001C030D">
        <w:rPr>
          <w:lang w:val="en-US"/>
        </w:rPr>
        <w:t xml:space="preserve"> we find that the </w:t>
      </w:r>
      <w:r w:rsidR="0087482E">
        <w:rPr>
          <w:lang w:val="en-US"/>
        </w:rPr>
        <w:t xml:space="preserve">effectiveness </w:t>
      </w:r>
      <w:r w:rsidR="001C030D">
        <w:rPr>
          <w:lang w:val="en-US"/>
        </w:rPr>
        <w:t xml:space="preserve">of non-academic staff does not </w:t>
      </w:r>
      <w:r w:rsidR="0087482E">
        <w:rPr>
          <w:lang w:val="en-US"/>
        </w:rPr>
        <w:t>provide any clear contribution in terms</w:t>
      </w:r>
      <w:r w:rsidR="001C030D">
        <w:rPr>
          <w:lang w:val="en-US"/>
        </w:rPr>
        <w:t xml:space="preserve"> of enhancing </w:t>
      </w:r>
      <w:r w:rsidR="00EA333B">
        <w:rPr>
          <w:lang w:val="en-US"/>
        </w:rPr>
        <w:t xml:space="preserve">the research activity (proxied by </w:t>
      </w:r>
      <w:r w:rsidR="001C030D">
        <w:rPr>
          <w:lang w:val="en-US"/>
        </w:rPr>
        <w:t>the publication records</w:t>
      </w:r>
      <w:r w:rsidR="00EA333B">
        <w:rPr>
          <w:lang w:val="en-US"/>
        </w:rPr>
        <w:t>)</w:t>
      </w:r>
      <w:r w:rsidR="001C030D">
        <w:rPr>
          <w:lang w:val="en-US"/>
        </w:rPr>
        <w:t>. It should give concern for the university managers.</w:t>
      </w:r>
    </w:p>
    <w:p w14:paraId="5ACC10C0" w14:textId="77777777" w:rsidR="00835B6B" w:rsidRDefault="00835B6B">
      <w:pPr>
        <w:jc w:val="both"/>
      </w:pPr>
    </w:p>
    <w:p w14:paraId="7DC8A395" w14:textId="44DD13A8" w:rsidR="008168F4" w:rsidRDefault="008168F4">
      <w:pPr>
        <w:jc w:val="both"/>
      </w:pPr>
    </w:p>
    <w:p w14:paraId="7047E5B3" w14:textId="32EA0047" w:rsidR="007A59E1" w:rsidRPr="007A59E1" w:rsidRDefault="007A59E1">
      <w:pPr>
        <w:jc w:val="both"/>
        <w:rPr>
          <w:b/>
          <w:bCs/>
        </w:rPr>
      </w:pPr>
      <w:r>
        <w:rPr>
          <w:b/>
          <w:bCs/>
        </w:rPr>
        <w:t>O</w:t>
      </w:r>
      <w:r w:rsidRPr="007A59E1">
        <w:rPr>
          <w:b/>
          <w:bCs/>
        </w:rPr>
        <w:t>pen science practices</w:t>
      </w:r>
    </w:p>
    <w:p w14:paraId="7951DDF4" w14:textId="5119FF3B" w:rsidR="007A59E1" w:rsidRDefault="001C030D">
      <w:pPr>
        <w:jc w:val="both"/>
      </w:pPr>
      <w:r>
        <w:t>In case of the European universities t</w:t>
      </w:r>
      <w:r w:rsidRPr="001C030D">
        <w:t>he main source of the data is European Tertiary Education Register (ETER, www.eter-project.com) which gives an open access to a cross-country database at the level of individual HEIs</w:t>
      </w:r>
      <w:r>
        <w:t>. For the US we use the data coming from</w:t>
      </w:r>
      <w:r w:rsidRPr="001C030D">
        <w:t xml:space="preserve"> </w:t>
      </w:r>
      <w:r>
        <w:t xml:space="preserve">the </w:t>
      </w:r>
      <w:r w:rsidRPr="001C030D">
        <w:t>Integrated Postsecondar</w:t>
      </w:r>
      <w:r>
        <w:t>y Education Data System (IPEDS), which is open source.</w:t>
      </w:r>
    </w:p>
    <w:p w14:paraId="0694DA3A" w14:textId="77777777" w:rsidR="001C030D" w:rsidRDefault="001C030D">
      <w:pPr>
        <w:jc w:val="both"/>
        <w:rPr>
          <w:b/>
          <w:bCs/>
        </w:rPr>
      </w:pPr>
    </w:p>
    <w:p w14:paraId="097AE613" w14:textId="156F1C5C" w:rsidR="00370126" w:rsidRPr="007C30D8" w:rsidRDefault="00370126">
      <w:pPr>
        <w:jc w:val="both"/>
        <w:rPr>
          <w:b/>
          <w:bCs/>
        </w:rPr>
      </w:pPr>
      <w:r w:rsidRPr="007C30D8">
        <w:rPr>
          <w:b/>
          <w:bCs/>
        </w:rPr>
        <w:t>Acknowledgments</w:t>
      </w:r>
    </w:p>
    <w:p w14:paraId="629FB350" w14:textId="62749E18" w:rsidR="00370126" w:rsidRDefault="001C030D">
      <w:pPr>
        <w:jc w:val="both"/>
      </w:pPr>
      <w:r>
        <w:t>This w</w:t>
      </w:r>
      <w:r w:rsidRPr="001C030D">
        <w:t xml:space="preserve">ork </w:t>
      </w:r>
      <w:r>
        <w:t xml:space="preserve">is </w:t>
      </w:r>
      <w:r w:rsidRPr="001C030D">
        <w:t>supported by Sapienza Project Awards 2021, n. RM12117A8A5DBD18. Joanna Wolszczak-Derlacz acknowledges the support of the Polish National Agency for Academic Exchange (NAWA) under the Bekker programme.</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29A69FD5" w14:textId="273CDC5D" w:rsidR="0031202E" w:rsidRDefault="00572BDF">
      <w:pPr>
        <w:jc w:val="both"/>
      </w:pPr>
      <w:r>
        <w:t xml:space="preserve">Alessandro Avenali: </w:t>
      </w:r>
      <w:r w:rsidR="00EA333B">
        <w:t xml:space="preserve">conceptualization and </w:t>
      </w:r>
      <w:r w:rsidR="00772D67">
        <w:t>methodology</w:t>
      </w:r>
      <w:r>
        <w:t xml:space="preserve">. Cinzia Daraio: conceptualization, methodology and formal analysis. Joanna Wolszczak-Derlacz: </w:t>
      </w:r>
      <w:r w:rsidR="00EA333B">
        <w:t xml:space="preserve">conceptualization, </w:t>
      </w:r>
      <w:r>
        <w:t xml:space="preserve">data curation, </w:t>
      </w:r>
      <w:r w:rsidR="00772D67">
        <w:t>investigation</w:t>
      </w:r>
      <w:r>
        <w:t xml:space="preserve">, visualisation. All authors: writing original draft. </w:t>
      </w:r>
    </w:p>
    <w:p w14:paraId="0365140A" w14:textId="77777777" w:rsidR="00572BDF" w:rsidRDefault="00572BDF">
      <w:pPr>
        <w:jc w:val="both"/>
        <w:rPr>
          <w:b/>
          <w:bCs/>
        </w:rPr>
      </w:pPr>
    </w:p>
    <w:p w14:paraId="6126D7F1" w14:textId="7481AD7B" w:rsidR="00370126" w:rsidRPr="007C30D8" w:rsidRDefault="00370126">
      <w:pPr>
        <w:jc w:val="both"/>
        <w:rPr>
          <w:b/>
          <w:bCs/>
        </w:rPr>
      </w:pPr>
      <w:r w:rsidRPr="007C30D8">
        <w:rPr>
          <w:b/>
          <w:bCs/>
        </w:rPr>
        <w:t>Competing interests</w:t>
      </w:r>
      <w:bookmarkStart w:id="0" w:name="_GoBack"/>
      <w:bookmarkEnd w:id="0"/>
    </w:p>
    <w:p w14:paraId="2DE94869" w14:textId="6D615851" w:rsidR="00370126" w:rsidRDefault="007C30D8">
      <w:pPr>
        <w:jc w:val="both"/>
      </w:pPr>
      <w:r>
        <w:t xml:space="preserve">Authors </w:t>
      </w:r>
      <w:r w:rsidR="00EF3656">
        <w:t>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2BA1A08C" w:rsidR="00DF037E" w:rsidRDefault="00C34074">
      <w:pPr>
        <w:jc w:val="both"/>
      </w:pPr>
      <w:r w:rsidRPr="00C34074">
        <w:t>This work is supported by Sapienza Project Awards 2021, n. RM12117A8A5DBD18. Joanna Wolszczak-Derlacz acknowledges the support of the Polish National Agency for Academic Exchange (NAWA) under the Bekker programme</w:t>
      </w:r>
      <w:r w:rsidR="00DF037E">
        <w:t>.</w:t>
      </w:r>
    </w:p>
    <w:p w14:paraId="6915C807" w14:textId="77777777" w:rsidR="00DF037E" w:rsidRDefault="00DF037E">
      <w:pPr>
        <w:jc w:val="both"/>
      </w:pPr>
    </w:p>
    <w:p w14:paraId="153897FF" w14:textId="77777777" w:rsidR="008168F4" w:rsidRDefault="008168F4">
      <w:pPr>
        <w:jc w:val="both"/>
        <w:rPr>
          <w:b/>
          <w:bCs/>
        </w:rPr>
      </w:pPr>
      <w:r>
        <w:rPr>
          <w:b/>
          <w:bCs/>
        </w:rPr>
        <w:t>References</w:t>
      </w:r>
    </w:p>
    <w:p w14:paraId="28BC1ACA" w14:textId="77777777" w:rsidR="001F2C8D" w:rsidRPr="001F2C8D" w:rsidRDefault="001F2C8D" w:rsidP="001F2C8D">
      <w:pPr>
        <w:jc w:val="both"/>
        <w:rPr>
          <w:lang w:val="pl-PL"/>
        </w:rPr>
      </w:pPr>
    </w:p>
    <w:p w14:paraId="535C72BA" w14:textId="77777777" w:rsidR="001F2C8D" w:rsidRDefault="001F2C8D" w:rsidP="001F2C8D">
      <w:pPr>
        <w:jc w:val="both"/>
      </w:pPr>
      <w:r w:rsidRPr="001F2C8D">
        <w:rPr>
          <w:lang w:val="pl-PL"/>
        </w:rPr>
        <w:t xml:space="preserve">Avenali, A., Daraio, C., &amp; Wolszczak-Derlacz, J. (2022). </w:t>
      </w:r>
      <w:r>
        <w:t xml:space="preserve">Determinants of the incidence of non-academic staff in European and US HEIs. </w:t>
      </w:r>
      <w:r w:rsidRPr="001F2C8D">
        <w:rPr>
          <w:i/>
        </w:rPr>
        <w:t>Higher education</w:t>
      </w:r>
      <w:r>
        <w:t>, 1-29.</w:t>
      </w:r>
    </w:p>
    <w:p w14:paraId="1CAA1E04" w14:textId="77777777" w:rsidR="001F2C8D" w:rsidRDefault="001F2C8D" w:rsidP="001F2C8D">
      <w:pPr>
        <w:jc w:val="both"/>
      </w:pPr>
    </w:p>
    <w:p w14:paraId="454E4E21" w14:textId="77777777" w:rsidR="001F2C8D" w:rsidRDefault="001F2C8D" w:rsidP="001F2C8D">
      <w:pPr>
        <w:jc w:val="both"/>
      </w:pPr>
      <w:r>
        <w:lastRenderedPageBreak/>
        <w:t xml:space="preserve">Badin L., Daraio C., Simar L. (2012), How to Measure the Impact of Environmental Factors in a Nonparametric Production Model, </w:t>
      </w:r>
      <w:r w:rsidRPr="001F2C8D">
        <w:rPr>
          <w:i/>
        </w:rPr>
        <w:t>European Journal of Operational Research</w:t>
      </w:r>
      <w:r>
        <w:t>, 223, 818–833.</w:t>
      </w:r>
    </w:p>
    <w:p w14:paraId="6818172F" w14:textId="77777777" w:rsidR="001F2C8D" w:rsidRDefault="001F2C8D" w:rsidP="001F2C8D">
      <w:pPr>
        <w:jc w:val="both"/>
      </w:pPr>
    </w:p>
    <w:p w14:paraId="7F3E660C" w14:textId="77777777" w:rsidR="001F2C8D" w:rsidRDefault="001F2C8D" w:rsidP="001F2C8D">
      <w:pPr>
        <w:jc w:val="both"/>
      </w:pPr>
      <w:r>
        <w:t xml:space="preserve">Baltaru R.D. (2019), Do non-academic professionals enhance universities’ performance? Reputation vs. organisation, </w:t>
      </w:r>
      <w:r w:rsidRPr="001F2C8D">
        <w:rPr>
          <w:i/>
        </w:rPr>
        <w:t>Studies in Higher Education</w:t>
      </w:r>
      <w:r>
        <w:t>, 44:7, 1183-1196, DOI: 10.1080/03075079.2017.1421156.</w:t>
      </w:r>
    </w:p>
    <w:p w14:paraId="17DDE3DB" w14:textId="77777777" w:rsidR="001F2C8D" w:rsidRDefault="001F2C8D" w:rsidP="001F2C8D">
      <w:pPr>
        <w:jc w:val="both"/>
      </w:pPr>
    </w:p>
    <w:p w14:paraId="367B0806" w14:textId="77777777" w:rsidR="001F2C8D" w:rsidRDefault="001F2C8D" w:rsidP="001F2C8D">
      <w:pPr>
        <w:jc w:val="both"/>
      </w:pPr>
      <w:r w:rsidRPr="00F43093">
        <w:rPr>
          <w:lang w:val="de-DE"/>
        </w:rPr>
        <w:t xml:space="preserve">Bleiklie, I., Enders, J., Lepori, B., &amp; Musselin, C. (2011). </w:t>
      </w:r>
      <w:r>
        <w:t>New public management, network governance and the university as a changing professional organization. In T. Christensen and P. Laegreid (Eds), The Ashgate Research Companion to New Public Management (pp. 161-176). Ashgate.</w:t>
      </w:r>
    </w:p>
    <w:p w14:paraId="32B4A79F" w14:textId="77777777" w:rsidR="001F2C8D" w:rsidRDefault="001F2C8D" w:rsidP="001F2C8D">
      <w:pPr>
        <w:jc w:val="both"/>
      </w:pPr>
    </w:p>
    <w:p w14:paraId="28EFA240" w14:textId="77777777" w:rsidR="001F2C8D" w:rsidRDefault="001F2C8D" w:rsidP="001F2C8D">
      <w:pPr>
        <w:jc w:val="both"/>
      </w:pPr>
      <w:r>
        <w:t xml:space="preserve">Daraio C., Simar L. and Wilson P. W. (2021), Quality as a Latent Heterogeneity Factor in the Efficiency of Universities, </w:t>
      </w:r>
      <w:r w:rsidRPr="001F2C8D">
        <w:rPr>
          <w:i/>
        </w:rPr>
        <w:t>Economic Modelling</w:t>
      </w:r>
      <w:r>
        <w:t>, 99 (2021) 105485.</w:t>
      </w:r>
    </w:p>
    <w:p w14:paraId="0C304373" w14:textId="77777777" w:rsidR="001F2C8D" w:rsidRDefault="001F2C8D" w:rsidP="001F2C8D">
      <w:pPr>
        <w:jc w:val="both"/>
      </w:pPr>
    </w:p>
    <w:p w14:paraId="32985038" w14:textId="77777777" w:rsidR="001F2C8D" w:rsidRDefault="001F2C8D" w:rsidP="001F2C8D">
      <w:pPr>
        <w:jc w:val="both"/>
      </w:pPr>
      <w:r w:rsidRPr="00F43093">
        <w:rPr>
          <w:lang w:val="nl-NL"/>
        </w:rPr>
        <w:t xml:space="preserve">De Boer, H., Enders, J., &amp; Schimank, U. (2007). </w:t>
      </w:r>
      <w:r>
        <w:t>On the way towards new public management? The governance of university systems in England, the Netherlands, Austria, and Germany, in: Jansen D. (eds), New Forms of Governance in Research Organizations, Springer, Dordrecht, https://doi.org/10.1007/978-1-4020-5831-8_5.</w:t>
      </w:r>
    </w:p>
    <w:p w14:paraId="578F4531" w14:textId="77777777" w:rsidR="001F2C8D" w:rsidRDefault="001F2C8D" w:rsidP="001F2C8D">
      <w:pPr>
        <w:jc w:val="both"/>
      </w:pPr>
    </w:p>
    <w:p w14:paraId="184A4C16" w14:textId="77777777" w:rsidR="001F2C8D" w:rsidRDefault="001F2C8D" w:rsidP="001F2C8D">
      <w:pPr>
        <w:jc w:val="both"/>
      </w:pPr>
      <w:r>
        <w:t>Deem, R., Hillyard S., Reed M. (2007). Knowledge, higher education, and the new managerialism: The changing management of UK universities. Oxford: Oxford University Press.</w:t>
      </w:r>
    </w:p>
    <w:p w14:paraId="2E5E5F1D" w14:textId="77777777" w:rsidR="001F2C8D" w:rsidRDefault="001F2C8D" w:rsidP="001F2C8D">
      <w:pPr>
        <w:jc w:val="both"/>
      </w:pPr>
    </w:p>
    <w:p w14:paraId="7555B65D" w14:textId="77777777" w:rsidR="001F2C8D" w:rsidRDefault="001F2C8D" w:rsidP="001F2C8D">
      <w:pPr>
        <w:jc w:val="both"/>
      </w:pPr>
      <w:r>
        <w:t xml:space="preserve">Gornitzka, Å., Larsen I. M. (2004). Towards professionalisation? Restructuring of administrative work force in universities. </w:t>
      </w:r>
      <w:r w:rsidRPr="001F2C8D">
        <w:rPr>
          <w:i/>
        </w:rPr>
        <w:t>Higher Education</w:t>
      </w:r>
      <w:r>
        <w:t xml:space="preserve"> 47(4), 455-471. https://doi.org/10.1023/B:HIGH.0000020870.06667.f1</w:t>
      </w:r>
    </w:p>
    <w:p w14:paraId="7573AE1A" w14:textId="77777777" w:rsidR="001F2C8D" w:rsidRDefault="001F2C8D" w:rsidP="001F2C8D">
      <w:pPr>
        <w:jc w:val="both"/>
      </w:pPr>
    </w:p>
    <w:p w14:paraId="74420DD6" w14:textId="77777777" w:rsidR="001F2C8D" w:rsidRDefault="001F2C8D" w:rsidP="001F2C8D">
      <w:pPr>
        <w:jc w:val="both"/>
      </w:pPr>
      <w:r>
        <w:t xml:space="preserve">Graham, C. (2013), Changing technologies, changing identities, Perspectives: </w:t>
      </w:r>
      <w:r w:rsidRPr="001F2C8D">
        <w:rPr>
          <w:i/>
        </w:rPr>
        <w:t>Policy and Practice in Higher Education</w:t>
      </w:r>
      <w:r>
        <w:t>, 17:2, 62-70, https://doi.org/10.1080/13603108.2012.716376.</w:t>
      </w:r>
    </w:p>
    <w:p w14:paraId="71EB2217" w14:textId="77777777" w:rsidR="001F2C8D" w:rsidRDefault="001F2C8D" w:rsidP="001F2C8D">
      <w:pPr>
        <w:jc w:val="both"/>
      </w:pPr>
    </w:p>
    <w:p w14:paraId="2519B4EB" w14:textId="77777777" w:rsidR="001F2C8D" w:rsidRDefault="001F2C8D" w:rsidP="001F2C8D">
      <w:pPr>
        <w:jc w:val="both"/>
      </w:pPr>
      <w:r>
        <w:t xml:space="preserve">McInnis, C. (1998). Academics and professional administrators in Australian universities: Dissolving boundaries and new tensions. </w:t>
      </w:r>
      <w:r w:rsidRPr="001F2C8D">
        <w:rPr>
          <w:i/>
        </w:rPr>
        <w:t>Journal of Higher Education Policy</w:t>
      </w:r>
      <w:r>
        <w:t xml:space="preserve"> and Management, 20(2), 161-173., DOI: 10.1080/1360080980200204.</w:t>
      </w:r>
    </w:p>
    <w:p w14:paraId="6487B5ED" w14:textId="77777777" w:rsidR="001F2C8D" w:rsidRDefault="001F2C8D" w:rsidP="001F2C8D">
      <w:pPr>
        <w:jc w:val="both"/>
      </w:pPr>
    </w:p>
    <w:p w14:paraId="663E5DAE" w14:textId="77777777" w:rsidR="001F2C8D" w:rsidRDefault="001F2C8D" w:rsidP="001F2C8D">
      <w:pPr>
        <w:jc w:val="both"/>
      </w:pPr>
      <w:r>
        <w:t xml:space="preserve">Simar,L. , Vanhems, A. and I. Van Keilegom (2016), Unobserved Heterogeneity and Endogeneity in Nonparametric Frontier Estimation, </w:t>
      </w:r>
      <w:r w:rsidRPr="001F2C8D">
        <w:rPr>
          <w:i/>
        </w:rPr>
        <w:t>Journal of Econometrics</w:t>
      </w:r>
      <w:r>
        <w:t>, 190, 360-373.</w:t>
      </w:r>
    </w:p>
    <w:p w14:paraId="455B42C1" w14:textId="77777777" w:rsidR="001F2C8D" w:rsidRDefault="001F2C8D" w:rsidP="001F2C8D">
      <w:pPr>
        <w:jc w:val="both"/>
      </w:pPr>
    </w:p>
    <w:p w14:paraId="019CD2E7" w14:textId="77777777" w:rsidR="001F2C8D" w:rsidRDefault="001F2C8D" w:rsidP="001F2C8D">
      <w:pPr>
        <w:jc w:val="both"/>
      </w:pPr>
      <w:r>
        <w:t>Szekeres, J. (2006). General staff experiences in the corporate university. Journal of Higher Education Policy and Management, 28(2), 133-145., DOI: 10.1080/13600800600750962.</w:t>
      </w:r>
    </w:p>
    <w:p w14:paraId="591CB10A" w14:textId="77777777" w:rsidR="001F2C8D" w:rsidRDefault="001F2C8D" w:rsidP="001F2C8D">
      <w:pPr>
        <w:jc w:val="both"/>
      </w:pPr>
    </w:p>
    <w:p w14:paraId="27A2CECC" w14:textId="7853909A" w:rsidR="001F2C8D" w:rsidRPr="00173EAD" w:rsidRDefault="001F2C8D" w:rsidP="001F2C8D">
      <w:pPr>
        <w:jc w:val="both"/>
      </w:pPr>
      <w:r>
        <w:t xml:space="preserve">Veles, N., Carter M-A. (2016), Imagining a future: changing the landscape for third space professionals in Australian higher education institutions, </w:t>
      </w:r>
      <w:r w:rsidRPr="001F2C8D">
        <w:rPr>
          <w:i/>
        </w:rPr>
        <w:t>Journal of Higher Education Policy and Management</w:t>
      </w:r>
      <w:r>
        <w:t>, 38:5, 519-533, DOI: 10.1080/1360080X.2016.1196938.</w:t>
      </w:r>
    </w:p>
    <w:sectPr w:rsidR="001F2C8D" w:rsidRPr="00173EAD" w:rsidSect="00E33403">
      <w:pgSz w:w="11907" w:h="16839"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6278B" w16cid:durableId="27D7B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7A3C" w14:textId="77777777" w:rsidR="00606E8E" w:rsidRDefault="00606E8E">
      <w:r>
        <w:separator/>
      </w:r>
    </w:p>
  </w:endnote>
  <w:endnote w:type="continuationSeparator" w:id="0">
    <w:p w14:paraId="06F86FB8" w14:textId="77777777" w:rsidR="00606E8E" w:rsidRDefault="0060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D8AE" w14:textId="77777777" w:rsidR="00606E8E" w:rsidRDefault="00606E8E">
      <w:r>
        <w:separator/>
      </w:r>
    </w:p>
  </w:footnote>
  <w:footnote w:type="continuationSeparator" w:id="0">
    <w:p w14:paraId="36B95834" w14:textId="77777777" w:rsidR="00606E8E" w:rsidRDefault="0060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4A2AB7"/>
    <w:multiLevelType w:val="hybridMultilevel"/>
    <w:tmpl w:val="F8BAA1D6"/>
    <w:lvl w:ilvl="0" w:tplc="AFF4C11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17A6"/>
    <w:rsid w:val="000A2344"/>
    <w:rsid w:val="000A4A9F"/>
    <w:rsid w:val="000B257D"/>
    <w:rsid w:val="000B323A"/>
    <w:rsid w:val="000C0E34"/>
    <w:rsid w:val="000C1967"/>
    <w:rsid w:val="000C25AF"/>
    <w:rsid w:val="000D460F"/>
    <w:rsid w:val="000F6691"/>
    <w:rsid w:val="00102BBE"/>
    <w:rsid w:val="00105061"/>
    <w:rsid w:val="00105A1D"/>
    <w:rsid w:val="001138CA"/>
    <w:rsid w:val="001402B3"/>
    <w:rsid w:val="00157749"/>
    <w:rsid w:val="00161230"/>
    <w:rsid w:val="00173EAD"/>
    <w:rsid w:val="00175488"/>
    <w:rsid w:val="00181073"/>
    <w:rsid w:val="00186CF6"/>
    <w:rsid w:val="00192A8C"/>
    <w:rsid w:val="001C030D"/>
    <w:rsid w:val="001D7CC8"/>
    <w:rsid w:val="001E568F"/>
    <w:rsid w:val="001F2C8D"/>
    <w:rsid w:val="001F332D"/>
    <w:rsid w:val="001F7644"/>
    <w:rsid w:val="0020033E"/>
    <w:rsid w:val="00202745"/>
    <w:rsid w:val="002127DC"/>
    <w:rsid w:val="0022290C"/>
    <w:rsid w:val="00247A3E"/>
    <w:rsid w:val="002570BB"/>
    <w:rsid w:val="00264F48"/>
    <w:rsid w:val="00267EF1"/>
    <w:rsid w:val="00276CC7"/>
    <w:rsid w:val="0028410F"/>
    <w:rsid w:val="0029109C"/>
    <w:rsid w:val="00291BD4"/>
    <w:rsid w:val="0029211E"/>
    <w:rsid w:val="00293DA3"/>
    <w:rsid w:val="002943CA"/>
    <w:rsid w:val="002B1950"/>
    <w:rsid w:val="002C0FA2"/>
    <w:rsid w:val="002C342A"/>
    <w:rsid w:val="002D1B17"/>
    <w:rsid w:val="002D33F7"/>
    <w:rsid w:val="002D3BE4"/>
    <w:rsid w:val="002D6CC9"/>
    <w:rsid w:val="002D710E"/>
    <w:rsid w:val="002E7904"/>
    <w:rsid w:val="002F243C"/>
    <w:rsid w:val="00310C0B"/>
    <w:rsid w:val="0031202E"/>
    <w:rsid w:val="003124AD"/>
    <w:rsid w:val="003127D0"/>
    <w:rsid w:val="00320C5D"/>
    <w:rsid w:val="003332AD"/>
    <w:rsid w:val="00345E92"/>
    <w:rsid w:val="00346A57"/>
    <w:rsid w:val="00351AF2"/>
    <w:rsid w:val="0035307C"/>
    <w:rsid w:val="00370126"/>
    <w:rsid w:val="00371ACD"/>
    <w:rsid w:val="00383A87"/>
    <w:rsid w:val="00387850"/>
    <w:rsid w:val="00390253"/>
    <w:rsid w:val="003960AE"/>
    <w:rsid w:val="003B6383"/>
    <w:rsid w:val="003B6B55"/>
    <w:rsid w:val="003C30AF"/>
    <w:rsid w:val="003C4345"/>
    <w:rsid w:val="003C5313"/>
    <w:rsid w:val="003C6EF5"/>
    <w:rsid w:val="003C76AF"/>
    <w:rsid w:val="003D1C80"/>
    <w:rsid w:val="004013F8"/>
    <w:rsid w:val="00402C81"/>
    <w:rsid w:val="004057FC"/>
    <w:rsid w:val="00406F40"/>
    <w:rsid w:val="00420106"/>
    <w:rsid w:val="00430FC6"/>
    <w:rsid w:val="0044073E"/>
    <w:rsid w:val="00445337"/>
    <w:rsid w:val="00445A23"/>
    <w:rsid w:val="00451AA5"/>
    <w:rsid w:val="0045560F"/>
    <w:rsid w:val="004725C8"/>
    <w:rsid w:val="00475931"/>
    <w:rsid w:val="004971AB"/>
    <w:rsid w:val="004C7031"/>
    <w:rsid w:val="004D4532"/>
    <w:rsid w:val="004E212B"/>
    <w:rsid w:val="004E56AC"/>
    <w:rsid w:val="005110DD"/>
    <w:rsid w:val="005170CD"/>
    <w:rsid w:val="005172F9"/>
    <w:rsid w:val="00517FCF"/>
    <w:rsid w:val="00522BF8"/>
    <w:rsid w:val="0053603D"/>
    <w:rsid w:val="0054026B"/>
    <w:rsid w:val="00542798"/>
    <w:rsid w:val="0054666D"/>
    <w:rsid w:val="00554E8F"/>
    <w:rsid w:val="00556E4B"/>
    <w:rsid w:val="00570E3F"/>
    <w:rsid w:val="00572BDF"/>
    <w:rsid w:val="00572E3E"/>
    <w:rsid w:val="005736CB"/>
    <w:rsid w:val="0057717C"/>
    <w:rsid w:val="0058753E"/>
    <w:rsid w:val="00595181"/>
    <w:rsid w:val="00595AC4"/>
    <w:rsid w:val="00596F60"/>
    <w:rsid w:val="005A1BF2"/>
    <w:rsid w:val="005B3511"/>
    <w:rsid w:val="005C6A9C"/>
    <w:rsid w:val="00606575"/>
    <w:rsid w:val="00606E8E"/>
    <w:rsid w:val="00614ED0"/>
    <w:rsid w:val="0063363B"/>
    <w:rsid w:val="00646543"/>
    <w:rsid w:val="00647A0B"/>
    <w:rsid w:val="006510F8"/>
    <w:rsid w:val="006513C3"/>
    <w:rsid w:val="006609A8"/>
    <w:rsid w:val="0066157A"/>
    <w:rsid w:val="00662AF1"/>
    <w:rsid w:val="00663AC3"/>
    <w:rsid w:val="0066687E"/>
    <w:rsid w:val="00681AAA"/>
    <w:rsid w:val="00684B8B"/>
    <w:rsid w:val="006A3370"/>
    <w:rsid w:val="006C40B1"/>
    <w:rsid w:val="006D14F4"/>
    <w:rsid w:val="006E3FD1"/>
    <w:rsid w:val="006E7E5A"/>
    <w:rsid w:val="006F487B"/>
    <w:rsid w:val="006F6998"/>
    <w:rsid w:val="007042BB"/>
    <w:rsid w:val="007053E7"/>
    <w:rsid w:val="007155F7"/>
    <w:rsid w:val="007228AC"/>
    <w:rsid w:val="0073347A"/>
    <w:rsid w:val="00737C87"/>
    <w:rsid w:val="0074177C"/>
    <w:rsid w:val="007625EF"/>
    <w:rsid w:val="00762864"/>
    <w:rsid w:val="0076587B"/>
    <w:rsid w:val="00772D67"/>
    <w:rsid w:val="0077796D"/>
    <w:rsid w:val="00780EC7"/>
    <w:rsid w:val="0078754B"/>
    <w:rsid w:val="00796CFA"/>
    <w:rsid w:val="007A42E7"/>
    <w:rsid w:val="007A59E1"/>
    <w:rsid w:val="007B4D9D"/>
    <w:rsid w:val="007C30D8"/>
    <w:rsid w:val="007D2A59"/>
    <w:rsid w:val="007E24E0"/>
    <w:rsid w:val="007F2D21"/>
    <w:rsid w:val="007F3BBB"/>
    <w:rsid w:val="007F57FB"/>
    <w:rsid w:val="00800369"/>
    <w:rsid w:val="008030C6"/>
    <w:rsid w:val="00810FA5"/>
    <w:rsid w:val="00813E5C"/>
    <w:rsid w:val="008168F4"/>
    <w:rsid w:val="00820AD0"/>
    <w:rsid w:val="00823AF0"/>
    <w:rsid w:val="00835B6B"/>
    <w:rsid w:val="00852334"/>
    <w:rsid w:val="008618F8"/>
    <w:rsid w:val="00870B16"/>
    <w:rsid w:val="0087482E"/>
    <w:rsid w:val="008823CE"/>
    <w:rsid w:val="008C025A"/>
    <w:rsid w:val="008C2573"/>
    <w:rsid w:val="008C52D4"/>
    <w:rsid w:val="008D49E0"/>
    <w:rsid w:val="008E3F52"/>
    <w:rsid w:val="008E5795"/>
    <w:rsid w:val="008E6E34"/>
    <w:rsid w:val="008F1E72"/>
    <w:rsid w:val="008F2C66"/>
    <w:rsid w:val="008F6633"/>
    <w:rsid w:val="008F783D"/>
    <w:rsid w:val="00915294"/>
    <w:rsid w:val="00927ECF"/>
    <w:rsid w:val="009302E1"/>
    <w:rsid w:val="00933F05"/>
    <w:rsid w:val="0093532C"/>
    <w:rsid w:val="0094732A"/>
    <w:rsid w:val="009501DD"/>
    <w:rsid w:val="00953BA1"/>
    <w:rsid w:val="00960E98"/>
    <w:rsid w:val="00962921"/>
    <w:rsid w:val="009737E3"/>
    <w:rsid w:val="00994680"/>
    <w:rsid w:val="009A1E7B"/>
    <w:rsid w:val="009C1C69"/>
    <w:rsid w:val="009D026B"/>
    <w:rsid w:val="009E23BF"/>
    <w:rsid w:val="009E586C"/>
    <w:rsid w:val="009F2359"/>
    <w:rsid w:val="00A22AC2"/>
    <w:rsid w:val="00A32E65"/>
    <w:rsid w:val="00A40DD3"/>
    <w:rsid w:val="00A4362D"/>
    <w:rsid w:val="00A71714"/>
    <w:rsid w:val="00A96B02"/>
    <w:rsid w:val="00AA1481"/>
    <w:rsid w:val="00AB2736"/>
    <w:rsid w:val="00AC140C"/>
    <w:rsid w:val="00AD0303"/>
    <w:rsid w:val="00AD2309"/>
    <w:rsid w:val="00AD3532"/>
    <w:rsid w:val="00AD53B6"/>
    <w:rsid w:val="00AD6D2D"/>
    <w:rsid w:val="00AE1F18"/>
    <w:rsid w:val="00AE7776"/>
    <w:rsid w:val="00AF1EE5"/>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703"/>
    <w:rsid w:val="00BA68EE"/>
    <w:rsid w:val="00BA6F1A"/>
    <w:rsid w:val="00BB2E42"/>
    <w:rsid w:val="00BC2363"/>
    <w:rsid w:val="00BD2667"/>
    <w:rsid w:val="00C0000D"/>
    <w:rsid w:val="00C06D28"/>
    <w:rsid w:val="00C101A6"/>
    <w:rsid w:val="00C213E6"/>
    <w:rsid w:val="00C34074"/>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3AC4"/>
    <w:rsid w:val="00D34688"/>
    <w:rsid w:val="00D41DFD"/>
    <w:rsid w:val="00D50395"/>
    <w:rsid w:val="00D54C10"/>
    <w:rsid w:val="00D54E25"/>
    <w:rsid w:val="00D5520D"/>
    <w:rsid w:val="00D65F13"/>
    <w:rsid w:val="00D70503"/>
    <w:rsid w:val="00D837D9"/>
    <w:rsid w:val="00D96243"/>
    <w:rsid w:val="00DB40B2"/>
    <w:rsid w:val="00DC105B"/>
    <w:rsid w:val="00DC6FB5"/>
    <w:rsid w:val="00DE0E40"/>
    <w:rsid w:val="00DE5BD2"/>
    <w:rsid w:val="00DE66DD"/>
    <w:rsid w:val="00DF037E"/>
    <w:rsid w:val="00DF2DC3"/>
    <w:rsid w:val="00E03487"/>
    <w:rsid w:val="00E077DB"/>
    <w:rsid w:val="00E32A1D"/>
    <w:rsid w:val="00E33403"/>
    <w:rsid w:val="00E34C97"/>
    <w:rsid w:val="00E40F9E"/>
    <w:rsid w:val="00E44280"/>
    <w:rsid w:val="00E4647F"/>
    <w:rsid w:val="00E501C4"/>
    <w:rsid w:val="00E50A3D"/>
    <w:rsid w:val="00E55FBC"/>
    <w:rsid w:val="00E7703F"/>
    <w:rsid w:val="00EA333B"/>
    <w:rsid w:val="00EA6590"/>
    <w:rsid w:val="00EA6D4C"/>
    <w:rsid w:val="00EA7E9B"/>
    <w:rsid w:val="00EB1190"/>
    <w:rsid w:val="00EB5C09"/>
    <w:rsid w:val="00EC04B8"/>
    <w:rsid w:val="00EC286B"/>
    <w:rsid w:val="00EC5073"/>
    <w:rsid w:val="00EC7804"/>
    <w:rsid w:val="00ED27EB"/>
    <w:rsid w:val="00EE4ABB"/>
    <w:rsid w:val="00EE4AC8"/>
    <w:rsid w:val="00EE791C"/>
    <w:rsid w:val="00EF2082"/>
    <w:rsid w:val="00EF3656"/>
    <w:rsid w:val="00F047FA"/>
    <w:rsid w:val="00F0578C"/>
    <w:rsid w:val="00F11FF9"/>
    <w:rsid w:val="00F13510"/>
    <w:rsid w:val="00F233ED"/>
    <w:rsid w:val="00F25426"/>
    <w:rsid w:val="00F2758B"/>
    <w:rsid w:val="00F37D2C"/>
    <w:rsid w:val="00F43093"/>
    <w:rsid w:val="00F463E0"/>
    <w:rsid w:val="00F64B62"/>
    <w:rsid w:val="00F65803"/>
    <w:rsid w:val="00F729E0"/>
    <w:rsid w:val="00F74276"/>
    <w:rsid w:val="00F776E3"/>
    <w:rsid w:val="00F834E1"/>
    <w:rsid w:val="00F8756A"/>
    <w:rsid w:val="00F909B9"/>
    <w:rsid w:val="00F92089"/>
    <w:rsid w:val="00FA3CF4"/>
    <w:rsid w:val="00FA4F33"/>
    <w:rsid w:val="00FB2E6C"/>
    <w:rsid w:val="00FC6051"/>
    <w:rsid w:val="00FD0F6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9935"/>
  <w14:defaultImageDpi w14:val="96"/>
  <w15:docId w15:val="{7AFE86B3-6C09-44C3-A854-9C5CE7A1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AD0"/>
    <w:rPr>
      <w:sz w:val="24"/>
      <w:szCs w:val="24"/>
      <w:lang w:val="en-GB" w:eastAsia="sv-SE"/>
    </w:rPr>
  </w:style>
  <w:style w:type="paragraph" w:styleId="Titolo1">
    <w:name w:val="heading 1"/>
    <w:basedOn w:val="Normale"/>
    <w:next w:val="Normale"/>
    <w:link w:val="Titolo1Carattere"/>
    <w:uiPriority w:val="99"/>
    <w:qFormat/>
    <w:pPr>
      <w:keepNext/>
      <w:outlineLvl w:val="0"/>
    </w:pPr>
    <w:rPr>
      <w:sz w:val="36"/>
      <w:szCs w:val="36"/>
    </w:rPr>
  </w:style>
  <w:style w:type="paragraph" w:styleId="Titolo2">
    <w:name w:val="heading 2"/>
    <w:basedOn w:val="Normale"/>
    <w:next w:val="Normale"/>
    <w:link w:val="Titolo2Carattere"/>
    <w:uiPriority w:val="99"/>
    <w:qFormat/>
    <w:pPr>
      <w:keepNext/>
      <w:outlineLvl w:val="1"/>
    </w:pPr>
    <w:rPr>
      <w:b/>
      <w:bCs/>
    </w:rPr>
  </w:style>
  <w:style w:type="paragraph" w:styleId="Titolo3">
    <w:name w:val="heading 3"/>
    <w:basedOn w:val="Normale"/>
    <w:next w:val="Normale"/>
    <w:link w:val="Titolo3Carattere"/>
    <w:uiPriority w:val="99"/>
    <w:qFormat/>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lang w:val="en-GB" w:eastAsia="sv-SE"/>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lang w:val="en-GB" w:eastAsia="sv-SE"/>
    </w:rPr>
  </w:style>
  <w:style w:type="character" w:customStyle="1" w:styleId="Titolo3Carattere">
    <w:name w:val="Titolo 3 Carattere"/>
    <w:link w:val="Titolo3"/>
    <w:uiPriority w:val="9"/>
    <w:semiHidden/>
    <w:locked/>
    <w:rPr>
      <w:rFonts w:ascii="Cambria" w:eastAsia="Times New Roman" w:hAnsi="Cambria" w:cs="Times New Roman"/>
      <w:b/>
      <w:bCs/>
      <w:sz w:val="26"/>
      <w:szCs w:val="26"/>
      <w:lang w:val="en-GB" w:eastAsia="sv-SE"/>
    </w:rPr>
  </w:style>
  <w:style w:type="character" w:styleId="Collegamentoipertestuale">
    <w:name w:val="Hyperlink"/>
    <w:uiPriority w:val="99"/>
    <w:rPr>
      <w:rFonts w:cs="Times New Roman"/>
      <w:color w:val="0000FF"/>
      <w:u w:val="single"/>
    </w:rPr>
  </w:style>
  <w:style w:type="paragraph" w:customStyle="1" w:styleId="References">
    <w:name w:val="References"/>
    <w:basedOn w:val="Normale"/>
    <w:uiPriority w:val="99"/>
    <w:pPr>
      <w:spacing w:after="80"/>
      <w:ind w:left="144" w:hanging="144"/>
      <w:jc w:val="both"/>
    </w:pPr>
    <w:rPr>
      <w:sz w:val="18"/>
      <w:szCs w:val="18"/>
      <w:lang w:val="en-US" w:eastAsia="en-US"/>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link w:val="Corpodeltesto2"/>
    <w:uiPriority w:val="99"/>
    <w:semiHidden/>
    <w:locked/>
    <w:rPr>
      <w:rFonts w:cs="Times New Roman"/>
      <w:sz w:val="24"/>
      <w:szCs w:val="24"/>
      <w:lang w:val="en-GB" w:eastAsia="sv-SE"/>
    </w:rPr>
  </w:style>
  <w:style w:type="paragraph" w:styleId="Corpotesto">
    <w:name w:val="Body Text"/>
    <w:basedOn w:val="Normale"/>
    <w:link w:val="CorpotestoCarattere"/>
    <w:uiPriority w:val="99"/>
    <w:rPr>
      <w:color w:val="0000FF"/>
    </w:rPr>
  </w:style>
  <w:style w:type="character" w:customStyle="1" w:styleId="CorpotestoCarattere">
    <w:name w:val="Corpo testo Carattere"/>
    <w:link w:val="Corpotesto"/>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stonotaapidipagina">
    <w:name w:val="footnote text"/>
    <w:basedOn w:val="Normale"/>
    <w:link w:val="TestonotaapidipaginaCarattere"/>
    <w:uiPriority w:val="99"/>
    <w:semiHidden/>
    <w:rsid w:val="000C1967"/>
    <w:rPr>
      <w:sz w:val="20"/>
      <w:szCs w:val="20"/>
    </w:rPr>
  </w:style>
  <w:style w:type="character" w:customStyle="1" w:styleId="TestonotaapidipaginaCarattere">
    <w:name w:val="Testo nota a piè di pagina Carattere"/>
    <w:link w:val="Testonotaapidipagina"/>
    <w:uiPriority w:val="99"/>
    <w:semiHidden/>
    <w:locked/>
    <w:rPr>
      <w:rFonts w:cs="Times New Roman"/>
      <w:sz w:val="20"/>
      <w:szCs w:val="20"/>
      <w:lang w:val="en-GB" w:eastAsia="sv-SE"/>
    </w:rPr>
  </w:style>
  <w:style w:type="character" w:styleId="Rimandonotaapidipagina">
    <w:name w:val="footnote reference"/>
    <w:uiPriority w:val="99"/>
    <w:semiHidden/>
    <w:rsid w:val="000C1967"/>
    <w:rPr>
      <w:rFonts w:cs="Times New Roman"/>
      <w:vertAlign w:val="superscript"/>
    </w:rPr>
  </w:style>
  <w:style w:type="character" w:styleId="Collegamentovisitato">
    <w:name w:val="FollowedHyperlink"/>
    <w:uiPriority w:val="99"/>
    <w:semiHidden/>
    <w:unhideWhenUsed/>
    <w:rsid w:val="00AD53B6"/>
    <w:rPr>
      <w:rFonts w:cs="Times New Roman"/>
      <w:color w:val="800080"/>
      <w:u w:val="single"/>
    </w:rPr>
  </w:style>
  <w:style w:type="character" w:styleId="Rimandocommento">
    <w:name w:val="annotation reference"/>
    <w:uiPriority w:val="99"/>
    <w:semiHidden/>
    <w:unhideWhenUsed/>
    <w:rsid w:val="001402B3"/>
    <w:rPr>
      <w:rFonts w:cs="Times New Roman"/>
      <w:sz w:val="16"/>
      <w:szCs w:val="16"/>
    </w:rPr>
  </w:style>
  <w:style w:type="paragraph" w:styleId="Testocommento">
    <w:name w:val="annotation text"/>
    <w:basedOn w:val="Normale"/>
    <w:link w:val="TestocommentoCarattere"/>
    <w:uiPriority w:val="99"/>
    <w:semiHidden/>
    <w:unhideWhenUsed/>
    <w:rsid w:val="001402B3"/>
    <w:rPr>
      <w:sz w:val="20"/>
      <w:szCs w:val="20"/>
    </w:rPr>
  </w:style>
  <w:style w:type="character" w:customStyle="1" w:styleId="TestocommentoCarattere">
    <w:name w:val="Testo commento Carattere"/>
    <w:link w:val="Testocommento"/>
    <w:uiPriority w:val="99"/>
    <w:semiHidden/>
    <w:locked/>
    <w:rsid w:val="001402B3"/>
    <w:rPr>
      <w:rFonts w:cs="Times New Roman"/>
      <w:sz w:val="20"/>
      <w:szCs w:val="20"/>
      <w:lang w:val="en-GB" w:eastAsia="sv-SE"/>
    </w:rPr>
  </w:style>
  <w:style w:type="paragraph" w:styleId="Soggettocommento">
    <w:name w:val="annotation subject"/>
    <w:basedOn w:val="Testocommento"/>
    <w:next w:val="Testocommento"/>
    <w:link w:val="SoggettocommentoCarattere"/>
    <w:uiPriority w:val="99"/>
    <w:semiHidden/>
    <w:unhideWhenUsed/>
    <w:rsid w:val="001402B3"/>
    <w:rPr>
      <w:b/>
      <w:bCs/>
    </w:rPr>
  </w:style>
  <w:style w:type="character" w:customStyle="1" w:styleId="SoggettocommentoCarattere">
    <w:name w:val="Soggetto commento Carattere"/>
    <w:link w:val="Soggettocommento"/>
    <w:uiPriority w:val="99"/>
    <w:semiHidden/>
    <w:locked/>
    <w:rsid w:val="001402B3"/>
    <w:rPr>
      <w:rFonts w:cs="Times New Roman"/>
      <w:b/>
      <w:bCs/>
      <w:sz w:val="20"/>
      <w:szCs w:val="20"/>
      <w:lang w:val="en-GB" w:eastAsia="sv-SE"/>
    </w:rPr>
  </w:style>
  <w:style w:type="paragraph" w:styleId="Testofumetto">
    <w:name w:val="Balloon Text"/>
    <w:basedOn w:val="Normale"/>
    <w:link w:val="TestofumettoCarattere"/>
    <w:uiPriority w:val="99"/>
    <w:semiHidden/>
    <w:unhideWhenUsed/>
    <w:rsid w:val="001402B3"/>
    <w:rPr>
      <w:rFonts w:ascii="Tahoma" w:hAnsi="Tahoma" w:cs="Tahoma"/>
      <w:sz w:val="16"/>
      <w:szCs w:val="16"/>
    </w:rPr>
  </w:style>
  <w:style w:type="character" w:customStyle="1" w:styleId="TestofumettoCarattere">
    <w:name w:val="Testo fumetto Carattere"/>
    <w:link w:val="Testofumetto"/>
    <w:uiPriority w:val="99"/>
    <w:semiHidden/>
    <w:locked/>
    <w:rsid w:val="001402B3"/>
    <w:rPr>
      <w:rFonts w:ascii="Tahoma" w:hAnsi="Tahoma" w:cs="Tahoma"/>
      <w:sz w:val="16"/>
      <w:szCs w:val="16"/>
      <w:lang w:val="en-GB" w:eastAsia="sv-SE"/>
    </w:rPr>
  </w:style>
  <w:style w:type="paragraph" w:styleId="Intestazione">
    <w:name w:val="header"/>
    <w:basedOn w:val="Normale"/>
    <w:link w:val="IntestazioneCarattere"/>
    <w:uiPriority w:val="99"/>
    <w:unhideWhenUsed/>
    <w:rsid w:val="00B73A77"/>
    <w:pPr>
      <w:tabs>
        <w:tab w:val="center" w:pos="4536"/>
        <w:tab w:val="right" w:pos="9072"/>
      </w:tabs>
    </w:pPr>
  </w:style>
  <w:style w:type="character" w:customStyle="1" w:styleId="IntestazioneCarattere">
    <w:name w:val="Intestazione Carattere"/>
    <w:link w:val="Intestazione"/>
    <w:uiPriority w:val="99"/>
    <w:rsid w:val="00B73A77"/>
    <w:rPr>
      <w:sz w:val="24"/>
      <w:szCs w:val="24"/>
      <w:lang w:val="en-GB" w:eastAsia="sv-SE"/>
    </w:rPr>
  </w:style>
  <w:style w:type="paragraph" w:styleId="Pidipagina">
    <w:name w:val="footer"/>
    <w:basedOn w:val="Normale"/>
    <w:link w:val="PidipaginaCarattere"/>
    <w:uiPriority w:val="99"/>
    <w:unhideWhenUsed/>
    <w:rsid w:val="00B73A77"/>
    <w:pPr>
      <w:tabs>
        <w:tab w:val="center" w:pos="4536"/>
        <w:tab w:val="right" w:pos="9072"/>
      </w:tabs>
    </w:pPr>
  </w:style>
  <w:style w:type="character" w:customStyle="1" w:styleId="PidipaginaCarattere">
    <w:name w:val="Piè di pagina Carattere"/>
    <w:link w:val="Pidipagina"/>
    <w:uiPriority w:val="99"/>
    <w:rsid w:val="00B73A77"/>
    <w:rPr>
      <w:sz w:val="24"/>
      <w:szCs w:val="24"/>
      <w:lang w:val="en-GB" w:eastAsia="sv-SE"/>
    </w:rPr>
  </w:style>
  <w:style w:type="character" w:customStyle="1" w:styleId="Menzionenonrisolta1">
    <w:name w:val="Menzione non risolta1"/>
    <w:uiPriority w:val="99"/>
    <w:semiHidden/>
    <w:unhideWhenUsed/>
    <w:rsid w:val="00813E5C"/>
    <w:rPr>
      <w:color w:val="605E5C"/>
      <w:shd w:val="clear" w:color="auto" w:fill="E1DFDD"/>
    </w:rPr>
  </w:style>
  <w:style w:type="paragraph" w:styleId="Paragrafoelenco">
    <w:name w:val="List Paragraph"/>
    <w:basedOn w:val="Normale"/>
    <w:uiPriority w:val="34"/>
    <w:qFormat/>
    <w:rsid w:val="00EC5073"/>
    <w:pPr>
      <w:spacing w:after="160" w:line="259" w:lineRule="auto"/>
      <w:ind w:left="720"/>
      <w:contextualSpacing/>
    </w:pPr>
    <w:rPr>
      <w:rFonts w:asciiTheme="minorHAnsi" w:eastAsiaTheme="minorHAnsi" w:hAnsiTheme="minorHAnsi" w:cstheme="minorBidi"/>
      <w:sz w:val="22"/>
      <w:szCs w:val="22"/>
      <w:lang w:val="it-IT" w:eastAsia="en-US"/>
    </w:rPr>
  </w:style>
  <w:style w:type="paragraph" w:styleId="Revisione">
    <w:name w:val="Revision"/>
    <w:hidden/>
    <w:uiPriority w:val="99"/>
    <w:semiHidden/>
    <w:rsid w:val="009C1C69"/>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C464E-502C-44F2-AEFF-45FEE821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70</TotalTime>
  <Pages>7</Pages>
  <Words>2992</Words>
  <Characters>17060</Characters>
  <Application>Microsoft Office Word</Application>
  <DocSecurity>0</DocSecurity>
  <Lines>142</Lines>
  <Paragraphs>40</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STI 2023 paper template</vt:lpstr>
      <vt:lpstr>STI 2023 paper template</vt:lpstr>
      <vt:lpstr>STI 2023 paper template</vt:lpstr>
    </vt:vector>
  </TitlesOfParts>
  <Company>Hewlett-Packard Company</Company>
  <LinksUpToDate>false</LinksUpToDate>
  <CharactersWithSpaces>20012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creator>Waltman, L.R. (Ludo)</dc:creator>
  <cp:lastModifiedBy>ES</cp:lastModifiedBy>
  <cp:revision>10</cp:revision>
  <cp:lastPrinted>2005-03-14T08:40:00Z</cp:lastPrinted>
  <dcterms:created xsi:type="dcterms:W3CDTF">2023-04-05T09:24:00Z</dcterms:created>
  <dcterms:modified xsi:type="dcterms:W3CDTF">2023-04-06T11:27:00Z</dcterms:modified>
</cp:coreProperties>
</file>