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CC5C" w14:textId="50DE5B00" w:rsidR="00AD6D2D" w:rsidRPr="0019001F" w:rsidRDefault="00BC1DB6" w:rsidP="00542798">
      <w:pPr>
        <w:pStyle w:val="Heading1"/>
        <w:jc w:val="center"/>
      </w:pPr>
      <w:r w:rsidRPr="0019001F">
        <w:t xml:space="preserve">Comparing </w:t>
      </w:r>
      <w:r w:rsidR="00D04ADB">
        <w:t>bibliographic descriptions</w:t>
      </w:r>
      <w:r w:rsidRPr="0019001F">
        <w:t xml:space="preserve"> in seven</w:t>
      </w:r>
      <w:r w:rsidR="00D04ADB">
        <w:t xml:space="preserve"> free-access databases</w:t>
      </w:r>
    </w:p>
    <w:p w14:paraId="1448DA63" w14:textId="77777777" w:rsidR="00AD6D2D" w:rsidRPr="0019001F" w:rsidRDefault="00AD6D2D" w:rsidP="00542798">
      <w:pPr>
        <w:jc w:val="center"/>
      </w:pPr>
    </w:p>
    <w:p w14:paraId="49EED032" w14:textId="5464D8DD" w:rsidR="00AD6D2D" w:rsidRPr="000B383F" w:rsidRDefault="000A3447" w:rsidP="00542798">
      <w:pPr>
        <w:jc w:val="center"/>
        <w:rPr>
          <w:lang w:val="es-ES"/>
        </w:rPr>
      </w:pPr>
      <w:bookmarkStart w:id="0" w:name="_Hlk131405708"/>
      <w:r w:rsidRPr="000B383F">
        <w:rPr>
          <w:lang w:val="es-ES"/>
        </w:rPr>
        <w:t>Lorena Delgado-Quirós</w:t>
      </w:r>
      <w:r w:rsidR="00AD6D2D" w:rsidRPr="000B383F">
        <w:rPr>
          <w:vertAlign w:val="superscript"/>
          <w:lang w:val="es-ES"/>
        </w:rPr>
        <w:t>*</w:t>
      </w:r>
      <w:r w:rsidRPr="000B383F">
        <w:rPr>
          <w:lang w:val="es-ES"/>
        </w:rPr>
        <w:t xml:space="preserve"> </w:t>
      </w:r>
      <w:r w:rsidR="00AD6D2D" w:rsidRPr="000B383F">
        <w:rPr>
          <w:lang w:val="es-ES"/>
        </w:rPr>
        <w:t xml:space="preserve">and </w:t>
      </w:r>
      <w:r w:rsidRPr="000B383F">
        <w:rPr>
          <w:lang w:val="es-ES"/>
        </w:rPr>
        <w:t>José Luis Ortega</w:t>
      </w:r>
      <w:r w:rsidR="00AD6D2D" w:rsidRPr="000B383F">
        <w:rPr>
          <w:vertAlign w:val="superscript"/>
          <w:lang w:val="es-ES"/>
        </w:rPr>
        <w:t>*</w:t>
      </w:r>
    </w:p>
    <w:p w14:paraId="69B5EBE6" w14:textId="77777777" w:rsidR="00AD6D2D" w:rsidRPr="000B383F" w:rsidRDefault="00AD6D2D" w:rsidP="00542798">
      <w:pPr>
        <w:jc w:val="center"/>
        <w:rPr>
          <w:sz w:val="20"/>
          <w:szCs w:val="20"/>
          <w:lang w:val="es-ES"/>
        </w:rPr>
      </w:pPr>
    </w:p>
    <w:p w14:paraId="0327B950" w14:textId="222B69CD" w:rsidR="00AD6D2D" w:rsidRPr="00D04ADB" w:rsidRDefault="000A3447" w:rsidP="00542798">
      <w:pPr>
        <w:jc w:val="center"/>
        <w:rPr>
          <w:sz w:val="20"/>
          <w:szCs w:val="20"/>
          <w:lang w:val="es-ES"/>
        </w:rPr>
      </w:pPr>
      <w:r w:rsidRPr="00D04ADB">
        <w:rPr>
          <w:sz w:val="20"/>
          <w:szCs w:val="20"/>
          <w:vertAlign w:val="superscript"/>
          <w:lang w:val="es-ES"/>
        </w:rPr>
        <w:t>*</w:t>
      </w:r>
      <w:r w:rsidRPr="00D04ADB">
        <w:rPr>
          <w:i/>
          <w:iCs/>
          <w:sz w:val="20"/>
          <w:szCs w:val="20"/>
          <w:lang w:val="es-ES"/>
        </w:rPr>
        <w:t>ldelgado@iesa.csic.es; jortega@iesa,csic,es</w:t>
      </w:r>
    </w:p>
    <w:p w14:paraId="25FCF4FA" w14:textId="4C127FCF" w:rsidR="00AD6D2D" w:rsidRPr="0019001F" w:rsidRDefault="000A3447" w:rsidP="00542798">
      <w:pPr>
        <w:jc w:val="center"/>
        <w:rPr>
          <w:sz w:val="20"/>
          <w:szCs w:val="20"/>
        </w:rPr>
      </w:pPr>
      <w:r w:rsidRPr="0019001F">
        <w:rPr>
          <w:sz w:val="20"/>
          <w:szCs w:val="20"/>
        </w:rPr>
        <w:t>0000-0001-8738-7276;</w:t>
      </w:r>
      <w:r w:rsidRPr="0019001F">
        <w:t xml:space="preserve"> </w:t>
      </w:r>
      <w:r w:rsidRPr="0019001F">
        <w:rPr>
          <w:sz w:val="20"/>
          <w:szCs w:val="20"/>
        </w:rPr>
        <w:t>0000-0001-9857-1511</w:t>
      </w:r>
    </w:p>
    <w:p w14:paraId="744ED62A" w14:textId="003E4CC5" w:rsidR="00AD6D2D" w:rsidRPr="0019001F" w:rsidRDefault="000A3447" w:rsidP="00542798">
      <w:pPr>
        <w:jc w:val="center"/>
        <w:rPr>
          <w:sz w:val="20"/>
          <w:szCs w:val="20"/>
        </w:rPr>
      </w:pPr>
      <w:r w:rsidRPr="0019001F">
        <w:rPr>
          <w:sz w:val="20"/>
          <w:szCs w:val="20"/>
        </w:rPr>
        <w:t>Institute for Advanced Social Studies (IESA)</w:t>
      </w:r>
      <w:r w:rsidR="00AD6D2D" w:rsidRPr="0019001F">
        <w:rPr>
          <w:sz w:val="20"/>
          <w:szCs w:val="20"/>
        </w:rPr>
        <w:t xml:space="preserve">, </w:t>
      </w:r>
      <w:r w:rsidRPr="0019001F">
        <w:rPr>
          <w:sz w:val="20"/>
          <w:szCs w:val="20"/>
        </w:rPr>
        <w:t>Spanish National Research Council (CSIC)</w:t>
      </w:r>
      <w:r w:rsidR="00AD6D2D" w:rsidRPr="0019001F">
        <w:rPr>
          <w:sz w:val="20"/>
          <w:szCs w:val="20"/>
        </w:rPr>
        <w:t xml:space="preserve">, </w:t>
      </w:r>
      <w:r w:rsidRPr="0019001F">
        <w:rPr>
          <w:sz w:val="20"/>
          <w:szCs w:val="20"/>
        </w:rPr>
        <w:t>Spain</w:t>
      </w:r>
    </w:p>
    <w:bookmarkEnd w:id="0"/>
    <w:p w14:paraId="0F7AF4B5" w14:textId="77777777" w:rsidR="00AD6D2D" w:rsidRPr="0019001F" w:rsidRDefault="00AD6D2D" w:rsidP="00542798">
      <w:pPr>
        <w:jc w:val="center"/>
        <w:rPr>
          <w:sz w:val="20"/>
          <w:szCs w:val="20"/>
        </w:rPr>
      </w:pPr>
    </w:p>
    <w:p w14:paraId="18EAD8F9" w14:textId="77777777" w:rsidR="008168F4" w:rsidRPr="0019001F" w:rsidRDefault="008168F4" w:rsidP="00542798">
      <w:pPr>
        <w:jc w:val="center"/>
      </w:pPr>
    </w:p>
    <w:p w14:paraId="04927CB0" w14:textId="3FF61CA2" w:rsidR="008168F4" w:rsidRPr="0019001F" w:rsidRDefault="008168F4" w:rsidP="00542798">
      <w:pPr>
        <w:jc w:val="center"/>
      </w:pPr>
    </w:p>
    <w:p w14:paraId="5FB558FA" w14:textId="79B02D9D" w:rsidR="00CB15AC" w:rsidRPr="0019001F" w:rsidRDefault="00A777D6" w:rsidP="00CB15AC">
      <w:pPr>
        <w:jc w:val="both"/>
        <w:rPr>
          <w:sz w:val="20"/>
          <w:szCs w:val="20"/>
        </w:rPr>
      </w:pPr>
      <w:r w:rsidRPr="0019001F">
        <w:rPr>
          <w:sz w:val="20"/>
          <w:szCs w:val="20"/>
        </w:rPr>
        <w:t xml:space="preserve">This communication aims to </w:t>
      </w:r>
      <w:r w:rsidR="00C15110" w:rsidRPr="0019001F">
        <w:rPr>
          <w:sz w:val="20"/>
          <w:szCs w:val="20"/>
        </w:rPr>
        <w:t>analyse the information that a large set of free-access databases (i.e., Crossref, Dimensions, Microsoft Academic, OpenAlex,</w:t>
      </w:r>
      <w:r w:rsidR="005F28F1" w:rsidRPr="0019001F">
        <w:rPr>
          <w:sz w:val="20"/>
          <w:szCs w:val="20"/>
        </w:rPr>
        <w:t xml:space="preserve"> Scilit, Semantic Scholar, The Lens)</w:t>
      </w:r>
      <w:r w:rsidR="00C15110" w:rsidRPr="0019001F">
        <w:rPr>
          <w:sz w:val="20"/>
          <w:szCs w:val="20"/>
        </w:rPr>
        <w:t xml:space="preserve"> provides about indexed publications in their databases. Using a random sample of 116k publications from Crossref, each database was queried to retrieve the same document list with the purpose of comparing the metadata of their publications. The results show that </w:t>
      </w:r>
      <w:r w:rsidR="0019001F" w:rsidRPr="0019001F">
        <w:rPr>
          <w:sz w:val="20"/>
          <w:szCs w:val="20"/>
        </w:rPr>
        <w:t>the completeness degree is different between databases and that the search engines show</w:t>
      </w:r>
      <w:r w:rsidR="0019001F">
        <w:rPr>
          <w:sz w:val="20"/>
          <w:szCs w:val="20"/>
        </w:rPr>
        <w:t xml:space="preserve"> more problems to extract abstracts and assign document typologies. Dimensions is the product that obtain the highest completeness percentages in abstracts, open access documents, bibliographic data and document types</w:t>
      </w:r>
      <w:r w:rsidR="00CB15AC" w:rsidRPr="0019001F">
        <w:rPr>
          <w:sz w:val="20"/>
          <w:szCs w:val="20"/>
        </w:rPr>
        <w:t>.</w:t>
      </w:r>
    </w:p>
    <w:p w14:paraId="26F746EB" w14:textId="77777777" w:rsidR="00CB15AC" w:rsidRPr="0019001F" w:rsidRDefault="00CB15AC" w:rsidP="00CB15AC">
      <w:pPr>
        <w:jc w:val="both"/>
      </w:pPr>
    </w:p>
    <w:p w14:paraId="02C61035" w14:textId="77777777" w:rsidR="008168F4" w:rsidRPr="0019001F" w:rsidRDefault="000C25AF">
      <w:pPr>
        <w:pStyle w:val="Heading2"/>
        <w:jc w:val="both"/>
      </w:pPr>
      <w:r w:rsidRPr="0019001F">
        <w:t xml:space="preserve">1. </w:t>
      </w:r>
      <w:r w:rsidR="008168F4" w:rsidRPr="0019001F">
        <w:t>Introduction</w:t>
      </w:r>
    </w:p>
    <w:p w14:paraId="4BCC92DE" w14:textId="4F1AEC97" w:rsidR="00427C58" w:rsidRPr="0019001F" w:rsidRDefault="00427C58" w:rsidP="00427C58">
      <w:pPr>
        <w:jc w:val="both"/>
        <w:rPr>
          <w:iCs/>
        </w:rPr>
      </w:pPr>
      <w:r w:rsidRPr="0019001F">
        <w:rPr>
          <w:iCs/>
        </w:rPr>
        <w:t>The recent proliferation of bibliographic scholarly databases has stimulated the</w:t>
      </w:r>
      <w:r w:rsidR="000B383F">
        <w:rPr>
          <w:iCs/>
        </w:rPr>
        <w:t>ir</w:t>
      </w:r>
      <w:r w:rsidRPr="0019001F">
        <w:rPr>
          <w:iCs/>
        </w:rPr>
        <w:t xml:space="preserve"> interest</w:t>
      </w:r>
      <w:r w:rsidR="000B383F">
        <w:rPr>
          <w:iCs/>
        </w:rPr>
        <w:t xml:space="preserve">, mainly regarding to </w:t>
      </w:r>
      <w:r w:rsidRPr="0019001F">
        <w:rPr>
          <w:iCs/>
        </w:rPr>
        <w:t xml:space="preserve">their possibilities </w:t>
      </w:r>
      <w:r w:rsidR="00AF63BC">
        <w:rPr>
          <w:iCs/>
        </w:rPr>
        <w:t xml:space="preserve">to </w:t>
      </w:r>
      <w:r w:rsidR="000B383F">
        <w:rPr>
          <w:iCs/>
        </w:rPr>
        <w:t>find</w:t>
      </w:r>
      <w:r w:rsidRPr="0019001F">
        <w:rPr>
          <w:iCs/>
        </w:rPr>
        <w:t xml:space="preserve"> scientific literature and provid</w:t>
      </w:r>
      <w:r w:rsidR="00AF63BC">
        <w:rPr>
          <w:iCs/>
        </w:rPr>
        <w:t>e</w:t>
      </w:r>
      <w:r w:rsidRPr="0019001F">
        <w:rPr>
          <w:iCs/>
        </w:rPr>
        <w:t xml:space="preserve"> different bibliometric indicators. This </w:t>
      </w:r>
      <w:r w:rsidR="00AF63BC">
        <w:rPr>
          <w:iCs/>
        </w:rPr>
        <w:t>interest</w:t>
      </w:r>
      <w:r w:rsidRPr="0019001F">
        <w:rPr>
          <w:iCs/>
        </w:rPr>
        <w:t xml:space="preserve"> has been </w:t>
      </w:r>
      <w:r w:rsidR="00AF63BC">
        <w:rPr>
          <w:iCs/>
        </w:rPr>
        <w:t>expressed in several studies that have tested</w:t>
      </w:r>
      <w:r w:rsidRPr="0019001F">
        <w:rPr>
          <w:iCs/>
        </w:rPr>
        <w:t xml:space="preserve"> the performance of these new systems in relation to traditional citation indexes (i.e. Web of Science, Scopus) and academic search engines (i.e. Google Scholar, Microsoft Academic). These new products could be defined as hybrid databases because they share characteristics with the former ones. On the one hand, these platforms also extract and process citations for c</w:t>
      </w:r>
      <w:r w:rsidR="00B77261">
        <w:rPr>
          <w:iCs/>
        </w:rPr>
        <w:t>alculating</w:t>
      </w:r>
      <w:r w:rsidRPr="0019001F">
        <w:rPr>
          <w:iCs/>
        </w:rPr>
        <w:t xml:space="preserve"> </w:t>
      </w:r>
      <w:r w:rsidRPr="000B383F">
        <w:rPr>
          <w:i/>
          <w:iCs/>
        </w:rPr>
        <w:t>ad hoc</w:t>
      </w:r>
      <w:r w:rsidRPr="0019001F">
        <w:rPr>
          <w:iCs/>
        </w:rPr>
        <w:t xml:space="preserve"> bibliometric indicators. On the other hand, they are similar to search engines because they opt by a free access model in which users do not require subscription fee to search and retrieve documents.</w:t>
      </w:r>
    </w:p>
    <w:p w14:paraId="022B3B99" w14:textId="27D2041F" w:rsidR="00427C58" w:rsidRPr="0019001F" w:rsidRDefault="00427C58" w:rsidP="00427C58">
      <w:pPr>
        <w:jc w:val="both"/>
        <w:rPr>
          <w:iCs/>
        </w:rPr>
      </w:pPr>
      <w:r w:rsidRPr="0019001F">
        <w:rPr>
          <w:iCs/>
        </w:rPr>
        <w:t xml:space="preserve">However, these hybrid products have the particularities that they are fed by third party sources. The appearance of Crossref as repository of publishers’ metadata, the availability of APIs and dump files from academic search engines (e.g. Microsoft Academic, Semantic Scholar), and the possibility of reusing other bibliographic databases (e.g. PubMed, DOAJ, repositories) have made possible the emergence of these bibliographic products. </w:t>
      </w:r>
    </w:p>
    <w:p w14:paraId="4F9A141A" w14:textId="6BEC8B0D" w:rsidR="00427C58" w:rsidRPr="0019001F" w:rsidRDefault="00427C58" w:rsidP="00427C58">
      <w:pPr>
        <w:jc w:val="both"/>
        <w:rPr>
          <w:iCs/>
        </w:rPr>
      </w:pPr>
      <w:r w:rsidRPr="0019001F">
        <w:rPr>
          <w:iCs/>
        </w:rPr>
        <w:t xml:space="preserve">However, this multiple and varied availability of bibliographic data also presents a challenge because the integration of </w:t>
      </w:r>
      <w:r w:rsidR="00B77261">
        <w:rPr>
          <w:iCs/>
        </w:rPr>
        <w:t xml:space="preserve">these </w:t>
      </w:r>
      <w:r w:rsidRPr="0019001F">
        <w:rPr>
          <w:iCs/>
        </w:rPr>
        <w:t xml:space="preserve">data from different sources requires intense processing that avoids the appearance of duplicated record, filters non-scholarly materials, and manages different versions of the same document. This also influences the quality of their metadata because they are the result of the integration of external and internal descriptions. </w:t>
      </w:r>
    </w:p>
    <w:p w14:paraId="03687170" w14:textId="51746FEA" w:rsidR="008168F4" w:rsidRPr="0019001F" w:rsidRDefault="00427C58" w:rsidP="00427C58">
      <w:pPr>
        <w:jc w:val="both"/>
      </w:pPr>
      <w:r w:rsidRPr="0019001F">
        <w:rPr>
          <w:iCs/>
        </w:rPr>
        <w:t xml:space="preserve">Due to this, the study about the quality of the metadata </w:t>
      </w:r>
      <w:r w:rsidR="00AF63BC">
        <w:rPr>
          <w:iCs/>
        </w:rPr>
        <w:t>of</w:t>
      </w:r>
      <w:r w:rsidRPr="0019001F">
        <w:rPr>
          <w:iCs/>
        </w:rPr>
        <w:t xml:space="preserve"> new scholarly databases allows us to appreciate to what extent these processing efforts are accomplished and to value the suitability and reliability of these search tools for provid</w:t>
      </w:r>
      <w:r w:rsidR="00AF63BC">
        <w:rPr>
          <w:iCs/>
        </w:rPr>
        <w:t>ing</w:t>
      </w:r>
      <w:r w:rsidRPr="0019001F">
        <w:rPr>
          <w:iCs/>
        </w:rPr>
        <w:t xml:space="preserve"> rich information about scientific literature. This study aims to explore the metadata publication quality of these new databases to obtain a global picture about the richness of the information provided by each platform.</w:t>
      </w:r>
    </w:p>
    <w:p w14:paraId="58D4814C" w14:textId="77777777" w:rsidR="00E03487" w:rsidRPr="0019001F" w:rsidRDefault="00E03487">
      <w:pPr>
        <w:jc w:val="both"/>
      </w:pPr>
    </w:p>
    <w:p w14:paraId="7974EF73" w14:textId="31BF9F8F" w:rsidR="008168F4" w:rsidRPr="0019001F" w:rsidRDefault="000C25AF">
      <w:pPr>
        <w:pStyle w:val="Heading2"/>
        <w:jc w:val="both"/>
      </w:pPr>
      <w:r w:rsidRPr="0019001F">
        <w:t xml:space="preserve">2. </w:t>
      </w:r>
      <w:r w:rsidR="00427C58" w:rsidRPr="0019001F">
        <w:t>Methods</w:t>
      </w:r>
    </w:p>
    <w:p w14:paraId="7EE44710" w14:textId="31695E51" w:rsidR="005A3159" w:rsidRPr="0019001F" w:rsidRDefault="005A3159" w:rsidP="005A3159">
      <w:pPr>
        <w:pStyle w:val="Heading3"/>
      </w:pPr>
      <w:r w:rsidRPr="0019001F">
        <w:t>2.1 Source selection criteria</w:t>
      </w:r>
    </w:p>
    <w:p w14:paraId="16872DDF" w14:textId="32CE5068" w:rsidR="005A3159" w:rsidRPr="0019001F" w:rsidRDefault="005A3159" w:rsidP="00F430AA">
      <w:pPr>
        <w:jc w:val="both"/>
      </w:pPr>
      <w:r w:rsidRPr="0019001F">
        <w:t xml:space="preserve">This comparative approach requires the selection of equitable samples that allow us to benchmark bibliographic databases among them and observe what information about publications is indexed. Seven bibliographic databases were considered for the study: </w:t>
      </w:r>
      <w:r w:rsidRPr="0019001F">
        <w:lastRenderedPageBreak/>
        <w:t xml:space="preserve">Crossref, Dimensions, </w:t>
      </w:r>
      <w:r w:rsidR="00D91192" w:rsidRPr="0019001F">
        <w:t xml:space="preserve">The </w:t>
      </w:r>
      <w:r w:rsidRPr="0019001F">
        <w:t>Lens, Microsoft Academic, OpenAlex, Scilit and Semantic Scholar. Three requisites were considered for selecting these sources:</w:t>
      </w:r>
    </w:p>
    <w:p w14:paraId="5AF77DA1" w14:textId="6C8AD88C" w:rsidR="005A3159" w:rsidRPr="0019001F" w:rsidRDefault="005A3159" w:rsidP="005A3159">
      <w:pPr>
        <w:numPr>
          <w:ilvl w:val="0"/>
          <w:numId w:val="4"/>
        </w:numPr>
      </w:pPr>
      <w:r w:rsidRPr="0019001F">
        <w:t>They have to be freely accessible through the Web.</w:t>
      </w:r>
    </w:p>
    <w:p w14:paraId="639B7D7A" w14:textId="62C08E98" w:rsidR="005A3159" w:rsidRPr="0019001F" w:rsidRDefault="005A3159" w:rsidP="005A3159">
      <w:pPr>
        <w:numPr>
          <w:ilvl w:val="0"/>
          <w:numId w:val="4"/>
        </w:numPr>
      </w:pPr>
      <w:r w:rsidRPr="0019001F">
        <w:t>They could provide a reliable endpoint (e.g. Rest APIs, dump files) to extract information about their metadata.</w:t>
      </w:r>
    </w:p>
    <w:p w14:paraId="5F29920D" w14:textId="67BD8BA8" w:rsidR="005A3159" w:rsidRPr="0019001F" w:rsidRDefault="005A3159" w:rsidP="005A3159">
      <w:pPr>
        <w:numPr>
          <w:ilvl w:val="0"/>
          <w:numId w:val="4"/>
        </w:numPr>
      </w:pPr>
      <w:r w:rsidRPr="0019001F">
        <w:t>They also provide metrics for research evaluation.</w:t>
      </w:r>
    </w:p>
    <w:p w14:paraId="7B152301" w14:textId="77777777" w:rsidR="005A3159" w:rsidRPr="0019001F" w:rsidRDefault="005A3159" w:rsidP="005A3159"/>
    <w:p w14:paraId="74ECCE0D" w14:textId="721FDCD1" w:rsidR="005A3159" w:rsidRPr="0019001F" w:rsidRDefault="005A3159" w:rsidP="005A3159">
      <w:pPr>
        <w:pStyle w:val="Heading3"/>
      </w:pPr>
      <w:r w:rsidRPr="0019001F">
        <w:t>2.2 Sample selection and extraction</w:t>
      </w:r>
    </w:p>
    <w:p w14:paraId="3BA9D01E" w14:textId="59A9FED2" w:rsidR="005A3159" w:rsidRDefault="005A3159" w:rsidP="00F430AA">
      <w:pPr>
        <w:jc w:val="both"/>
      </w:pPr>
      <w:r w:rsidRPr="0019001F">
        <w:t xml:space="preserve">Crossref was selected as control sample due to several causes. The first one is due to an operational question. Crossref is a publishers’ consortium that assigns the Document Object Identifier (DOI), the most extended persistent identifier of research publications in the publishing system. Although their coverage is limited to only publisher members (Visser et al., 2019), its use is justified because all these platforms allow to query publications by DOIs, </w:t>
      </w:r>
      <w:r w:rsidR="0019001F" w:rsidRPr="0019001F">
        <w:t>favouring</w:t>
      </w:r>
      <w:r w:rsidRPr="0019001F">
        <w:t xml:space="preserve"> a rapid and exact matching. The second reason is related to methodological issues, Crossref is the only service that provides the extraction of random samples of documents (https://api.crossref.org/works?sample=100). This fact reinforces the representativeness of the sample, because it avoids the influence of ranking algorithms, filters or matching procedures that could distort the </w:t>
      </w:r>
      <w:r w:rsidR="00B77261">
        <w:t>selection</w:t>
      </w:r>
      <w:r w:rsidRPr="0019001F">
        <w:t xml:space="preserve"> of the sample. A third motive is that publishers can request a DOI to any published material, regardless of typology, discipline or language. This means that Crossref database does not have any inclusion criteria that could limit the coverage of certain types of documents (e.g. indexes, acknowledgements, front covers). This </w:t>
      </w:r>
      <w:r w:rsidR="0019001F" w:rsidRPr="0019001F">
        <w:t>non-selective</w:t>
      </w:r>
      <w:r w:rsidRPr="0019001F">
        <w:t xml:space="preserve"> criterion would lead us to clearly appreciate the inclusion policies of the different bibliographic platforms.</w:t>
      </w:r>
    </w:p>
    <w:p w14:paraId="47F24FD8" w14:textId="77777777" w:rsidR="001B0E72" w:rsidRPr="0019001F" w:rsidRDefault="001B0E72" w:rsidP="00F430AA">
      <w:pPr>
        <w:jc w:val="both"/>
      </w:pPr>
    </w:p>
    <w:p w14:paraId="7CA1F16D" w14:textId="6F80F3D5" w:rsidR="005A3159" w:rsidRPr="0019001F" w:rsidRDefault="00F430AA" w:rsidP="00F430AA">
      <w:pPr>
        <w:pStyle w:val="Heading3"/>
      </w:pPr>
      <w:r w:rsidRPr="0019001F">
        <w:t>2.3 D</w:t>
      </w:r>
      <w:r w:rsidR="005A3159" w:rsidRPr="0019001F">
        <w:t>ata retrieving</w:t>
      </w:r>
    </w:p>
    <w:p w14:paraId="6BB7DD54" w14:textId="77777777" w:rsidR="005A3159" w:rsidRPr="0019001F" w:rsidRDefault="005A3159" w:rsidP="00F430AA">
      <w:pPr>
        <w:jc w:val="both"/>
      </w:pPr>
      <w:r w:rsidRPr="0019001F">
        <w:t xml:space="preserve">A sample of 116,648 DOIs were randomly extracted from Crossref in August 2020 and July 2021 with the only limitation of documents published between 2014 and 2018. This time window was selected in order to publications can accrue a significant number of citations and other metrics. The resulting distribution by document type coincides with the entire database (Hendricks et al., 2020), which reinforce the reliability of the sample. </w:t>
      </w:r>
    </w:p>
    <w:p w14:paraId="07B2CDBD" w14:textId="77777777" w:rsidR="005A3159" w:rsidRPr="0019001F" w:rsidRDefault="005A3159" w:rsidP="00F430AA">
      <w:pPr>
        <w:jc w:val="both"/>
      </w:pPr>
      <w:r w:rsidRPr="0019001F">
        <w:t>Next, this control sample was queried to each platform to match the records and extract all the information about each publication. This task was carried through July 2021, excepting Scilit and OpenAlex. In the case of Scilit, data were retrieved in December 2022 because a new public API, with more information, was launched in June 2022. OpenAlex was added to the study in January 2023 due to its novelty as open bibliographic source. The extraction process in each platform is described in detail:</w:t>
      </w:r>
    </w:p>
    <w:p w14:paraId="718B86A0" w14:textId="75B4DDD0" w:rsidR="005A3159" w:rsidRPr="0019001F" w:rsidRDefault="005A3159" w:rsidP="005A3159">
      <w:pPr>
        <w:numPr>
          <w:ilvl w:val="0"/>
          <w:numId w:val="3"/>
        </w:numPr>
      </w:pPr>
      <w:r w:rsidRPr="008437BE">
        <w:rPr>
          <w:b/>
        </w:rPr>
        <w:t>Dimensions</w:t>
      </w:r>
      <w:r w:rsidRPr="0019001F">
        <w:t>: This database was accessed through their API (https://app.dimensions.ai/dsl/v2). A R package (i.e. dimensionsR) was used to extract the data. JSON format was used to download the results because dimensionsR caused some problems in the transformation of JSON outputs to CSV format.</w:t>
      </w:r>
    </w:p>
    <w:p w14:paraId="10B8A675" w14:textId="21D00227" w:rsidR="005A3159" w:rsidRPr="0019001F" w:rsidRDefault="005A3159" w:rsidP="005A3159">
      <w:pPr>
        <w:numPr>
          <w:ilvl w:val="0"/>
          <w:numId w:val="3"/>
        </w:numPr>
      </w:pPr>
      <w:r w:rsidRPr="008437BE">
        <w:rPr>
          <w:b/>
        </w:rPr>
        <w:t>OpenAlex</w:t>
      </w:r>
      <w:r w:rsidRPr="0019001F">
        <w:t>: This bibliographic repository was accessed through its public API (https://api.openalex.org/). A Python routine was written to extract and process the data.</w:t>
      </w:r>
    </w:p>
    <w:p w14:paraId="16D69393" w14:textId="33843699" w:rsidR="005A3159" w:rsidRPr="0019001F" w:rsidRDefault="008437BE" w:rsidP="005A3159">
      <w:pPr>
        <w:numPr>
          <w:ilvl w:val="0"/>
          <w:numId w:val="3"/>
        </w:numPr>
      </w:pPr>
      <w:r w:rsidRPr="008437BE">
        <w:rPr>
          <w:b/>
        </w:rPr>
        <w:t xml:space="preserve">The </w:t>
      </w:r>
      <w:r w:rsidR="005A3159" w:rsidRPr="008437BE">
        <w:rPr>
          <w:b/>
        </w:rPr>
        <w:t>Lens</w:t>
      </w:r>
      <w:r w:rsidR="005A3159" w:rsidRPr="0019001F">
        <w:t xml:space="preserve">: After a formal request, this service provided us temporary access to its API (https://api.lens.org/scholarly/search). In this case, a R script was written to directly extract the data. However, some relevant fields (i.e. abstract, source_urls, funders) for this study were not properly retrieved due to technical reasons in July 2021. We decided then to extract a little sample of 5,000 records directly from the main search page (https://www.lens.org/lens/) </w:t>
      </w:r>
      <w:r w:rsidR="00BA0996" w:rsidRPr="0019001F">
        <w:t xml:space="preserve">in January 2023 </w:t>
      </w:r>
      <w:r w:rsidR="005A3159" w:rsidRPr="0019001F">
        <w:t>to supply this limitation.</w:t>
      </w:r>
      <w:r w:rsidR="00BA0996" w:rsidRPr="0019001F">
        <w:t xml:space="preserve"> </w:t>
      </w:r>
    </w:p>
    <w:p w14:paraId="40E8234D" w14:textId="1D7A8610" w:rsidR="005A3159" w:rsidRPr="0019001F" w:rsidRDefault="005A3159" w:rsidP="005A3159">
      <w:pPr>
        <w:numPr>
          <w:ilvl w:val="0"/>
          <w:numId w:val="3"/>
        </w:numPr>
      </w:pPr>
      <w:r w:rsidRPr="008437BE">
        <w:rPr>
          <w:b/>
        </w:rPr>
        <w:lastRenderedPageBreak/>
        <w:t>Microsoft Academic</w:t>
      </w:r>
      <w:r w:rsidRPr="0019001F">
        <w:t>: Several methods were used to obtain the coverage of this service. Firstly, SPARQL (https://makg.org/sparql) and REST API (https://api.labs.cognitive.microsoft.com/academic/v1.0/evaluate) endpoints were used to extract publications using DOIs. Microdemic, a R package, was used to query the API. However, the low indexation of DOIs (37.1%) and that these were case sensitive, made us to download the entire table of publications available in Microsoft Academic (https://aka.ms/msracad) and locally match with the sample, using DOIs and titles.</w:t>
      </w:r>
    </w:p>
    <w:p w14:paraId="249F23F4" w14:textId="5C47CE02" w:rsidR="005A3159" w:rsidRPr="0019001F" w:rsidRDefault="005A3159" w:rsidP="005A3159">
      <w:pPr>
        <w:numPr>
          <w:ilvl w:val="0"/>
          <w:numId w:val="3"/>
        </w:numPr>
      </w:pPr>
      <w:r w:rsidRPr="008437BE">
        <w:rPr>
          <w:b/>
        </w:rPr>
        <w:t>Scilit</w:t>
      </w:r>
      <w:r w:rsidRPr="0019001F">
        <w:t>: this platform was accessed using a public API (https://app.scilit.net/api/v1/). Because the access must be done using a POST method, a Python script was designed to extract the data.</w:t>
      </w:r>
    </w:p>
    <w:p w14:paraId="08331F76" w14:textId="1DB569C9" w:rsidR="005A3159" w:rsidRPr="0019001F" w:rsidRDefault="005A3159" w:rsidP="005A3159">
      <w:pPr>
        <w:numPr>
          <w:ilvl w:val="0"/>
          <w:numId w:val="3"/>
        </w:numPr>
      </w:pPr>
      <w:r w:rsidRPr="008437BE">
        <w:rPr>
          <w:b/>
        </w:rPr>
        <w:t>Semantic Scholar</w:t>
      </w:r>
      <w:r w:rsidRPr="0019001F">
        <w:t xml:space="preserve">: This database provides a public API (https://api.semanticscholar.org/v1). The </w:t>
      </w:r>
      <w:r w:rsidR="005B0362" w:rsidRPr="0019001F">
        <w:t>semscholar R</w:t>
      </w:r>
      <w:r w:rsidRPr="0019001F">
        <w:t xml:space="preserve"> package was used to extract the data. However, API was directly queried after to detect some problems in the retrieval process.</w:t>
      </w:r>
    </w:p>
    <w:p w14:paraId="2C4AA0D9" w14:textId="77777777" w:rsidR="005A3159" w:rsidRPr="0019001F" w:rsidRDefault="005A3159" w:rsidP="005A3159"/>
    <w:p w14:paraId="1F58EF84" w14:textId="382F080F" w:rsidR="005A3159" w:rsidRPr="0019001F" w:rsidRDefault="005A3159" w:rsidP="00F430AA">
      <w:pPr>
        <w:jc w:val="both"/>
      </w:pPr>
      <w:r w:rsidRPr="0019001F">
        <w:t>This study has a qualitative-quantitative approach, in which we extract large data samples from different sources to then compare the quality of the included information. Due to this we have analyzed the API documentation of each platforms to know which fields are available and what information contain each one.</w:t>
      </w:r>
    </w:p>
    <w:p w14:paraId="4E943A1A" w14:textId="77777777" w:rsidR="005A3159" w:rsidRPr="0019001F" w:rsidRDefault="005A3159" w:rsidP="005A3159"/>
    <w:p w14:paraId="24BDFD97" w14:textId="1D465390" w:rsidR="005A3159" w:rsidRPr="0019001F" w:rsidRDefault="005A3159" w:rsidP="005A3159">
      <w:pPr>
        <w:pStyle w:val="Heading2"/>
      </w:pPr>
      <w:r w:rsidRPr="0019001F">
        <w:t>3. Results</w:t>
      </w:r>
    </w:p>
    <w:p w14:paraId="27B64187" w14:textId="41B1B1DC" w:rsidR="005A3159" w:rsidRPr="0019001F" w:rsidRDefault="005A3159" w:rsidP="00F430AA">
      <w:pPr>
        <w:jc w:val="both"/>
      </w:pPr>
      <w:r w:rsidRPr="0019001F">
        <w:t>This study describes the amount and quality of metadata associated to the description of research publications indexed in these databases. Publications are the central element in the publishing ecosystem and they are therefore the main asset of a bibliographic database. A clear and complete description of their elements and characteristics improve the identification and retrieval of these items, and their connection with other entities. Due to this, publication is the entity with more fields, going from the 38 fields in Crossref to the 18 in Semantic Scholar. Next, we analyse the fields used by each database to describe the main characteristics of a publication.</w:t>
      </w:r>
    </w:p>
    <w:p w14:paraId="590115FE" w14:textId="77777777" w:rsidR="007357E7" w:rsidRPr="0019001F" w:rsidRDefault="007357E7" w:rsidP="005A3159"/>
    <w:p w14:paraId="400D435A" w14:textId="2C548652" w:rsidR="005A3159" w:rsidRPr="0019001F" w:rsidRDefault="007357E7" w:rsidP="007357E7">
      <w:pPr>
        <w:pStyle w:val="Heading3"/>
      </w:pPr>
      <w:r w:rsidRPr="0019001F">
        <w:t>3.1. Abstract</w:t>
      </w:r>
    </w:p>
    <w:p w14:paraId="0630F28C" w14:textId="61D84D98" w:rsidR="0079442B" w:rsidRPr="0019001F" w:rsidRDefault="005A3159" w:rsidP="00F430AA">
      <w:pPr>
        <w:jc w:val="both"/>
      </w:pPr>
      <w:r w:rsidRPr="0019001F">
        <w:t xml:space="preserve">This is an important access point to the content of the publication </w:t>
      </w:r>
      <w:r w:rsidR="00897076" w:rsidRPr="0019001F">
        <w:t>because it provides a summary of the research. A</w:t>
      </w:r>
      <w:r w:rsidRPr="0019001F">
        <w:t xml:space="preserve">ll the </w:t>
      </w:r>
      <w:r w:rsidR="00897076" w:rsidRPr="0019001F">
        <w:t xml:space="preserve">analysed </w:t>
      </w:r>
      <w:r w:rsidRPr="0019001F">
        <w:t>databases index this element. In the case of Microsoft Academic</w:t>
      </w:r>
      <w:r w:rsidR="0079442B" w:rsidRPr="0019001F">
        <w:t>,</w:t>
      </w:r>
      <w:r w:rsidRPr="0019001F">
        <w:t xml:space="preserve"> the</w:t>
      </w:r>
      <w:r w:rsidR="0079442B" w:rsidRPr="0019001F">
        <w:t xml:space="preserve"> table with the abstract is not already available and this information c</w:t>
      </w:r>
      <w:r w:rsidR="007357E7" w:rsidRPr="0019001F">
        <w:t xml:space="preserve">ould </w:t>
      </w:r>
      <w:r w:rsidR="00E02C86" w:rsidRPr="0019001F">
        <w:t xml:space="preserve">not </w:t>
      </w:r>
      <w:r w:rsidR="0079442B" w:rsidRPr="0019001F">
        <w:t>be retrieved.</w:t>
      </w:r>
    </w:p>
    <w:p w14:paraId="348E1041" w14:textId="49125C83" w:rsidR="0079442B" w:rsidRPr="0019001F" w:rsidRDefault="0079442B" w:rsidP="005A3159"/>
    <w:p w14:paraId="6073F1B1" w14:textId="788F2D3B" w:rsidR="0079442B" w:rsidRPr="0019001F" w:rsidRDefault="007357E7" w:rsidP="0079442B">
      <w:pPr>
        <w:jc w:val="center"/>
      </w:pPr>
      <w:r w:rsidRPr="0019001F">
        <w:t>Table</w:t>
      </w:r>
      <w:r w:rsidR="0079442B" w:rsidRPr="0019001F">
        <w:t xml:space="preserve"> 1. Proportion of articles with abstract in each database</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522"/>
        <w:gridCol w:w="1191"/>
        <w:gridCol w:w="1630"/>
        <w:gridCol w:w="2041"/>
      </w:tblGrid>
      <w:tr w:rsidR="003039EA" w:rsidRPr="0019001F" w14:paraId="321DB61E" w14:textId="77777777" w:rsidTr="003039EA">
        <w:trPr>
          <w:trHeight w:val="255"/>
          <w:jc w:val="center"/>
        </w:trPr>
        <w:tc>
          <w:tcPr>
            <w:tcW w:w="1903" w:type="dxa"/>
            <w:shd w:val="clear" w:color="auto" w:fill="auto"/>
            <w:noWrap/>
            <w:hideMark/>
          </w:tcPr>
          <w:p w14:paraId="41AEF9E3" w14:textId="36513377" w:rsidR="00BA0996" w:rsidRPr="0019001F" w:rsidRDefault="00BA0996" w:rsidP="00BA0996">
            <w:pPr>
              <w:rPr>
                <w:b/>
                <w:bCs/>
                <w:color w:val="000000"/>
                <w:lang w:eastAsia="es-ES"/>
              </w:rPr>
            </w:pPr>
            <w:r w:rsidRPr="0019001F">
              <w:rPr>
                <w:b/>
                <w:bCs/>
                <w:color w:val="000000"/>
              </w:rPr>
              <w:t>Databases</w:t>
            </w:r>
          </w:p>
        </w:tc>
        <w:tc>
          <w:tcPr>
            <w:tcW w:w="2522" w:type="dxa"/>
            <w:shd w:val="clear" w:color="auto" w:fill="auto"/>
            <w:noWrap/>
            <w:hideMark/>
          </w:tcPr>
          <w:p w14:paraId="70B562E3" w14:textId="77777777" w:rsidR="00BA0996" w:rsidRPr="0019001F" w:rsidRDefault="00BA0996" w:rsidP="00BA0996">
            <w:pPr>
              <w:rPr>
                <w:b/>
                <w:color w:val="000000"/>
              </w:rPr>
            </w:pPr>
            <w:r w:rsidRPr="0019001F">
              <w:rPr>
                <w:b/>
                <w:color w:val="000000"/>
              </w:rPr>
              <w:t>fields</w:t>
            </w:r>
          </w:p>
        </w:tc>
        <w:tc>
          <w:tcPr>
            <w:tcW w:w="1191" w:type="dxa"/>
            <w:shd w:val="clear" w:color="auto" w:fill="auto"/>
            <w:vAlign w:val="bottom"/>
          </w:tcPr>
          <w:p w14:paraId="4E9C20D0" w14:textId="3124E6BF" w:rsidR="00BA0996" w:rsidRPr="0019001F" w:rsidRDefault="00BA0996" w:rsidP="00BA0996">
            <w:pPr>
              <w:rPr>
                <w:b/>
                <w:color w:val="000000"/>
              </w:rPr>
            </w:pPr>
            <w:r w:rsidRPr="0019001F">
              <w:rPr>
                <w:b/>
                <w:color w:val="000000"/>
              </w:rPr>
              <w:t>Samples</w:t>
            </w:r>
          </w:p>
        </w:tc>
        <w:tc>
          <w:tcPr>
            <w:tcW w:w="1630" w:type="dxa"/>
            <w:shd w:val="clear" w:color="auto" w:fill="auto"/>
            <w:noWrap/>
            <w:hideMark/>
          </w:tcPr>
          <w:p w14:paraId="799F8E1B" w14:textId="15F40CCF" w:rsidR="00BA0996" w:rsidRPr="0019001F" w:rsidRDefault="00BA0996" w:rsidP="00BA0996">
            <w:pPr>
              <w:rPr>
                <w:b/>
                <w:color w:val="000000"/>
              </w:rPr>
            </w:pPr>
            <w:r w:rsidRPr="0019001F">
              <w:rPr>
                <w:b/>
                <w:color w:val="000000"/>
              </w:rPr>
              <w:t>Completeness</w:t>
            </w:r>
          </w:p>
        </w:tc>
        <w:tc>
          <w:tcPr>
            <w:tcW w:w="2041" w:type="dxa"/>
            <w:shd w:val="clear" w:color="auto" w:fill="auto"/>
            <w:noWrap/>
            <w:hideMark/>
          </w:tcPr>
          <w:p w14:paraId="791B9485" w14:textId="77777777" w:rsidR="00BA0996" w:rsidRPr="0019001F" w:rsidRDefault="00BA0996" w:rsidP="00BA0996">
            <w:pPr>
              <w:rPr>
                <w:b/>
                <w:color w:val="000000"/>
              </w:rPr>
            </w:pPr>
            <w:r w:rsidRPr="0019001F">
              <w:rPr>
                <w:b/>
                <w:color w:val="000000"/>
              </w:rPr>
              <w:t>Completeness %</w:t>
            </w:r>
          </w:p>
        </w:tc>
      </w:tr>
      <w:tr w:rsidR="003039EA" w:rsidRPr="0019001F" w14:paraId="47274903" w14:textId="77777777" w:rsidTr="003039EA">
        <w:trPr>
          <w:trHeight w:val="255"/>
          <w:jc w:val="center"/>
        </w:trPr>
        <w:tc>
          <w:tcPr>
            <w:tcW w:w="1903" w:type="dxa"/>
            <w:shd w:val="clear" w:color="auto" w:fill="auto"/>
            <w:noWrap/>
            <w:hideMark/>
          </w:tcPr>
          <w:p w14:paraId="38E063DB" w14:textId="77777777" w:rsidR="00BA0996" w:rsidRPr="0019001F" w:rsidRDefault="00BA0996" w:rsidP="00BA0996">
            <w:r w:rsidRPr="0019001F">
              <w:t>Crossref</w:t>
            </w:r>
          </w:p>
        </w:tc>
        <w:tc>
          <w:tcPr>
            <w:tcW w:w="2522" w:type="dxa"/>
            <w:shd w:val="clear" w:color="auto" w:fill="auto"/>
            <w:noWrap/>
            <w:hideMark/>
          </w:tcPr>
          <w:p w14:paraId="1363A2ED" w14:textId="77777777" w:rsidR="00BA0996" w:rsidRPr="0019001F" w:rsidRDefault="00BA0996" w:rsidP="00BA0996">
            <w:pPr>
              <w:rPr>
                <w:color w:val="000000"/>
              </w:rPr>
            </w:pPr>
            <w:r w:rsidRPr="0019001F">
              <w:rPr>
                <w:color w:val="000000"/>
              </w:rPr>
              <w:t>abstract</w:t>
            </w:r>
          </w:p>
        </w:tc>
        <w:tc>
          <w:tcPr>
            <w:tcW w:w="1191" w:type="dxa"/>
            <w:shd w:val="clear" w:color="auto" w:fill="auto"/>
            <w:vAlign w:val="bottom"/>
          </w:tcPr>
          <w:p w14:paraId="604683FE" w14:textId="0D0D3F4C" w:rsidR="00BA0996" w:rsidRPr="0019001F" w:rsidRDefault="00BA0996" w:rsidP="003039EA">
            <w:pPr>
              <w:jc w:val="right"/>
              <w:rPr>
                <w:color w:val="000000"/>
              </w:rPr>
            </w:pPr>
            <w:r w:rsidRPr="0019001F">
              <w:rPr>
                <w:color w:val="000000"/>
              </w:rPr>
              <w:t>116,592</w:t>
            </w:r>
          </w:p>
        </w:tc>
        <w:tc>
          <w:tcPr>
            <w:tcW w:w="1630" w:type="dxa"/>
            <w:shd w:val="clear" w:color="auto" w:fill="auto"/>
            <w:noWrap/>
            <w:hideMark/>
          </w:tcPr>
          <w:p w14:paraId="706E13D2" w14:textId="56A3AD91" w:rsidR="00BA0996" w:rsidRPr="0019001F" w:rsidRDefault="00BA0996" w:rsidP="003039EA">
            <w:pPr>
              <w:jc w:val="right"/>
              <w:rPr>
                <w:color w:val="000000"/>
              </w:rPr>
            </w:pPr>
            <w:r w:rsidRPr="0019001F">
              <w:rPr>
                <w:color w:val="000000"/>
              </w:rPr>
              <w:t>15,927</w:t>
            </w:r>
          </w:p>
        </w:tc>
        <w:tc>
          <w:tcPr>
            <w:tcW w:w="2041" w:type="dxa"/>
            <w:shd w:val="clear" w:color="auto" w:fill="auto"/>
            <w:noWrap/>
            <w:hideMark/>
          </w:tcPr>
          <w:p w14:paraId="49FB4232" w14:textId="77777777" w:rsidR="00BA0996" w:rsidRPr="0019001F" w:rsidRDefault="00BA0996" w:rsidP="003039EA">
            <w:pPr>
              <w:jc w:val="right"/>
              <w:rPr>
                <w:color w:val="000000"/>
              </w:rPr>
            </w:pPr>
            <w:r w:rsidRPr="0019001F">
              <w:rPr>
                <w:color w:val="000000"/>
              </w:rPr>
              <w:t>13.66%</w:t>
            </w:r>
          </w:p>
        </w:tc>
      </w:tr>
      <w:tr w:rsidR="003039EA" w:rsidRPr="0019001F" w14:paraId="2ABA3F29" w14:textId="77777777" w:rsidTr="003039EA">
        <w:trPr>
          <w:trHeight w:val="255"/>
          <w:jc w:val="center"/>
        </w:trPr>
        <w:tc>
          <w:tcPr>
            <w:tcW w:w="1903" w:type="dxa"/>
            <w:shd w:val="clear" w:color="auto" w:fill="auto"/>
            <w:noWrap/>
            <w:hideMark/>
          </w:tcPr>
          <w:p w14:paraId="4928D18E" w14:textId="77777777" w:rsidR="00BA0996" w:rsidRPr="0019001F" w:rsidRDefault="00BA0996" w:rsidP="00BA0996">
            <w:r w:rsidRPr="0019001F">
              <w:t>Dimensions</w:t>
            </w:r>
          </w:p>
        </w:tc>
        <w:tc>
          <w:tcPr>
            <w:tcW w:w="2522" w:type="dxa"/>
            <w:shd w:val="clear" w:color="auto" w:fill="auto"/>
            <w:noWrap/>
            <w:hideMark/>
          </w:tcPr>
          <w:p w14:paraId="3DFC09C8" w14:textId="77777777" w:rsidR="00BA0996" w:rsidRPr="0019001F" w:rsidRDefault="00BA0996" w:rsidP="00BA0996">
            <w:r w:rsidRPr="0019001F">
              <w:t>abstract</w:t>
            </w:r>
          </w:p>
        </w:tc>
        <w:tc>
          <w:tcPr>
            <w:tcW w:w="1191" w:type="dxa"/>
            <w:shd w:val="clear" w:color="auto" w:fill="auto"/>
            <w:vAlign w:val="bottom"/>
          </w:tcPr>
          <w:p w14:paraId="6FFB14B6" w14:textId="5041ECF9" w:rsidR="00BA0996" w:rsidRPr="0019001F" w:rsidRDefault="00BA0996" w:rsidP="003039EA">
            <w:pPr>
              <w:jc w:val="right"/>
            </w:pPr>
            <w:r w:rsidRPr="0019001F">
              <w:rPr>
                <w:color w:val="000000"/>
              </w:rPr>
              <w:t>105,062</w:t>
            </w:r>
          </w:p>
        </w:tc>
        <w:tc>
          <w:tcPr>
            <w:tcW w:w="1630" w:type="dxa"/>
            <w:shd w:val="clear" w:color="auto" w:fill="auto"/>
            <w:noWrap/>
            <w:hideMark/>
          </w:tcPr>
          <w:p w14:paraId="0910054B" w14:textId="0C428BD5" w:rsidR="00BA0996" w:rsidRPr="0019001F" w:rsidRDefault="00BA0996" w:rsidP="003039EA">
            <w:pPr>
              <w:jc w:val="right"/>
            </w:pPr>
            <w:r w:rsidRPr="0019001F">
              <w:t>73,145</w:t>
            </w:r>
          </w:p>
        </w:tc>
        <w:tc>
          <w:tcPr>
            <w:tcW w:w="2041" w:type="dxa"/>
            <w:shd w:val="clear" w:color="auto" w:fill="auto"/>
            <w:noWrap/>
            <w:hideMark/>
          </w:tcPr>
          <w:p w14:paraId="46A7B43C" w14:textId="77777777" w:rsidR="00BA0996" w:rsidRPr="0019001F" w:rsidRDefault="00BA0996" w:rsidP="003039EA">
            <w:pPr>
              <w:jc w:val="right"/>
            </w:pPr>
            <w:r w:rsidRPr="0019001F">
              <w:t>69.62%</w:t>
            </w:r>
          </w:p>
        </w:tc>
      </w:tr>
      <w:tr w:rsidR="003039EA" w:rsidRPr="0019001F" w14:paraId="66212782" w14:textId="77777777" w:rsidTr="003039EA">
        <w:trPr>
          <w:trHeight w:val="255"/>
          <w:jc w:val="center"/>
        </w:trPr>
        <w:tc>
          <w:tcPr>
            <w:tcW w:w="1903" w:type="dxa"/>
            <w:shd w:val="clear" w:color="auto" w:fill="auto"/>
            <w:noWrap/>
            <w:hideMark/>
          </w:tcPr>
          <w:p w14:paraId="4615C7CF" w14:textId="145407D9" w:rsidR="00BA0996" w:rsidRPr="0019001F" w:rsidRDefault="00BA0996" w:rsidP="00BA0996">
            <w:pPr>
              <w:rPr>
                <w:color w:val="000000"/>
              </w:rPr>
            </w:pPr>
            <w:r w:rsidRPr="0019001F">
              <w:rPr>
                <w:color w:val="000000"/>
              </w:rPr>
              <w:t>The Lens</w:t>
            </w:r>
          </w:p>
        </w:tc>
        <w:tc>
          <w:tcPr>
            <w:tcW w:w="2522" w:type="dxa"/>
            <w:shd w:val="clear" w:color="auto" w:fill="auto"/>
            <w:noWrap/>
            <w:hideMark/>
          </w:tcPr>
          <w:p w14:paraId="4C9F27B7" w14:textId="77777777" w:rsidR="00BA0996" w:rsidRPr="0019001F" w:rsidRDefault="00BA0996" w:rsidP="00BA0996">
            <w:pPr>
              <w:rPr>
                <w:color w:val="000000"/>
              </w:rPr>
            </w:pPr>
            <w:r w:rsidRPr="0019001F">
              <w:rPr>
                <w:color w:val="000000"/>
              </w:rPr>
              <w:t>abstract</w:t>
            </w:r>
          </w:p>
        </w:tc>
        <w:tc>
          <w:tcPr>
            <w:tcW w:w="1191" w:type="dxa"/>
            <w:shd w:val="clear" w:color="auto" w:fill="auto"/>
            <w:vAlign w:val="bottom"/>
          </w:tcPr>
          <w:p w14:paraId="26E0362A" w14:textId="0C2CE64D" w:rsidR="00BA0996" w:rsidRPr="0019001F" w:rsidRDefault="00BA0996" w:rsidP="003039EA">
            <w:pPr>
              <w:jc w:val="right"/>
              <w:rPr>
                <w:color w:val="000000"/>
              </w:rPr>
            </w:pPr>
            <w:r w:rsidRPr="0019001F">
              <w:rPr>
                <w:color w:val="000000"/>
              </w:rPr>
              <w:t>4,996</w:t>
            </w:r>
          </w:p>
        </w:tc>
        <w:tc>
          <w:tcPr>
            <w:tcW w:w="1630" w:type="dxa"/>
            <w:shd w:val="clear" w:color="auto" w:fill="auto"/>
            <w:noWrap/>
            <w:hideMark/>
          </w:tcPr>
          <w:p w14:paraId="10C37751" w14:textId="0E567C03" w:rsidR="00BA0996" w:rsidRPr="0019001F" w:rsidRDefault="00BA0996" w:rsidP="003039EA">
            <w:pPr>
              <w:jc w:val="right"/>
              <w:rPr>
                <w:color w:val="000000"/>
              </w:rPr>
            </w:pPr>
            <w:r w:rsidRPr="0019001F">
              <w:rPr>
                <w:color w:val="000000"/>
              </w:rPr>
              <w:t>3,133</w:t>
            </w:r>
          </w:p>
        </w:tc>
        <w:tc>
          <w:tcPr>
            <w:tcW w:w="2041" w:type="dxa"/>
            <w:shd w:val="clear" w:color="auto" w:fill="auto"/>
            <w:noWrap/>
            <w:hideMark/>
          </w:tcPr>
          <w:p w14:paraId="35C51E1E" w14:textId="77777777" w:rsidR="00BA0996" w:rsidRPr="0019001F" w:rsidRDefault="00BA0996" w:rsidP="003039EA">
            <w:pPr>
              <w:jc w:val="right"/>
              <w:rPr>
                <w:color w:val="000000"/>
              </w:rPr>
            </w:pPr>
            <w:r w:rsidRPr="0019001F">
              <w:rPr>
                <w:color w:val="000000"/>
              </w:rPr>
              <w:t>62.7%</w:t>
            </w:r>
          </w:p>
        </w:tc>
      </w:tr>
      <w:tr w:rsidR="003039EA" w:rsidRPr="0019001F" w14:paraId="49D6D0FB" w14:textId="77777777" w:rsidTr="003039EA">
        <w:trPr>
          <w:trHeight w:val="255"/>
          <w:jc w:val="center"/>
        </w:trPr>
        <w:tc>
          <w:tcPr>
            <w:tcW w:w="1903" w:type="dxa"/>
            <w:shd w:val="clear" w:color="auto" w:fill="auto"/>
            <w:noWrap/>
            <w:hideMark/>
          </w:tcPr>
          <w:p w14:paraId="20F5926D" w14:textId="77777777" w:rsidR="00BA0996" w:rsidRPr="0019001F" w:rsidRDefault="00BA0996" w:rsidP="00BA0996">
            <w:r w:rsidRPr="0019001F">
              <w:t>Scilit</w:t>
            </w:r>
          </w:p>
        </w:tc>
        <w:tc>
          <w:tcPr>
            <w:tcW w:w="2522" w:type="dxa"/>
            <w:shd w:val="clear" w:color="auto" w:fill="auto"/>
            <w:noWrap/>
            <w:hideMark/>
          </w:tcPr>
          <w:p w14:paraId="07FF1E2B" w14:textId="77777777" w:rsidR="00BA0996" w:rsidRPr="0019001F" w:rsidRDefault="00BA0996" w:rsidP="00BA0996">
            <w:pPr>
              <w:rPr>
                <w:color w:val="000000"/>
              </w:rPr>
            </w:pPr>
            <w:r w:rsidRPr="0019001F">
              <w:rPr>
                <w:color w:val="000000"/>
              </w:rPr>
              <w:t>abstract</w:t>
            </w:r>
          </w:p>
        </w:tc>
        <w:tc>
          <w:tcPr>
            <w:tcW w:w="1191" w:type="dxa"/>
            <w:shd w:val="clear" w:color="auto" w:fill="auto"/>
            <w:vAlign w:val="bottom"/>
          </w:tcPr>
          <w:p w14:paraId="1D94287A" w14:textId="318BC348" w:rsidR="00BA0996" w:rsidRPr="0019001F" w:rsidRDefault="00BA0996" w:rsidP="003039EA">
            <w:pPr>
              <w:jc w:val="right"/>
              <w:rPr>
                <w:color w:val="000000"/>
              </w:rPr>
            </w:pPr>
            <w:r w:rsidRPr="0019001F">
              <w:rPr>
                <w:color w:val="000000"/>
              </w:rPr>
              <w:t>113,422</w:t>
            </w:r>
          </w:p>
        </w:tc>
        <w:tc>
          <w:tcPr>
            <w:tcW w:w="1630" w:type="dxa"/>
            <w:shd w:val="clear" w:color="auto" w:fill="auto"/>
            <w:noWrap/>
            <w:hideMark/>
          </w:tcPr>
          <w:p w14:paraId="6134FE6F" w14:textId="028AB025" w:rsidR="00BA0996" w:rsidRPr="0019001F" w:rsidRDefault="00BA0996" w:rsidP="003039EA">
            <w:pPr>
              <w:jc w:val="right"/>
              <w:rPr>
                <w:color w:val="000000"/>
              </w:rPr>
            </w:pPr>
            <w:r w:rsidRPr="0019001F">
              <w:rPr>
                <w:color w:val="000000"/>
              </w:rPr>
              <w:t>57,300</w:t>
            </w:r>
          </w:p>
        </w:tc>
        <w:tc>
          <w:tcPr>
            <w:tcW w:w="2041" w:type="dxa"/>
            <w:shd w:val="clear" w:color="auto" w:fill="auto"/>
            <w:noWrap/>
            <w:hideMark/>
          </w:tcPr>
          <w:p w14:paraId="4911C59C" w14:textId="77777777" w:rsidR="00BA0996" w:rsidRPr="0019001F" w:rsidRDefault="00BA0996" w:rsidP="003039EA">
            <w:pPr>
              <w:jc w:val="right"/>
              <w:rPr>
                <w:color w:val="000000"/>
              </w:rPr>
            </w:pPr>
            <w:r w:rsidRPr="0019001F">
              <w:rPr>
                <w:color w:val="000000"/>
              </w:rPr>
              <w:t>50.52%</w:t>
            </w:r>
          </w:p>
        </w:tc>
      </w:tr>
      <w:tr w:rsidR="003039EA" w:rsidRPr="0019001F" w14:paraId="31DDA574" w14:textId="77777777" w:rsidTr="003039EA">
        <w:trPr>
          <w:trHeight w:val="255"/>
          <w:jc w:val="center"/>
        </w:trPr>
        <w:tc>
          <w:tcPr>
            <w:tcW w:w="1903" w:type="dxa"/>
            <w:shd w:val="clear" w:color="auto" w:fill="auto"/>
            <w:noWrap/>
            <w:hideMark/>
          </w:tcPr>
          <w:p w14:paraId="511C08D2" w14:textId="77777777" w:rsidR="00BA0996" w:rsidRPr="0019001F" w:rsidRDefault="00BA0996" w:rsidP="00BA0996">
            <w:r w:rsidRPr="0019001F">
              <w:t>Semantic Scholar</w:t>
            </w:r>
          </w:p>
        </w:tc>
        <w:tc>
          <w:tcPr>
            <w:tcW w:w="2522" w:type="dxa"/>
            <w:shd w:val="clear" w:color="auto" w:fill="auto"/>
            <w:noWrap/>
            <w:hideMark/>
          </w:tcPr>
          <w:p w14:paraId="3B8B3FC0" w14:textId="77777777" w:rsidR="00BA0996" w:rsidRPr="0019001F" w:rsidRDefault="00BA0996" w:rsidP="00BA0996">
            <w:pPr>
              <w:rPr>
                <w:color w:val="000000"/>
              </w:rPr>
            </w:pPr>
            <w:r w:rsidRPr="0019001F">
              <w:rPr>
                <w:color w:val="000000"/>
              </w:rPr>
              <w:t>abstract</w:t>
            </w:r>
          </w:p>
        </w:tc>
        <w:tc>
          <w:tcPr>
            <w:tcW w:w="1191" w:type="dxa"/>
            <w:shd w:val="clear" w:color="auto" w:fill="auto"/>
            <w:vAlign w:val="bottom"/>
          </w:tcPr>
          <w:p w14:paraId="027E66CC" w14:textId="626E430D" w:rsidR="00BA0996" w:rsidRPr="0019001F" w:rsidRDefault="00BA0996" w:rsidP="003039EA">
            <w:pPr>
              <w:jc w:val="right"/>
              <w:rPr>
                <w:color w:val="000000"/>
              </w:rPr>
            </w:pPr>
            <w:r w:rsidRPr="0019001F">
              <w:rPr>
                <w:color w:val="000000"/>
              </w:rPr>
              <w:t>9</w:t>
            </w:r>
            <w:r w:rsidR="00614B1C" w:rsidRPr="0019001F">
              <w:rPr>
                <w:color w:val="000000"/>
              </w:rPr>
              <w:t>2</w:t>
            </w:r>
            <w:r w:rsidRPr="0019001F">
              <w:rPr>
                <w:color w:val="000000"/>
              </w:rPr>
              <w:t>,</w:t>
            </w:r>
            <w:r w:rsidR="00614B1C" w:rsidRPr="0019001F">
              <w:rPr>
                <w:color w:val="000000"/>
              </w:rPr>
              <w:t>314</w:t>
            </w:r>
          </w:p>
        </w:tc>
        <w:tc>
          <w:tcPr>
            <w:tcW w:w="1630" w:type="dxa"/>
            <w:shd w:val="clear" w:color="auto" w:fill="auto"/>
            <w:noWrap/>
            <w:hideMark/>
          </w:tcPr>
          <w:p w14:paraId="68196BF5" w14:textId="7AC4C79C" w:rsidR="00BA0996" w:rsidRPr="0019001F" w:rsidRDefault="00614B1C" w:rsidP="003039EA">
            <w:pPr>
              <w:jc w:val="right"/>
              <w:rPr>
                <w:color w:val="000000"/>
              </w:rPr>
            </w:pPr>
            <w:r w:rsidRPr="0019001F">
              <w:rPr>
                <w:color w:val="000000"/>
              </w:rPr>
              <w:t>50</w:t>
            </w:r>
            <w:r w:rsidR="00BA0996" w:rsidRPr="0019001F">
              <w:rPr>
                <w:color w:val="000000"/>
              </w:rPr>
              <w:t>,2</w:t>
            </w:r>
            <w:r w:rsidRPr="0019001F">
              <w:rPr>
                <w:color w:val="000000"/>
              </w:rPr>
              <w:t>63</w:t>
            </w:r>
          </w:p>
        </w:tc>
        <w:tc>
          <w:tcPr>
            <w:tcW w:w="2041" w:type="dxa"/>
            <w:shd w:val="clear" w:color="auto" w:fill="auto"/>
            <w:noWrap/>
            <w:hideMark/>
          </w:tcPr>
          <w:p w14:paraId="324F9396" w14:textId="2EC4E565" w:rsidR="00BA0996" w:rsidRPr="0019001F" w:rsidRDefault="00614B1C" w:rsidP="003039EA">
            <w:pPr>
              <w:jc w:val="right"/>
              <w:rPr>
                <w:color w:val="000000"/>
              </w:rPr>
            </w:pPr>
            <w:r w:rsidRPr="0019001F">
              <w:rPr>
                <w:color w:val="000000"/>
              </w:rPr>
              <w:t>54</w:t>
            </w:r>
            <w:r w:rsidR="00BA0996" w:rsidRPr="0019001F">
              <w:rPr>
                <w:color w:val="000000"/>
              </w:rPr>
              <w:t>.</w:t>
            </w:r>
            <w:r w:rsidRPr="0019001F">
              <w:rPr>
                <w:color w:val="000000"/>
              </w:rPr>
              <w:t>45</w:t>
            </w:r>
            <w:r w:rsidR="00BA0996" w:rsidRPr="0019001F">
              <w:rPr>
                <w:color w:val="000000"/>
              </w:rPr>
              <w:t>%</w:t>
            </w:r>
          </w:p>
        </w:tc>
      </w:tr>
      <w:tr w:rsidR="0040394D" w:rsidRPr="0019001F" w14:paraId="31567E04" w14:textId="77777777" w:rsidTr="00DA30A3">
        <w:trPr>
          <w:trHeight w:val="255"/>
          <w:jc w:val="center"/>
        </w:trPr>
        <w:tc>
          <w:tcPr>
            <w:tcW w:w="1903" w:type="dxa"/>
            <w:shd w:val="clear" w:color="auto" w:fill="auto"/>
            <w:noWrap/>
            <w:hideMark/>
          </w:tcPr>
          <w:p w14:paraId="1F212351" w14:textId="77777777" w:rsidR="0040394D" w:rsidRPr="0019001F" w:rsidRDefault="0040394D" w:rsidP="0040394D">
            <w:r w:rsidRPr="0019001F">
              <w:t>OpenAlex</w:t>
            </w:r>
          </w:p>
        </w:tc>
        <w:tc>
          <w:tcPr>
            <w:tcW w:w="2522" w:type="dxa"/>
            <w:shd w:val="clear" w:color="auto" w:fill="auto"/>
            <w:noWrap/>
            <w:hideMark/>
          </w:tcPr>
          <w:p w14:paraId="55549B8A" w14:textId="77777777" w:rsidR="0040394D" w:rsidRPr="0019001F" w:rsidRDefault="0040394D" w:rsidP="0040394D">
            <w:r w:rsidRPr="0019001F">
              <w:t>abstract_inverted_index</w:t>
            </w:r>
          </w:p>
        </w:tc>
        <w:tc>
          <w:tcPr>
            <w:tcW w:w="1191" w:type="dxa"/>
            <w:shd w:val="clear" w:color="auto" w:fill="auto"/>
            <w:vAlign w:val="bottom"/>
          </w:tcPr>
          <w:p w14:paraId="4477CC41" w14:textId="079D1B17" w:rsidR="0040394D" w:rsidRPr="0019001F" w:rsidRDefault="0040394D" w:rsidP="0040394D">
            <w:pPr>
              <w:jc w:val="right"/>
              <w:rPr>
                <w:color w:val="000000"/>
              </w:rPr>
            </w:pPr>
            <w:r w:rsidRPr="0019001F">
              <w:rPr>
                <w:color w:val="000000"/>
              </w:rPr>
              <w:t>115,881</w:t>
            </w:r>
          </w:p>
        </w:tc>
        <w:tc>
          <w:tcPr>
            <w:tcW w:w="1630" w:type="dxa"/>
            <w:shd w:val="clear" w:color="auto" w:fill="auto"/>
            <w:noWrap/>
            <w:vAlign w:val="bottom"/>
            <w:hideMark/>
          </w:tcPr>
          <w:p w14:paraId="29DFD10E" w14:textId="016F3806" w:rsidR="0040394D" w:rsidRPr="0019001F" w:rsidRDefault="0040394D" w:rsidP="0040394D">
            <w:pPr>
              <w:jc w:val="right"/>
              <w:rPr>
                <w:color w:val="000000"/>
              </w:rPr>
            </w:pPr>
            <w:r w:rsidRPr="0019001F">
              <w:rPr>
                <w:color w:val="000000"/>
              </w:rPr>
              <w:t>73,899</w:t>
            </w:r>
          </w:p>
        </w:tc>
        <w:tc>
          <w:tcPr>
            <w:tcW w:w="2041" w:type="dxa"/>
            <w:shd w:val="clear" w:color="auto" w:fill="auto"/>
            <w:noWrap/>
            <w:vAlign w:val="bottom"/>
            <w:hideMark/>
          </w:tcPr>
          <w:p w14:paraId="0A63CA59" w14:textId="0655B9B8" w:rsidR="0040394D" w:rsidRPr="0019001F" w:rsidRDefault="0040394D" w:rsidP="0040394D">
            <w:pPr>
              <w:jc w:val="right"/>
              <w:rPr>
                <w:color w:val="000000"/>
              </w:rPr>
            </w:pPr>
            <w:r w:rsidRPr="0019001F">
              <w:rPr>
                <w:color w:val="000000"/>
              </w:rPr>
              <w:t>63.77%</w:t>
            </w:r>
          </w:p>
        </w:tc>
      </w:tr>
    </w:tbl>
    <w:p w14:paraId="5962C583" w14:textId="77777777" w:rsidR="00950C44" w:rsidRPr="0019001F" w:rsidRDefault="00950C44" w:rsidP="0079442B">
      <w:pPr>
        <w:jc w:val="center"/>
      </w:pPr>
    </w:p>
    <w:p w14:paraId="6A25180E" w14:textId="722F57C8" w:rsidR="00897076" w:rsidRPr="0019001F" w:rsidRDefault="007357E7" w:rsidP="00F430AA">
      <w:pPr>
        <w:jc w:val="both"/>
      </w:pPr>
      <w:r w:rsidRPr="0019001F">
        <w:t>Table</w:t>
      </w:r>
      <w:r w:rsidR="005A3159" w:rsidRPr="0019001F">
        <w:t xml:space="preserve"> 1 shows the proportion of publications with abstract in each database. </w:t>
      </w:r>
      <w:r w:rsidR="002C182F" w:rsidRPr="0019001F">
        <w:t>Dimensions</w:t>
      </w:r>
      <w:r w:rsidR="005A3159" w:rsidRPr="0019001F">
        <w:t xml:space="preserve"> is the database that indexes more articles with abstract (</w:t>
      </w:r>
      <w:r w:rsidR="002C182F" w:rsidRPr="0019001F">
        <w:t>69.6</w:t>
      </w:r>
      <w:r w:rsidR="005A3159" w:rsidRPr="0019001F">
        <w:t>%), followed by OpenAlex (6</w:t>
      </w:r>
      <w:r w:rsidR="0040394D" w:rsidRPr="0019001F">
        <w:t>3</w:t>
      </w:r>
      <w:r w:rsidR="005A3159" w:rsidRPr="0019001F">
        <w:t>.</w:t>
      </w:r>
      <w:r w:rsidR="0040394D" w:rsidRPr="0019001F">
        <w:t>8</w:t>
      </w:r>
      <w:r w:rsidR="005A3159" w:rsidRPr="0019001F">
        <w:t>%) with similar proportions. Contrarily, Crossref is the database with less publications with abstract (13.</w:t>
      </w:r>
      <w:r w:rsidR="0040394D" w:rsidRPr="0019001F">
        <w:t>7</w:t>
      </w:r>
      <w:r w:rsidR="005A3159" w:rsidRPr="0019001F">
        <w:t>%).</w:t>
      </w:r>
      <w:r w:rsidRPr="0019001F">
        <w:t xml:space="preserve"> This last percentage is a little bit lower than the reported by Waltman et al. (2020) (21%)</w:t>
      </w:r>
      <w:r w:rsidR="00BA0996" w:rsidRPr="0019001F">
        <w:t>, due</w:t>
      </w:r>
      <w:r w:rsidR="00153441" w:rsidRPr="0019001F">
        <w:t>,</w:t>
      </w:r>
      <w:r w:rsidR="00BA0996" w:rsidRPr="0019001F">
        <w:t xml:space="preserve"> perhaps</w:t>
      </w:r>
      <w:r w:rsidR="00153441" w:rsidRPr="0019001F">
        <w:t>,</w:t>
      </w:r>
      <w:r w:rsidR="00BA0996" w:rsidRPr="0019001F">
        <w:t xml:space="preserve"> to tha</w:t>
      </w:r>
      <w:r w:rsidRPr="0019001F">
        <w:t xml:space="preserve">t </w:t>
      </w:r>
      <w:r w:rsidR="00BA0996" w:rsidRPr="0019001F">
        <w:t>our</w:t>
      </w:r>
      <w:r w:rsidRPr="0019001F">
        <w:t xml:space="preserve"> study also </w:t>
      </w:r>
      <w:r w:rsidR="00160837" w:rsidRPr="0019001F">
        <w:t>gathers</w:t>
      </w:r>
      <w:r w:rsidRPr="0019001F">
        <w:t xml:space="preserve"> other materials such book</w:t>
      </w:r>
      <w:r w:rsidR="00F4472E" w:rsidRPr="0019001F">
        <w:t xml:space="preserve"> chapter</w:t>
      </w:r>
      <w:r w:rsidR="008437BE">
        <w:t>s</w:t>
      </w:r>
      <w:r w:rsidR="00F4472E" w:rsidRPr="0019001F">
        <w:t xml:space="preserve"> </w:t>
      </w:r>
      <w:r w:rsidR="00F4472E" w:rsidRPr="0019001F">
        <w:lastRenderedPageBreak/>
        <w:t xml:space="preserve">and conferences papers </w:t>
      </w:r>
      <w:r w:rsidRPr="0019001F">
        <w:t xml:space="preserve">that do not </w:t>
      </w:r>
      <w:r w:rsidR="005268E4" w:rsidRPr="0019001F">
        <w:t xml:space="preserve">always </w:t>
      </w:r>
      <w:r w:rsidRPr="0019001F">
        <w:t xml:space="preserve">include a formal abstract. </w:t>
      </w:r>
      <w:r w:rsidR="00160837" w:rsidRPr="0019001F">
        <w:t xml:space="preserve">This low percentage of abstracts in Crossref show that this information is not usually provided by publishers and the indexation services need to </w:t>
      </w:r>
      <w:r w:rsidR="00F4472E" w:rsidRPr="0019001F">
        <w:t>process documents to obtain this data</w:t>
      </w:r>
      <w:r w:rsidR="00160837" w:rsidRPr="0019001F">
        <w:t xml:space="preserve">. This fact would explain the overall low availability of abstracts in free-access databases, highlighting the cases of Scilit (50.5%) and </w:t>
      </w:r>
      <w:r w:rsidR="002C182F" w:rsidRPr="0019001F">
        <w:t xml:space="preserve">Semantic Scholar </w:t>
      </w:r>
      <w:r w:rsidR="00160837" w:rsidRPr="0019001F">
        <w:t>(</w:t>
      </w:r>
      <w:r w:rsidR="002C182F" w:rsidRPr="0019001F">
        <w:t>54.45</w:t>
      </w:r>
      <w:r w:rsidR="00160837" w:rsidRPr="0019001F">
        <w:t>%)</w:t>
      </w:r>
      <w:r w:rsidR="00153441" w:rsidRPr="0019001F">
        <w:t>.</w:t>
      </w:r>
    </w:p>
    <w:p w14:paraId="0C921829" w14:textId="2F5BA712" w:rsidR="005A3159" w:rsidRPr="0019001F" w:rsidRDefault="007357E7" w:rsidP="005A3159">
      <w:r w:rsidRPr="0019001F">
        <w:t xml:space="preserve"> </w:t>
      </w:r>
    </w:p>
    <w:p w14:paraId="051EE084" w14:textId="57609100" w:rsidR="0026019A" w:rsidRPr="0019001F" w:rsidRDefault="00897076" w:rsidP="00897076">
      <w:pPr>
        <w:pStyle w:val="Heading3"/>
      </w:pPr>
      <w:r w:rsidRPr="0019001F">
        <w:t xml:space="preserve">3.2. </w:t>
      </w:r>
      <w:r w:rsidR="0026019A" w:rsidRPr="0019001F">
        <w:t>Access</w:t>
      </w:r>
    </w:p>
    <w:p w14:paraId="26FE43F4" w14:textId="1F32AEB9" w:rsidR="00AF2B46" w:rsidRPr="0019001F" w:rsidRDefault="005B0362" w:rsidP="00F430AA">
      <w:pPr>
        <w:pStyle w:val="BodyText"/>
        <w:jc w:val="both"/>
        <w:rPr>
          <w:iCs/>
          <w:color w:val="000000"/>
        </w:rPr>
      </w:pPr>
      <w:r w:rsidRPr="0019001F">
        <w:rPr>
          <w:iCs/>
          <w:color w:val="000000"/>
        </w:rPr>
        <w:t>Today, a</w:t>
      </w:r>
      <w:r w:rsidR="00897076" w:rsidRPr="0019001F">
        <w:rPr>
          <w:iCs/>
          <w:color w:val="000000"/>
        </w:rPr>
        <w:t xml:space="preserve"> positive feature </w:t>
      </w:r>
      <w:r w:rsidR="00C7540A" w:rsidRPr="0019001F">
        <w:rPr>
          <w:iCs/>
          <w:color w:val="000000"/>
        </w:rPr>
        <w:t>of</w:t>
      </w:r>
      <w:r w:rsidR="00897076" w:rsidRPr="0019001F">
        <w:rPr>
          <w:iCs/>
          <w:color w:val="000000"/>
        </w:rPr>
        <w:t xml:space="preserve"> scholarly database</w:t>
      </w:r>
      <w:r w:rsidR="00C24BE4" w:rsidRPr="0019001F">
        <w:rPr>
          <w:iCs/>
          <w:color w:val="000000"/>
        </w:rPr>
        <w:t>s</w:t>
      </w:r>
      <w:r w:rsidR="00897076" w:rsidRPr="0019001F">
        <w:rPr>
          <w:iCs/>
          <w:color w:val="000000"/>
        </w:rPr>
        <w:t xml:space="preserve"> is </w:t>
      </w:r>
      <w:r w:rsidRPr="0019001F">
        <w:rPr>
          <w:iCs/>
          <w:color w:val="000000"/>
        </w:rPr>
        <w:t xml:space="preserve">that they </w:t>
      </w:r>
      <w:r w:rsidR="00897076" w:rsidRPr="0019001F">
        <w:rPr>
          <w:iCs/>
          <w:color w:val="000000"/>
        </w:rPr>
        <w:t xml:space="preserve">provide </w:t>
      </w:r>
      <w:r w:rsidR="00C24BE4" w:rsidRPr="0019001F">
        <w:rPr>
          <w:iCs/>
          <w:color w:val="000000"/>
        </w:rPr>
        <w:t xml:space="preserve">some type of </w:t>
      </w:r>
      <w:r w:rsidR="00897076" w:rsidRPr="0019001F">
        <w:rPr>
          <w:iCs/>
          <w:color w:val="000000"/>
        </w:rPr>
        <w:t>access</w:t>
      </w:r>
      <w:r w:rsidR="00C24BE4" w:rsidRPr="0019001F">
        <w:rPr>
          <w:iCs/>
          <w:color w:val="000000"/>
        </w:rPr>
        <w:t xml:space="preserve"> to </w:t>
      </w:r>
      <w:r w:rsidR="00897076" w:rsidRPr="0019001F">
        <w:rPr>
          <w:iCs/>
          <w:color w:val="000000"/>
        </w:rPr>
        <w:t>original publication</w:t>
      </w:r>
      <w:r w:rsidRPr="0019001F">
        <w:rPr>
          <w:iCs/>
          <w:color w:val="000000"/>
        </w:rPr>
        <w:t>s</w:t>
      </w:r>
      <w:r w:rsidR="00897076" w:rsidRPr="0019001F">
        <w:rPr>
          <w:iCs/>
          <w:color w:val="000000"/>
        </w:rPr>
        <w:t>.</w:t>
      </w:r>
      <w:r w:rsidR="00C24BE4" w:rsidRPr="0019001F">
        <w:rPr>
          <w:iCs/>
          <w:color w:val="000000"/>
        </w:rPr>
        <w:t xml:space="preserve"> The widespread electronic publishing allows to provide link</w:t>
      </w:r>
      <w:r w:rsidR="001255D8" w:rsidRPr="0019001F">
        <w:rPr>
          <w:iCs/>
          <w:color w:val="000000"/>
        </w:rPr>
        <w:t>s</w:t>
      </w:r>
      <w:r w:rsidR="00C24BE4" w:rsidRPr="0019001F">
        <w:rPr>
          <w:iCs/>
          <w:color w:val="000000"/>
        </w:rPr>
        <w:t xml:space="preserve"> to </w:t>
      </w:r>
      <w:r w:rsidR="001255D8" w:rsidRPr="0019001F">
        <w:rPr>
          <w:iCs/>
          <w:color w:val="000000"/>
        </w:rPr>
        <w:t>different venues where the document, partially or fully, is hosted</w:t>
      </w:r>
      <w:r w:rsidR="00C24BE4" w:rsidRPr="0019001F">
        <w:rPr>
          <w:iCs/>
          <w:color w:val="000000"/>
        </w:rPr>
        <w:t>.</w:t>
      </w:r>
      <w:r w:rsidR="0026019A" w:rsidRPr="0019001F">
        <w:rPr>
          <w:iCs/>
          <w:color w:val="000000"/>
        </w:rPr>
        <w:t xml:space="preserve"> All the databases include external links to the original publication</w:t>
      </w:r>
      <w:r w:rsidR="00673D51" w:rsidRPr="0019001F">
        <w:rPr>
          <w:iCs/>
          <w:color w:val="000000"/>
        </w:rPr>
        <w:t>.</w:t>
      </w:r>
      <w:r w:rsidR="00510051" w:rsidRPr="0019001F">
        <w:rPr>
          <w:iCs/>
          <w:color w:val="000000"/>
        </w:rPr>
        <w:t xml:space="preserve"> </w:t>
      </w:r>
      <w:r w:rsidR="0026019A" w:rsidRPr="0019001F">
        <w:rPr>
          <w:iCs/>
          <w:color w:val="000000"/>
        </w:rPr>
        <w:t>Microsoft</w:t>
      </w:r>
      <w:r w:rsidR="00510051" w:rsidRPr="0019001F">
        <w:rPr>
          <w:iCs/>
          <w:color w:val="000000"/>
        </w:rPr>
        <w:t xml:space="preserve"> Academic</w:t>
      </w:r>
      <w:r w:rsidR="0026019A" w:rsidRPr="0019001F">
        <w:rPr>
          <w:iCs/>
          <w:color w:val="000000"/>
        </w:rPr>
        <w:t xml:space="preserve"> and Crossref do not </w:t>
      </w:r>
      <w:r w:rsidR="00510051" w:rsidRPr="0019001F">
        <w:rPr>
          <w:iCs/>
          <w:color w:val="000000"/>
        </w:rPr>
        <w:t xml:space="preserve">have a specific field </w:t>
      </w:r>
      <w:r w:rsidR="00BD2AC8" w:rsidRPr="0019001F">
        <w:rPr>
          <w:iCs/>
          <w:color w:val="000000"/>
        </w:rPr>
        <w:t>for</w:t>
      </w:r>
      <w:r w:rsidR="00510051" w:rsidRPr="0019001F">
        <w:rPr>
          <w:iCs/>
          <w:color w:val="000000"/>
        </w:rPr>
        <w:t xml:space="preserve"> open access publications</w:t>
      </w:r>
      <w:r w:rsidR="0026019A" w:rsidRPr="0019001F">
        <w:rPr>
          <w:iCs/>
          <w:color w:val="000000"/>
        </w:rPr>
        <w:t xml:space="preserve">. </w:t>
      </w:r>
      <w:r w:rsidR="00EB6AF1" w:rsidRPr="0019001F">
        <w:rPr>
          <w:iCs/>
          <w:color w:val="000000"/>
        </w:rPr>
        <w:t>Perhaps, the most problematic database is OpenAlex because it includes up to four fields (</w:t>
      </w:r>
      <w:r w:rsidR="00EB6AF1" w:rsidRPr="0019001F">
        <w:rPr>
          <w:i/>
          <w:iCs/>
          <w:color w:val="000000"/>
        </w:rPr>
        <w:t>landing_page_url</w:t>
      </w:r>
      <w:r w:rsidR="00EB6AF1" w:rsidRPr="0019001F">
        <w:rPr>
          <w:iCs/>
          <w:color w:val="000000"/>
        </w:rPr>
        <w:t xml:space="preserve">, </w:t>
      </w:r>
      <w:r w:rsidR="00EB6AF1" w:rsidRPr="0019001F">
        <w:rPr>
          <w:i/>
          <w:iCs/>
          <w:color w:val="000000"/>
        </w:rPr>
        <w:t>pdf_url</w:t>
      </w:r>
      <w:r w:rsidR="00EB6AF1" w:rsidRPr="0019001F">
        <w:rPr>
          <w:iCs/>
          <w:color w:val="000000"/>
        </w:rPr>
        <w:t xml:space="preserve">, </w:t>
      </w:r>
      <w:r w:rsidR="00EB6AF1" w:rsidRPr="0019001F">
        <w:rPr>
          <w:i/>
          <w:iCs/>
          <w:color w:val="000000"/>
        </w:rPr>
        <w:t>host_venues_url</w:t>
      </w:r>
      <w:r w:rsidR="00EB6AF1" w:rsidRPr="0019001F">
        <w:rPr>
          <w:iCs/>
          <w:color w:val="000000"/>
        </w:rPr>
        <w:t xml:space="preserve"> and </w:t>
      </w:r>
      <w:r w:rsidR="00EB6AF1" w:rsidRPr="0019001F">
        <w:rPr>
          <w:i/>
          <w:iCs/>
          <w:color w:val="000000"/>
        </w:rPr>
        <w:t>oa_url</w:t>
      </w:r>
      <w:r w:rsidR="00EB6AF1" w:rsidRPr="0019001F">
        <w:rPr>
          <w:iCs/>
          <w:color w:val="000000"/>
        </w:rPr>
        <w:t>) with links to the original publication. A</w:t>
      </w:r>
      <w:r w:rsidR="00D461C1" w:rsidRPr="0019001F">
        <w:rPr>
          <w:iCs/>
          <w:color w:val="000000"/>
        </w:rPr>
        <w:t>n</w:t>
      </w:r>
      <w:r w:rsidR="00EB6AF1" w:rsidRPr="0019001F">
        <w:rPr>
          <w:iCs/>
          <w:color w:val="000000"/>
        </w:rPr>
        <w:t xml:space="preserve"> analysis of the content of those fields disclose</w:t>
      </w:r>
      <w:r w:rsidR="00D461C1" w:rsidRPr="0019001F">
        <w:rPr>
          <w:iCs/>
          <w:color w:val="000000"/>
        </w:rPr>
        <w:t>d</w:t>
      </w:r>
      <w:r w:rsidR="00EB6AF1" w:rsidRPr="0019001F">
        <w:rPr>
          <w:iCs/>
          <w:color w:val="000000"/>
        </w:rPr>
        <w:t xml:space="preserve"> that </w:t>
      </w:r>
      <w:r w:rsidR="00EB6AF1" w:rsidRPr="0019001F">
        <w:rPr>
          <w:i/>
          <w:iCs/>
          <w:color w:val="000000"/>
        </w:rPr>
        <w:t>landing_page_url</w:t>
      </w:r>
      <w:r w:rsidR="00EB6AF1" w:rsidRPr="0019001F">
        <w:rPr>
          <w:iCs/>
          <w:color w:val="000000"/>
        </w:rPr>
        <w:t xml:space="preserve"> in fact only includes DOI links, while </w:t>
      </w:r>
      <w:r w:rsidR="00EB6AF1" w:rsidRPr="0019001F">
        <w:rPr>
          <w:i/>
          <w:iCs/>
          <w:color w:val="000000"/>
        </w:rPr>
        <w:t>host_venues_url</w:t>
      </w:r>
      <w:r w:rsidR="00EB6AF1" w:rsidRPr="0019001F">
        <w:rPr>
          <w:iCs/>
          <w:color w:val="000000"/>
        </w:rPr>
        <w:t xml:space="preserve"> and </w:t>
      </w:r>
      <w:r w:rsidR="00D461C1" w:rsidRPr="0019001F">
        <w:rPr>
          <w:i/>
          <w:iCs/>
          <w:color w:val="000000"/>
        </w:rPr>
        <w:t>pdf</w:t>
      </w:r>
      <w:r w:rsidR="00EB6AF1" w:rsidRPr="0019001F">
        <w:rPr>
          <w:i/>
          <w:iCs/>
          <w:color w:val="000000"/>
        </w:rPr>
        <w:t>_url</w:t>
      </w:r>
      <w:r w:rsidR="00EB6AF1" w:rsidRPr="0019001F">
        <w:rPr>
          <w:iCs/>
          <w:color w:val="000000"/>
        </w:rPr>
        <w:t xml:space="preserve"> include</w:t>
      </w:r>
      <w:r w:rsidR="00D461C1" w:rsidRPr="0019001F">
        <w:rPr>
          <w:iCs/>
          <w:color w:val="000000"/>
        </w:rPr>
        <w:t xml:space="preserve"> similar information than </w:t>
      </w:r>
      <w:r w:rsidR="00D461C1" w:rsidRPr="0019001F">
        <w:rPr>
          <w:i/>
          <w:iCs/>
          <w:color w:val="000000"/>
        </w:rPr>
        <w:t>oa_url</w:t>
      </w:r>
      <w:r w:rsidR="00EB6AF1" w:rsidRPr="0019001F">
        <w:rPr>
          <w:iCs/>
          <w:color w:val="000000"/>
        </w:rPr>
        <w:t>.</w:t>
      </w:r>
      <w:r w:rsidR="00D461C1" w:rsidRPr="0019001F">
        <w:rPr>
          <w:iCs/>
          <w:color w:val="000000"/>
        </w:rPr>
        <w:t xml:space="preserve"> Then, we have consider</w:t>
      </w:r>
      <w:r w:rsidR="005A6E71" w:rsidRPr="0019001F">
        <w:rPr>
          <w:iCs/>
          <w:color w:val="000000"/>
        </w:rPr>
        <w:t>ed</w:t>
      </w:r>
      <w:r w:rsidR="00D461C1" w:rsidRPr="0019001F">
        <w:rPr>
          <w:iCs/>
          <w:color w:val="000000"/>
        </w:rPr>
        <w:t xml:space="preserve"> </w:t>
      </w:r>
      <w:r w:rsidR="0034094A">
        <w:rPr>
          <w:iCs/>
          <w:color w:val="000000"/>
        </w:rPr>
        <w:t>that OpenAlex includes external links for only open access publications (</w:t>
      </w:r>
      <w:r w:rsidR="00D461C1" w:rsidRPr="0019001F">
        <w:rPr>
          <w:i/>
          <w:iCs/>
          <w:color w:val="000000"/>
        </w:rPr>
        <w:t>oa_url</w:t>
      </w:r>
      <w:r w:rsidR="0034094A" w:rsidRPr="0034094A">
        <w:rPr>
          <w:iCs/>
          <w:color w:val="000000"/>
        </w:rPr>
        <w:t>)</w:t>
      </w:r>
      <w:r w:rsidR="005A6E71" w:rsidRPr="0019001F">
        <w:rPr>
          <w:iCs/>
          <w:color w:val="000000"/>
        </w:rPr>
        <w:t>.</w:t>
      </w:r>
      <w:r w:rsidR="00BD4E35" w:rsidRPr="0019001F">
        <w:rPr>
          <w:iCs/>
          <w:color w:val="000000"/>
        </w:rPr>
        <w:t xml:space="preserve"> </w:t>
      </w:r>
      <w:r w:rsidR="0034094A">
        <w:rPr>
          <w:iCs/>
          <w:color w:val="000000"/>
        </w:rPr>
        <w:t xml:space="preserve">This also happen with </w:t>
      </w:r>
      <w:r w:rsidR="00BD4E35" w:rsidRPr="0019001F">
        <w:rPr>
          <w:iCs/>
          <w:color w:val="000000"/>
        </w:rPr>
        <w:t>Dimensions</w:t>
      </w:r>
      <w:r w:rsidR="0034094A">
        <w:rPr>
          <w:iCs/>
          <w:color w:val="000000"/>
        </w:rPr>
        <w:t>, which only indexes</w:t>
      </w:r>
      <w:r w:rsidR="00AF2B46" w:rsidRPr="0019001F">
        <w:rPr>
          <w:iCs/>
          <w:color w:val="000000"/>
        </w:rPr>
        <w:t xml:space="preserve"> </w:t>
      </w:r>
      <w:r w:rsidR="00BD4E35" w:rsidRPr="0019001F">
        <w:rPr>
          <w:iCs/>
          <w:color w:val="000000"/>
        </w:rPr>
        <w:t>external link</w:t>
      </w:r>
      <w:r w:rsidR="0034094A">
        <w:rPr>
          <w:iCs/>
          <w:color w:val="000000"/>
        </w:rPr>
        <w:t>s</w:t>
      </w:r>
      <w:r w:rsidR="00AF2B46" w:rsidRPr="0019001F">
        <w:rPr>
          <w:iCs/>
          <w:color w:val="000000"/>
        </w:rPr>
        <w:t xml:space="preserve"> (</w:t>
      </w:r>
      <w:r w:rsidR="00AF2B46" w:rsidRPr="0019001F">
        <w:rPr>
          <w:i/>
          <w:iCs/>
          <w:color w:val="000000"/>
        </w:rPr>
        <w:t>linkout</w:t>
      </w:r>
      <w:r w:rsidR="00AF2B46" w:rsidRPr="0019001F">
        <w:rPr>
          <w:iCs/>
          <w:color w:val="000000"/>
        </w:rPr>
        <w:t xml:space="preserve">) </w:t>
      </w:r>
      <w:r w:rsidR="0034094A">
        <w:rPr>
          <w:iCs/>
          <w:color w:val="000000"/>
        </w:rPr>
        <w:t xml:space="preserve">for </w:t>
      </w:r>
      <w:r w:rsidR="00AF2B46" w:rsidRPr="0019001F">
        <w:rPr>
          <w:iCs/>
          <w:color w:val="000000"/>
        </w:rPr>
        <w:t>open_access (</w:t>
      </w:r>
      <w:r w:rsidR="00AF2B46" w:rsidRPr="0019001F">
        <w:rPr>
          <w:i/>
          <w:iCs/>
          <w:color w:val="000000"/>
        </w:rPr>
        <w:t>open_access</w:t>
      </w:r>
      <w:r w:rsidR="00AF2B46" w:rsidRPr="0019001F">
        <w:rPr>
          <w:iCs/>
          <w:color w:val="000000"/>
        </w:rPr>
        <w:t>)</w:t>
      </w:r>
      <w:r w:rsidR="0034094A">
        <w:rPr>
          <w:iCs/>
          <w:color w:val="000000"/>
        </w:rPr>
        <w:t xml:space="preserve"> articles</w:t>
      </w:r>
      <w:r w:rsidR="006D01F6" w:rsidRPr="0019001F">
        <w:rPr>
          <w:iCs/>
          <w:color w:val="000000"/>
        </w:rPr>
        <w:t>.</w:t>
      </w:r>
    </w:p>
    <w:p w14:paraId="0D22FBD0" w14:textId="32ACB73C" w:rsidR="00EB6AF1" w:rsidRPr="0019001F" w:rsidRDefault="00AF2B46" w:rsidP="005736CB">
      <w:pPr>
        <w:pStyle w:val="BodyText"/>
        <w:jc w:val="both"/>
        <w:rPr>
          <w:iCs/>
          <w:color w:val="000000"/>
        </w:rPr>
      </w:pPr>
      <w:r w:rsidRPr="0019001F">
        <w:rPr>
          <w:iCs/>
          <w:color w:val="000000"/>
        </w:rPr>
        <w:t xml:space="preserve"> </w:t>
      </w:r>
      <w:r w:rsidR="00BD4E35" w:rsidRPr="0019001F">
        <w:rPr>
          <w:iCs/>
          <w:color w:val="000000"/>
        </w:rPr>
        <w:t xml:space="preserve"> </w:t>
      </w:r>
      <w:r w:rsidR="00D461C1" w:rsidRPr="0019001F">
        <w:rPr>
          <w:iCs/>
          <w:color w:val="000000"/>
        </w:rPr>
        <w:t xml:space="preserve">  </w:t>
      </w:r>
    </w:p>
    <w:p w14:paraId="1759E6D8" w14:textId="3716762F" w:rsidR="00AF2B46" w:rsidRPr="0019001F" w:rsidRDefault="00AF2B46" w:rsidP="00AF2B46">
      <w:pPr>
        <w:pStyle w:val="BodyText"/>
        <w:jc w:val="center"/>
        <w:rPr>
          <w:iCs/>
          <w:color w:val="000000"/>
        </w:rPr>
      </w:pPr>
      <w:r w:rsidRPr="0019001F">
        <w:rPr>
          <w:iCs/>
          <w:color w:val="000000"/>
        </w:rPr>
        <w:t>Figure 1. Proportion of bibliographic records with information about open access and external links</w:t>
      </w:r>
    </w:p>
    <w:p w14:paraId="702475AB" w14:textId="40A8FAF1" w:rsidR="00DA3C2B" w:rsidRPr="0019001F" w:rsidRDefault="00D04ADB" w:rsidP="005736CB">
      <w:pPr>
        <w:pStyle w:val="BodyText"/>
        <w:jc w:val="both"/>
        <w:rPr>
          <w:iCs/>
          <w:color w:val="000000"/>
        </w:rPr>
      </w:pPr>
      <w:r>
        <w:rPr>
          <w:iCs/>
          <w:color w:val="000000"/>
        </w:rPr>
        <w:pict w14:anchorId="020ED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21.6pt">
            <v:imagedata r:id="rId10" o:title="Figure_2"/>
          </v:shape>
        </w:pict>
      </w:r>
    </w:p>
    <w:p w14:paraId="6181A9D0" w14:textId="212AA2C3" w:rsidR="002F565D" w:rsidRPr="0019001F" w:rsidRDefault="00AF2B46" w:rsidP="00F430AA">
      <w:pPr>
        <w:pStyle w:val="BodyText"/>
        <w:jc w:val="both"/>
        <w:rPr>
          <w:iCs/>
          <w:color w:val="000000"/>
        </w:rPr>
      </w:pPr>
      <w:r w:rsidRPr="0019001F">
        <w:rPr>
          <w:iCs/>
          <w:color w:val="000000"/>
        </w:rPr>
        <w:t>Figure 1 depicts the percentage of publications with external links to the original source and information about if they are open access</w:t>
      </w:r>
      <w:r w:rsidR="006D01F6" w:rsidRPr="0019001F">
        <w:rPr>
          <w:iCs/>
          <w:color w:val="000000"/>
        </w:rPr>
        <w:t xml:space="preserve"> or not</w:t>
      </w:r>
      <w:r w:rsidRPr="0019001F">
        <w:rPr>
          <w:iCs/>
          <w:color w:val="000000"/>
        </w:rPr>
        <w:t>. The Lens (</w:t>
      </w:r>
      <w:r w:rsidR="006D01F6" w:rsidRPr="0019001F">
        <w:rPr>
          <w:iCs/>
          <w:color w:val="000000"/>
        </w:rPr>
        <w:t>82.9%), Microsoft Academic (80.8%) and Crossref (79%) are the databases that include more external links</w:t>
      </w:r>
      <w:r w:rsidR="00893401" w:rsidRPr="0019001F">
        <w:rPr>
          <w:iCs/>
          <w:color w:val="000000"/>
        </w:rPr>
        <w:t xml:space="preserve">. The </w:t>
      </w:r>
      <w:r w:rsidR="008F1157">
        <w:rPr>
          <w:iCs/>
          <w:color w:val="000000"/>
        </w:rPr>
        <w:t>great</w:t>
      </w:r>
      <w:r w:rsidR="00893401" w:rsidRPr="0019001F">
        <w:rPr>
          <w:iCs/>
          <w:color w:val="000000"/>
        </w:rPr>
        <w:t xml:space="preserve"> coverage of external links by Microsoft Academic is due to, as academic search engine, crawl the Web extracting urls from research publications. This also would explain the coverage of </w:t>
      </w:r>
      <w:r w:rsidR="00893401" w:rsidRPr="0019001F">
        <w:rPr>
          <w:iCs/>
          <w:color w:val="000000"/>
        </w:rPr>
        <w:lastRenderedPageBreak/>
        <w:t>The Lens, because it</w:t>
      </w:r>
      <w:r w:rsidR="00B101A3" w:rsidRPr="0019001F">
        <w:rPr>
          <w:iCs/>
          <w:color w:val="000000"/>
        </w:rPr>
        <w:t xml:space="preserve"> also uses Microsoft Academic Graph as source. In the case of Crossref could be due to publishers deposit their landing pages to generate incoming traffic to their publications.</w:t>
      </w:r>
      <w:r w:rsidR="00EF44E2" w:rsidRPr="0019001F">
        <w:rPr>
          <w:iCs/>
          <w:color w:val="000000"/>
        </w:rPr>
        <w:t xml:space="preserve"> Contrarily, </w:t>
      </w:r>
      <w:r w:rsidR="006D01F6" w:rsidRPr="0019001F">
        <w:rPr>
          <w:iCs/>
          <w:color w:val="000000"/>
        </w:rPr>
        <w:t>S</w:t>
      </w:r>
      <w:r w:rsidR="001F731E" w:rsidRPr="0019001F">
        <w:rPr>
          <w:iCs/>
          <w:color w:val="000000"/>
        </w:rPr>
        <w:t>emantic Scholar (39.1%) and S</w:t>
      </w:r>
      <w:r w:rsidR="006D01F6" w:rsidRPr="0019001F">
        <w:rPr>
          <w:iCs/>
          <w:color w:val="000000"/>
        </w:rPr>
        <w:t>cilit (45.4%) provide less urls</w:t>
      </w:r>
      <w:r w:rsidR="00AB72AD" w:rsidRPr="0019001F">
        <w:rPr>
          <w:iCs/>
          <w:color w:val="000000"/>
        </w:rPr>
        <w:t xml:space="preserve">, </w:t>
      </w:r>
      <w:r w:rsidR="008F1157">
        <w:rPr>
          <w:iCs/>
          <w:color w:val="000000"/>
        </w:rPr>
        <w:t xml:space="preserve">in </w:t>
      </w:r>
      <w:r w:rsidR="00AB72AD" w:rsidRPr="0019001F">
        <w:rPr>
          <w:iCs/>
          <w:color w:val="000000"/>
        </w:rPr>
        <w:t>spite of the</w:t>
      </w:r>
      <w:r w:rsidR="001F731E" w:rsidRPr="0019001F">
        <w:rPr>
          <w:iCs/>
          <w:color w:val="000000"/>
        </w:rPr>
        <w:t xml:space="preserve"> former one </w:t>
      </w:r>
      <w:r w:rsidR="00AB72AD" w:rsidRPr="0019001F">
        <w:rPr>
          <w:iCs/>
          <w:color w:val="000000"/>
        </w:rPr>
        <w:t>use</w:t>
      </w:r>
      <w:r w:rsidR="001F731E" w:rsidRPr="0019001F">
        <w:rPr>
          <w:iCs/>
          <w:color w:val="000000"/>
        </w:rPr>
        <w:t>s</w:t>
      </w:r>
      <w:r w:rsidR="00AB72AD" w:rsidRPr="0019001F">
        <w:rPr>
          <w:iCs/>
          <w:color w:val="000000"/>
        </w:rPr>
        <w:t xml:space="preserve"> Crossref as source</w:t>
      </w:r>
      <w:r w:rsidR="006D01F6" w:rsidRPr="0019001F">
        <w:rPr>
          <w:iCs/>
          <w:color w:val="000000"/>
        </w:rPr>
        <w:t>.</w:t>
      </w:r>
      <w:r w:rsidR="00EF44E2" w:rsidRPr="0019001F">
        <w:rPr>
          <w:iCs/>
          <w:color w:val="000000"/>
        </w:rPr>
        <w:t xml:space="preserve"> </w:t>
      </w:r>
      <w:r w:rsidR="00AB72AD" w:rsidRPr="0019001F">
        <w:rPr>
          <w:iCs/>
          <w:color w:val="000000"/>
        </w:rPr>
        <w:t>The reason is that</w:t>
      </w:r>
      <w:r w:rsidR="001F731E" w:rsidRPr="0019001F">
        <w:rPr>
          <w:iCs/>
          <w:color w:val="000000"/>
        </w:rPr>
        <w:t xml:space="preserve"> Semantic Scholar only include urls of the venues, not of the papers; and </w:t>
      </w:r>
      <w:r w:rsidR="00AB72AD" w:rsidRPr="0019001F">
        <w:rPr>
          <w:iCs/>
          <w:color w:val="000000"/>
        </w:rPr>
        <w:t>Scilit only indexes urls with pdf (</w:t>
      </w:r>
      <w:r w:rsidR="00AB72AD" w:rsidRPr="0019001F">
        <w:rPr>
          <w:i/>
          <w:iCs/>
          <w:color w:val="000000"/>
        </w:rPr>
        <w:t>pdf_url</w:t>
      </w:r>
      <w:r w:rsidR="00AB72AD" w:rsidRPr="0019001F">
        <w:rPr>
          <w:iCs/>
          <w:color w:val="000000"/>
        </w:rPr>
        <w:t xml:space="preserve">). </w:t>
      </w:r>
      <w:r w:rsidR="001F731E" w:rsidRPr="0019001F">
        <w:rPr>
          <w:iCs/>
          <w:color w:val="000000"/>
        </w:rPr>
        <w:t>This same occurs in Dimensions where</w:t>
      </w:r>
      <w:r w:rsidR="00AB72AD" w:rsidRPr="0019001F">
        <w:rPr>
          <w:iCs/>
          <w:color w:val="000000"/>
        </w:rPr>
        <w:t xml:space="preserve"> the proportion of publications with external links is the same than open access articles (44.5%).</w:t>
      </w:r>
    </w:p>
    <w:p w14:paraId="43AC4C12" w14:textId="00ADB57E" w:rsidR="00AF2B46" w:rsidRPr="0019001F" w:rsidRDefault="002F565D" w:rsidP="005736CB">
      <w:pPr>
        <w:pStyle w:val="BodyText"/>
        <w:jc w:val="both"/>
        <w:rPr>
          <w:iCs/>
          <w:color w:val="000000"/>
        </w:rPr>
      </w:pPr>
      <w:r w:rsidRPr="0019001F">
        <w:rPr>
          <w:iCs/>
          <w:color w:val="000000"/>
        </w:rPr>
        <w:t xml:space="preserve">According to open access information, Dimensions (44.5%), The Lens (43.6%) and OpenAlex (42.6%) are the databases that identify more open access publications, while Semantic Scholar </w:t>
      </w:r>
      <w:r w:rsidR="00C56346" w:rsidRPr="0019001F">
        <w:rPr>
          <w:iCs/>
          <w:color w:val="000000"/>
        </w:rPr>
        <w:t xml:space="preserve">(35.4%) </w:t>
      </w:r>
      <w:r w:rsidRPr="0019001F">
        <w:rPr>
          <w:iCs/>
          <w:color w:val="000000"/>
        </w:rPr>
        <w:t>and Scilit</w:t>
      </w:r>
      <w:r w:rsidR="00C56346" w:rsidRPr="0019001F">
        <w:rPr>
          <w:iCs/>
          <w:color w:val="000000"/>
        </w:rPr>
        <w:t xml:space="preserve"> (25.4%)</w:t>
      </w:r>
      <w:r w:rsidRPr="0019001F">
        <w:rPr>
          <w:iCs/>
          <w:color w:val="000000"/>
        </w:rPr>
        <w:t xml:space="preserve"> capture </w:t>
      </w:r>
      <w:r w:rsidR="002057EE" w:rsidRPr="0019001F">
        <w:rPr>
          <w:iCs/>
          <w:color w:val="000000"/>
        </w:rPr>
        <w:t>fewer</w:t>
      </w:r>
      <w:r w:rsidRPr="0019001F">
        <w:rPr>
          <w:iCs/>
          <w:color w:val="000000"/>
        </w:rPr>
        <w:t xml:space="preserve"> </w:t>
      </w:r>
      <w:r w:rsidR="00C56346" w:rsidRPr="0019001F">
        <w:rPr>
          <w:iCs/>
          <w:color w:val="000000"/>
        </w:rPr>
        <w:t>open documents</w:t>
      </w:r>
      <w:r w:rsidRPr="0019001F">
        <w:rPr>
          <w:iCs/>
          <w:color w:val="000000"/>
        </w:rPr>
        <w:t>.</w:t>
      </w:r>
    </w:p>
    <w:p w14:paraId="231848FD" w14:textId="77777777" w:rsidR="002057EE" w:rsidRPr="0019001F" w:rsidRDefault="002057EE" w:rsidP="005736CB">
      <w:pPr>
        <w:pStyle w:val="BodyText"/>
        <w:jc w:val="both"/>
        <w:rPr>
          <w:iCs/>
          <w:color w:val="000000"/>
        </w:rPr>
      </w:pPr>
    </w:p>
    <w:p w14:paraId="289092A1" w14:textId="28528464" w:rsidR="002057EE" w:rsidRPr="0019001F" w:rsidRDefault="002057EE" w:rsidP="002057EE">
      <w:pPr>
        <w:pStyle w:val="Heading3"/>
      </w:pPr>
      <w:r w:rsidRPr="0019001F">
        <w:t>3.3. Bibliographic information</w:t>
      </w:r>
    </w:p>
    <w:p w14:paraId="7170F318" w14:textId="1512BBBB" w:rsidR="007F1434" w:rsidRPr="0019001F" w:rsidRDefault="002057EE" w:rsidP="00F430AA">
      <w:pPr>
        <w:pStyle w:val="BodyText"/>
        <w:jc w:val="both"/>
        <w:rPr>
          <w:iCs/>
          <w:color w:val="000000"/>
        </w:rPr>
      </w:pPr>
      <w:r w:rsidRPr="0019001F">
        <w:rPr>
          <w:iCs/>
          <w:color w:val="000000"/>
        </w:rPr>
        <w:t>A critical element in a bibliographic database is the correct identification of the indexe</w:t>
      </w:r>
      <w:r w:rsidR="008F1157">
        <w:rPr>
          <w:iCs/>
          <w:color w:val="000000"/>
        </w:rPr>
        <w:t>d</w:t>
      </w:r>
      <w:r w:rsidRPr="0019001F">
        <w:rPr>
          <w:iCs/>
          <w:color w:val="000000"/>
        </w:rPr>
        <w:t xml:space="preserve"> publications</w:t>
      </w:r>
      <w:r w:rsidR="007F1434" w:rsidRPr="0019001F">
        <w:rPr>
          <w:iCs/>
          <w:color w:val="000000"/>
        </w:rPr>
        <w:t xml:space="preserve">. In the case of journal articles, this identification is done using information that allows us to place the document into the journal. Volume, issue and pages </w:t>
      </w:r>
      <w:r w:rsidR="00582910" w:rsidRPr="0019001F">
        <w:rPr>
          <w:iCs/>
          <w:color w:val="000000"/>
        </w:rPr>
        <w:t>are three fields that make possible a correct identification. All the databases include these fields, excepting Semantic Scholar that do not have a field for issue.</w:t>
      </w:r>
    </w:p>
    <w:p w14:paraId="0CB26938" w14:textId="77777777" w:rsidR="00CC63CF" w:rsidRPr="0019001F" w:rsidRDefault="00CC63CF" w:rsidP="00F430AA">
      <w:pPr>
        <w:pStyle w:val="BodyText"/>
        <w:jc w:val="both"/>
        <w:rPr>
          <w:iCs/>
          <w:color w:val="000000"/>
        </w:rPr>
      </w:pPr>
    </w:p>
    <w:p w14:paraId="1B461520" w14:textId="4F8BBA2D" w:rsidR="00CC63CF" w:rsidRPr="0019001F" w:rsidRDefault="00CC63CF" w:rsidP="00CC63CF">
      <w:pPr>
        <w:pStyle w:val="BodyText"/>
        <w:jc w:val="center"/>
        <w:rPr>
          <w:iCs/>
          <w:color w:val="000000"/>
        </w:rPr>
      </w:pPr>
      <w:r w:rsidRPr="0019001F">
        <w:rPr>
          <w:iCs/>
          <w:color w:val="000000"/>
        </w:rPr>
        <w:t>Figure 2. Proportion of bibliographic records with information about volume, pages and issue</w:t>
      </w:r>
    </w:p>
    <w:p w14:paraId="632DE552" w14:textId="337B33D4" w:rsidR="00582910" w:rsidRPr="0019001F" w:rsidRDefault="00D04ADB" w:rsidP="005736CB">
      <w:pPr>
        <w:pStyle w:val="BodyText"/>
        <w:jc w:val="both"/>
        <w:rPr>
          <w:iCs/>
          <w:color w:val="000000"/>
        </w:rPr>
      </w:pPr>
      <w:r>
        <w:rPr>
          <w:iCs/>
          <w:color w:val="000000"/>
        </w:rPr>
        <w:pict w14:anchorId="62590910">
          <v:shape id="_x0000_i1026" type="#_x0000_t75" style="width:454.2pt;height:323.4pt">
            <v:imagedata r:id="rId11" o:title="Figure_3"/>
          </v:shape>
        </w:pict>
      </w:r>
    </w:p>
    <w:p w14:paraId="1880257C" w14:textId="2B9BEA2E" w:rsidR="00CC63CF" w:rsidRPr="0019001F" w:rsidRDefault="00CC63CF" w:rsidP="005736CB">
      <w:pPr>
        <w:pStyle w:val="BodyText"/>
        <w:jc w:val="both"/>
        <w:rPr>
          <w:iCs/>
          <w:color w:val="000000"/>
        </w:rPr>
      </w:pPr>
      <w:r w:rsidRPr="0019001F">
        <w:rPr>
          <w:iCs/>
          <w:color w:val="000000"/>
        </w:rPr>
        <w:t>Figure 2 depicts the proportion of bibliographic data in each database for journal articles. In general, all the databases show high rates of completeness, including more information about volume than pages and issues. In this sense, Dimensions is again the platform that has highest completeness rates with 100% of volume</w:t>
      </w:r>
      <w:r w:rsidR="008E4D58" w:rsidRPr="0019001F">
        <w:rPr>
          <w:iCs/>
          <w:color w:val="000000"/>
        </w:rPr>
        <w:t xml:space="preserve"> and 91.8% of pages, followed by The Lens with the highest number of pages (82.3%). The most noteworthy result is the low completeness degree of OpenAlex, with 50.2% of issue, 50.6% of pages and 62.4% of volume. Even more, if we assume that this database should be similar to Microsoft Academic. A manual inspection </w:t>
      </w:r>
      <w:r w:rsidR="008E4D58" w:rsidRPr="0019001F">
        <w:rPr>
          <w:iCs/>
          <w:color w:val="000000"/>
        </w:rPr>
        <w:lastRenderedPageBreak/>
        <w:t>confirm</w:t>
      </w:r>
      <w:r w:rsidR="001B0E72">
        <w:rPr>
          <w:iCs/>
          <w:color w:val="000000"/>
        </w:rPr>
        <w:t>ed</w:t>
      </w:r>
      <w:r w:rsidR="008E4D58" w:rsidRPr="0019001F">
        <w:rPr>
          <w:iCs/>
          <w:color w:val="000000"/>
        </w:rPr>
        <w:t xml:space="preserve"> this lack of data, in which almost all the records ingested in December 2022 do not include this information.  </w:t>
      </w:r>
      <w:r w:rsidRPr="0019001F">
        <w:rPr>
          <w:iCs/>
          <w:color w:val="000000"/>
        </w:rPr>
        <w:t xml:space="preserve"> </w:t>
      </w:r>
    </w:p>
    <w:p w14:paraId="682DA0E2" w14:textId="77777777" w:rsidR="0030375F" w:rsidRPr="0019001F" w:rsidRDefault="0030375F" w:rsidP="005736CB">
      <w:pPr>
        <w:pStyle w:val="BodyText"/>
        <w:jc w:val="both"/>
        <w:rPr>
          <w:i/>
          <w:iCs/>
          <w:color w:val="000000"/>
        </w:rPr>
      </w:pPr>
    </w:p>
    <w:p w14:paraId="1BBE02ED" w14:textId="651816C0" w:rsidR="004147D4" w:rsidRPr="0019001F" w:rsidRDefault="00980112" w:rsidP="005736CB">
      <w:pPr>
        <w:pStyle w:val="BodyText"/>
        <w:jc w:val="both"/>
        <w:rPr>
          <w:i/>
          <w:iCs/>
          <w:color w:val="000000"/>
        </w:rPr>
      </w:pPr>
      <w:r w:rsidRPr="0019001F">
        <w:rPr>
          <w:i/>
          <w:iCs/>
          <w:color w:val="000000"/>
        </w:rPr>
        <w:t>3.4</w:t>
      </w:r>
      <w:r w:rsidR="00F942F5" w:rsidRPr="0019001F">
        <w:rPr>
          <w:i/>
          <w:iCs/>
          <w:color w:val="000000"/>
        </w:rPr>
        <w:t>. Document typology</w:t>
      </w:r>
    </w:p>
    <w:p w14:paraId="6D6C2351" w14:textId="7DF918A6" w:rsidR="00D36057" w:rsidRPr="0019001F" w:rsidRDefault="00F942F5" w:rsidP="00F430AA">
      <w:pPr>
        <w:pStyle w:val="BodyText"/>
        <w:jc w:val="both"/>
        <w:rPr>
          <w:iCs/>
          <w:color w:val="000000"/>
        </w:rPr>
      </w:pPr>
      <w:r w:rsidRPr="0019001F">
        <w:rPr>
          <w:iCs/>
          <w:color w:val="000000"/>
        </w:rPr>
        <w:t xml:space="preserve">Although more than 70% of the scientific literature </w:t>
      </w:r>
      <w:r w:rsidR="00D91192" w:rsidRPr="0019001F">
        <w:rPr>
          <w:iCs/>
          <w:color w:val="000000"/>
        </w:rPr>
        <w:t>are</w:t>
      </w:r>
      <w:r w:rsidRPr="0019001F">
        <w:rPr>
          <w:iCs/>
          <w:color w:val="000000"/>
        </w:rPr>
        <w:t xml:space="preserve"> journal articles, there is a large variety of scholarly documents </w:t>
      </w:r>
      <w:r w:rsidR="00D91192" w:rsidRPr="0019001F">
        <w:rPr>
          <w:iCs/>
          <w:color w:val="000000"/>
        </w:rPr>
        <w:t xml:space="preserve">(book, book chapters, conference papers, etc.) </w:t>
      </w:r>
      <w:r w:rsidRPr="0019001F">
        <w:rPr>
          <w:iCs/>
          <w:color w:val="000000"/>
        </w:rPr>
        <w:t>that also provide relevant scientific information</w:t>
      </w:r>
      <w:r w:rsidR="00604506" w:rsidRPr="0019001F">
        <w:rPr>
          <w:iCs/>
          <w:color w:val="000000"/>
        </w:rPr>
        <w:t xml:space="preserve">, and </w:t>
      </w:r>
      <w:r w:rsidR="0030375F" w:rsidRPr="0019001F">
        <w:rPr>
          <w:iCs/>
          <w:color w:val="000000"/>
        </w:rPr>
        <w:t xml:space="preserve">that </w:t>
      </w:r>
      <w:r w:rsidR="00604506" w:rsidRPr="0019001F">
        <w:rPr>
          <w:iCs/>
          <w:color w:val="000000"/>
        </w:rPr>
        <w:t>many scholarly databases incorporate to their indexes</w:t>
      </w:r>
      <w:r w:rsidR="00D91192" w:rsidRPr="0019001F">
        <w:rPr>
          <w:iCs/>
          <w:color w:val="000000"/>
        </w:rPr>
        <w:t xml:space="preserve">. Scholarly databases </w:t>
      </w:r>
      <w:r w:rsidR="00AA3D6D" w:rsidRPr="0019001F">
        <w:rPr>
          <w:iCs/>
          <w:color w:val="000000"/>
        </w:rPr>
        <w:t>c</w:t>
      </w:r>
      <w:r w:rsidR="00D91192" w:rsidRPr="0019001F">
        <w:rPr>
          <w:iCs/>
          <w:color w:val="000000"/>
        </w:rPr>
        <w:t xml:space="preserve">ategorize these typologies to inform about the academic nature of each </w:t>
      </w:r>
      <w:r w:rsidR="0030375F" w:rsidRPr="0019001F">
        <w:rPr>
          <w:iCs/>
          <w:color w:val="000000"/>
        </w:rPr>
        <w:t>item. However</w:t>
      </w:r>
      <w:r w:rsidR="00604506" w:rsidRPr="0019001F">
        <w:rPr>
          <w:iCs/>
          <w:color w:val="000000"/>
        </w:rPr>
        <w:t xml:space="preserve">, </w:t>
      </w:r>
      <w:r w:rsidR="00FE5D82" w:rsidRPr="0019001F">
        <w:rPr>
          <w:iCs/>
          <w:color w:val="000000"/>
        </w:rPr>
        <w:t>the range of categories in each database</w:t>
      </w:r>
      <w:r w:rsidR="0030375F" w:rsidRPr="0019001F">
        <w:rPr>
          <w:iCs/>
          <w:color w:val="000000"/>
        </w:rPr>
        <w:t xml:space="preserve"> </w:t>
      </w:r>
      <w:r w:rsidR="00FE5D82" w:rsidRPr="0019001F">
        <w:rPr>
          <w:iCs/>
          <w:color w:val="000000"/>
        </w:rPr>
        <w:t>varies significantly. For instance,</w:t>
      </w:r>
      <w:r w:rsidR="00D36057" w:rsidRPr="0019001F">
        <w:rPr>
          <w:iCs/>
          <w:color w:val="000000"/>
        </w:rPr>
        <w:t xml:space="preserve"> while Crossref includes 33 document types, Dimensions summarizes its classification to only six classes</w:t>
      </w:r>
      <w:r w:rsidR="00E02C86" w:rsidRPr="0019001F">
        <w:rPr>
          <w:iCs/>
          <w:color w:val="000000"/>
        </w:rPr>
        <w:t xml:space="preserve"> (Table 2)</w:t>
      </w:r>
      <w:r w:rsidR="00D36057" w:rsidRPr="0019001F">
        <w:rPr>
          <w:iCs/>
          <w:color w:val="000000"/>
        </w:rPr>
        <w:t>.</w:t>
      </w:r>
    </w:p>
    <w:p w14:paraId="7475637C" w14:textId="77777777" w:rsidR="00D36057" w:rsidRPr="0019001F" w:rsidRDefault="00D36057" w:rsidP="005736CB">
      <w:pPr>
        <w:pStyle w:val="BodyText"/>
        <w:jc w:val="both"/>
        <w:rPr>
          <w:iCs/>
          <w:color w:val="000000"/>
        </w:rPr>
      </w:pPr>
    </w:p>
    <w:p w14:paraId="7A6500E6" w14:textId="2FE9D1B0" w:rsidR="0030375F" w:rsidRPr="0019001F" w:rsidRDefault="00D36057" w:rsidP="00D36057">
      <w:pPr>
        <w:pStyle w:val="BodyText"/>
        <w:jc w:val="center"/>
        <w:rPr>
          <w:iCs/>
          <w:color w:val="000000"/>
        </w:rPr>
      </w:pPr>
      <w:r w:rsidRPr="0019001F">
        <w:rPr>
          <w:iCs/>
          <w:color w:val="000000"/>
        </w:rPr>
        <w:t>Table 2. Number of document typologies and completeness degree in each database</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323"/>
        <w:gridCol w:w="1200"/>
        <w:gridCol w:w="1630"/>
        <w:gridCol w:w="1630"/>
      </w:tblGrid>
      <w:tr w:rsidR="003039EA" w:rsidRPr="0019001F" w14:paraId="682B3FED" w14:textId="77777777" w:rsidTr="003039EA">
        <w:trPr>
          <w:trHeight w:val="255"/>
          <w:jc w:val="center"/>
        </w:trPr>
        <w:tc>
          <w:tcPr>
            <w:tcW w:w="2880" w:type="dxa"/>
            <w:shd w:val="clear" w:color="auto" w:fill="auto"/>
            <w:noWrap/>
            <w:hideMark/>
          </w:tcPr>
          <w:p w14:paraId="2597D7CF" w14:textId="77777777" w:rsidR="00D36057" w:rsidRPr="0019001F" w:rsidRDefault="00D36057">
            <w:pPr>
              <w:rPr>
                <w:b/>
                <w:color w:val="000000"/>
                <w:lang w:eastAsia="es-ES"/>
              </w:rPr>
            </w:pPr>
            <w:r w:rsidRPr="0019001F">
              <w:rPr>
                <w:b/>
                <w:color w:val="000000"/>
              </w:rPr>
              <w:t>Source</w:t>
            </w:r>
          </w:p>
        </w:tc>
        <w:tc>
          <w:tcPr>
            <w:tcW w:w="1200" w:type="dxa"/>
            <w:shd w:val="clear" w:color="auto" w:fill="auto"/>
            <w:noWrap/>
            <w:hideMark/>
          </w:tcPr>
          <w:p w14:paraId="4D3EEA9A" w14:textId="06CD7724" w:rsidR="00D36057" w:rsidRPr="0019001F" w:rsidRDefault="00D36057">
            <w:pPr>
              <w:rPr>
                <w:b/>
                <w:color w:val="000000"/>
              </w:rPr>
            </w:pPr>
            <w:r w:rsidRPr="0019001F">
              <w:rPr>
                <w:b/>
                <w:color w:val="000000"/>
              </w:rPr>
              <w:t>Typologies</w:t>
            </w:r>
          </w:p>
        </w:tc>
        <w:tc>
          <w:tcPr>
            <w:tcW w:w="1200" w:type="dxa"/>
            <w:shd w:val="clear" w:color="auto" w:fill="auto"/>
            <w:noWrap/>
            <w:hideMark/>
          </w:tcPr>
          <w:p w14:paraId="01BAFDF3" w14:textId="77777777" w:rsidR="00D36057" w:rsidRPr="0019001F" w:rsidRDefault="00D36057">
            <w:pPr>
              <w:rPr>
                <w:b/>
                <w:color w:val="000000"/>
              </w:rPr>
            </w:pPr>
            <w:r w:rsidRPr="0019001F">
              <w:rPr>
                <w:b/>
                <w:color w:val="000000"/>
              </w:rPr>
              <w:t>Samples</w:t>
            </w:r>
          </w:p>
        </w:tc>
        <w:tc>
          <w:tcPr>
            <w:tcW w:w="1200" w:type="dxa"/>
            <w:shd w:val="clear" w:color="auto" w:fill="auto"/>
            <w:noWrap/>
            <w:hideMark/>
          </w:tcPr>
          <w:p w14:paraId="7DAD0B3F" w14:textId="77777777" w:rsidR="00D36057" w:rsidRPr="0019001F" w:rsidRDefault="00D36057">
            <w:pPr>
              <w:rPr>
                <w:b/>
                <w:color w:val="000000"/>
              </w:rPr>
            </w:pPr>
            <w:r w:rsidRPr="0019001F">
              <w:rPr>
                <w:b/>
                <w:color w:val="000000"/>
              </w:rPr>
              <w:t>Completeness</w:t>
            </w:r>
          </w:p>
        </w:tc>
        <w:tc>
          <w:tcPr>
            <w:tcW w:w="1200" w:type="dxa"/>
            <w:shd w:val="clear" w:color="auto" w:fill="auto"/>
            <w:noWrap/>
            <w:hideMark/>
          </w:tcPr>
          <w:p w14:paraId="72956406" w14:textId="77777777" w:rsidR="00D36057" w:rsidRPr="0019001F" w:rsidRDefault="00D36057">
            <w:pPr>
              <w:rPr>
                <w:b/>
                <w:color w:val="000000"/>
              </w:rPr>
            </w:pPr>
            <w:r w:rsidRPr="0019001F">
              <w:rPr>
                <w:b/>
                <w:color w:val="000000"/>
              </w:rPr>
              <w:t>Completeness</w:t>
            </w:r>
          </w:p>
        </w:tc>
      </w:tr>
      <w:tr w:rsidR="003039EA" w:rsidRPr="0019001F" w14:paraId="40CB2A27" w14:textId="77777777" w:rsidTr="003039EA">
        <w:trPr>
          <w:trHeight w:val="255"/>
          <w:jc w:val="center"/>
        </w:trPr>
        <w:tc>
          <w:tcPr>
            <w:tcW w:w="2880" w:type="dxa"/>
            <w:shd w:val="clear" w:color="auto" w:fill="auto"/>
            <w:noWrap/>
            <w:hideMark/>
          </w:tcPr>
          <w:p w14:paraId="5E4049C7" w14:textId="77777777" w:rsidR="00D36057" w:rsidRPr="0019001F" w:rsidRDefault="00D36057">
            <w:pPr>
              <w:rPr>
                <w:color w:val="000000"/>
              </w:rPr>
            </w:pPr>
            <w:r w:rsidRPr="0019001F">
              <w:rPr>
                <w:color w:val="000000"/>
              </w:rPr>
              <w:t>Crossref</w:t>
            </w:r>
          </w:p>
        </w:tc>
        <w:tc>
          <w:tcPr>
            <w:tcW w:w="1200" w:type="dxa"/>
            <w:shd w:val="clear" w:color="auto" w:fill="auto"/>
            <w:noWrap/>
            <w:hideMark/>
          </w:tcPr>
          <w:p w14:paraId="635B3999" w14:textId="77777777" w:rsidR="00D36057" w:rsidRPr="0019001F" w:rsidRDefault="00D36057" w:rsidP="003039EA">
            <w:pPr>
              <w:jc w:val="right"/>
              <w:rPr>
                <w:color w:val="000000"/>
              </w:rPr>
            </w:pPr>
            <w:r w:rsidRPr="0019001F">
              <w:rPr>
                <w:color w:val="000000"/>
              </w:rPr>
              <w:t>33</w:t>
            </w:r>
          </w:p>
        </w:tc>
        <w:tc>
          <w:tcPr>
            <w:tcW w:w="1200" w:type="dxa"/>
            <w:shd w:val="clear" w:color="auto" w:fill="auto"/>
            <w:noWrap/>
            <w:hideMark/>
          </w:tcPr>
          <w:p w14:paraId="3DBD8869" w14:textId="2F76E6F3" w:rsidR="00D36057" w:rsidRPr="0019001F" w:rsidRDefault="00D36057" w:rsidP="003039EA">
            <w:pPr>
              <w:jc w:val="right"/>
              <w:rPr>
                <w:bCs/>
              </w:rPr>
            </w:pPr>
            <w:r w:rsidRPr="0019001F">
              <w:rPr>
                <w:bCs/>
              </w:rPr>
              <w:t>116,592</w:t>
            </w:r>
          </w:p>
        </w:tc>
        <w:tc>
          <w:tcPr>
            <w:tcW w:w="1200" w:type="dxa"/>
            <w:shd w:val="clear" w:color="auto" w:fill="auto"/>
            <w:noWrap/>
            <w:hideMark/>
          </w:tcPr>
          <w:p w14:paraId="2B26F837" w14:textId="6839C39A" w:rsidR="00D36057" w:rsidRPr="0019001F" w:rsidRDefault="00D36057" w:rsidP="003039EA">
            <w:pPr>
              <w:jc w:val="right"/>
              <w:rPr>
                <w:color w:val="000000"/>
              </w:rPr>
            </w:pPr>
            <w:r w:rsidRPr="0019001F">
              <w:rPr>
                <w:color w:val="000000"/>
              </w:rPr>
              <w:t>116,592</w:t>
            </w:r>
          </w:p>
        </w:tc>
        <w:tc>
          <w:tcPr>
            <w:tcW w:w="1200" w:type="dxa"/>
            <w:shd w:val="clear" w:color="auto" w:fill="auto"/>
            <w:noWrap/>
            <w:hideMark/>
          </w:tcPr>
          <w:p w14:paraId="110D282E" w14:textId="6487941A" w:rsidR="00D36057" w:rsidRPr="0019001F" w:rsidRDefault="00D36057" w:rsidP="003039EA">
            <w:pPr>
              <w:jc w:val="right"/>
              <w:rPr>
                <w:color w:val="000000"/>
              </w:rPr>
            </w:pPr>
            <w:r w:rsidRPr="0019001F">
              <w:rPr>
                <w:color w:val="000000"/>
              </w:rPr>
              <w:t>100%</w:t>
            </w:r>
          </w:p>
        </w:tc>
      </w:tr>
      <w:tr w:rsidR="003039EA" w:rsidRPr="0019001F" w14:paraId="74880179" w14:textId="77777777" w:rsidTr="003039EA">
        <w:trPr>
          <w:trHeight w:val="255"/>
          <w:jc w:val="center"/>
        </w:trPr>
        <w:tc>
          <w:tcPr>
            <w:tcW w:w="2880" w:type="dxa"/>
            <w:shd w:val="clear" w:color="auto" w:fill="auto"/>
            <w:noWrap/>
            <w:hideMark/>
          </w:tcPr>
          <w:p w14:paraId="4D1CF1E9" w14:textId="77777777" w:rsidR="00D36057" w:rsidRPr="0019001F" w:rsidRDefault="00D36057">
            <w:pPr>
              <w:rPr>
                <w:color w:val="000000"/>
              </w:rPr>
            </w:pPr>
            <w:r w:rsidRPr="0019001F">
              <w:rPr>
                <w:color w:val="000000"/>
              </w:rPr>
              <w:t>Dimensions</w:t>
            </w:r>
          </w:p>
        </w:tc>
        <w:tc>
          <w:tcPr>
            <w:tcW w:w="1200" w:type="dxa"/>
            <w:shd w:val="clear" w:color="auto" w:fill="auto"/>
            <w:noWrap/>
            <w:hideMark/>
          </w:tcPr>
          <w:p w14:paraId="6A794604" w14:textId="77777777" w:rsidR="00D36057" w:rsidRPr="0019001F" w:rsidRDefault="00D36057" w:rsidP="003039EA">
            <w:pPr>
              <w:jc w:val="right"/>
              <w:rPr>
                <w:color w:val="000000"/>
              </w:rPr>
            </w:pPr>
            <w:r w:rsidRPr="0019001F">
              <w:rPr>
                <w:color w:val="000000"/>
              </w:rPr>
              <w:t>6</w:t>
            </w:r>
          </w:p>
        </w:tc>
        <w:tc>
          <w:tcPr>
            <w:tcW w:w="1200" w:type="dxa"/>
            <w:shd w:val="clear" w:color="auto" w:fill="auto"/>
            <w:noWrap/>
            <w:hideMark/>
          </w:tcPr>
          <w:p w14:paraId="49800781" w14:textId="7F86C9CC" w:rsidR="00D36057" w:rsidRPr="0019001F" w:rsidRDefault="00D36057" w:rsidP="003039EA">
            <w:pPr>
              <w:jc w:val="right"/>
              <w:rPr>
                <w:bCs/>
              </w:rPr>
            </w:pPr>
            <w:r w:rsidRPr="0019001F">
              <w:rPr>
                <w:bCs/>
              </w:rPr>
              <w:t>105,062</w:t>
            </w:r>
          </w:p>
        </w:tc>
        <w:tc>
          <w:tcPr>
            <w:tcW w:w="1200" w:type="dxa"/>
            <w:shd w:val="clear" w:color="auto" w:fill="auto"/>
            <w:noWrap/>
            <w:hideMark/>
          </w:tcPr>
          <w:p w14:paraId="4FACC9F6" w14:textId="0B11CBAE" w:rsidR="00D36057" w:rsidRPr="0019001F" w:rsidRDefault="00D36057" w:rsidP="003039EA">
            <w:pPr>
              <w:jc w:val="right"/>
              <w:rPr>
                <w:color w:val="000000"/>
              </w:rPr>
            </w:pPr>
            <w:r w:rsidRPr="0019001F">
              <w:rPr>
                <w:color w:val="000000"/>
              </w:rPr>
              <w:t>105,062</w:t>
            </w:r>
          </w:p>
        </w:tc>
        <w:tc>
          <w:tcPr>
            <w:tcW w:w="1200" w:type="dxa"/>
            <w:shd w:val="clear" w:color="auto" w:fill="auto"/>
            <w:noWrap/>
            <w:hideMark/>
          </w:tcPr>
          <w:p w14:paraId="32CCC400" w14:textId="1E5DAFF6" w:rsidR="00D36057" w:rsidRPr="0019001F" w:rsidRDefault="00D36057" w:rsidP="003039EA">
            <w:pPr>
              <w:jc w:val="right"/>
              <w:rPr>
                <w:color w:val="000000"/>
              </w:rPr>
            </w:pPr>
            <w:r w:rsidRPr="0019001F">
              <w:rPr>
                <w:color w:val="000000"/>
              </w:rPr>
              <w:t>100%</w:t>
            </w:r>
          </w:p>
        </w:tc>
      </w:tr>
      <w:tr w:rsidR="003039EA" w:rsidRPr="0019001F" w14:paraId="4F4F1046" w14:textId="77777777" w:rsidTr="003039EA">
        <w:trPr>
          <w:trHeight w:val="255"/>
          <w:jc w:val="center"/>
        </w:trPr>
        <w:tc>
          <w:tcPr>
            <w:tcW w:w="2880" w:type="dxa"/>
            <w:shd w:val="clear" w:color="auto" w:fill="auto"/>
            <w:noWrap/>
            <w:hideMark/>
          </w:tcPr>
          <w:p w14:paraId="20AD781E" w14:textId="77777777" w:rsidR="00D36057" w:rsidRPr="0019001F" w:rsidRDefault="00D36057">
            <w:pPr>
              <w:rPr>
                <w:color w:val="000000"/>
              </w:rPr>
            </w:pPr>
            <w:r w:rsidRPr="0019001F">
              <w:rPr>
                <w:color w:val="000000"/>
              </w:rPr>
              <w:t>Microsoft Academic</w:t>
            </w:r>
          </w:p>
        </w:tc>
        <w:tc>
          <w:tcPr>
            <w:tcW w:w="1200" w:type="dxa"/>
            <w:shd w:val="clear" w:color="auto" w:fill="auto"/>
            <w:noWrap/>
            <w:hideMark/>
          </w:tcPr>
          <w:p w14:paraId="39E5E5CC" w14:textId="77777777" w:rsidR="00D36057" w:rsidRPr="0019001F" w:rsidRDefault="00D36057" w:rsidP="003039EA">
            <w:pPr>
              <w:jc w:val="right"/>
              <w:rPr>
                <w:color w:val="000000"/>
              </w:rPr>
            </w:pPr>
            <w:r w:rsidRPr="0019001F">
              <w:rPr>
                <w:color w:val="000000"/>
              </w:rPr>
              <w:t>7</w:t>
            </w:r>
          </w:p>
        </w:tc>
        <w:tc>
          <w:tcPr>
            <w:tcW w:w="1200" w:type="dxa"/>
            <w:shd w:val="clear" w:color="auto" w:fill="auto"/>
            <w:noWrap/>
            <w:hideMark/>
          </w:tcPr>
          <w:p w14:paraId="43ADA737" w14:textId="70F888EC" w:rsidR="00D36057" w:rsidRPr="0019001F" w:rsidRDefault="00D36057" w:rsidP="003039EA">
            <w:pPr>
              <w:jc w:val="right"/>
            </w:pPr>
            <w:r w:rsidRPr="0019001F">
              <w:t>92,124</w:t>
            </w:r>
          </w:p>
        </w:tc>
        <w:tc>
          <w:tcPr>
            <w:tcW w:w="1200" w:type="dxa"/>
            <w:shd w:val="clear" w:color="auto" w:fill="auto"/>
            <w:noWrap/>
            <w:hideMark/>
          </w:tcPr>
          <w:p w14:paraId="77F4B63A" w14:textId="44BF98CB" w:rsidR="00D36057" w:rsidRPr="0019001F" w:rsidRDefault="00D36057" w:rsidP="003039EA">
            <w:pPr>
              <w:jc w:val="right"/>
              <w:rPr>
                <w:color w:val="000000"/>
              </w:rPr>
            </w:pPr>
            <w:r w:rsidRPr="0019001F">
              <w:rPr>
                <w:color w:val="000000"/>
              </w:rPr>
              <w:t>74,577</w:t>
            </w:r>
          </w:p>
        </w:tc>
        <w:tc>
          <w:tcPr>
            <w:tcW w:w="1200" w:type="dxa"/>
            <w:shd w:val="clear" w:color="auto" w:fill="auto"/>
            <w:noWrap/>
            <w:hideMark/>
          </w:tcPr>
          <w:p w14:paraId="01FFD9B1" w14:textId="77777777" w:rsidR="00D36057" w:rsidRPr="0019001F" w:rsidRDefault="00D36057" w:rsidP="003039EA">
            <w:pPr>
              <w:jc w:val="right"/>
              <w:rPr>
                <w:color w:val="000000"/>
              </w:rPr>
            </w:pPr>
            <w:r w:rsidRPr="0019001F">
              <w:rPr>
                <w:color w:val="000000"/>
              </w:rPr>
              <w:t>80.95%</w:t>
            </w:r>
          </w:p>
        </w:tc>
      </w:tr>
      <w:tr w:rsidR="003039EA" w:rsidRPr="0019001F" w14:paraId="66BABCCF" w14:textId="77777777" w:rsidTr="003039EA">
        <w:trPr>
          <w:trHeight w:val="255"/>
          <w:jc w:val="center"/>
        </w:trPr>
        <w:tc>
          <w:tcPr>
            <w:tcW w:w="2880" w:type="dxa"/>
            <w:shd w:val="clear" w:color="auto" w:fill="auto"/>
            <w:noWrap/>
            <w:hideMark/>
          </w:tcPr>
          <w:p w14:paraId="27303762" w14:textId="6321D524" w:rsidR="00D36057" w:rsidRPr="0019001F" w:rsidRDefault="00D36057">
            <w:pPr>
              <w:rPr>
                <w:color w:val="000000"/>
              </w:rPr>
            </w:pPr>
            <w:r w:rsidRPr="0019001F">
              <w:rPr>
                <w:color w:val="000000"/>
              </w:rPr>
              <w:t>The Lens</w:t>
            </w:r>
          </w:p>
        </w:tc>
        <w:tc>
          <w:tcPr>
            <w:tcW w:w="1200" w:type="dxa"/>
            <w:shd w:val="clear" w:color="auto" w:fill="auto"/>
            <w:noWrap/>
            <w:hideMark/>
          </w:tcPr>
          <w:p w14:paraId="7FC96EEF" w14:textId="77777777" w:rsidR="00D36057" w:rsidRPr="0019001F" w:rsidRDefault="00D36057" w:rsidP="003039EA">
            <w:pPr>
              <w:jc w:val="right"/>
              <w:rPr>
                <w:color w:val="000000"/>
              </w:rPr>
            </w:pPr>
            <w:r w:rsidRPr="0019001F">
              <w:rPr>
                <w:color w:val="000000"/>
              </w:rPr>
              <w:t>17</w:t>
            </w:r>
          </w:p>
        </w:tc>
        <w:tc>
          <w:tcPr>
            <w:tcW w:w="1200" w:type="dxa"/>
            <w:shd w:val="clear" w:color="auto" w:fill="auto"/>
            <w:noWrap/>
            <w:hideMark/>
          </w:tcPr>
          <w:p w14:paraId="6DB1B9D6" w14:textId="09A9C2A5" w:rsidR="00D36057" w:rsidRPr="0019001F" w:rsidRDefault="00D36057" w:rsidP="003039EA">
            <w:pPr>
              <w:jc w:val="right"/>
            </w:pPr>
            <w:r w:rsidRPr="0019001F">
              <w:t>115,570</w:t>
            </w:r>
          </w:p>
        </w:tc>
        <w:tc>
          <w:tcPr>
            <w:tcW w:w="1200" w:type="dxa"/>
            <w:shd w:val="clear" w:color="auto" w:fill="auto"/>
            <w:noWrap/>
            <w:hideMark/>
          </w:tcPr>
          <w:p w14:paraId="5633400D" w14:textId="055581A3" w:rsidR="00D36057" w:rsidRPr="0019001F" w:rsidRDefault="00D36057" w:rsidP="003039EA">
            <w:pPr>
              <w:jc w:val="right"/>
              <w:rPr>
                <w:color w:val="000000"/>
              </w:rPr>
            </w:pPr>
            <w:r w:rsidRPr="0019001F">
              <w:rPr>
                <w:color w:val="000000"/>
              </w:rPr>
              <w:t>115,396</w:t>
            </w:r>
          </w:p>
        </w:tc>
        <w:tc>
          <w:tcPr>
            <w:tcW w:w="1200" w:type="dxa"/>
            <w:shd w:val="clear" w:color="auto" w:fill="auto"/>
            <w:noWrap/>
            <w:hideMark/>
          </w:tcPr>
          <w:p w14:paraId="072D0F90" w14:textId="77777777" w:rsidR="00D36057" w:rsidRPr="0019001F" w:rsidRDefault="00D36057" w:rsidP="003039EA">
            <w:pPr>
              <w:jc w:val="right"/>
              <w:rPr>
                <w:color w:val="000000"/>
              </w:rPr>
            </w:pPr>
            <w:r w:rsidRPr="0019001F">
              <w:rPr>
                <w:color w:val="000000"/>
              </w:rPr>
              <w:t>99.85%</w:t>
            </w:r>
          </w:p>
        </w:tc>
      </w:tr>
      <w:tr w:rsidR="003039EA" w:rsidRPr="0019001F" w14:paraId="69FB69E2" w14:textId="77777777" w:rsidTr="003039EA">
        <w:trPr>
          <w:trHeight w:val="255"/>
          <w:jc w:val="center"/>
        </w:trPr>
        <w:tc>
          <w:tcPr>
            <w:tcW w:w="2880" w:type="dxa"/>
            <w:shd w:val="clear" w:color="auto" w:fill="auto"/>
            <w:noWrap/>
            <w:hideMark/>
          </w:tcPr>
          <w:p w14:paraId="24EA4591" w14:textId="77777777" w:rsidR="00D36057" w:rsidRPr="0019001F" w:rsidRDefault="00D36057">
            <w:pPr>
              <w:rPr>
                <w:color w:val="000000"/>
              </w:rPr>
            </w:pPr>
            <w:r w:rsidRPr="0019001F">
              <w:rPr>
                <w:color w:val="000000"/>
              </w:rPr>
              <w:t>Scilit</w:t>
            </w:r>
          </w:p>
        </w:tc>
        <w:tc>
          <w:tcPr>
            <w:tcW w:w="1200" w:type="dxa"/>
            <w:shd w:val="clear" w:color="auto" w:fill="auto"/>
            <w:noWrap/>
            <w:hideMark/>
          </w:tcPr>
          <w:p w14:paraId="4A7B8286" w14:textId="77777777" w:rsidR="00D36057" w:rsidRPr="0019001F" w:rsidRDefault="00D36057" w:rsidP="003039EA">
            <w:pPr>
              <w:jc w:val="right"/>
              <w:rPr>
                <w:color w:val="000000"/>
              </w:rPr>
            </w:pPr>
            <w:r w:rsidRPr="0019001F">
              <w:rPr>
                <w:color w:val="000000"/>
              </w:rPr>
              <w:t>20</w:t>
            </w:r>
          </w:p>
        </w:tc>
        <w:tc>
          <w:tcPr>
            <w:tcW w:w="1200" w:type="dxa"/>
            <w:shd w:val="clear" w:color="auto" w:fill="auto"/>
            <w:noWrap/>
            <w:hideMark/>
          </w:tcPr>
          <w:p w14:paraId="7F4B2704" w14:textId="509CDFA0" w:rsidR="00D36057" w:rsidRPr="0019001F" w:rsidRDefault="00D36057" w:rsidP="003039EA">
            <w:pPr>
              <w:jc w:val="right"/>
              <w:rPr>
                <w:bCs/>
              </w:rPr>
            </w:pPr>
            <w:r w:rsidRPr="0019001F">
              <w:rPr>
                <w:bCs/>
              </w:rPr>
              <w:t>113,422</w:t>
            </w:r>
          </w:p>
        </w:tc>
        <w:tc>
          <w:tcPr>
            <w:tcW w:w="1200" w:type="dxa"/>
            <w:shd w:val="clear" w:color="auto" w:fill="auto"/>
            <w:noWrap/>
            <w:hideMark/>
          </w:tcPr>
          <w:p w14:paraId="0124CA94" w14:textId="3C5AEE2E" w:rsidR="00D36057" w:rsidRPr="0019001F" w:rsidRDefault="00D36057" w:rsidP="003039EA">
            <w:pPr>
              <w:jc w:val="right"/>
              <w:rPr>
                <w:color w:val="000000"/>
              </w:rPr>
            </w:pPr>
            <w:r w:rsidRPr="0019001F">
              <w:rPr>
                <w:color w:val="000000"/>
              </w:rPr>
              <w:t>113,168</w:t>
            </w:r>
          </w:p>
        </w:tc>
        <w:tc>
          <w:tcPr>
            <w:tcW w:w="1200" w:type="dxa"/>
            <w:shd w:val="clear" w:color="auto" w:fill="auto"/>
            <w:noWrap/>
            <w:hideMark/>
          </w:tcPr>
          <w:p w14:paraId="7B7C48A2" w14:textId="77777777" w:rsidR="00D36057" w:rsidRPr="0019001F" w:rsidRDefault="00D36057" w:rsidP="003039EA">
            <w:pPr>
              <w:jc w:val="right"/>
              <w:rPr>
                <w:color w:val="000000"/>
              </w:rPr>
            </w:pPr>
            <w:r w:rsidRPr="0019001F">
              <w:rPr>
                <w:color w:val="000000"/>
              </w:rPr>
              <w:t>99.78%</w:t>
            </w:r>
          </w:p>
        </w:tc>
      </w:tr>
      <w:tr w:rsidR="003039EA" w:rsidRPr="0019001F" w14:paraId="116D15B2" w14:textId="77777777" w:rsidTr="003039EA">
        <w:trPr>
          <w:trHeight w:val="255"/>
          <w:jc w:val="center"/>
        </w:trPr>
        <w:tc>
          <w:tcPr>
            <w:tcW w:w="2880" w:type="dxa"/>
            <w:shd w:val="clear" w:color="auto" w:fill="auto"/>
            <w:noWrap/>
            <w:hideMark/>
          </w:tcPr>
          <w:p w14:paraId="6D19F238" w14:textId="6EF6FCD6" w:rsidR="00D36057" w:rsidRPr="0019001F" w:rsidRDefault="00D36057">
            <w:pPr>
              <w:rPr>
                <w:color w:val="000000"/>
              </w:rPr>
            </w:pPr>
            <w:r w:rsidRPr="0019001F">
              <w:rPr>
                <w:color w:val="000000"/>
              </w:rPr>
              <w:t>Semantic Scholar</w:t>
            </w:r>
          </w:p>
        </w:tc>
        <w:tc>
          <w:tcPr>
            <w:tcW w:w="1200" w:type="dxa"/>
            <w:shd w:val="clear" w:color="auto" w:fill="auto"/>
            <w:noWrap/>
            <w:hideMark/>
          </w:tcPr>
          <w:p w14:paraId="176E367F" w14:textId="77777777" w:rsidR="00D36057" w:rsidRPr="0019001F" w:rsidRDefault="00D36057" w:rsidP="003039EA">
            <w:pPr>
              <w:jc w:val="right"/>
              <w:rPr>
                <w:color w:val="000000"/>
              </w:rPr>
            </w:pPr>
            <w:r w:rsidRPr="0019001F">
              <w:rPr>
                <w:color w:val="000000"/>
              </w:rPr>
              <w:t>12</w:t>
            </w:r>
          </w:p>
        </w:tc>
        <w:tc>
          <w:tcPr>
            <w:tcW w:w="1200" w:type="dxa"/>
            <w:shd w:val="clear" w:color="auto" w:fill="auto"/>
            <w:noWrap/>
            <w:hideMark/>
          </w:tcPr>
          <w:p w14:paraId="7A2D6C31" w14:textId="2D3BD2FF" w:rsidR="00D36057" w:rsidRPr="0019001F" w:rsidRDefault="00D36057" w:rsidP="003039EA">
            <w:pPr>
              <w:jc w:val="right"/>
            </w:pPr>
            <w:r w:rsidRPr="0019001F">
              <w:t>91,370</w:t>
            </w:r>
          </w:p>
        </w:tc>
        <w:tc>
          <w:tcPr>
            <w:tcW w:w="1200" w:type="dxa"/>
            <w:shd w:val="clear" w:color="auto" w:fill="auto"/>
            <w:noWrap/>
            <w:hideMark/>
          </w:tcPr>
          <w:p w14:paraId="3B9C8DA3" w14:textId="07703BBF" w:rsidR="00D36057" w:rsidRPr="0019001F" w:rsidRDefault="00D36057" w:rsidP="003039EA">
            <w:pPr>
              <w:jc w:val="right"/>
              <w:rPr>
                <w:color w:val="000000"/>
              </w:rPr>
            </w:pPr>
            <w:r w:rsidRPr="0019001F">
              <w:rPr>
                <w:color w:val="000000"/>
              </w:rPr>
              <w:t>38,096</w:t>
            </w:r>
          </w:p>
        </w:tc>
        <w:tc>
          <w:tcPr>
            <w:tcW w:w="1200" w:type="dxa"/>
            <w:shd w:val="clear" w:color="auto" w:fill="auto"/>
            <w:noWrap/>
            <w:hideMark/>
          </w:tcPr>
          <w:p w14:paraId="7FF2672D" w14:textId="77777777" w:rsidR="00D36057" w:rsidRPr="0019001F" w:rsidRDefault="00D36057" w:rsidP="003039EA">
            <w:pPr>
              <w:jc w:val="right"/>
              <w:rPr>
                <w:color w:val="000000"/>
              </w:rPr>
            </w:pPr>
            <w:r w:rsidRPr="0019001F">
              <w:rPr>
                <w:color w:val="000000"/>
              </w:rPr>
              <w:t>41.69%</w:t>
            </w:r>
          </w:p>
        </w:tc>
      </w:tr>
      <w:tr w:rsidR="003039EA" w:rsidRPr="0019001F" w14:paraId="2BD143E6" w14:textId="77777777" w:rsidTr="003039EA">
        <w:trPr>
          <w:trHeight w:val="255"/>
          <w:jc w:val="center"/>
        </w:trPr>
        <w:tc>
          <w:tcPr>
            <w:tcW w:w="2880" w:type="dxa"/>
            <w:shd w:val="clear" w:color="auto" w:fill="auto"/>
            <w:noWrap/>
            <w:hideMark/>
          </w:tcPr>
          <w:p w14:paraId="20E61A51" w14:textId="77777777" w:rsidR="00D36057" w:rsidRPr="0019001F" w:rsidRDefault="00D36057">
            <w:pPr>
              <w:rPr>
                <w:color w:val="000000"/>
              </w:rPr>
            </w:pPr>
            <w:r w:rsidRPr="0019001F">
              <w:rPr>
                <w:color w:val="000000"/>
              </w:rPr>
              <w:t>OpenAlex</w:t>
            </w:r>
          </w:p>
        </w:tc>
        <w:tc>
          <w:tcPr>
            <w:tcW w:w="1200" w:type="dxa"/>
            <w:shd w:val="clear" w:color="auto" w:fill="auto"/>
            <w:noWrap/>
            <w:hideMark/>
          </w:tcPr>
          <w:p w14:paraId="368C684C" w14:textId="77777777" w:rsidR="00D36057" w:rsidRPr="0019001F" w:rsidRDefault="00D36057" w:rsidP="003039EA">
            <w:pPr>
              <w:jc w:val="right"/>
              <w:rPr>
                <w:color w:val="000000"/>
              </w:rPr>
            </w:pPr>
            <w:r w:rsidRPr="0019001F">
              <w:rPr>
                <w:color w:val="000000"/>
              </w:rPr>
              <w:t>33</w:t>
            </w:r>
          </w:p>
        </w:tc>
        <w:tc>
          <w:tcPr>
            <w:tcW w:w="1200" w:type="dxa"/>
            <w:shd w:val="clear" w:color="auto" w:fill="auto"/>
            <w:noWrap/>
            <w:hideMark/>
          </w:tcPr>
          <w:p w14:paraId="438A0167" w14:textId="6B1A3A41" w:rsidR="00D36057" w:rsidRPr="0019001F" w:rsidRDefault="00D36057" w:rsidP="003039EA">
            <w:pPr>
              <w:jc w:val="right"/>
              <w:rPr>
                <w:bCs/>
              </w:rPr>
            </w:pPr>
            <w:r w:rsidRPr="0019001F">
              <w:rPr>
                <w:bCs/>
              </w:rPr>
              <w:t>115,881</w:t>
            </w:r>
          </w:p>
        </w:tc>
        <w:tc>
          <w:tcPr>
            <w:tcW w:w="1200" w:type="dxa"/>
            <w:shd w:val="clear" w:color="auto" w:fill="auto"/>
            <w:noWrap/>
            <w:hideMark/>
          </w:tcPr>
          <w:p w14:paraId="2064A56F" w14:textId="77B0CA7A" w:rsidR="00D36057" w:rsidRPr="0019001F" w:rsidRDefault="00D36057" w:rsidP="003039EA">
            <w:pPr>
              <w:jc w:val="right"/>
              <w:rPr>
                <w:color w:val="000000"/>
              </w:rPr>
            </w:pPr>
            <w:r w:rsidRPr="0019001F">
              <w:rPr>
                <w:color w:val="000000"/>
              </w:rPr>
              <w:t>115,853</w:t>
            </w:r>
          </w:p>
        </w:tc>
        <w:tc>
          <w:tcPr>
            <w:tcW w:w="1200" w:type="dxa"/>
            <w:shd w:val="clear" w:color="auto" w:fill="auto"/>
            <w:noWrap/>
            <w:hideMark/>
          </w:tcPr>
          <w:p w14:paraId="502B6512" w14:textId="77777777" w:rsidR="00D36057" w:rsidRPr="0019001F" w:rsidRDefault="00D36057" w:rsidP="003039EA">
            <w:pPr>
              <w:jc w:val="right"/>
              <w:rPr>
                <w:color w:val="000000"/>
              </w:rPr>
            </w:pPr>
            <w:r w:rsidRPr="0019001F">
              <w:rPr>
                <w:color w:val="000000"/>
              </w:rPr>
              <w:t>99.98%</w:t>
            </w:r>
          </w:p>
        </w:tc>
      </w:tr>
    </w:tbl>
    <w:p w14:paraId="401EE964" w14:textId="34E44C9C" w:rsidR="006351BA" w:rsidRPr="0019001F" w:rsidRDefault="006351BA" w:rsidP="005736CB">
      <w:pPr>
        <w:pStyle w:val="BodyText"/>
        <w:jc w:val="both"/>
        <w:rPr>
          <w:iCs/>
          <w:color w:val="000000"/>
        </w:rPr>
      </w:pPr>
    </w:p>
    <w:p w14:paraId="355BBDA3" w14:textId="03DF3742" w:rsidR="00D36057" w:rsidRPr="0019001F" w:rsidRDefault="00D36057" w:rsidP="005736CB">
      <w:pPr>
        <w:pStyle w:val="BodyText"/>
        <w:jc w:val="both"/>
        <w:rPr>
          <w:iCs/>
          <w:color w:val="000000"/>
        </w:rPr>
      </w:pPr>
      <w:r w:rsidRPr="0019001F">
        <w:rPr>
          <w:iCs/>
          <w:color w:val="000000"/>
        </w:rPr>
        <w:t xml:space="preserve">Table 2 displays </w:t>
      </w:r>
      <w:r w:rsidR="00E02C86" w:rsidRPr="0019001F">
        <w:rPr>
          <w:iCs/>
          <w:color w:val="000000"/>
        </w:rPr>
        <w:t xml:space="preserve">the number of different document types and the number of records categorized in each database. All the publications in Crossref (100%) and Dimensions (100%) are assigned to a typology, </w:t>
      </w:r>
      <w:r w:rsidR="00E865CB" w:rsidRPr="0019001F">
        <w:rPr>
          <w:iCs/>
          <w:color w:val="000000"/>
        </w:rPr>
        <w:t xml:space="preserve">and OpenAlex (100%), </w:t>
      </w:r>
      <w:r w:rsidR="00E02C86" w:rsidRPr="0019001F">
        <w:rPr>
          <w:iCs/>
          <w:color w:val="000000"/>
        </w:rPr>
        <w:t xml:space="preserve">The Lens </w:t>
      </w:r>
      <w:r w:rsidR="00577703" w:rsidRPr="0019001F">
        <w:rPr>
          <w:iCs/>
          <w:color w:val="000000"/>
        </w:rPr>
        <w:t>(99.</w:t>
      </w:r>
      <w:r w:rsidR="00E865CB" w:rsidRPr="0019001F">
        <w:rPr>
          <w:iCs/>
          <w:color w:val="000000"/>
        </w:rPr>
        <w:t xml:space="preserve">9%) </w:t>
      </w:r>
      <w:r w:rsidR="00E02C86" w:rsidRPr="0019001F">
        <w:rPr>
          <w:iCs/>
          <w:color w:val="000000"/>
        </w:rPr>
        <w:t>and Scilit</w:t>
      </w:r>
      <w:r w:rsidR="00E865CB" w:rsidRPr="0019001F">
        <w:rPr>
          <w:iCs/>
          <w:color w:val="000000"/>
        </w:rPr>
        <w:t xml:space="preserve"> (99.8%) only find assignation problems in exceptional cases. However, Microsoft Academic (81%) and Semantic Scholar (41.7%) present serious problems to classify their records by typology. A possible explanation is that both search engines extract metadata from the Web, and this</w:t>
      </w:r>
      <w:r w:rsidR="00717C26" w:rsidRPr="0019001F">
        <w:rPr>
          <w:iCs/>
          <w:color w:val="000000"/>
        </w:rPr>
        <w:t xml:space="preserve"> information is not always </w:t>
      </w:r>
      <w:r w:rsidR="0061214D" w:rsidRPr="0019001F">
        <w:rPr>
          <w:iCs/>
          <w:color w:val="000000"/>
        </w:rPr>
        <w:t>available</w:t>
      </w:r>
      <w:r w:rsidR="00717C26" w:rsidRPr="0019001F">
        <w:rPr>
          <w:iCs/>
          <w:color w:val="000000"/>
        </w:rPr>
        <w:t>. It is worth to mention the case of Semantic Scholar that seems that use a</w:t>
      </w:r>
      <w:r w:rsidR="0061214D" w:rsidRPr="0019001F">
        <w:rPr>
          <w:iCs/>
          <w:color w:val="000000"/>
        </w:rPr>
        <w:t>n</w:t>
      </w:r>
      <w:r w:rsidR="00717C26" w:rsidRPr="0019001F">
        <w:rPr>
          <w:iCs/>
          <w:color w:val="000000"/>
        </w:rPr>
        <w:t xml:space="preserve"> automatic procedure to assign </w:t>
      </w:r>
      <w:r w:rsidR="0061214D" w:rsidRPr="0019001F">
        <w:rPr>
          <w:iCs/>
          <w:color w:val="000000"/>
        </w:rPr>
        <w:t xml:space="preserve">more than one typology </w:t>
      </w:r>
      <w:r w:rsidR="004D330C" w:rsidRPr="0019001F">
        <w:rPr>
          <w:iCs/>
          <w:color w:val="000000"/>
        </w:rPr>
        <w:t xml:space="preserve">based more </w:t>
      </w:r>
      <w:r w:rsidR="00717C26" w:rsidRPr="0019001F">
        <w:rPr>
          <w:iCs/>
          <w:color w:val="000000"/>
        </w:rPr>
        <w:t>in content criteria</w:t>
      </w:r>
      <w:r w:rsidR="0061214D" w:rsidRPr="0019001F">
        <w:rPr>
          <w:iCs/>
          <w:color w:val="000000"/>
        </w:rPr>
        <w:t xml:space="preserve"> (Review, Study, CaseReport, etc.) </w:t>
      </w:r>
      <w:r w:rsidR="00717C26" w:rsidRPr="0019001F">
        <w:rPr>
          <w:iCs/>
          <w:color w:val="000000"/>
        </w:rPr>
        <w:t xml:space="preserve"> than in formal ones.</w:t>
      </w:r>
      <w:r w:rsidR="00E865CB" w:rsidRPr="0019001F">
        <w:rPr>
          <w:iCs/>
          <w:color w:val="000000"/>
        </w:rPr>
        <w:t xml:space="preserve">   </w:t>
      </w:r>
    </w:p>
    <w:p w14:paraId="1CDC7611" w14:textId="255793BA" w:rsidR="00E865CB" w:rsidRPr="0019001F" w:rsidRDefault="00E865CB" w:rsidP="005736CB">
      <w:pPr>
        <w:pStyle w:val="BodyText"/>
        <w:jc w:val="both"/>
        <w:rPr>
          <w:iCs/>
          <w:color w:val="000000"/>
        </w:rPr>
      </w:pPr>
    </w:p>
    <w:p w14:paraId="2BCB1B9E" w14:textId="5F8967E1" w:rsidR="004D330C" w:rsidRPr="0019001F" w:rsidRDefault="004D330C" w:rsidP="004D330C">
      <w:pPr>
        <w:pStyle w:val="BodyText"/>
        <w:jc w:val="center"/>
        <w:rPr>
          <w:iCs/>
          <w:color w:val="000000"/>
        </w:rPr>
      </w:pPr>
      <w:r w:rsidRPr="0019001F">
        <w:rPr>
          <w:iCs/>
          <w:color w:val="000000"/>
        </w:rPr>
        <w:t>Figure 3. Alluvial graph with the transfer of document types between Crossref and the other databases</w:t>
      </w:r>
    </w:p>
    <w:p w14:paraId="35630EDC" w14:textId="17915590" w:rsidR="000D0FBA" w:rsidRPr="0019001F" w:rsidRDefault="00D04ADB" w:rsidP="004D330C">
      <w:pPr>
        <w:pStyle w:val="BodyText"/>
        <w:jc w:val="center"/>
        <w:rPr>
          <w:iCs/>
          <w:color w:val="000000"/>
        </w:rPr>
      </w:pPr>
      <w:r>
        <w:rPr>
          <w:iCs/>
          <w:color w:val="000000"/>
        </w:rPr>
        <w:lastRenderedPageBreak/>
        <w:pict w14:anchorId="468F0E66">
          <v:shape id="_x0000_i1027" type="#_x0000_t75" style="width:453pt;height:282pt">
            <v:imagedata r:id="rId12" o:title="Figure_type2"/>
          </v:shape>
        </w:pict>
      </w:r>
    </w:p>
    <w:p w14:paraId="0485A80B" w14:textId="06FB76D5" w:rsidR="000433DF" w:rsidRPr="0019001F" w:rsidRDefault="000433DF" w:rsidP="004D330C">
      <w:pPr>
        <w:pStyle w:val="BodyText"/>
        <w:jc w:val="center"/>
        <w:rPr>
          <w:iCs/>
          <w:color w:val="000000"/>
        </w:rPr>
      </w:pPr>
    </w:p>
    <w:p w14:paraId="4036F152" w14:textId="1AC4ACB0" w:rsidR="002057EE" w:rsidRPr="0019001F" w:rsidRDefault="004D330C" w:rsidP="005736CB">
      <w:pPr>
        <w:pStyle w:val="BodyText"/>
        <w:jc w:val="both"/>
        <w:rPr>
          <w:iCs/>
          <w:color w:val="000000"/>
        </w:rPr>
      </w:pPr>
      <w:r w:rsidRPr="0019001F">
        <w:rPr>
          <w:iCs/>
          <w:color w:val="000000"/>
        </w:rPr>
        <w:t>Figure 3 shows different alluvial graph</w:t>
      </w:r>
      <w:r w:rsidR="004B35C4" w:rsidRPr="0019001F">
        <w:rPr>
          <w:iCs/>
          <w:color w:val="000000"/>
        </w:rPr>
        <w:t>s</w:t>
      </w:r>
      <w:r w:rsidRPr="0019001F">
        <w:rPr>
          <w:iCs/>
          <w:color w:val="000000"/>
        </w:rPr>
        <w:t xml:space="preserve"> illustrating the document types transfers between Crossref classification and the system</w:t>
      </w:r>
      <w:r w:rsidR="004B35C4" w:rsidRPr="0019001F">
        <w:rPr>
          <w:iCs/>
          <w:color w:val="000000"/>
        </w:rPr>
        <w:t>s</w:t>
      </w:r>
      <w:r w:rsidRPr="0019001F">
        <w:rPr>
          <w:iCs/>
          <w:color w:val="000000"/>
        </w:rPr>
        <w:t xml:space="preserve"> of each database. The aim is to elucidate how </w:t>
      </w:r>
      <w:r w:rsidR="0081259D" w:rsidRPr="0019001F">
        <w:rPr>
          <w:iCs/>
          <w:color w:val="000000"/>
        </w:rPr>
        <w:t>each database assign document typ</w:t>
      </w:r>
      <w:r w:rsidR="001D4160">
        <w:rPr>
          <w:iCs/>
          <w:color w:val="000000"/>
        </w:rPr>
        <w:t>es</w:t>
      </w:r>
      <w:r w:rsidR="0081259D" w:rsidRPr="0019001F">
        <w:rPr>
          <w:iCs/>
          <w:color w:val="000000"/>
        </w:rPr>
        <w:t xml:space="preserve"> to their records. </w:t>
      </w:r>
      <w:r w:rsidR="009F0D3F" w:rsidRPr="0019001F">
        <w:rPr>
          <w:iCs/>
          <w:color w:val="000000"/>
        </w:rPr>
        <w:t xml:space="preserve">To improve the clarity of the graph, only the ten most frequent categories in Crossref were displayed. </w:t>
      </w:r>
      <w:r w:rsidR="0081259D" w:rsidRPr="0019001F">
        <w:rPr>
          <w:iCs/>
          <w:color w:val="000000"/>
        </w:rPr>
        <w:t xml:space="preserve">For instance, Dimensions reduces significantly the document categories, integrating book-chapter (99.9%), component (78.7%), other (100%) and reference-entry (100%) in chapter category, and dataset (100%) and journal-article (99.1%) in article. </w:t>
      </w:r>
      <w:r w:rsidR="00754BC0" w:rsidRPr="0019001F">
        <w:rPr>
          <w:iCs/>
          <w:color w:val="000000"/>
        </w:rPr>
        <w:t>Microsoft showed important problems to classify book chapters (</w:t>
      </w:r>
      <w:r w:rsidR="009E04C1" w:rsidRPr="0019001F">
        <w:rPr>
          <w:iCs/>
          <w:color w:val="000000"/>
        </w:rPr>
        <w:t>46.8</w:t>
      </w:r>
      <w:r w:rsidR="00754BC0" w:rsidRPr="0019001F">
        <w:rPr>
          <w:iCs/>
          <w:color w:val="000000"/>
        </w:rPr>
        <w:t>%) and proceeding-articles (</w:t>
      </w:r>
      <w:r w:rsidR="009E04C1" w:rsidRPr="0019001F">
        <w:rPr>
          <w:iCs/>
          <w:color w:val="000000"/>
        </w:rPr>
        <w:t>65.3</w:t>
      </w:r>
      <w:r w:rsidR="00754BC0" w:rsidRPr="0019001F">
        <w:rPr>
          <w:iCs/>
          <w:color w:val="000000"/>
        </w:rPr>
        <w:t>%). OpenAlex directly uses the Crossref</w:t>
      </w:r>
      <w:r w:rsidR="009E04C1" w:rsidRPr="0019001F">
        <w:rPr>
          <w:iCs/>
          <w:color w:val="000000"/>
        </w:rPr>
        <w:t>’s</w:t>
      </w:r>
      <w:r w:rsidR="00754BC0" w:rsidRPr="0019001F">
        <w:rPr>
          <w:iCs/>
          <w:color w:val="000000"/>
        </w:rPr>
        <w:t xml:space="preserve"> scheme without any variation</w:t>
      </w:r>
      <w:r w:rsidR="009E04C1" w:rsidRPr="0019001F">
        <w:rPr>
          <w:iCs/>
          <w:color w:val="000000"/>
        </w:rPr>
        <w:t xml:space="preserve">, while </w:t>
      </w:r>
      <w:r w:rsidR="00754BC0" w:rsidRPr="0019001F">
        <w:rPr>
          <w:iCs/>
          <w:color w:val="000000"/>
        </w:rPr>
        <w:t>Scilit</w:t>
      </w:r>
      <w:r w:rsidR="0081259D" w:rsidRPr="0019001F">
        <w:rPr>
          <w:iCs/>
          <w:color w:val="000000"/>
        </w:rPr>
        <w:t xml:space="preserve"> </w:t>
      </w:r>
      <w:r w:rsidR="009E04C1" w:rsidRPr="0019001F">
        <w:rPr>
          <w:iCs/>
          <w:color w:val="000000"/>
        </w:rPr>
        <w:t xml:space="preserve">also presents slight variations to the Crossref’s framework. </w:t>
      </w:r>
      <w:r w:rsidR="00FE220D" w:rsidRPr="0019001F">
        <w:rPr>
          <w:iCs/>
          <w:color w:val="000000"/>
        </w:rPr>
        <w:t xml:space="preserve">Semantic Scholar has serious problems to classify most of the document typologies, </w:t>
      </w:r>
      <w:r w:rsidR="00CC6BC3" w:rsidRPr="0019001F">
        <w:rPr>
          <w:iCs/>
          <w:color w:val="000000"/>
        </w:rPr>
        <w:t xml:space="preserve">assigning correctly 46.2% of </w:t>
      </w:r>
      <w:r w:rsidR="00FE220D" w:rsidRPr="0019001F">
        <w:rPr>
          <w:iCs/>
          <w:color w:val="000000"/>
        </w:rPr>
        <w:t xml:space="preserve">proceeding articles and </w:t>
      </w:r>
      <w:r w:rsidR="00CC6BC3" w:rsidRPr="0019001F">
        <w:rPr>
          <w:iCs/>
          <w:color w:val="000000"/>
        </w:rPr>
        <w:t xml:space="preserve">35.3% of </w:t>
      </w:r>
      <w:r w:rsidR="00FE220D" w:rsidRPr="0019001F">
        <w:rPr>
          <w:iCs/>
          <w:color w:val="000000"/>
        </w:rPr>
        <w:t>journal articles.</w:t>
      </w:r>
      <w:r w:rsidR="00CC6BC3" w:rsidRPr="0019001F">
        <w:rPr>
          <w:iCs/>
          <w:color w:val="000000"/>
        </w:rPr>
        <w:t xml:space="preserve"> Finally, </w:t>
      </w:r>
      <w:r w:rsidR="009F0D3F" w:rsidRPr="0019001F">
        <w:rPr>
          <w:iCs/>
          <w:color w:val="000000"/>
        </w:rPr>
        <w:t xml:space="preserve">The Lens also shows similarities with the Crossref’s classification, and we can only highlight </w:t>
      </w:r>
      <w:r w:rsidR="00121FB2" w:rsidRPr="0019001F">
        <w:rPr>
          <w:iCs/>
          <w:color w:val="000000"/>
        </w:rPr>
        <w:t>that proceeding articles are split in conference proceedings (56.2%) and conference proceeding articles (35.7%), and posted content is integrated in other (94.4%).</w:t>
      </w:r>
      <w:r w:rsidR="009F0D3F" w:rsidRPr="0019001F">
        <w:rPr>
          <w:iCs/>
          <w:color w:val="000000"/>
        </w:rPr>
        <w:t xml:space="preserve"> </w:t>
      </w:r>
    </w:p>
    <w:p w14:paraId="5FEDE30D" w14:textId="77777777" w:rsidR="00E33BA6" w:rsidRPr="0019001F" w:rsidRDefault="00E33BA6" w:rsidP="00F430AA">
      <w:pPr>
        <w:pStyle w:val="Heading2"/>
      </w:pPr>
    </w:p>
    <w:p w14:paraId="708F2ED4" w14:textId="0416209D" w:rsidR="008168F4" w:rsidRPr="0019001F" w:rsidRDefault="00F430AA" w:rsidP="00F430AA">
      <w:pPr>
        <w:pStyle w:val="Heading2"/>
      </w:pPr>
      <w:r w:rsidRPr="0019001F">
        <w:t>4. Conclusions</w:t>
      </w:r>
    </w:p>
    <w:p w14:paraId="46F91B40" w14:textId="76674FD3" w:rsidR="00A305B9" w:rsidRPr="0019001F" w:rsidRDefault="00F430AA">
      <w:pPr>
        <w:jc w:val="both"/>
      </w:pPr>
      <w:r w:rsidRPr="0019001F">
        <w:t xml:space="preserve">This descriptive and comparative analysis of the </w:t>
      </w:r>
      <w:r w:rsidR="00AA5FBF" w:rsidRPr="0019001F">
        <w:t xml:space="preserve">publication </w:t>
      </w:r>
      <w:r w:rsidRPr="0019001F">
        <w:t xml:space="preserve">metadata supplied by the seven most relevant and accessible scholarly databases has reported </w:t>
      </w:r>
      <w:r w:rsidR="00E33BA6" w:rsidRPr="0019001F">
        <w:t xml:space="preserve">important insights about how these services ingest and process the information that they publicly provide. </w:t>
      </w:r>
      <w:r w:rsidR="0082381B" w:rsidRPr="0019001F">
        <w:t xml:space="preserve">Four parameters (abstract, external links, bibliographic information and documents typology) were comparatively analysed to describe </w:t>
      </w:r>
      <w:r w:rsidR="005F310B" w:rsidRPr="0019001F">
        <w:t xml:space="preserve">the performance of each database. </w:t>
      </w:r>
      <w:r w:rsidR="00A305B9" w:rsidRPr="0019001F">
        <w:t>In general, we can conclude that Dimensions is the service that has the best metadata quality and completeness, because is the database that indexes most abstracts</w:t>
      </w:r>
      <w:r w:rsidR="00A93917" w:rsidRPr="0019001F">
        <w:t xml:space="preserve"> (69.6%)</w:t>
      </w:r>
      <w:r w:rsidR="00A305B9" w:rsidRPr="0019001F">
        <w:t xml:space="preserve">, </w:t>
      </w:r>
      <w:r w:rsidR="00A93917" w:rsidRPr="0019001F">
        <w:t>identifies mo</w:t>
      </w:r>
      <w:r w:rsidR="000C6D36">
        <w:t>st</w:t>
      </w:r>
      <w:r w:rsidR="00A93917" w:rsidRPr="0019001F">
        <w:t xml:space="preserve"> open access publications (44.5%)</w:t>
      </w:r>
      <w:r w:rsidR="000E3F4A" w:rsidRPr="000E3F4A">
        <w:rPr>
          <w:rFonts w:cs="Calibri"/>
          <w:lang w:val="en-US"/>
        </w:rPr>
        <w:t xml:space="preserve"> </w:t>
      </w:r>
      <w:r w:rsidR="000E3F4A">
        <w:rPr>
          <w:rFonts w:cs="Calibri"/>
          <w:lang w:val="en-US"/>
        </w:rPr>
        <w:t>(</w:t>
      </w:r>
      <w:r w:rsidR="000E3F4A" w:rsidRPr="000E3F4A">
        <w:rPr>
          <w:rFonts w:cs="Calibri"/>
          <w:lang w:val="en-US"/>
        </w:rPr>
        <w:t>Basson</w:t>
      </w:r>
      <w:r w:rsidR="000E3F4A">
        <w:rPr>
          <w:rFonts w:cs="Calibri"/>
          <w:lang w:val="en-US"/>
        </w:rPr>
        <w:t xml:space="preserve"> et al.</w:t>
      </w:r>
      <w:r w:rsidR="000E3F4A" w:rsidRPr="000E3F4A">
        <w:rPr>
          <w:rFonts w:cs="Calibri"/>
          <w:lang w:val="en-US"/>
        </w:rPr>
        <w:t>, 2022</w:t>
      </w:r>
      <w:r w:rsidR="000E3F4A">
        <w:rPr>
          <w:rFonts w:cs="Calibri"/>
          <w:lang w:val="en-US"/>
        </w:rPr>
        <w:t>)</w:t>
      </w:r>
      <w:r w:rsidR="00A93917" w:rsidRPr="0019001F">
        <w:t xml:space="preserve">, has the best completeness of volume and pages, and 100% of records are assigned to a typology. Contrarily, Semantic Scholar presents important problems in </w:t>
      </w:r>
      <w:r w:rsidR="009867E2" w:rsidRPr="0019001F">
        <w:t>the</w:t>
      </w:r>
      <w:r w:rsidR="00A93917" w:rsidRPr="0019001F">
        <w:t xml:space="preserve"> in</w:t>
      </w:r>
      <w:r w:rsidR="009867E2" w:rsidRPr="0019001F">
        <w:t xml:space="preserve">dexation of abstracts (54.5%), </w:t>
      </w:r>
      <w:r w:rsidR="00A93917" w:rsidRPr="0019001F">
        <w:t xml:space="preserve">the assignation of document typologies (41.7%) and </w:t>
      </w:r>
      <w:r w:rsidR="008B584C" w:rsidRPr="0019001F">
        <w:t xml:space="preserve">the </w:t>
      </w:r>
      <w:r w:rsidR="00BD711B" w:rsidRPr="0019001F">
        <w:t>inclusion of external links. We also can conclude that hybrid product</w:t>
      </w:r>
      <w:r w:rsidR="0040394D" w:rsidRPr="0019001F">
        <w:t>s</w:t>
      </w:r>
      <w:r w:rsidR="00BD711B" w:rsidRPr="0019001F">
        <w:t xml:space="preserve"> show better metadata quality than academic search engines, especially with the classification of document types and </w:t>
      </w:r>
      <w:r w:rsidR="0040394D" w:rsidRPr="0019001F">
        <w:t xml:space="preserve">indexation of abstracts. These differences call into </w:t>
      </w:r>
      <w:r w:rsidR="0040394D" w:rsidRPr="0019001F">
        <w:lastRenderedPageBreak/>
        <w:t>question the reliability of search engines to extract bibliographic information directly from websites and classify documents according to this information.</w:t>
      </w:r>
      <w:r w:rsidR="00A93917" w:rsidRPr="0019001F">
        <w:t xml:space="preserve"> </w:t>
      </w:r>
    </w:p>
    <w:p w14:paraId="0BEA81E8" w14:textId="77777777" w:rsidR="00A305B9" w:rsidRPr="0019001F" w:rsidRDefault="00A305B9">
      <w:pPr>
        <w:jc w:val="both"/>
      </w:pPr>
    </w:p>
    <w:p w14:paraId="7047E5B3" w14:textId="344083BC" w:rsidR="007A59E1" w:rsidRPr="0019001F" w:rsidRDefault="007A59E1">
      <w:pPr>
        <w:jc w:val="both"/>
      </w:pPr>
      <w:bookmarkStart w:id="1" w:name="_Hlk131408801"/>
      <w:r w:rsidRPr="0019001F">
        <w:rPr>
          <w:b/>
          <w:bCs/>
        </w:rPr>
        <w:t>Open science practices</w:t>
      </w:r>
    </w:p>
    <w:p w14:paraId="0261BFCD" w14:textId="5E48BC3C" w:rsidR="00120925" w:rsidRPr="0019001F" w:rsidRDefault="00120925">
      <w:pPr>
        <w:jc w:val="both"/>
      </w:pPr>
      <w:r w:rsidRPr="0019001F">
        <w:t>This communication is based on open (Crossref, OpenAlex, Microsoft Academic) and proprietary sources (Dimensions, Scilit, Semantic Scholar</w:t>
      </w:r>
      <w:r w:rsidR="00632BB3" w:rsidRPr="0019001F">
        <w:t>,</w:t>
      </w:r>
      <w:r w:rsidRPr="0019001F">
        <w:t xml:space="preserve"> The Lens). Due to this, raw data from proprietary sources cannot be publicly released. </w:t>
      </w:r>
    </w:p>
    <w:p w14:paraId="541E58D4" w14:textId="062FA89A" w:rsidR="007A59E1" w:rsidRPr="0019001F" w:rsidRDefault="007A59E1">
      <w:pPr>
        <w:jc w:val="both"/>
      </w:pPr>
    </w:p>
    <w:p w14:paraId="06B77644" w14:textId="2EFE03AB" w:rsidR="00370126" w:rsidRPr="0019001F" w:rsidRDefault="00370126">
      <w:pPr>
        <w:jc w:val="both"/>
        <w:rPr>
          <w:b/>
          <w:bCs/>
        </w:rPr>
      </w:pPr>
      <w:r w:rsidRPr="0019001F">
        <w:rPr>
          <w:b/>
          <w:bCs/>
        </w:rPr>
        <w:t>Author contributions</w:t>
      </w:r>
    </w:p>
    <w:p w14:paraId="22F5923A" w14:textId="1121F2D2" w:rsidR="00333367" w:rsidRPr="0019001F" w:rsidRDefault="00333367">
      <w:pPr>
        <w:jc w:val="both"/>
      </w:pPr>
      <w:r w:rsidRPr="0019001F">
        <w:t xml:space="preserve">Lorena Delgado-Quirós has contributed </w:t>
      </w:r>
      <w:r w:rsidR="00A81FAA" w:rsidRPr="0019001F">
        <w:t>to</w:t>
      </w:r>
      <w:r w:rsidR="00120925" w:rsidRPr="0019001F">
        <w:t xml:space="preserve"> Data curation, Formal analysis, Resources and Sof</w:t>
      </w:r>
      <w:r w:rsidR="00D04ADB">
        <w:t>t</w:t>
      </w:r>
      <w:r w:rsidR="00120925" w:rsidRPr="0019001F">
        <w:t xml:space="preserve">ware. José Luis Ortega has contributed </w:t>
      </w:r>
      <w:r w:rsidR="00A81FAA" w:rsidRPr="0019001F">
        <w:t xml:space="preserve">to </w:t>
      </w:r>
      <w:r w:rsidR="00120925" w:rsidRPr="0019001F">
        <w:t xml:space="preserve">Writing, Conceptualization, Investigation, Methodology and Funding acquisition. </w:t>
      </w:r>
    </w:p>
    <w:p w14:paraId="29A69FD5" w14:textId="77777777" w:rsidR="0031202E" w:rsidRPr="0019001F" w:rsidRDefault="0031202E">
      <w:pPr>
        <w:jc w:val="both"/>
      </w:pPr>
    </w:p>
    <w:p w14:paraId="31603A15" w14:textId="2DE08369" w:rsidR="00370126" w:rsidRPr="0019001F" w:rsidRDefault="00370126">
      <w:pPr>
        <w:jc w:val="both"/>
        <w:rPr>
          <w:b/>
          <w:bCs/>
        </w:rPr>
      </w:pPr>
      <w:r w:rsidRPr="0019001F">
        <w:rPr>
          <w:b/>
          <w:bCs/>
        </w:rPr>
        <w:t>Funding information</w:t>
      </w:r>
    </w:p>
    <w:p w14:paraId="11D1F9EC" w14:textId="114573E7" w:rsidR="00DF037E" w:rsidRPr="0019001F" w:rsidRDefault="005A3159">
      <w:pPr>
        <w:jc w:val="both"/>
      </w:pPr>
      <w:r w:rsidRPr="0019001F">
        <w:t>This work was supported by the research project (NewSIS) “New scientific information sources: analysis and evaluation for a national scientific information system” (Ref. PID2019-106510GB-I00) funded by the Spanish State Research Agency (AEI) PN2019</w:t>
      </w:r>
      <w:bookmarkEnd w:id="1"/>
    </w:p>
    <w:p w14:paraId="6915C807" w14:textId="77777777" w:rsidR="00DF037E" w:rsidRPr="0019001F" w:rsidRDefault="00DF037E">
      <w:pPr>
        <w:jc w:val="both"/>
      </w:pPr>
    </w:p>
    <w:p w14:paraId="153897FF" w14:textId="77777777" w:rsidR="008168F4" w:rsidRPr="0019001F" w:rsidRDefault="008168F4">
      <w:pPr>
        <w:jc w:val="both"/>
        <w:rPr>
          <w:b/>
          <w:bCs/>
        </w:rPr>
      </w:pPr>
      <w:r w:rsidRPr="0019001F">
        <w:rPr>
          <w:b/>
          <w:bCs/>
        </w:rPr>
        <w:t>References</w:t>
      </w:r>
    </w:p>
    <w:p w14:paraId="47F4D64A" w14:textId="16CDC188" w:rsidR="00D91192" w:rsidRPr="0019001F" w:rsidRDefault="00D91192" w:rsidP="00F92089">
      <w:pPr>
        <w:jc w:val="both"/>
      </w:pPr>
    </w:p>
    <w:p w14:paraId="5AE7CD41" w14:textId="33335560" w:rsidR="000E3F4A" w:rsidRDefault="000E3F4A" w:rsidP="00D91192">
      <w:pPr>
        <w:rPr>
          <w:rFonts w:cs="Calibri"/>
        </w:rPr>
      </w:pPr>
      <w:bookmarkStart w:id="2" w:name="_GoBack"/>
      <w:r w:rsidRPr="000E3F4A">
        <w:rPr>
          <w:rFonts w:cs="Calibri"/>
          <w:lang w:val="en-US"/>
        </w:rPr>
        <w:t xml:space="preserve">Basson, I., Simard, M. A., Ouangré, Z. A., Sugimoto, C. R., &amp; Larivière, V. (2022). The effect of data sources on the measurement of open access: A comparison of Dimensions and the Web of Science. </w:t>
      </w:r>
      <w:r w:rsidRPr="000E3F4A">
        <w:rPr>
          <w:rFonts w:cs="Calibri"/>
          <w:i/>
          <w:iCs/>
        </w:rPr>
        <w:t>Plos one</w:t>
      </w:r>
      <w:r w:rsidRPr="000E3F4A">
        <w:rPr>
          <w:rFonts w:cs="Calibri"/>
        </w:rPr>
        <w:t xml:space="preserve">, </w:t>
      </w:r>
      <w:r w:rsidRPr="000E3F4A">
        <w:rPr>
          <w:rFonts w:cs="Calibri"/>
          <w:i/>
          <w:iCs/>
        </w:rPr>
        <w:t>17</w:t>
      </w:r>
      <w:r w:rsidRPr="000E3F4A">
        <w:rPr>
          <w:rFonts w:cs="Calibri"/>
        </w:rPr>
        <w:t>(3), e0265545.</w:t>
      </w:r>
    </w:p>
    <w:p w14:paraId="535F1579" w14:textId="77777777" w:rsidR="000B383F" w:rsidRDefault="000B383F" w:rsidP="00D91192">
      <w:pPr>
        <w:rPr>
          <w:rFonts w:cs="Calibri"/>
        </w:rPr>
      </w:pPr>
    </w:p>
    <w:p w14:paraId="7A75CDE3" w14:textId="30B88E2E" w:rsidR="000E3F4A" w:rsidRDefault="000B383F" w:rsidP="00D91192">
      <w:pPr>
        <w:rPr>
          <w:rFonts w:cs="Calibri"/>
          <w:lang w:eastAsia="es-ES"/>
        </w:rPr>
      </w:pPr>
      <w:r w:rsidRPr="000B383F">
        <w:rPr>
          <w:rFonts w:cs="Calibri"/>
          <w:lang w:val="en-US" w:eastAsia="es-ES"/>
        </w:rPr>
        <w:t xml:space="preserve">Hendricks, G., Tkaczyk, D., Lin, J., &amp; Feeney, P. (2020). Crossref: The sustainable source of community-owned scholarly metadata. </w:t>
      </w:r>
      <w:r w:rsidRPr="000B383F">
        <w:rPr>
          <w:rFonts w:cs="Calibri"/>
          <w:i/>
          <w:iCs/>
          <w:lang w:val="en-US" w:eastAsia="es-ES"/>
        </w:rPr>
        <w:t>Quantitative Science Studies</w:t>
      </w:r>
      <w:r w:rsidRPr="000B383F">
        <w:rPr>
          <w:rFonts w:cs="Calibri"/>
          <w:lang w:val="en-US" w:eastAsia="es-ES"/>
        </w:rPr>
        <w:t xml:space="preserve">, </w:t>
      </w:r>
      <w:r w:rsidRPr="000B383F">
        <w:rPr>
          <w:rFonts w:cs="Calibri"/>
          <w:i/>
          <w:iCs/>
          <w:lang w:val="en-US" w:eastAsia="es-ES"/>
        </w:rPr>
        <w:t>1</w:t>
      </w:r>
      <w:r w:rsidRPr="000B383F">
        <w:rPr>
          <w:rFonts w:cs="Calibri"/>
          <w:lang w:val="en-US" w:eastAsia="es-ES"/>
        </w:rPr>
        <w:t>(1), 414-427.</w:t>
      </w:r>
    </w:p>
    <w:p w14:paraId="60BA7C95" w14:textId="77777777" w:rsidR="000B383F" w:rsidRDefault="000B383F" w:rsidP="000B383F">
      <w:pPr>
        <w:rPr>
          <w:rFonts w:cs="Calibri"/>
          <w:lang w:val="en-US" w:eastAsia="es-ES"/>
        </w:rPr>
      </w:pPr>
    </w:p>
    <w:p w14:paraId="751E5EAA" w14:textId="01C79562" w:rsidR="000B383F" w:rsidRPr="000B383F" w:rsidRDefault="000B383F" w:rsidP="000B383F">
      <w:pPr>
        <w:rPr>
          <w:rFonts w:cs="Calibri"/>
          <w:lang w:val="en-US"/>
        </w:rPr>
      </w:pPr>
      <w:r w:rsidRPr="000B383F">
        <w:rPr>
          <w:rFonts w:cs="Calibri"/>
          <w:lang w:val="en-US" w:eastAsia="es-ES"/>
        </w:rPr>
        <w:t xml:space="preserve">Visser, M., van Eck, N. J., &amp; Waltman, L. (2021). Large-scale comparison of bibliographic data sources: Scopus, Web of Science, Dimensions, Crossref, and Microsoft Academic. </w:t>
      </w:r>
      <w:r w:rsidRPr="000B383F">
        <w:rPr>
          <w:rFonts w:cs="Calibri"/>
          <w:i/>
          <w:iCs/>
          <w:lang w:val="en-US" w:eastAsia="es-ES"/>
        </w:rPr>
        <w:t>Quantitative Science Studies</w:t>
      </w:r>
      <w:r w:rsidRPr="000B383F">
        <w:rPr>
          <w:rFonts w:cs="Calibri"/>
          <w:lang w:val="en-US" w:eastAsia="es-ES"/>
        </w:rPr>
        <w:t xml:space="preserve">, </w:t>
      </w:r>
      <w:r w:rsidRPr="000B383F">
        <w:rPr>
          <w:rFonts w:cs="Calibri"/>
          <w:i/>
          <w:iCs/>
          <w:lang w:val="en-US" w:eastAsia="es-ES"/>
        </w:rPr>
        <w:t>2</w:t>
      </w:r>
      <w:r w:rsidRPr="000B383F">
        <w:rPr>
          <w:rFonts w:cs="Calibri"/>
          <w:lang w:val="en-US" w:eastAsia="es-ES"/>
        </w:rPr>
        <w:t xml:space="preserve">(1), 20-41. </w:t>
      </w:r>
      <w:hyperlink r:id="rId13" w:history="1">
        <w:r w:rsidRPr="000B383F">
          <w:rPr>
            <w:rStyle w:val="Hyperlink"/>
            <w:rFonts w:cs="Calibri"/>
            <w:lang w:val="en-US"/>
          </w:rPr>
          <w:t>https://doi.org/10.1162/qss_a_00112</w:t>
        </w:r>
      </w:hyperlink>
    </w:p>
    <w:p w14:paraId="07B2E596" w14:textId="77777777" w:rsidR="000B383F" w:rsidRDefault="000B383F" w:rsidP="00D91192">
      <w:pPr>
        <w:rPr>
          <w:rFonts w:cs="Calibri"/>
          <w:lang w:eastAsia="es-ES"/>
        </w:rPr>
      </w:pPr>
    </w:p>
    <w:p w14:paraId="0ADF8C5B" w14:textId="2B3E14DB" w:rsidR="00D91192" w:rsidRPr="0019001F" w:rsidRDefault="00D91192" w:rsidP="00D91192">
      <w:pPr>
        <w:rPr>
          <w:rFonts w:cs="Calibri"/>
          <w:lang w:eastAsia="es-ES"/>
        </w:rPr>
      </w:pPr>
      <w:r w:rsidRPr="0019001F">
        <w:rPr>
          <w:rFonts w:cs="Calibri"/>
          <w:lang w:eastAsia="es-ES"/>
        </w:rPr>
        <w:t xml:space="preserve">Waltman, L., Kramer, B., Hendricks, G., Vickery, B. (2020). Open Abstracts: Where are we? Crossref Blog. </w:t>
      </w:r>
      <w:hyperlink r:id="rId14" w:history="1">
        <w:r w:rsidRPr="0019001F">
          <w:rPr>
            <w:rStyle w:val="Hyperlink"/>
            <w:rFonts w:cs="Calibri"/>
            <w:lang w:eastAsia="es-ES"/>
          </w:rPr>
          <w:t>https://www.crossref.org/blog/open-abstracts-where-are-we/</w:t>
        </w:r>
      </w:hyperlink>
    </w:p>
    <w:bookmarkEnd w:id="2"/>
    <w:p w14:paraId="62FFD01B" w14:textId="77777777" w:rsidR="00D91192" w:rsidRPr="0019001F" w:rsidRDefault="00D91192" w:rsidP="00F92089">
      <w:pPr>
        <w:jc w:val="both"/>
      </w:pPr>
    </w:p>
    <w:sectPr w:rsidR="00D91192" w:rsidRPr="0019001F"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3BFE" w14:textId="77777777" w:rsidR="00D52D3D" w:rsidRDefault="00D52D3D">
      <w:r>
        <w:separator/>
      </w:r>
    </w:p>
  </w:endnote>
  <w:endnote w:type="continuationSeparator" w:id="0">
    <w:p w14:paraId="35A5855C" w14:textId="77777777" w:rsidR="00D52D3D" w:rsidRDefault="00D5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6FE9" w14:textId="77777777" w:rsidR="00D52D3D" w:rsidRDefault="00D52D3D">
      <w:r>
        <w:separator/>
      </w:r>
    </w:p>
  </w:footnote>
  <w:footnote w:type="continuationSeparator" w:id="0">
    <w:p w14:paraId="0DDC1086" w14:textId="77777777" w:rsidR="00D52D3D" w:rsidRDefault="00D52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39A9"/>
    <w:multiLevelType w:val="hybridMultilevel"/>
    <w:tmpl w:val="80DAA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A23B38"/>
    <w:multiLevelType w:val="hybridMultilevel"/>
    <w:tmpl w:val="0FAC9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AC"/>
    <w:rsid w:val="0000194C"/>
    <w:rsid w:val="0000519E"/>
    <w:rsid w:val="000148A1"/>
    <w:rsid w:val="00015A7B"/>
    <w:rsid w:val="00016081"/>
    <w:rsid w:val="000224AE"/>
    <w:rsid w:val="00022F49"/>
    <w:rsid w:val="000433DF"/>
    <w:rsid w:val="000478D3"/>
    <w:rsid w:val="00052E3A"/>
    <w:rsid w:val="0005460D"/>
    <w:rsid w:val="00056B2C"/>
    <w:rsid w:val="00065B74"/>
    <w:rsid w:val="00066FBE"/>
    <w:rsid w:val="00077816"/>
    <w:rsid w:val="00081D4D"/>
    <w:rsid w:val="00093969"/>
    <w:rsid w:val="00094E04"/>
    <w:rsid w:val="000A0333"/>
    <w:rsid w:val="000A2344"/>
    <w:rsid w:val="000A3447"/>
    <w:rsid w:val="000A4A9F"/>
    <w:rsid w:val="000B257D"/>
    <w:rsid w:val="000B323A"/>
    <w:rsid w:val="000B383F"/>
    <w:rsid w:val="000C0E34"/>
    <w:rsid w:val="000C1967"/>
    <w:rsid w:val="000C25AF"/>
    <w:rsid w:val="000C6D36"/>
    <w:rsid w:val="000D0FBA"/>
    <w:rsid w:val="000D460F"/>
    <w:rsid w:val="000E3F4A"/>
    <w:rsid w:val="000F23C1"/>
    <w:rsid w:val="000F6691"/>
    <w:rsid w:val="00105061"/>
    <w:rsid w:val="00105A1D"/>
    <w:rsid w:val="001138CA"/>
    <w:rsid w:val="00120925"/>
    <w:rsid w:val="00121FB2"/>
    <w:rsid w:val="001255D8"/>
    <w:rsid w:val="001402B3"/>
    <w:rsid w:val="00153441"/>
    <w:rsid w:val="00157749"/>
    <w:rsid w:val="00160837"/>
    <w:rsid w:val="00161230"/>
    <w:rsid w:val="00173EAD"/>
    <w:rsid w:val="00175488"/>
    <w:rsid w:val="00186CF6"/>
    <w:rsid w:val="0019001F"/>
    <w:rsid w:val="001B0E72"/>
    <w:rsid w:val="001D4160"/>
    <w:rsid w:val="001D7CC8"/>
    <w:rsid w:val="001E568F"/>
    <w:rsid w:val="001F332D"/>
    <w:rsid w:val="001F731E"/>
    <w:rsid w:val="001F7644"/>
    <w:rsid w:val="0020033E"/>
    <w:rsid w:val="00202745"/>
    <w:rsid w:val="002057EE"/>
    <w:rsid w:val="002127DC"/>
    <w:rsid w:val="0022290C"/>
    <w:rsid w:val="002341FC"/>
    <w:rsid w:val="002570BB"/>
    <w:rsid w:val="0026019A"/>
    <w:rsid w:val="00264F48"/>
    <w:rsid w:val="00276CC7"/>
    <w:rsid w:val="0028410F"/>
    <w:rsid w:val="0029109C"/>
    <w:rsid w:val="00291BD4"/>
    <w:rsid w:val="0029211E"/>
    <w:rsid w:val="00293DA3"/>
    <w:rsid w:val="00294114"/>
    <w:rsid w:val="002943CA"/>
    <w:rsid w:val="002B1950"/>
    <w:rsid w:val="002B1D8A"/>
    <w:rsid w:val="002C0FA2"/>
    <w:rsid w:val="002C182F"/>
    <w:rsid w:val="002C342A"/>
    <w:rsid w:val="002D1B17"/>
    <w:rsid w:val="002D33F7"/>
    <w:rsid w:val="002D3BE4"/>
    <w:rsid w:val="002D5F97"/>
    <w:rsid w:val="002D710E"/>
    <w:rsid w:val="002E7904"/>
    <w:rsid w:val="002F243C"/>
    <w:rsid w:val="002F565D"/>
    <w:rsid w:val="0030375F"/>
    <w:rsid w:val="003039EA"/>
    <w:rsid w:val="00310C0B"/>
    <w:rsid w:val="0031202E"/>
    <w:rsid w:val="003124AD"/>
    <w:rsid w:val="003127D0"/>
    <w:rsid w:val="00320C5D"/>
    <w:rsid w:val="00333367"/>
    <w:rsid w:val="0034094A"/>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3F037B"/>
    <w:rsid w:val="003F23F0"/>
    <w:rsid w:val="00402C81"/>
    <w:rsid w:val="0040394D"/>
    <w:rsid w:val="004057FC"/>
    <w:rsid w:val="004147D4"/>
    <w:rsid w:val="00420106"/>
    <w:rsid w:val="00427C58"/>
    <w:rsid w:val="00430FC6"/>
    <w:rsid w:val="004342C8"/>
    <w:rsid w:val="0044073E"/>
    <w:rsid w:val="00445337"/>
    <w:rsid w:val="00445A23"/>
    <w:rsid w:val="00451AA5"/>
    <w:rsid w:val="0045560F"/>
    <w:rsid w:val="004725C8"/>
    <w:rsid w:val="00475931"/>
    <w:rsid w:val="004971AB"/>
    <w:rsid w:val="004B35C4"/>
    <w:rsid w:val="004D330C"/>
    <w:rsid w:val="004D4532"/>
    <w:rsid w:val="004E212B"/>
    <w:rsid w:val="004E56AC"/>
    <w:rsid w:val="00505C66"/>
    <w:rsid w:val="00510051"/>
    <w:rsid w:val="005110DD"/>
    <w:rsid w:val="005170CD"/>
    <w:rsid w:val="005172F9"/>
    <w:rsid w:val="00517FCF"/>
    <w:rsid w:val="00522BF8"/>
    <w:rsid w:val="005268E4"/>
    <w:rsid w:val="0053603D"/>
    <w:rsid w:val="0054026B"/>
    <w:rsid w:val="00542798"/>
    <w:rsid w:val="0054666D"/>
    <w:rsid w:val="00554E8F"/>
    <w:rsid w:val="00570E3F"/>
    <w:rsid w:val="00572E3E"/>
    <w:rsid w:val="005736CB"/>
    <w:rsid w:val="0057717C"/>
    <w:rsid w:val="00577703"/>
    <w:rsid w:val="00582910"/>
    <w:rsid w:val="0058753E"/>
    <w:rsid w:val="00595181"/>
    <w:rsid w:val="00595AC4"/>
    <w:rsid w:val="00596F60"/>
    <w:rsid w:val="005A1BF2"/>
    <w:rsid w:val="005A3159"/>
    <w:rsid w:val="005A6E71"/>
    <w:rsid w:val="005B0362"/>
    <w:rsid w:val="005B3511"/>
    <w:rsid w:val="005C6A9C"/>
    <w:rsid w:val="005F28F1"/>
    <w:rsid w:val="005F310B"/>
    <w:rsid w:val="00604506"/>
    <w:rsid w:val="00606575"/>
    <w:rsid w:val="0061214D"/>
    <w:rsid w:val="00614B1C"/>
    <w:rsid w:val="00614ED0"/>
    <w:rsid w:val="00632BB3"/>
    <w:rsid w:val="0063363B"/>
    <w:rsid w:val="006351BA"/>
    <w:rsid w:val="00646543"/>
    <w:rsid w:val="00647A0B"/>
    <w:rsid w:val="006510F8"/>
    <w:rsid w:val="006513C3"/>
    <w:rsid w:val="006609A8"/>
    <w:rsid w:val="0066157A"/>
    <w:rsid w:val="00662AF1"/>
    <w:rsid w:val="00663AC3"/>
    <w:rsid w:val="00673D51"/>
    <w:rsid w:val="00681AAA"/>
    <w:rsid w:val="00684B8B"/>
    <w:rsid w:val="006A3370"/>
    <w:rsid w:val="006C40B1"/>
    <w:rsid w:val="006D01F6"/>
    <w:rsid w:val="006D14F4"/>
    <w:rsid w:val="006E3FD1"/>
    <w:rsid w:val="006E7E5A"/>
    <w:rsid w:val="006F487B"/>
    <w:rsid w:val="007042BB"/>
    <w:rsid w:val="007053E7"/>
    <w:rsid w:val="007117B7"/>
    <w:rsid w:val="007155F7"/>
    <w:rsid w:val="0071657A"/>
    <w:rsid w:val="00717C26"/>
    <w:rsid w:val="007228AC"/>
    <w:rsid w:val="0073347A"/>
    <w:rsid w:val="007357E7"/>
    <w:rsid w:val="00737C87"/>
    <w:rsid w:val="00740F07"/>
    <w:rsid w:val="0074177C"/>
    <w:rsid w:val="00754BC0"/>
    <w:rsid w:val="007625EF"/>
    <w:rsid w:val="00762864"/>
    <w:rsid w:val="0076587B"/>
    <w:rsid w:val="0077796D"/>
    <w:rsid w:val="00780EC7"/>
    <w:rsid w:val="0078754B"/>
    <w:rsid w:val="0079442B"/>
    <w:rsid w:val="007A42E7"/>
    <w:rsid w:val="007A59E1"/>
    <w:rsid w:val="007C30D8"/>
    <w:rsid w:val="007D2A59"/>
    <w:rsid w:val="007E24E0"/>
    <w:rsid w:val="007F1434"/>
    <w:rsid w:val="007F3BBB"/>
    <w:rsid w:val="007F57FB"/>
    <w:rsid w:val="00800369"/>
    <w:rsid w:val="00810FA5"/>
    <w:rsid w:val="0081259D"/>
    <w:rsid w:val="00813E5C"/>
    <w:rsid w:val="008168F4"/>
    <w:rsid w:val="0082381B"/>
    <w:rsid w:val="00823AF0"/>
    <w:rsid w:val="00835B6B"/>
    <w:rsid w:val="008437BE"/>
    <w:rsid w:val="00852334"/>
    <w:rsid w:val="008618F8"/>
    <w:rsid w:val="00870B16"/>
    <w:rsid w:val="00874AEB"/>
    <w:rsid w:val="00893401"/>
    <w:rsid w:val="00897076"/>
    <w:rsid w:val="008B584C"/>
    <w:rsid w:val="008C2573"/>
    <w:rsid w:val="008C52D4"/>
    <w:rsid w:val="008D49E0"/>
    <w:rsid w:val="008E3F52"/>
    <w:rsid w:val="008E4D58"/>
    <w:rsid w:val="008E5795"/>
    <w:rsid w:val="008E6E34"/>
    <w:rsid w:val="008F1157"/>
    <w:rsid w:val="008F1E72"/>
    <w:rsid w:val="008F2C66"/>
    <w:rsid w:val="008F6633"/>
    <w:rsid w:val="008F783D"/>
    <w:rsid w:val="00915294"/>
    <w:rsid w:val="00927ECF"/>
    <w:rsid w:val="009302E1"/>
    <w:rsid w:val="0093532C"/>
    <w:rsid w:val="009501DD"/>
    <w:rsid w:val="00950C44"/>
    <w:rsid w:val="00953BA1"/>
    <w:rsid w:val="00962921"/>
    <w:rsid w:val="009737E3"/>
    <w:rsid w:val="00980112"/>
    <w:rsid w:val="009867E2"/>
    <w:rsid w:val="00994680"/>
    <w:rsid w:val="009A1E7B"/>
    <w:rsid w:val="009D026B"/>
    <w:rsid w:val="009D6E20"/>
    <w:rsid w:val="009E04C1"/>
    <w:rsid w:val="009E23BF"/>
    <w:rsid w:val="009F0D3F"/>
    <w:rsid w:val="009F2359"/>
    <w:rsid w:val="00A22AC2"/>
    <w:rsid w:val="00A305B9"/>
    <w:rsid w:val="00A40DD3"/>
    <w:rsid w:val="00A4362D"/>
    <w:rsid w:val="00A71714"/>
    <w:rsid w:val="00A777D6"/>
    <w:rsid w:val="00A81FAA"/>
    <w:rsid w:val="00A93917"/>
    <w:rsid w:val="00A96B02"/>
    <w:rsid w:val="00AA1481"/>
    <w:rsid w:val="00AA3D6D"/>
    <w:rsid w:val="00AA5FBF"/>
    <w:rsid w:val="00AB2736"/>
    <w:rsid w:val="00AB72AD"/>
    <w:rsid w:val="00AC140C"/>
    <w:rsid w:val="00AD2309"/>
    <w:rsid w:val="00AD3532"/>
    <w:rsid w:val="00AD53B6"/>
    <w:rsid w:val="00AD6D2D"/>
    <w:rsid w:val="00AE7776"/>
    <w:rsid w:val="00AF2859"/>
    <w:rsid w:val="00AF2B46"/>
    <w:rsid w:val="00AF63BC"/>
    <w:rsid w:val="00B06CDE"/>
    <w:rsid w:val="00B101A3"/>
    <w:rsid w:val="00B16715"/>
    <w:rsid w:val="00B16E8E"/>
    <w:rsid w:val="00B223C2"/>
    <w:rsid w:val="00B35DB9"/>
    <w:rsid w:val="00B42E85"/>
    <w:rsid w:val="00B5494B"/>
    <w:rsid w:val="00B5776F"/>
    <w:rsid w:val="00B63DFC"/>
    <w:rsid w:val="00B71AD5"/>
    <w:rsid w:val="00B73A76"/>
    <w:rsid w:val="00B73A77"/>
    <w:rsid w:val="00B77261"/>
    <w:rsid w:val="00B868DF"/>
    <w:rsid w:val="00B90235"/>
    <w:rsid w:val="00BA0996"/>
    <w:rsid w:val="00BA4144"/>
    <w:rsid w:val="00BA59EF"/>
    <w:rsid w:val="00BA68EE"/>
    <w:rsid w:val="00BA68F9"/>
    <w:rsid w:val="00BA6F1A"/>
    <w:rsid w:val="00BB2E42"/>
    <w:rsid w:val="00BC1DB6"/>
    <w:rsid w:val="00BC2363"/>
    <w:rsid w:val="00BD2667"/>
    <w:rsid w:val="00BD2AC8"/>
    <w:rsid w:val="00BD4E35"/>
    <w:rsid w:val="00BD711B"/>
    <w:rsid w:val="00BF5B9C"/>
    <w:rsid w:val="00C0000D"/>
    <w:rsid w:val="00C06D28"/>
    <w:rsid w:val="00C101A6"/>
    <w:rsid w:val="00C15110"/>
    <w:rsid w:val="00C213E6"/>
    <w:rsid w:val="00C24BE4"/>
    <w:rsid w:val="00C3437E"/>
    <w:rsid w:val="00C437DD"/>
    <w:rsid w:val="00C56346"/>
    <w:rsid w:val="00C6489E"/>
    <w:rsid w:val="00C7540A"/>
    <w:rsid w:val="00C76479"/>
    <w:rsid w:val="00C765BD"/>
    <w:rsid w:val="00C847B6"/>
    <w:rsid w:val="00C86E38"/>
    <w:rsid w:val="00C90B76"/>
    <w:rsid w:val="00C97DD2"/>
    <w:rsid w:val="00CA1357"/>
    <w:rsid w:val="00CA37F0"/>
    <w:rsid w:val="00CA76C7"/>
    <w:rsid w:val="00CB0C61"/>
    <w:rsid w:val="00CB15AC"/>
    <w:rsid w:val="00CB6152"/>
    <w:rsid w:val="00CB7BCF"/>
    <w:rsid w:val="00CC28DE"/>
    <w:rsid w:val="00CC63CF"/>
    <w:rsid w:val="00CC6BC3"/>
    <w:rsid w:val="00CE3C45"/>
    <w:rsid w:val="00CE6C58"/>
    <w:rsid w:val="00CE70E2"/>
    <w:rsid w:val="00CF44BA"/>
    <w:rsid w:val="00D00AAB"/>
    <w:rsid w:val="00D02002"/>
    <w:rsid w:val="00D03AD4"/>
    <w:rsid w:val="00D04ADB"/>
    <w:rsid w:val="00D067F3"/>
    <w:rsid w:val="00D132FE"/>
    <w:rsid w:val="00D1683E"/>
    <w:rsid w:val="00D16BC6"/>
    <w:rsid w:val="00D21277"/>
    <w:rsid w:val="00D269CF"/>
    <w:rsid w:val="00D314CF"/>
    <w:rsid w:val="00D34688"/>
    <w:rsid w:val="00D36057"/>
    <w:rsid w:val="00D461C1"/>
    <w:rsid w:val="00D50395"/>
    <w:rsid w:val="00D52D3D"/>
    <w:rsid w:val="00D54C10"/>
    <w:rsid w:val="00D54E25"/>
    <w:rsid w:val="00D5520D"/>
    <w:rsid w:val="00D65F13"/>
    <w:rsid w:val="00D837D9"/>
    <w:rsid w:val="00D91192"/>
    <w:rsid w:val="00D96243"/>
    <w:rsid w:val="00DA3C2B"/>
    <w:rsid w:val="00DB40B2"/>
    <w:rsid w:val="00DC0413"/>
    <w:rsid w:val="00DC105B"/>
    <w:rsid w:val="00DC6FB5"/>
    <w:rsid w:val="00DE0E40"/>
    <w:rsid w:val="00DE5BD2"/>
    <w:rsid w:val="00DF037E"/>
    <w:rsid w:val="00DF2DC3"/>
    <w:rsid w:val="00E02C86"/>
    <w:rsid w:val="00E03487"/>
    <w:rsid w:val="00E077DB"/>
    <w:rsid w:val="00E32A1D"/>
    <w:rsid w:val="00E33403"/>
    <w:rsid w:val="00E33BA6"/>
    <w:rsid w:val="00E34C97"/>
    <w:rsid w:val="00E44280"/>
    <w:rsid w:val="00E501C4"/>
    <w:rsid w:val="00E50A3D"/>
    <w:rsid w:val="00E55FBC"/>
    <w:rsid w:val="00E7703F"/>
    <w:rsid w:val="00E865CB"/>
    <w:rsid w:val="00EA6D4C"/>
    <w:rsid w:val="00EA7E9B"/>
    <w:rsid w:val="00EB1190"/>
    <w:rsid w:val="00EB5C09"/>
    <w:rsid w:val="00EB6AF1"/>
    <w:rsid w:val="00EC04B8"/>
    <w:rsid w:val="00EC286B"/>
    <w:rsid w:val="00EC7804"/>
    <w:rsid w:val="00ED27EB"/>
    <w:rsid w:val="00EE4AC8"/>
    <w:rsid w:val="00EE791C"/>
    <w:rsid w:val="00EF2082"/>
    <w:rsid w:val="00EF3656"/>
    <w:rsid w:val="00EF44E2"/>
    <w:rsid w:val="00F047FA"/>
    <w:rsid w:val="00F0578C"/>
    <w:rsid w:val="00F11FF9"/>
    <w:rsid w:val="00F13510"/>
    <w:rsid w:val="00F233ED"/>
    <w:rsid w:val="00F25426"/>
    <w:rsid w:val="00F2758B"/>
    <w:rsid w:val="00F37D2C"/>
    <w:rsid w:val="00F430AA"/>
    <w:rsid w:val="00F4472E"/>
    <w:rsid w:val="00F463E0"/>
    <w:rsid w:val="00F729E0"/>
    <w:rsid w:val="00F74276"/>
    <w:rsid w:val="00F776E3"/>
    <w:rsid w:val="00F834E1"/>
    <w:rsid w:val="00F8756A"/>
    <w:rsid w:val="00F909B9"/>
    <w:rsid w:val="00F92089"/>
    <w:rsid w:val="00F942F5"/>
    <w:rsid w:val="00FA4F33"/>
    <w:rsid w:val="00FB0E40"/>
    <w:rsid w:val="00FB2E6C"/>
    <w:rsid w:val="00FC6051"/>
    <w:rsid w:val="00FD22EC"/>
    <w:rsid w:val="00FE220D"/>
    <w:rsid w:val="00FE52F4"/>
    <w:rsid w:val="00FE5CA9"/>
    <w:rsid w:val="00FE5D82"/>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customStyle="1" w:styleId="UnresolvedMention">
    <w:name w:val="Unresolved Mention"/>
    <w:uiPriority w:val="99"/>
    <w:semiHidden/>
    <w:unhideWhenUsed/>
    <w:rsid w:val="00813E5C"/>
    <w:rPr>
      <w:color w:val="605E5C"/>
      <w:shd w:val="clear" w:color="auto" w:fill="E1DFDD"/>
    </w:rPr>
  </w:style>
  <w:style w:type="table" w:styleId="TableGrid">
    <w:name w:val="Table Grid"/>
    <w:basedOn w:val="TableNormal"/>
    <w:uiPriority w:val="59"/>
    <w:rsid w:val="007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23251">
      <w:bodyDiv w:val="1"/>
      <w:marLeft w:val="0"/>
      <w:marRight w:val="0"/>
      <w:marTop w:val="0"/>
      <w:marBottom w:val="0"/>
      <w:divBdr>
        <w:top w:val="none" w:sz="0" w:space="0" w:color="auto"/>
        <w:left w:val="none" w:sz="0" w:space="0" w:color="auto"/>
        <w:bottom w:val="none" w:sz="0" w:space="0" w:color="auto"/>
        <w:right w:val="none" w:sz="0" w:space="0" w:color="auto"/>
      </w:divBdr>
    </w:div>
    <w:div w:id="157207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62/qss_a_0011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ossref.org/blog/open-abstracts-where-are-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6AA12F49-A384-4B55-9CE5-ED80DFD2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4514</TotalTime>
  <Pages>8</Pages>
  <Words>3096</Words>
  <Characters>17651</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20706</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Jose Luis</cp:lastModifiedBy>
  <cp:revision>126</cp:revision>
  <cp:lastPrinted>2005-03-14T08:40:00Z</cp:lastPrinted>
  <dcterms:created xsi:type="dcterms:W3CDTF">2022-12-15T12:25:00Z</dcterms:created>
  <dcterms:modified xsi:type="dcterms:W3CDTF">2023-04-12T15:06:00Z</dcterms:modified>
</cp:coreProperties>
</file>