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CCC5C" w14:textId="5CE57140" w:rsidR="00AD6D2D" w:rsidRPr="00542798" w:rsidRDefault="008340DD" w:rsidP="00542798">
      <w:pPr>
        <w:pStyle w:val="Heading1"/>
        <w:jc w:val="center"/>
      </w:pPr>
      <w:r>
        <w:t xml:space="preserve">The growth of international collaboration: </w:t>
      </w:r>
      <w:r w:rsidR="00F90B73">
        <w:t>Collaboration</w:t>
      </w:r>
      <w:r w:rsidR="00EC51C0">
        <w:t xml:space="preserve"> Category Normalised Citation </w:t>
      </w:r>
      <w:r w:rsidR="000732E9">
        <w:t>Impact</w:t>
      </w:r>
      <w:r w:rsidR="00EC51C0">
        <w:t xml:space="preserve"> </w:t>
      </w:r>
      <w:r w:rsidR="0034067E">
        <w:t>(</w:t>
      </w:r>
      <w:r w:rsidR="002B3BA9">
        <w:t xml:space="preserve">Collab </w:t>
      </w:r>
      <w:r w:rsidR="0034067E">
        <w:t xml:space="preserve">CNCI) </w:t>
      </w:r>
      <w:r w:rsidR="00F90B73">
        <w:t>and i</w:t>
      </w:r>
      <w:r>
        <w:t xml:space="preserve">mplications for </w:t>
      </w:r>
      <w:r w:rsidR="0037136D">
        <w:t xml:space="preserve">responsible </w:t>
      </w:r>
      <w:r>
        <w:t xml:space="preserve">research </w:t>
      </w:r>
      <w:r w:rsidR="0037136D">
        <w:t>evaluation</w:t>
      </w:r>
    </w:p>
    <w:p w14:paraId="1448DA63" w14:textId="77777777" w:rsidR="00AD6D2D" w:rsidRPr="00AD6D2D" w:rsidRDefault="00AD6D2D" w:rsidP="00542798">
      <w:pPr>
        <w:jc w:val="center"/>
      </w:pPr>
    </w:p>
    <w:p w14:paraId="49EED032" w14:textId="3532DA61" w:rsidR="00AD6D2D" w:rsidRPr="00AD6D2D" w:rsidRDefault="008340DD" w:rsidP="00542798">
      <w:pPr>
        <w:jc w:val="center"/>
      </w:pPr>
      <w:r>
        <w:t>Ross W. K.</w:t>
      </w:r>
      <w:r w:rsidR="00AD6D2D" w:rsidRPr="00AD6D2D">
        <w:t xml:space="preserve"> </w:t>
      </w:r>
      <w:r>
        <w:t>Potter</w:t>
      </w:r>
      <w:r w:rsidR="00AD6D2D" w:rsidRPr="00AD6D2D">
        <w:rPr>
          <w:vertAlign w:val="superscript"/>
        </w:rPr>
        <w:t>*</w:t>
      </w:r>
    </w:p>
    <w:p w14:paraId="69B5EBE6" w14:textId="77777777" w:rsidR="00AD6D2D" w:rsidRPr="00AD6D2D" w:rsidRDefault="00AD6D2D" w:rsidP="00542798">
      <w:pPr>
        <w:jc w:val="center"/>
        <w:rPr>
          <w:sz w:val="20"/>
          <w:szCs w:val="20"/>
        </w:rPr>
      </w:pPr>
    </w:p>
    <w:p w14:paraId="0327B950" w14:textId="58A1CE8A" w:rsidR="00AD6D2D" w:rsidRPr="00AD6D2D" w:rsidRDefault="00AD6D2D" w:rsidP="00542798">
      <w:pPr>
        <w:jc w:val="center"/>
        <w:rPr>
          <w:sz w:val="20"/>
          <w:szCs w:val="20"/>
        </w:rPr>
      </w:pPr>
      <w:r w:rsidRPr="00AD6D2D">
        <w:rPr>
          <w:sz w:val="20"/>
          <w:szCs w:val="20"/>
          <w:vertAlign w:val="superscript"/>
        </w:rPr>
        <w:t>*</w:t>
      </w:r>
      <w:proofErr w:type="spellStart"/>
      <w:proofErr w:type="gramStart"/>
      <w:r w:rsidR="008340DD">
        <w:rPr>
          <w:i/>
          <w:iCs/>
          <w:sz w:val="20"/>
          <w:szCs w:val="20"/>
        </w:rPr>
        <w:t>ross.potter</w:t>
      </w:r>
      <w:proofErr w:type="spellEnd"/>
      <w:proofErr w:type="gramEnd"/>
      <w:r w:rsidR="008340DD" w:rsidRPr="00AD6D2D">
        <w:rPr>
          <w:i/>
          <w:iCs/>
          <w:sz w:val="20"/>
          <w:szCs w:val="20"/>
        </w:rPr>
        <w:t xml:space="preserve"> </w:t>
      </w:r>
      <w:r w:rsidRPr="00AD6D2D">
        <w:rPr>
          <w:i/>
          <w:iCs/>
          <w:sz w:val="20"/>
          <w:szCs w:val="20"/>
        </w:rPr>
        <w:t>@</w:t>
      </w:r>
      <w:r w:rsidR="008340DD">
        <w:rPr>
          <w:i/>
          <w:iCs/>
          <w:sz w:val="20"/>
          <w:szCs w:val="20"/>
        </w:rPr>
        <w:t>clarivate</w:t>
      </w:r>
      <w:r w:rsidRPr="00AD6D2D">
        <w:rPr>
          <w:i/>
          <w:iCs/>
          <w:sz w:val="20"/>
          <w:szCs w:val="20"/>
        </w:rPr>
        <w:t>.com</w:t>
      </w:r>
    </w:p>
    <w:p w14:paraId="25FCF4FA" w14:textId="14C5DC17" w:rsidR="00AD6D2D" w:rsidRPr="00AD6D2D" w:rsidRDefault="008340DD" w:rsidP="00542798">
      <w:pPr>
        <w:jc w:val="center"/>
        <w:rPr>
          <w:sz w:val="20"/>
          <w:szCs w:val="20"/>
        </w:rPr>
      </w:pPr>
      <w:r w:rsidRPr="008340DD">
        <w:rPr>
          <w:sz w:val="20"/>
          <w:szCs w:val="20"/>
        </w:rPr>
        <w:t>0000-0002-1338-5910</w:t>
      </w:r>
    </w:p>
    <w:p w14:paraId="18EAD8F9" w14:textId="4CC65756" w:rsidR="008168F4" w:rsidRPr="00A14942" w:rsidRDefault="008340DD" w:rsidP="00A14942">
      <w:pPr>
        <w:jc w:val="center"/>
        <w:rPr>
          <w:sz w:val="20"/>
          <w:szCs w:val="20"/>
        </w:rPr>
      </w:pPr>
      <w:r>
        <w:rPr>
          <w:sz w:val="20"/>
          <w:szCs w:val="20"/>
        </w:rPr>
        <w:t>Institute for Scientific Information</w:t>
      </w:r>
      <w:r w:rsidR="00AD6D2D" w:rsidRPr="00AD6D2D">
        <w:rPr>
          <w:sz w:val="20"/>
          <w:szCs w:val="20"/>
        </w:rPr>
        <w:t xml:space="preserve">, </w:t>
      </w:r>
      <w:r>
        <w:rPr>
          <w:sz w:val="20"/>
          <w:szCs w:val="20"/>
        </w:rPr>
        <w:t>Clarivate</w:t>
      </w:r>
      <w:r w:rsidR="00AD6D2D" w:rsidRPr="00AD6D2D">
        <w:rPr>
          <w:sz w:val="20"/>
          <w:szCs w:val="20"/>
        </w:rPr>
        <w:t xml:space="preserve">, </w:t>
      </w:r>
      <w:r>
        <w:rPr>
          <w:sz w:val="20"/>
          <w:szCs w:val="20"/>
        </w:rPr>
        <w:t>UK</w:t>
      </w:r>
    </w:p>
    <w:p w14:paraId="04927CB0" w14:textId="3FF61CA2" w:rsidR="008168F4" w:rsidRDefault="008168F4" w:rsidP="00542798">
      <w:pPr>
        <w:jc w:val="center"/>
      </w:pPr>
    </w:p>
    <w:p w14:paraId="02AB4BB3" w14:textId="3ABDD0B4" w:rsidR="00687911" w:rsidRPr="00687911" w:rsidRDefault="00DD768E" w:rsidP="00687911">
      <w:pPr>
        <w:jc w:val="both"/>
        <w:rPr>
          <w:sz w:val="20"/>
          <w:szCs w:val="20"/>
        </w:rPr>
      </w:pPr>
      <w:r>
        <w:rPr>
          <w:sz w:val="20"/>
          <w:szCs w:val="20"/>
        </w:rPr>
        <w:t xml:space="preserve">International collaboration is now integral to </w:t>
      </w:r>
      <w:r w:rsidR="00DA74A8">
        <w:rPr>
          <w:sz w:val="20"/>
          <w:szCs w:val="20"/>
        </w:rPr>
        <w:t>academic research</w:t>
      </w:r>
      <w:r w:rsidR="00DC5DD2">
        <w:rPr>
          <w:sz w:val="20"/>
          <w:szCs w:val="20"/>
        </w:rPr>
        <w:t>,</w:t>
      </w:r>
      <w:r w:rsidR="007B72DE">
        <w:rPr>
          <w:sz w:val="20"/>
          <w:szCs w:val="20"/>
        </w:rPr>
        <w:t xml:space="preserve"> with </w:t>
      </w:r>
      <w:r w:rsidR="00472CCE">
        <w:rPr>
          <w:sz w:val="20"/>
          <w:szCs w:val="20"/>
        </w:rPr>
        <w:t xml:space="preserve">the </w:t>
      </w:r>
      <w:r w:rsidR="00246D2D">
        <w:rPr>
          <w:sz w:val="20"/>
          <w:szCs w:val="20"/>
        </w:rPr>
        <w:t>C</w:t>
      </w:r>
      <w:r w:rsidR="0034067E">
        <w:rPr>
          <w:sz w:val="20"/>
          <w:szCs w:val="20"/>
        </w:rPr>
        <w:t>ollaboration C</w:t>
      </w:r>
      <w:r w:rsidR="003F6DD7">
        <w:rPr>
          <w:sz w:val="20"/>
          <w:szCs w:val="20"/>
        </w:rPr>
        <w:t xml:space="preserve">ategory </w:t>
      </w:r>
      <w:r w:rsidR="0034067E">
        <w:rPr>
          <w:sz w:val="20"/>
          <w:szCs w:val="20"/>
        </w:rPr>
        <w:t>N</w:t>
      </w:r>
      <w:r w:rsidR="003F6DD7">
        <w:rPr>
          <w:sz w:val="20"/>
          <w:szCs w:val="20"/>
        </w:rPr>
        <w:t xml:space="preserve">ormalised </w:t>
      </w:r>
      <w:r w:rsidR="0034067E">
        <w:rPr>
          <w:sz w:val="20"/>
          <w:szCs w:val="20"/>
        </w:rPr>
        <w:t>C</w:t>
      </w:r>
      <w:r w:rsidR="003F6DD7">
        <w:rPr>
          <w:sz w:val="20"/>
          <w:szCs w:val="20"/>
        </w:rPr>
        <w:t xml:space="preserve">itation </w:t>
      </w:r>
      <w:r w:rsidR="00CD4D51">
        <w:rPr>
          <w:sz w:val="20"/>
          <w:szCs w:val="20"/>
        </w:rPr>
        <w:t>Impact</w:t>
      </w:r>
      <w:r w:rsidR="003F6DD7">
        <w:rPr>
          <w:sz w:val="20"/>
          <w:szCs w:val="20"/>
        </w:rPr>
        <w:t xml:space="preserve"> (</w:t>
      </w:r>
      <w:r w:rsidR="004C34AF">
        <w:rPr>
          <w:sz w:val="20"/>
          <w:szCs w:val="20"/>
        </w:rPr>
        <w:t xml:space="preserve">Collab </w:t>
      </w:r>
      <w:r w:rsidR="003F6DD7">
        <w:rPr>
          <w:sz w:val="20"/>
          <w:szCs w:val="20"/>
        </w:rPr>
        <w:t>CNCI)</w:t>
      </w:r>
      <w:r w:rsidR="007B72DE">
        <w:rPr>
          <w:sz w:val="20"/>
          <w:szCs w:val="20"/>
        </w:rPr>
        <w:t xml:space="preserve"> </w:t>
      </w:r>
      <w:r w:rsidR="00246D2D">
        <w:rPr>
          <w:sz w:val="20"/>
          <w:szCs w:val="20"/>
        </w:rPr>
        <w:t xml:space="preserve">indicator </w:t>
      </w:r>
      <w:r w:rsidR="007B72DE">
        <w:rPr>
          <w:sz w:val="20"/>
          <w:szCs w:val="20"/>
        </w:rPr>
        <w:t xml:space="preserve">formulated to </w:t>
      </w:r>
      <w:r w:rsidR="00D244D0">
        <w:rPr>
          <w:sz w:val="20"/>
          <w:szCs w:val="20"/>
        </w:rPr>
        <w:t>specifically account for this.</w:t>
      </w:r>
      <w:r w:rsidR="00DC5DD2">
        <w:rPr>
          <w:sz w:val="20"/>
          <w:szCs w:val="20"/>
        </w:rPr>
        <w:t xml:space="preserve"> Here, </w:t>
      </w:r>
      <w:r w:rsidR="004C34AF">
        <w:rPr>
          <w:sz w:val="20"/>
          <w:szCs w:val="20"/>
        </w:rPr>
        <w:t>Collab</w:t>
      </w:r>
      <w:r w:rsidR="00DC5DD2">
        <w:rPr>
          <w:sz w:val="20"/>
          <w:szCs w:val="20"/>
        </w:rPr>
        <w:t xml:space="preserve"> CNCI </w:t>
      </w:r>
      <w:r w:rsidR="00811063">
        <w:rPr>
          <w:sz w:val="20"/>
          <w:szCs w:val="20"/>
        </w:rPr>
        <w:t xml:space="preserve">is used independently, as </w:t>
      </w:r>
      <w:r w:rsidR="00687911" w:rsidRPr="00687911">
        <w:rPr>
          <w:sz w:val="20"/>
          <w:szCs w:val="20"/>
        </w:rPr>
        <w:t>well as in concert with other CNCI variants</w:t>
      </w:r>
      <w:r w:rsidR="00690E7D">
        <w:rPr>
          <w:sz w:val="20"/>
          <w:szCs w:val="20"/>
        </w:rPr>
        <w:t xml:space="preserve"> (the standard method and fractional counting)</w:t>
      </w:r>
      <w:r w:rsidR="00687911" w:rsidRPr="00687911">
        <w:rPr>
          <w:sz w:val="20"/>
          <w:szCs w:val="20"/>
        </w:rPr>
        <w:t xml:space="preserve">, to derive </w:t>
      </w:r>
      <w:r w:rsidR="00BA7838">
        <w:rPr>
          <w:sz w:val="20"/>
          <w:szCs w:val="20"/>
        </w:rPr>
        <w:t xml:space="preserve">and showcase </w:t>
      </w:r>
      <w:r w:rsidR="00687911" w:rsidRPr="00687911">
        <w:rPr>
          <w:sz w:val="20"/>
          <w:szCs w:val="20"/>
        </w:rPr>
        <w:t xml:space="preserve">important and otherwise hidden insights into </w:t>
      </w:r>
      <w:r w:rsidR="00CF5904">
        <w:rPr>
          <w:sz w:val="20"/>
          <w:szCs w:val="20"/>
        </w:rPr>
        <w:t>three</w:t>
      </w:r>
      <w:r w:rsidR="008E66E2">
        <w:rPr>
          <w:sz w:val="20"/>
          <w:szCs w:val="20"/>
        </w:rPr>
        <w:t xml:space="preserve"> countries’ </w:t>
      </w:r>
      <w:r w:rsidR="009B0431">
        <w:rPr>
          <w:sz w:val="20"/>
          <w:szCs w:val="20"/>
        </w:rPr>
        <w:t>(Australia, China Mainland, Sri Lanka)</w:t>
      </w:r>
      <w:r w:rsidR="00687911" w:rsidRPr="00687911">
        <w:rPr>
          <w:sz w:val="20"/>
          <w:szCs w:val="20"/>
        </w:rPr>
        <w:t xml:space="preserve"> research output</w:t>
      </w:r>
      <w:r w:rsidR="00472CCE">
        <w:rPr>
          <w:sz w:val="20"/>
          <w:szCs w:val="20"/>
        </w:rPr>
        <w:t>.</w:t>
      </w:r>
      <w:r w:rsidR="00480A8E">
        <w:rPr>
          <w:sz w:val="20"/>
          <w:szCs w:val="20"/>
        </w:rPr>
        <w:t xml:space="preserve"> By </w:t>
      </w:r>
      <w:r w:rsidR="0010667B">
        <w:rPr>
          <w:sz w:val="20"/>
          <w:szCs w:val="20"/>
        </w:rPr>
        <w:t>deconstructing</w:t>
      </w:r>
      <w:r w:rsidR="00480A8E">
        <w:rPr>
          <w:sz w:val="20"/>
          <w:szCs w:val="20"/>
        </w:rPr>
        <w:t xml:space="preserve"> </w:t>
      </w:r>
      <w:r w:rsidR="005C35CA">
        <w:rPr>
          <w:sz w:val="20"/>
          <w:szCs w:val="20"/>
        </w:rPr>
        <w:t xml:space="preserve">output into different collaboration types, as well as </w:t>
      </w:r>
      <w:r w:rsidR="00697E53">
        <w:rPr>
          <w:sz w:val="20"/>
          <w:szCs w:val="20"/>
        </w:rPr>
        <w:t xml:space="preserve">analysing data at </w:t>
      </w:r>
      <w:r w:rsidR="00876330">
        <w:rPr>
          <w:sz w:val="20"/>
          <w:szCs w:val="20"/>
        </w:rPr>
        <w:t xml:space="preserve">both </w:t>
      </w:r>
      <w:r w:rsidR="00697E53">
        <w:rPr>
          <w:sz w:val="20"/>
          <w:szCs w:val="20"/>
        </w:rPr>
        <w:t>national and institutional levels</w:t>
      </w:r>
      <w:r w:rsidR="00B9684C">
        <w:rPr>
          <w:sz w:val="20"/>
          <w:szCs w:val="20"/>
        </w:rPr>
        <w:t xml:space="preserve">, highly multilateral papers are </w:t>
      </w:r>
      <w:r w:rsidR="00B42BA9">
        <w:rPr>
          <w:sz w:val="20"/>
          <w:szCs w:val="20"/>
        </w:rPr>
        <w:t xml:space="preserve">shown to directly </w:t>
      </w:r>
      <w:r w:rsidR="00876330">
        <w:rPr>
          <w:sz w:val="20"/>
          <w:szCs w:val="20"/>
        </w:rPr>
        <w:t>influence</w:t>
      </w:r>
      <w:r w:rsidR="00B42BA9">
        <w:rPr>
          <w:sz w:val="20"/>
          <w:szCs w:val="20"/>
        </w:rPr>
        <w:t xml:space="preserve"> and in some cases </w:t>
      </w:r>
      <w:r w:rsidR="0047363F">
        <w:rPr>
          <w:sz w:val="20"/>
          <w:szCs w:val="20"/>
        </w:rPr>
        <w:t xml:space="preserve">(Sri Lanka) </w:t>
      </w:r>
      <w:r w:rsidR="00B42BA9">
        <w:rPr>
          <w:sz w:val="20"/>
          <w:szCs w:val="20"/>
        </w:rPr>
        <w:t xml:space="preserve">dominate a country’s </w:t>
      </w:r>
      <w:r w:rsidR="00876330">
        <w:rPr>
          <w:sz w:val="20"/>
          <w:szCs w:val="20"/>
        </w:rPr>
        <w:t>CNCI performance</w:t>
      </w:r>
      <w:r w:rsidR="00632A32">
        <w:rPr>
          <w:sz w:val="20"/>
          <w:szCs w:val="20"/>
        </w:rPr>
        <w:t xml:space="preserve">. </w:t>
      </w:r>
      <w:r w:rsidR="003D6422">
        <w:rPr>
          <w:sz w:val="20"/>
          <w:szCs w:val="20"/>
        </w:rPr>
        <w:t xml:space="preserve">Such information is critical to be able to fully understand </w:t>
      </w:r>
      <w:r w:rsidR="00A858DA">
        <w:rPr>
          <w:sz w:val="20"/>
          <w:szCs w:val="20"/>
        </w:rPr>
        <w:t xml:space="preserve">and </w:t>
      </w:r>
      <w:r w:rsidR="00C87775">
        <w:rPr>
          <w:sz w:val="20"/>
          <w:szCs w:val="20"/>
        </w:rPr>
        <w:t xml:space="preserve">responsibly </w:t>
      </w:r>
      <w:r w:rsidR="00A858DA">
        <w:rPr>
          <w:sz w:val="20"/>
          <w:szCs w:val="20"/>
        </w:rPr>
        <w:t>compare research performance</w:t>
      </w:r>
      <w:r w:rsidR="004A3140">
        <w:rPr>
          <w:sz w:val="20"/>
          <w:szCs w:val="20"/>
        </w:rPr>
        <w:t xml:space="preserve"> and consequently </w:t>
      </w:r>
      <w:r w:rsidR="00C927D8">
        <w:rPr>
          <w:sz w:val="20"/>
          <w:szCs w:val="20"/>
        </w:rPr>
        <w:t xml:space="preserve">drive </w:t>
      </w:r>
      <w:r w:rsidR="00687911" w:rsidRPr="00687911">
        <w:rPr>
          <w:sz w:val="20"/>
          <w:szCs w:val="20"/>
        </w:rPr>
        <w:t>better informed policy and funding decisions.</w:t>
      </w:r>
    </w:p>
    <w:p w14:paraId="5FB558FA" w14:textId="0083BA58" w:rsidR="00CB15AC" w:rsidRPr="00CB15AC" w:rsidRDefault="00CB15AC" w:rsidP="00CB15AC">
      <w:pPr>
        <w:jc w:val="both"/>
        <w:rPr>
          <w:sz w:val="20"/>
          <w:szCs w:val="20"/>
        </w:rPr>
      </w:pPr>
    </w:p>
    <w:p w14:paraId="26F746EB" w14:textId="77777777" w:rsidR="00CB15AC" w:rsidRPr="00D96243" w:rsidRDefault="00CB15AC" w:rsidP="00CB15AC">
      <w:pPr>
        <w:jc w:val="both"/>
      </w:pPr>
    </w:p>
    <w:p w14:paraId="02C61035" w14:textId="77777777" w:rsidR="008168F4" w:rsidRPr="00D96243" w:rsidRDefault="000C25AF">
      <w:pPr>
        <w:pStyle w:val="Heading2"/>
        <w:jc w:val="both"/>
      </w:pPr>
      <w:r w:rsidRPr="00D96243">
        <w:t xml:space="preserve">1. </w:t>
      </w:r>
      <w:r w:rsidR="008168F4" w:rsidRPr="00D96243">
        <w:t>Introduction</w:t>
      </w:r>
    </w:p>
    <w:p w14:paraId="2E9A7803" w14:textId="41E6EFB8" w:rsidR="00C80646" w:rsidRDefault="00C80646" w:rsidP="00C80646">
      <w:pPr>
        <w:jc w:val="both"/>
      </w:pPr>
      <w:r w:rsidRPr="00034654">
        <w:t xml:space="preserve">Academic research has become increasingly, particularly internationally, collaborative since the 1980s (e.g., </w:t>
      </w:r>
      <w:proofErr w:type="spellStart"/>
      <w:r w:rsidRPr="00034654">
        <w:t>Narin</w:t>
      </w:r>
      <w:proofErr w:type="spellEnd"/>
      <w:r w:rsidRPr="00034654">
        <w:t xml:space="preserve"> et al.</w:t>
      </w:r>
      <w:r w:rsidR="004A713A">
        <w:t>,</w:t>
      </w:r>
      <w:r w:rsidRPr="00034654">
        <w:t xml:space="preserve"> 1991</w:t>
      </w:r>
      <w:r w:rsidR="006415EA">
        <w:t>;</w:t>
      </w:r>
      <w:r w:rsidRPr="00034654">
        <w:t xml:space="preserve"> Adams</w:t>
      </w:r>
      <w:r w:rsidR="004A713A">
        <w:t>,</w:t>
      </w:r>
      <w:r w:rsidRPr="00034654">
        <w:t xml:space="preserve"> 2013) and continues to do so (Adams et al. 2019</w:t>
      </w:r>
      <w:r w:rsidR="006F3B19">
        <w:t>a</w:t>
      </w:r>
      <w:r w:rsidRPr="00034654">
        <w:t xml:space="preserve">). </w:t>
      </w:r>
      <w:r w:rsidR="00E217FC">
        <w:t>C</w:t>
      </w:r>
      <w:r w:rsidRPr="00034654">
        <w:t>ollaboration</w:t>
      </w:r>
      <w:r w:rsidR="0082227F">
        <w:t xml:space="preserve"> </w:t>
      </w:r>
      <w:r w:rsidR="00AD4AF5">
        <w:t xml:space="preserve">can be </w:t>
      </w:r>
      <w:r w:rsidR="00602784">
        <w:t>driven</w:t>
      </w:r>
      <w:r w:rsidR="00AD4AF5">
        <w:t xml:space="preserve"> by</w:t>
      </w:r>
      <w:r w:rsidR="00B20E42">
        <w:t xml:space="preserve"> factors including</w:t>
      </w:r>
      <w:r w:rsidR="00AD4AF5">
        <w:t xml:space="preserve"> </w:t>
      </w:r>
      <w:r w:rsidR="000B0404">
        <w:t>knowledge transfer, equipment access and financial aid</w:t>
      </w:r>
      <w:r w:rsidR="00AD4AF5">
        <w:t xml:space="preserve"> and</w:t>
      </w:r>
      <w:r w:rsidRPr="00034654">
        <w:t xml:space="preserve"> is generally seen as a positive </w:t>
      </w:r>
      <w:r w:rsidR="00AD4AF5">
        <w:t>(</w:t>
      </w:r>
      <w:r w:rsidR="00FF2433">
        <w:t xml:space="preserve">e.g., </w:t>
      </w:r>
      <w:r w:rsidR="00ED443E">
        <w:t xml:space="preserve">Hicks </w:t>
      </w:r>
      <w:r w:rsidR="004A713A">
        <w:t>&amp;</w:t>
      </w:r>
      <w:r w:rsidR="00FF2433">
        <w:t xml:space="preserve"> Katz</w:t>
      </w:r>
      <w:r w:rsidR="004A713A">
        <w:t>,</w:t>
      </w:r>
      <w:r w:rsidR="00FF2433">
        <w:t xml:space="preserve"> 1996; Katz </w:t>
      </w:r>
      <w:r w:rsidR="004A713A">
        <w:t>&amp;</w:t>
      </w:r>
      <w:r w:rsidR="00FF2433">
        <w:t xml:space="preserve"> Martin</w:t>
      </w:r>
      <w:r w:rsidR="00570B54">
        <w:t>,</w:t>
      </w:r>
      <w:r w:rsidR="00FF2433">
        <w:t xml:space="preserve"> 1997</w:t>
      </w:r>
      <w:r w:rsidR="00AD4AF5">
        <w:t>)</w:t>
      </w:r>
      <w:r w:rsidR="00161E0C">
        <w:t xml:space="preserve"> and </w:t>
      </w:r>
      <w:r w:rsidRPr="00034654">
        <w:t>in some cases a necessity (e.g., COVID-19</w:t>
      </w:r>
      <w:r w:rsidR="00B20E42">
        <w:t>, CERN</w:t>
      </w:r>
      <w:r w:rsidRPr="00034654">
        <w:t>)</w:t>
      </w:r>
      <w:r w:rsidR="00AB172A">
        <w:t>. However, collaboration</w:t>
      </w:r>
      <w:r w:rsidRPr="00034654">
        <w:t xml:space="preserve"> can muddy the waters of researchers’ individual contributions</w:t>
      </w:r>
      <w:r w:rsidR="0069267E">
        <w:t xml:space="preserve"> (particularly early career researchers: </w:t>
      </w:r>
      <w:proofErr w:type="spellStart"/>
      <w:r w:rsidR="0069267E" w:rsidRPr="0014690A">
        <w:rPr>
          <w:lang w:val="en-US"/>
        </w:rPr>
        <w:t>Bikard</w:t>
      </w:r>
      <w:proofErr w:type="spellEnd"/>
      <w:r w:rsidR="0069267E" w:rsidRPr="0014690A">
        <w:rPr>
          <w:lang w:val="en-US"/>
        </w:rPr>
        <w:t xml:space="preserve">, </w:t>
      </w:r>
      <w:r w:rsidR="0069267E" w:rsidRPr="0014690A">
        <w:t xml:space="preserve">Murray &amp; </w:t>
      </w:r>
      <w:proofErr w:type="spellStart"/>
      <w:r w:rsidR="0069267E" w:rsidRPr="0014690A">
        <w:t>Gans</w:t>
      </w:r>
      <w:proofErr w:type="spellEnd"/>
      <w:r w:rsidR="00570B54">
        <w:t>,</w:t>
      </w:r>
      <w:r w:rsidR="0069267E" w:rsidRPr="0014690A">
        <w:t xml:space="preserve"> 2015</w:t>
      </w:r>
      <w:r w:rsidR="0069267E">
        <w:t>)</w:t>
      </w:r>
      <w:r w:rsidRPr="00034654">
        <w:t xml:space="preserve">, especially as highly multilateral collaborations tend to be more highly cited (e.g., </w:t>
      </w:r>
      <w:proofErr w:type="spellStart"/>
      <w:r w:rsidRPr="00034654">
        <w:t>Narin</w:t>
      </w:r>
      <w:proofErr w:type="spellEnd"/>
      <w:r w:rsidRPr="00034654">
        <w:t xml:space="preserve"> et al</w:t>
      </w:r>
      <w:r w:rsidR="00570B54">
        <w:t>.,</w:t>
      </w:r>
      <w:r w:rsidRPr="00034654">
        <w:t xml:space="preserve"> 1991, </w:t>
      </w:r>
      <w:proofErr w:type="spellStart"/>
      <w:r w:rsidRPr="00034654">
        <w:t>Gl</w:t>
      </w:r>
      <w:proofErr w:type="spellEnd"/>
      <w:r w:rsidRPr="00034654">
        <w:rPr>
          <w:lang w:val="en"/>
        </w:rPr>
        <w:t>ä</w:t>
      </w:r>
      <w:proofErr w:type="spellStart"/>
      <w:r w:rsidRPr="00034654">
        <w:t>nzel</w:t>
      </w:r>
      <w:proofErr w:type="spellEnd"/>
      <w:r w:rsidRPr="00034654">
        <w:t xml:space="preserve"> </w:t>
      </w:r>
      <w:r w:rsidR="00216205">
        <w:t>&amp;</w:t>
      </w:r>
      <w:r w:rsidRPr="00034654">
        <w:t xml:space="preserve"> Schubert</w:t>
      </w:r>
      <w:r w:rsidR="00570B54">
        <w:t>,</w:t>
      </w:r>
      <w:r w:rsidRPr="00034654">
        <w:t xml:space="preserve"> 2004, Adams et al.</w:t>
      </w:r>
      <w:r w:rsidR="00570B54">
        <w:t>,</w:t>
      </w:r>
      <w:r w:rsidRPr="00034654">
        <w:t xml:space="preserve"> 2019</w:t>
      </w:r>
      <w:r w:rsidR="00A70309">
        <w:t>a</w:t>
      </w:r>
      <w:r w:rsidRPr="00034654">
        <w:t xml:space="preserve">). </w:t>
      </w:r>
    </w:p>
    <w:p w14:paraId="3CA396E1" w14:textId="77777777" w:rsidR="004242B1" w:rsidRDefault="004242B1" w:rsidP="00C80646">
      <w:pPr>
        <w:jc w:val="both"/>
      </w:pPr>
    </w:p>
    <w:p w14:paraId="0914C1BC" w14:textId="652EC200" w:rsidR="004242B1" w:rsidRDefault="004242B1" w:rsidP="004242B1">
      <w:pPr>
        <w:jc w:val="both"/>
      </w:pPr>
      <w:r w:rsidRPr="00034654">
        <w:t>Citations are seen as a first order approximation of research influence (Garfield</w:t>
      </w:r>
      <w:r w:rsidR="00570B54">
        <w:t>,</w:t>
      </w:r>
      <w:r w:rsidRPr="00034654">
        <w:t xml:space="preserve"> 1955), i.e., the more citations the more influential the work, but vary widely between research fields </w:t>
      </w:r>
      <w:r w:rsidR="004E64F0">
        <w:t>(e.g., Garfield</w:t>
      </w:r>
      <w:r w:rsidR="00570B54">
        <w:t>,</w:t>
      </w:r>
      <w:r w:rsidR="004E64F0">
        <w:t xml:space="preserve"> 1979</w:t>
      </w:r>
      <w:r w:rsidR="007F4AF4">
        <w:t xml:space="preserve">; Waltman </w:t>
      </w:r>
      <w:r w:rsidR="00570B54">
        <w:t>&amp;</w:t>
      </w:r>
      <w:r w:rsidR="007F4AF4">
        <w:t xml:space="preserve"> van Eck</w:t>
      </w:r>
      <w:r w:rsidR="00570B54">
        <w:t>,</w:t>
      </w:r>
      <w:r w:rsidR="007F4AF4">
        <w:t xml:space="preserve"> 2013) </w:t>
      </w:r>
      <w:r w:rsidRPr="00034654">
        <w:t xml:space="preserve">necessitating normalisation. The Category Normalised Citation </w:t>
      </w:r>
      <w:r w:rsidR="003E47F6">
        <w:t>Impact</w:t>
      </w:r>
      <w:r w:rsidRPr="00034654">
        <w:t xml:space="preserve"> (CNCI)</w:t>
      </w:r>
      <w:r w:rsidR="00B5006D">
        <w:t xml:space="preserve"> indicator</w:t>
      </w:r>
      <w:r w:rsidRPr="00034654">
        <w:t xml:space="preserve"> offers this normalisation by scaling citations by publication year, document type, and Web of Science subject category.</w:t>
      </w:r>
      <w:r w:rsidR="009B04ED">
        <w:t xml:space="preserve"> With world average benchmarked at a value of 1.0, CNCI</w:t>
      </w:r>
      <w:r w:rsidRPr="00034654">
        <w:t xml:space="preserve"> is considered a standard indicator for national and institutional comparisons (</w:t>
      </w:r>
      <w:proofErr w:type="spellStart"/>
      <w:r w:rsidRPr="00034654">
        <w:t>Jappe</w:t>
      </w:r>
      <w:proofErr w:type="spellEnd"/>
      <w:r w:rsidR="00570B54">
        <w:t>,</w:t>
      </w:r>
      <w:r w:rsidRPr="00034654">
        <w:t xml:space="preserve"> 2020) and a key measure by many policymakers. However, CNCI, when calculating averages for an entity</w:t>
      </w:r>
      <w:r w:rsidR="0003300D">
        <w:t xml:space="preserve"> (e.g., country)</w:t>
      </w:r>
      <w:r w:rsidRPr="00034654">
        <w:t>, is becoming increasingly skewed by highly multilateral papers with exceptional and erratic citation counts (e.g., Adams et al.</w:t>
      </w:r>
      <w:r w:rsidR="00570B54">
        <w:t>,</w:t>
      </w:r>
      <w:r w:rsidRPr="00034654">
        <w:t xml:space="preserve"> 2022) </w:t>
      </w:r>
      <w:r w:rsidR="00657984">
        <w:t>that</w:t>
      </w:r>
      <w:r w:rsidRPr="00034654">
        <w:t xml:space="preserve"> could disproportionately influence research policy and decision making. Consequently, various methods of assigning credit to authors (i.e., accounting for collaboration) have been formulated </w:t>
      </w:r>
      <w:r w:rsidR="00991C63">
        <w:t>(</w:t>
      </w:r>
      <w:r w:rsidRPr="00034654">
        <w:t>e.g., full counting, fractional counting, first-author counting</w:t>
      </w:r>
      <w:r w:rsidR="00991C63">
        <w:t>)</w:t>
      </w:r>
      <w:r w:rsidRPr="00034654">
        <w:t xml:space="preserve">, discussed in detail (e.g., </w:t>
      </w:r>
      <w:r w:rsidR="00AF15E8">
        <w:t>v</w:t>
      </w:r>
      <w:r w:rsidRPr="00034654">
        <w:t xml:space="preserve">an </w:t>
      </w:r>
      <w:proofErr w:type="spellStart"/>
      <w:r w:rsidRPr="00034654">
        <w:t>Hooydonk</w:t>
      </w:r>
      <w:proofErr w:type="spellEnd"/>
      <w:r w:rsidRPr="00034654">
        <w:t xml:space="preserve">, 1997; </w:t>
      </w:r>
      <w:proofErr w:type="spellStart"/>
      <w:r w:rsidRPr="00034654">
        <w:t>Egghe</w:t>
      </w:r>
      <w:proofErr w:type="spellEnd"/>
      <w:r w:rsidRPr="00034654">
        <w:t xml:space="preserve">, Rousseau, &amp; van </w:t>
      </w:r>
      <w:proofErr w:type="spellStart"/>
      <w:r w:rsidRPr="00034654">
        <w:t>Hooydonk</w:t>
      </w:r>
      <w:proofErr w:type="spellEnd"/>
      <w:r w:rsidRPr="00034654">
        <w:t xml:space="preserve">, 2000; </w:t>
      </w:r>
      <w:proofErr w:type="spellStart"/>
      <w:r w:rsidRPr="00034654">
        <w:t>Gauffriau</w:t>
      </w:r>
      <w:proofErr w:type="spellEnd"/>
      <w:r w:rsidRPr="00034654">
        <w:t xml:space="preserve"> &amp; Larsen, 2005; Huang, Lin, &amp; Chen, 2011; </w:t>
      </w:r>
      <w:proofErr w:type="spellStart"/>
      <w:r w:rsidRPr="00034654">
        <w:t>Aksnes</w:t>
      </w:r>
      <w:proofErr w:type="spellEnd"/>
      <w:r w:rsidRPr="00034654">
        <w:t>, Schneider, &amp; Gunnarsson, 2012; Waltman &amp; van Eck, 2015) and excellently summarised (</w:t>
      </w:r>
      <w:proofErr w:type="spellStart"/>
      <w:r w:rsidRPr="00034654">
        <w:t>Gauffriau</w:t>
      </w:r>
      <w:proofErr w:type="spellEnd"/>
      <w:r w:rsidR="00BE654F">
        <w:t>,</w:t>
      </w:r>
      <w:r w:rsidRPr="00034654">
        <w:t xml:space="preserve"> 2021). No strong preference has emerged in favour of any method, possibly because continuing problems are evident for all. </w:t>
      </w:r>
    </w:p>
    <w:p w14:paraId="216CAFE1" w14:textId="77777777" w:rsidR="00284DCB" w:rsidRDefault="00284DCB" w:rsidP="004242B1">
      <w:pPr>
        <w:jc w:val="both"/>
      </w:pPr>
    </w:p>
    <w:p w14:paraId="0988A3CA" w14:textId="412F44DD" w:rsidR="00705DB9" w:rsidRDefault="00B16C83" w:rsidP="00284DCB">
      <w:pPr>
        <w:jc w:val="both"/>
      </w:pPr>
      <w:r>
        <w:lastRenderedPageBreak/>
        <w:t>Consequently, t</w:t>
      </w:r>
      <w:r w:rsidR="00284DCB" w:rsidRPr="00034654">
        <w:t xml:space="preserve">he </w:t>
      </w:r>
      <w:r w:rsidR="001B166B" w:rsidRPr="00034654">
        <w:t>I</w:t>
      </w:r>
      <w:r w:rsidR="001B166B">
        <w:t xml:space="preserve">nstitute for Scientific Information </w:t>
      </w:r>
      <w:r w:rsidR="00284DCB" w:rsidRPr="00034654">
        <w:t>formulated its own variant of CNCI – Collaboration, or ‘Collab’</w:t>
      </w:r>
      <w:r w:rsidR="00DC0331">
        <w:t xml:space="preserve"> </w:t>
      </w:r>
      <w:r w:rsidR="00284DCB" w:rsidRPr="00034654">
        <w:t>CNCI (Potter</w:t>
      </w:r>
      <w:r w:rsidR="00E42023">
        <w:t xml:space="preserve">, </w:t>
      </w:r>
      <w:proofErr w:type="spellStart"/>
      <w:r w:rsidR="00E42023">
        <w:t>Szomszor</w:t>
      </w:r>
      <w:proofErr w:type="spellEnd"/>
      <w:r w:rsidR="00E42023">
        <w:t xml:space="preserve"> and Adams</w:t>
      </w:r>
      <w:r w:rsidR="00284DCB" w:rsidRPr="00034654">
        <w:t xml:space="preserve"> 2020, 2022) – with the reasoning that if collaboration is now integral to research, then it should be incorporated directly into analyses</w:t>
      </w:r>
      <w:r w:rsidR="006367F9">
        <w:t xml:space="preserve"> when normalising citation counts</w:t>
      </w:r>
      <w:r w:rsidR="00284DCB" w:rsidRPr="00034654">
        <w:t>.</w:t>
      </w:r>
      <w:r w:rsidR="006367F9">
        <w:t xml:space="preserve"> </w:t>
      </w:r>
      <w:r w:rsidR="00705DB9">
        <w:t>Here,</w:t>
      </w:r>
      <w:r w:rsidR="00B32332">
        <w:t xml:space="preserve"> </w:t>
      </w:r>
      <w:r w:rsidR="00705DB9">
        <w:t>Collab</w:t>
      </w:r>
      <w:r w:rsidR="00DC0331">
        <w:t xml:space="preserve"> </w:t>
      </w:r>
      <w:r w:rsidR="00705DB9">
        <w:t xml:space="preserve">CNCI </w:t>
      </w:r>
      <w:r w:rsidR="00B32332">
        <w:t xml:space="preserve">is showcased to demonstrate </w:t>
      </w:r>
      <w:r w:rsidR="00C418E1">
        <w:t>how it can be used independently</w:t>
      </w:r>
      <w:r w:rsidR="00547183">
        <w:t>,</w:t>
      </w:r>
      <w:r w:rsidR="00C418E1">
        <w:t xml:space="preserve"> as well as in concert with other CNCI variants</w:t>
      </w:r>
      <w:r w:rsidR="00547183">
        <w:t>,</w:t>
      </w:r>
      <w:r w:rsidR="00C418E1">
        <w:t xml:space="preserve"> </w:t>
      </w:r>
      <w:r w:rsidR="00D7023A">
        <w:t>to derive important</w:t>
      </w:r>
      <w:r w:rsidR="00547183">
        <w:t xml:space="preserve"> and otherwise hidden</w:t>
      </w:r>
      <w:r w:rsidR="00D7023A">
        <w:t xml:space="preserve"> insights into countries’ research output </w:t>
      </w:r>
      <w:r w:rsidR="00547183">
        <w:t xml:space="preserve">and therefore drive better informed </w:t>
      </w:r>
      <w:r w:rsidR="00E42023">
        <w:t>policy and funding decisions.</w:t>
      </w:r>
    </w:p>
    <w:p w14:paraId="394A2EF3" w14:textId="77777777" w:rsidR="009A6DD3" w:rsidRDefault="009A6DD3" w:rsidP="00C13C1E">
      <w:pPr>
        <w:pStyle w:val="Heading2"/>
        <w:jc w:val="both"/>
      </w:pPr>
    </w:p>
    <w:p w14:paraId="61F92C67" w14:textId="6696911F" w:rsidR="00C13C1E" w:rsidRDefault="00C13C1E" w:rsidP="00C13C1E">
      <w:pPr>
        <w:pStyle w:val="Heading2"/>
        <w:jc w:val="both"/>
      </w:pPr>
      <w:r>
        <w:t>2. Methods</w:t>
      </w:r>
    </w:p>
    <w:p w14:paraId="50BB0CC4" w14:textId="5D0E815E" w:rsidR="00DB4DED" w:rsidRDefault="00C13C1E" w:rsidP="00AD55DE">
      <w:pPr>
        <w:jc w:val="both"/>
      </w:pPr>
      <w:r>
        <w:t xml:space="preserve">Web of Science </w:t>
      </w:r>
      <w:r w:rsidR="00684D19">
        <w:t>C</w:t>
      </w:r>
      <w:r>
        <w:t xml:space="preserve">ore </w:t>
      </w:r>
      <w:r w:rsidR="00684D19">
        <w:t>C</w:t>
      </w:r>
      <w:r>
        <w:t xml:space="preserve">ollection </w:t>
      </w:r>
      <w:r w:rsidR="00696B45">
        <w:t>articl</w:t>
      </w:r>
      <w:r w:rsidR="002A3F6D">
        <w:t xml:space="preserve">e </w:t>
      </w:r>
      <w:r>
        <w:t>data covering 2009-2018 inclusive</w:t>
      </w:r>
      <w:r w:rsidR="00696B45">
        <w:t xml:space="preserve"> </w:t>
      </w:r>
      <w:r w:rsidR="00FF2A6F">
        <w:t>were</w:t>
      </w:r>
      <w:r w:rsidR="00696B45">
        <w:t xml:space="preserve"> </w:t>
      </w:r>
      <w:r w:rsidR="001A28DF">
        <w:t>used</w:t>
      </w:r>
      <w:r w:rsidR="0086640F">
        <w:t>.</w:t>
      </w:r>
      <w:r w:rsidR="00C5619C">
        <w:t xml:space="preserve"> I</w:t>
      </w:r>
      <w:r w:rsidR="002A3F6D">
        <w:t>nstitution</w:t>
      </w:r>
      <w:r w:rsidR="00C5619C">
        <w:t>s</w:t>
      </w:r>
      <w:r w:rsidR="002A3F6D">
        <w:t xml:space="preserve"> and countr</w:t>
      </w:r>
      <w:r w:rsidR="00C5619C">
        <w:t>ies</w:t>
      </w:r>
      <w:r w:rsidR="002A3F6D">
        <w:t xml:space="preserve"> of each author</w:t>
      </w:r>
      <w:r w:rsidR="00B84207">
        <w:t xml:space="preserve"> </w:t>
      </w:r>
      <w:r w:rsidR="00A47EF0">
        <w:t>were extracted from a</w:t>
      </w:r>
      <w:r w:rsidR="00B84207">
        <w:t>ddress metadata</w:t>
      </w:r>
      <w:r w:rsidR="002A3F6D">
        <w:t xml:space="preserve">. </w:t>
      </w:r>
      <w:r w:rsidR="00F3364A">
        <w:t>CNCI values were calculated using the standard method of normalisation</w:t>
      </w:r>
      <w:r w:rsidR="000F43CB">
        <w:t xml:space="preserve"> (henceforth referred to as standard CNCI)</w:t>
      </w:r>
      <w:r w:rsidR="00F3364A">
        <w:t xml:space="preserve"> by publication year, document type</w:t>
      </w:r>
      <w:r w:rsidR="006148A4">
        <w:t xml:space="preserve">, and Web of </w:t>
      </w:r>
      <w:r w:rsidR="002C70DE">
        <w:t>Science</w:t>
      </w:r>
      <w:r w:rsidR="006148A4">
        <w:t xml:space="preserve"> subject category </w:t>
      </w:r>
      <w:r w:rsidR="002C70DE">
        <w:t>(one of 254 categories ranging from acoustics to zoology</w:t>
      </w:r>
      <w:r w:rsidR="008426BF">
        <w:t xml:space="preserve"> and applied at the journal level</w:t>
      </w:r>
      <w:r w:rsidR="002C70DE">
        <w:t>).</w:t>
      </w:r>
      <w:r w:rsidR="008426BF">
        <w:t xml:space="preserve"> In cases where articles </w:t>
      </w:r>
      <w:r w:rsidR="00B3601A">
        <w:t>were</w:t>
      </w:r>
      <w:r w:rsidR="008426BF">
        <w:t xml:space="preserve"> assigned to multiple </w:t>
      </w:r>
      <w:r w:rsidR="000F43CB">
        <w:t xml:space="preserve">subject categories, the average CNCI of all subject categories was calculated and </w:t>
      </w:r>
      <w:r w:rsidR="00B3601A">
        <w:t xml:space="preserve">then </w:t>
      </w:r>
      <w:r w:rsidR="000F43CB">
        <w:t xml:space="preserve">assigned to the article. Collaboration CNCI </w:t>
      </w:r>
      <w:r w:rsidR="005B261C" w:rsidRPr="00034654">
        <w:t xml:space="preserve">follows the standard CNCI approach </w:t>
      </w:r>
      <w:r w:rsidR="00B3601A">
        <w:t xml:space="preserve">with </w:t>
      </w:r>
      <w:r w:rsidR="005B261C" w:rsidRPr="00034654">
        <w:t>citation counts normalised by publication year, document type and subject category but, crucially, has an</w:t>
      </w:r>
      <w:r w:rsidR="00791987">
        <w:t xml:space="preserve"> </w:t>
      </w:r>
      <w:r w:rsidR="003A45FB" w:rsidRPr="00034654">
        <w:t xml:space="preserve">additional normalisation that considers the type of collaboration. </w:t>
      </w:r>
      <w:r w:rsidR="00791987" w:rsidRPr="00034654">
        <w:t xml:space="preserve">Five collaboration types cover domestic (single institutional and multi-institutional) and international bilateral, </w:t>
      </w:r>
      <w:proofErr w:type="gramStart"/>
      <w:r w:rsidR="00791987" w:rsidRPr="00034654">
        <w:t>trilateral</w:t>
      </w:r>
      <w:proofErr w:type="gramEnd"/>
      <w:r w:rsidR="00791987" w:rsidRPr="00034654">
        <w:t xml:space="preserve"> and quadrilateral plus (i.e., four or more countries) collaboration, with the type calculated based on address </w:t>
      </w:r>
      <w:r w:rsidR="001A28DF">
        <w:t>meta</w:t>
      </w:r>
      <w:r w:rsidR="00791987" w:rsidRPr="00034654">
        <w:t>data</w:t>
      </w:r>
      <w:r w:rsidR="001A28DF">
        <w:t>.</w:t>
      </w:r>
      <w:r w:rsidR="0072649E">
        <w:t xml:space="preserve"> This approach means, for example, international bilateral articles are only compared to other international bilateral articles.</w:t>
      </w:r>
      <w:r w:rsidR="00F3764C">
        <w:t xml:space="preserve"> </w:t>
      </w:r>
      <w:r w:rsidR="00F3764C" w:rsidRPr="0015523F">
        <w:t>Fractional CNCI</w:t>
      </w:r>
      <w:r w:rsidR="00F3764C">
        <w:t xml:space="preserve"> </w:t>
      </w:r>
      <w:r w:rsidR="00F3764C" w:rsidRPr="0015523F">
        <w:t xml:space="preserve">was calculated at the author level following Waltman &amp; van Eck (2015). This method assigns credit to each </w:t>
      </w:r>
      <w:r w:rsidR="005D4234">
        <w:t xml:space="preserve">entity </w:t>
      </w:r>
      <w:r w:rsidR="003945EC">
        <w:t xml:space="preserve">(author, country etc.) </w:t>
      </w:r>
      <w:r w:rsidR="00F3764C" w:rsidRPr="0015523F">
        <w:t>on a</w:t>
      </w:r>
      <w:r w:rsidR="003945EC">
        <w:t xml:space="preserve">n article </w:t>
      </w:r>
      <w:r w:rsidR="00F3764C" w:rsidRPr="0015523F">
        <w:t>based upon the total, deduplicated number of eac</w:t>
      </w:r>
      <w:r w:rsidR="003945EC">
        <w:t>h</w:t>
      </w:r>
      <w:r w:rsidR="00EE049F">
        <w:t>,</w:t>
      </w:r>
      <w:r w:rsidR="00E02D44">
        <w:t xml:space="preserve"> which is then </w:t>
      </w:r>
      <w:r w:rsidR="00F3764C" w:rsidRPr="0015523F">
        <w:t xml:space="preserve">multiplied by the article’s CNCI to calculate the fractional CNCI value. A </w:t>
      </w:r>
      <w:r w:rsidR="00E02D44">
        <w:t>country’s</w:t>
      </w:r>
      <w:r w:rsidR="00F3764C" w:rsidRPr="0015523F">
        <w:t xml:space="preserve"> mean CNCI was then calculated by summing the CNCIs on </w:t>
      </w:r>
      <w:r w:rsidR="008B4692">
        <w:t xml:space="preserve">all articles </w:t>
      </w:r>
      <w:r w:rsidR="00F3764C" w:rsidRPr="0015523F">
        <w:t xml:space="preserve">which that </w:t>
      </w:r>
      <w:r w:rsidR="008B4692">
        <w:t>country</w:t>
      </w:r>
      <w:r w:rsidR="00F3764C" w:rsidRPr="0015523F">
        <w:t xml:space="preserve"> was </w:t>
      </w:r>
      <w:r w:rsidR="008B4692">
        <w:t>present</w:t>
      </w:r>
      <w:r w:rsidR="00F3764C" w:rsidRPr="0015523F">
        <w:t xml:space="preserve"> and dividing this by the sum of its total fractional CNCI value. </w:t>
      </w:r>
      <w:r w:rsidR="00A107DA">
        <w:t>See</w:t>
      </w:r>
      <w:r w:rsidR="00F3764C" w:rsidRPr="0015523F">
        <w:t xml:space="preserve"> Waltman </w:t>
      </w:r>
      <w:r w:rsidR="0057398B">
        <w:t>&amp;</w:t>
      </w:r>
      <w:r w:rsidR="00F3764C" w:rsidRPr="0015523F">
        <w:t xml:space="preserve"> van Eck (2015) for</w:t>
      </w:r>
      <w:r w:rsidR="00A107DA">
        <w:t xml:space="preserve"> </w:t>
      </w:r>
      <w:r w:rsidR="00C22F68">
        <w:t xml:space="preserve">a </w:t>
      </w:r>
      <w:r w:rsidR="00F3764C" w:rsidRPr="0015523F">
        <w:t>more thorough description and methodology</w:t>
      </w:r>
      <w:r w:rsidR="00A107DA">
        <w:t>.</w:t>
      </w:r>
      <w:r w:rsidR="00A27DC4">
        <w:t xml:space="preserve"> These three CNCI variants were then compared over the </w:t>
      </w:r>
      <w:r w:rsidR="003A75CE">
        <w:t>ten-year</w:t>
      </w:r>
      <w:r w:rsidR="00A27DC4">
        <w:t xml:space="preserve"> period</w:t>
      </w:r>
      <w:r w:rsidR="00F83321">
        <w:t>, with the ‘improvement’</w:t>
      </w:r>
      <w:r w:rsidR="00A27DC4">
        <w:t xml:space="preserve"> in each </w:t>
      </w:r>
      <w:r w:rsidR="00F83321">
        <w:t>calculated</w:t>
      </w:r>
      <w:r w:rsidR="00A27DC4">
        <w:t xml:space="preserve"> </w:t>
      </w:r>
      <w:r w:rsidR="00F83321">
        <w:t>as the</w:t>
      </w:r>
      <w:r w:rsidR="00A27DC4">
        <w:t xml:space="preserve"> difference in </w:t>
      </w:r>
      <w:r w:rsidR="00FB628A">
        <w:t xml:space="preserve">their </w:t>
      </w:r>
      <w:r w:rsidR="00A27DC4">
        <w:t>value between 2009 and 2018.</w:t>
      </w:r>
      <w:r w:rsidR="00FB628A">
        <w:t xml:space="preserve"> </w:t>
      </w:r>
      <w:r w:rsidR="002F6548">
        <w:t>D</w:t>
      </w:r>
      <w:r w:rsidR="00101C1E">
        <w:t xml:space="preserve">ata </w:t>
      </w:r>
      <w:r w:rsidR="002F6548">
        <w:t>for 30 Chinese institutions were</w:t>
      </w:r>
      <w:r w:rsidR="00101C1E">
        <w:t xml:space="preserve"> taken from Potter, </w:t>
      </w:r>
      <w:proofErr w:type="spellStart"/>
      <w:r w:rsidR="00101C1E">
        <w:t>Szomszor</w:t>
      </w:r>
      <w:proofErr w:type="spellEnd"/>
      <w:r w:rsidR="00101C1E">
        <w:t xml:space="preserve"> </w:t>
      </w:r>
      <w:r w:rsidR="00A70309">
        <w:t>&amp;</w:t>
      </w:r>
      <w:r w:rsidR="00101C1E">
        <w:t xml:space="preserve"> Adams (2022)</w:t>
      </w:r>
      <w:r w:rsidR="0027167C">
        <w:t xml:space="preserve"> where they were chosen </w:t>
      </w:r>
      <w:r w:rsidR="002F6548">
        <w:t xml:space="preserve">semi-randomly to represent a mixture of high, </w:t>
      </w:r>
      <w:proofErr w:type="gramStart"/>
      <w:r w:rsidR="002F6548">
        <w:t>medium</w:t>
      </w:r>
      <w:proofErr w:type="gramEnd"/>
      <w:r w:rsidR="002F6548">
        <w:t xml:space="preserve"> and low article output </w:t>
      </w:r>
      <w:r w:rsidR="0027167C">
        <w:t>institutions</w:t>
      </w:r>
      <w:r w:rsidR="002F6548">
        <w:t>.</w:t>
      </w:r>
    </w:p>
    <w:p w14:paraId="5FC76511" w14:textId="77777777" w:rsidR="00655F0D" w:rsidRPr="00AD55DE" w:rsidRDefault="00655F0D" w:rsidP="00AD55DE">
      <w:pPr>
        <w:jc w:val="both"/>
      </w:pPr>
    </w:p>
    <w:p w14:paraId="46E2E416" w14:textId="203A3928" w:rsidR="00AD55DE" w:rsidRPr="002D4019" w:rsidRDefault="002D4019">
      <w:pPr>
        <w:jc w:val="both"/>
        <w:rPr>
          <w:b/>
          <w:bCs/>
        </w:rPr>
      </w:pPr>
      <w:r w:rsidRPr="002D4019">
        <w:rPr>
          <w:b/>
          <w:bCs/>
        </w:rPr>
        <w:t>3. Results</w:t>
      </w:r>
    </w:p>
    <w:p w14:paraId="2DEA7B68" w14:textId="74C6F1BD" w:rsidR="008278ED" w:rsidRPr="00D41C9A" w:rsidRDefault="00655F0D" w:rsidP="008278ED">
      <w:pPr>
        <w:jc w:val="both"/>
      </w:pPr>
      <w:r w:rsidRPr="00D41C9A">
        <w:t>Figure 1 illustrates how CNCI values calculated using the standard,</w:t>
      </w:r>
      <w:r w:rsidR="00E5778B">
        <w:t xml:space="preserve"> collaboration and </w:t>
      </w:r>
      <w:r w:rsidRPr="00D41C9A">
        <w:t>fractional approach compare for three different research economies. For Australia</w:t>
      </w:r>
      <w:r w:rsidR="00D66844">
        <w:t xml:space="preserve"> (</w:t>
      </w:r>
      <w:r w:rsidR="002C3500">
        <w:t>a well-established research economy</w:t>
      </w:r>
      <w:r w:rsidR="00EF2C6B">
        <w:t xml:space="preserve"> with a </w:t>
      </w:r>
      <w:r w:rsidR="00EF2C6B">
        <w:rPr>
          <w:lang w:val="en"/>
        </w:rPr>
        <w:t>g</w:t>
      </w:r>
      <w:r w:rsidR="00EF2C6B" w:rsidRPr="009C6650">
        <w:rPr>
          <w:lang w:val="en"/>
        </w:rPr>
        <w:t xml:space="preserve">ross domestic expenditure on </w:t>
      </w:r>
      <w:r w:rsidR="00A61578">
        <w:rPr>
          <w:lang w:val="en"/>
        </w:rPr>
        <w:t>research and development</w:t>
      </w:r>
      <w:r w:rsidR="00EF2C6B" w:rsidRPr="009C6650">
        <w:rPr>
          <w:lang w:val="en"/>
        </w:rPr>
        <w:t xml:space="preserve"> (GERD)</w:t>
      </w:r>
      <w:r w:rsidR="00EF2C6B">
        <w:rPr>
          <w:lang w:val="en"/>
        </w:rPr>
        <w:t xml:space="preserve"> of 1.8</w:t>
      </w:r>
      <w:r w:rsidR="00F01EEF">
        <w:rPr>
          <w:lang w:val="en"/>
        </w:rPr>
        <w:t>0</w:t>
      </w:r>
      <w:r w:rsidR="00EF2C6B">
        <w:rPr>
          <w:lang w:val="en"/>
        </w:rPr>
        <w:t>% in 201</w:t>
      </w:r>
      <w:r w:rsidR="00D2574B">
        <w:rPr>
          <w:lang w:val="en"/>
        </w:rPr>
        <w:t>9</w:t>
      </w:r>
      <w:r w:rsidR="002C3500">
        <w:t>)</w:t>
      </w:r>
      <w:r w:rsidRPr="00D41C9A">
        <w:t xml:space="preserve">, fractional and collaboration methods produce similar results despite their very different approaches. Both these values are lower than that of standard CNCI </w:t>
      </w:r>
      <w:r w:rsidR="00AC2230">
        <w:t>and appear to have stagnated</w:t>
      </w:r>
      <w:r w:rsidR="008278ED" w:rsidRPr="00D41C9A">
        <w:t>. For China Mainland</w:t>
      </w:r>
      <w:r w:rsidR="002C3500">
        <w:t xml:space="preserve"> (a recently developed research economy</w:t>
      </w:r>
      <w:r w:rsidR="00D2574B">
        <w:t>; GERD of 2.40% in 2020</w:t>
      </w:r>
      <w:r w:rsidR="002C3500">
        <w:t>)</w:t>
      </w:r>
      <w:r w:rsidR="008278ED" w:rsidRPr="00D41C9A">
        <w:t xml:space="preserve">, the standard and collaboration approaches are almost identical, suggesting that CNCI performance is not </w:t>
      </w:r>
      <w:r w:rsidR="00CD4D51" w:rsidRPr="00D41C9A">
        <w:t>collaboration dependent</w:t>
      </w:r>
      <w:r w:rsidR="008278ED" w:rsidRPr="00D41C9A">
        <w:t xml:space="preserve">. </w:t>
      </w:r>
      <w:r w:rsidR="00903558">
        <w:t xml:space="preserve">Importantly, China Mainland’s research has continually increased its </w:t>
      </w:r>
      <w:r w:rsidR="00AD332B">
        <w:t>performance</w:t>
      </w:r>
      <w:r w:rsidR="00903558">
        <w:t xml:space="preserve"> </w:t>
      </w:r>
      <w:r w:rsidR="00EC49EC">
        <w:t xml:space="preserve">over the period </w:t>
      </w:r>
      <w:r w:rsidR="00903558">
        <w:t xml:space="preserve">with all three indicators </w:t>
      </w:r>
      <w:r w:rsidR="00AD332B">
        <w:t xml:space="preserve">above world average in 2018. </w:t>
      </w:r>
      <w:r w:rsidR="008278ED" w:rsidRPr="00D41C9A">
        <w:t>For Sri Lanka</w:t>
      </w:r>
      <w:r w:rsidR="002C3500">
        <w:t xml:space="preserve"> (a developing research economy</w:t>
      </w:r>
      <w:r w:rsidR="00D2574B">
        <w:t>; GERD of 0.13% in 2018</w:t>
      </w:r>
      <w:r w:rsidR="002C3500">
        <w:t>)</w:t>
      </w:r>
      <w:r w:rsidR="008278ED" w:rsidRPr="00D41C9A">
        <w:t xml:space="preserve">, standard </w:t>
      </w:r>
      <w:r w:rsidR="00A662FD">
        <w:t>CNCI</w:t>
      </w:r>
      <w:r w:rsidR="008278ED" w:rsidRPr="00D41C9A">
        <w:t xml:space="preserve"> </w:t>
      </w:r>
      <w:r w:rsidR="002543E8">
        <w:t>provides</w:t>
      </w:r>
      <w:r w:rsidR="008278ED" w:rsidRPr="00D41C9A">
        <w:t xml:space="preserve"> far higher values </w:t>
      </w:r>
      <w:r w:rsidR="00FC6E64">
        <w:t xml:space="preserve">(peaking above 2.0 in 2015) </w:t>
      </w:r>
      <w:r w:rsidR="008278ED" w:rsidRPr="00D41C9A">
        <w:t>and is more variable than the other approaches; normalising by collaboration type or author credit sees values become less erratic</w:t>
      </w:r>
      <w:r w:rsidR="002543E8">
        <w:t>, th</w:t>
      </w:r>
      <w:r w:rsidR="001D11F4">
        <w:t xml:space="preserve">ough </w:t>
      </w:r>
      <w:r w:rsidR="00F63438">
        <w:t xml:space="preserve">they </w:t>
      </w:r>
      <w:r w:rsidR="00883853">
        <w:t>drop</w:t>
      </w:r>
      <w:r w:rsidR="00883853" w:rsidRPr="00883853">
        <w:t xml:space="preserve"> </w:t>
      </w:r>
      <w:r w:rsidR="00883853">
        <w:t>below world average for each year analysed</w:t>
      </w:r>
      <w:r w:rsidR="008278ED" w:rsidRPr="00D41C9A">
        <w:t>. Consequently, while Sri Lanka outperforms both Australia and China</w:t>
      </w:r>
      <w:r w:rsidR="006750CD">
        <w:t xml:space="preserve"> Mainland</w:t>
      </w:r>
      <w:r w:rsidR="008278ED" w:rsidRPr="00D41C9A">
        <w:t xml:space="preserve"> </w:t>
      </w:r>
      <w:r w:rsidR="009A6DD3">
        <w:t>o</w:t>
      </w:r>
      <w:r w:rsidR="008278ED" w:rsidRPr="00D41C9A">
        <w:t>ver several years</w:t>
      </w:r>
      <w:r w:rsidR="000176D6">
        <w:t xml:space="preserve"> by standard CNCI</w:t>
      </w:r>
      <w:r w:rsidR="008278ED" w:rsidRPr="00D41C9A">
        <w:t xml:space="preserve">, it no longer does when normalising by </w:t>
      </w:r>
      <w:r w:rsidR="008278ED" w:rsidRPr="00D41C9A">
        <w:lastRenderedPageBreak/>
        <w:t>collaboration type or author credit. Sri Lanka’s standard CNCI values are, therefore, likely driven by a concealed factor requiring a different analytical approach.</w:t>
      </w:r>
    </w:p>
    <w:p w14:paraId="3D15DCB0" w14:textId="77777777" w:rsidR="00055CD6" w:rsidRDefault="00055CD6" w:rsidP="00655F0D">
      <w:pPr>
        <w:jc w:val="both"/>
      </w:pPr>
    </w:p>
    <w:p w14:paraId="6C9164A2" w14:textId="77777777" w:rsidR="00FA4DA9" w:rsidRDefault="00FA4DA9" w:rsidP="00655F0D">
      <w:pPr>
        <w:jc w:val="both"/>
      </w:pPr>
    </w:p>
    <w:p w14:paraId="538936A0" w14:textId="76E5870C" w:rsidR="008278ED" w:rsidRDefault="00F16214" w:rsidP="00F16214">
      <w:pPr>
        <w:jc w:val="center"/>
      </w:pPr>
      <w:r w:rsidRPr="00F16214">
        <w:t>Figure 1</w:t>
      </w:r>
      <w:r>
        <w:t>:</w:t>
      </w:r>
      <w:r w:rsidRPr="00F16214">
        <w:t xml:space="preserve"> A comparison of standard, collaboration and fractional CNCI </w:t>
      </w:r>
      <w:r w:rsidR="00FA4DA9">
        <w:t xml:space="preserve">values </w:t>
      </w:r>
      <w:r w:rsidRPr="00F16214">
        <w:t>for three countries over a period of 10 years.</w:t>
      </w:r>
      <w:r w:rsidR="00FA5D4B">
        <w:t xml:space="preserve"> A value of one represents world average.</w:t>
      </w:r>
    </w:p>
    <w:p w14:paraId="1EFEE591" w14:textId="5E303CFC" w:rsidR="008278ED" w:rsidRDefault="009B4AA0" w:rsidP="00655F0D">
      <w:pPr>
        <w:jc w:val="both"/>
      </w:pPr>
      <w:r>
        <w:rPr>
          <w:noProof/>
        </w:rPr>
      </w:r>
      <w:r w:rsidR="009B4AA0">
        <w:rPr>
          <w:noProof/>
        </w:rPr>
        <w:pict w14:anchorId="613F87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hart, line chart&#13;&#13;&#10;&#13;&#13;&#10;Description automatically generated" style="width:453.75pt;height:151.55pt;visibility:visible;mso-wrap-style:square;mso-width-percent:0;mso-height-percent:0;mso-width-percent:0;mso-height-percent:0">
            <v:imagedata r:id="rId10" o:title="Chart, line chart&#13;&#13;&#10;&#13;&#13;&#10;Description automatically generated"/>
          </v:shape>
        </w:pict>
      </w:r>
    </w:p>
    <w:p w14:paraId="734C4AA3" w14:textId="77777777" w:rsidR="008278ED" w:rsidRDefault="008278ED" w:rsidP="00655F0D">
      <w:pPr>
        <w:jc w:val="both"/>
      </w:pPr>
    </w:p>
    <w:p w14:paraId="5124F666" w14:textId="056F3E28" w:rsidR="00F12E30" w:rsidRDefault="008278ED" w:rsidP="00655F0D">
      <w:pPr>
        <w:jc w:val="both"/>
      </w:pPr>
      <w:r w:rsidRPr="008D11EF">
        <w:t xml:space="preserve">Figure 2 </w:t>
      </w:r>
      <w:r w:rsidR="0010667B">
        <w:t>deconstructs</w:t>
      </w:r>
      <w:r w:rsidR="00C63930">
        <w:t xml:space="preserve"> the article output for </w:t>
      </w:r>
      <w:r w:rsidR="006750CD">
        <w:t>China Mainland</w:t>
      </w:r>
      <w:r w:rsidRPr="008D11EF">
        <w:t xml:space="preserve"> and Sri Lanka</w:t>
      </w:r>
      <w:r w:rsidR="00C63930">
        <w:t xml:space="preserve"> by collaboration type</w:t>
      </w:r>
      <w:r w:rsidR="00784D8C">
        <w:t xml:space="preserve">, providing </w:t>
      </w:r>
      <w:r w:rsidR="00AA725C">
        <w:t xml:space="preserve">an </w:t>
      </w:r>
      <w:r w:rsidR="00784D8C">
        <w:t>alternative view</w:t>
      </w:r>
      <w:r w:rsidRPr="008D11EF">
        <w:t xml:space="preserve">. Both countries illustrate that total cites and, consequently, CNCI values tend to increase as research becomes more (internationally) collaborative (boxplots to the left). The data, however, also illustrate the disparity between article and citation share for each collaboration group (bar plots to the right). </w:t>
      </w:r>
      <w:r w:rsidR="00783376">
        <w:t>China</w:t>
      </w:r>
      <w:r w:rsidR="00D4417E">
        <w:t xml:space="preserve"> Mainland</w:t>
      </w:r>
      <w:r w:rsidR="00783376">
        <w:t>’s</w:t>
      </w:r>
      <w:r w:rsidRPr="008D11EF">
        <w:t xml:space="preserve"> research is overwhelmingly domestic (~7</w:t>
      </w:r>
      <w:r w:rsidR="004B478A">
        <w:t>5</w:t>
      </w:r>
      <w:r w:rsidRPr="008D11EF">
        <w:t>% of articles), likely due to its large research economy</w:t>
      </w:r>
      <w:r w:rsidR="00245264">
        <w:t>, and accounts</w:t>
      </w:r>
      <w:r w:rsidRPr="008D11EF">
        <w:t xml:space="preserve"> </w:t>
      </w:r>
      <w:r w:rsidR="00245264">
        <w:t>for</w:t>
      </w:r>
      <w:r w:rsidRPr="008D11EF">
        <w:t xml:space="preserve"> </w:t>
      </w:r>
      <w:r w:rsidR="00245264">
        <w:t>65</w:t>
      </w:r>
      <w:r w:rsidRPr="008D11EF">
        <w:t xml:space="preserve">% of all its citations. </w:t>
      </w:r>
      <w:r w:rsidR="000E5694">
        <w:t>Its</w:t>
      </w:r>
      <w:r w:rsidR="00825517">
        <w:t xml:space="preserve"> article and citation share</w:t>
      </w:r>
      <w:r w:rsidR="003429F4">
        <w:t xml:space="preserve"> </w:t>
      </w:r>
      <w:r w:rsidR="0017600B">
        <w:t>for each collaboration type are broadly comparable.</w:t>
      </w:r>
      <w:r w:rsidR="00825517">
        <w:t xml:space="preserve"> </w:t>
      </w:r>
      <w:r w:rsidRPr="008D11EF">
        <w:t xml:space="preserve">Conversely, Sri Lanka’s research is mainly internationally collaborative (62% of articles), likely due to its small research economy, </w:t>
      </w:r>
      <w:r w:rsidR="0017600B">
        <w:t>with that output</w:t>
      </w:r>
      <w:r w:rsidRPr="008D11EF">
        <w:t xml:space="preserve"> responsible for ~90% of all its citations, particularly international quadrilateral plus articles. These citations to highly multilateral articles are likely responsible for the elevated standard CNCI values seen in Figure 1.</w:t>
      </w:r>
    </w:p>
    <w:p w14:paraId="2EF9361E" w14:textId="77777777" w:rsidR="00F12E30" w:rsidRDefault="00F12E30" w:rsidP="00655F0D">
      <w:pPr>
        <w:jc w:val="both"/>
      </w:pPr>
    </w:p>
    <w:p w14:paraId="2B070E3B" w14:textId="66E92B5A" w:rsidR="00F12E30" w:rsidRDefault="00084685" w:rsidP="00084685">
      <w:pPr>
        <w:jc w:val="center"/>
      </w:pPr>
      <w:r>
        <w:t>Figure 2</w:t>
      </w:r>
      <w:r w:rsidR="00F16214">
        <w:t xml:space="preserve">: </w:t>
      </w:r>
      <w:r w:rsidRPr="00084685">
        <w:t xml:space="preserve">Article and citation data (2009-2018) for </w:t>
      </w:r>
      <w:r w:rsidR="009355A3">
        <w:t>two</w:t>
      </w:r>
      <w:r w:rsidRPr="00084685">
        <w:t xml:space="preserve"> countries deconstructed by collaboration type (</w:t>
      </w:r>
      <w:proofErr w:type="spellStart"/>
      <w:proofErr w:type="gramStart"/>
      <w:r w:rsidRPr="00084685">
        <w:t>dom:single</w:t>
      </w:r>
      <w:proofErr w:type="spellEnd"/>
      <w:proofErr w:type="gramEnd"/>
      <w:r w:rsidRPr="00084685">
        <w:t xml:space="preserve"> – domestic single institution; </w:t>
      </w:r>
      <w:proofErr w:type="spellStart"/>
      <w:r w:rsidRPr="00084685">
        <w:t>dom:multi</w:t>
      </w:r>
      <w:proofErr w:type="spellEnd"/>
      <w:r w:rsidRPr="00084685">
        <w:t xml:space="preserve"> – domestic multi-institutional, </w:t>
      </w:r>
      <w:proofErr w:type="spellStart"/>
      <w:r w:rsidRPr="00084685">
        <w:t>int:bilat</w:t>
      </w:r>
      <w:proofErr w:type="spellEnd"/>
      <w:r w:rsidRPr="00084685">
        <w:t xml:space="preserve"> - international bilateral; </w:t>
      </w:r>
      <w:proofErr w:type="spellStart"/>
      <w:r w:rsidRPr="00084685">
        <w:t>int:trilat</w:t>
      </w:r>
      <w:proofErr w:type="spellEnd"/>
      <w:r w:rsidRPr="00084685">
        <w:t xml:space="preserve"> – international trilateral; </w:t>
      </w:r>
      <w:proofErr w:type="spellStart"/>
      <w:r w:rsidRPr="00084685">
        <w:t>int:quad</w:t>
      </w:r>
      <w:proofErr w:type="spellEnd"/>
      <w:r w:rsidRPr="00084685">
        <w:t xml:space="preserve">+ – international quadrilateral plus). </w:t>
      </w:r>
      <w:r w:rsidR="00CF3292">
        <w:t>White squares on boxplots represent the mean</w:t>
      </w:r>
      <w:r w:rsidR="008A69AE">
        <w:t>,</w:t>
      </w:r>
      <w:r w:rsidR="006C26EE">
        <w:t xml:space="preserve"> the vertical black line within the boxes the median. </w:t>
      </w:r>
      <w:r w:rsidRPr="00084685">
        <w:t>Note different scales.</w:t>
      </w:r>
    </w:p>
    <w:p w14:paraId="62C4A546" w14:textId="4566C0CD" w:rsidR="00655F0D" w:rsidRDefault="009B4AA0" w:rsidP="00655F0D">
      <w:pPr>
        <w:jc w:val="both"/>
      </w:pPr>
      <w:r>
        <w:rPr>
          <w:noProof/>
        </w:rPr>
      </w:r>
      <w:r w:rsidR="009B4AA0">
        <w:rPr>
          <w:noProof/>
        </w:rPr>
        <w:pict w14:anchorId="49FC1867">
          <v:shape id="_x0000_i1026" type="#_x0000_t75" alt="A screenshot of a computer&#13;&#13;&#10;&#13;&#13;&#10;Description automatically generated with medium confidence" style="width:222.7pt;height:156.55pt;visibility:visible;mso-wrap-style:square;mso-width-percent:0;mso-height-percent:0;mso-width-percent:0;mso-height-percent:0">
            <v:imagedata r:id="rId11" o:title="A screenshot of a computer&#13;&#13;&#10;&#13;&#13;&#10;Description automatically generated with medium confidence"/>
          </v:shape>
        </w:pict>
      </w:r>
      <w:r>
        <w:rPr>
          <w:noProof/>
        </w:rPr>
      </w:r>
      <w:r w:rsidR="009B4AA0">
        <w:rPr>
          <w:noProof/>
        </w:rPr>
        <w:pict w14:anchorId="24B8BA5D">
          <v:shape id="_x0000_i1027" type="#_x0000_t75" alt="A picture containing graphical user interface&#13;&#13;&#10;&#13;&#13;&#10;Description automatically generated" style="width:230.25pt;height:159.9pt;visibility:visible;mso-wrap-style:square;mso-width-percent:0;mso-height-percent:0;mso-width-percent:0;mso-height-percent:0">
            <v:imagedata r:id="rId12" o:title="A picture containing graphical user interface&#13;&#13;&#10;&#13;&#13;&#10;Description automatically generated"/>
          </v:shape>
        </w:pict>
      </w:r>
    </w:p>
    <w:p w14:paraId="7D9DB7DC" w14:textId="77777777" w:rsidR="008A69AE" w:rsidRDefault="008A69AE" w:rsidP="00D233D4">
      <w:pPr>
        <w:jc w:val="both"/>
      </w:pPr>
    </w:p>
    <w:p w14:paraId="6CD852D8" w14:textId="474642A7" w:rsidR="00D233D4" w:rsidRDefault="00B5247C" w:rsidP="00D233D4">
      <w:pPr>
        <w:jc w:val="both"/>
      </w:pPr>
      <w:r>
        <w:t xml:space="preserve">A country’s CNCI is driven by its own institutions, so these must be analysed </w:t>
      </w:r>
      <w:r w:rsidR="00844D2E">
        <w:t>to understand national trends</w:t>
      </w:r>
      <w:r>
        <w:t>.</w:t>
      </w:r>
      <w:r w:rsidR="00BF2B34">
        <w:t xml:space="preserve"> </w:t>
      </w:r>
      <w:r w:rsidR="00D233D4" w:rsidRPr="002774A4">
        <w:t xml:space="preserve">Figure 3 </w:t>
      </w:r>
      <w:r w:rsidR="002132F5">
        <w:t>plots</w:t>
      </w:r>
      <w:r w:rsidR="00D233D4" w:rsidRPr="002774A4">
        <w:t xml:space="preserve"> standard, collab</w:t>
      </w:r>
      <w:r w:rsidR="00B80FC4">
        <w:t>oration</w:t>
      </w:r>
      <w:r w:rsidR="00D233D4" w:rsidRPr="002774A4">
        <w:t xml:space="preserve"> and fractional CNCI values </w:t>
      </w:r>
      <w:r w:rsidR="004867B2">
        <w:lastRenderedPageBreak/>
        <w:t xml:space="preserve">deconstructed </w:t>
      </w:r>
      <w:r w:rsidR="00BF2B34">
        <w:t>into the</w:t>
      </w:r>
      <w:r w:rsidR="00D233D4" w:rsidRPr="002774A4">
        <w:t xml:space="preserve"> five collaboration types for </w:t>
      </w:r>
      <w:r w:rsidR="006B1151">
        <w:t xml:space="preserve">the University of Peradeniya, </w:t>
      </w:r>
      <w:r w:rsidR="003907DE">
        <w:t xml:space="preserve">the largest university in Sri Lanka, </w:t>
      </w:r>
      <w:r w:rsidR="00D233D4" w:rsidRPr="002774A4">
        <w:t xml:space="preserve">over a 10-year period. The standard CNCI plot illustrates again that, in general, more collaborative research </w:t>
      </w:r>
      <w:r w:rsidR="006E2724">
        <w:t>produces</w:t>
      </w:r>
      <w:r w:rsidR="00D233D4" w:rsidRPr="002774A4">
        <w:t xml:space="preserve"> a higher CNCI; fractional CNCI also tends to follow this with international quadrilateral plus plotting </w:t>
      </w:r>
      <w:r w:rsidR="00323734">
        <w:t xml:space="preserve">the highest and domestic single the lowest. </w:t>
      </w:r>
      <w:r w:rsidR="00D233D4" w:rsidRPr="002774A4">
        <w:t xml:space="preserve">However, when using Collab CNCI, the same order is not necessarily maintained, with domestic </w:t>
      </w:r>
      <w:r w:rsidR="00AB7572">
        <w:t>output</w:t>
      </w:r>
      <w:r w:rsidR="00D233D4" w:rsidRPr="002774A4">
        <w:t xml:space="preserve"> </w:t>
      </w:r>
      <w:r w:rsidR="00AB7572">
        <w:t>bet</w:t>
      </w:r>
      <w:r w:rsidR="00AB7572" w:rsidRPr="002774A4">
        <w:t>tering</w:t>
      </w:r>
      <w:r w:rsidR="00D233D4" w:rsidRPr="002774A4">
        <w:t xml:space="preserve"> internationally collaborative work</w:t>
      </w:r>
      <w:r w:rsidR="00F50D43">
        <w:t xml:space="preserve"> in some years</w:t>
      </w:r>
      <w:r w:rsidR="005E0A0B">
        <w:t xml:space="preserve"> (e.g., </w:t>
      </w:r>
      <w:r w:rsidR="00086CC3">
        <w:t>domestic single institutional articles in 2009 and 2018)</w:t>
      </w:r>
      <w:r w:rsidR="003907DE">
        <w:t xml:space="preserve">. </w:t>
      </w:r>
      <w:r w:rsidR="00AC463F">
        <w:t xml:space="preserve">Most striking, however, is the variability </w:t>
      </w:r>
      <w:r w:rsidR="00400B4F">
        <w:t>and range of international quadrilateral plus articles, reaching an astonishing standard CNCI value of 100 in 2012</w:t>
      </w:r>
      <w:r w:rsidR="00E93FC6">
        <w:t xml:space="preserve">. </w:t>
      </w:r>
      <w:r w:rsidR="006A2E02">
        <w:t>The international quadrilateral plus group using c</w:t>
      </w:r>
      <w:r w:rsidR="00E93FC6">
        <w:t>ollaboration and fractional CNCI</w:t>
      </w:r>
      <w:r w:rsidR="00F85622">
        <w:t xml:space="preserve"> </w:t>
      </w:r>
      <w:r w:rsidR="006A2E02">
        <w:t xml:space="preserve">follow </w:t>
      </w:r>
      <w:r w:rsidR="00F85622">
        <w:t>a similar</w:t>
      </w:r>
      <w:r w:rsidR="006A2E02">
        <w:t xml:space="preserve"> same trend</w:t>
      </w:r>
      <w:r w:rsidR="00F85622">
        <w:t>,</w:t>
      </w:r>
      <w:r w:rsidR="006A2E02">
        <w:t xml:space="preserve"> reaching values far </w:t>
      </w:r>
      <w:r w:rsidR="00106ECC">
        <w:t>exceeding</w:t>
      </w:r>
      <w:r w:rsidR="006A2E02">
        <w:t xml:space="preserve"> other collaboration types</w:t>
      </w:r>
      <w:r w:rsidR="005339B9">
        <w:t xml:space="preserve">, though </w:t>
      </w:r>
      <w:r w:rsidR="00A24CA9">
        <w:t>far lower than standard CNCI</w:t>
      </w:r>
      <w:r w:rsidR="006A2E02">
        <w:t>.</w:t>
      </w:r>
      <w:r w:rsidR="00044A52">
        <w:t xml:space="preserve"> H</w:t>
      </w:r>
      <w:r w:rsidR="00BF2B34">
        <w:t xml:space="preserve">ighly multilateral </w:t>
      </w:r>
      <w:r w:rsidR="00F9546D">
        <w:t>article</w:t>
      </w:r>
      <w:r w:rsidR="00044A52">
        <w:t xml:space="preserve"> </w:t>
      </w:r>
      <w:r w:rsidR="002A5E76">
        <w:t xml:space="preserve">output from this university is, </w:t>
      </w:r>
      <w:r w:rsidR="00044A52">
        <w:t>therefore,</w:t>
      </w:r>
      <w:r w:rsidR="00BF2B34">
        <w:t xml:space="preserve"> </w:t>
      </w:r>
      <w:r w:rsidR="00403BA8">
        <w:t xml:space="preserve">likely </w:t>
      </w:r>
      <w:r w:rsidR="002A5E76">
        <w:t>driving</w:t>
      </w:r>
      <w:r w:rsidR="00BF2B34">
        <w:t xml:space="preserve"> the spikes in </w:t>
      </w:r>
      <w:r w:rsidR="00A24CA9">
        <w:t>Sri Lanka’s</w:t>
      </w:r>
      <w:r w:rsidR="00BF2B34">
        <w:t xml:space="preserve"> CNCI indicators.</w:t>
      </w:r>
      <w:r w:rsidR="00636414">
        <w:t xml:space="preserve"> </w:t>
      </w:r>
    </w:p>
    <w:p w14:paraId="21B687F2" w14:textId="77777777" w:rsidR="0019786E" w:rsidRDefault="0019786E" w:rsidP="0019786E">
      <w:pPr>
        <w:jc w:val="both"/>
      </w:pPr>
    </w:p>
    <w:p w14:paraId="728A05C2" w14:textId="12E63DA2" w:rsidR="0019786E" w:rsidRDefault="0019786E" w:rsidP="0019786E">
      <w:pPr>
        <w:keepNext/>
        <w:jc w:val="center"/>
      </w:pPr>
      <w:r>
        <w:t>Figure 3:</w:t>
      </w:r>
      <w:r w:rsidR="000B312C">
        <w:t xml:space="preserve"> </w:t>
      </w:r>
      <w:r w:rsidR="000B312C" w:rsidRPr="000B312C">
        <w:t xml:space="preserve">Standard, </w:t>
      </w:r>
      <w:r w:rsidR="000B312C">
        <w:t>collaboration</w:t>
      </w:r>
      <w:r w:rsidR="000B312C" w:rsidRPr="000B312C">
        <w:t xml:space="preserve"> and </w:t>
      </w:r>
      <w:r w:rsidR="000B312C">
        <w:t>fractional</w:t>
      </w:r>
      <w:r w:rsidR="000B312C" w:rsidRPr="000B312C">
        <w:t xml:space="preserve"> CNCI for </w:t>
      </w:r>
      <w:r w:rsidR="000B312C">
        <w:t>University of Peradeniya, Sri Lanka</w:t>
      </w:r>
      <w:r w:rsidR="00BD3980">
        <w:t>,</w:t>
      </w:r>
      <w:r w:rsidR="000B312C">
        <w:t xml:space="preserve"> </w:t>
      </w:r>
      <w:r w:rsidR="000B312C" w:rsidRPr="000B312C">
        <w:t>broken down by collaboration type over a period of 10 years.</w:t>
      </w:r>
      <w:r w:rsidR="000B312C">
        <w:t xml:space="preserve"> Note different scales</w:t>
      </w:r>
      <w:r w:rsidR="009355A3">
        <w:t>.</w:t>
      </w:r>
    </w:p>
    <w:p w14:paraId="12F12290" w14:textId="453C127B" w:rsidR="00456126" w:rsidRDefault="009B4AA0" w:rsidP="00655F0D">
      <w:pPr>
        <w:jc w:val="both"/>
      </w:pPr>
      <w:r>
        <w:rPr>
          <w:noProof/>
        </w:rPr>
      </w:r>
      <w:r w:rsidR="009B4AA0">
        <w:rPr>
          <w:noProof/>
        </w:rPr>
        <w:pict w14:anchorId="0101CE06">
          <v:shape id="_x0000_i1028" type="#_x0000_t75" alt="Chart, histogram&#13;&#13;&#10;&#13;&#13;&#10;Description automatically generated" style="width:453.75pt;height:198.4pt;visibility:visible;mso-wrap-style:square;mso-width-percent:0;mso-height-percent:0;mso-width-percent:0;mso-height-percent:0">
            <v:imagedata r:id="rId13" o:title="Chart, histogram&#13;&#13;&#10;&#13;&#13;&#10;Description automatically generated"/>
          </v:shape>
        </w:pict>
      </w:r>
    </w:p>
    <w:p w14:paraId="48D33E0C" w14:textId="77777777" w:rsidR="008278ED" w:rsidRDefault="008278ED" w:rsidP="00655F0D">
      <w:pPr>
        <w:jc w:val="both"/>
      </w:pPr>
    </w:p>
    <w:p w14:paraId="524260A8" w14:textId="7E276881" w:rsidR="008278ED" w:rsidRDefault="00364F1B" w:rsidP="003866AD">
      <w:pPr>
        <w:jc w:val="both"/>
      </w:pPr>
      <w:r>
        <w:t>For China Mainland, t</w:t>
      </w:r>
      <w:r w:rsidR="00F62060">
        <w:t xml:space="preserve">he </w:t>
      </w:r>
      <w:r w:rsidR="0021752D">
        <w:t>similarity</w:t>
      </w:r>
      <w:r w:rsidR="00F62060">
        <w:t xml:space="preserve"> </w:t>
      </w:r>
      <w:r w:rsidR="00210354">
        <w:t xml:space="preserve">between </w:t>
      </w:r>
      <w:r w:rsidR="005A1989">
        <w:t>all three indicator variants, particularly standard and collaboration</w:t>
      </w:r>
      <w:r>
        <w:t xml:space="preserve"> </w:t>
      </w:r>
      <w:r w:rsidR="0021752D">
        <w:t xml:space="preserve">(Figure 1) </w:t>
      </w:r>
      <w:r w:rsidR="00917C62">
        <w:t>should</w:t>
      </w:r>
      <w:r w:rsidR="0021752D">
        <w:t xml:space="preserve"> also be analysed at an </w:t>
      </w:r>
      <w:r w:rsidR="00917C62">
        <w:t>institutional level to understand these relationships</w:t>
      </w:r>
      <w:r w:rsidR="005A1989">
        <w:t>.</w:t>
      </w:r>
      <w:r w:rsidR="00917C62">
        <w:t xml:space="preserve"> </w:t>
      </w:r>
      <w:r w:rsidR="00530974">
        <w:t>Figure 4</w:t>
      </w:r>
      <w:r w:rsidR="00917C62">
        <w:t>, therefore,</w:t>
      </w:r>
      <w:r w:rsidR="00530974">
        <w:t xml:space="preserve"> plots the </w:t>
      </w:r>
      <w:r w:rsidR="001062E1">
        <w:t xml:space="preserve">change </w:t>
      </w:r>
      <w:r w:rsidR="005E7B8F">
        <w:t>in collaboration and standard CNCI</w:t>
      </w:r>
      <w:r w:rsidR="00D57C39">
        <w:t xml:space="preserve"> between 2009 and 2018</w:t>
      </w:r>
      <w:r w:rsidR="005E7B8F">
        <w:t xml:space="preserve"> </w:t>
      </w:r>
      <w:r w:rsidR="001062E1">
        <w:t>for 30 Chinese institutions</w:t>
      </w:r>
      <w:r w:rsidR="00C62669">
        <w:t>.</w:t>
      </w:r>
      <w:r w:rsidR="003D2AE4">
        <w:t xml:space="preserve"> </w:t>
      </w:r>
      <w:r w:rsidR="00D57C39">
        <w:t>The institutions have an almost one-to-one relationship (gradient of 0.96)</w:t>
      </w:r>
      <w:r w:rsidR="00704A99">
        <w:t xml:space="preserve"> between the two variants, with only one institution having a negative change</w:t>
      </w:r>
      <w:r w:rsidR="003866AD">
        <w:t xml:space="preserve"> (</w:t>
      </w:r>
      <w:r w:rsidR="003866AD" w:rsidRPr="003866AD">
        <w:t>State Oceanic Administratio</w:t>
      </w:r>
      <w:r w:rsidR="003866AD">
        <w:t>n)</w:t>
      </w:r>
      <w:r w:rsidR="000950F7">
        <w:t>.</w:t>
      </w:r>
      <w:r w:rsidR="00854064">
        <w:t xml:space="preserve"> </w:t>
      </w:r>
      <w:r w:rsidR="000950F7">
        <w:t>T</w:t>
      </w:r>
      <w:r w:rsidR="00854064">
        <w:t xml:space="preserve">he largest increase </w:t>
      </w:r>
      <w:r w:rsidR="008B27A2">
        <w:t xml:space="preserve">is for </w:t>
      </w:r>
      <w:proofErr w:type="spellStart"/>
      <w:r w:rsidR="008B27A2" w:rsidRPr="008B27A2">
        <w:t>Northwestern</w:t>
      </w:r>
      <w:proofErr w:type="spellEnd"/>
      <w:r w:rsidR="008B27A2" w:rsidRPr="008B27A2">
        <w:t xml:space="preserve"> Polytechnical University</w:t>
      </w:r>
      <w:r w:rsidR="008B27A2">
        <w:t>, Xi’an</w:t>
      </w:r>
      <w:r w:rsidR="00A74AA8">
        <w:t xml:space="preserve"> (0.78, 0.74).</w:t>
      </w:r>
      <w:r w:rsidR="00187131">
        <w:t xml:space="preserve"> </w:t>
      </w:r>
    </w:p>
    <w:p w14:paraId="4BFB6BD1" w14:textId="77777777" w:rsidR="007D4397" w:rsidRDefault="007D4397" w:rsidP="003866AD">
      <w:pPr>
        <w:jc w:val="both"/>
      </w:pPr>
    </w:p>
    <w:p w14:paraId="05DDCD89" w14:textId="77777777" w:rsidR="00B6355D" w:rsidRPr="002D4019" w:rsidRDefault="00B6355D" w:rsidP="00B6355D">
      <w:pPr>
        <w:jc w:val="both"/>
        <w:rPr>
          <w:b/>
          <w:bCs/>
        </w:rPr>
      </w:pPr>
      <w:r w:rsidRPr="002D4019">
        <w:rPr>
          <w:b/>
          <w:bCs/>
        </w:rPr>
        <w:t>4. Discussion</w:t>
      </w:r>
    </w:p>
    <w:p w14:paraId="03E60F05" w14:textId="427FFC7D" w:rsidR="007D4397" w:rsidRDefault="00B6355D" w:rsidP="003866AD">
      <w:pPr>
        <w:jc w:val="both"/>
      </w:pPr>
      <w:r>
        <w:t>Results demonstrate the benefits of using CNCI variants in concert (Figure 1). Sri Lanka’s standard CNCI performance, given its variance and the country’s research capacity</w:t>
      </w:r>
      <w:r w:rsidR="00254312">
        <w:t xml:space="preserve">, </w:t>
      </w:r>
      <w:r>
        <w:t>could be anomalous</w:t>
      </w:r>
      <w:r w:rsidR="001A087C">
        <w:t xml:space="preserve"> (</w:t>
      </w:r>
      <w:r w:rsidR="00A0401F">
        <w:t>when comparing to China Mainland and Australia</w:t>
      </w:r>
      <w:r w:rsidR="001A087C">
        <w:t>)</w:t>
      </w:r>
      <w:r>
        <w:t xml:space="preserve"> and result in ill-informed policy making. The two indicators considering collaboration provide a different interpretation, while those for Australia and China are generally consistent with their respective standard CNCI behaviour. However, it is only by analysing data by collaboration type (Figure 2) as well as at the institution</w:t>
      </w:r>
      <w:r w:rsidR="00254312">
        <w:t>al</w:t>
      </w:r>
      <w:r>
        <w:t xml:space="preserve"> level (Figure 3) that these results can be </w:t>
      </w:r>
      <w:r w:rsidR="00E16F8D">
        <w:t xml:space="preserve">fully </w:t>
      </w:r>
      <w:r>
        <w:t xml:space="preserve">understood. The national spikes for Sri Lanka in 2012 and 2015 match those for </w:t>
      </w:r>
      <w:r w:rsidR="00E16F8D">
        <w:t xml:space="preserve">the </w:t>
      </w:r>
      <w:r>
        <w:t xml:space="preserve">University of Peradeniya. Analysis of the university’s output shows that it was involved in several global disease papers published in the Lancet containing tens of countries and hundreds of authors. These papers </w:t>
      </w:r>
      <w:r>
        <w:lastRenderedPageBreak/>
        <w:t>(Lozano et al</w:t>
      </w:r>
      <w:r w:rsidR="00E926A9">
        <w:t>.,</w:t>
      </w:r>
      <w:r>
        <w:t xml:space="preserve"> 2012</w:t>
      </w:r>
      <w:r w:rsidR="006D5BC2">
        <w:t>;</w:t>
      </w:r>
      <w:r>
        <w:t xml:space="preserve"> </w:t>
      </w:r>
      <w:proofErr w:type="spellStart"/>
      <w:r w:rsidR="006D5BC2">
        <w:t>Naghavi</w:t>
      </w:r>
      <w:proofErr w:type="spellEnd"/>
      <w:r w:rsidR="006D5BC2">
        <w:t xml:space="preserve"> et al., 2015; </w:t>
      </w:r>
      <w:r>
        <w:t>Vos et al.</w:t>
      </w:r>
      <w:r w:rsidR="00E926A9">
        <w:t>,</w:t>
      </w:r>
      <w:r>
        <w:t xml:space="preserve"> 201</w:t>
      </w:r>
      <w:r w:rsidR="006D5BC2">
        <w:t>5</w:t>
      </w:r>
      <w:r>
        <w:t xml:space="preserve">) are exceptionally highly cited. Given the global nature, in terms of authorship and content, it is no surprise that these articles have received thousands of citations and heavily skewed Sri Lanka’s standard CNCI values. </w:t>
      </w:r>
      <w:r w:rsidR="00E16F8D">
        <w:t xml:space="preserve">Such articles, while valuable </w:t>
      </w:r>
      <w:r w:rsidR="00414662">
        <w:t xml:space="preserve">for Sri Lanka’s participation in global health research, should not </w:t>
      </w:r>
      <w:r w:rsidR="004952E2">
        <w:t xml:space="preserve">therefore </w:t>
      </w:r>
      <w:r w:rsidR="00414662">
        <w:t xml:space="preserve">be considered when assessing Sri Lanka’s overall </w:t>
      </w:r>
      <w:r w:rsidR="004952E2">
        <w:t>performance as they are clear outliers.</w:t>
      </w:r>
    </w:p>
    <w:p w14:paraId="5715E5B2" w14:textId="77777777" w:rsidR="008278ED" w:rsidRDefault="008278ED" w:rsidP="00655F0D">
      <w:pPr>
        <w:jc w:val="both"/>
      </w:pPr>
    </w:p>
    <w:p w14:paraId="5EC22F0E" w14:textId="6ABC0F3A" w:rsidR="00C82B68" w:rsidRDefault="00C82B68" w:rsidP="00C82B68">
      <w:pPr>
        <w:keepNext/>
        <w:jc w:val="center"/>
      </w:pPr>
      <w:r>
        <w:t xml:space="preserve">Figure 4: </w:t>
      </w:r>
      <w:r w:rsidR="00745394">
        <w:t xml:space="preserve">Collab CNCI improvement against </w:t>
      </w:r>
      <w:r w:rsidR="00841E81">
        <w:t>s</w:t>
      </w:r>
      <w:r w:rsidR="00745394">
        <w:t xml:space="preserve">tandard CNCI improvement </w:t>
      </w:r>
      <w:r w:rsidR="00841E81">
        <w:t xml:space="preserve">(over the period 2009-2018) </w:t>
      </w:r>
      <w:r w:rsidR="00745394">
        <w:t>for 30 Chinese institutions</w:t>
      </w:r>
      <w:r w:rsidR="00640F3C">
        <w:t xml:space="preserve">. The institutions are fit </w:t>
      </w:r>
      <w:r w:rsidR="00116450">
        <w:t xml:space="preserve">through the origin </w:t>
      </w:r>
      <w:r w:rsidR="00640F3C">
        <w:t>by the equation (shown in blue): y = 0.960*x + 0.</w:t>
      </w:r>
    </w:p>
    <w:p w14:paraId="582BE65D" w14:textId="77777777" w:rsidR="008278ED" w:rsidRPr="002774A4" w:rsidRDefault="008278ED" w:rsidP="00655F0D">
      <w:pPr>
        <w:jc w:val="both"/>
      </w:pPr>
    </w:p>
    <w:p w14:paraId="07F5AA91" w14:textId="36B0CBAC" w:rsidR="002D4019" w:rsidRDefault="009B4AA0" w:rsidP="00745394">
      <w:pPr>
        <w:jc w:val="center"/>
      </w:pPr>
      <w:r>
        <w:rPr>
          <w:noProof/>
        </w:rPr>
      </w:r>
      <w:r w:rsidR="009B4AA0">
        <w:rPr>
          <w:noProof/>
        </w:rPr>
        <w:pict w14:anchorId="230ABD13">
          <v:shape id="_x0000_i1029" type="#_x0000_t75" alt="A picture containing diagram&#13;&#13;&#10;&#13;&#13;&#10;Description automatically generated" style="width:228.55pt;height:228.55pt;visibility:visible;mso-wrap-style:square;mso-width-percent:0;mso-height-percent:0;mso-width-percent:0;mso-height-percent:0">
            <v:imagedata r:id="rId14" o:title="A picture containing diagram&#13;&#13;&#10;&#13;&#13;&#10;Description automatically generated"/>
          </v:shape>
        </w:pict>
      </w:r>
    </w:p>
    <w:p w14:paraId="19F88891" w14:textId="77777777" w:rsidR="00655F0D" w:rsidRDefault="00655F0D">
      <w:pPr>
        <w:jc w:val="both"/>
      </w:pPr>
    </w:p>
    <w:p w14:paraId="47F5CD5A" w14:textId="77777777" w:rsidR="00D33FD2" w:rsidRDefault="00D33FD2" w:rsidP="00655F0D">
      <w:pPr>
        <w:jc w:val="both"/>
      </w:pPr>
    </w:p>
    <w:p w14:paraId="47CD8C71" w14:textId="08B5EB22" w:rsidR="00D33FD2" w:rsidRDefault="00D33FD2" w:rsidP="00655F0D">
      <w:pPr>
        <w:jc w:val="both"/>
      </w:pPr>
      <w:r>
        <w:t xml:space="preserve">Australia’s </w:t>
      </w:r>
      <w:r w:rsidR="000C4E92">
        <w:t xml:space="preserve">CNCI performance may </w:t>
      </w:r>
      <w:r w:rsidR="00D972EB">
        <w:t>mirror that of</w:t>
      </w:r>
      <w:r w:rsidR="000C4E92">
        <w:t xml:space="preserve"> Sri Lanka</w:t>
      </w:r>
      <w:r w:rsidR="004952E2">
        <w:t xml:space="preserve"> to some degree</w:t>
      </w:r>
      <w:r w:rsidR="000C4E92">
        <w:t xml:space="preserve">. </w:t>
      </w:r>
      <w:r w:rsidR="001D595C">
        <w:t xml:space="preserve">Its increase in standard CNCI, compared to </w:t>
      </w:r>
      <w:r>
        <w:t xml:space="preserve">stagnation in fractional and collaboration CNCI, </w:t>
      </w:r>
      <w:r w:rsidR="001D595C">
        <w:t xml:space="preserve">may be due to </w:t>
      </w:r>
      <w:r w:rsidR="003B519E">
        <w:t>an internationally</w:t>
      </w:r>
      <w:r w:rsidR="004A5AB8">
        <w:t xml:space="preserve"> collaborative </w:t>
      </w:r>
      <w:r w:rsidR="003B519E">
        <w:t xml:space="preserve">boost </w:t>
      </w:r>
      <w:r w:rsidR="007B04B3">
        <w:t xml:space="preserve">on globally relevant research </w:t>
      </w:r>
      <w:r w:rsidR="004A5AB8">
        <w:t xml:space="preserve">which, when normalised by collaboration </w:t>
      </w:r>
      <w:r w:rsidR="00796C50">
        <w:t>or author contributions</w:t>
      </w:r>
      <w:r w:rsidR="003B519E">
        <w:t>, disappears.</w:t>
      </w:r>
      <w:r w:rsidR="00D62594">
        <w:t xml:space="preserve"> </w:t>
      </w:r>
      <w:r w:rsidR="00F0489D">
        <w:t xml:space="preserve">Performance interpretation can vary based on the </w:t>
      </w:r>
      <w:r w:rsidR="00345AF0">
        <w:t xml:space="preserve">available </w:t>
      </w:r>
      <w:r w:rsidR="00F0489D">
        <w:t>data and any summary information</w:t>
      </w:r>
      <w:r w:rsidR="00B263BE">
        <w:t xml:space="preserve"> must be used with caution (</w:t>
      </w:r>
      <w:proofErr w:type="spellStart"/>
      <w:r w:rsidR="00B263BE">
        <w:t>Szomszor</w:t>
      </w:r>
      <w:proofErr w:type="spellEnd"/>
      <w:r w:rsidR="00B263BE">
        <w:t xml:space="preserve"> et al</w:t>
      </w:r>
      <w:r w:rsidR="00E926A9">
        <w:t>.,</w:t>
      </w:r>
      <w:r w:rsidR="00B263BE">
        <w:t xml:space="preserve"> 2021). Therefore, a</w:t>
      </w:r>
      <w:r w:rsidR="00916A97">
        <w:t xml:space="preserve">s with the Sri Lanka example, </w:t>
      </w:r>
      <w:r w:rsidR="00D518E4">
        <w:t xml:space="preserve">investigation of </w:t>
      </w:r>
      <w:r w:rsidR="00B263BE">
        <w:t>Australia’s</w:t>
      </w:r>
      <w:r w:rsidR="00D518E4">
        <w:t xml:space="preserve"> research output by collaboration type is required </w:t>
      </w:r>
      <w:r w:rsidR="00D03360">
        <w:t xml:space="preserve">to assess whether </w:t>
      </w:r>
      <w:r w:rsidR="00545F49">
        <w:t xml:space="preserve">an international boost is present </w:t>
      </w:r>
      <w:r w:rsidR="00714FB7">
        <w:t xml:space="preserve">which may alter evaluation of </w:t>
      </w:r>
      <w:r w:rsidR="0018716F">
        <w:t xml:space="preserve">Australia’s overall </w:t>
      </w:r>
      <w:r w:rsidR="00714FB7">
        <w:t>performance</w:t>
      </w:r>
      <w:r w:rsidR="0018716F">
        <w:t>.</w:t>
      </w:r>
    </w:p>
    <w:p w14:paraId="5F4B7540" w14:textId="77777777" w:rsidR="00973A72" w:rsidRDefault="00973A72" w:rsidP="00655F0D">
      <w:pPr>
        <w:jc w:val="both"/>
      </w:pPr>
    </w:p>
    <w:p w14:paraId="4258D170" w14:textId="4E2F7EA0" w:rsidR="000731AE" w:rsidRDefault="00695596" w:rsidP="00695596">
      <w:pPr>
        <w:jc w:val="both"/>
      </w:pPr>
      <w:r>
        <w:t xml:space="preserve">At the institutional level for China </w:t>
      </w:r>
      <w:r w:rsidR="002541D7">
        <w:t xml:space="preserve">Mainland </w:t>
      </w:r>
      <w:r>
        <w:t xml:space="preserve">there appears to be no appreciable effect </w:t>
      </w:r>
      <w:r w:rsidR="00BC2B40">
        <w:t xml:space="preserve">in CNCI change when normalising </w:t>
      </w:r>
      <w:r>
        <w:t>CNCI by collaboration type</w:t>
      </w:r>
      <w:r w:rsidR="006042DC">
        <w:t xml:space="preserve"> (Figure 4)</w:t>
      </w:r>
      <w:r>
        <w:t xml:space="preserve">. </w:t>
      </w:r>
      <w:r w:rsidR="000731AE">
        <w:t>This may be because, unlike Sri Lanka, China’s research is heavily domestically focused</w:t>
      </w:r>
      <w:r w:rsidR="00BA2343">
        <w:t xml:space="preserve">, so the effects of any </w:t>
      </w:r>
      <w:r w:rsidR="00261D62">
        <w:t xml:space="preserve">collaboration on </w:t>
      </w:r>
      <w:r w:rsidR="00BA2343">
        <w:t xml:space="preserve">exceptionally cited </w:t>
      </w:r>
      <w:r w:rsidR="00261D62">
        <w:t xml:space="preserve">highly </w:t>
      </w:r>
      <w:r w:rsidR="00EF535C">
        <w:t>multi-lateral</w:t>
      </w:r>
      <w:r w:rsidR="00261D62">
        <w:t xml:space="preserve"> articles (</w:t>
      </w:r>
      <w:r w:rsidR="00EF535C">
        <w:t>i.e., 1.6% quadrilateral plus articles</w:t>
      </w:r>
      <w:r w:rsidR="006D433A">
        <w:t xml:space="preserve"> accounting for 4.4% of </w:t>
      </w:r>
      <w:r w:rsidR="00933E7B">
        <w:t xml:space="preserve">total </w:t>
      </w:r>
      <w:r w:rsidR="006D433A">
        <w:t>citations</w:t>
      </w:r>
      <w:r w:rsidR="00EF535C">
        <w:t xml:space="preserve">) </w:t>
      </w:r>
      <w:r w:rsidR="00261D62">
        <w:t xml:space="preserve">is </w:t>
      </w:r>
      <w:r w:rsidR="00EF535C">
        <w:t xml:space="preserve">likely </w:t>
      </w:r>
      <w:r w:rsidR="00261D62">
        <w:t>limited.</w:t>
      </w:r>
      <w:r w:rsidR="000B759B">
        <w:t xml:space="preserve"> Additionally, article </w:t>
      </w:r>
      <w:r w:rsidR="00E729B0">
        <w:t>output</w:t>
      </w:r>
      <w:r w:rsidR="000B759B">
        <w:t xml:space="preserve"> and citation share </w:t>
      </w:r>
      <w:r w:rsidR="00E729B0">
        <w:t>for each collaboration type are comparable</w:t>
      </w:r>
      <w:r w:rsidR="00A929BA">
        <w:t xml:space="preserve"> (within a few percentage points)</w:t>
      </w:r>
      <w:r w:rsidR="00E729B0">
        <w:t xml:space="preserve">, so no one group is likely </w:t>
      </w:r>
      <w:r w:rsidR="00D15600">
        <w:t xml:space="preserve">to have a </w:t>
      </w:r>
      <w:r w:rsidR="00A75A71">
        <w:t>dominant</w:t>
      </w:r>
      <w:r w:rsidR="00D15600">
        <w:t xml:space="preserve"> effect. </w:t>
      </w:r>
    </w:p>
    <w:p w14:paraId="70E38347" w14:textId="77777777" w:rsidR="000731AE" w:rsidRDefault="000731AE" w:rsidP="00695596">
      <w:pPr>
        <w:jc w:val="both"/>
      </w:pPr>
    </w:p>
    <w:p w14:paraId="5F4AA887" w14:textId="23A2B8E7" w:rsidR="00655F0D" w:rsidRDefault="00695596">
      <w:pPr>
        <w:jc w:val="both"/>
      </w:pPr>
      <w:r>
        <w:t xml:space="preserve">The sample of </w:t>
      </w:r>
      <w:r w:rsidR="006042DC">
        <w:t>C</w:t>
      </w:r>
      <w:r>
        <w:t>hin</w:t>
      </w:r>
      <w:r w:rsidR="00A75A71">
        <w:t>e</w:t>
      </w:r>
      <w:r>
        <w:t xml:space="preserve">se institutions also </w:t>
      </w:r>
      <w:r w:rsidR="006042DC">
        <w:t>illustrates that</w:t>
      </w:r>
      <w:r>
        <w:t xml:space="preserve"> most</w:t>
      </w:r>
      <w:r w:rsidR="006042DC">
        <w:t xml:space="preserve"> improved their CNCI values over the period. </w:t>
      </w:r>
      <w:r w:rsidR="00FF23A5">
        <w:t xml:space="preserve">For CNCI to increase, citations must be accumulated at a greater rate compared to </w:t>
      </w:r>
      <w:r w:rsidR="00457654">
        <w:t xml:space="preserve">other </w:t>
      </w:r>
      <w:r w:rsidR="00FF23A5">
        <w:t xml:space="preserve">articles published in the same year </w:t>
      </w:r>
      <w:r w:rsidR="00DA6E24">
        <w:t>and subject category. An increase in citation count could be due to Chinese citation practices</w:t>
      </w:r>
      <w:r w:rsidR="00041C42">
        <w:t>,</w:t>
      </w:r>
      <w:r w:rsidR="00DA6E24">
        <w:t xml:space="preserve"> </w:t>
      </w:r>
      <w:r w:rsidR="00EA1F73">
        <w:t>namely</w:t>
      </w:r>
      <w:r w:rsidR="00041C42">
        <w:t>:</w:t>
      </w:r>
      <w:r w:rsidR="00EA1F73">
        <w:t xml:space="preserve"> </w:t>
      </w:r>
      <w:r w:rsidR="00EA1F73" w:rsidRPr="00DA5A5C">
        <w:t>cit</w:t>
      </w:r>
      <w:r w:rsidR="00EA1F73">
        <w:t>ing</w:t>
      </w:r>
      <w:r w:rsidR="00EA1F73" w:rsidRPr="00DA5A5C">
        <w:t xml:space="preserve"> their fellow citizens more often </w:t>
      </w:r>
      <w:r w:rsidR="00EA1F73" w:rsidRPr="00DA5A5C">
        <w:lastRenderedPageBreak/>
        <w:t>(Bakare &amp; Lewison</w:t>
      </w:r>
      <w:r w:rsidR="00E926A9">
        <w:t>,</w:t>
      </w:r>
      <w:r w:rsidR="00EA1F73" w:rsidRPr="00DA5A5C">
        <w:t xml:space="preserve"> 2017; </w:t>
      </w:r>
      <w:proofErr w:type="spellStart"/>
      <w:r w:rsidR="00EA1F73" w:rsidRPr="00DA5A5C">
        <w:t>Shehatta</w:t>
      </w:r>
      <w:proofErr w:type="spellEnd"/>
      <w:r w:rsidR="00EA1F73" w:rsidRPr="00DA5A5C">
        <w:t xml:space="preserve"> &amp; Al-</w:t>
      </w:r>
      <w:proofErr w:type="spellStart"/>
      <w:r w:rsidR="00EA1F73" w:rsidRPr="00DA5A5C">
        <w:t>Rubaish</w:t>
      </w:r>
      <w:proofErr w:type="spellEnd"/>
      <w:r w:rsidR="00E926A9">
        <w:t>,</w:t>
      </w:r>
      <w:r w:rsidR="00EA1F73" w:rsidRPr="00DA5A5C">
        <w:t xml:space="preserve"> 2019)</w:t>
      </w:r>
      <w:r w:rsidR="00EA1F73">
        <w:t xml:space="preserve"> and </w:t>
      </w:r>
      <w:r w:rsidR="00EA1F73" w:rsidRPr="00DA5A5C">
        <w:t>hav</w:t>
      </w:r>
      <w:r w:rsidR="00EA1F73">
        <w:t>ing</w:t>
      </w:r>
      <w:r w:rsidR="00EA1F73" w:rsidRPr="00DA5A5C">
        <w:t xml:space="preserve"> longer reference lists than world average (</w:t>
      </w:r>
      <w:proofErr w:type="spellStart"/>
      <w:r w:rsidR="00EA1F73" w:rsidRPr="00DA5A5C">
        <w:t>Stahlschmidt</w:t>
      </w:r>
      <w:proofErr w:type="spellEnd"/>
      <w:r w:rsidR="00EA1F73" w:rsidRPr="00DA5A5C">
        <w:t xml:space="preserve"> </w:t>
      </w:r>
      <w:r w:rsidR="00E926A9">
        <w:t>&amp;</w:t>
      </w:r>
      <w:r w:rsidR="00EA1F73" w:rsidRPr="00DA5A5C">
        <w:t xml:space="preserve"> Hinze</w:t>
      </w:r>
      <w:r w:rsidR="00E926A9">
        <w:t>,</w:t>
      </w:r>
      <w:r w:rsidR="00EA1F73" w:rsidRPr="00DA5A5C">
        <w:t xml:space="preserve"> 2018)</w:t>
      </w:r>
      <w:r w:rsidR="000D53A4">
        <w:t xml:space="preserve">. </w:t>
      </w:r>
      <w:r w:rsidR="006653AD">
        <w:t>Irrespective</w:t>
      </w:r>
      <w:r w:rsidR="000D53A4">
        <w:t xml:space="preserve"> of how citations are received</w:t>
      </w:r>
      <w:r w:rsidR="006653AD">
        <w:t>,</w:t>
      </w:r>
      <w:r w:rsidR="000D53A4">
        <w:t xml:space="preserve"> </w:t>
      </w:r>
      <w:r w:rsidR="006653AD">
        <w:t>Chinese</w:t>
      </w:r>
      <w:r w:rsidR="000D53A4">
        <w:t xml:space="preserve"> research </w:t>
      </w:r>
      <w:r w:rsidR="003129D3">
        <w:t xml:space="preserve">performs well </w:t>
      </w:r>
      <w:r w:rsidR="00154D44">
        <w:t>(</w:t>
      </w:r>
      <w:r w:rsidR="002E6BF9">
        <w:t xml:space="preserve">above world average as of 2018) </w:t>
      </w:r>
      <w:r w:rsidR="003129D3">
        <w:t>regardless of the type of research collaboration</w:t>
      </w:r>
      <w:r w:rsidR="008E5CD0">
        <w:t xml:space="preserve">; China Mainland, unlike Sri Lanka, does not need to rely on highly multilateral articles </w:t>
      </w:r>
      <w:r w:rsidR="00435F76">
        <w:t>to boost its performance.</w:t>
      </w:r>
      <w:r w:rsidR="00B735C1">
        <w:t xml:space="preserve"> </w:t>
      </w:r>
    </w:p>
    <w:p w14:paraId="3733B144" w14:textId="77777777" w:rsidR="0026349D" w:rsidRDefault="0026349D">
      <w:pPr>
        <w:jc w:val="both"/>
      </w:pPr>
    </w:p>
    <w:p w14:paraId="194085B2" w14:textId="154E85D2" w:rsidR="002D4019" w:rsidRPr="002D4019" w:rsidRDefault="002D4019">
      <w:pPr>
        <w:jc w:val="both"/>
        <w:rPr>
          <w:b/>
          <w:bCs/>
        </w:rPr>
      </w:pPr>
      <w:r w:rsidRPr="002D4019">
        <w:rPr>
          <w:b/>
          <w:bCs/>
        </w:rPr>
        <w:t>5. Conclusion</w:t>
      </w:r>
    </w:p>
    <w:p w14:paraId="5B401FE0" w14:textId="2F145B4E" w:rsidR="00655F0D" w:rsidRDefault="00655F0D" w:rsidP="00655F0D">
      <w:pPr>
        <w:jc w:val="both"/>
      </w:pPr>
      <w:r w:rsidRPr="00AD55DE">
        <w:t>Given the increasingly collaborative nature of research, Collab</w:t>
      </w:r>
      <w:r w:rsidR="00894544">
        <w:t xml:space="preserve"> </w:t>
      </w:r>
      <w:r w:rsidRPr="00AD55DE">
        <w:t>CNCI offers an alternative version of CNCI (and other counting methods) that explicitly considers collaboration. Importantly, Collab</w:t>
      </w:r>
      <w:r w:rsidR="00894544">
        <w:t xml:space="preserve"> </w:t>
      </w:r>
      <w:r w:rsidRPr="00AD55DE">
        <w:t>CNCI retains a clear origin, building upon the well-established and understood, standard CNCI method. Additionally, comparisons show that the standard and fractional approaches can be used to complement the collaboration approach (</w:t>
      </w:r>
      <w:r w:rsidR="00C750BE" w:rsidRPr="00034654">
        <w:t>Potter</w:t>
      </w:r>
      <w:r w:rsidR="00C750BE">
        <w:t xml:space="preserve">, </w:t>
      </w:r>
      <w:proofErr w:type="spellStart"/>
      <w:r w:rsidR="00C750BE">
        <w:t>Szomszor</w:t>
      </w:r>
      <w:proofErr w:type="spellEnd"/>
      <w:r w:rsidR="00C750BE">
        <w:t xml:space="preserve"> and Adams</w:t>
      </w:r>
      <w:r w:rsidR="00C750BE">
        <w:t xml:space="preserve">, 2022; </w:t>
      </w:r>
      <w:r w:rsidRPr="00AD55DE">
        <w:t xml:space="preserve">Potter </w:t>
      </w:r>
      <w:r w:rsidR="00E926A9">
        <w:t>&amp;</w:t>
      </w:r>
      <w:r w:rsidRPr="00AD55DE">
        <w:t xml:space="preserve"> </w:t>
      </w:r>
      <w:proofErr w:type="spellStart"/>
      <w:r w:rsidRPr="00AD55DE">
        <w:t>Kova</w:t>
      </w:r>
      <w:proofErr w:type="spellEnd"/>
      <w:r w:rsidRPr="00AD55DE">
        <w:rPr>
          <w:lang w:val="en"/>
        </w:rPr>
        <w:t>č</w:t>
      </w:r>
      <w:r w:rsidR="00E926A9">
        <w:rPr>
          <w:lang w:val="en"/>
        </w:rPr>
        <w:t>,</w:t>
      </w:r>
      <w:r w:rsidRPr="00AD55DE">
        <w:t xml:space="preserve"> 2023) further strengthening analysis and understanding.</w:t>
      </w:r>
    </w:p>
    <w:p w14:paraId="5C4FB15B" w14:textId="77777777" w:rsidR="00D94C35" w:rsidRDefault="00D94C35" w:rsidP="00655F0D">
      <w:pPr>
        <w:jc w:val="both"/>
      </w:pPr>
    </w:p>
    <w:p w14:paraId="04D9EDD5" w14:textId="23216EE4" w:rsidR="00172EF9" w:rsidRDefault="00D94C35" w:rsidP="00172EF9">
      <w:pPr>
        <w:jc w:val="both"/>
      </w:pPr>
      <w:r w:rsidRPr="008D11EF">
        <w:t>A potential criticism of Collab</w:t>
      </w:r>
      <w:r>
        <w:t xml:space="preserve"> </w:t>
      </w:r>
      <w:r w:rsidRPr="008D11EF">
        <w:t xml:space="preserve">CNCI is that, like the standard and fractional approach, it only offers a single value snapshot of an entity’s performance. However, the use of collaboration types allows a detailed deconstruction of an entity’s research output for in-depth comparisons between collaboration types as well as peer institutions </w:t>
      </w:r>
      <w:r w:rsidR="00AD59CE">
        <w:t>and other</w:t>
      </w:r>
      <w:r w:rsidRPr="008D11EF">
        <w:t xml:space="preserve"> countries. </w:t>
      </w:r>
      <w:r w:rsidR="0014793C">
        <w:t>Visual representations of the collaboration types also allow m</w:t>
      </w:r>
      <w:r w:rsidR="00655F0D" w:rsidRPr="00AD55DE">
        <w:t xml:space="preserve">ulti-author effects </w:t>
      </w:r>
      <w:r w:rsidR="0014793C">
        <w:t>to</w:t>
      </w:r>
      <w:r w:rsidR="00655F0D" w:rsidRPr="00AD55DE">
        <w:t xml:space="preserve"> be easily recognised providing context and insights that are not possible with single indicator values</w:t>
      </w:r>
      <w:r w:rsidR="0014793C">
        <w:t>.</w:t>
      </w:r>
      <w:r w:rsidR="00172EF9">
        <w:t xml:space="preserve"> </w:t>
      </w:r>
    </w:p>
    <w:p w14:paraId="13E4F397" w14:textId="77777777" w:rsidR="0014793C" w:rsidRPr="00AD55DE" w:rsidRDefault="0014793C" w:rsidP="00655F0D">
      <w:pPr>
        <w:jc w:val="both"/>
      </w:pPr>
    </w:p>
    <w:p w14:paraId="558C0301" w14:textId="79624406" w:rsidR="008168F4" w:rsidRDefault="00655F0D">
      <w:pPr>
        <w:jc w:val="both"/>
      </w:pPr>
      <w:r w:rsidRPr="00AD55DE">
        <w:t xml:space="preserve">The interpretation of collaboration type is a further argument in favour of profiling publication portfolios </w:t>
      </w:r>
      <w:r w:rsidR="0014793C">
        <w:t xml:space="preserve">(Adams </w:t>
      </w:r>
      <w:r w:rsidR="00DD3831">
        <w:t>et al</w:t>
      </w:r>
      <w:r w:rsidR="00E926A9">
        <w:t>.,</w:t>
      </w:r>
      <w:r w:rsidR="00B60E59">
        <w:t xml:space="preserve"> 2019</w:t>
      </w:r>
      <w:r w:rsidR="00A70309">
        <w:t>b</w:t>
      </w:r>
      <w:r w:rsidR="00DD3831">
        <w:t xml:space="preserve">) </w:t>
      </w:r>
      <w:r w:rsidRPr="00AD55DE">
        <w:t xml:space="preserve">rather than relying on the single, summary metric of CNCI. A profiling method could be applied at several levels including institution and country, or even </w:t>
      </w:r>
      <w:r w:rsidR="002C2681">
        <w:t xml:space="preserve">to </w:t>
      </w:r>
      <w:r w:rsidRPr="00AD55DE">
        <w:t>research funders, to achieve greater</w:t>
      </w:r>
      <w:r w:rsidR="002C2681">
        <w:t>,</w:t>
      </w:r>
      <w:r w:rsidRPr="00AD55DE">
        <w:t xml:space="preserve"> </w:t>
      </w:r>
      <w:r w:rsidR="002C2681">
        <w:t xml:space="preserve">more responsible, </w:t>
      </w:r>
      <w:r w:rsidRPr="00AD55DE">
        <w:t>understanding of research activity to better inform and drive policy decisions.</w:t>
      </w:r>
    </w:p>
    <w:p w14:paraId="34C81174" w14:textId="77777777" w:rsidR="006E7E5A" w:rsidRDefault="006E7E5A">
      <w:pPr>
        <w:pStyle w:val="Heading2"/>
        <w:jc w:val="both"/>
      </w:pPr>
    </w:p>
    <w:p w14:paraId="7047E5B3" w14:textId="32EA0047" w:rsidR="007A59E1" w:rsidRPr="007A59E1" w:rsidRDefault="007A59E1">
      <w:pPr>
        <w:jc w:val="both"/>
        <w:rPr>
          <w:b/>
          <w:bCs/>
        </w:rPr>
      </w:pPr>
      <w:r>
        <w:rPr>
          <w:b/>
          <w:bCs/>
        </w:rPr>
        <w:t>O</w:t>
      </w:r>
      <w:r w:rsidRPr="007A59E1">
        <w:rPr>
          <w:b/>
          <w:bCs/>
        </w:rPr>
        <w:t>pen science practices</w:t>
      </w:r>
    </w:p>
    <w:p w14:paraId="5FFC67BE" w14:textId="72A07BDA" w:rsidR="003671FD" w:rsidRDefault="003671FD">
      <w:pPr>
        <w:jc w:val="both"/>
      </w:pPr>
      <w:r>
        <w:t xml:space="preserve">Data used in this study </w:t>
      </w:r>
      <w:r w:rsidRPr="003671FD">
        <w:t>were sourced from Clarivate</w:t>
      </w:r>
      <w:r>
        <w:t>’s</w:t>
      </w:r>
      <w:r w:rsidRPr="003671FD">
        <w:t xml:space="preserve"> </w:t>
      </w:r>
      <w:r w:rsidRPr="008C4691">
        <w:t>Web of Science</w:t>
      </w:r>
      <w:r w:rsidRPr="003671FD">
        <w:t>, which is accessible to academic researchers in the UK under licence from the Joint Information Services Committee and in other countries through separate licencing agreements.</w:t>
      </w:r>
      <w:r>
        <w:t xml:space="preserve"> </w:t>
      </w:r>
    </w:p>
    <w:p w14:paraId="7951DDF4" w14:textId="77777777" w:rsidR="007A59E1" w:rsidRDefault="007A59E1">
      <w:pPr>
        <w:jc w:val="both"/>
      </w:pPr>
    </w:p>
    <w:p w14:paraId="097AE613" w14:textId="156F1C5C" w:rsidR="00370126" w:rsidRPr="007C30D8" w:rsidRDefault="00370126">
      <w:pPr>
        <w:jc w:val="both"/>
        <w:rPr>
          <w:b/>
          <w:bCs/>
        </w:rPr>
      </w:pPr>
      <w:r w:rsidRPr="007C30D8">
        <w:rPr>
          <w:b/>
          <w:bCs/>
        </w:rPr>
        <w:t>Acknowledgments</w:t>
      </w:r>
    </w:p>
    <w:p w14:paraId="629FB350" w14:textId="79A44FCC" w:rsidR="00370126" w:rsidRDefault="008340DD">
      <w:pPr>
        <w:jc w:val="both"/>
      </w:pPr>
      <w:r>
        <w:t xml:space="preserve">R.W.K.P </w:t>
      </w:r>
      <w:r w:rsidR="00F047FA">
        <w:t>acknowledg</w:t>
      </w:r>
      <w:r>
        <w:t>es fellow members of the Institute for Scientific Information for their contributions to discussions and previous publications on citation indicators.</w:t>
      </w:r>
    </w:p>
    <w:p w14:paraId="29A69FD5" w14:textId="77777777" w:rsidR="0031202E" w:rsidRDefault="0031202E">
      <w:pPr>
        <w:jc w:val="both"/>
      </w:pPr>
    </w:p>
    <w:p w14:paraId="6126D7F1" w14:textId="7481AD7B" w:rsidR="00370126" w:rsidRPr="007C30D8" w:rsidRDefault="00370126">
      <w:pPr>
        <w:jc w:val="both"/>
        <w:rPr>
          <w:b/>
          <w:bCs/>
        </w:rPr>
      </w:pPr>
      <w:r w:rsidRPr="007C30D8">
        <w:rPr>
          <w:b/>
          <w:bCs/>
        </w:rPr>
        <w:t>Competing interests</w:t>
      </w:r>
    </w:p>
    <w:p w14:paraId="6597B0C5" w14:textId="39A54D81" w:rsidR="007C30D8" w:rsidRDefault="008340DD">
      <w:pPr>
        <w:jc w:val="both"/>
      </w:pPr>
      <w:r>
        <w:t>R.W.K.P. is employed by Clarivate, the owner of Web of Science.</w:t>
      </w:r>
    </w:p>
    <w:p w14:paraId="6915C807" w14:textId="77777777" w:rsidR="00DF037E" w:rsidRDefault="00DF037E">
      <w:pPr>
        <w:jc w:val="both"/>
      </w:pPr>
    </w:p>
    <w:p w14:paraId="153897FF" w14:textId="77777777" w:rsidR="008168F4" w:rsidRDefault="008168F4">
      <w:pPr>
        <w:jc w:val="both"/>
        <w:rPr>
          <w:b/>
          <w:bCs/>
        </w:rPr>
      </w:pPr>
      <w:r>
        <w:rPr>
          <w:b/>
          <w:bCs/>
        </w:rPr>
        <w:t>References</w:t>
      </w:r>
    </w:p>
    <w:p w14:paraId="4521F008" w14:textId="1E58F030" w:rsidR="004A4A75" w:rsidRDefault="004A4A75" w:rsidP="004A4A75">
      <w:pPr>
        <w:jc w:val="both"/>
      </w:pPr>
      <w:r w:rsidRPr="004A4A75">
        <w:t xml:space="preserve">Adams, J. (2013). The fourth age of research. </w:t>
      </w:r>
      <w:r w:rsidRPr="004A4A75">
        <w:rPr>
          <w:i/>
          <w:iCs/>
        </w:rPr>
        <w:t>Nature</w:t>
      </w:r>
      <w:r w:rsidRPr="004A4A75">
        <w:t>, 497, 557–560.</w:t>
      </w:r>
      <w:r w:rsidR="00FA64B4">
        <w:t xml:space="preserve"> </w:t>
      </w:r>
      <w:r w:rsidR="004F5507">
        <w:t>doi.org/</w:t>
      </w:r>
      <w:r w:rsidRPr="004A4A75">
        <w:t>10.1038/497557a</w:t>
      </w:r>
    </w:p>
    <w:p w14:paraId="6A69996B" w14:textId="77777777" w:rsidR="00001DBE" w:rsidRDefault="00001DBE" w:rsidP="004A4A75">
      <w:pPr>
        <w:jc w:val="both"/>
      </w:pPr>
    </w:p>
    <w:p w14:paraId="6EF49946" w14:textId="77777777" w:rsidR="00A70309" w:rsidRDefault="00A70309" w:rsidP="00A70309">
      <w:pPr>
        <w:jc w:val="both"/>
      </w:pPr>
      <w:r w:rsidRPr="004A4A75">
        <w:t xml:space="preserve">Adams, J., Pendlebury, D., Potter, R. </w:t>
      </w:r>
      <w:r>
        <w:t>&amp;</w:t>
      </w:r>
      <w:r w:rsidRPr="004A4A75">
        <w:t xml:space="preserve"> </w:t>
      </w:r>
      <w:proofErr w:type="spellStart"/>
      <w:r w:rsidRPr="004A4A75">
        <w:t>Szomszor</w:t>
      </w:r>
      <w:proofErr w:type="spellEnd"/>
      <w:r w:rsidRPr="004A4A75">
        <w:t>, M. (2019</w:t>
      </w:r>
      <w:r>
        <w:t>a</w:t>
      </w:r>
      <w:r w:rsidRPr="004A4A75">
        <w:t xml:space="preserve">). </w:t>
      </w:r>
      <w:r w:rsidRPr="004A4A75">
        <w:rPr>
          <w:i/>
          <w:iCs/>
        </w:rPr>
        <w:t>Multi-authorship and research analytics</w:t>
      </w:r>
      <w:r>
        <w:t>.</w:t>
      </w:r>
      <w:r w:rsidRPr="004A4A75">
        <w:t xml:space="preserve"> London</w:t>
      </w:r>
      <w:r>
        <w:t>: Clarivate Analytics.</w:t>
      </w:r>
    </w:p>
    <w:p w14:paraId="1B824097" w14:textId="77777777" w:rsidR="00A70309" w:rsidRDefault="00A70309" w:rsidP="00001DBE">
      <w:pPr>
        <w:jc w:val="both"/>
      </w:pPr>
    </w:p>
    <w:p w14:paraId="371A0F89" w14:textId="0E98EB29" w:rsidR="00001DBE" w:rsidRPr="00001DBE" w:rsidRDefault="00001DBE" w:rsidP="00001DBE">
      <w:pPr>
        <w:jc w:val="both"/>
      </w:pPr>
      <w:r w:rsidRPr="00001DBE">
        <w:t xml:space="preserve">Adams, J., McVeigh, M., Pendlebury, D. </w:t>
      </w:r>
      <w:r>
        <w:t>&amp;</w:t>
      </w:r>
      <w:r w:rsidRPr="00001DBE">
        <w:t xml:space="preserve"> </w:t>
      </w:r>
      <w:proofErr w:type="spellStart"/>
      <w:r w:rsidRPr="00001DBE">
        <w:t>Szomszor</w:t>
      </w:r>
      <w:proofErr w:type="spellEnd"/>
      <w:r w:rsidRPr="00001DBE">
        <w:t>, M. (2019</w:t>
      </w:r>
      <w:r w:rsidR="00A70309">
        <w:t>b</w:t>
      </w:r>
      <w:r w:rsidRPr="00001DBE">
        <w:t xml:space="preserve">). </w:t>
      </w:r>
      <w:r w:rsidRPr="00001DBE">
        <w:rPr>
          <w:i/>
          <w:iCs/>
        </w:rPr>
        <w:t>Profiles, not metrics</w:t>
      </w:r>
      <w:r w:rsidRPr="00001DBE">
        <w:t>.</w:t>
      </w:r>
      <w:r>
        <w:t xml:space="preserve">  London: Clarivate Analytics</w:t>
      </w:r>
      <w:r w:rsidRPr="00001DBE">
        <w:t xml:space="preserve"> </w:t>
      </w:r>
    </w:p>
    <w:p w14:paraId="2388D35B" w14:textId="77777777" w:rsidR="00312C17" w:rsidRPr="004A4A75" w:rsidRDefault="00312C17" w:rsidP="004A4A75">
      <w:pPr>
        <w:jc w:val="both"/>
      </w:pPr>
    </w:p>
    <w:p w14:paraId="68F5B32C" w14:textId="24652457" w:rsidR="004A4A75" w:rsidRDefault="004A4A75" w:rsidP="004A4A75">
      <w:pPr>
        <w:jc w:val="both"/>
      </w:pPr>
      <w:r w:rsidRPr="004A4A75">
        <w:lastRenderedPageBreak/>
        <w:t>Adams, J., Pendlebury, D</w:t>
      </w:r>
      <w:r w:rsidR="004A6BBB">
        <w:t>.</w:t>
      </w:r>
      <w:r w:rsidRPr="004A4A75">
        <w:t xml:space="preserve"> </w:t>
      </w:r>
      <w:r w:rsidR="00312C17">
        <w:t>&amp;</w:t>
      </w:r>
      <w:r w:rsidRPr="004A4A75">
        <w:t xml:space="preserve"> Potter, R. (2022). </w:t>
      </w:r>
      <w:r w:rsidRPr="004A4A75">
        <w:rPr>
          <w:i/>
          <w:iCs/>
        </w:rPr>
        <w:t>Making it count: Research credit management in a collaborative world</w:t>
      </w:r>
      <w:r w:rsidR="009B4AA0">
        <w:t>.</w:t>
      </w:r>
      <w:r w:rsidRPr="004A4A75">
        <w:t xml:space="preserve"> London</w:t>
      </w:r>
      <w:r w:rsidR="00E722DF">
        <w:t>: Clarivate.</w:t>
      </w:r>
    </w:p>
    <w:p w14:paraId="06F987C3" w14:textId="77777777" w:rsidR="00E722DF" w:rsidRPr="004A4A75" w:rsidRDefault="00E722DF" w:rsidP="004A4A75">
      <w:pPr>
        <w:jc w:val="both"/>
      </w:pPr>
    </w:p>
    <w:p w14:paraId="2D79D6FE" w14:textId="77777777" w:rsidR="00A70309" w:rsidRDefault="00A70309" w:rsidP="00A70309">
      <w:proofErr w:type="spellStart"/>
      <w:r w:rsidRPr="00E97274">
        <w:t>Aksnes</w:t>
      </w:r>
      <w:proofErr w:type="spellEnd"/>
      <w:r w:rsidRPr="00E97274">
        <w:t xml:space="preserve">, D.W., Schneider, J.W. </w:t>
      </w:r>
      <w:r>
        <w:t>&amp;</w:t>
      </w:r>
      <w:r w:rsidRPr="00E97274">
        <w:t xml:space="preserve"> Gunnarsson, M. (2012). Ranking national research systems by citation indicators. A comparative analysis using whole and fractionalised counting methods. </w:t>
      </w:r>
      <w:r w:rsidRPr="002A72DD">
        <w:rPr>
          <w:i/>
          <w:iCs/>
        </w:rPr>
        <w:t xml:space="preserve">Journal of </w:t>
      </w:r>
      <w:proofErr w:type="spellStart"/>
      <w:r w:rsidRPr="002A72DD">
        <w:rPr>
          <w:i/>
          <w:iCs/>
        </w:rPr>
        <w:t>Informetrics</w:t>
      </w:r>
      <w:proofErr w:type="spellEnd"/>
      <w:r w:rsidRPr="00E97274">
        <w:t xml:space="preserve">, 6(1), 36-43. </w:t>
      </w:r>
      <w:hyperlink r:id="rId15" w:history="1">
        <w:r>
          <w:rPr>
            <w:rStyle w:val="Hyperlink"/>
          </w:rPr>
          <w:t>doi.org/10.1016/j.joi.2011.08.002</w:t>
        </w:r>
      </w:hyperlink>
    </w:p>
    <w:p w14:paraId="73035157" w14:textId="04118C00" w:rsidR="00A70309" w:rsidRPr="00A70309" w:rsidRDefault="00A70309" w:rsidP="00A70309">
      <w:pPr>
        <w:pStyle w:val="paragraph"/>
        <w:jc w:val="both"/>
        <w:textAlignment w:val="baseline"/>
        <w:rPr>
          <w:sz w:val="28"/>
          <w:szCs w:val="28"/>
          <w:lang w:val="en-US"/>
        </w:rPr>
      </w:pPr>
      <w:r w:rsidRPr="3BAFFA18">
        <w:rPr>
          <w:rStyle w:val="normaltextrun"/>
          <w:lang w:val="en-US"/>
        </w:rPr>
        <w:t>Bakare</w:t>
      </w:r>
      <w:r>
        <w:rPr>
          <w:rStyle w:val="normaltextrun"/>
          <w:lang w:val="en-US"/>
        </w:rPr>
        <w:t>,</w:t>
      </w:r>
      <w:r w:rsidRPr="3BAFFA18">
        <w:rPr>
          <w:rStyle w:val="normaltextrun"/>
          <w:lang w:val="en-US"/>
        </w:rPr>
        <w:t xml:space="preserve"> V</w:t>
      </w:r>
      <w:r>
        <w:rPr>
          <w:rStyle w:val="normaltextrun"/>
          <w:lang w:val="en-US"/>
        </w:rPr>
        <w:t>. &amp;</w:t>
      </w:r>
      <w:r w:rsidRPr="3BAFFA18">
        <w:rPr>
          <w:rStyle w:val="normaltextrun"/>
          <w:lang w:val="en-US"/>
        </w:rPr>
        <w:t xml:space="preserve"> Lewison</w:t>
      </w:r>
      <w:r>
        <w:rPr>
          <w:rStyle w:val="normaltextrun"/>
          <w:lang w:val="en-US"/>
        </w:rPr>
        <w:t>,</w:t>
      </w:r>
      <w:r w:rsidRPr="3BAFFA18">
        <w:rPr>
          <w:rStyle w:val="normaltextrun"/>
          <w:lang w:val="en-US"/>
        </w:rPr>
        <w:t xml:space="preserve"> G. (2017). Country over-citation ratios. </w:t>
      </w:r>
      <w:r w:rsidRPr="00295307">
        <w:rPr>
          <w:rStyle w:val="normaltextrun"/>
          <w:i/>
          <w:iCs/>
          <w:lang w:val="en-US"/>
        </w:rPr>
        <w:t>Scientometrics</w:t>
      </w:r>
      <w:r w:rsidRPr="3BAFFA18">
        <w:rPr>
          <w:rStyle w:val="normaltextrun"/>
          <w:lang w:val="en-US"/>
        </w:rPr>
        <w:t>. 113</w:t>
      </w:r>
      <w:r>
        <w:rPr>
          <w:rStyle w:val="normaltextrun"/>
          <w:lang w:val="en-US"/>
        </w:rPr>
        <w:t xml:space="preserve">, </w:t>
      </w:r>
      <w:r w:rsidRPr="3BAFFA18">
        <w:rPr>
          <w:rStyle w:val="normaltextrun"/>
          <w:lang w:val="en-US"/>
        </w:rPr>
        <w:t>1199-1207.</w:t>
      </w:r>
      <w:r w:rsidRPr="3BAFFA18">
        <w:rPr>
          <w:rStyle w:val="eop"/>
          <w:lang w:val="en-US"/>
        </w:rPr>
        <w:t> </w:t>
      </w:r>
      <w:r>
        <w:t xml:space="preserve"> </w:t>
      </w:r>
      <w:hyperlink r:id="rId16" w:history="1">
        <w:r w:rsidRPr="00AE6407">
          <w:rPr>
            <w:rStyle w:val="Hyperlink"/>
          </w:rPr>
          <w:t>doi.org/10.1007/s11192-017-2490-z</w:t>
        </w:r>
      </w:hyperlink>
    </w:p>
    <w:p w14:paraId="07BC948E" w14:textId="7847BBFA" w:rsidR="00A70309" w:rsidRDefault="00A70309" w:rsidP="004A4A75">
      <w:pPr>
        <w:jc w:val="both"/>
      </w:pPr>
      <w:proofErr w:type="spellStart"/>
      <w:r>
        <w:t>Bikard</w:t>
      </w:r>
      <w:proofErr w:type="spellEnd"/>
      <w:r>
        <w:t xml:space="preserve">, M., Murray, F., &amp; </w:t>
      </w:r>
      <w:proofErr w:type="spellStart"/>
      <w:r>
        <w:t>Gans</w:t>
      </w:r>
      <w:proofErr w:type="spellEnd"/>
      <w:r>
        <w:t xml:space="preserve">, J.S. (2015). Exploring trade-offs in the organization of scientific work: Collaboration and scientific reward. </w:t>
      </w:r>
      <w:r>
        <w:rPr>
          <w:rStyle w:val="Emphasis"/>
        </w:rPr>
        <w:t>Management Science</w:t>
      </w:r>
      <w:r w:rsidRPr="008919D5">
        <w:rPr>
          <w:rStyle w:val="Emphasis"/>
        </w:rPr>
        <w:t xml:space="preserve">, </w:t>
      </w:r>
      <w:r w:rsidRPr="008919D5">
        <w:rPr>
          <w:rStyle w:val="Emphasis"/>
          <w:i w:val="0"/>
          <w:iCs w:val="0"/>
        </w:rPr>
        <w:t>61</w:t>
      </w:r>
      <w:r w:rsidRPr="008919D5">
        <w:t>(7)</w:t>
      </w:r>
      <w:r>
        <w:t xml:space="preserve">, 1473–1495. </w:t>
      </w:r>
      <w:hyperlink r:id="rId17" w:tgtFrame="_blank" w:history="1">
        <w:r>
          <w:rPr>
            <w:rStyle w:val="Hyperlink"/>
          </w:rPr>
          <w:t>https://doi.org/10.1287/mnsc.2014.2052</w:t>
        </w:r>
      </w:hyperlink>
    </w:p>
    <w:p w14:paraId="3B6AAA10" w14:textId="77777777" w:rsidR="00A70309" w:rsidRDefault="00A70309" w:rsidP="004A4A75">
      <w:pPr>
        <w:jc w:val="both"/>
      </w:pPr>
    </w:p>
    <w:p w14:paraId="754C2D52" w14:textId="77777777" w:rsidR="00A70309" w:rsidRDefault="00A70309" w:rsidP="00A70309">
      <w:proofErr w:type="spellStart"/>
      <w:r w:rsidRPr="00E97274">
        <w:t>Egghe</w:t>
      </w:r>
      <w:proofErr w:type="spellEnd"/>
      <w:r w:rsidRPr="00E97274">
        <w:t xml:space="preserve">, L., Rousseau, R. </w:t>
      </w:r>
      <w:r>
        <w:t>&amp;</w:t>
      </w:r>
      <w:r w:rsidRPr="00E97274">
        <w:t xml:space="preserve"> van </w:t>
      </w:r>
      <w:proofErr w:type="spellStart"/>
      <w:r w:rsidRPr="00E97274">
        <w:t>Hooydonk</w:t>
      </w:r>
      <w:proofErr w:type="spellEnd"/>
      <w:r w:rsidRPr="00E97274">
        <w:t>, G.</w:t>
      </w:r>
      <w:r>
        <w:t xml:space="preserve"> (</w:t>
      </w:r>
      <w:r w:rsidRPr="00E97274">
        <w:t>2000</w:t>
      </w:r>
      <w:r>
        <w:t>)</w:t>
      </w:r>
      <w:r w:rsidRPr="00E97274">
        <w:t xml:space="preserve">. Methods for accrediting publications to authors or countries: consequences for evaluation studies. </w:t>
      </w:r>
      <w:r w:rsidRPr="002A72DD">
        <w:rPr>
          <w:i/>
          <w:iCs/>
        </w:rPr>
        <w:t>Journal of the American Society for Information Science and Technology</w:t>
      </w:r>
      <w:r w:rsidRPr="00E97274">
        <w:t xml:space="preserve">, 51(2), 145–157. </w:t>
      </w:r>
      <w:hyperlink r:id="rId18" w:history="1">
        <w:r>
          <w:rPr>
            <w:rStyle w:val="Hyperlink"/>
          </w:rPr>
          <w:t>doi.org/10.1002/(SICI)1097-4571(2000)51:2&lt;</w:t>
        </w:r>
        <w:proofErr w:type="gramStart"/>
        <w:r>
          <w:rPr>
            <w:rStyle w:val="Hyperlink"/>
          </w:rPr>
          <w:t>145::</w:t>
        </w:r>
        <w:proofErr w:type="gramEnd"/>
        <w:r>
          <w:rPr>
            <w:rStyle w:val="Hyperlink"/>
          </w:rPr>
          <w:t>AID-ASI6&gt;3.0.CO;2-9</w:t>
        </w:r>
      </w:hyperlink>
    </w:p>
    <w:p w14:paraId="3E058856" w14:textId="77777777" w:rsidR="00A70309" w:rsidRDefault="00A70309" w:rsidP="004A4A75">
      <w:pPr>
        <w:jc w:val="both"/>
      </w:pPr>
    </w:p>
    <w:p w14:paraId="34E78689" w14:textId="4622BEFB" w:rsidR="004A4A75" w:rsidRDefault="004A4A75" w:rsidP="004A4A75">
      <w:pPr>
        <w:jc w:val="both"/>
        <w:rPr>
          <w:rStyle w:val="Hyperlink"/>
        </w:rPr>
      </w:pPr>
      <w:r w:rsidRPr="004A4A75">
        <w:t>Garfield,</w:t>
      </w:r>
      <w:r w:rsidR="00E722DF">
        <w:t xml:space="preserve"> </w:t>
      </w:r>
      <w:r w:rsidRPr="004A4A75">
        <w:t xml:space="preserve">E. (1955). Citation indexes for science. </w:t>
      </w:r>
      <w:r w:rsidRPr="004A4A75">
        <w:rPr>
          <w:i/>
          <w:iCs/>
        </w:rPr>
        <w:t>Science</w:t>
      </w:r>
      <w:r w:rsidRPr="004A4A75">
        <w:t xml:space="preserve">, 122(3159), 108–111. </w:t>
      </w:r>
      <w:hyperlink r:id="rId19" w:history="1">
        <w:r w:rsidR="002B0F9D" w:rsidRPr="00B07E83">
          <w:rPr>
            <w:rStyle w:val="Hyperlink"/>
          </w:rPr>
          <w:t>doi.org/</w:t>
        </w:r>
        <w:r w:rsidRPr="004A4A75">
          <w:rPr>
            <w:rStyle w:val="Hyperlink"/>
          </w:rPr>
          <w:t>10.1126/science.122.3159.108</w:t>
        </w:r>
      </w:hyperlink>
    </w:p>
    <w:p w14:paraId="689009C4" w14:textId="77777777" w:rsidR="00A70309" w:rsidRDefault="00A70309" w:rsidP="004A4A75">
      <w:pPr>
        <w:jc w:val="both"/>
        <w:rPr>
          <w:rStyle w:val="Hyperlink"/>
        </w:rPr>
      </w:pPr>
    </w:p>
    <w:p w14:paraId="68D5CCC8" w14:textId="0D9FA8CA" w:rsidR="00A70309" w:rsidRDefault="00A70309" w:rsidP="004A4A75">
      <w:pPr>
        <w:jc w:val="both"/>
      </w:pPr>
      <w:r w:rsidRPr="00AB293D">
        <w:t>Garfield</w:t>
      </w:r>
      <w:r>
        <w:t xml:space="preserve">, E. (1979). </w:t>
      </w:r>
      <w:r w:rsidRPr="00AB293D">
        <w:t>Is citation analysis a legitimate evaluation tool?</w:t>
      </w:r>
      <w:r>
        <w:t xml:space="preserve"> </w:t>
      </w:r>
      <w:r w:rsidRPr="00AB293D">
        <w:rPr>
          <w:i/>
          <w:iCs/>
        </w:rPr>
        <w:t>Scientometrics</w:t>
      </w:r>
      <w:r w:rsidRPr="00AB293D">
        <w:t>, 1(4)</w:t>
      </w:r>
      <w:r>
        <w:t xml:space="preserve">, </w:t>
      </w:r>
      <w:r w:rsidRPr="00AB293D">
        <w:t>359-375</w:t>
      </w:r>
      <w:r>
        <w:t>.</w:t>
      </w:r>
      <w:r w:rsidRPr="00AB293D">
        <w:t xml:space="preserve"> </w:t>
      </w:r>
      <w:hyperlink r:id="rId20" w:tgtFrame="_blank" w:history="1">
        <w:r>
          <w:rPr>
            <w:rStyle w:val="Hyperlink"/>
          </w:rPr>
          <w:t>doi.org/10.1007/BF02019306</w:t>
        </w:r>
      </w:hyperlink>
    </w:p>
    <w:p w14:paraId="1BDDE807" w14:textId="77777777" w:rsidR="00E722DF" w:rsidRPr="004A4A75" w:rsidRDefault="00E722DF" w:rsidP="004A4A75">
      <w:pPr>
        <w:jc w:val="both"/>
      </w:pPr>
    </w:p>
    <w:p w14:paraId="77DA35CC" w14:textId="58B1C6E5" w:rsidR="00A70309" w:rsidRDefault="00A70309" w:rsidP="00A70309">
      <w:pPr>
        <w:jc w:val="both"/>
      </w:pPr>
      <w:proofErr w:type="spellStart"/>
      <w:r w:rsidRPr="004A4A75">
        <w:t>Gauffriau</w:t>
      </w:r>
      <w:proofErr w:type="spellEnd"/>
      <w:r w:rsidRPr="004A4A75">
        <w:t>, M. (2021). Counting methods introduced into the bibliometric research literature 1970–2018:</w:t>
      </w:r>
      <w:r w:rsidR="00C463BE">
        <w:t xml:space="preserve"> </w:t>
      </w:r>
      <w:r w:rsidRPr="004A4A75">
        <w:t>A</w:t>
      </w:r>
      <w:r w:rsidR="00C463BE">
        <w:t xml:space="preserve"> </w:t>
      </w:r>
      <w:r w:rsidRPr="004A4A75">
        <w:t>review.</w:t>
      </w:r>
      <w:r w:rsidR="00C463BE">
        <w:t xml:space="preserve"> </w:t>
      </w:r>
      <w:r w:rsidRPr="00C463BE">
        <w:rPr>
          <w:i/>
          <w:iCs/>
        </w:rPr>
        <w:t>Quantitative Science Studies</w:t>
      </w:r>
      <w:r w:rsidRPr="004A4A75">
        <w:t>,</w:t>
      </w:r>
      <w:r w:rsidR="00C463BE">
        <w:t xml:space="preserve"> </w:t>
      </w:r>
      <w:r w:rsidRPr="004A4A75">
        <w:t>2(3),</w:t>
      </w:r>
      <w:r w:rsidR="00C463BE">
        <w:t xml:space="preserve"> </w:t>
      </w:r>
      <w:r w:rsidRPr="004A4A75">
        <w:t>932–975.</w:t>
      </w:r>
      <w:r w:rsidR="00C463BE">
        <w:t xml:space="preserve"> </w:t>
      </w:r>
      <w:hyperlink r:id="rId21" w:history="1">
        <w:r w:rsidRPr="00165664">
          <w:rPr>
            <w:rStyle w:val="Hyperlink"/>
          </w:rPr>
          <w:t>doi.org/</w:t>
        </w:r>
        <w:r w:rsidRPr="004A4A75">
          <w:rPr>
            <w:rStyle w:val="Hyperlink"/>
          </w:rPr>
          <w:t>10.1162/qss_a_00141</w:t>
        </w:r>
      </w:hyperlink>
    </w:p>
    <w:p w14:paraId="64D26E31" w14:textId="77777777" w:rsidR="00A70309" w:rsidRDefault="00A70309" w:rsidP="00A70309">
      <w:pPr>
        <w:jc w:val="both"/>
      </w:pPr>
    </w:p>
    <w:p w14:paraId="2FBEF7F5" w14:textId="2B152252" w:rsidR="00A70309" w:rsidRPr="00E109C6" w:rsidRDefault="00A70309" w:rsidP="00A70309">
      <w:pPr>
        <w:jc w:val="both"/>
      </w:pPr>
      <w:proofErr w:type="spellStart"/>
      <w:r w:rsidRPr="00E109C6">
        <w:t>Gauffriau</w:t>
      </w:r>
      <w:proofErr w:type="spellEnd"/>
      <w:r>
        <w:t xml:space="preserve">, M. &amp; </w:t>
      </w:r>
      <w:r w:rsidRPr="00E109C6">
        <w:t>Larsen</w:t>
      </w:r>
      <w:r>
        <w:t xml:space="preserve">, P. (2005). </w:t>
      </w:r>
      <w:r w:rsidRPr="00E109C6">
        <w:t>Counting methods are decisive for rankings based on publication and citation studies</w:t>
      </w:r>
      <w:r>
        <w:t xml:space="preserve">. </w:t>
      </w:r>
      <w:r w:rsidRPr="00E109C6">
        <w:rPr>
          <w:i/>
          <w:iCs/>
        </w:rPr>
        <w:t>Scientometrics</w:t>
      </w:r>
      <w:r w:rsidRPr="00E109C6">
        <w:t>, 64</w:t>
      </w:r>
      <w:r>
        <w:t xml:space="preserve">, </w:t>
      </w:r>
      <w:r w:rsidRPr="00E109C6">
        <w:t>85-93</w:t>
      </w:r>
      <w:r>
        <w:t>.</w:t>
      </w:r>
      <w:r w:rsidRPr="00E109C6">
        <w:t xml:space="preserve"> </w:t>
      </w:r>
      <w:hyperlink r:id="rId22" w:tgtFrame="_blank" w:history="1">
        <w:r>
          <w:rPr>
            <w:rStyle w:val="Hyperlink"/>
          </w:rPr>
          <w:t>doi.org/10.1007/s11192-005-0239-6</w:t>
        </w:r>
      </w:hyperlink>
    </w:p>
    <w:p w14:paraId="0CE10665" w14:textId="77777777" w:rsidR="00A70309" w:rsidRDefault="00A70309" w:rsidP="002A72DD">
      <w:pPr>
        <w:jc w:val="both"/>
      </w:pPr>
    </w:p>
    <w:p w14:paraId="1B23C8A7" w14:textId="77777777" w:rsidR="002A10C9" w:rsidRDefault="002A10C9" w:rsidP="002A10C9">
      <w:pPr>
        <w:jc w:val="both"/>
      </w:pPr>
      <w:proofErr w:type="spellStart"/>
      <w:r w:rsidRPr="004A4A75">
        <w:t>Glänzel</w:t>
      </w:r>
      <w:proofErr w:type="spellEnd"/>
      <w:r w:rsidRPr="004A4A75">
        <w:t xml:space="preserve">, W. </w:t>
      </w:r>
      <w:r>
        <w:t>&amp;</w:t>
      </w:r>
      <w:r w:rsidRPr="004A4A75">
        <w:t xml:space="preserve"> Schubert, A. (2004). </w:t>
      </w:r>
      <w:proofErr w:type="spellStart"/>
      <w:r w:rsidRPr="004A4A75">
        <w:t>Analyzing</w:t>
      </w:r>
      <w:proofErr w:type="spellEnd"/>
      <w:r w:rsidRPr="004A4A75">
        <w:t xml:space="preserve"> scientific networks through co-authorship. In </w:t>
      </w:r>
      <w:proofErr w:type="spellStart"/>
      <w:r w:rsidRPr="004A4A75">
        <w:t>Moed</w:t>
      </w:r>
      <w:proofErr w:type="spellEnd"/>
      <w:r w:rsidRPr="004A4A75">
        <w:t xml:space="preserve">, H. F., </w:t>
      </w:r>
      <w:proofErr w:type="spellStart"/>
      <w:r w:rsidRPr="004A4A75">
        <w:t>Glänzel</w:t>
      </w:r>
      <w:proofErr w:type="spellEnd"/>
      <w:r w:rsidRPr="004A4A75">
        <w:t xml:space="preserve">, W. and </w:t>
      </w:r>
      <w:proofErr w:type="spellStart"/>
      <w:r w:rsidRPr="004A4A75">
        <w:t>Schmoch</w:t>
      </w:r>
      <w:proofErr w:type="spellEnd"/>
      <w:r w:rsidRPr="004A4A75">
        <w:t>, U. (</w:t>
      </w:r>
      <w:r>
        <w:t>E</w:t>
      </w:r>
      <w:r w:rsidRPr="004A4A75">
        <w:t xml:space="preserve">ds.), </w:t>
      </w:r>
      <w:r w:rsidRPr="004A4A75">
        <w:rPr>
          <w:i/>
          <w:iCs/>
        </w:rPr>
        <w:t>Handbook of Quantitative Science and Technology Research: The Use of Publication and Patent Statistics in Studies of S&amp;T Systems</w:t>
      </w:r>
      <w:r w:rsidRPr="004A4A75">
        <w:t xml:space="preserve">, </w:t>
      </w:r>
      <w:r>
        <w:t>(</w:t>
      </w:r>
      <w:r w:rsidRPr="004A4A75">
        <w:t>pp 257-276</w:t>
      </w:r>
      <w:r>
        <w:t xml:space="preserve">). </w:t>
      </w:r>
      <w:r w:rsidRPr="004A4A75">
        <w:t>Dordrecht: Kluwer Academic Publishers</w:t>
      </w:r>
      <w:r>
        <w:t>.</w:t>
      </w:r>
    </w:p>
    <w:p w14:paraId="7268020E" w14:textId="77777777" w:rsidR="002A10C9" w:rsidRDefault="002A10C9" w:rsidP="002A72DD">
      <w:pPr>
        <w:jc w:val="both"/>
      </w:pPr>
    </w:p>
    <w:p w14:paraId="45831A2A" w14:textId="77777777" w:rsidR="00A70309" w:rsidRPr="00B33DA0" w:rsidRDefault="00A70309" w:rsidP="00A70309">
      <w:pPr>
        <w:jc w:val="both"/>
      </w:pPr>
      <w:r w:rsidRPr="00B33DA0">
        <w:t>Huang, M.‐H.</w:t>
      </w:r>
      <w:r>
        <w:t xml:space="preserve">, </w:t>
      </w:r>
      <w:r w:rsidRPr="00B33DA0">
        <w:t>Lin,</w:t>
      </w:r>
      <w:r>
        <w:t xml:space="preserve"> </w:t>
      </w:r>
      <w:r w:rsidRPr="00B33DA0">
        <w:t>C.‐S.</w:t>
      </w:r>
      <w:r>
        <w:t xml:space="preserve">, </w:t>
      </w:r>
      <w:r w:rsidRPr="00B33DA0">
        <w:t>Chen</w:t>
      </w:r>
      <w:r>
        <w:t>,</w:t>
      </w:r>
      <w:r w:rsidRPr="00B33DA0">
        <w:t xml:space="preserve"> D.‐Z.</w:t>
      </w:r>
      <w:r>
        <w:t xml:space="preserve"> (2011). </w:t>
      </w:r>
      <w:r w:rsidRPr="00B33DA0">
        <w:t>Counting methods, country rank changes, and counting inflation in the assessment of national research productivity and impact</w:t>
      </w:r>
      <w:r>
        <w:t xml:space="preserve">. </w:t>
      </w:r>
      <w:r w:rsidRPr="00B33DA0">
        <w:rPr>
          <w:i/>
          <w:iCs/>
        </w:rPr>
        <w:t>Journal of the American Society for Information Science and Technology</w:t>
      </w:r>
      <w:r w:rsidRPr="00B33DA0">
        <w:t>, 62</w:t>
      </w:r>
      <w:r>
        <w:t xml:space="preserve">, </w:t>
      </w:r>
      <w:r w:rsidRPr="00B33DA0">
        <w:t>2427-2436</w:t>
      </w:r>
      <w:r>
        <w:t>.</w:t>
      </w:r>
      <w:r w:rsidRPr="00B33DA0">
        <w:t xml:space="preserve"> </w:t>
      </w:r>
      <w:hyperlink r:id="rId23" w:tgtFrame="_blank" w:history="1">
        <w:r>
          <w:rPr>
            <w:rStyle w:val="Hyperlink"/>
          </w:rPr>
          <w:t>doi.org/10.1002/asi.21625</w:t>
        </w:r>
      </w:hyperlink>
    </w:p>
    <w:p w14:paraId="6469AF9E" w14:textId="77777777" w:rsidR="00A70309" w:rsidRDefault="00A70309" w:rsidP="002A72DD">
      <w:pPr>
        <w:jc w:val="both"/>
      </w:pPr>
    </w:p>
    <w:p w14:paraId="016A65AE" w14:textId="1C3C11C2" w:rsidR="002A72DD" w:rsidRPr="00ED443E" w:rsidRDefault="002A72DD" w:rsidP="002A72DD">
      <w:pPr>
        <w:jc w:val="both"/>
      </w:pPr>
      <w:r w:rsidRPr="00ED443E">
        <w:t>Hicks</w:t>
      </w:r>
      <w:r>
        <w:t>,</w:t>
      </w:r>
      <w:r w:rsidRPr="00ED443E">
        <w:t xml:space="preserve"> D. &amp; Katz J.S. </w:t>
      </w:r>
      <w:r>
        <w:t xml:space="preserve">(1996). </w:t>
      </w:r>
      <w:r w:rsidRPr="00ED443E">
        <w:t xml:space="preserve">Science Policy for a Highly Collaborative Science System. </w:t>
      </w:r>
      <w:r w:rsidRPr="00ED443E">
        <w:rPr>
          <w:i/>
          <w:iCs/>
        </w:rPr>
        <w:t>Science and Public Policy</w:t>
      </w:r>
      <w:r w:rsidRPr="00ED443E">
        <w:t>. 23, 39</w:t>
      </w:r>
      <w:r>
        <w:t>-</w:t>
      </w:r>
      <w:r w:rsidRPr="00ED443E">
        <w:t>44</w:t>
      </w:r>
      <w:r>
        <w:t>.</w:t>
      </w:r>
      <w:r w:rsidR="008828A4">
        <w:t xml:space="preserve"> </w:t>
      </w:r>
      <w:hyperlink r:id="rId24" w:history="1">
        <w:r w:rsidR="008828A4">
          <w:rPr>
            <w:rStyle w:val="Hyperlink"/>
          </w:rPr>
          <w:t>doi.org/10.1093/</w:t>
        </w:r>
        <w:proofErr w:type="spellStart"/>
        <w:r w:rsidR="008828A4">
          <w:rPr>
            <w:rStyle w:val="Hyperlink"/>
          </w:rPr>
          <w:t>spp</w:t>
        </w:r>
        <w:proofErr w:type="spellEnd"/>
        <w:r w:rsidR="008828A4">
          <w:rPr>
            <w:rStyle w:val="Hyperlink"/>
          </w:rPr>
          <w:t>/23.1.39</w:t>
        </w:r>
      </w:hyperlink>
    </w:p>
    <w:p w14:paraId="69CB73F0" w14:textId="77777777" w:rsidR="002A72DD" w:rsidRPr="00ED443E" w:rsidRDefault="002A72DD" w:rsidP="002A72DD">
      <w:pPr>
        <w:jc w:val="both"/>
      </w:pPr>
    </w:p>
    <w:p w14:paraId="17D185A3" w14:textId="71D6F791" w:rsidR="00394329" w:rsidRDefault="00394329" w:rsidP="00394329">
      <w:pPr>
        <w:jc w:val="both"/>
        <w:rPr>
          <w:lang w:val="en-US"/>
        </w:rPr>
      </w:pPr>
      <w:proofErr w:type="spellStart"/>
      <w:r w:rsidRPr="004A4A75">
        <w:rPr>
          <w:lang w:val="en-US"/>
        </w:rPr>
        <w:t>Jappe</w:t>
      </w:r>
      <w:proofErr w:type="spellEnd"/>
      <w:r w:rsidRPr="004A4A75">
        <w:rPr>
          <w:lang w:val="en-US"/>
        </w:rPr>
        <w:t xml:space="preserve">, A. (2020). Professional standards in bibliometric research evaluation? A meta-evaluation of European assessment practice 2005–2019. </w:t>
      </w:r>
      <w:proofErr w:type="spellStart"/>
      <w:r w:rsidRPr="004A4A75">
        <w:rPr>
          <w:i/>
          <w:iCs/>
          <w:lang w:val="en-US"/>
        </w:rPr>
        <w:t>PLoS</w:t>
      </w:r>
      <w:proofErr w:type="spellEnd"/>
      <w:r w:rsidRPr="004A4A75">
        <w:rPr>
          <w:i/>
          <w:iCs/>
          <w:lang w:val="en-US"/>
        </w:rPr>
        <w:t xml:space="preserve"> ONE</w:t>
      </w:r>
      <w:r w:rsidRPr="004A4A75">
        <w:rPr>
          <w:lang w:val="en-US"/>
        </w:rPr>
        <w:t>, 5(4), e0231735.</w:t>
      </w:r>
      <w:r w:rsidR="00440704">
        <w:rPr>
          <w:lang w:val="en-US"/>
        </w:rPr>
        <w:t xml:space="preserve"> </w:t>
      </w:r>
      <w:hyperlink r:id="rId25" w:history="1">
        <w:r w:rsidR="00440704" w:rsidRPr="00440704">
          <w:rPr>
            <w:rStyle w:val="Hyperlink"/>
          </w:rPr>
          <w:t>doi.org/10.1371/journal.pone.0231735</w:t>
        </w:r>
      </w:hyperlink>
    </w:p>
    <w:p w14:paraId="77E49914" w14:textId="77777777" w:rsidR="00394329" w:rsidRDefault="00394329" w:rsidP="002A72DD">
      <w:pPr>
        <w:jc w:val="both"/>
      </w:pPr>
    </w:p>
    <w:p w14:paraId="3D2BB314" w14:textId="40BE0A97" w:rsidR="002A72DD" w:rsidRPr="00ED443E" w:rsidRDefault="002A72DD" w:rsidP="002A72DD">
      <w:pPr>
        <w:jc w:val="both"/>
      </w:pPr>
      <w:r w:rsidRPr="00ED443E">
        <w:lastRenderedPageBreak/>
        <w:t xml:space="preserve">Katz, </w:t>
      </w:r>
      <w:r>
        <w:t xml:space="preserve">J.S. </w:t>
      </w:r>
      <w:r w:rsidRPr="00ED443E">
        <w:t xml:space="preserve">&amp; Martin, B.R. </w:t>
      </w:r>
      <w:r>
        <w:t xml:space="preserve">(1997). </w:t>
      </w:r>
      <w:r w:rsidRPr="00ED443E">
        <w:t xml:space="preserve">What is research collaboration? </w:t>
      </w:r>
      <w:r w:rsidRPr="00ED443E">
        <w:rPr>
          <w:i/>
          <w:iCs/>
        </w:rPr>
        <w:t>Research Policy</w:t>
      </w:r>
      <w:r w:rsidRPr="00ED443E">
        <w:t>, 26, 1-18</w:t>
      </w:r>
      <w:r>
        <w:t>.</w:t>
      </w:r>
      <w:r w:rsidR="002D592F">
        <w:t xml:space="preserve"> </w:t>
      </w:r>
      <w:hyperlink r:id="rId26" w:tgtFrame="_blank" w:tooltip="Persistent link using digital object identifier" w:history="1">
        <w:r w:rsidR="002D592F">
          <w:rPr>
            <w:rStyle w:val="Hyperlink"/>
          </w:rPr>
          <w:t>doi.org/10.1016/S0048-7333(96)00917-1</w:t>
        </w:r>
      </w:hyperlink>
    </w:p>
    <w:p w14:paraId="215C3BE3" w14:textId="77777777" w:rsidR="00394329" w:rsidRDefault="00394329" w:rsidP="00394329">
      <w:pPr>
        <w:jc w:val="both"/>
        <w:rPr>
          <w:lang w:val="en-US"/>
        </w:rPr>
      </w:pPr>
    </w:p>
    <w:p w14:paraId="7FFBFEBC" w14:textId="02C62261" w:rsidR="007D0670" w:rsidRDefault="007D0670" w:rsidP="007D0670">
      <w:pPr>
        <w:jc w:val="both"/>
        <w:rPr>
          <w:rStyle w:val="ng-star-inserted"/>
          <w:color w:val="000000"/>
        </w:rPr>
      </w:pPr>
      <w:r>
        <w:rPr>
          <w:color w:val="000000"/>
          <w:lang w:val="en-US"/>
        </w:rPr>
        <w:t xml:space="preserve">Lozano, R. et al. (2012). </w:t>
      </w:r>
      <w:hyperlink r:id="rId27" w:history="1">
        <w:r>
          <w:rPr>
            <w:rStyle w:val="Hyperlink"/>
            <w:color w:val="000000"/>
            <w:u w:val="none"/>
            <w:lang w:val="en"/>
          </w:rPr>
          <w:t>Global and regional mortality from 235 causes of death for 20 age groups in 1990 and 2010: a systematic analysis for the Global Burden of Disease Study 2010</w:t>
        </w:r>
      </w:hyperlink>
      <w:r w:rsidR="00FF1E28">
        <w:rPr>
          <w:rStyle w:val="Hyperlink"/>
          <w:color w:val="000000"/>
          <w:u w:val="none"/>
          <w:lang w:val="en"/>
        </w:rPr>
        <w:t xml:space="preserve">. </w:t>
      </w:r>
      <w:r w:rsidR="00FF1E28">
        <w:rPr>
          <w:rStyle w:val="Hyperlink"/>
          <w:i/>
          <w:iCs/>
          <w:color w:val="000000"/>
          <w:u w:val="none"/>
          <w:lang w:val="en"/>
        </w:rPr>
        <w:t>Lancet</w:t>
      </w:r>
      <w:r w:rsidR="00FF1E28">
        <w:rPr>
          <w:rStyle w:val="Hyperlink"/>
          <w:color w:val="000000"/>
          <w:u w:val="none"/>
          <w:lang w:val="en"/>
        </w:rPr>
        <w:t xml:space="preserve">, </w:t>
      </w:r>
      <w:r>
        <w:rPr>
          <w:rStyle w:val="ng-star-inserted"/>
          <w:color w:val="000000"/>
        </w:rPr>
        <w:t>380 (9859), 2095-2128</w:t>
      </w:r>
      <w:r w:rsidR="00FF1E28">
        <w:rPr>
          <w:rStyle w:val="ng-star-inserted"/>
          <w:color w:val="000000"/>
        </w:rPr>
        <w:t>.</w:t>
      </w:r>
      <w:r w:rsidR="00A42259">
        <w:rPr>
          <w:rStyle w:val="ng-star-inserted"/>
          <w:color w:val="000000"/>
        </w:rPr>
        <w:t xml:space="preserve"> </w:t>
      </w:r>
      <w:hyperlink r:id="rId28" w:history="1">
        <w:r w:rsidR="00A42259">
          <w:rPr>
            <w:rStyle w:val="Hyperlink"/>
          </w:rPr>
          <w:t>doi.org/10.1016/S0140-6736(12)61728-0</w:t>
        </w:r>
      </w:hyperlink>
    </w:p>
    <w:p w14:paraId="293E3431" w14:textId="77777777" w:rsidR="008F7EBD" w:rsidRDefault="008F7EBD" w:rsidP="007D0670">
      <w:pPr>
        <w:jc w:val="both"/>
        <w:rPr>
          <w:rStyle w:val="ng-star-inserted"/>
          <w:color w:val="000000"/>
        </w:rPr>
      </w:pPr>
    </w:p>
    <w:p w14:paraId="30357629" w14:textId="2E56C161" w:rsidR="00E157AE" w:rsidRDefault="008F7EBD" w:rsidP="00394329">
      <w:pPr>
        <w:jc w:val="both"/>
        <w:rPr>
          <w:color w:val="000000"/>
        </w:rPr>
      </w:pPr>
      <w:proofErr w:type="spellStart"/>
      <w:r>
        <w:rPr>
          <w:rStyle w:val="ng-star-inserted"/>
          <w:color w:val="000000"/>
        </w:rPr>
        <w:t>Naghavi</w:t>
      </w:r>
      <w:proofErr w:type="spellEnd"/>
      <w:r>
        <w:rPr>
          <w:rStyle w:val="ng-star-inserted"/>
          <w:color w:val="000000"/>
        </w:rPr>
        <w:t xml:space="preserve">, M. et al. (2015). </w:t>
      </w:r>
      <w:r w:rsidR="00E157AE">
        <w:rPr>
          <w:color w:val="000000"/>
          <w:lang w:val="en"/>
        </w:rPr>
        <w:t>Global, regional, and national age-sex specific all-cause and cause-specific mortality for 240 causes of death, 1990-2013: a systematic analysis for the Global Burden of Disease Study 2013</w:t>
      </w:r>
      <w:r w:rsidR="007A7CE0">
        <w:rPr>
          <w:color w:val="000000"/>
        </w:rPr>
        <w:t xml:space="preserve">. </w:t>
      </w:r>
      <w:r w:rsidR="007A7CE0">
        <w:rPr>
          <w:i/>
          <w:iCs/>
          <w:color w:val="000000"/>
        </w:rPr>
        <w:t>Lancet</w:t>
      </w:r>
      <w:r w:rsidR="007A7CE0">
        <w:rPr>
          <w:color w:val="000000"/>
        </w:rPr>
        <w:t xml:space="preserve">, </w:t>
      </w:r>
      <w:r w:rsidR="00E157AE">
        <w:rPr>
          <w:color w:val="000000"/>
        </w:rPr>
        <w:t>385(9963)</w:t>
      </w:r>
      <w:r w:rsidR="007A7CE0">
        <w:rPr>
          <w:color w:val="000000"/>
        </w:rPr>
        <w:t xml:space="preserve">, </w:t>
      </w:r>
      <w:r w:rsidR="00E157AE">
        <w:rPr>
          <w:color w:val="000000"/>
        </w:rPr>
        <w:t>117-171</w:t>
      </w:r>
      <w:r w:rsidR="007A7CE0">
        <w:rPr>
          <w:color w:val="000000"/>
        </w:rPr>
        <w:t>.</w:t>
      </w:r>
      <w:r w:rsidR="00832B3E">
        <w:rPr>
          <w:color w:val="000000"/>
        </w:rPr>
        <w:t xml:space="preserve"> </w:t>
      </w:r>
      <w:hyperlink r:id="rId29" w:history="1">
        <w:r w:rsidR="00832B3E">
          <w:rPr>
            <w:rStyle w:val="Hyperlink"/>
          </w:rPr>
          <w:t>doi.org/10.1016/S0140-6736(14)61682-2</w:t>
        </w:r>
      </w:hyperlink>
    </w:p>
    <w:p w14:paraId="511DCFAB" w14:textId="77777777" w:rsidR="007A7CE0" w:rsidRPr="007A7CE0" w:rsidRDefault="007A7CE0" w:rsidP="00394329">
      <w:pPr>
        <w:jc w:val="both"/>
      </w:pPr>
    </w:p>
    <w:p w14:paraId="44C7A4E2" w14:textId="608FCF2A" w:rsidR="00394329" w:rsidRDefault="00394329" w:rsidP="00394329">
      <w:pPr>
        <w:jc w:val="both"/>
        <w:rPr>
          <w:lang w:val="en-US"/>
        </w:rPr>
      </w:pPr>
      <w:proofErr w:type="spellStart"/>
      <w:r w:rsidRPr="004A4A75">
        <w:rPr>
          <w:lang w:val="en-US"/>
        </w:rPr>
        <w:t>Narin</w:t>
      </w:r>
      <w:proofErr w:type="spellEnd"/>
      <w:r w:rsidRPr="004A4A75">
        <w:rPr>
          <w:lang w:val="en-US"/>
        </w:rPr>
        <w:t xml:space="preserve">, F., Stevens, K. </w:t>
      </w:r>
      <w:r>
        <w:rPr>
          <w:lang w:val="en-US"/>
        </w:rPr>
        <w:t>&amp;</w:t>
      </w:r>
      <w:r w:rsidRPr="004A4A75">
        <w:rPr>
          <w:lang w:val="en-US"/>
        </w:rPr>
        <w:t xml:space="preserve"> Whitlow, E.S. (1991). Scientific co-operation in Europe and the citation of </w:t>
      </w:r>
      <w:proofErr w:type="spellStart"/>
      <w:r w:rsidRPr="004A4A75">
        <w:rPr>
          <w:lang w:val="en-US"/>
        </w:rPr>
        <w:t>multinationally</w:t>
      </w:r>
      <w:proofErr w:type="spellEnd"/>
      <w:r w:rsidRPr="004A4A75">
        <w:rPr>
          <w:lang w:val="en-US"/>
        </w:rPr>
        <w:t xml:space="preserve"> authored papers. </w:t>
      </w:r>
      <w:r w:rsidRPr="004A4A75">
        <w:rPr>
          <w:i/>
          <w:iCs/>
          <w:lang w:val="en-US"/>
        </w:rPr>
        <w:t>Scientometrics</w:t>
      </w:r>
      <w:r w:rsidRPr="004A4A75">
        <w:rPr>
          <w:lang w:val="en-US"/>
        </w:rPr>
        <w:t>, 21, 313–323.</w:t>
      </w:r>
      <w:r w:rsidR="006638EE">
        <w:rPr>
          <w:lang w:val="en-US"/>
        </w:rPr>
        <w:t xml:space="preserve"> </w:t>
      </w:r>
      <w:hyperlink r:id="rId30" w:history="1">
        <w:r w:rsidR="006638EE" w:rsidRPr="006638EE">
          <w:rPr>
            <w:rStyle w:val="Hyperlink"/>
          </w:rPr>
          <w:t>doi.org/10.1007/BF02093973</w:t>
        </w:r>
      </w:hyperlink>
    </w:p>
    <w:p w14:paraId="1FD51062" w14:textId="77777777" w:rsidR="00394329" w:rsidRDefault="00394329" w:rsidP="00394329">
      <w:pPr>
        <w:jc w:val="both"/>
      </w:pPr>
    </w:p>
    <w:p w14:paraId="3ED09E1F" w14:textId="3FCBEA4A" w:rsidR="00394329" w:rsidRDefault="00394329" w:rsidP="00394329">
      <w:pPr>
        <w:jc w:val="both"/>
      </w:pPr>
      <w:r w:rsidRPr="004A4A75">
        <w:t xml:space="preserve">Potter, R.W.K. </w:t>
      </w:r>
      <w:r>
        <w:t>&amp;</w:t>
      </w:r>
      <w:r w:rsidRPr="004A4A75">
        <w:t xml:space="preserve"> </w:t>
      </w:r>
      <w:proofErr w:type="spellStart"/>
      <w:r w:rsidRPr="004A4A75">
        <w:t>Kova</w:t>
      </w:r>
      <w:proofErr w:type="spellEnd"/>
      <w:r w:rsidRPr="004A4A75">
        <w:rPr>
          <w:lang w:val="en"/>
        </w:rPr>
        <w:t>č</w:t>
      </w:r>
      <w:r w:rsidRPr="004A4A75">
        <w:t xml:space="preserve">, M.G. (2023). Tracking Category Normalized Citation </w:t>
      </w:r>
      <w:r w:rsidR="00834118">
        <w:t>Impact</w:t>
      </w:r>
      <w:r w:rsidRPr="004A4A75">
        <w:t xml:space="preserve"> (CNCI) changes: Benefits of combining standard, collaboration and fractional CNCI for performance evaluation and understanding, </w:t>
      </w:r>
      <w:r w:rsidRPr="004A4A75">
        <w:rPr>
          <w:i/>
          <w:iCs/>
        </w:rPr>
        <w:t>19</w:t>
      </w:r>
      <w:r w:rsidRPr="004A4A75">
        <w:rPr>
          <w:i/>
          <w:iCs/>
          <w:vertAlign w:val="superscript"/>
        </w:rPr>
        <w:t>th</w:t>
      </w:r>
      <w:r w:rsidRPr="004A4A75">
        <w:rPr>
          <w:i/>
          <w:iCs/>
        </w:rPr>
        <w:t xml:space="preserve"> International Conference on Scientometrics and </w:t>
      </w:r>
      <w:proofErr w:type="spellStart"/>
      <w:r w:rsidRPr="004A4A75">
        <w:rPr>
          <w:i/>
          <w:iCs/>
        </w:rPr>
        <w:t>Informetrics</w:t>
      </w:r>
      <w:proofErr w:type="spellEnd"/>
      <w:r w:rsidRPr="004A4A75">
        <w:t>, abstract #126.</w:t>
      </w:r>
    </w:p>
    <w:p w14:paraId="644EF416" w14:textId="77777777" w:rsidR="00394329" w:rsidRPr="004A4A75" w:rsidRDefault="00394329" w:rsidP="00394329">
      <w:pPr>
        <w:jc w:val="both"/>
      </w:pPr>
    </w:p>
    <w:p w14:paraId="43F6CE41" w14:textId="77777777" w:rsidR="00394329" w:rsidRDefault="00394329" w:rsidP="00394329">
      <w:pPr>
        <w:jc w:val="both"/>
        <w:rPr>
          <w:u w:val="single"/>
        </w:rPr>
      </w:pPr>
      <w:r w:rsidRPr="004A4A75">
        <w:t xml:space="preserve">Potter, R.W.K., </w:t>
      </w:r>
      <w:proofErr w:type="spellStart"/>
      <w:r w:rsidRPr="004A4A75">
        <w:t>Szomszor</w:t>
      </w:r>
      <w:proofErr w:type="spellEnd"/>
      <w:r w:rsidRPr="004A4A75">
        <w:t xml:space="preserve">, M. </w:t>
      </w:r>
      <w:r>
        <w:t>&amp;</w:t>
      </w:r>
      <w:r w:rsidRPr="004A4A75">
        <w:t xml:space="preserve"> Adams, J. (2020). Interpreting CNCIs on a country-scale: The effect of domestic and international collaboration type, </w:t>
      </w:r>
      <w:r w:rsidRPr="004A4A75">
        <w:rPr>
          <w:i/>
          <w:iCs/>
        </w:rPr>
        <w:t xml:space="preserve">Journal of </w:t>
      </w:r>
      <w:proofErr w:type="spellStart"/>
      <w:r w:rsidRPr="004A4A75">
        <w:rPr>
          <w:i/>
          <w:iCs/>
        </w:rPr>
        <w:t>Informetrics</w:t>
      </w:r>
      <w:proofErr w:type="spellEnd"/>
      <w:r w:rsidRPr="004A4A75">
        <w:t xml:space="preserve">, 14(4), 10175. </w:t>
      </w:r>
      <w:hyperlink r:id="rId31" w:history="1">
        <w:r>
          <w:rPr>
            <w:rStyle w:val="Hyperlink"/>
          </w:rPr>
          <w:t>doi.org/10.1016/j.joi.2020.101075</w:t>
        </w:r>
      </w:hyperlink>
      <w:r w:rsidRPr="004A4A75">
        <w:rPr>
          <w:u w:val="single"/>
        </w:rPr>
        <w:t>.</w:t>
      </w:r>
    </w:p>
    <w:p w14:paraId="6E535A6B" w14:textId="77777777" w:rsidR="00394329" w:rsidRPr="004A4A75" w:rsidRDefault="00394329" w:rsidP="00394329">
      <w:pPr>
        <w:jc w:val="both"/>
      </w:pPr>
    </w:p>
    <w:p w14:paraId="52EC0D50" w14:textId="464574D0" w:rsidR="00394329" w:rsidRPr="00E05896" w:rsidRDefault="00394329" w:rsidP="00E05896">
      <w:pPr>
        <w:jc w:val="both"/>
        <w:rPr>
          <w:rStyle w:val="normaltextrun"/>
        </w:rPr>
      </w:pPr>
      <w:r w:rsidRPr="004A4A75">
        <w:t xml:space="preserve">Potter, R.W.K., </w:t>
      </w:r>
      <w:proofErr w:type="spellStart"/>
      <w:r w:rsidRPr="004A4A75">
        <w:t>Szomszor</w:t>
      </w:r>
      <w:proofErr w:type="spellEnd"/>
      <w:r w:rsidRPr="004A4A75">
        <w:t xml:space="preserve">, M. </w:t>
      </w:r>
      <w:r>
        <w:t>&amp;</w:t>
      </w:r>
      <w:r w:rsidRPr="004A4A75">
        <w:t xml:space="preserve"> Adams, J. (2022) Comparing standard, collaboration and fractional CNCI at the institutional level: Consequences for performance evaluation. </w:t>
      </w:r>
      <w:r w:rsidRPr="004A4A75">
        <w:rPr>
          <w:i/>
          <w:iCs/>
        </w:rPr>
        <w:t>Scientometrics</w:t>
      </w:r>
      <w:r w:rsidRPr="004A4A75">
        <w:t xml:space="preserve">, 127, 7435-7448. </w:t>
      </w:r>
      <w:hyperlink r:id="rId32" w:history="1">
        <w:r>
          <w:rPr>
            <w:rStyle w:val="Hyperlink"/>
          </w:rPr>
          <w:t>doi.org/10.1007/s11192-022-04303-y</w:t>
        </w:r>
      </w:hyperlink>
      <w:r w:rsidRPr="004A4A75">
        <w:t>.</w:t>
      </w:r>
    </w:p>
    <w:p w14:paraId="67ADBEC7" w14:textId="0F1FD2F0" w:rsidR="00A70309" w:rsidRPr="00957E49" w:rsidRDefault="00A70309" w:rsidP="00A70309">
      <w:pPr>
        <w:pStyle w:val="paragraph"/>
        <w:jc w:val="both"/>
        <w:textAlignment w:val="baseline"/>
        <w:rPr>
          <w:rStyle w:val="normaltextrun"/>
          <w:sz w:val="28"/>
          <w:szCs w:val="28"/>
          <w:lang w:val="en-US"/>
        </w:rPr>
      </w:pPr>
      <w:proofErr w:type="spellStart"/>
      <w:r w:rsidRPr="3BAFFA18">
        <w:rPr>
          <w:rStyle w:val="normaltextrun"/>
          <w:lang w:val="en-US"/>
        </w:rPr>
        <w:t>Shehatta</w:t>
      </w:r>
      <w:proofErr w:type="spellEnd"/>
      <w:r>
        <w:rPr>
          <w:rStyle w:val="normaltextrun"/>
          <w:lang w:val="en-US"/>
        </w:rPr>
        <w:t>,</w:t>
      </w:r>
      <w:r w:rsidRPr="3BAFFA18">
        <w:rPr>
          <w:rStyle w:val="normaltextrun"/>
          <w:lang w:val="en-US"/>
        </w:rPr>
        <w:t xml:space="preserve"> I</w:t>
      </w:r>
      <w:r>
        <w:rPr>
          <w:rStyle w:val="normaltextrun"/>
          <w:lang w:val="en-US"/>
        </w:rPr>
        <w:t>. &amp;</w:t>
      </w:r>
      <w:r w:rsidRPr="3BAFFA18">
        <w:rPr>
          <w:rStyle w:val="normaltextrun"/>
          <w:lang w:val="en-US"/>
        </w:rPr>
        <w:t xml:space="preserve"> Al-</w:t>
      </w:r>
      <w:proofErr w:type="spellStart"/>
      <w:r w:rsidRPr="3BAFFA18">
        <w:rPr>
          <w:rStyle w:val="normaltextrun"/>
          <w:lang w:val="en-US"/>
        </w:rPr>
        <w:t>Rubaish</w:t>
      </w:r>
      <w:proofErr w:type="spellEnd"/>
      <w:r w:rsidRPr="3BAFFA18">
        <w:rPr>
          <w:rStyle w:val="normaltextrun"/>
          <w:lang w:val="en-US"/>
        </w:rPr>
        <w:t xml:space="preserve"> A</w:t>
      </w:r>
      <w:r>
        <w:rPr>
          <w:rStyle w:val="normaltextrun"/>
          <w:lang w:val="en-US"/>
        </w:rPr>
        <w:t>.</w:t>
      </w:r>
      <w:r w:rsidRPr="3BAFFA18">
        <w:rPr>
          <w:rStyle w:val="normaltextrun"/>
          <w:lang w:val="en-US"/>
        </w:rPr>
        <w:t xml:space="preserve">M. (2019). Impact of country self-citations on bibliometric indicators and ranking of most productive countries. </w:t>
      </w:r>
      <w:r w:rsidRPr="00295307">
        <w:rPr>
          <w:rStyle w:val="normaltextrun"/>
          <w:i/>
          <w:iCs/>
          <w:lang w:val="en-US"/>
        </w:rPr>
        <w:t>Scientometrics</w:t>
      </w:r>
      <w:r w:rsidRPr="3BAFFA18">
        <w:rPr>
          <w:rStyle w:val="normaltextrun"/>
          <w:lang w:val="en-US"/>
        </w:rPr>
        <w:t>. 120</w:t>
      </w:r>
      <w:r>
        <w:rPr>
          <w:rStyle w:val="normaltextrun"/>
          <w:lang w:val="en-US"/>
        </w:rPr>
        <w:t>,</w:t>
      </w:r>
      <w:r w:rsidRPr="3BAFFA18">
        <w:rPr>
          <w:rStyle w:val="normaltextrun"/>
          <w:lang w:val="en-US"/>
        </w:rPr>
        <w:t xml:space="preserve"> 775-791.</w:t>
      </w:r>
      <w:r w:rsidRPr="3BAFFA18">
        <w:rPr>
          <w:rStyle w:val="eop"/>
          <w:lang w:val="en-US"/>
        </w:rPr>
        <w:t> </w:t>
      </w:r>
      <w:hyperlink r:id="rId33" w:history="1">
        <w:r w:rsidRPr="00BC44F5">
          <w:rPr>
            <w:rStyle w:val="Hyperlink"/>
            <w:lang w:val="en-US"/>
          </w:rPr>
          <w:t>doi.org/</w:t>
        </w:r>
        <w:r w:rsidRPr="00BC44F5">
          <w:rPr>
            <w:rStyle w:val="Hyperlink"/>
          </w:rPr>
          <w:t>10.1007/s11192-019-03139-3</w:t>
        </w:r>
      </w:hyperlink>
    </w:p>
    <w:p w14:paraId="0F7CD055" w14:textId="77777777" w:rsidR="00A70309" w:rsidRPr="007433E9" w:rsidRDefault="00A70309" w:rsidP="00A70309">
      <w:pPr>
        <w:pStyle w:val="paragraph"/>
        <w:jc w:val="both"/>
        <w:textAlignment w:val="baseline"/>
        <w:rPr>
          <w:sz w:val="28"/>
          <w:szCs w:val="28"/>
          <w:lang w:val="en-US"/>
        </w:rPr>
      </w:pPr>
      <w:proofErr w:type="spellStart"/>
      <w:r w:rsidRPr="3BAFFA18">
        <w:rPr>
          <w:rStyle w:val="normaltextrun"/>
          <w:lang w:val="en-US"/>
        </w:rPr>
        <w:t>Stalschmidt</w:t>
      </w:r>
      <w:proofErr w:type="spellEnd"/>
      <w:r>
        <w:rPr>
          <w:rStyle w:val="normaltextrun"/>
          <w:lang w:val="en-US"/>
        </w:rPr>
        <w:t xml:space="preserve">, </w:t>
      </w:r>
      <w:r w:rsidRPr="3BAFFA18">
        <w:rPr>
          <w:rStyle w:val="normaltextrun"/>
          <w:lang w:val="en-US"/>
        </w:rPr>
        <w:t>S</w:t>
      </w:r>
      <w:r>
        <w:rPr>
          <w:rStyle w:val="normaltextrun"/>
          <w:lang w:val="en-US"/>
        </w:rPr>
        <w:t>. &amp;</w:t>
      </w:r>
      <w:r w:rsidRPr="3BAFFA18">
        <w:rPr>
          <w:rStyle w:val="normaltextrun"/>
          <w:lang w:val="en-US"/>
        </w:rPr>
        <w:t xml:space="preserve"> Hinze</w:t>
      </w:r>
      <w:r>
        <w:rPr>
          <w:rStyle w:val="normaltextrun"/>
          <w:lang w:val="en-US"/>
        </w:rPr>
        <w:t>,</w:t>
      </w:r>
      <w:r w:rsidRPr="3BAFFA18">
        <w:rPr>
          <w:rStyle w:val="normaltextrun"/>
          <w:lang w:val="en-US"/>
        </w:rPr>
        <w:t xml:space="preserve"> S. (2018). The dynamically changing publication universe as a reference point in national impact evaluation: A counterfactual case study on the Chinese publication growth. </w:t>
      </w:r>
      <w:r w:rsidRPr="00295307">
        <w:rPr>
          <w:rStyle w:val="normaltextrun"/>
          <w:i/>
          <w:iCs/>
          <w:lang w:val="en-US"/>
        </w:rPr>
        <w:t>Frontiers in Research Metrics and Analytics</w:t>
      </w:r>
      <w:r w:rsidRPr="3BAFFA18">
        <w:rPr>
          <w:rStyle w:val="normaltextrun"/>
          <w:lang w:val="en-US"/>
        </w:rPr>
        <w:t>. 3(30).</w:t>
      </w:r>
      <w:r w:rsidRPr="3BAFFA18">
        <w:rPr>
          <w:rStyle w:val="eop"/>
          <w:lang w:val="en-US"/>
        </w:rPr>
        <w:t> </w:t>
      </w:r>
      <w:hyperlink r:id="rId34" w:history="1">
        <w:r>
          <w:rPr>
            <w:rStyle w:val="Hyperlink"/>
          </w:rPr>
          <w:t>doi.org/10.3389/frma.2018.00030</w:t>
        </w:r>
      </w:hyperlink>
    </w:p>
    <w:p w14:paraId="4250FFE8" w14:textId="32E84789" w:rsidR="00A70309" w:rsidRPr="00D22BB6" w:rsidRDefault="00A70309" w:rsidP="00A70309">
      <w:pPr>
        <w:jc w:val="both"/>
      </w:pPr>
      <w:proofErr w:type="spellStart"/>
      <w:r w:rsidRPr="00D22BB6">
        <w:t>Szomszor</w:t>
      </w:r>
      <w:proofErr w:type="spellEnd"/>
      <w:r w:rsidRPr="00D22BB6">
        <w:t>, M.</w:t>
      </w:r>
      <w:r w:rsidR="0074108A">
        <w:t xml:space="preserve"> et al. </w:t>
      </w:r>
      <w:r w:rsidRPr="00D22BB6">
        <w:t>(2021)</w:t>
      </w:r>
      <w:r w:rsidR="00FD4A3E">
        <w:t>.</w:t>
      </w:r>
      <w:r w:rsidRPr="00D22BB6">
        <w:t xml:space="preserve"> Interpreting bibliometric data, </w:t>
      </w:r>
      <w:r w:rsidRPr="00C463BE">
        <w:rPr>
          <w:i/>
          <w:iCs/>
        </w:rPr>
        <w:t>Frontiers in Research Metrics and Analytics</w:t>
      </w:r>
      <w:r w:rsidRPr="00D22BB6">
        <w:t>, 5</w:t>
      </w:r>
      <w:r w:rsidR="00820B2B">
        <w:t xml:space="preserve">: </w:t>
      </w:r>
      <w:r w:rsidR="00F37193" w:rsidRPr="00F37193">
        <w:t>628703.</w:t>
      </w:r>
      <w:r w:rsidR="00820B2B">
        <w:t xml:space="preserve"> </w:t>
      </w:r>
      <w:hyperlink r:id="rId35" w:tgtFrame="_blank" w:history="1">
        <w:r w:rsidR="00820B2B">
          <w:rPr>
            <w:rStyle w:val="Hyperlink"/>
          </w:rPr>
          <w:t>doi.org/10.3389/frma.2020.628703</w:t>
        </w:r>
      </w:hyperlink>
    </w:p>
    <w:p w14:paraId="167027A6" w14:textId="77777777" w:rsidR="00A70309" w:rsidRDefault="00A70309" w:rsidP="00123A78">
      <w:pPr>
        <w:jc w:val="both"/>
      </w:pPr>
    </w:p>
    <w:p w14:paraId="49276F15" w14:textId="751DE1E6" w:rsidR="00123A78" w:rsidRDefault="00A70309" w:rsidP="00123A78">
      <w:pPr>
        <w:jc w:val="both"/>
      </w:pPr>
      <w:r>
        <w:t>va</w:t>
      </w:r>
      <w:r w:rsidRPr="0028240A">
        <w:t xml:space="preserve">n </w:t>
      </w:r>
      <w:proofErr w:type="spellStart"/>
      <w:r w:rsidRPr="0028240A">
        <w:t>Hooydonk</w:t>
      </w:r>
      <w:proofErr w:type="spellEnd"/>
      <w:r>
        <w:t xml:space="preserve">, G. (1997). </w:t>
      </w:r>
      <w:r w:rsidRPr="0028240A">
        <w:t xml:space="preserve">Fractional counting of </w:t>
      </w:r>
      <w:proofErr w:type="spellStart"/>
      <w:r w:rsidRPr="0028240A">
        <w:t>multiauthored</w:t>
      </w:r>
      <w:proofErr w:type="spellEnd"/>
      <w:r w:rsidRPr="0028240A">
        <w:t xml:space="preserve"> publications: Consequences for the impact of authors</w:t>
      </w:r>
      <w:r>
        <w:t xml:space="preserve">. </w:t>
      </w:r>
      <w:r w:rsidRPr="0028240A">
        <w:rPr>
          <w:i/>
          <w:iCs/>
        </w:rPr>
        <w:t>Journal of the Association for Information Science and Technology</w:t>
      </w:r>
      <w:r w:rsidRPr="0028240A">
        <w:t>, 48</w:t>
      </w:r>
      <w:r>
        <w:t xml:space="preserve">, </w:t>
      </w:r>
      <w:r w:rsidRPr="0028240A">
        <w:t>944-945</w:t>
      </w:r>
      <w:r>
        <w:t>.</w:t>
      </w:r>
      <w:r w:rsidRPr="0028240A">
        <w:t xml:space="preserve"> </w:t>
      </w:r>
      <w:hyperlink r:id="rId36" w:tgtFrame="_blank" w:history="1">
        <w:r>
          <w:rPr>
            <w:rStyle w:val="Hyperlink"/>
          </w:rPr>
          <w:t>doi.org/10.1002/(SICI)1097-4571(199710)48:10&lt;</w:t>
        </w:r>
        <w:proofErr w:type="gramStart"/>
        <w:r>
          <w:rPr>
            <w:rStyle w:val="Hyperlink"/>
          </w:rPr>
          <w:t>944::</w:t>
        </w:r>
        <w:proofErr w:type="gramEnd"/>
        <w:r>
          <w:rPr>
            <w:rStyle w:val="Hyperlink"/>
          </w:rPr>
          <w:t>AID-ASI8&gt;3.0.CO;2-1</w:t>
        </w:r>
      </w:hyperlink>
    </w:p>
    <w:p w14:paraId="271209D5" w14:textId="77777777" w:rsidR="00123A78" w:rsidRDefault="00123A78" w:rsidP="00123A78">
      <w:pPr>
        <w:jc w:val="both"/>
      </w:pPr>
    </w:p>
    <w:p w14:paraId="3B1B905C" w14:textId="455DAB76" w:rsidR="005573E3" w:rsidRDefault="005573E3" w:rsidP="004A4A75">
      <w:pPr>
        <w:jc w:val="both"/>
      </w:pPr>
      <w:r>
        <w:t xml:space="preserve">Vos, T. et al. (2015). </w:t>
      </w:r>
      <w:r w:rsidRPr="007E3358">
        <w:t>Global, regional, and national incidence, prevalence, and years lived with disability for 301 acute and chronic diseases and injuries in 188 countries, 1990-2013: a systematic analysis for the Global Burden of Disease Study 2013</w:t>
      </w:r>
      <w:r>
        <w:t xml:space="preserve">. </w:t>
      </w:r>
      <w:r w:rsidRPr="005573E3">
        <w:rPr>
          <w:i/>
          <w:iCs/>
        </w:rPr>
        <w:t>Lancet</w:t>
      </w:r>
      <w:r>
        <w:t xml:space="preserve">, </w:t>
      </w:r>
      <w:r>
        <w:rPr>
          <w:rStyle w:val="ng-star-inserted"/>
        </w:rPr>
        <w:t>386(9995), 743-800.</w:t>
      </w:r>
      <w:r w:rsidR="005A1E46">
        <w:rPr>
          <w:rStyle w:val="ng-star-inserted"/>
        </w:rPr>
        <w:t xml:space="preserve"> </w:t>
      </w:r>
      <w:hyperlink r:id="rId37" w:history="1">
        <w:r w:rsidR="005A1E46">
          <w:rPr>
            <w:rStyle w:val="Hyperlink"/>
          </w:rPr>
          <w:t>doi.org/10.1016/S0140-6736(15)60692-4</w:t>
        </w:r>
      </w:hyperlink>
    </w:p>
    <w:p w14:paraId="1A4EBE7D" w14:textId="77777777" w:rsidR="005573E3" w:rsidRDefault="005573E3" w:rsidP="004A4A75">
      <w:pPr>
        <w:jc w:val="both"/>
      </w:pPr>
    </w:p>
    <w:p w14:paraId="0227E3B9" w14:textId="2B7DF5E3" w:rsidR="00224B80" w:rsidRPr="004A4A75" w:rsidRDefault="0055091B" w:rsidP="004A4A75">
      <w:pPr>
        <w:jc w:val="both"/>
      </w:pPr>
      <w:r w:rsidRPr="0055091B">
        <w:lastRenderedPageBreak/>
        <w:t>Waltman,</w:t>
      </w:r>
      <w:r>
        <w:t xml:space="preserve"> L. &amp; </w:t>
      </w:r>
      <w:r w:rsidRPr="0055091B">
        <w:t>van Eck</w:t>
      </w:r>
      <w:r>
        <w:t xml:space="preserve">, N.J. (2013). </w:t>
      </w:r>
      <w:r w:rsidRPr="0055091B">
        <w:t>A systematic empirical comparison of different approaches for normalizing citation impact indicators</w:t>
      </w:r>
      <w:r>
        <w:t xml:space="preserve">. </w:t>
      </w:r>
      <w:r w:rsidRPr="0055091B">
        <w:rPr>
          <w:i/>
          <w:iCs/>
        </w:rPr>
        <w:t xml:space="preserve">Journal of </w:t>
      </w:r>
      <w:proofErr w:type="spellStart"/>
      <w:r w:rsidRPr="0055091B">
        <w:rPr>
          <w:i/>
          <w:iCs/>
        </w:rPr>
        <w:t>Informetrics</w:t>
      </w:r>
      <w:proofErr w:type="spellEnd"/>
      <w:r w:rsidRPr="0055091B">
        <w:t>, 7(4), 833-849</w:t>
      </w:r>
      <w:r>
        <w:t>.</w:t>
      </w:r>
      <w:r w:rsidRPr="0055091B">
        <w:t xml:space="preserve"> </w:t>
      </w:r>
      <w:hyperlink r:id="rId38" w:tgtFrame="_blank" w:history="1">
        <w:r>
          <w:rPr>
            <w:rStyle w:val="Hyperlink"/>
          </w:rPr>
          <w:t>doi.org/10.1016/j.joi.2013.08.002</w:t>
        </w:r>
      </w:hyperlink>
    </w:p>
    <w:p w14:paraId="36C18F79" w14:textId="77777777" w:rsidR="002D4843" w:rsidRPr="004A4A75" w:rsidRDefault="002D4843" w:rsidP="004A4A75">
      <w:pPr>
        <w:jc w:val="both"/>
      </w:pPr>
    </w:p>
    <w:p w14:paraId="68997804" w14:textId="1220634F" w:rsidR="004A4A75" w:rsidRPr="004A4A75" w:rsidRDefault="004A4A75" w:rsidP="004A4A75">
      <w:pPr>
        <w:jc w:val="both"/>
      </w:pPr>
      <w:r w:rsidRPr="004A4A75">
        <w:t xml:space="preserve">Waltman, L., </w:t>
      </w:r>
      <w:r w:rsidR="00E05896">
        <w:t>&amp;</w:t>
      </w:r>
      <w:r w:rsidRPr="004A4A75">
        <w:t xml:space="preserve"> van Eck, N.J. (2015). Field-normalized citation impact indicators and the choice of an appropriate counting method. </w:t>
      </w:r>
      <w:r w:rsidRPr="002D592F">
        <w:rPr>
          <w:i/>
          <w:iCs/>
        </w:rPr>
        <w:t xml:space="preserve">Journal of </w:t>
      </w:r>
      <w:proofErr w:type="spellStart"/>
      <w:r w:rsidRPr="002D592F">
        <w:rPr>
          <w:i/>
          <w:iCs/>
        </w:rPr>
        <w:t>Informetrics</w:t>
      </w:r>
      <w:proofErr w:type="spellEnd"/>
      <w:r w:rsidRPr="004A4A75">
        <w:t xml:space="preserve">, 9, 872–894. </w:t>
      </w:r>
      <w:hyperlink r:id="rId39" w:history="1">
        <w:r w:rsidR="00C14889" w:rsidRPr="00165664">
          <w:rPr>
            <w:rStyle w:val="Hyperlink"/>
          </w:rPr>
          <w:t>doi.org/</w:t>
        </w:r>
        <w:r w:rsidRPr="004A4A75">
          <w:rPr>
            <w:rStyle w:val="Hyperlink"/>
          </w:rPr>
          <w:t>10.1016/j.joi.2015.08.001</w:t>
        </w:r>
      </w:hyperlink>
    </w:p>
    <w:p w14:paraId="3B7C4FB4" w14:textId="77777777" w:rsidR="00435B5A" w:rsidRPr="00173EAD" w:rsidRDefault="00435B5A" w:rsidP="00F92089">
      <w:pPr>
        <w:jc w:val="both"/>
      </w:pPr>
    </w:p>
    <w:sectPr w:rsidR="00435B5A" w:rsidRPr="00173EAD" w:rsidSect="00E33403">
      <w:pgSz w:w="11907" w:h="16839"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80998" w14:textId="77777777" w:rsidR="00AB1472" w:rsidRDefault="00AB1472">
      <w:r>
        <w:separator/>
      </w:r>
    </w:p>
  </w:endnote>
  <w:endnote w:type="continuationSeparator" w:id="0">
    <w:p w14:paraId="05E0335B" w14:textId="77777777" w:rsidR="00AB1472" w:rsidRDefault="00AB1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100" w:usb3="00000000" w:csb0="8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4049A" w14:textId="77777777" w:rsidR="00AB1472" w:rsidRDefault="00AB1472">
      <w:r>
        <w:separator/>
      </w:r>
    </w:p>
  </w:footnote>
  <w:footnote w:type="continuationSeparator" w:id="0">
    <w:p w14:paraId="23A98296" w14:textId="77777777" w:rsidR="00AB1472" w:rsidRDefault="00AB14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8B67C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83C1035"/>
    <w:multiLevelType w:val="hybridMultilevel"/>
    <w:tmpl w:val="A8E862FE"/>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80148299">
    <w:abstractNumId w:val="1"/>
  </w:num>
  <w:num w:numId="2" w16cid:durableId="1776366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attachedTemplate r:id="rId1"/>
  <w:doNotTrackMoves/>
  <w:defaultTabStop w:val="1304"/>
  <w:hyphenationZone w:val="425"/>
  <w:doNotHyphenateCaps/>
  <w:characterSpacingControl w:val="doNotCompress"/>
  <w:doNotValidateAgainstSchema/>
  <w:doNotDemarcateInvalidXml/>
  <w:hdrShapeDefaults>
    <o:shapedefaults v:ext="edit" spidmax="2055"/>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56AC"/>
    <w:rsid w:val="0000194C"/>
    <w:rsid w:val="00001DBE"/>
    <w:rsid w:val="0000519E"/>
    <w:rsid w:val="000117B9"/>
    <w:rsid w:val="00012884"/>
    <w:rsid w:val="00015A7B"/>
    <w:rsid w:val="00016081"/>
    <w:rsid w:val="000176D6"/>
    <w:rsid w:val="00020B99"/>
    <w:rsid w:val="000224AE"/>
    <w:rsid w:val="00022F49"/>
    <w:rsid w:val="0003300D"/>
    <w:rsid w:val="00034654"/>
    <w:rsid w:val="0004197C"/>
    <w:rsid w:val="00041C42"/>
    <w:rsid w:val="00044A52"/>
    <w:rsid w:val="000478D3"/>
    <w:rsid w:val="00052E3A"/>
    <w:rsid w:val="0005460D"/>
    <w:rsid w:val="00055CD6"/>
    <w:rsid w:val="00065B74"/>
    <w:rsid w:val="00066FBE"/>
    <w:rsid w:val="00070195"/>
    <w:rsid w:val="00072476"/>
    <w:rsid w:val="000731AE"/>
    <w:rsid w:val="000732E9"/>
    <w:rsid w:val="00074F46"/>
    <w:rsid w:val="00077816"/>
    <w:rsid w:val="00077A7C"/>
    <w:rsid w:val="0008078C"/>
    <w:rsid w:val="00081D4D"/>
    <w:rsid w:val="00084685"/>
    <w:rsid w:val="00086CC3"/>
    <w:rsid w:val="00093969"/>
    <w:rsid w:val="00094E04"/>
    <w:rsid w:val="000950F7"/>
    <w:rsid w:val="000A0333"/>
    <w:rsid w:val="000A0427"/>
    <w:rsid w:val="000A2344"/>
    <w:rsid w:val="000A4A9F"/>
    <w:rsid w:val="000B0404"/>
    <w:rsid w:val="000B257D"/>
    <w:rsid w:val="000B312C"/>
    <w:rsid w:val="000B323A"/>
    <w:rsid w:val="000B759B"/>
    <w:rsid w:val="000C0E34"/>
    <w:rsid w:val="000C1967"/>
    <w:rsid w:val="000C25AF"/>
    <w:rsid w:val="000C4E92"/>
    <w:rsid w:val="000D3605"/>
    <w:rsid w:val="000D460F"/>
    <w:rsid w:val="000D53A4"/>
    <w:rsid w:val="000E0884"/>
    <w:rsid w:val="000E48C0"/>
    <w:rsid w:val="000E5694"/>
    <w:rsid w:val="000F43CB"/>
    <w:rsid w:val="000F6691"/>
    <w:rsid w:val="00101C1E"/>
    <w:rsid w:val="00104044"/>
    <w:rsid w:val="00105061"/>
    <w:rsid w:val="00105A1D"/>
    <w:rsid w:val="001062E1"/>
    <w:rsid w:val="0010667B"/>
    <w:rsid w:val="00106ECC"/>
    <w:rsid w:val="001138CA"/>
    <w:rsid w:val="001144F8"/>
    <w:rsid w:val="00116450"/>
    <w:rsid w:val="00116D23"/>
    <w:rsid w:val="00121E54"/>
    <w:rsid w:val="00123A78"/>
    <w:rsid w:val="0013020E"/>
    <w:rsid w:val="001402B3"/>
    <w:rsid w:val="00141FA6"/>
    <w:rsid w:val="0014690A"/>
    <w:rsid w:val="0014793C"/>
    <w:rsid w:val="00151303"/>
    <w:rsid w:val="00154D44"/>
    <w:rsid w:val="00154F7A"/>
    <w:rsid w:val="0015523F"/>
    <w:rsid w:val="00157749"/>
    <w:rsid w:val="00161230"/>
    <w:rsid w:val="00161E0C"/>
    <w:rsid w:val="00163981"/>
    <w:rsid w:val="00165664"/>
    <w:rsid w:val="0017280A"/>
    <w:rsid w:val="00172EF9"/>
    <w:rsid w:val="00173EAD"/>
    <w:rsid w:val="00175488"/>
    <w:rsid w:val="0017600B"/>
    <w:rsid w:val="00186CF6"/>
    <w:rsid w:val="00187131"/>
    <w:rsid w:val="0018716F"/>
    <w:rsid w:val="00190A50"/>
    <w:rsid w:val="0019786E"/>
    <w:rsid w:val="001A087C"/>
    <w:rsid w:val="001A28DF"/>
    <w:rsid w:val="001B166B"/>
    <w:rsid w:val="001B2FB8"/>
    <w:rsid w:val="001D11F4"/>
    <w:rsid w:val="001D595C"/>
    <w:rsid w:val="001D7CC8"/>
    <w:rsid w:val="001E1143"/>
    <w:rsid w:val="001E568F"/>
    <w:rsid w:val="001E64AD"/>
    <w:rsid w:val="001F332D"/>
    <w:rsid w:val="001F7644"/>
    <w:rsid w:val="0020033E"/>
    <w:rsid w:val="00202745"/>
    <w:rsid w:val="00210354"/>
    <w:rsid w:val="002127DC"/>
    <w:rsid w:val="002132F5"/>
    <w:rsid w:val="00213CCC"/>
    <w:rsid w:val="002147F3"/>
    <w:rsid w:val="00216205"/>
    <w:rsid w:val="0021752D"/>
    <w:rsid w:val="0022290C"/>
    <w:rsid w:val="00224B80"/>
    <w:rsid w:val="00227278"/>
    <w:rsid w:val="002279D1"/>
    <w:rsid w:val="00245264"/>
    <w:rsid w:val="00246D2D"/>
    <w:rsid w:val="002474CA"/>
    <w:rsid w:val="00250DA8"/>
    <w:rsid w:val="002541D7"/>
    <w:rsid w:val="00254312"/>
    <w:rsid w:val="002543E8"/>
    <w:rsid w:val="002570BB"/>
    <w:rsid w:val="00260105"/>
    <w:rsid w:val="00261D62"/>
    <w:rsid w:val="0026349D"/>
    <w:rsid w:val="00264F48"/>
    <w:rsid w:val="00271543"/>
    <w:rsid w:val="0027167C"/>
    <w:rsid w:val="00276CC7"/>
    <w:rsid w:val="002774A4"/>
    <w:rsid w:val="0028240A"/>
    <w:rsid w:val="0028410F"/>
    <w:rsid w:val="00284DCB"/>
    <w:rsid w:val="0029109C"/>
    <w:rsid w:val="00291BD4"/>
    <w:rsid w:val="0029211E"/>
    <w:rsid w:val="00293DA3"/>
    <w:rsid w:val="002943CA"/>
    <w:rsid w:val="00295307"/>
    <w:rsid w:val="002A10C9"/>
    <w:rsid w:val="002A3201"/>
    <w:rsid w:val="002A3F6D"/>
    <w:rsid w:val="002A4D04"/>
    <w:rsid w:val="002A5E76"/>
    <w:rsid w:val="002A72DD"/>
    <w:rsid w:val="002B0F9D"/>
    <w:rsid w:val="002B1950"/>
    <w:rsid w:val="002B3BA9"/>
    <w:rsid w:val="002C0FA2"/>
    <w:rsid w:val="002C2681"/>
    <w:rsid w:val="002C342A"/>
    <w:rsid w:val="002C3500"/>
    <w:rsid w:val="002C70DE"/>
    <w:rsid w:val="002D0413"/>
    <w:rsid w:val="002D1B17"/>
    <w:rsid w:val="002D33F7"/>
    <w:rsid w:val="002D3BE4"/>
    <w:rsid w:val="002D4019"/>
    <w:rsid w:val="002D4843"/>
    <w:rsid w:val="002D592F"/>
    <w:rsid w:val="002D710E"/>
    <w:rsid w:val="002E6A26"/>
    <w:rsid w:val="002E6BF9"/>
    <w:rsid w:val="002E7904"/>
    <w:rsid w:val="002F0052"/>
    <w:rsid w:val="002F243C"/>
    <w:rsid w:val="002F6548"/>
    <w:rsid w:val="00310C0B"/>
    <w:rsid w:val="0031202E"/>
    <w:rsid w:val="003124AD"/>
    <w:rsid w:val="003127D0"/>
    <w:rsid w:val="003129D3"/>
    <w:rsid w:val="00312C17"/>
    <w:rsid w:val="00320C5D"/>
    <w:rsid w:val="00323734"/>
    <w:rsid w:val="0034067E"/>
    <w:rsid w:val="00342194"/>
    <w:rsid w:val="003429F4"/>
    <w:rsid w:val="00345AF0"/>
    <w:rsid w:val="00345E92"/>
    <w:rsid w:val="00346A57"/>
    <w:rsid w:val="00351AF2"/>
    <w:rsid w:val="0035307C"/>
    <w:rsid w:val="003536B6"/>
    <w:rsid w:val="00364F1B"/>
    <w:rsid w:val="003650B7"/>
    <w:rsid w:val="003671FD"/>
    <w:rsid w:val="00370126"/>
    <w:rsid w:val="0037136D"/>
    <w:rsid w:val="00371ACD"/>
    <w:rsid w:val="003804DD"/>
    <w:rsid w:val="003830B5"/>
    <w:rsid w:val="00383A87"/>
    <w:rsid w:val="003866AD"/>
    <w:rsid w:val="00387850"/>
    <w:rsid w:val="00390253"/>
    <w:rsid w:val="003907DE"/>
    <w:rsid w:val="00390EE1"/>
    <w:rsid w:val="00394329"/>
    <w:rsid w:val="003945EC"/>
    <w:rsid w:val="003947C2"/>
    <w:rsid w:val="003960AE"/>
    <w:rsid w:val="00396C1B"/>
    <w:rsid w:val="003A3BCA"/>
    <w:rsid w:val="003A45FB"/>
    <w:rsid w:val="003A75CE"/>
    <w:rsid w:val="003B519E"/>
    <w:rsid w:val="003B6383"/>
    <w:rsid w:val="003B7221"/>
    <w:rsid w:val="003C30AF"/>
    <w:rsid w:val="003C4345"/>
    <w:rsid w:val="003C5313"/>
    <w:rsid w:val="003C6EF5"/>
    <w:rsid w:val="003C76AF"/>
    <w:rsid w:val="003D00A5"/>
    <w:rsid w:val="003D1C80"/>
    <w:rsid w:val="003D2AE4"/>
    <w:rsid w:val="003D6422"/>
    <w:rsid w:val="003E47F6"/>
    <w:rsid w:val="003F6DD7"/>
    <w:rsid w:val="00400B37"/>
    <w:rsid w:val="00400B4F"/>
    <w:rsid w:val="00402C81"/>
    <w:rsid w:val="00403BA8"/>
    <w:rsid w:val="004057FC"/>
    <w:rsid w:val="0040701A"/>
    <w:rsid w:val="00414662"/>
    <w:rsid w:val="00420106"/>
    <w:rsid w:val="00421B9F"/>
    <w:rsid w:val="004242B1"/>
    <w:rsid w:val="004244CB"/>
    <w:rsid w:val="00427826"/>
    <w:rsid w:val="00430FC6"/>
    <w:rsid w:val="00435B5A"/>
    <w:rsid w:val="00435F76"/>
    <w:rsid w:val="00440704"/>
    <w:rsid w:val="0044073E"/>
    <w:rsid w:val="00443C26"/>
    <w:rsid w:val="00445337"/>
    <w:rsid w:val="00445A23"/>
    <w:rsid w:val="00451AA5"/>
    <w:rsid w:val="0045560F"/>
    <w:rsid w:val="00456126"/>
    <w:rsid w:val="00457654"/>
    <w:rsid w:val="004725C8"/>
    <w:rsid w:val="00472CCE"/>
    <w:rsid w:val="0047363F"/>
    <w:rsid w:val="00475931"/>
    <w:rsid w:val="00480A8E"/>
    <w:rsid w:val="00480E78"/>
    <w:rsid w:val="00481CFE"/>
    <w:rsid w:val="004831A2"/>
    <w:rsid w:val="00483F56"/>
    <w:rsid w:val="004867B2"/>
    <w:rsid w:val="004952E2"/>
    <w:rsid w:val="004971AB"/>
    <w:rsid w:val="004A3140"/>
    <w:rsid w:val="004A4A75"/>
    <w:rsid w:val="004A5AB8"/>
    <w:rsid w:val="004A6BBB"/>
    <w:rsid w:val="004A713A"/>
    <w:rsid w:val="004B30EC"/>
    <w:rsid w:val="004B478A"/>
    <w:rsid w:val="004B788D"/>
    <w:rsid w:val="004C34AF"/>
    <w:rsid w:val="004C51E7"/>
    <w:rsid w:val="004C64E2"/>
    <w:rsid w:val="004D4532"/>
    <w:rsid w:val="004E212B"/>
    <w:rsid w:val="004E56AC"/>
    <w:rsid w:val="004E64F0"/>
    <w:rsid w:val="004F5507"/>
    <w:rsid w:val="00507124"/>
    <w:rsid w:val="005110DD"/>
    <w:rsid w:val="005170CD"/>
    <w:rsid w:val="005172F9"/>
    <w:rsid w:val="00517FCF"/>
    <w:rsid w:val="00522BF8"/>
    <w:rsid w:val="0052419B"/>
    <w:rsid w:val="00526C79"/>
    <w:rsid w:val="005276A6"/>
    <w:rsid w:val="00530974"/>
    <w:rsid w:val="005323CB"/>
    <w:rsid w:val="005339B9"/>
    <w:rsid w:val="0053603D"/>
    <w:rsid w:val="0054026B"/>
    <w:rsid w:val="00542798"/>
    <w:rsid w:val="00545F49"/>
    <w:rsid w:val="0054666D"/>
    <w:rsid w:val="00547183"/>
    <w:rsid w:val="0055091B"/>
    <w:rsid w:val="00554E8F"/>
    <w:rsid w:val="005573E3"/>
    <w:rsid w:val="00570B54"/>
    <w:rsid w:val="00570E3F"/>
    <w:rsid w:val="00572E3E"/>
    <w:rsid w:val="005736CB"/>
    <w:rsid w:val="0057398B"/>
    <w:rsid w:val="0057717C"/>
    <w:rsid w:val="00582A63"/>
    <w:rsid w:val="0058753E"/>
    <w:rsid w:val="005907A9"/>
    <w:rsid w:val="00595181"/>
    <w:rsid w:val="00595AC4"/>
    <w:rsid w:val="00596F60"/>
    <w:rsid w:val="005A1989"/>
    <w:rsid w:val="005A1BF2"/>
    <w:rsid w:val="005A1E46"/>
    <w:rsid w:val="005A4810"/>
    <w:rsid w:val="005B1D1E"/>
    <w:rsid w:val="005B261C"/>
    <w:rsid w:val="005B3511"/>
    <w:rsid w:val="005C35CA"/>
    <w:rsid w:val="005C6A9C"/>
    <w:rsid w:val="005D0637"/>
    <w:rsid w:val="005D257C"/>
    <w:rsid w:val="005D3C2F"/>
    <w:rsid w:val="005D4234"/>
    <w:rsid w:val="005E0A0B"/>
    <w:rsid w:val="005E12A2"/>
    <w:rsid w:val="005E1ADE"/>
    <w:rsid w:val="005E46C9"/>
    <w:rsid w:val="005E7B8F"/>
    <w:rsid w:val="00602784"/>
    <w:rsid w:val="006042DC"/>
    <w:rsid w:val="00606575"/>
    <w:rsid w:val="00611C8F"/>
    <w:rsid w:val="006148A4"/>
    <w:rsid w:val="00614ED0"/>
    <w:rsid w:val="00632A32"/>
    <w:rsid w:val="0063363B"/>
    <w:rsid w:val="00636414"/>
    <w:rsid w:val="006367F9"/>
    <w:rsid w:val="00640F3C"/>
    <w:rsid w:val="006415EA"/>
    <w:rsid w:val="00646543"/>
    <w:rsid w:val="00646BE4"/>
    <w:rsid w:val="00647A0B"/>
    <w:rsid w:val="006510F8"/>
    <w:rsid w:val="006513C3"/>
    <w:rsid w:val="006529EC"/>
    <w:rsid w:val="00655F0D"/>
    <w:rsid w:val="00657984"/>
    <w:rsid w:val="006609A8"/>
    <w:rsid w:val="0066157A"/>
    <w:rsid w:val="00662AF1"/>
    <w:rsid w:val="006638EE"/>
    <w:rsid w:val="00663A66"/>
    <w:rsid w:val="00663AC3"/>
    <w:rsid w:val="006653AD"/>
    <w:rsid w:val="00672856"/>
    <w:rsid w:val="006750CD"/>
    <w:rsid w:val="00676528"/>
    <w:rsid w:val="00681AAA"/>
    <w:rsid w:val="0068338A"/>
    <w:rsid w:val="00684B8B"/>
    <w:rsid w:val="00684D19"/>
    <w:rsid w:val="00687911"/>
    <w:rsid w:val="00690E7D"/>
    <w:rsid w:val="0069267E"/>
    <w:rsid w:val="00695596"/>
    <w:rsid w:val="00696B45"/>
    <w:rsid w:val="00697E53"/>
    <w:rsid w:val="006A2E02"/>
    <w:rsid w:val="006A3370"/>
    <w:rsid w:val="006A3FE3"/>
    <w:rsid w:val="006B1151"/>
    <w:rsid w:val="006C26EE"/>
    <w:rsid w:val="006C40B1"/>
    <w:rsid w:val="006D14F4"/>
    <w:rsid w:val="006D433A"/>
    <w:rsid w:val="006D5BC2"/>
    <w:rsid w:val="006E2724"/>
    <w:rsid w:val="006E3FD1"/>
    <w:rsid w:val="006E504B"/>
    <w:rsid w:val="006E7AF1"/>
    <w:rsid w:val="006E7E5A"/>
    <w:rsid w:val="006F3B19"/>
    <w:rsid w:val="006F4721"/>
    <w:rsid w:val="006F487B"/>
    <w:rsid w:val="007042BB"/>
    <w:rsid w:val="00704A99"/>
    <w:rsid w:val="007053E7"/>
    <w:rsid w:val="00705DB9"/>
    <w:rsid w:val="00714FB7"/>
    <w:rsid w:val="007155F7"/>
    <w:rsid w:val="007228AC"/>
    <w:rsid w:val="0072649E"/>
    <w:rsid w:val="0072795B"/>
    <w:rsid w:val="007318FE"/>
    <w:rsid w:val="0073347A"/>
    <w:rsid w:val="00737C87"/>
    <w:rsid w:val="0074108A"/>
    <w:rsid w:val="0074177C"/>
    <w:rsid w:val="007433E9"/>
    <w:rsid w:val="007441B3"/>
    <w:rsid w:val="007445FA"/>
    <w:rsid w:val="00745394"/>
    <w:rsid w:val="007625EF"/>
    <w:rsid w:val="00762864"/>
    <w:rsid w:val="0076587B"/>
    <w:rsid w:val="00767E68"/>
    <w:rsid w:val="00773DEE"/>
    <w:rsid w:val="0077796D"/>
    <w:rsid w:val="00780EC7"/>
    <w:rsid w:val="00783376"/>
    <w:rsid w:val="00784D8C"/>
    <w:rsid w:val="0078754B"/>
    <w:rsid w:val="00791987"/>
    <w:rsid w:val="00796C50"/>
    <w:rsid w:val="007A30E7"/>
    <w:rsid w:val="007A42E7"/>
    <w:rsid w:val="007A59E1"/>
    <w:rsid w:val="007A7CE0"/>
    <w:rsid w:val="007B04B3"/>
    <w:rsid w:val="007B72DE"/>
    <w:rsid w:val="007C30D8"/>
    <w:rsid w:val="007C5DB1"/>
    <w:rsid w:val="007D0670"/>
    <w:rsid w:val="007D2A59"/>
    <w:rsid w:val="007D37BF"/>
    <w:rsid w:val="007D4397"/>
    <w:rsid w:val="007D56B6"/>
    <w:rsid w:val="007D64B6"/>
    <w:rsid w:val="007D656B"/>
    <w:rsid w:val="007E24E0"/>
    <w:rsid w:val="007E2C01"/>
    <w:rsid w:val="007E3358"/>
    <w:rsid w:val="007F3BBB"/>
    <w:rsid w:val="007F4AF4"/>
    <w:rsid w:val="007F57FB"/>
    <w:rsid w:val="00800369"/>
    <w:rsid w:val="00810FA5"/>
    <w:rsid w:val="00811063"/>
    <w:rsid w:val="00813E5C"/>
    <w:rsid w:val="008168F4"/>
    <w:rsid w:val="00820B2B"/>
    <w:rsid w:val="0082227F"/>
    <w:rsid w:val="00823AF0"/>
    <w:rsid w:val="00824C7B"/>
    <w:rsid w:val="00825517"/>
    <w:rsid w:val="008278ED"/>
    <w:rsid w:val="00832B3E"/>
    <w:rsid w:val="00833414"/>
    <w:rsid w:val="008340DD"/>
    <w:rsid w:val="00834118"/>
    <w:rsid w:val="00835B6B"/>
    <w:rsid w:val="00841E81"/>
    <w:rsid w:val="008426BF"/>
    <w:rsid w:val="00844D2E"/>
    <w:rsid w:val="00850FDA"/>
    <w:rsid w:val="00852334"/>
    <w:rsid w:val="00854064"/>
    <w:rsid w:val="008618F8"/>
    <w:rsid w:val="008647F9"/>
    <w:rsid w:val="0086640F"/>
    <w:rsid w:val="00870B16"/>
    <w:rsid w:val="00874F11"/>
    <w:rsid w:val="00876330"/>
    <w:rsid w:val="008828A4"/>
    <w:rsid w:val="00883853"/>
    <w:rsid w:val="008919D5"/>
    <w:rsid w:val="00891BD9"/>
    <w:rsid w:val="00894544"/>
    <w:rsid w:val="008A0110"/>
    <w:rsid w:val="008A69AE"/>
    <w:rsid w:val="008A6B1F"/>
    <w:rsid w:val="008B0C37"/>
    <w:rsid w:val="008B0FE5"/>
    <w:rsid w:val="008B27A2"/>
    <w:rsid w:val="008B4692"/>
    <w:rsid w:val="008B5937"/>
    <w:rsid w:val="008C2573"/>
    <w:rsid w:val="008C4691"/>
    <w:rsid w:val="008C52D4"/>
    <w:rsid w:val="008D11EF"/>
    <w:rsid w:val="008D49E0"/>
    <w:rsid w:val="008E3F52"/>
    <w:rsid w:val="008E5795"/>
    <w:rsid w:val="008E5CD0"/>
    <w:rsid w:val="008E66E2"/>
    <w:rsid w:val="008E6E34"/>
    <w:rsid w:val="008F1E72"/>
    <w:rsid w:val="008F2C66"/>
    <w:rsid w:val="008F6633"/>
    <w:rsid w:val="008F783D"/>
    <w:rsid w:val="008F7EBD"/>
    <w:rsid w:val="00903558"/>
    <w:rsid w:val="00915294"/>
    <w:rsid w:val="00915955"/>
    <w:rsid w:val="00916A97"/>
    <w:rsid w:val="00917C62"/>
    <w:rsid w:val="00927ECF"/>
    <w:rsid w:val="009302E1"/>
    <w:rsid w:val="00933E7B"/>
    <w:rsid w:val="0093532C"/>
    <w:rsid w:val="009355A3"/>
    <w:rsid w:val="00936D8D"/>
    <w:rsid w:val="00941218"/>
    <w:rsid w:val="009501DD"/>
    <w:rsid w:val="009534C6"/>
    <w:rsid w:val="00953BA1"/>
    <w:rsid w:val="00956B17"/>
    <w:rsid w:val="00962921"/>
    <w:rsid w:val="0097186C"/>
    <w:rsid w:val="009737E3"/>
    <w:rsid w:val="00973A72"/>
    <w:rsid w:val="00975311"/>
    <w:rsid w:val="00980EF0"/>
    <w:rsid w:val="00980EF6"/>
    <w:rsid w:val="009822D8"/>
    <w:rsid w:val="00984452"/>
    <w:rsid w:val="00986777"/>
    <w:rsid w:val="00991C48"/>
    <w:rsid w:val="00991C63"/>
    <w:rsid w:val="00994680"/>
    <w:rsid w:val="00996941"/>
    <w:rsid w:val="009A0AB2"/>
    <w:rsid w:val="009A1E7B"/>
    <w:rsid w:val="009A6DD3"/>
    <w:rsid w:val="009B0431"/>
    <w:rsid w:val="009B04ED"/>
    <w:rsid w:val="009B07C7"/>
    <w:rsid w:val="009B270A"/>
    <w:rsid w:val="009B4AA0"/>
    <w:rsid w:val="009B65C0"/>
    <w:rsid w:val="009C181E"/>
    <w:rsid w:val="009C6650"/>
    <w:rsid w:val="009D026B"/>
    <w:rsid w:val="009E23BF"/>
    <w:rsid w:val="009E6C7F"/>
    <w:rsid w:val="009F2359"/>
    <w:rsid w:val="009F2530"/>
    <w:rsid w:val="009F28BB"/>
    <w:rsid w:val="00A0401F"/>
    <w:rsid w:val="00A107DA"/>
    <w:rsid w:val="00A14942"/>
    <w:rsid w:val="00A22AC2"/>
    <w:rsid w:val="00A24844"/>
    <w:rsid w:val="00A24CA9"/>
    <w:rsid w:val="00A26501"/>
    <w:rsid w:val="00A27DC4"/>
    <w:rsid w:val="00A40DD3"/>
    <w:rsid w:val="00A42259"/>
    <w:rsid w:val="00A42E87"/>
    <w:rsid w:val="00A4362D"/>
    <w:rsid w:val="00A47EF0"/>
    <w:rsid w:val="00A52470"/>
    <w:rsid w:val="00A544A4"/>
    <w:rsid w:val="00A61578"/>
    <w:rsid w:val="00A62672"/>
    <w:rsid w:val="00A64DFE"/>
    <w:rsid w:val="00A658E7"/>
    <w:rsid w:val="00A662FD"/>
    <w:rsid w:val="00A70309"/>
    <w:rsid w:val="00A71714"/>
    <w:rsid w:val="00A733B0"/>
    <w:rsid w:val="00A74AA8"/>
    <w:rsid w:val="00A75A71"/>
    <w:rsid w:val="00A81223"/>
    <w:rsid w:val="00A858DA"/>
    <w:rsid w:val="00A929BA"/>
    <w:rsid w:val="00A96B02"/>
    <w:rsid w:val="00AA1481"/>
    <w:rsid w:val="00AA3D3E"/>
    <w:rsid w:val="00AA725C"/>
    <w:rsid w:val="00AB0F44"/>
    <w:rsid w:val="00AB1472"/>
    <w:rsid w:val="00AB172A"/>
    <w:rsid w:val="00AB2736"/>
    <w:rsid w:val="00AB293D"/>
    <w:rsid w:val="00AB7572"/>
    <w:rsid w:val="00AC140C"/>
    <w:rsid w:val="00AC2230"/>
    <w:rsid w:val="00AC463F"/>
    <w:rsid w:val="00AD2309"/>
    <w:rsid w:val="00AD332B"/>
    <w:rsid w:val="00AD3369"/>
    <w:rsid w:val="00AD3532"/>
    <w:rsid w:val="00AD4AF5"/>
    <w:rsid w:val="00AD53B6"/>
    <w:rsid w:val="00AD55DE"/>
    <w:rsid w:val="00AD576C"/>
    <w:rsid w:val="00AD59CE"/>
    <w:rsid w:val="00AD6D2D"/>
    <w:rsid w:val="00AD734A"/>
    <w:rsid w:val="00AE1883"/>
    <w:rsid w:val="00AE6407"/>
    <w:rsid w:val="00AE7776"/>
    <w:rsid w:val="00AF15E8"/>
    <w:rsid w:val="00AF2859"/>
    <w:rsid w:val="00B06CDE"/>
    <w:rsid w:val="00B07E83"/>
    <w:rsid w:val="00B16715"/>
    <w:rsid w:val="00B16C83"/>
    <w:rsid w:val="00B16E8E"/>
    <w:rsid w:val="00B20E42"/>
    <w:rsid w:val="00B223C2"/>
    <w:rsid w:val="00B263BE"/>
    <w:rsid w:val="00B32332"/>
    <w:rsid w:val="00B33DA0"/>
    <w:rsid w:val="00B35DB9"/>
    <w:rsid w:val="00B3601A"/>
    <w:rsid w:val="00B42BA9"/>
    <w:rsid w:val="00B42E85"/>
    <w:rsid w:val="00B43136"/>
    <w:rsid w:val="00B43796"/>
    <w:rsid w:val="00B46193"/>
    <w:rsid w:val="00B5006D"/>
    <w:rsid w:val="00B5247C"/>
    <w:rsid w:val="00B5494B"/>
    <w:rsid w:val="00B5776F"/>
    <w:rsid w:val="00B60586"/>
    <w:rsid w:val="00B60E59"/>
    <w:rsid w:val="00B6355D"/>
    <w:rsid w:val="00B63DFC"/>
    <w:rsid w:val="00B71AD5"/>
    <w:rsid w:val="00B735C1"/>
    <w:rsid w:val="00B73A76"/>
    <w:rsid w:val="00B73A77"/>
    <w:rsid w:val="00B75B20"/>
    <w:rsid w:val="00B80FC4"/>
    <w:rsid w:val="00B84207"/>
    <w:rsid w:val="00B868DF"/>
    <w:rsid w:val="00B90235"/>
    <w:rsid w:val="00B9684C"/>
    <w:rsid w:val="00BA2343"/>
    <w:rsid w:val="00BA3C4E"/>
    <w:rsid w:val="00BA4144"/>
    <w:rsid w:val="00BA59EF"/>
    <w:rsid w:val="00BA68EE"/>
    <w:rsid w:val="00BA6F1A"/>
    <w:rsid w:val="00BA7838"/>
    <w:rsid w:val="00BB2E42"/>
    <w:rsid w:val="00BC2363"/>
    <w:rsid w:val="00BC2B40"/>
    <w:rsid w:val="00BC44F5"/>
    <w:rsid w:val="00BD0EC7"/>
    <w:rsid w:val="00BD2667"/>
    <w:rsid w:val="00BD2876"/>
    <w:rsid w:val="00BD3980"/>
    <w:rsid w:val="00BE2793"/>
    <w:rsid w:val="00BE654F"/>
    <w:rsid w:val="00BE6A00"/>
    <w:rsid w:val="00BF2B34"/>
    <w:rsid w:val="00C0000D"/>
    <w:rsid w:val="00C06D28"/>
    <w:rsid w:val="00C101A6"/>
    <w:rsid w:val="00C13C1E"/>
    <w:rsid w:val="00C14889"/>
    <w:rsid w:val="00C161D4"/>
    <w:rsid w:val="00C213E6"/>
    <w:rsid w:val="00C22F68"/>
    <w:rsid w:val="00C24BD7"/>
    <w:rsid w:val="00C260A3"/>
    <w:rsid w:val="00C3437E"/>
    <w:rsid w:val="00C34A4E"/>
    <w:rsid w:val="00C418E1"/>
    <w:rsid w:val="00C437DD"/>
    <w:rsid w:val="00C463BE"/>
    <w:rsid w:val="00C503FF"/>
    <w:rsid w:val="00C5619C"/>
    <w:rsid w:val="00C62669"/>
    <w:rsid w:val="00C628FB"/>
    <w:rsid w:val="00C63930"/>
    <w:rsid w:val="00C6489E"/>
    <w:rsid w:val="00C71B0D"/>
    <w:rsid w:val="00C750BE"/>
    <w:rsid w:val="00C76479"/>
    <w:rsid w:val="00C765BD"/>
    <w:rsid w:val="00C80646"/>
    <w:rsid w:val="00C82B68"/>
    <w:rsid w:val="00C83FE8"/>
    <w:rsid w:val="00C86E38"/>
    <w:rsid w:val="00C87775"/>
    <w:rsid w:val="00C90B76"/>
    <w:rsid w:val="00C927D8"/>
    <w:rsid w:val="00CA0B34"/>
    <w:rsid w:val="00CA0EA7"/>
    <w:rsid w:val="00CA1357"/>
    <w:rsid w:val="00CA37F0"/>
    <w:rsid w:val="00CA76C7"/>
    <w:rsid w:val="00CB0C61"/>
    <w:rsid w:val="00CB15AC"/>
    <w:rsid w:val="00CB6152"/>
    <w:rsid w:val="00CB7BCF"/>
    <w:rsid w:val="00CC16C3"/>
    <w:rsid w:val="00CC28DE"/>
    <w:rsid w:val="00CD4D51"/>
    <w:rsid w:val="00CD73D4"/>
    <w:rsid w:val="00CE17FE"/>
    <w:rsid w:val="00CE3C45"/>
    <w:rsid w:val="00CE70E2"/>
    <w:rsid w:val="00CF3292"/>
    <w:rsid w:val="00CF44BA"/>
    <w:rsid w:val="00CF5904"/>
    <w:rsid w:val="00CF6915"/>
    <w:rsid w:val="00D00AAB"/>
    <w:rsid w:val="00D00F1E"/>
    <w:rsid w:val="00D02002"/>
    <w:rsid w:val="00D025BC"/>
    <w:rsid w:val="00D03360"/>
    <w:rsid w:val="00D03AD4"/>
    <w:rsid w:val="00D132FE"/>
    <w:rsid w:val="00D15600"/>
    <w:rsid w:val="00D16BC6"/>
    <w:rsid w:val="00D21277"/>
    <w:rsid w:val="00D22BB6"/>
    <w:rsid w:val="00D233D4"/>
    <w:rsid w:val="00D244D0"/>
    <w:rsid w:val="00D2574B"/>
    <w:rsid w:val="00D269CF"/>
    <w:rsid w:val="00D26E15"/>
    <w:rsid w:val="00D314CF"/>
    <w:rsid w:val="00D3234E"/>
    <w:rsid w:val="00D33FD2"/>
    <w:rsid w:val="00D34688"/>
    <w:rsid w:val="00D3588A"/>
    <w:rsid w:val="00D41C9A"/>
    <w:rsid w:val="00D4206F"/>
    <w:rsid w:val="00D4417E"/>
    <w:rsid w:val="00D50395"/>
    <w:rsid w:val="00D518E4"/>
    <w:rsid w:val="00D54C10"/>
    <w:rsid w:val="00D54E25"/>
    <w:rsid w:val="00D5520D"/>
    <w:rsid w:val="00D57C39"/>
    <w:rsid w:val="00D62594"/>
    <w:rsid w:val="00D65F13"/>
    <w:rsid w:val="00D66844"/>
    <w:rsid w:val="00D7023A"/>
    <w:rsid w:val="00D837D9"/>
    <w:rsid w:val="00D94C35"/>
    <w:rsid w:val="00D951C9"/>
    <w:rsid w:val="00D96243"/>
    <w:rsid w:val="00D972EB"/>
    <w:rsid w:val="00DA5A5C"/>
    <w:rsid w:val="00DA6E24"/>
    <w:rsid w:val="00DA74A8"/>
    <w:rsid w:val="00DB0E80"/>
    <w:rsid w:val="00DB40B2"/>
    <w:rsid w:val="00DB4ABA"/>
    <w:rsid w:val="00DB4DED"/>
    <w:rsid w:val="00DB6109"/>
    <w:rsid w:val="00DC0331"/>
    <w:rsid w:val="00DC105B"/>
    <w:rsid w:val="00DC1AAF"/>
    <w:rsid w:val="00DC5DD2"/>
    <w:rsid w:val="00DC6FB5"/>
    <w:rsid w:val="00DD1698"/>
    <w:rsid w:val="00DD3831"/>
    <w:rsid w:val="00DD5C7E"/>
    <w:rsid w:val="00DD768E"/>
    <w:rsid w:val="00DE076F"/>
    <w:rsid w:val="00DE0E40"/>
    <w:rsid w:val="00DE5BD2"/>
    <w:rsid w:val="00DF037E"/>
    <w:rsid w:val="00DF2DC3"/>
    <w:rsid w:val="00DF7F5F"/>
    <w:rsid w:val="00E02D44"/>
    <w:rsid w:val="00E03487"/>
    <w:rsid w:val="00E05896"/>
    <w:rsid w:val="00E077DB"/>
    <w:rsid w:val="00E109C6"/>
    <w:rsid w:val="00E157AE"/>
    <w:rsid w:val="00E16F8D"/>
    <w:rsid w:val="00E217FC"/>
    <w:rsid w:val="00E32A1D"/>
    <w:rsid w:val="00E33403"/>
    <w:rsid w:val="00E34C97"/>
    <w:rsid w:val="00E36F51"/>
    <w:rsid w:val="00E42023"/>
    <w:rsid w:val="00E44280"/>
    <w:rsid w:val="00E501C4"/>
    <w:rsid w:val="00E50A3D"/>
    <w:rsid w:val="00E55FBC"/>
    <w:rsid w:val="00E5778B"/>
    <w:rsid w:val="00E722DF"/>
    <w:rsid w:val="00E729B0"/>
    <w:rsid w:val="00E7510A"/>
    <w:rsid w:val="00E7703F"/>
    <w:rsid w:val="00E926A9"/>
    <w:rsid w:val="00E93FC6"/>
    <w:rsid w:val="00EA1F73"/>
    <w:rsid w:val="00EA6D4C"/>
    <w:rsid w:val="00EA7E9B"/>
    <w:rsid w:val="00EB1190"/>
    <w:rsid w:val="00EB1781"/>
    <w:rsid w:val="00EB5C09"/>
    <w:rsid w:val="00EC04B8"/>
    <w:rsid w:val="00EC286B"/>
    <w:rsid w:val="00EC49EC"/>
    <w:rsid w:val="00EC51C0"/>
    <w:rsid w:val="00EC59CE"/>
    <w:rsid w:val="00EC69D0"/>
    <w:rsid w:val="00EC7804"/>
    <w:rsid w:val="00ED27EB"/>
    <w:rsid w:val="00ED443E"/>
    <w:rsid w:val="00EE049F"/>
    <w:rsid w:val="00EE4AC8"/>
    <w:rsid w:val="00EE791C"/>
    <w:rsid w:val="00EF2082"/>
    <w:rsid w:val="00EF2C6B"/>
    <w:rsid w:val="00EF3656"/>
    <w:rsid w:val="00EF535C"/>
    <w:rsid w:val="00F01EEF"/>
    <w:rsid w:val="00F047FA"/>
    <w:rsid w:val="00F0489D"/>
    <w:rsid w:val="00F0578C"/>
    <w:rsid w:val="00F11FF9"/>
    <w:rsid w:val="00F12E30"/>
    <w:rsid w:val="00F13510"/>
    <w:rsid w:val="00F16214"/>
    <w:rsid w:val="00F21F21"/>
    <w:rsid w:val="00F233ED"/>
    <w:rsid w:val="00F25426"/>
    <w:rsid w:val="00F2758B"/>
    <w:rsid w:val="00F3364A"/>
    <w:rsid w:val="00F33923"/>
    <w:rsid w:val="00F341D0"/>
    <w:rsid w:val="00F37193"/>
    <w:rsid w:val="00F3764C"/>
    <w:rsid w:val="00F37D2C"/>
    <w:rsid w:val="00F463E0"/>
    <w:rsid w:val="00F47FB0"/>
    <w:rsid w:val="00F50D43"/>
    <w:rsid w:val="00F60610"/>
    <w:rsid w:val="00F62060"/>
    <w:rsid w:val="00F63438"/>
    <w:rsid w:val="00F65AF4"/>
    <w:rsid w:val="00F65D54"/>
    <w:rsid w:val="00F66633"/>
    <w:rsid w:val="00F66661"/>
    <w:rsid w:val="00F729E0"/>
    <w:rsid w:val="00F74276"/>
    <w:rsid w:val="00F7563B"/>
    <w:rsid w:val="00F776E3"/>
    <w:rsid w:val="00F81944"/>
    <w:rsid w:val="00F83321"/>
    <w:rsid w:val="00F834E1"/>
    <w:rsid w:val="00F85622"/>
    <w:rsid w:val="00F8756A"/>
    <w:rsid w:val="00F909B9"/>
    <w:rsid w:val="00F90B73"/>
    <w:rsid w:val="00F92089"/>
    <w:rsid w:val="00F9546D"/>
    <w:rsid w:val="00F9748D"/>
    <w:rsid w:val="00FA16A5"/>
    <w:rsid w:val="00FA4DA9"/>
    <w:rsid w:val="00FA4F33"/>
    <w:rsid w:val="00FA5D4B"/>
    <w:rsid w:val="00FA64B4"/>
    <w:rsid w:val="00FA734C"/>
    <w:rsid w:val="00FB2E6C"/>
    <w:rsid w:val="00FB4AAD"/>
    <w:rsid w:val="00FB628A"/>
    <w:rsid w:val="00FC6051"/>
    <w:rsid w:val="00FC6E64"/>
    <w:rsid w:val="00FD22EC"/>
    <w:rsid w:val="00FD343F"/>
    <w:rsid w:val="00FD4A3E"/>
    <w:rsid w:val="00FD76E0"/>
    <w:rsid w:val="00FE52F4"/>
    <w:rsid w:val="00FE5CA9"/>
    <w:rsid w:val="00FE5CF1"/>
    <w:rsid w:val="00FE63AC"/>
    <w:rsid w:val="00FF1E28"/>
    <w:rsid w:val="00FF23A5"/>
    <w:rsid w:val="00FF2433"/>
    <w:rsid w:val="00FF2A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2"/>
    </o:shapelayout>
  </w:shapeDefaults>
  <w:decimalSymbol w:val="."/>
  <w:listSeparator w:val=","/>
  <w14:docId w14:val="69089935"/>
  <w14:defaultImageDpi w14:val="96"/>
  <w15:chartTrackingRefBased/>
  <w15:docId w15:val="{67FBF334-3E8E-47EE-823F-407A3D48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sv-SE"/>
    </w:rPr>
  </w:style>
  <w:style w:type="paragraph" w:styleId="Heading1">
    <w:name w:val="heading 1"/>
    <w:basedOn w:val="Normal"/>
    <w:next w:val="Normal"/>
    <w:link w:val="Heading1Char"/>
    <w:uiPriority w:val="99"/>
    <w:qFormat/>
    <w:pPr>
      <w:keepNext/>
      <w:outlineLvl w:val="0"/>
    </w:pPr>
    <w:rPr>
      <w:sz w:val="36"/>
      <w:szCs w:val="36"/>
    </w:rPr>
  </w:style>
  <w:style w:type="paragraph" w:styleId="Heading2">
    <w:name w:val="heading 2"/>
    <w:basedOn w:val="Normal"/>
    <w:next w:val="Normal"/>
    <w:link w:val="Heading2Char"/>
    <w:uiPriority w:val="99"/>
    <w:qFormat/>
    <w:pPr>
      <w:keepNext/>
      <w:outlineLvl w:val="1"/>
    </w:pPr>
    <w:rPr>
      <w:b/>
      <w:bCs/>
    </w:rPr>
  </w:style>
  <w:style w:type="paragraph" w:styleId="Heading3">
    <w:name w:val="heading 3"/>
    <w:basedOn w:val="Normal"/>
    <w:next w:val="Normal"/>
    <w:link w:val="Heading3Char"/>
    <w:uiPriority w:val="99"/>
    <w:qFormat/>
    <w:pPr>
      <w:keepNext/>
      <w:outlineLvl w:val="2"/>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lang w:val="en-GB" w:eastAsia="sv-SE"/>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en-GB" w:eastAsia="sv-SE"/>
    </w:rPr>
  </w:style>
  <w:style w:type="character" w:customStyle="1" w:styleId="Heading3Char">
    <w:name w:val="Heading 3 Char"/>
    <w:link w:val="Heading3"/>
    <w:uiPriority w:val="9"/>
    <w:semiHidden/>
    <w:locked/>
    <w:rPr>
      <w:rFonts w:ascii="Cambria" w:eastAsia="Times New Roman" w:hAnsi="Cambria" w:cs="Times New Roman"/>
      <w:b/>
      <w:bCs/>
      <w:sz w:val="26"/>
      <w:szCs w:val="26"/>
      <w:lang w:val="en-GB" w:eastAsia="sv-SE"/>
    </w:rPr>
  </w:style>
  <w:style w:type="character" w:styleId="Hyperlink">
    <w:name w:val="Hyperlink"/>
    <w:uiPriority w:val="99"/>
    <w:rPr>
      <w:rFonts w:cs="Times New Roman"/>
      <w:color w:val="0000FF"/>
      <w:u w:val="single"/>
    </w:rPr>
  </w:style>
  <w:style w:type="paragraph" w:customStyle="1" w:styleId="References">
    <w:name w:val="References"/>
    <w:basedOn w:val="Normal"/>
    <w:uiPriority w:val="99"/>
    <w:pPr>
      <w:spacing w:after="80"/>
      <w:ind w:left="144" w:hanging="144"/>
      <w:jc w:val="both"/>
    </w:pPr>
    <w:rPr>
      <w:sz w:val="18"/>
      <w:szCs w:val="18"/>
      <w:lang w:val="en-US" w:eastAsia="en-US"/>
    </w:rPr>
  </w:style>
  <w:style w:type="paragraph" w:styleId="BodyText2">
    <w:name w:val="Body Text 2"/>
    <w:basedOn w:val="Normal"/>
    <w:link w:val="BodyText2Char"/>
    <w:uiPriority w:val="99"/>
    <w:pPr>
      <w:jc w:val="both"/>
    </w:pPr>
  </w:style>
  <w:style w:type="character" w:customStyle="1" w:styleId="BodyText2Char">
    <w:name w:val="Body Text 2 Char"/>
    <w:link w:val="BodyText2"/>
    <w:uiPriority w:val="99"/>
    <w:semiHidden/>
    <w:locked/>
    <w:rPr>
      <w:rFonts w:cs="Times New Roman"/>
      <w:sz w:val="24"/>
      <w:szCs w:val="24"/>
      <w:lang w:val="en-GB" w:eastAsia="sv-SE"/>
    </w:rPr>
  </w:style>
  <w:style w:type="paragraph" w:styleId="BodyText">
    <w:name w:val="Body Text"/>
    <w:basedOn w:val="Normal"/>
    <w:link w:val="BodyTextChar"/>
    <w:uiPriority w:val="99"/>
    <w:rPr>
      <w:color w:val="0000FF"/>
    </w:rPr>
  </w:style>
  <w:style w:type="character" w:customStyle="1" w:styleId="BodyTextChar">
    <w:name w:val="Body Text Char"/>
    <w:link w:val="BodyText"/>
    <w:uiPriority w:val="99"/>
    <w:semiHidden/>
    <w:locked/>
    <w:rPr>
      <w:rFonts w:cs="Times New Roman"/>
      <w:sz w:val="24"/>
      <w:szCs w:val="24"/>
      <w:lang w:val="en-GB" w:eastAsia="sv-SE"/>
    </w:rPr>
  </w:style>
  <w:style w:type="character" w:customStyle="1" w:styleId="eudoraheader">
    <w:name w:val="eudoraheader"/>
    <w:uiPriority w:val="99"/>
    <w:rsid w:val="00D50395"/>
    <w:rPr>
      <w:rFonts w:cs="Times New Roman"/>
    </w:rPr>
  </w:style>
  <w:style w:type="paragraph" w:styleId="FootnoteText">
    <w:name w:val="footnote text"/>
    <w:basedOn w:val="Normal"/>
    <w:link w:val="FootnoteTextChar"/>
    <w:uiPriority w:val="99"/>
    <w:semiHidden/>
    <w:rsid w:val="000C1967"/>
    <w:rPr>
      <w:sz w:val="20"/>
      <w:szCs w:val="20"/>
    </w:rPr>
  </w:style>
  <w:style w:type="character" w:customStyle="1" w:styleId="FootnoteTextChar">
    <w:name w:val="Footnote Text Char"/>
    <w:link w:val="FootnoteText"/>
    <w:uiPriority w:val="99"/>
    <w:semiHidden/>
    <w:locked/>
    <w:rPr>
      <w:rFonts w:cs="Times New Roman"/>
      <w:sz w:val="20"/>
      <w:szCs w:val="20"/>
      <w:lang w:val="en-GB" w:eastAsia="sv-SE"/>
    </w:rPr>
  </w:style>
  <w:style w:type="character" w:styleId="FootnoteReference">
    <w:name w:val="footnote reference"/>
    <w:uiPriority w:val="99"/>
    <w:semiHidden/>
    <w:rsid w:val="000C1967"/>
    <w:rPr>
      <w:rFonts w:cs="Times New Roman"/>
      <w:vertAlign w:val="superscript"/>
    </w:rPr>
  </w:style>
  <w:style w:type="character" w:styleId="FollowedHyperlink">
    <w:name w:val="FollowedHyperlink"/>
    <w:uiPriority w:val="99"/>
    <w:semiHidden/>
    <w:unhideWhenUsed/>
    <w:rsid w:val="00AD53B6"/>
    <w:rPr>
      <w:rFonts w:cs="Times New Roman"/>
      <w:color w:val="800080"/>
      <w:u w:val="single"/>
    </w:rPr>
  </w:style>
  <w:style w:type="character" w:styleId="CommentReference">
    <w:name w:val="annotation reference"/>
    <w:uiPriority w:val="99"/>
    <w:semiHidden/>
    <w:unhideWhenUsed/>
    <w:rsid w:val="001402B3"/>
    <w:rPr>
      <w:rFonts w:cs="Times New Roman"/>
      <w:sz w:val="16"/>
      <w:szCs w:val="16"/>
    </w:rPr>
  </w:style>
  <w:style w:type="paragraph" w:styleId="CommentText">
    <w:name w:val="annotation text"/>
    <w:basedOn w:val="Normal"/>
    <w:link w:val="CommentTextChar"/>
    <w:uiPriority w:val="99"/>
    <w:semiHidden/>
    <w:unhideWhenUsed/>
    <w:rsid w:val="001402B3"/>
    <w:rPr>
      <w:sz w:val="20"/>
      <w:szCs w:val="20"/>
    </w:rPr>
  </w:style>
  <w:style w:type="character" w:customStyle="1" w:styleId="CommentTextChar">
    <w:name w:val="Comment Text Char"/>
    <w:link w:val="CommentText"/>
    <w:uiPriority w:val="99"/>
    <w:semiHidden/>
    <w:locked/>
    <w:rsid w:val="001402B3"/>
    <w:rPr>
      <w:rFonts w:cs="Times New Roman"/>
      <w:sz w:val="20"/>
      <w:szCs w:val="20"/>
      <w:lang w:val="en-GB" w:eastAsia="sv-SE"/>
    </w:rPr>
  </w:style>
  <w:style w:type="paragraph" w:styleId="CommentSubject">
    <w:name w:val="annotation subject"/>
    <w:basedOn w:val="CommentText"/>
    <w:next w:val="CommentText"/>
    <w:link w:val="CommentSubjectChar"/>
    <w:uiPriority w:val="99"/>
    <w:semiHidden/>
    <w:unhideWhenUsed/>
    <w:rsid w:val="001402B3"/>
    <w:rPr>
      <w:b/>
      <w:bCs/>
    </w:rPr>
  </w:style>
  <w:style w:type="character" w:customStyle="1" w:styleId="CommentSubjectChar">
    <w:name w:val="Comment Subject Char"/>
    <w:link w:val="CommentSubject"/>
    <w:uiPriority w:val="99"/>
    <w:semiHidden/>
    <w:locked/>
    <w:rsid w:val="001402B3"/>
    <w:rPr>
      <w:rFonts w:cs="Times New Roman"/>
      <w:b/>
      <w:bCs/>
      <w:sz w:val="20"/>
      <w:szCs w:val="20"/>
      <w:lang w:val="en-GB" w:eastAsia="sv-SE"/>
    </w:rPr>
  </w:style>
  <w:style w:type="paragraph" w:styleId="BalloonText">
    <w:name w:val="Balloon Text"/>
    <w:basedOn w:val="Normal"/>
    <w:link w:val="BalloonTextChar"/>
    <w:uiPriority w:val="99"/>
    <w:semiHidden/>
    <w:unhideWhenUsed/>
    <w:rsid w:val="001402B3"/>
    <w:rPr>
      <w:rFonts w:ascii="Tahoma" w:hAnsi="Tahoma" w:cs="Tahoma"/>
      <w:sz w:val="16"/>
      <w:szCs w:val="16"/>
    </w:rPr>
  </w:style>
  <w:style w:type="character" w:customStyle="1" w:styleId="BalloonTextChar">
    <w:name w:val="Balloon Text Char"/>
    <w:link w:val="BalloonText"/>
    <w:uiPriority w:val="99"/>
    <w:semiHidden/>
    <w:locked/>
    <w:rsid w:val="001402B3"/>
    <w:rPr>
      <w:rFonts w:ascii="Tahoma" w:hAnsi="Tahoma" w:cs="Tahoma"/>
      <w:sz w:val="16"/>
      <w:szCs w:val="16"/>
      <w:lang w:val="en-GB" w:eastAsia="sv-SE"/>
    </w:rPr>
  </w:style>
  <w:style w:type="paragraph" w:styleId="Header">
    <w:name w:val="header"/>
    <w:basedOn w:val="Normal"/>
    <w:link w:val="HeaderChar"/>
    <w:uiPriority w:val="99"/>
    <w:unhideWhenUsed/>
    <w:rsid w:val="00B73A77"/>
    <w:pPr>
      <w:tabs>
        <w:tab w:val="center" w:pos="4536"/>
        <w:tab w:val="right" w:pos="9072"/>
      </w:tabs>
    </w:pPr>
  </w:style>
  <w:style w:type="character" w:customStyle="1" w:styleId="HeaderChar">
    <w:name w:val="Header Char"/>
    <w:link w:val="Header"/>
    <w:uiPriority w:val="99"/>
    <w:rsid w:val="00B73A77"/>
    <w:rPr>
      <w:sz w:val="24"/>
      <w:szCs w:val="24"/>
      <w:lang w:val="en-GB" w:eastAsia="sv-SE"/>
    </w:rPr>
  </w:style>
  <w:style w:type="paragraph" w:styleId="Footer">
    <w:name w:val="footer"/>
    <w:basedOn w:val="Normal"/>
    <w:link w:val="FooterChar"/>
    <w:uiPriority w:val="99"/>
    <w:unhideWhenUsed/>
    <w:rsid w:val="00B73A77"/>
    <w:pPr>
      <w:tabs>
        <w:tab w:val="center" w:pos="4536"/>
        <w:tab w:val="right" w:pos="9072"/>
      </w:tabs>
    </w:pPr>
  </w:style>
  <w:style w:type="character" w:customStyle="1" w:styleId="FooterChar">
    <w:name w:val="Footer Char"/>
    <w:link w:val="Footer"/>
    <w:uiPriority w:val="99"/>
    <w:rsid w:val="00B73A77"/>
    <w:rPr>
      <w:sz w:val="24"/>
      <w:szCs w:val="24"/>
      <w:lang w:val="en-GB" w:eastAsia="sv-SE"/>
    </w:rPr>
  </w:style>
  <w:style w:type="character" w:styleId="UnresolvedMention">
    <w:name w:val="Unresolved Mention"/>
    <w:uiPriority w:val="99"/>
    <w:semiHidden/>
    <w:unhideWhenUsed/>
    <w:rsid w:val="00813E5C"/>
    <w:rPr>
      <w:color w:val="605E5C"/>
      <w:shd w:val="clear" w:color="auto" w:fill="E1DFDD"/>
    </w:rPr>
  </w:style>
  <w:style w:type="character" w:customStyle="1" w:styleId="ng-star-inserted">
    <w:name w:val="ng-star-inserted"/>
    <w:basedOn w:val="DefaultParagraphFont"/>
    <w:rsid w:val="007445FA"/>
  </w:style>
  <w:style w:type="character" w:customStyle="1" w:styleId="value">
    <w:name w:val="value"/>
    <w:basedOn w:val="DefaultParagraphFont"/>
    <w:rsid w:val="007445FA"/>
  </w:style>
  <w:style w:type="paragraph" w:customStyle="1" w:styleId="paragraph">
    <w:name w:val="paragraph"/>
    <w:basedOn w:val="Normal"/>
    <w:rsid w:val="00295307"/>
    <w:pPr>
      <w:spacing w:before="100" w:beforeAutospacing="1" w:after="100" w:afterAutospacing="1"/>
    </w:pPr>
    <w:rPr>
      <w:lang w:eastAsia="en-GB"/>
    </w:rPr>
  </w:style>
  <w:style w:type="character" w:customStyle="1" w:styleId="normaltextrun">
    <w:name w:val="normaltextrun"/>
    <w:basedOn w:val="DefaultParagraphFont"/>
    <w:rsid w:val="00295307"/>
  </w:style>
  <w:style w:type="character" w:customStyle="1" w:styleId="eop">
    <w:name w:val="eop"/>
    <w:basedOn w:val="DefaultParagraphFont"/>
    <w:rsid w:val="00295307"/>
  </w:style>
  <w:style w:type="character" w:styleId="Emphasis">
    <w:name w:val="Emphasis"/>
    <w:uiPriority w:val="20"/>
    <w:qFormat/>
    <w:rsid w:val="008A6B1F"/>
    <w:rPr>
      <w:i/>
      <w:iCs/>
    </w:rPr>
  </w:style>
  <w:style w:type="character" w:customStyle="1" w:styleId="article-headerdoi">
    <w:name w:val="article-header__doi"/>
    <w:basedOn w:val="DefaultParagraphFont"/>
    <w:rsid w:val="00832B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23388">
      <w:bodyDiv w:val="1"/>
      <w:marLeft w:val="0"/>
      <w:marRight w:val="0"/>
      <w:marTop w:val="0"/>
      <w:marBottom w:val="0"/>
      <w:divBdr>
        <w:top w:val="none" w:sz="0" w:space="0" w:color="auto"/>
        <w:left w:val="none" w:sz="0" w:space="0" w:color="auto"/>
        <w:bottom w:val="none" w:sz="0" w:space="0" w:color="auto"/>
        <w:right w:val="none" w:sz="0" w:space="0" w:color="auto"/>
      </w:divBdr>
      <w:divsChild>
        <w:div w:id="1107962514">
          <w:marLeft w:val="0"/>
          <w:marRight w:val="0"/>
          <w:marTop w:val="0"/>
          <w:marBottom w:val="0"/>
          <w:divBdr>
            <w:top w:val="none" w:sz="0" w:space="0" w:color="auto"/>
            <w:left w:val="none" w:sz="0" w:space="0" w:color="auto"/>
            <w:bottom w:val="none" w:sz="0" w:space="0" w:color="auto"/>
            <w:right w:val="none" w:sz="0" w:space="0" w:color="auto"/>
          </w:divBdr>
          <w:divsChild>
            <w:div w:id="1042051823">
              <w:marLeft w:val="0"/>
              <w:marRight w:val="0"/>
              <w:marTop w:val="0"/>
              <w:marBottom w:val="0"/>
              <w:divBdr>
                <w:top w:val="none" w:sz="0" w:space="0" w:color="auto"/>
                <w:left w:val="none" w:sz="0" w:space="0" w:color="auto"/>
                <w:bottom w:val="none" w:sz="0" w:space="0" w:color="auto"/>
                <w:right w:val="none" w:sz="0" w:space="0" w:color="auto"/>
              </w:divBdr>
            </w:div>
            <w:div w:id="1905602662">
              <w:marLeft w:val="0"/>
              <w:marRight w:val="0"/>
              <w:marTop w:val="0"/>
              <w:marBottom w:val="0"/>
              <w:divBdr>
                <w:top w:val="none" w:sz="0" w:space="0" w:color="auto"/>
                <w:left w:val="none" w:sz="0" w:space="0" w:color="auto"/>
                <w:bottom w:val="none" w:sz="0" w:space="0" w:color="auto"/>
                <w:right w:val="none" w:sz="0" w:space="0" w:color="auto"/>
              </w:divBdr>
            </w:div>
          </w:divsChild>
        </w:div>
        <w:div w:id="1110201703">
          <w:marLeft w:val="0"/>
          <w:marRight w:val="0"/>
          <w:marTop w:val="0"/>
          <w:marBottom w:val="0"/>
          <w:divBdr>
            <w:top w:val="none" w:sz="0" w:space="0" w:color="auto"/>
            <w:left w:val="none" w:sz="0" w:space="0" w:color="auto"/>
            <w:bottom w:val="none" w:sz="0" w:space="0" w:color="auto"/>
            <w:right w:val="none" w:sz="0" w:space="0" w:color="auto"/>
          </w:divBdr>
        </w:div>
      </w:divsChild>
    </w:div>
    <w:div w:id="96486549">
      <w:bodyDiv w:val="1"/>
      <w:marLeft w:val="0"/>
      <w:marRight w:val="0"/>
      <w:marTop w:val="0"/>
      <w:marBottom w:val="0"/>
      <w:divBdr>
        <w:top w:val="none" w:sz="0" w:space="0" w:color="auto"/>
        <w:left w:val="none" w:sz="0" w:space="0" w:color="auto"/>
        <w:bottom w:val="none" w:sz="0" w:space="0" w:color="auto"/>
        <w:right w:val="none" w:sz="0" w:space="0" w:color="auto"/>
      </w:divBdr>
      <w:divsChild>
        <w:div w:id="1134367167">
          <w:marLeft w:val="0"/>
          <w:marRight w:val="0"/>
          <w:marTop w:val="0"/>
          <w:marBottom w:val="0"/>
          <w:divBdr>
            <w:top w:val="none" w:sz="0" w:space="0" w:color="auto"/>
            <w:left w:val="none" w:sz="0" w:space="0" w:color="auto"/>
            <w:bottom w:val="none" w:sz="0" w:space="0" w:color="auto"/>
            <w:right w:val="none" w:sz="0" w:space="0" w:color="auto"/>
          </w:divBdr>
          <w:divsChild>
            <w:div w:id="2064282395">
              <w:marLeft w:val="0"/>
              <w:marRight w:val="0"/>
              <w:marTop w:val="0"/>
              <w:marBottom w:val="0"/>
              <w:divBdr>
                <w:top w:val="none" w:sz="0" w:space="0" w:color="auto"/>
                <w:left w:val="none" w:sz="0" w:space="0" w:color="auto"/>
                <w:bottom w:val="none" w:sz="0" w:space="0" w:color="auto"/>
                <w:right w:val="none" w:sz="0" w:space="0" w:color="auto"/>
              </w:divBdr>
            </w:div>
            <w:div w:id="13700068">
              <w:marLeft w:val="0"/>
              <w:marRight w:val="0"/>
              <w:marTop w:val="0"/>
              <w:marBottom w:val="0"/>
              <w:divBdr>
                <w:top w:val="none" w:sz="0" w:space="0" w:color="auto"/>
                <w:left w:val="none" w:sz="0" w:space="0" w:color="auto"/>
                <w:bottom w:val="none" w:sz="0" w:space="0" w:color="auto"/>
                <w:right w:val="none" w:sz="0" w:space="0" w:color="auto"/>
              </w:divBdr>
            </w:div>
          </w:divsChild>
        </w:div>
        <w:div w:id="1668286141">
          <w:marLeft w:val="0"/>
          <w:marRight w:val="0"/>
          <w:marTop w:val="0"/>
          <w:marBottom w:val="0"/>
          <w:divBdr>
            <w:top w:val="none" w:sz="0" w:space="0" w:color="auto"/>
            <w:left w:val="none" w:sz="0" w:space="0" w:color="auto"/>
            <w:bottom w:val="none" w:sz="0" w:space="0" w:color="auto"/>
            <w:right w:val="none" w:sz="0" w:space="0" w:color="auto"/>
          </w:divBdr>
        </w:div>
      </w:divsChild>
    </w:div>
    <w:div w:id="99766357">
      <w:bodyDiv w:val="1"/>
      <w:marLeft w:val="0"/>
      <w:marRight w:val="0"/>
      <w:marTop w:val="0"/>
      <w:marBottom w:val="0"/>
      <w:divBdr>
        <w:top w:val="none" w:sz="0" w:space="0" w:color="auto"/>
        <w:left w:val="none" w:sz="0" w:space="0" w:color="auto"/>
        <w:bottom w:val="none" w:sz="0" w:space="0" w:color="auto"/>
        <w:right w:val="none" w:sz="0" w:space="0" w:color="auto"/>
      </w:divBdr>
      <w:divsChild>
        <w:div w:id="1218391686">
          <w:marLeft w:val="0"/>
          <w:marRight w:val="0"/>
          <w:marTop w:val="0"/>
          <w:marBottom w:val="0"/>
          <w:divBdr>
            <w:top w:val="none" w:sz="0" w:space="0" w:color="auto"/>
            <w:left w:val="none" w:sz="0" w:space="0" w:color="auto"/>
            <w:bottom w:val="none" w:sz="0" w:space="0" w:color="auto"/>
            <w:right w:val="none" w:sz="0" w:space="0" w:color="auto"/>
          </w:divBdr>
          <w:divsChild>
            <w:div w:id="1687445401">
              <w:marLeft w:val="0"/>
              <w:marRight w:val="0"/>
              <w:marTop w:val="0"/>
              <w:marBottom w:val="0"/>
              <w:divBdr>
                <w:top w:val="none" w:sz="0" w:space="0" w:color="auto"/>
                <w:left w:val="none" w:sz="0" w:space="0" w:color="auto"/>
                <w:bottom w:val="none" w:sz="0" w:space="0" w:color="auto"/>
                <w:right w:val="none" w:sz="0" w:space="0" w:color="auto"/>
              </w:divBdr>
            </w:div>
            <w:div w:id="97794808">
              <w:marLeft w:val="0"/>
              <w:marRight w:val="0"/>
              <w:marTop w:val="0"/>
              <w:marBottom w:val="0"/>
              <w:divBdr>
                <w:top w:val="none" w:sz="0" w:space="0" w:color="auto"/>
                <w:left w:val="none" w:sz="0" w:space="0" w:color="auto"/>
                <w:bottom w:val="none" w:sz="0" w:space="0" w:color="auto"/>
                <w:right w:val="none" w:sz="0" w:space="0" w:color="auto"/>
              </w:divBdr>
            </w:div>
          </w:divsChild>
        </w:div>
        <w:div w:id="1817213807">
          <w:marLeft w:val="0"/>
          <w:marRight w:val="0"/>
          <w:marTop w:val="0"/>
          <w:marBottom w:val="0"/>
          <w:divBdr>
            <w:top w:val="none" w:sz="0" w:space="0" w:color="auto"/>
            <w:left w:val="none" w:sz="0" w:space="0" w:color="auto"/>
            <w:bottom w:val="none" w:sz="0" w:space="0" w:color="auto"/>
            <w:right w:val="none" w:sz="0" w:space="0" w:color="auto"/>
          </w:divBdr>
        </w:div>
      </w:divsChild>
    </w:div>
    <w:div w:id="239801094">
      <w:bodyDiv w:val="1"/>
      <w:marLeft w:val="0"/>
      <w:marRight w:val="0"/>
      <w:marTop w:val="0"/>
      <w:marBottom w:val="0"/>
      <w:divBdr>
        <w:top w:val="none" w:sz="0" w:space="0" w:color="auto"/>
        <w:left w:val="none" w:sz="0" w:space="0" w:color="auto"/>
        <w:bottom w:val="none" w:sz="0" w:space="0" w:color="auto"/>
        <w:right w:val="none" w:sz="0" w:space="0" w:color="auto"/>
      </w:divBdr>
      <w:divsChild>
        <w:div w:id="1613393776">
          <w:marLeft w:val="0"/>
          <w:marRight w:val="0"/>
          <w:marTop w:val="0"/>
          <w:marBottom w:val="0"/>
          <w:divBdr>
            <w:top w:val="none" w:sz="0" w:space="0" w:color="auto"/>
            <w:left w:val="none" w:sz="0" w:space="0" w:color="auto"/>
            <w:bottom w:val="none" w:sz="0" w:space="0" w:color="auto"/>
            <w:right w:val="none" w:sz="0" w:space="0" w:color="auto"/>
          </w:divBdr>
          <w:divsChild>
            <w:div w:id="1580410725">
              <w:marLeft w:val="0"/>
              <w:marRight w:val="0"/>
              <w:marTop w:val="0"/>
              <w:marBottom w:val="0"/>
              <w:divBdr>
                <w:top w:val="none" w:sz="0" w:space="0" w:color="auto"/>
                <w:left w:val="none" w:sz="0" w:space="0" w:color="auto"/>
                <w:bottom w:val="none" w:sz="0" w:space="0" w:color="auto"/>
                <w:right w:val="none" w:sz="0" w:space="0" w:color="auto"/>
              </w:divBdr>
            </w:div>
            <w:div w:id="1688555374">
              <w:marLeft w:val="0"/>
              <w:marRight w:val="0"/>
              <w:marTop w:val="0"/>
              <w:marBottom w:val="0"/>
              <w:divBdr>
                <w:top w:val="none" w:sz="0" w:space="0" w:color="auto"/>
                <w:left w:val="none" w:sz="0" w:space="0" w:color="auto"/>
                <w:bottom w:val="none" w:sz="0" w:space="0" w:color="auto"/>
                <w:right w:val="none" w:sz="0" w:space="0" w:color="auto"/>
              </w:divBdr>
            </w:div>
          </w:divsChild>
        </w:div>
        <w:div w:id="1251693250">
          <w:marLeft w:val="0"/>
          <w:marRight w:val="0"/>
          <w:marTop w:val="0"/>
          <w:marBottom w:val="0"/>
          <w:divBdr>
            <w:top w:val="none" w:sz="0" w:space="0" w:color="auto"/>
            <w:left w:val="none" w:sz="0" w:space="0" w:color="auto"/>
            <w:bottom w:val="none" w:sz="0" w:space="0" w:color="auto"/>
            <w:right w:val="none" w:sz="0" w:space="0" w:color="auto"/>
          </w:divBdr>
        </w:div>
      </w:divsChild>
    </w:div>
    <w:div w:id="261035288">
      <w:bodyDiv w:val="1"/>
      <w:marLeft w:val="0"/>
      <w:marRight w:val="0"/>
      <w:marTop w:val="0"/>
      <w:marBottom w:val="0"/>
      <w:divBdr>
        <w:top w:val="none" w:sz="0" w:space="0" w:color="auto"/>
        <w:left w:val="none" w:sz="0" w:space="0" w:color="auto"/>
        <w:bottom w:val="none" w:sz="0" w:space="0" w:color="auto"/>
        <w:right w:val="none" w:sz="0" w:space="0" w:color="auto"/>
      </w:divBdr>
    </w:div>
    <w:div w:id="441924946">
      <w:bodyDiv w:val="1"/>
      <w:marLeft w:val="0"/>
      <w:marRight w:val="0"/>
      <w:marTop w:val="0"/>
      <w:marBottom w:val="0"/>
      <w:divBdr>
        <w:top w:val="none" w:sz="0" w:space="0" w:color="auto"/>
        <w:left w:val="none" w:sz="0" w:space="0" w:color="auto"/>
        <w:bottom w:val="none" w:sz="0" w:space="0" w:color="auto"/>
        <w:right w:val="none" w:sz="0" w:space="0" w:color="auto"/>
      </w:divBdr>
      <w:divsChild>
        <w:div w:id="1503862075">
          <w:marLeft w:val="0"/>
          <w:marRight w:val="0"/>
          <w:marTop w:val="0"/>
          <w:marBottom w:val="0"/>
          <w:divBdr>
            <w:top w:val="none" w:sz="0" w:space="0" w:color="auto"/>
            <w:left w:val="none" w:sz="0" w:space="0" w:color="auto"/>
            <w:bottom w:val="none" w:sz="0" w:space="0" w:color="auto"/>
            <w:right w:val="none" w:sz="0" w:space="0" w:color="auto"/>
          </w:divBdr>
          <w:divsChild>
            <w:div w:id="80562805">
              <w:marLeft w:val="0"/>
              <w:marRight w:val="0"/>
              <w:marTop w:val="0"/>
              <w:marBottom w:val="0"/>
              <w:divBdr>
                <w:top w:val="none" w:sz="0" w:space="0" w:color="auto"/>
                <w:left w:val="none" w:sz="0" w:space="0" w:color="auto"/>
                <w:bottom w:val="none" w:sz="0" w:space="0" w:color="auto"/>
                <w:right w:val="none" w:sz="0" w:space="0" w:color="auto"/>
              </w:divBdr>
            </w:div>
            <w:div w:id="2105875864">
              <w:marLeft w:val="0"/>
              <w:marRight w:val="0"/>
              <w:marTop w:val="0"/>
              <w:marBottom w:val="0"/>
              <w:divBdr>
                <w:top w:val="none" w:sz="0" w:space="0" w:color="auto"/>
                <w:left w:val="none" w:sz="0" w:space="0" w:color="auto"/>
                <w:bottom w:val="none" w:sz="0" w:space="0" w:color="auto"/>
                <w:right w:val="none" w:sz="0" w:space="0" w:color="auto"/>
              </w:divBdr>
            </w:div>
          </w:divsChild>
        </w:div>
        <w:div w:id="1993096213">
          <w:marLeft w:val="0"/>
          <w:marRight w:val="0"/>
          <w:marTop w:val="0"/>
          <w:marBottom w:val="0"/>
          <w:divBdr>
            <w:top w:val="none" w:sz="0" w:space="0" w:color="auto"/>
            <w:left w:val="none" w:sz="0" w:space="0" w:color="auto"/>
            <w:bottom w:val="none" w:sz="0" w:space="0" w:color="auto"/>
            <w:right w:val="none" w:sz="0" w:space="0" w:color="auto"/>
          </w:divBdr>
        </w:div>
      </w:divsChild>
    </w:div>
    <w:div w:id="483425799">
      <w:bodyDiv w:val="1"/>
      <w:marLeft w:val="0"/>
      <w:marRight w:val="0"/>
      <w:marTop w:val="0"/>
      <w:marBottom w:val="0"/>
      <w:divBdr>
        <w:top w:val="none" w:sz="0" w:space="0" w:color="auto"/>
        <w:left w:val="none" w:sz="0" w:space="0" w:color="auto"/>
        <w:bottom w:val="none" w:sz="0" w:space="0" w:color="auto"/>
        <w:right w:val="none" w:sz="0" w:space="0" w:color="auto"/>
      </w:divBdr>
    </w:div>
    <w:div w:id="545029405">
      <w:bodyDiv w:val="1"/>
      <w:marLeft w:val="0"/>
      <w:marRight w:val="0"/>
      <w:marTop w:val="0"/>
      <w:marBottom w:val="0"/>
      <w:divBdr>
        <w:top w:val="none" w:sz="0" w:space="0" w:color="auto"/>
        <w:left w:val="none" w:sz="0" w:space="0" w:color="auto"/>
        <w:bottom w:val="none" w:sz="0" w:space="0" w:color="auto"/>
        <w:right w:val="none" w:sz="0" w:space="0" w:color="auto"/>
      </w:divBdr>
    </w:div>
    <w:div w:id="567955172">
      <w:bodyDiv w:val="1"/>
      <w:marLeft w:val="0"/>
      <w:marRight w:val="0"/>
      <w:marTop w:val="0"/>
      <w:marBottom w:val="0"/>
      <w:divBdr>
        <w:top w:val="none" w:sz="0" w:space="0" w:color="auto"/>
        <w:left w:val="none" w:sz="0" w:space="0" w:color="auto"/>
        <w:bottom w:val="none" w:sz="0" w:space="0" w:color="auto"/>
        <w:right w:val="none" w:sz="0" w:space="0" w:color="auto"/>
      </w:divBdr>
      <w:divsChild>
        <w:div w:id="446974779">
          <w:marLeft w:val="0"/>
          <w:marRight w:val="0"/>
          <w:marTop w:val="0"/>
          <w:marBottom w:val="0"/>
          <w:divBdr>
            <w:top w:val="none" w:sz="0" w:space="0" w:color="auto"/>
            <w:left w:val="none" w:sz="0" w:space="0" w:color="auto"/>
            <w:bottom w:val="none" w:sz="0" w:space="0" w:color="auto"/>
            <w:right w:val="none" w:sz="0" w:space="0" w:color="auto"/>
          </w:divBdr>
          <w:divsChild>
            <w:div w:id="793476912">
              <w:marLeft w:val="0"/>
              <w:marRight w:val="0"/>
              <w:marTop w:val="0"/>
              <w:marBottom w:val="0"/>
              <w:divBdr>
                <w:top w:val="none" w:sz="0" w:space="0" w:color="auto"/>
                <w:left w:val="none" w:sz="0" w:space="0" w:color="auto"/>
                <w:bottom w:val="none" w:sz="0" w:space="0" w:color="auto"/>
                <w:right w:val="none" w:sz="0" w:space="0" w:color="auto"/>
              </w:divBdr>
            </w:div>
            <w:div w:id="1950549994">
              <w:marLeft w:val="0"/>
              <w:marRight w:val="0"/>
              <w:marTop w:val="0"/>
              <w:marBottom w:val="0"/>
              <w:divBdr>
                <w:top w:val="none" w:sz="0" w:space="0" w:color="auto"/>
                <w:left w:val="none" w:sz="0" w:space="0" w:color="auto"/>
                <w:bottom w:val="none" w:sz="0" w:space="0" w:color="auto"/>
                <w:right w:val="none" w:sz="0" w:space="0" w:color="auto"/>
              </w:divBdr>
            </w:div>
          </w:divsChild>
        </w:div>
        <w:div w:id="1031031894">
          <w:marLeft w:val="0"/>
          <w:marRight w:val="0"/>
          <w:marTop w:val="0"/>
          <w:marBottom w:val="0"/>
          <w:divBdr>
            <w:top w:val="none" w:sz="0" w:space="0" w:color="auto"/>
            <w:left w:val="none" w:sz="0" w:space="0" w:color="auto"/>
            <w:bottom w:val="none" w:sz="0" w:space="0" w:color="auto"/>
            <w:right w:val="none" w:sz="0" w:space="0" w:color="auto"/>
          </w:divBdr>
        </w:div>
      </w:divsChild>
    </w:div>
    <w:div w:id="660737767">
      <w:bodyDiv w:val="1"/>
      <w:marLeft w:val="0"/>
      <w:marRight w:val="0"/>
      <w:marTop w:val="0"/>
      <w:marBottom w:val="0"/>
      <w:divBdr>
        <w:top w:val="none" w:sz="0" w:space="0" w:color="auto"/>
        <w:left w:val="none" w:sz="0" w:space="0" w:color="auto"/>
        <w:bottom w:val="none" w:sz="0" w:space="0" w:color="auto"/>
        <w:right w:val="none" w:sz="0" w:space="0" w:color="auto"/>
      </w:divBdr>
    </w:div>
    <w:div w:id="661618476">
      <w:bodyDiv w:val="1"/>
      <w:marLeft w:val="0"/>
      <w:marRight w:val="0"/>
      <w:marTop w:val="0"/>
      <w:marBottom w:val="0"/>
      <w:divBdr>
        <w:top w:val="none" w:sz="0" w:space="0" w:color="auto"/>
        <w:left w:val="none" w:sz="0" w:space="0" w:color="auto"/>
        <w:bottom w:val="none" w:sz="0" w:space="0" w:color="auto"/>
        <w:right w:val="none" w:sz="0" w:space="0" w:color="auto"/>
      </w:divBdr>
      <w:divsChild>
        <w:div w:id="398410134">
          <w:marLeft w:val="0"/>
          <w:marRight w:val="0"/>
          <w:marTop w:val="0"/>
          <w:marBottom w:val="0"/>
          <w:divBdr>
            <w:top w:val="none" w:sz="0" w:space="0" w:color="auto"/>
            <w:left w:val="none" w:sz="0" w:space="0" w:color="auto"/>
            <w:bottom w:val="none" w:sz="0" w:space="0" w:color="auto"/>
            <w:right w:val="none" w:sz="0" w:space="0" w:color="auto"/>
          </w:divBdr>
          <w:divsChild>
            <w:div w:id="1833644163">
              <w:marLeft w:val="0"/>
              <w:marRight w:val="0"/>
              <w:marTop w:val="0"/>
              <w:marBottom w:val="0"/>
              <w:divBdr>
                <w:top w:val="none" w:sz="0" w:space="0" w:color="auto"/>
                <w:left w:val="none" w:sz="0" w:space="0" w:color="auto"/>
                <w:bottom w:val="none" w:sz="0" w:space="0" w:color="auto"/>
                <w:right w:val="none" w:sz="0" w:space="0" w:color="auto"/>
              </w:divBdr>
            </w:div>
            <w:div w:id="401760457">
              <w:marLeft w:val="0"/>
              <w:marRight w:val="0"/>
              <w:marTop w:val="0"/>
              <w:marBottom w:val="0"/>
              <w:divBdr>
                <w:top w:val="none" w:sz="0" w:space="0" w:color="auto"/>
                <w:left w:val="none" w:sz="0" w:space="0" w:color="auto"/>
                <w:bottom w:val="none" w:sz="0" w:space="0" w:color="auto"/>
                <w:right w:val="none" w:sz="0" w:space="0" w:color="auto"/>
              </w:divBdr>
            </w:div>
          </w:divsChild>
        </w:div>
        <w:div w:id="908274839">
          <w:marLeft w:val="0"/>
          <w:marRight w:val="0"/>
          <w:marTop w:val="0"/>
          <w:marBottom w:val="0"/>
          <w:divBdr>
            <w:top w:val="none" w:sz="0" w:space="0" w:color="auto"/>
            <w:left w:val="none" w:sz="0" w:space="0" w:color="auto"/>
            <w:bottom w:val="none" w:sz="0" w:space="0" w:color="auto"/>
            <w:right w:val="none" w:sz="0" w:space="0" w:color="auto"/>
          </w:divBdr>
        </w:div>
      </w:divsChild>
    </w:div>
    <w:div w:id="666402238">
      <w:bodyDiv w:val="1"/>
      <w:marLeft w:val="0"/>
      <w:marRight w:val="0"/>
      <w:marTop w:val="0"/>
      <w:marBottom w:val="0"/>
      <w:divBdr>
        <w:top w:val="none" w:sz="0" w:space="0" w:color="auto"/>
        <w:left w:val="none" w:sz="0" w:space="0" w:color="auto"/>
        <w:bottom w:val="none" w:sz="0" w:space="0" w:color="auto"/>
        <w:right w:val="none" w:sz="0" w:space="0" w:color="auto"/>
      </w:divBdr>
    </w:div>
    <w:div w:id="739523806">
      <w:bodyDiv w:val="1"/>
      <w:marLeft w:val="0"/>
      <w:marRight w:val="0"/>
      <w:marTop w:val="0"/>
      <w:marBottom w:val="0"/>
      <w:divBdr>
        <w:top w:val="none" w:sz="0" w:space="0" w:color="auto"/>
        <w:left w:val="none" w:sz="0" w:space="0" w:color="auto"/>
        <w:bottom w:val="none" w:sz="0" w:space="0" w:color="auto"/>
        <w:right w:val="none" w:sz="0" w:space="0" w:color="auto"/>
      </w:divBdr>
      <w:divsChild>
        <w:div w:id="248925707">
          <w:marLeft w:val="0"/>
          <w:marRight w:val="0"/>
          <w:marTop w:val="0"/>
          <w:marBottom w:val="0"/>
          <w:divBdr>
            <w:top w:val="none" w:sz="0" w:space="0" w:color="auto"/>
            <w:left w:val="none" w:sz="0" w:space="0" w:color="auto"/>
            <w:bottom w:val="none" w:sz="0" w:space="0" w:color="auto"/>
            <w:right w:val="none" w:sz="0" w:space="0" w:color="auto"/>
          </w:divBdr>
          <w:divsChild>
            <w:div w:id="2628487">
              <w:marLeft w:val="0"/>
              <w:marRight w:val="0"/>
              <w:marTop w:val="0"/>
              <w:marBottom w:val="0"/>
              <w:divBdr>
                <w:top w:val="none" w:sz="0" w:space="0" w:color="auto"/>
                <w:left w:val="none" w:sz="0" w:space="0" w:color="auto"/>
                <w:bottom w:val="none" w:sz="0" w:space="0" w:color="auto"/>
                <w:right w:val="none" w:sz="0" w:space="0" w:color="auto"/>
              </w:divBdr>
            </w:div>
            <w:div w:id="562300295">
              <w:marLeft w:val="0"/>
              <w:marRight w:val="0"/>
              <w:marTop w:val="0"/>
              <w:marBottom w:val="0"/>
              <w:divBdr>
                <w:top w:val="none" w:sz="0" w:space="0" w:color="auto"/>
                <w:left w:val="none" w:sz="0" w:space="0" w:color="auto"/>
                <w:bottom w:val="none" w:sz="0" w:space="0" w:color="auto"/>
                <w:right w:val="none" w:sz="0" w:space="0" w:color="auto"/>
              </w:divBdr>
            </w:div>
          </w:divsChild>
        </w:div>
        <w:div w:id="169565965">
          <w:marLeft w:val="0"/>
          <w:marRight w:val="0"/>
          <w:marTop w:val="0"/>
          <w:marBottom w:val="0"/>
          <w:divBdr>
            <w:top w:val="none" w:sz="0" w:space="0" w:color="auto"/>
            <w:left w:val="none" w:sz="0" w:space="0" w:color="auto"/>
            <w:bottom w:val="none" w:sz="0" w:space="0" w:color="auto"/>
            <w:right w:val="none" w:sz="0" w:space="0" w:color="auto"/>
          </w:divBdr>
        </w:div>
      </w:divsChild>
    </w:div>
    <w:div w:id="906036222">
      <w:bodyDiv w:val="1"/>
      <w:marLeft w:val="0"/>
      <w:marRight w:val="0"/>
      <w:marTop w:val="0"/>
      <w:marBottom w:val="0"/>
      <w:divBdr>
        <w:top w:val="none" w:sz="0" w:space="0" w:color="auto"/>
        <w:left w:val="none" w:sz="0" w:space="0" w:color="auto"/>
        <w:bottom w:val="none" w:sz="0" w:space="0" w:color="auto"/>
        <w:right w:val="none" w:sz="0" w:space="0" w:color="auto"/>
      </w:divBdr>
      <w:divsChild>
        <w:div w:id="1270313761">
          <w:marLeft w:val="0"/>
          <w:marRight w:val="0"/>
          <w:marTop w:val="0"/>
          <w:marBottom w:val="0"/>
          <w:divBdr>
            <w:top w:val="none" w:sz="0" w:space="0" w:color="auto"/>
            <w:left w:val="none" w:sz="0" w:space="0" w:color="auto"/>
            <w:bottom w:val="none" w:sz="0" w:space="0" w:color="auto"/>
            <w:right w:val="none" w:sz="0" w:space="0" w:color="auto"/>
          </w:divBdr>
        </w:div>
        <w:div w:id="1432553043">
          <w:marLeft w:val="0"/>
          <w:marRight w:val="0"/>
          <w:marTop w:val="0"/>
          <w:marBottom w:val="0"/>
          <w:divBdr>
            <w:top w:val="none" w:sz="0" w:space="0" w:color="auto"/>
            <w:left w:val="none" w:sz="0" w:space="0" w:color="auto"/>
            <w:bottom w:val="none" w:sz="0" w:space="0" w:color="auto"/>
            <w:right w:val="none" w:sz="0" w:space="0" w:color="auto"/>
          </w:divBdr>
        </w:div>
      </w:divsChild>
    </w:div>
    <w:div w:id="1005941382">
      <w:bodyDiv w:val="1"/>
      <w:marLeft w:val="0"/>
      <w:marRight w:val="0"/>
      <w:marTop w:val="0"/>
      <w:marBottom w:val="0"/>
      <w:divBdr>
        <w:top w:val="none" w:sz="0" w:space="0" w:color="auto"/>
        <w:left w:val="none" w:sz="0" w:space="0" w:color="auto"/>
        <w:bottom w:val="none" w:sz="0" w:space="0" w:color="auto"/>
        <w:right w:val="none" w:sz="0" w:space="0" w:color="auto"/>
      </w:divBdr>
    </w:div>
    <w:div w:id="1035689344">
      <w:bodyDiv w:val="1"/>
      <w:marLeft w:val="0"/>
      <w:marRight w:val="0"/>
      <w:marTop w:val="0"/>
      <w:marBottom w:val="0"/>
      <w:divBdr>
        <w:top w:val="none" w:sz="0" w:space="0" w:color="auto"/>
        <w:left w:val="none" w:sz="0" w:space="0" w:color="auto"/>
        <w:bottom w:val="none" w:sz="0" w:space="0" w:color="auto"/>
        <w:right w:val="none" w:sz="0" w:space="0" w:color="auto"/>
      </w:divBdr>
    </w:div>
    <w:div w:id="1304852416">
      <w:bodyDiv w:val="1"/>
      <w:marLeft w:val="0"/>
      <w:marRight w:val="0"/>
      <w:marTop w:val="0"/>
      <w:marBottom w:val="0"/>
      <w:divBdr>
        <w:top w:val="none" w:sz="0" w:space="0" w:color="auto"/>
        <w:left w:val="none" w:sz="0" w:space="0" w:color="auto"/>
        <w:bottom w:val="none" w:sz="0" w:space="0" w:color="auto"/>
        <w:right w:val="none" w:sz="0" w:space="0" w:color="auto"/>
      </w:divBdr>
      <w:divsChild>
        <w:div w:id="1818296699">
          <w:marLeft w:val="0"/>
          <w:marRight w:val="0"/>
          <w:marTop w:val="0"/>
          <w:marBottom w:val="0"/>
          <w:divBdr>
            <w:top w:val="none" w:sz="0" w:space="0" w:color="auto"/>
            <w:left w:val="none" w:sz="0" w:space="0" w:color="auto"/>
            <w:bottom w:val="none" w:sz="0" w:space="0" w:color="auto"/>
            <w:right w:val="none" w:sz="0" w:space="0" w:color="auto"/>
          </w:divBdr>
          <w:divsChild>
            <w:div w:id="49055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32725">
      <w:bodyDiv w:val="1"/>
      <w:marLeft w:val="0"/>
      <w:marRight w:val="0"/>
      <w:marTop w:val="0"/>
      <w:marBottom w:val="0"/>
      <w:divBdr>
        <w:top w:val="none" w:sz="0" w:space="0" w:color="auto"/>
        <w:left w:val="none" w:sz="0" w:space="0" w:color="auto"/>
        <w:bottom w:val="none" w:sz="0" w:space="0" w:color="auto"/>
        <w:right w:val="none" w:sz="0" w:space="0" w:color="auto"/>
      </w:divBdr>
      <w:divsChild>
        <w:div w:id="31610631">
          <w:marLeft w:val="0"/>
          <w:marRight w:val="0"/>
          <w:marTop w:val="0"/>
          <w:marBottom w:val="0"/>
          <w:divBdr>
            <w:top w:val="none" w:sz="0" w:space="0" w:color="auto"/>
            <w:left w:val="none" w:sz="0" w:space="0" w:color="auto"/>
            <w:bottom w:val="none" w:sz="0" w:space="0" w:color="auto"/>
            <w:right w:val="none" w:sz="0" w:space="0" w:color="auto"/>
          </w:divBdr>
        </w:div>
        <w:div w:id="1058699141">
          <w:marLeft w:val="0"/>
          <w:marRight w:val="0"/>
          <w:marTop w:val="0"/>
          <w:marBottom w:val="0"/>
          <w:divBdr>
            <w:top w:val="none" w:sz="0" w:space="0" w:color="auto"/>
            <w:left w:val="none" w:sz="0" w:space="0" w:color="auto"/>
            <w:bottom w:val="none" w:sz="0" w:space="0" w:color="auto"/>
            <w:right w:val="none" w:sz="0" w:space="0" w:color="auto"/>
          </w:divBdr>
        </w:div>
      </w:divsChild>
    </w:div>
    <w:div w:id="1387339020">
      <w:bodyDiv w:val="1"/>
      <w:marLeft w:val="0"/>
      <w:marRight w:val="0"/>
      <w:marTop w:val="0"/>
      <w:marBottom w:val="0"/>
      <w:divBdr>
        <w:top w:val="none" w:sz="0" w:space="0" w:color="auto"/>
        <w:left w:val="none" w:sz="0" w:space="0" w:color="auto"/>
        <w:bottom w:val="none" w:sz="0" w:space="0" w:color="auto"/>
        <w:right w:val="none" w:sz="0" w:space="0" w:color="auto"/>
      </w:divBdr>
    </w:div>
    <w:div w:id="1456220914">
      <w:bodyDiv w:val="1"/>
      <w:marLeft w:val="0"/>
      <w:marRight w:val="0"/>
      <w:marTop w:val="0"/>
      <w:marBottom w:val="0"/>
      <w:divBdr>
        <w:top w:val="none" w:sz="0" w:space="0" w:color="auto"/>
        <w:left w:val="none" w:sz="0" w:space="0" w:color="auto"/>
        <w:bottom w:val="none" w:sz="0" w:space="0" w:color="auto"/>
        <w:right w:val="none" w:sz="0" w:space="0" w:color="auto"/>
      </w:divBdr>
    </w:div>
    <w:div w:id="1468890090">
      <w:bodyDiv w:val="1"/>
      <w:marLeft w:val="0"/>
      <w:marRight w:val="0"/>
      <w:marTop w:val="0"/>
      <w:marBottom w:val="0"/>
      <w:divBdr>
        <w:top w:val="none" w:sz="0" w:space="0" w:color="auto"/>
        <w:left w:val="none" w:sz="0" w:space="0" w:color="auto"/>
        <w:bottom w:val="none" w:sz="0" w:space="0" w:color="auto"/>
        <w:right w:val="none" w:sz="0" w:space="0" w:color="auto"/>
      </w:divBdr>
      <w:divsChild>
        <w:div w:id="1294408618">
          <w:marLeft w:val="0"/>
          <w:marRight w:val="0"/>
          <w:marTop w:val="0"/>
          <w:marBottom w:val="0"/>
          <w:divBdr>
            <w:top w:val="none" w:sz="0" w:space="0" w:color="auto"/>
            <w:left w:val="none" w:sz="0" w:space="0" w:color="auto"/>
            <w:bottom w:val="none" w:sz="0" w:space="0" w:color="auto"/>
            <w:right w:val="none" w:sz="0" w:space="0" w:color="auto"/>
          </w:divBdr>
          <w:divsChild>
            <w:div w:id="1488008253">
              <w:marLeft w:val="0"/>
              <w:marRight w:val="0"/>
              <w:marTop w:val="0"/>
              <w:marBottom w:val="0"/>
              <w:divBdr>
                <w:top w:val="none" w:sz="0" w:space="0" w:color="auto"/>
                <w:left w:val="none" w:sz="0" w:space="0" w:color="auto"/>
                <w:bottom w:val="none" w:sz="0" w:space="0" w:color="auto"/>
                <w:right w:val="none" w:sz="0" w:space="0" w:color="auto"/>
              </w:divBdr>
            </w:div>
            <w:div w:id="237788545">
              <w:marLeft w:val="0"/>
              <w:marRight w:val="0"/>
              <w:marTop w:val="0"/>
              <w:marBottom w:val="0"/>
              <w:divBdr>
                <w:top w:val="none" w:sz="0" w:space="0" w:color="auto"/>
                <w:left w:val="none" w:sz="0" w:space="0" w:color="auto"/>
                <w:bottom w:val="none" w:sz="0" w:space="0" w:color="auto"/>
                <w:right w:val="none" w:sz="0" w:space="0" w:color="auto"/>
              </w:divBdr>
            </w:div>
          </w:divsChild>
        </w:div>
        <w:div w:id="1334411128">
          <w:marLeft w:val="0"/>
          <w:marRight w:val="0"/>
          <w:marTop w:val="0"/>
          <w:marBottom w:val="0"/>
          <w:divBdr>
            <w:top w:val="none" w:sz="0" w:space="0" w:color="auto"/>
            <w:left w:val="none" w:sz="0" w:space="0" w:color="auto"/>
            <w:bottom w:val="none" w:sz="0" w:space="0" w:color="auto"/>
            <w:right w:val="none" w:sz="0" w:space="0" w:color="auto"/>
          </w:divBdr>
        </w:div>
      </w:divsChild>
    </w:div>
    <w:div w:id="1538657313">
      <w:bodyDiv w:val="1"/>
      <w:marLeft w:val="0"/>
      <w:marRight w:val="0"/>
      <w:marTop w:val="0"/>
      <w:marBottom w:val="0"/>
      <w:divBdr>
        <w:top w:val="none" w:sz="0" w:space="0" w:color="auto"/>
        <w:left w:val="none" w:sz="0" w:space="0" w:color="auto"/>
        <w:bottom w:val="none" w:sz="0" w:space="0" w:color="auto"/>
        <w:right w:val="none" w:sz="0" w:space="0" w:color="auto"/>
      </w:divBdr>
    </w:div>
    <w:div w:id="1579944501">
      <w:bodyDiv w:val="1"/>
      <w:marLeft w:val="0"/>
      <w:marRight w:val="0"/>
      <w:marTop w:val="0"/>
      <w:marBottom w:val="0"/>
      <w:divBdr>
        <w:top w:val="none" w:sz="0" w:space="0" w:color="auto"/>
        <w:left w:val="none" w:sz="0" w:space="0" w:color="auto"/>
        <w:bottom w:val="none" w:sz="0" w:space="0" w:color="auto"/>
        <w:right w:val="none" w:sz="0" w:space="0" w:color="auto"/>
      </w:divBdr>
      <w:divsChild>
        <w:div w:id="1233735028">
          <w:marLeft w:val="0"/>
          <w:marRight w:val="0"/>
          <w:marTop w:val="0"/>
          <w:marBottom w:val="0"/>
          <w:divBdr>
            <w:top w:val="none" w:sz="0" w:space="0" w:color="auto"/>
            <w:left w:val="none" w:sz="0" w:space="0" w:color="auto"/>
            <w:bottom w:val="none" w:sz="0" w:space="0" w:color="auto"/>
            <w:right w:val="none" w:sz="0" w:space="0" w:color="auto"/>
          </w:divBdr>
        </w:div>
        <w:div w:id="1827015106">
          <w:marLeft w:val="0"/>
          <w:marRight w:val="0"/>
          <w:marTop w:val="0"/>
          <w:marBottom w:val="0"/>
          <w:divBdr>
            <w:top w:val="none" w:sz="0" w:space="0" w:color="auto"/>
            <w:left w:val="none" w:sz="0" w:space="0" w:color="auto"/>
            <w:bottom w:val="none" w:sz="0" w:space="0" w:color="auto"/>
            <w:right w:val="none" w:sz="0" w:space="0" w:color="auto"/>
          </w:divBdr>
        </w:div>
      </w:divsChild>
    </w:div>
    <w:div w:id="1784498210">
      <w:bodyDiv w:val="1"/>
      <w:marLeft w:val="0"/>
      <w:marRight w:val="0"/>
      <w:marTop w:val="0"/>
      <w:marBottom w:val="0"/>
      <w:divBdr>
        <w:top w:val="none" w:sz="0" w:space="0" w:color="auto"/>
        <w:left w:val="none" w:sz="0" w:space="0" w:color="auto"/>
        <w:bottom w:val="none" w:sz="0" w:space="0" w:color="auto"/>
        <w:right w:val="none" w:sz="0" w:space="0" w:color="auto"/>
      </w:divBdr>
      <w:divsChild>
        <w:div w:id="941301782">
          <w:marLeft w:val="0"/>
          <w:marRight w:val="0"/>
          <w:marTop w:val="0"/>
          <w:marBottom w:val="0"/>
          <w:divBdr>
            <w:top w:val="none" w:sz="0" w:space="0" w:color="auto"/>
            <w:left w:val="none" w:sz="0" w:space="0" w:color="auto"/>
            <w:bottom w:val="none" w:sz="0" w:space="0" w:color="auto"/>
            <w:right w:val="none" w:sz="0" w:space="0" w:color="auto"/>
          </w:divBdr>
        </w:div>
        <w:div w:id="209727771">
          <w:marLeft w:val="0"/>
          <w:marRight w:val="0"/>
          <w:marTop w:val="0"/>
          <w:marBottom w:val="0"/>
          <w:divBdr>
            <w:top w:val="none" w:sz="0" w:space="0" w:color="auto"/>
            <w:left w:val="none" w:sz="0" w:space="0" w:color="auto"/>
            <w:bottom w:val="none" w:sz="0" w:space="0" w:color="auto"/>
            <w:right w:val="none" w:sz="0" w:space="0" w:color="auto"/>
          </w:divBdr>
        </w:div>
      </w:divsChild>
    </w:div>
    <w:div w:id="1872566588">
      <w:bodyDiv w:val="1"/>
      <w:marLeft w:val="0"/>
      <w:marRight w:val="0"/>
      <w:marTop w:val="0"/>
      <w:marBottom w:val="0"/>
      <w:divBdr>
        <w:top w:val="none" w:sz="0" w:space="0" w:color="auto"/>
        <w:left w:val="none" w:sz="0" w:space="0" w:color="auto"/>
        <w:bottom w:val="none" w:sz="0" w:space="0" w:color="auto"/>
        <w:right w:val="none" w:sz="0" w:space="0" w:color="auto"/>
      </w:divBdr>
      <w:divsChild>
        <w:div w:id="1864517927">
          <w:marLeft w:val="0"/>
          <w:marRight w:val="0"/>
          <w:marTop w:val="0"/>
          <w:marBottom w:val="0"/>
          <w:divBdr>
            <w:top w:val="none" w:sz="0" w:space="0" w:color="auto"/>
            <w:left w:val="none" w:sz="0" w:space="0" w:color="auto"/>
            <w:bottom w:val="none" w:sz="0" w:space="0" w:color="auto"/>
            <w:right w:val="none" w:sz="0" w:space="0" w:color="auto"/>
          </w:divBdr>
          <w:divsChild>
            <w:div w:id="4064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25248">
      <w:bodyDiv w:val="1"/>
      <w:marLeft w:val="0"/>
      <w:marRight w:val="0"/>
      <w:marTop w:val="0"/>
      <w:marBottom w:val="0"/>
      <w:divBdr>
        <w:top w:val="none" w:sz="0" w:space="0" w:color="auto"/>
        <w:left w:val="none" w:sz="0" w:space="0" w:color="auto"/>
        <w:bottom w:val="none" w:sz="0" w:space="0" w:color="auto"/>
        <w:right w:val="none" w:sz="0" w:space="0" w:color="auto"/>
      </w:divBdr>
      <w:divsChild>
        <w:div w:id="1602058245">
          <w:marLeft w:val="0"/>
          <w:marRight w:val="0"/>
          <w:marTop w:val="0"/>
          <w:marBottom w:val="0"/>
          <w:divBdr>
            <w:top w:val="none" w:sz="0" w:space="0" w:color="auto"/>
            <w:left w:val="none" w:sz="0" w:space="0" w:color="auto"/>
            <w:bottom w:val="none" w:sz="0" w:space="0" w:color="auto"/>
            <w:right w:val="none" w:sz="0" w:space="0" w:color="auto"/>
          </w:divBdr>
          <w:divsChild>
            <w:div w:id="1381127066">
              <w:marLeft w:val="0"/>
              <w:marRight w:val="0"/>
              <w:marTop w:val="0"/>
              <w:marBottom w:val="0"/>
              <w:divBdr>
                <w:top w:val="none" w:sz="0" w:space="0" w:color="auto"/>
                <w:left w:val="none" w:sz="0" w:space="0" w:color="auto"/>
                <w:bottom w:val="none" w:sz="0" w:space="0" w:color="auto"/>
                <w:right w:val="none" w:sz="0" w:space="0" w:color="auto"/>
              </w:divBdr>
            </w:div>
            <w:div w:id="1684550832">
              <w:marLeft w:val="0"/>
              <w:marRight w:val="0"/>
              <w:marTop w:val="0"/>
              <w:marBottom w:val="0"/>
              <w:divBdr>
                <w:top w:val="none" w:sz="0" w:space="0" w:color="auto"/>
                <w:left w:val="none" w:sz="0" w:space="0" w:color="auto"/>
                <w:bottom w:val="none" w:sz="0" w:space="0" w:color="auto"/>
                <w:right w:val="none" w:sz="0" w:space="0" w:color="auto"/>
              </w:divBdr>
            </w:div>
          </w:divsChild>
        </w:div>
        <w:div w:id="301277369">
          <w:marLeft w:val="0"/>
          <w:marRight w:val="0"/>
          <w:marTop w:val="0"/>
          <w:marBottom w:val="0"/>
          <w:divBdr>
            <w:top w:val="none" w:sz="0" w:space="0" w:color="auto"/>
            <w:left w:val="none" w:sz="0" w:space="0" w:color="auto"/>
            <w:bottom w:val="none" w:sz="0" w:space="0" w:color="auto"/>
            <w:right w:val="none" w:sz="0" w:space="0" w:color="auto"/>
          </w:divBdr>
        </w:div>
      </w:divsChild>
    </w:div>
    <w:div w:id="210371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dx.doi.org/10.1002/(SICI)1097-4571(2000)51:2%3c145::AID-ASI6%3e3.0.CO;2-9" TargetMode="External"/><Relationship Id="rId26" Type="http://schemas.openxmlformats.org/officeDocument/2006/relationships/hyperlink" Target="https://doi.org/10.1016/S0048-7333(96)00917-1" TargetMode="External"/><Relationship Id="rId39" Type="http://schemas.openxmlformats.org/officeDocument/2006/relationships/hyperlink" Target="http://doi.org/10.1016/j.joi.2015.08.001" TargetMode="External"/><Relationship Id="rId21" Type="http://schemas.openxmlformats.org/officeDocument/2006/relationships/hyperlink" Target="http://doi.org/10.1162/qss_a_00141" TargetMode="External"/><Relationship Id="rId34" Type="http://schemas.openxmlformats.org/officeDocument/2006/relationships/hyperlink" Target="https://doi.org/10.3389/frma.2018.00030"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doi.org/10.1007/s11192-017-2490-z" TargetMode="External"/><Relationship Id="rId20" Type="http://schemas.openxmlformats.org/officeDocument/2006/relationships/hyperlink" Target="https://doi.org/10.1007/BF02019306" TargetMode="External"/><Relationship Id="rId29" Type="http://schemas.openxmlformats.org/officeDocument/2006/relationships/hyperlink" Target="https://doi.org/10.1016/S0140-6736(14)61682-2"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doi.org/10.1093/spp/23.1.39" TargetMode="External"/><Relationship Id="rId32" Type="http://schemas.openxmlformats.org/officeDocument/2006/relationships/hyperlink" Target="http://doi.org/10.1007/s11192-022-04303-y" TargetMode="External"/><Relationship Id="rId37" Type="http://schemas.openxmlformats.org/officeDocument/2006/relationships/hyperlink" Target="https://doi.org/10.1016/S0140-6736(15)60692-4"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doi.org/10.1016/j.joi.2011.08.002" TargetMode="External"/><Relationship Id="rId23" Type="http://schemas.openxmlformats.org/officeDocument/2006/relationships/hyperlink" Target="https://doi.org/10.1002/asi.21625" TargetMode="External"/><Relationship Id="rId28" Type="http://schemas.openxmlformats.org/officeDocument/2006/relationships/hyperlink" Target="https://doi.org/10.1016/S0140-6736(12)61728-0" TargetMode="External"/><Relationship Id="rId36" Type="http://schemas.openxmlformats.org/officeDocument/2006/relationships/hyperlink" Target="https://doi.org/10.1002/(SICI)1097-4571(199710)48:10%3c944::AID-ASI8%3e3.0.CO;2-1" TargetMode="External"/><Relationship Id="rId10" Type="http://schemas.openxmlformats.org/officeDocument/2006/relationships/image" Target="media/image1.png"/><Relationship Id="rId19" Type="http://schemas.openxmlformats.org/officeDocument/2006/relationships/hyperlink" Target="http://doi.org/10.1126/science.122.3159.108" TargetMode="External"/><Relationship Id="rId31" Type="http://schemas.openxmlformats.org/officeDocument/2006/relationships/hyperlink" Target="https://doi.org/10.1016/j.joi.2020.101075"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doi.org/10.1007/s11192-005-0239-6" TargetMode="External"/><Relationship Id="rId27" Type="http://schemas.openxmlformats.org/officeDocument/2006/relationships/hyperlink" Target="https://www.webofscience.com/wos/woscc/full-record/WOS:000312387000012" TargetMode="External"/><Relationship Id="rId30" Type="http://schemas.openxmlformats.org/officeDocument/2006/relationships/hyperlink" Target="http://www.doi.org/10.1007/BF02093973" TargetMode="External"/><Relationship Id="rId35" Type="http://schemas.openxmlformats.org/officeDocument/2006/relationships/hyperlink" Target="https://doi.org/10.3389/frma.2020.628703"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psycnet.apa.org/doi/10.1287/mnsc.2014.2052" TargetMode="External"/><Relationship Id="rId25" Type="http://schemas.openxmlformats.org/officeDocument/2006/relationships/hyperlink" Target="https://doi.org/10.1371/journal.pone.0231735" TargetMode="External"/><Relationship Id="rId33" Type="http://schemas.openxmlformats.org/officeDocument/2006/relationships/hyperlink" Target="http://doi.org/10.1007/s11192-019-03139-3" TargetMode="External"/><Relationship Id="rId38" Type="http://schemas.openxmlformats.org/officeDocument/2006/relationships/hyperlink" Target="https://doi.org/10.1016/j.joi.2013.08.00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STI%202012\Paper%20Template%20STI%202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5C28A0C284E14CAB0F35F7407C529C" ma:contentTypeVersion="4" ma:contentTypeDescription="Create a new document." ma:contentTypeScope="" ma:versionID="3d644cc98ccfc1fe201f09343c2d9f3b">
  <xsd:schema xmlns:xsd="http://www.w3.org/2001/XMLSchema" xmlns:xs="http://www.w3.org/2001/XMLSchema" xmlns:p="http://schemas.microsoft.com/office/2006/metadata/properties" xmlns:ns2="13d39c59-4ee0-43e8-aaee-69a2639e1392" xmlns:ns3="3d2b0075-3574-4d93-af78-f174e69b1c14" targetNamespace="http://schemas.microsoft.com/office/2006/metadata/properties" ma:root="true" ma:fieldsID="a056a2c2337713622c687c4a44406344" ns2:_="" ns3:_="">
    <xsd:import namespace="13d39c59-4ee0-43e8-aaee-69a2639e1392"/>
    <xsd:import namespace="3d2b0075-3574-4d93-af78-f174e69b1c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39c59-4ee0-43e8-aaee-69a2639e13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2b0075-3574-4d93-af78-f174e69b1c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2617D-7A0A-4E71-A216-0E565E8B0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39c59-4ee0-43e8-aaee-69a2639e1392"/>
    <ds:schemaRef ds:uri="3d2b0075-3574-4d93-af78-f174e69b1c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9606B7-9066-4666-AE2C-7807002114F5}">
  <ds:schemaRefs>
    <ds:schemaRef ds:uri="http://schemas.microsoft.com/sharepoint/v3/contenttype/forms"/>
  </ds:schemaRefs>
</ds:datastoreItem>
</file>

<file path=customXml/itemProps3.xml><?xml version="1.0" encoding="utf-8"?>
<ds:datastoreItem xmlns:ds="http://schemas.openxmlformats.org/officeDocument/2006/customXml" ds:itemID="{D6BC5E0E-9A8C-4525-87FA-BC55F6485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D:\STI 2012\Paper Template STI 2012.dot</Template>
  <TotalTime>603</TotalTime>
  <Pages>9</Pages>
  <Words>3237</Words>
  <Characters>21890</Characters>
  <Application>Microsoft Office Word</Application>
  <DocSecurity>0</DocSecurity>
  <Lines>182</Lines>
  <Paragraphs>50</Paragraphs>
  <ScaleCrop>false</ScaleCrop>
  <HeadingPairs>
    <vt:vector size="2" baseType="variant">
      <vt:variant>
        <vt:lpstr>Title</vt:lpstr>
      </vt:variant>
      <vt:variant>
        <vt:i4>1</vt:i4>
      </vt:variant>
    </vt:vector>
  </HeadingPairs>
  <TitlesOfParts>
    <vt:vector size="1" baseType="lpstr">
      <vt:lpstr>STI 2023 paper template</vt:lpstr>
    </vt:vector>
  </TitlesOfParts>
  <Company/>
  <LinksUpToDate>false</LinksUpToDate>
  <CharactersWithSpaces>25077</CharactersWithSpaces>
  <SharedDoc>false</SharedDoc>
  <HLinks>
    <vt:vector size="12" baseType="variant">
      <vt:variant>
        <vt:i4>7012473</vt:i4>
      </vt:variant>
      <vt:variant>
        <vt:i4>6</vt:i4>
      </vt:variant>
      <vt:variant>
        <vt:i4>0</vt:i4>
      </vt:variant>
      <vt:variant>
        <vt:i4>5</vt:i4>
      </vt:variant>
      <vt:variant>
        <vt:lpwstr>http://www.csdl.tamu.edu/DL94/paper/kling.html</vt:lpwstr>
      </vt:variant>
      <vt:variant>
        <vt:lpwstr/>
      </vt:variant>
      <vt:variant>
        <vt:i4>4194375</vt:i4>
      </vt:variant>
      <vt:variant>
        <vt:i4>0</vt:i4>
      </vt:variant>
      <vt:variant>
        <vt:i4>0</vt:i4>
      </vt:variant>
      <vt:variant>
        <vt:i4>5</vt:i4>
      </vt:variant>
      <vt:variant>
        <vt:lpwstr>http://www.apastyle.org/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 2023 paper template</dc:title>
  <dc:subject/>
  <dc:creator>Waltman, L.R. (Ludo)</dc:creator>
  <cp:keywords/>
  <cp:lastModifiedBy>Ross Potter</cp:lastModifiedBy>
  <cp:revision>679</cp:revision>
  <cp:lastPrinted>2005-03-14T08:40:00Z</cp:lastPrinted>
  <dcterms:created xsi:type="dcterms:W3CDTF">2022-12-15T12:25:00Z</dcterms:created>
  <dcterms:modified xsi:type="dcterms:W3CDTF">2023-04-17T16:37:00Z</dcterms:modified>
</cp:coreProperties>
</file>