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4CCC5C" w14:textId="34090510" w:rsidR="00AD6D2D" w:rsidRPr="00542798" w:rsidRDefault="00DF1308" w:rsidP="00542798">
      <w:pPr>
        <w:pStyle w:val="berschrift1"/>
        <w:jc w:val="center"/>
      </w:pPr>
      <w:r w:rsidRPr="00DF1308">
        <w:t xml:space="preserve">Dynamics of the disciplinary structure of research </w:t>
      </w:r>
      <w:r w:rsidR="008D5E61">
        <w:br/>
      </w:r>
      <w:r w:rsidRPr="00DF1308">
        <w:t>in post-Soviet countries</w:t>
      </w:r>
    </w:p>
    <w:p w14:paraId="1448DA63" w14:textId="77777777" w:rsidR="00AD6D2D" w:rsidRPr="00AD6D2D" w:rsidRDefault="00AD6D2D" w:rsidP="00542798">
      <w:pPr>
        <w:jc w:val="center"/>
      </w:pPr>
    </w:p>
    <w:p w14:paraId="49EED032" w14:textId="69CCE96B" w:rsidR="00AD6D2D" w:rsidRPr="00AD6D2D" w:rsidRDefault="008E00AA" w:rsidP="00542798">
      <w:pPr>
        <w:jc w:val="center"/>
      </w:pPr>
      <w:r>
        <w:t>Andrey Lovakov</w:t>
      </w:r>
      <w:r w:rsidR="00AD6D2D" w:rsidRPr="00AD6D2D">
        <w:rPr>
          <w:vertAlign w:val="superscript"/>
        </w:rPr>
        <w:t>*</w:t>
      </w:r>
    </w:p>
    <w:p w14:paraId="69B5EBE6" w14:textId="77777777" w:rsidR="00AD6D2D" w:rsidRPr="00AD6D2D" w:rsidRDefault="00AD6D2D" w:rsidP="00542798">
      <w:pPr>
        <w:jc w:val="center"/>
        <w:rPr>
          <w:sz w:val="20"/>
          <w:szCs w:val="20"/>
        </w:rPr>
      </w:pPr>
    </w:p>
    <w:p w14:paraId="0327B950" w14:textId="04A35300" w:rsidR="00AD6D2D" w:rsidRPr="00AD6D2D" w:rsidRDefault="00AD6D2D" w:rsidP="00542798">
      <w:pPr>
        <w:jc w:val="center"/>
        <w:rPr>
          <w:sz w:val="20"/>
          <w:szCs w:val="20"/>
        </w:rPr>
      </w:pPr>
      <w:r w:rsidRPr="00AD6D2D">
        <w:rPr>
          <w:sz w:val="20"/>
          <w:szCs w:val="20"/>
          <w:vertAlign w:val="superscript"/>
        </w:rPr>
        <w:t>*</w:t>
      </w:r>
      <w:r w:rsidR="008E00AA">
        <w:rPr>
          <w:i/>
          <w:iCs/>
          <w:sz w:val="20"/>
          <w:szCs w:val="20"/>
        </w:rPr>
        <w:t>lovakov</w:t>
      </w:r>
      <w:r w:rsidRPr="00AD6D2D">
        <w:rPr>
          <w:i/>
          <w:iCs/>
          <w:sz w:val="20"/>
          <w:szCs w:val="20"/>
        </w:rPr>
        <w:t>@</w:t>
      </w:r>
      <w:r w:rsidR="008E00AA">
        <w:rPr>
          <w:i/>
          <w:iCs/>
          <w:sz w:val="20"/>
          <w:szCs w:val="20"/>
        </w:rPr>
        <w:t>dzhw</w:t>
      </w:r>
      <w:r w:rsidRPr="00AD6D2D">
        <w:rPr>
          <w:i/>
          <w:iCs/>
          <w:sz w:val="20"/>
          <w:szCs w:val="20"/>
        </w:rPr>
        <w:t>.</w:t>
      </w:r>
      <w:r w:rsidR="008E00AA">
        <w:rPr>
          <w:i/>
          <w:iCs/>
          <w:sz w:val="20"/>
          <w:szCs w:val="20"/>
        </w:rPr>
        <w:t>eu</w:t>
      </w:r>
    </w:p>
    <w:p w14:paraId="25FCF4FA" w14:textId="560B9290" w:rsidR="00AD6D2D" w:rsidRPr="00AD6D2D" w:rsidRDefault="008E00AA" w:rsidP="00542798">
      <w:pPr>
        <w:jc w:val="center"/>
        <w:rPr>
          <w:sz w:val="20"/>
          <w:szCs w:val="20"/>
        </w:rPr>
      </w:pPr>
      <w:r w:rsidRPr="008E00AA">
        <w:rPr>
          <w:sz w:val="20"/>
          <w:szCs w:val="20"/>
        </w:rPr>
        <w:t>0000-0001-8644-9236</w:t>
      </w:r>
    </w:p>
    <w:p w14:paraId="744ED62A" w14:textId="5791D1AD" w:rsidR="00AD6D2D" w:rsidRPr="00AD6D2D" w:rsidRDefault="008E00AA" w:rsidP="00542798">
      <w:pPr>
        <w:jc w:val="center"/>
        <w:rPr>
          <w:sz w:val="20"/>
          <w:szCs w:val="20"/>
        </w:rPr>
      </w:pPr>
      <w:r w:rsidRPr="008E00AA">
        <w:rPr>
          <w:sz w:val="20"/>
          <w:szCs w:val="20"/>
        </w:rPr>
        <w:t>German Centre for Higher Education Research and Science Studies (DZHW)</w:t>
      </w:r>
      <w:r w:rsidR="00AD6D2D" w:rsidRPr="00AD6D2D">
        <w:rPr>
          <w:sz w:val="20"/>
          <w:szCs w:val="20"/>
        </w:rPr>
        <w:t xml:space="preserve">, </w:t>
      </w:r>
      <w:r>
        <w:rPr>
          <w:sz w:val="20"/>
          <w:szCs w:val="20"/>
        </w:rPr>
        <w:t>Germany</w:t>
      </w:r>
    </w:p>
    <w:p w14:paraId="18EAD8F9" w14:textId="77777777" w:rsidR="008168F4" w:rsidRPr="00D96243" w:rsidRDefault="008168F4" w:rsidP="00542798">
      <w:pPr>
        <w:jc w:val="center"/>
      </w:pPr>
    </w:p>
    <w:p w14:paraId="04927CB0" w14:textId="3FF61CA2" w:rsidR="008168F4" w:rsidRDefault="008168F4" w:rsidP="00542798">
      <w:pPr>
        <w:jc w:val="center"/>
      </w:pPr>
    </w:p>
    <w:p w14:paraId="5FB558FA" w14:textId="644071D1" w:rsidR="00CB15AC" w:rsidRPr="00CB15AC" w:rsidRDefault="001114CD" w:rsidP="00CB15AC">
      <w:pPr>
        <w:jc w:val="both"/>
        <w:rPr>
          <w:sz w:val="20"/>
          <w:szCs w:val="20"/>
        </w:rPr>
      </w:pPr>
      <w:r w:rsidRPr="001114CD">
        <w:rPr>
          <w:sz w:val="20"/>
          <w:szCs w:val="20"/>
        </w:rPr>
        <w:t>There was a bias in the thematic structure of research towards individual scientific fields in the USSR.</w:t>
      </w:r>
      <w:r>
        <w:rPr>
          <w:sz w:val="20"/>
          <w:szCs w:val="20"/>
        </w:rPr>
        <w:t xml:space="preserve"> </w:t>
      </w:r>
      <w:r w:rsidRPr="001114CD">
        <w:rPr>
          <w:sz w:val="20"/>
          <w:szCs w:val="20"/>
        </w:rPr>
        <w:t>The dynamics of the disciplinary structure of scientific research in the post-Soviet countries over the course of 30 years is analysed. The analysis shows that there are significant differences between the post-Soviet countries in the degree of specialisation/diversification of the disciplinary structure of scientific research. Countries that have fundamentally reformed their academic systems (Lithuania, Estonia, Latvia, and Kazakhstan) have the most diversified disciplinary profile. In the other countries, the structure of scientific research remains specialised, and in most of them it has decreased over time. All countries surveyed specialise in physics, but the share of publications in social sciences and humanities is also increasing.</w:t>
      </w:r>
    </w:p>
    <w:p w14:paraId="26F746EB" w14:textId="77777777" w:rsidR="00CB15AC" w:rsidRPr="00D96243" w:rsidRDefault="00CB15AC" w:rsidP="00CB15AC">
      <w:pPr>
        <w:jc w:val="both"/>
      </w:pPr>
    </w:p>
    <w:p w14:paraId="02C61035" w14:textId="77777777" w:rsidR="008168F4" w:rsidRPr="00D96243" w:rsidRDefault="000C25AF">
      <w:pPr>
        <w:pStyle w:val="berschrift2"/>
        <w:jc w:val="both"/>
      </w:pPr>
      <w:r w:rsidRPr="00D96243">
        <w:t xml:space="preserve">1. </w:t>
      </w:r>
      <w:r w:rsidR="008168F4" w:rsidRPr="00D96243">
        <w:t>Introduction</w:t>
      </w:r>
    </w:p>
    <w:p w14:paraId="03687170" w14:textId="5851B468" w:rsidR="008168F4" w:rsidRDefault="00D44C68" w:rsidP="00DF1308">
      <w:pPr>
        <w:jc w:val="both"/>
        <w:rPr>
          <w:iCs/>
        </w:rPr>
      </w:pPr>
      <w:r w:rsidRPr="00D44C68">
        <w:rPr>
          <w:iCs/>
        </w:rPr>
        <w:t>One of the characteristics of science in the last decades of the USSR was the shift of its thematic structure towards individual scientific fields. This was caused both by the need to serve the ideology of maintaining the political system of the country, and by the need to strengthen and develop the military-industrial complex (MIC). Research for the needs of the MIC occupied a huge place in the system of academic science</w:t>
      </w:r>
      <w:r>
        <w:rPr>
          <w:iCs/>
        </w:rPr>
        <w:t xml:space="preserve"> </w:t>
      </w:r>
      <w:r w:rsidR="00BD3BEA">
        <w:rPr>
          <w:iCs/>
        </w:rPr>
        <w:fldChar w:fldCharType="begin"/>
      </w:r>
      <w:r w:rsidR="00BD3BEA">
        <w:rPr>
          <w:iCs/>
        </w:rPr>
        <w:instrText xml:space="preserve"> ADDIN ZOTERO_ITEM CSL_CITATION {"citationID":"Lu3FLJ7R","properties":{"formattedCitation":"(Nesvetailov, 1995; Piskunov &amp; Saltykov, 1992)","plainCitation":"(Nesvetailov, 1995; Piskunov &amp; Saltykov, 1992)","noteIndex":0},"citationItems":[{"id":2669,"uris":["http://zotero.org/users/4935595/items/VIPAKK3W"],"itemData":{"id":2669,"type":"article-journal","abstract":"The republics of the former USSR need a new science and technology (S&amp;T) policy. The main question concerns the relevance of innovation studies and practical recommendations in developed countries to S&amp;T policy in the new independent states. The participation of the republics of the USSR in scientific research has been of a dual nature. Sharing the independent S&amp;T policy of the superpower, they were the periphery dependent on the center (in Moscow). Now, the S&amp;T sphere of the former republics should be dependentnot on the political center of the Soviet Union, but on the world science center. The inversion urges an adequate change in the objectives, resources, and mechanism of the transformation of post-Soviet science. Moreover, new S&amp;T policy must be based on the specific socioeconomic situation, including the traditions of the social organization of science.","container-title":"Knowledge and Policy","DOI":"10.1007/BF02825968","ISSN":"1874-6314","issue":"2","journalAbbreviation":"Know Techn Pol","language":"en","page":"53-67","source":"Springer Link","title":"Center-periphery relations and transformation of post-soviet science","volume":"8","author":[{"family":"Nesvetailov","given":"Gennady"}],"issued":{"date-parts":[["1995",6,1]]}}},{"id":2670,"uris":["http://zotero.org/users/4935595/items/U9957GH7"],"itemData":{"id":2670,"type":"article-journal","abstract":"Science in the Soviet Union is experiencing major upheavals in the same way as the economy. There are alarming gaps in domestic R&amp;amp;D which could he solved by purchasing complete modem enterprises and technologies. A rational conversion of the military sector would be an efficient way of preserving its science potential; this would also solve the problem of employment for the scientists and engineers working in this sector. Of the greatest urgency is the dissemination of modern economic and social knowledge so that a new economic culture can be created.","container-title":"Science and Public Policy","DOI":"10.1093/spp/19.2.111","ISSN":"0302-3427","issue":"2","journalAbbreviation":"Science and Public Policy","page":"111-118","source":"Silverchair","title":"Transforming the basic structures and operating mechanisms of Soviet science","volume":"19","author":[{"family":"Piskunov","given":"Dimitry I"},{"family":"Saltykov","given":"Boris"}],"issued":{"date-parts":[["1992",4,1]]}}}],"schema":"https://github.com/citation-style-language/schema/raw/master/csl-citation.json"} </w:instrText>
      </w:r>
      <w:r w:rsidR="00BD3BEA">
        <w:rPr>
          <w:iCs/>
        </w:rPr>
        <w:fldChar w:fldCharType="separate"/>
      </w:r>
      <w:r w:rsidR="00BD3BEA" w:rsidRPr="00BD3BEA">
        <w:t>(Nesvetailov, 1995; Piskunov &amp; Saltykov, 1992)</w:t>
      </w:r>
      <w:r w:rsidR="00BD3BEA">
        <w:rPr>
          <w:iCs/>
        </w:rPr>
        <w:fldChar w:fldCharType="end"/>
      </w:r>
      <w:r>
        <w:rPr>
          <w:iCs/>
        </w:rPr>
        <w:t xml:space="preserve"> </w:t>
      </w:r>
      <w:r w:rsidRPr="00D44C68">
        <w:rPr>
          <w:iCs/>
        </w:rPr>
        <w:t>and accounted for about 75% of all resources</w:t>
      </w:r>
      <w:r w:rsidR="00BD3BEA">
        <w:rPr>
          <w:iCs/>
        </w:rPr>
        <w:t xml:space="preserve"> </w:t>
      </w:r>
      <w:r w:rsidR="00BD3BEA">
        <w:rPr>
          <w:iCs/>
        </w:rPr>
        <w:fldChar w:fldCharType="begin"/>
      </w:r>
      <w:r w:rsidR="00BD3BEA">
        <w:rPr>
          <w:iCs/>
        </w:rPr>
        <w:instrText xml:space="preserve"> ADDIN ZOTERO_ITEM CSL_CITATION {"citationID":"OIzbCWD5","properties":{"formattedCitation":"(Graham, 1992; Graham &amp; Dezhina, 2008; Piskunov &amp; Saltykov, 1992)","plainCitation":"(Graham, 1992; Graham &amp; Dezhina, 2008; Piskunov &amp; Saltykov, 1992)","noteIndex":0},"citationItems":[{"id":2673,"uris":["http://zotero.org/users/4935595/items/QVLFJIYR"],"itemData":{"id":2673,"type":"article-journal","container-title":"Osiris","DOI":"10.1086/368705","ISSN":"0369-7827","issue":"1","note":"publisher: The University of Chicago Press","page":"49-71","source":"journals.uchicago.edu (Atypon)","title":"Big Science in the Last Years of the Big Soviet Union","volume":"7","author":[{"family":"Graham","given":"Loren R."}],"issued":{"date-parts":[["1992",1]]}}},{"id":2671,"uris":["http://zotero.org/users/4935595/items/X3UL7ZN7"],"itemData":{"id":2671,"type":"book","abstract":"The Russian science establishment was one of the largest in the world, boasting many Nobel prizes, a world-leading space program, and famous schools in mathematics, physics, and other fields. However, when the Soviet Union collapsed in 1991, the major financial supports for the scientific community were eliminated, with resulting \"brain drain.\" The subsequent expansion of capitalism and globalization revealed that Russian science was ill adapted to compete with other countries in high technology. Science in the New Russia tells the dramatic story of the near collapse of Russian science in the mid-1990s and of subsequent domestic and international efforts to reform and reenergize scientific activity in Russia.","ISBN":"978-0-253-21988-6","language":"en","note":"Google-Books-ID: wwyVVnn9980C","number-of-pages":"218","publisher":"Indiana University Press","source":"Google Books","title":"Science in the New Russia: Crisis, Aid, Reform","title-short":"Science in the New Russia","author":[{"family":"Graham","given":"Loren R."},{"family":"Dezhina","given":"Irina"}],"issued":{"date-parts":[["2008",5,28]]}}},{"id":2670,"uris":["http://zotero.org/users/4935595/items/U9957GH7"],"itemData":{"id":2670,"type":"article-journal","abstract":"Science in the Soviet Union is experiencing major upheavals in the same way as the economy. There are alarming gaps in domestic R&amp;amp;D which could he solved by purchasing complete modem enterprises and technologies. A rational conversion of the military sector would be an efficient way of preserving its science potential; this would also solve the problem of employment for the scientists and engineers working in this sector. Of the greatest urgency is the dissemination of modern economic and social knowledge so that a new economic culture can be created.","container-title":"Science and Public Policy","DOI":"10.1093/spp/19.2.111","ISSN":"0302-3427","issue":"2","journalAbbreviation":"Science and Public Policy","page":"111-118","source":"Silverchair","title":"Transforming the basic structures and operating mechanisms of Soviet science","volume":"19","author":[{"family":"Piskunov","given":"Dimitry I"},{"family":"Saltykov","given":"Boris"}],"issued":{"date-parts":[["1992",4,1]]}}}],"schema":"https://github.com/citation-style-language/schema/raw/master/csl-citation.json"} </w:instrText>
      </w:r>
      <w:r w:rsidR="00BD3BEA">
        <w:rPr>
          <w:iCs/>
        </w:rPr>
        <w:fldChar w:fldCharType="separate"/>
      </w:r>
      <w:r w:rsidR="00BD3BEA" w:rsidRPr="00BD3BEA">
        <w:t>(Graham, 1992; Graham &amp; Dezhina, 2008; Piskunov &amp; Saltykov, 1992)</w:t>
      </w:r>
      <w:r w:rsidR="00BD3BEA">
        <w:rPr>
          <w:iCs/>
        </w:rPr>
        <w:fldChar w:fldCharType="end"/>
      </w:r>
      <w:r w:rsidR="00DF1308" w:rsidRPr="00DF1308">
        <w:rPr>
          <w:iCs/>
        </w:rPr>
        <w:t xml:space="preserve">. </w:t>
      </w:r>
      <w:r w:rsidRPr="00D44C68">
        <w:rPr>
          <w:iCs/>
        </w:rPr>
        <w:t>The most developed and internationally competitive were physics, mathematics, and chemistry, which were both useful to the MIC and the least influenced by ideology. At the same time, the social sciences and humanities were in a more difficult position. These scientific fields were not recognised as a priority for the state and the economy, so they received significantly fewer resources and were under strong ideological pressure from the state. As a result, the social sciences and humanities fields were less competitive. After the collapse of the USSR, the countries that were part of it went through complex processes of political, economic and social transformation. Their academic systems were also underwent a period of great change, as a result of which they were affe</w:t>
      </w:r>
      <w:r>
        <w:rPr>
          <w:iCs/>
        </w:rPr>
        <w:t>cted by multidirectional forces</w:t>
      </w:r>
      <w:r w:rsidR="00DF1308" w:rsidRPr="00DF1308">
        <w:rPr>
          <w:iCs/>
        </w:rPr>
        <w:t>.</w:t>
      </w:r>
      <w:r w:rsidR="001848C6">
        <w:rPr>
          <w:iCs/>
        </w:rPr>
        <w:t xml:space="preserve"> </w:t>
      </w:r>
    </w:p>
    <w:p w14:paraId="2423293B" w14:textId="77777777" w:rsidR="001848C6" w:rsidRDefault="001848C6" w:rsidP="00DF1308">
      <w:pPr>
        <w:jc w:val="both"/>
        <w:rPr>
          <w:iCs/>
        </w:rPr>
      </w:pPr>
    </w:p>
    <w:p w14:paraId="0AF6BD4E" w14:textId="5EFB67C9" w:rsidR="001848C6" w:rsidRDefault="00AD1863" w:rsidP="00DF1308">
      <w:pPr>
        <w:jc w:val="both"/>
        <w:rPr>
          <w:iCs/>
        </w:rPr>
      </w:pPr>
      <w:r w:rsidRPr="00AD1863">
        <w:rPr>
          <w:iCs/>
        </w:rPr>
        <w:t>On the one hand, the residual influence of the Soviet system of science management persisted, which still manifests itself as a path-dependency</w:t>
      </w:r>
      <w:r>
        <w:rPr>
          <w:iCs/>
        </w:rPr>
        <w:t xml:space="preserve"> </w:t>
      </w:r>
      <w:r w:rsidR="000B24FD">
        <w:rPr>
          <w:iCs/>
        </w:rPr>
        <w:fldChar w:fldCharType="begin"/>
      </w:r>
      <w:r w:rsidR="000B24FD">
        <w:rPr>
          <w:iCs/>
        </w:rPr>
        <w:instrText xml:space="preserve"> ADDIN ZOTERO_ITEM CSL_CITATION {"citationID":"PYiwDNlX","properties":{"formattedCitation":"(Karaulova et al., 2016; Klochikhin, 2012; Radosevic &amp; Yoruk, 2014)","plainCitation":"(Karaulova et al., 2016; Klochikhin, 2012; Radosevic &amp; Yoruk, 2014)","noteIndex":0},"citationItems":[{"id":1946,"uris":["http://zotero.org/users/4935595/items/S48H68XX"],"itemData":{"id":1946,"type":"article-journal","abstract":"In this paper, we study the inﬂuence of path dependencies on the development of an emerging technology in a transitional economy. Our focus is the development of nanotechnology in Russia in the period between 1990 and 2012. By examining outputs, publication paths and collaboration patterns, we identify a series of factors that help to explain Russia’s limited success in leveraging its ambitious national nanotechnology initiative. The analysis highlights four path-dependent tendencies of Russian nanotechnology research: publication pathways and the gatekeeping role of the Russian Academy of Sciences; increasing geographical and institutional centralisation of nanotechnology research; limited institutional diffusion; and patterns associated with the internationalisation of Russian research. We discuss policy implications related to path dependence, nanotechnology research in Russia and to the broader reform of the Russian science system.","container-title":"Scientometrics","DOI":"10.1007/s11192-016-1916-3","ISSN":"0138-9130, 1588-2861","issue":"2","journalAbbreviation":"Scientometrics","language":"en","page":"645-670","source":"DOI.org (Crossref)","title":"Science system path-dependencies and their influences: nanotechnology research in Russia","title-short":"Science system path-dependencies and their influences","volume":"107","author":[{"family":"Karaulova","given":"Maria"},{"family":"Gök","given":"Abdullah"},{"family":"Shackleton","given":"Oliver"},{"family":"Shapira","given":"Philip"}],"issued":{"date-parts":[["2016",5]]}}},{"id":2674,"uris":["http://zotero.org/users/4935595/items/6823DJKA"],"itemData":{"id":2674,"type":"article-journal","abstract":"For the last twenty years Russia has been struggling to turn itself into an efficient market economy. Innovation and technological development are considered to be one of the best ways to achieve impressive results. The country has succeeded in retaining certain strengths of the Soviet science and technology system but it has often failed to address the former weaknesses and emerging challenges. There are a number of external and internal factors that make reforms inevitable and urgent. In the last five–six years the political leadership has started an unprecedented attempt to reverse the negative trends and boost Russia's innovation performance. This paper studies the new policy approaches and suggests several others that might be considered useful at this stage of the country's development. This work contributes to the wider debate on the heterogeneity of national innovation systems and adaptation of the respective analytical approach to the study of technological development of the emerging economies. It also provides a detailed review of the literature and data sources on the Russian science and technology, and aims to start filling in the gap in this seriously understudied research area.","container-title":"Research Policy","DOI":"10.1016/j.respol.2012.03.023","ISSN":"0048-7333","issue":"9","journalAbbreviation":"Research Policy","language":"en","page":"1620-1630","source":"ScienceDirect","title":"Russia's innovation policy: Stubborn path-dependencies and new approaches","title-short":"Russia's innovation policy","volume":"41","author":[{"family":"Klochikhin","given":"Evgeny A."}],"issued":{"date-parts":[["2012",11,1]]}}},{"id":2443,"uris":["http://zotero.org/users/4935595/items/WH4YRF6F"],"itemData":{"id":2443,"type":"article-journal","abstract":"This paper explores the changing role of world regions (North America, EU15, South EU, Central and Eastern Europe (CEE), Former-USSR, Latin America, Asia Paciﬁc and the Middle East) in science from 1981 to 2011. We use bibliometric data extracted from Thomson Reuter’s National Science Indicators (2011) for 21 broad disciplines, and aggregated the data into the four major science areas: life, fundamental, applied and social sciences. Comparing three sub-periods (1981–1989, 1990–2000 and 2001–2011), we investigate (i) over time changes in descriptive indicators such as publications, citations, and relative impact; (ii) static specialization measured by revealed comparative advantage (RCA) in citations and papers; and (iii) dynamic specialization measured by absolute growth in papers. Descriptive results show a global shift in science largely in quantity (papers) and much less in impact (citations). We argue this should be interpreted as a shift in science’s absorptive capacity but not necessarily a shift of knowledge generation at the world science frontier, which reﬂects the nature of science systems operating with high inertia and path dependency in areas of their historically inherited advantages and disadvantages. In view of their common historical legacy in science we are particularly interested in the process of convergence/divergence of the catching-up/transition regions with the world frontier regions. We implement an interpretative framework to compare regions in terms of their static and dynamic specialization from 1981–1989 to 2001–2011. Again, our analysis shows that while science systems are mostly characterised by strong inertia and historically inherited (dis)advantages, Asia Paciﬁc, Latin America and CEE show strong catching-up characteristics but largely in the absorptive capacity of science.","container-title":"Scientometrics","DOI":"10.1007/s11192-014-1344-1","ISSN":"0138-9130, 1588-2861","issue":"3","journalAbbreviation":"Scientometrics","language":"en","page":"1897-1924","source":"DOI.org (Crossref)","title":"Are there global shifts in the world science base? Analysing the catching up and falling behind of world regions","title-short":"Are there global shifts in the world science base?","volume":"101","author":[{"family":"Radosevic","given":"Slavo"},{"family":"Yoruk","given":"Esin"}],"issued":{"date-parts":[["2014",12]]}}}],"schema":"https://github.com/citation-style-language/schema/raw/master/csl-citation.json"} </w:instrText>
      </w:r>
      <w:r w:rsidR="000B24FD">
        <w:rPr>
          <w:iCs/>
        </w:rPr>
        <w:fldChar w:fldCharType="separate"/>
      </w:r>
      <w:r w:rsidR="000B24FD" w:rsidRPr="000B24FD">
        <w:t>(Karaulova et al., 2016; Klochikhin, 2012; Radosevic &amp; Yoruk, 2014)</w:t>
      </w:r>
      <w:r w:rsidR="000B24FD">
        <w:rPr>
          <w:iCs/>
        </w:rPr>
        <w:fldChar w:fldCharType="end"/>
      </w:r>
      <w:r w:rsidR="001848C6" w:rsidRPr="001848C6">
        <w:rPr>
          <w:iCs/>
        </w:rPr>
        <w:t xml:space="preserve">. </w:t>
      </w:r>
      <w:r w:rsidRPr="00AD1863">
        <w:rPr>
          <w:iCs/>
        </w:rPr>
        <w:t>The essence of this effect is that, despite new conditions, old processes and practices are reproduced through inertia. The disciplinary structure of research can also be reproduced through inertia. In particular, in many post-Soviet countries, the Academy of Sciences is still the main or one of the main producers of scientific knowledge</w:t>
      </w:r>
      <w:r w:rsidR="00B14767">
        <w:rPr>
          <w:iCs/>
        </w:rPr>
        <w:t xml:space="preserve"> </w:t>
      </w:r>
      <w:r w:rsidR="00B14767">
        <w:rPr>
          <w:iCs/>
        </w:rPr>
        <w:fldChar w:fldCharType="begin"/>
      </w:r>
      <w:r w:rsidR="00B14767">
        <w:rPr>
          <w:iCs/>
        </w:rPr>
        <w:instrText xml:space="preserve"> ADDIN ZOTERO_ITEM CSL_CITATION {"citationID":"iQc51p5m","properties":{"formattedCitation":"(Lovakov et al., 2022)","plainCitation":"(Lovakov et al., 2022)","noteIndex":0},"citationItems":[{"id":327,"uris":["http://zotero.org/users/4935595/items/M5SBAEXD"],"itemData":{"id":327,"type":"article-journal","abstract":"Universities and non-university research institutes have been recognised as two key sectors producing research globally. The Soviet model of research organisation included a large network of research institutes, affiliated with the USSR Academy of Sciences and republican academies, as well as industry research institutes, affiliated with sectoral ministries. Universities played a minor role in research. Post-Soviet higher education and research systems went through reforms in the last three decades which led to changes in the patterns of knowledge production. This study offers an overview of the reforms and a bibliometric analysis of 319410 publications in journals indexed in the Web of Science database to examine how selected post-Soviet countries have overcome the Soviet legacy of organisational separation of higher education and research. While universities now produce the bulk of research output in selected countries, in the majority of national contexts, Academies of Sciences continue to be important players in research.","container-title":"Scientometrics","DOI":"10.1007/s11192-022-04527-y","ISSN":"1588-2861","issue":"11","journalAbbreviation":"Scientometrics","language":"en","license":"All rights reserved","page":"6293-6313","source":"Springer Link","title":"Universities vs. research institutes? Overcoming the Soviet legacy of higher education and research","title-short":"Universities vs. research institutes?","volume":"127","author":[{"family":"Lovakov","given":"Andrey"},{"family":"Chankseliani","given":"Maia"},{"family":"Panova","given":"Anna"}],"issued":{"date-parts":[["2022",11,1]]}}}],"schema":"https://github.com/citation-style-language/schema/raw/master/csl-citation.json"} </w:instrText>
      </w:r>
      <w:r w:rsidR="00B14767">
        <w:rPr>
          <w:iCs/>
        </w:rPr>
        <w:fldChar w:fldCharType="separate"/>
      </w:r>
      <w:r w:rsidR="00B14767" w:rsidRPr="00B14767">
        <w:t>(Lovakov et al., 2022)</w:t>
      </w:r>
      <w:r w:rsidR="00B14767">
        <w:rPr>
          <w:iCs/>
        </w:rPr>
        <w:fldChar w:fldCharType="end"/>
      </w:r>
      <w:r w:rsidR="001848C6" w:rsidRPr="001848C6">
        <w:rPr>
          <w:iCs/>
        </w:rPr>
        <w:t xml:space="preserve">, </w:t>
      </w:r>
      <w:r w:rsidRPr="00AD1863">
        <w:rPr>
          <w:iCs/>
        </w:rPr>
        <w:t>largely reproducing the same structure of research institutes that existed at the time of the collapse of the USSR. In some countries, not only the structure, but also the style of science management still exists, which significantly complicates research work, especially in the social sciences</w:t>
      </w:r>
      <w:r w:rsidR="00B14767">
        <w:rPr>
          <w:iCs/>
        </w:rPr>
        <w:t xml:space="preserve"> </w:t>
      </w:r>
      <w:r w:rsidR="00B14767">
        <w:rPr>
          <w:iCs/>
        </w:rPr>
        <w:fldChar w:fldCharType="begin"/>
      </w:r>
      <w:r w:rsidR="00B14767">
        <w:rPr>
          <w:iCs/>
        </w:rPr>
        <w:instrText xml:space="preserve"> ADDIN ZOTERO_ITEM CSL_CITATION {"citationID":"epDJoY4y","properties":{"formattedCitation":"(Jonbekova, 2020)","plainCitation":"(Jonbekova, 2020)","noteIndex":0},"citationItems":[{"id":783,"uris":["http://zotero.org/users/4935595/items/H8PYIR4P"],"itemData":{"id":783,"type":"article-journal","abstract":"This paper examines the experiences of educational researchers undertaking ﬁeldwork within three Central Asian countries –Kazakhstan, Kyrgyzstan and Tajikistan. Drawing on interviews with educational researchers from within and outside the region, the ﬁndings show that researchers encounter numerous ethical and methodological challenges in the process of gaining access to sites and participants, in data collection and in dissemination of ﬁndings. Many of them stem from a persistence of Soviet style controls, an underdeveloped research culture and use of standard research ethics guidelines. However, I argue that not all challenges can be blamed on the context of these countries, but in some cases neglect in proper planning and implementation of research is another reason for some challenges faced by researchers. The paper shows that some of the dilemmas and challenges faced by researchers are not unique to Central Asia, but ones that are also encountered in other countries.","container-title":"Compare: A Journal of Comparative and International Education","DOI":"10.1080/03057925.2018.1511371","ISSN":"0305-7925, 1469-3623","issue":"3","journalAbbreviation":"Compare: A Journal of Comparative and International Education","language":"en","page":"352-370","source":"DOI.org (Crossref)","title":"Educational research in Central Asia: methodological and ethical dilemmas in Kazakhstan, Kyrgyzstan and Tajikistan","title-short":"Educational research in Central Asia","volume":"50","author":[{"family":"Jonbekova","given":"Dilrabo"}],"issued":{"date-parts":[["2020",4,2]]}}}],"schema":"https://github.com/citation-style-language/schema/raw/master/csl-citation.json"} </w:instrText>
      </w:r>
      <w:r w:rsidR="00B14767">
        <w:rPr>
          <w:iCs/>
        </w:rPr>
        <w:fldChar w:fldCharType="separate"/>
      </w:r>
      <w:r w:rsidR="00B14767" w:rsidRPr="00B14767">
        <w:t>(Jonbekova, 2020)</w:t>
      </w:r>
      <w:r w:rsidR="00B14767">
        <w:rPr>
          <w:iCs/>
        </w:rPr>
        <w:fldChar w:fldCharType="end"/>
      </w:r>
      <w:r w:rsidR="001848C6" w:rsidRPr="001848C6">
        <w:rPr>
          <w:iCs/>
        </w:rPr>
        <w:t>.</w:t>
      </w:r>
    </w:p>
    <w:p w14:paraId="48A4EFE3" w14:textId="77777777" w:rsidR="005907BB" w:rsidRDefault="005907BB" w:rsidP="00DF1308">
      <w:pPr>
        <w:jc w:val="both"/>
        <w:rPr>
          <w:iCs/>
        </w:rPr>
      </w:pPr>
    </w:p>
    <w:p w14:paraId="7A93B80B" w14:textId="0FD85FF3" w:rsidR="005907BB" w:rsidRDefault="00AD1863" w:rsidP="00967DBA">
      <w:pPr>
        <w:jc w:val="both"/>
        <w:rPr>
          <w:iCs/>
        </w:rPr>
      </w:pPr>
      <w:r w:rsidRPr="00AD1863">
        <w:rPr>
          <w:iCs/>
        </w:rPr>
        <w:t xml:space="preserve">On the other hand, many post-Soviet countries have significantly transformed their academic systems. Universities have become an important producer of scientific knowledge in the post-Soviet space. Estonia, Latvia, Lithuania, Georgia and Kazakhstan have carried out the most radical reforms, abolishing their academies of sciences in the form in which they existed during </w:t>
      </w:r>
      <w:r w:rsidRPr="00AD1863">
        <w:rPr>
          <w:iCs/>
        </w:rPr>
        <w:lastRenderedPageBreak/>
        <w:t>the Soviet period. In these countries, the Academy of Sciences has become a club of scientists, and its subordinate research institutes have been integrated into universities or have become independent. In other countries, the Academy of Sciences still has a status more or less similar to that of the Soviet period, but in most of them universities are actively involved in scientific research</w:t>
      </w:r>
      <w:r>
        <w:rPr>
          <w:iCs/>
        </w:rPr>
        <w:t xml:space="preserve"> </w:t>
      </w:r>
      <w:r w:rsidR="00B14767">
        <w:rPr>
          <w:iCs/>
        </w:rPr>
        <w:fldChar w:fldCharType="begin"/>
      </w:r>
      <w:r w:rsidR="00B14767">
        <w:rPr>
          <w:iCs/>
        </w:rPr>
        <w:instrText xml:space="preserve"> ADDIN ZOTERO_ITEM CSL_CITATION {"citationID":"uamgUzLy","properties":{"formattedCitation":"(Lovakov et al., 2022)","plainCitation":"(Lovakov et al., 2022)","noteIndex":0},"citationItems":[{"id":327,"uris":["http://zotero.org/users/4935595/items/M5SBAEXD"],"itemData":{"id":327,"type":"article-journal","abstract":"Universities and non-university research institutes have been recognised as two key sectors producing research globally. The Soviet model of research organisation included a large network of research institutes, affiliated with the USSR Academy of Sciences and republican academies, as well as industry research institutes, affiliated with sectoral ministries. Universities played a minor role in research. Post-Soviet higher education and research systems went through reforms in the last three decades which led to changes in the patterns of knowledge production. This study offers an overview of the reforms and a bibliometric analysis of 319410 publications in journals indexed in the Web of Science database to examine how selected post-Soviet countries have overcome the Soviet legacy of organisational separation of higher education and research. While universities now produce the bulk of research output in selected countries, in the majority of national contexts, Academies of Sciences continue to be important players in research.","container-title":"Scientometrics","DOI":"10.1007/s11192-022-04527-y","ISSN":"1588-2861","issue":"11","journalAbbreviation":"Scientometrics","language":"en","license":"All rights reserved","page":"6293-6313","source":"Springer Link","title":"Universities vs. research institutes? Overcoming the Soviet legacy of higher education and research","title-short":"Universities vs. research institutes?","volume":"127","author":[{"family":"Lovakov","given":"Andrey"},{"family":"Chankseliani","given":"Maia"},{"family":"Panova","given":"Anna"}],"issued":{"date-parts":[["2022",11,1]]}}}],"schema":"https://github.com/citation-style-language/schema/raw/master/csl-citation.json"} </w:instrText>
      </w:r>
      <w:r w:rsidR="00B14767">
        <w:rPr>
          <w:iCs/>
        </w:rPr>
        <w:fldChar w:fldCharType="separate"/>
      </w:r>
      <w:r w:rsidR="00B14767" w:rsidRPr="00B14767">
        <w:t>(Lovakov et al., 2022)</w:t>
      </w:r>
      <w:r w:rsidR="00B14767">
        <w:rPr>
          <w:iCs/>
        </w:rPr>
        <w:fldChar w:fldCharType="end"/>
      </w:r>
      <w:r w:rsidR="005907BB" w:rsidRPr="005907BB">
        <w:rPr>
          <w:iCs/>
        </w:rPr>
        <w:t>.</w:t>
      </w:r>
      <w:r w:rsidR="005907BB">
        <w:rPr>
          <w:iCs/>
        </w:rPr>
        <w:t xml:space="preserve"> </w:t>
      </w:r>
      <w:r w:rsidRPr="00AD1863">
        <w:rPr>
          <w:iCs/>
        </w:rPr>
        <w:t>Three groups of countries can be distinguished. (1) Countries with a dominant university sector, where the vast majority of publications are affiliated with universities, while the research sector makes a small contribution (Estonia, Georgia, Kazakhstan, Latvia, and Lithuania). (2) Countries with a dominant research sector, where research institutes produce a much larger share of output than universities (Armenia, Azerbaijan, and Tajikistan). (3) Countries with roughly equal sectors, where the university and research sectors produce roughly similar shares of research output (Belarus, Moldova, Russia, Ukraine, and Uzbekistan). In some countries, special government measures have been implemented to develop scientific research in universities. The development of scientific research in the university sector can contribute to a more balanced development of science in terms of disciplinary structure, as universities represent a wide range of scientific disciplines and fields in the form of faculties and departments. The accession of Estonia, Latvia, and Lithuania to the European Union has opened up new opportunities for training, collaboration and research f</w:t>
      </w:r>
      <w:r>
        <w:rPr>
          <w:iCs/>
        </w:rPr>
        <w:t>unding in all scientific fields</w:t>
      </w:r>
      <w:r w:rsidR="00A205F0" w:rsidRPr="00A205F0">
        <w:rPr>
          <w:iCs/>
        </w:rPr>
        <w:t>.</w:t>
      </w:r>
    </w:p>
    <w:p w14:paraId="04112B94" w14:textId="77777777" w:rsidR="0099568F" w:rsidRDefault="0099568F" w:rsidP="00967DBA">
      <w:pPr>
        <w:jc w:val="both"/>
        <w:rPr>
          <w:iCs/>
        </w:rPr>
      </w:pPr>
    </w:p>
    <w:p w14:paraId="58D4814C" w14:textId="70DEFFA6" w:rsidR="00E03487" w:rsidRDefault="00AD1863">
      <w:pPr>
        <w:jc w:val="both"/>
        <w:rPr>
          <w:iCs/>
        </w:rPr>
      </w:pPr>
      <w:r w:rsidRPr="00AD1863">
        <w:rPr>
          <w:iCs/>
        </w:rPr>
        <w:t>Thus, for almost thirty years, science in the post-Soviet countries has been under the influence of various forces that have affected its disciplinary and thematic structure in different ways. This study aims to find out how the disciplinary structure of scientific research in the post-Soviet countries has been transformed and also to what extent each of these countries has been able to overcome the disciplinary specialisation of science that it inherited after the collapse of the USSR.</w:t>
      </w:r>
    </w:p>
    <w:p w14:paraId="360288AE" w14:textId="77777777" w:rsidR="00AD1863" w:rsidRDefault="00AD1863">
      <w:pPr>
        <w:jc w:val="both"/>
      </w:pPr>
    </w:p>
    <w:p w14:paraId="7974EF73" w14:textId="2AAB9165" w:rsidR="008168F4" w:rsidRDefault="000C25AF">
      <w:pPr>
        <w:pStyle w:val="berschrift2"/>
        <w:jc w:val="both"/>
      </w:pPr>
      <w:r>
        <w:t xml:space="preserve">2. </w:t>
      </w:r>
      <w:r w:rsidR="00B17306">
        <w:t>Data and Method</w:t>
      </w:r>
    </w:p>
    <w:p w14:paraId="5FD1FD90" w14:textId="5DDC9B0F" w:rsidR="00E116A6" w:rsidRDefault="00504263" w:rsidP="00E116A6">
      <w:pPr>
        <w:jc w:val="both"/>
        <w:rPr>
          <w:iCs/>
        </w:rPr>
      </w:pPr>
      <w:r w:rsidRPr="00504263">
        <w:rPr>
          <w:iCs/>
        </w:rPr>
        <w:t>For the analysis, the InCites database was chosen, which is an analytical tool of the Web of Science (WoS) database. The three indexes used in the study (SCIE, SSCI, and AHCI) reflect the most authoritative journals in the world, making it possible to analyze the strongest part of the country's scientific research. The advantage of the InCites data is the ability to use the Citation Topics classifier to separate publications by scientific field. This is a three-level system for classifying publications, grouping them into clusters based on citations. This classification has several advantages: 1) each article is classified, not the journal; 2) each publication relates to only one scientific field; 3) the classification is based on of the cited literature, and not on the opinion of an expert or editorial board. The classification has three levels: 10 fields at the macro-level, 326 fields at the meso-level, and 2457 fields at the micro-level. The macro- and meso-level fields were used in this study</w:t>
      </w:r>
      <w:r w:rsidR="00E116A6" w:rsidRPr="00E116A6">
        <w:rPr>
          <w:iCs/>
        </w:rPr>
        <w:t>.</w:t>
      </w:r>
    </w:p>
    <w:p w14:paraId="48DF79E5" w14:textId="77777777" w:rsidR="00E116A6" w:rsidRDefault="00E116A6" w:rsidP="00E116A6">
      <w:pPr>
        <w:jc w:val="both"/>
        <w:rPr>
          <w:iCs/>
        </w:rPr>
      </w:pPr>
    </w:p>
    <w:p w14:paraId="54D9E821" w14:textId="6EAC07F8" w:rsidR="00E116A6" w:rsidRDefault="00504263" w:rsidP="00E116A6">
      <w:pPr>
        <w:jc w:val="both"/>
        <w:rPr>
          <w:iCs/>
        </w:rPr>
      </w:pPr>
      <w:r w:rsidRPr="00504263">
        <w:rPr>
          <w:iCs/>
        </w:rPr>
        <w:t>For each of the 15 post-Soviet countries, data on the number of affiliated publications (article and review types) in each research field at the macro- and meso-levels were downloaded from the InCites database. A publication was considered affiliated with a country if at least one affiliation of at least one author was associated with that country. The full counting method was used. Since the analysis of the disciplinary structure of research is based on the calculation of the shares of publications in different disciplines, interpretable results can only be obtained if there are a significant number of publications in different fields. Three countries (Kyrgyzstan, Tajikistan, and Turkmenistan) with a low number of publications were excluded from further analysis.</w:t>
      </w:r>
    </w:p>
    <w:p w14:paraId="58BAAB54" w14:textId="77777777" w:rsidR="00504263" w:rsidRDefault="00504263" w:rsidP="00E116A6">
      <w:pPr>
        <w:jc w:val="both"/>
        <w:rPr>
          <w:iCs/>
        </w:rPr>
      </w:pPr>
    </w:p>
    <w:p w14:paraId="46AB2BA8" w14:textId="63BE2C0E" w:rsidR="00E116A6" w:rsidRDefault="00504263" w:rsidP="00E116A6">
      <w:pPr>
        <w:jc w:val="both"/>
        <w:rPr>
          <w:iCs/>
        </w:rPr>
      </w:pPr>
      <w:r w:rsidRPr="00504263">
        <w:rPr>
          <w:iCs/>
        </w:rPr>
        <w:lastRenderedPageBreak/>
        <w:t>The Activity Index (AI) was used to analyze the disciplinary profiles of countries. This is a well-known and frequently used measure of the disciplinary specialization of countries</w:t>
      </w:r>
      <w:r w:rsidR="00B14767">
        <w:rPr>
          <w:iCs/>
        </w:rPr>
        <w:t xml:space="preserve"> </w:t>
      </w:r>
      <w:r w:rsidR="00B14767">
        <w:rPr>
          <w:iCs/>
        </w:rPr>
        <w:fldChar w:fldCharType="begin"/>
      </w:r>
      <w:r w:rsidR="00B14767">
        <w:rPr>
          <w:iCs/>
        </w:rPr>
        <w:instrText xml:space="preserve"> ADDIN ZOTERO_ITEM CSL_CITATION {"citationID":"wM2AAYOB","properties":{"formattedCitation":"(Aksnes et al., 2014; Li, 2017)","plainCitation":"(Aksnes et al., 2014; Li, 2017)","noteIndex":0},"citationItems":[{"id":2461,"uris":["http://zotero.org/users/4935595/items/D9RIXF4A"],"itemData":{"id":2461,"type":"article-journal","abstract":"The Relative Specialization Index (RSI) is an indicator that measures the research proﬁle of a country by comparing the share of a given ﬁeld in the publications of a given country with the share of the same ﬁeld in the world total of publications. If measured over time, this indicator may be inﬂuenced in the world total by the increased representation of certain other countries with different research proﬁles. As a case, we study the effect on the RSI for The Netherlands of the increased representation of China in the ISI Web of Science. Although the booming of China is visible in the RSI for The Netherlands, especially in the last decade and in ﬁelds where the countries have opposite specializations, the basic research proﬁle as measured by the RSI remains the same. We conclude that the indicator is robust with regard to booming countries, and that it may sufﬁce to observe the general changes in the research proﬁle of the database if the RSI for a country is studied over time.","container-title":"Scientometrics","DOI":"10.1007/s11192-014-1245-3","ISSN":"0138-9130, 1588-2861","issue":"2","journalAbbreviation":"Scientometrics","language":"en","page":"1391-1401","source":"DOI.org (Crossref)","title":"The effect of booming countries on changes in the relative specialization index (RSI) on country level","volume":"101","author":[{"family":"Aksnes","given":"Dag W."},{"family":"Leeuwen","given":"Thed N.","non-dropping-particle":"van"},{"family":"Sivertsen","given":"Gunnar"}],"issued":{"date-parts":[["2014",11]]}}},{"id":1663,"uris":["http://zotero.org/users/4935595/items/MQ4Q9SIW"],"itemData":{"id":1663,"type":"article-journal","abstract":"This paper presents an empirical study of the evolutionary patterns of national disciplinary proﬁles in research using a dataset extracted from Scopus covering publications from 45 nations for the period 1996–2015. Measures of disciplinary specializations and statistical models are employed to examine the distribution of disciplinary specializations across nations, the patterns of structural changes in the world’s disciplinary proﬁles, and the evolutionary patterns of research proﬁles in individual nations. It is found that, while there has been a continuous process of convergence in national research proﬁles, nations differ greatly in their evolutionary patterns. Changes in national disciplinary proﬁles are decomposed into the regression effect and the mobility effect and both effects are analyzed for individual nations. The G7 and the BRICs countries are used as cases for the in-depth scrutiny. Policy implications based on the ﬁndings and directions for future research are discussed.","container-title":"Scientometrics","DOI":"10.1007/s11192-017-2259-4","ISSN":"0138-9130, 1588-2861","issue":"1","journalAbbreviation":"Scientometrics","language":"en","page":"493-520","source":"DOI.org (Crossref)","title":"Evolutionary patterns of national disciplinary profiles in research: 1996–2015","title-short":"Evolutionary patterns of national disciplinary profiles in research","volume":"111","author":[{"family":"Li","given":"Ning"}],"issued":{"date-parts":[["2017",4]]}}}],"schema":"https://github.com/citation-style-language/schema/raw/master/csl-citation.json"} </w:instrText>
      </w:r>
      <w:r w:rsidR="00B14767">
        <w:rPr>
          <w:iCs/>
        </w:rPr>
        <w:fldChar w:fldCharType="separate"/>
      </w:r>
      <w:r w:rsidR="00B14767" w:rsidRPr="00B14767">
        <w:t>(Aksnes et al., 2014; Li, 2017)</w:t>
      </w:r>
      <w:r w:rsidR="00B14767">
        <w:rPr>
          <w:iCs/>
        </w:rPr>
        <w:fldChar w:fldCharType="end"/>
      </w:r>
      <w:r w:rsidR="00E116A6" w:rsidRPr="00E116A6">
        <w:rPr>
          <w:iCs/>
        </w:rPr>
        <w:t xml:space="preserve">. </w:t>
      </w:r>
      <w:r w:rsidRPr="00504263">
        <w:rPr>
          <w:iCs/>
        </w:rPr>
        <w:t>he AI is defined as the ratio of the share of publications in a given field in the total volume of publications of the country to the share of publications in the same field in the total volume of publications of the world. The value of AI &gt; 1 means that the share of publications in this field in the country is higher than the share of such publications in the world, i.e. the country "specialized" in this field, and AI &lt; 1 means that the share of publications in this field in the country is lower than the share of such publications in the world. AI can take values from 0 to infinity. Values from 1 to infinity correspond to a situation where the country "specializes" in a particular field, and values from 0 to 1 correspond to a situation where the country "does not specialize" in that field. Thus, the distribution of AI is not symmetric, which makes it difficult to visually perceive and interpret.</w:t>
      </w:r>
      <w:r w:rsidR="00E116A6" w:rsidRPr="00E116A6">
        <w:rPr>
          <w:iCs/>
        </w:rPr>
        <w:t xml:space="preserve"> </w:t>
      </w:r>
      <w:r w:rsidR="00CE7165" w:rsidRPr="00CE7165">
        <w:rPr>
          <w:iCs/>
        </w:rPr>
        <w:t>This problem can be solved by transforming AI into an alternative symmetric indicator - the Relative Specialisation Index (RSI), which is calculated as (AI - 1)/(AI + 1) and takes values from -1 to +1. Positive values indicate that the country has a larger share of publications in this field compared to the world, and negative values indicate that the country has a smaller share of such publications. A value of zero means that the country's share of articles in the field among the country's publications is equal to the share of such publications in the world. If there are no articles in a particular field, a RS</w:t>
      </w:r>
      <w:r w:rsidR="00CE7165">
        <w:rPr>
          <w:iCs/>
        </w:rPr>
        <w:t>I value of -1 has been assigned</w:t>
      </w:r>
      <w:r w:rsidR="00E116A6" w:rsidRPr="00E116A6">
        <w:rPr>
          <w:iCs/>
        </w:rPr>
        <w:t>.</w:t>
      </w:r>
    </w:p>
    <w:p w14:paraId="5412AFE2" w14:textId="77777777" w:rsidR="00E116A6" w:rsidRDefault="00E116A6" w:rsidP="00E116A6">
      <w:pPr>
        <w:jc w:val="both"/>
        <w:rPr>
          <w:iCs/>
        </w:rPr>
      </w:pPr>
    </w:p>
    <w:p w14:paraId="752AD0DB" w14:textId="23E0C417" w:rsidR="00B17306" w:rsidRDefault="0009082E" w:rsidP="00B17306">
      <w:pPr>
        <w:jc w:val="both"/>
        <w:rPr>
          <w:iCs/>
        </w:rPr>
      </w:pPr>
      <w:r w:rsidRPr="0009082E">
        <w:rPr>
          <w:iCs/>
        </w:rPr>
        <w:t>In order to quantify the degree of concentration/diversification of the country's disciplinary profile, the Gini coefficient, a well-known and frequently used indicator of concentration, was calculated based on the AI values of each individual field</w:t>
      </w:r>
      <w:r w:rsidR="00B14767">
        <w:rPr>
          <w:iCs/>
        </w:rPr>
        <w:t xml:space="preserve"> </w:t>
      </w:r>
      <w:r w:rsidR="00B14767">
        <w:rPr>
          <w:iCs/>
        </w:rPr>
        <w:fldChar w:fldCharType="begin"/>
      </w:r>
      <w:r w:rsidR="00B14767">
        <w:rPr>
          <w:iCs/>
        </w:rPr>
        <w:instrText xml:space="preserve"> ADDIN ZOTERO_ITEM CSL_CITATION {"citationID":"xe7Xe60n","properties":{"formattedCitation":"(Abramo et al., 2018, 2022)","plainCitation":"(Abramo et al., 2018, 2022)","noteIndex":0},"citationItems":[{"id":1382,"uris":["http://zotero.org/users/4935595/items/PSFC4KX7"],"itemData":{"id":1382,"type":"article-journal","container-title":"Journal of Informetrics","DOI":"10.1016/j.joi.2018.09.001","ISSN":"17511577","issue":"4","journalAbbreviation":"Journal of Informetrics","language":"en","page":"1182-1193","source":"DOI.org (Crossref)","title":"A comparison of two approaches for measuring interdisciplinary research output: The disciplinary diversity of authors vs the disciplinary diversity of the reference list","title-short":"A comparison of two approaches for measuring interdisciplinary research output","volume":"12","author":[{"family":"Abramo","given":"Giovanni"},{"family":"D’Angelo","given":"Ciriaco Andrea"},{"family":"Zhang","given":"Lin"}],"issued":{"date-parts":[["2018",11]]}}},{"id":357,"uris":["http://zotero.org/users/4935595/items/HE3DBGPA"],"itemData":{"id":357,"type":"article-journal","container-title":"Journal of Informetrics","DOI":"10.1016/j.joi.2021.101244","ISSN":"17511577","issue":"1","journalAbbreviation":"Journal of Informetrics","language":"en","page":"101244","source":"DOI.org (Crossref)","title":"Revealing the scientific comparative advantage of nations: Common and distinctive features","title-short":"Revealing the scientific comparative advantage of nations","volume":"16","author":[{"family":"Abramo","given":"Giovanni"},{"family":"D'Angelo","given":"Ciriaco Andrea"},{"family":"Di Costa","given":"Flavia"}],"issued":{"date-parts":[["2022",2]]}}}],"schema":"https://github.com/citation-style-language/schema/raw/master/csl-citation.json"} </w:instrText>
      </w:r>
      <w:r w:rsidR="00B14767">
        <w:rPr>
          <w:iCs/>
        </w:rPr>
        <w:fldChar w:fldCharType="separate"/>
      </w:r>
      <w:r w:rsidR="00B14767" w:rsidRPr="00B14767">
        <w:t>(Abramo et al., 2018, 2022)</w:t>
      </w:r>
      <w:r w:rsidR="00B14767">
        <w:rPr>
          <w:iCs/>
        </w:rPr>
        <w:fldChar w:fldCharType="end"/>
      </w:r>
      <w:r w:rsidR="00E116A6" w:rsidRPr="00E116A6">
        <w:rPr>
          <w:iCs/>
        </w:rPr>
        <w:t xml:space="preserve">. </w:t>
      </w:r>
      <w:r w:rsidRPr="0009082E">
        <w:rPr>
          <w:iCs/>
        </w:rPr>
        <w:t xml:space="preserve">Since our study examines the dynamics of the thematic structure of research in countries, which becomes more diverse and balanced over time, it is more logical to speak not of the concentration of the country's disciplinary profile, but of its diversification and balance. For this reason, we will not analyse the value of the Gini coefficient itself, but its inverse transformation, calculated as 1 - the Gini coefficient. In this case, higher values indicate the diversification and balance of the country's disciplinary profile, while low values will indicate </w:t>
      </w:r>
      <w:r>
        <w:rPr>
          <w:iCs/>
        </w:rPr>
        <w:t>its concentration and imbalance</w:t>
      </w:r>
      <w:r w:rsidR="00E116A6" w:rsidRPr="00E116A6">
        <w:rPr>
          <w:iCs/>
        </w:rPr>
        <w:t>.</w:t>
      </w:r>
    </w:p>
    <w:p w14:paraId="4F279AE9" w14:textId="77777777" w:rsidR="00B17306" w:rsidRDefault="00B17306" w:rsidP="00B17306">
      <w:pPr>
        <w:pStyle w:val="Textkrper"/>
        <w:jc w:val="both"/>
      </w:pPr>
    </w:p>
    <w:p w14:paraId="24FE2007" w14:textId="5913FAC5" w:rsidR="008E3F52" w:rsidRPr="008E3F52" w:rsidRDefault="00B17306" w:rsidP="008D5E61">
      <w:pPr>
        <w:pStyle w:val="berschrift2"/>
        <w:jc w:val="both"/>
      </w:pPr>
      <w:r>
        <w:t>3</w:t>
      </w:r>
      <w:r w:rsidR="000C25AF">
        <w:t xml:space="preserve">. </w:t>
      </w:r>
      <w:r>
        <w:t>Results</w:t>
      </w:r>
    </w:p>
    <w:p w14:paraId="05375486" w14:textId="70BA58CD" w:rsidR="008168F4" w:rsidRDefault="008851F9">
      <w:pPr>
        <w:jc w:val="both"/>
        <w:rPr>
          <w:iCs/>
        </w:rPr>
      </w:pPr>
      <w:r w:rsidRPr="008851F9">
        <w:rPr>
          <w:iCs/>
        </w:rPr>
        <w:t>The values of the indicator of the balance of the disciplinary profile of the post-Soviet countries, calculated for the research fields at the macro- and meso-levels, are shown in Figure 1. The post-Soviet countries differ significantly in the degree of balance in the disciplinary profile. At the macro-level, Lithuania and Estonia have the most balanced disciplinary profile. Latvia and Kazakhstan have a slightly less balanced profile. The other post-Soviet countries have a much less balanced disciplinary profile, with publications are less evenly distributed across fields than in the world. The hierarchy of countries according to the balance of the disciplinary profile at the meso-level roughly repeats the hierarchy at the macro-level. However, in all post-Soviet countries there is a significant difference in the balance of the profile depending on which level of scientific fields is considered. At the meso-level, the profile of all post-Soviet countries is much less balanced than at the macro-level. This means that even countries with a relatively balanced profile at the level of major fields have smaller fields within the major fields that are either not developed at all or are underdeveloped.</w:t>
      </w:r>
    </w:p>
    <w:p w14:paraId="1F1F2DBE" w14:textId="77777777" w:rsidR="00B65A23" w:rsidRDefault="00B65A23">
      <w:pPr>
        <w:jc w:val="both"/>
        <w:rPr>
          <w:iCs/>
        </w:rPr>
      </w:pPr>
    </w:p>
    <w:p w14:paraId="57062633" w14:textId="77777777" w:rsidR="008D5E61" w:rsidRDefault="008D5E61">
      <w:pPr>
        <w:jc w:val="both"/>
        <w:rPr>
          <w:iCs/>
        </w:rPr>
      </w:pPr>
    </w:p>
    <w:p w14:paraId="6E884E1A" w14:textId="2646350B" w:rsidR="008D5E61" w:rsidRPr="008D5E61" w:rsidRDefault="008D5E61" w:rsidP="008D5E61">
      <w:pPr>
        <w:keepNext/>
        <w:jc w:val="center"/>
      </w:pPr>
      <w:r>
        <w:lastRenderedPageBreak/>
        <w:t>Figure 1:</w:t>
      </w:r>
      <w:r w:rsidRPr="007A6E4A">
        <w:t xml:space="preserve"> Indicator of balance (1—Gini coefficient for</w:t>
      </w:r>
      <w:r w:rsidR="00E258DB">
        <w:t xml:space="preserve"> </w:t>
      </w:r>
      <w:r w:rsidRPr="007A6E4A">
        <w:t>AI) of the disciplinary profile of countries, which was calculated for research areas of the macro</w:t>
      </w:r>
      <w:r>
        <w:t>-</w:t>
      </w:r>
      <w:r w:rsidRPr="007A6E4A">
        <w:t xml:space="preserve"> and meso</w:t>
      </w:r>
      <w:r>
        <w:t>-</w:t>
      </w:r>
      <w:r w:rsidRPr="007A6E4A">
        <w:t>level.</w:t>
      </w:r>
    </w:p>
    <w:p w14:paraId="3E931050" w14:textId="5502F745" w:rsidR="006F20F3" w:rsidRDefault="008D5E61" w:rsidP="007A6E4A">
      <w:pPr>
        <w:jc w:val="center"/>
      </w:pPr>
      <w:r>
        <w:pict w14:anchorId="52BE5E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2.85pt;height:282.85pt">
            <v:imagedata r:id="rId10" o:title="Fig_1_gini_overall_both"/>
          </v:shape>
        </w:pict>
      </w:r>
    </w:p>
    <w:p w14:paraId="2AE5A554" w14:textId="77777777" w:rsidR="006F20F3" w:rsidRDefault="006F20F3">
      <w:pPr>
        <w:jc w:val="both"/>
      </w:pPr>
    </w:p>
    <w:p w14:paraId="2350FCB1" w14:textId="77777777" w:rsidR="008D5E61" w:rsidRDefault="008D5E61" w:rsidP="008D5E61">
      <w:pPr>
        <w:jc w:val="both"/>
      </w:pPr>
      <w:r w:rsidRPr="00B65A23">
        <w:t>The post-Soviet countries differ in the pattern of the dynamics of the balance of disciplinary profiles indicator (Figure 2). In Armenia, Belarus, Georgia, and Moldova, the level of balance of the disciplinary profiles is relatively low throughout the period analysed. In the other countries, it increases over time. However, the countries differ both in the starting point and in the dynamics of the growth of the disciplinary profile. The largest increases are observed in Kazakhstan (from 0.41 to 0.71 at the macro-level and from 0.13 to 0.40 at the meso-level), Azerbaijan (from 0.38 to 0.56 at the macro-level and from 0.11 to 0. 20 at the meso-level), and Lithuania (from 0.45 to 0.67 at the macro-level and from 0.20 to 0.45 at the meso-level). Estonia shows only a slight increase in diversity, but has the most balanced profile over the period. The remaining countries show a moderate increase in their balance</w:t>
      </w:r>
      <w:r w:rsidRPr="00965910">
        <w:t>.</w:t>
      </w:r>
    </w:p>
    <w:p w14:paraId="6D56503C" w14:textId="77777777" w:rsidR="008D5E61" w:rsidRDefault="008D5E61" w:rsidP="008D5E61"/>
    <w:p w14:paraId="47381506" w14:textId="3D0BF184" w:rsidR="008D5E61" w:rsidRDefault="00C15481">
      <w:pPr>
        <w:jc w:val="both"/>
      </w:pPr>
      <w:r w:rsidRPr="00C15481">
        <w:t>In order to understand the dynamics of individual fields, the RSI value was calculated for each of them for 6 periods (Figure 3). Absolutely in all post-Soviet countries there is an increase in this indicator in the social sciences and humanities. The share of publications in the social sciences increased most in Lithuania, Latvia, Azerbaijan, and Kazakhstan. However, despite the increase, it remains relatively low. Only in Estonia, Lithuania, and Kazakhstan the share of publications in the social sciences in the total number of publications in the country for 2016-2021 is equal to or slightly higher than the share of such publications in the world. In other countries, this share is lower than the world share. The lowest values are observed in Belarus, Ukraine, and Armenia. The share of publications in humanities increased most in Lithuania, Estonia, Kazakhstan, Moldova, Uzbekistan, Ukraine, and Russia. However, in most post-Soviet countries, the share of the humanities remains relatively low. Only in Estonia, Lithuania and Kazakhstan it is equal to or higher than the world share. At the same time, only in Estonia the share of the humanities is significantly higher than in the world. The share of articles in clinical and life sciences also increased in all countries except Uzbekistan. Growth was particularly strong in Moldova, Georgia, Kazakhstan and Latvia, but in all post-Soviet countries the share of publications in this field i</w:t>
      </w:r>
      <w:r>
        <w:t>s still lower than in the world</w:t>
      </w:r>
      <w:r w:rsidR="00AF29CD" w:rsidRPr="00D224D4">
        <w:t>.</w:t>
      </w:r>
    </w:p>
    <w:p w14:paraId="1504F8E9" w14:textId="77777777" w:rsidR="008D5E61" w:rsidRPr="00622BF9" w:rsidRDefault="008D5E61" w:rsidP="008D5E61">
      <w:pPr>
        <w:keepNext/>
        <w:jc w:val="center"/>
      </w:pPr>
      <w:r>
        <w:lastRenderedPageBreak/>
        <w:t xml:space="preserve">Figure 2: </w:t>
      </w:r>
      <w:r w:rsidRPr="00005844">
        <w:t>Dynamics of the balance indicator (1—the Gini coefficient for AI) of the disciplinary profile of countries, which was calculated for macro- and meso</w:t>
      </w:r>
      <w:r>
        <w:t>-</w:t>
      </w:r>
      <w:r w:rsidRPr="00005844">
        <w:t>levels.</w:t>
      </w:r>
    </w:p>
    <w:p w14:paraId="1AEA6DA0" w14:textId="77777777" w:rsidR="00622BF9" w:rsidRDefault="00622BF9">
      <w:pPr>
        <w:jc w:val="both"/>
      </w:pPr>
    </w:p>
    <w:p w14:paraId="0781D7D8" w14:textId="7155600C" w:rsidR="006F20F3" w:rsidRDefault="00D44C68" w:rsidP="00005844">
      <w:pPr>
        <w:jc w:val="center"/>
      </w:pPr>
      <w:r>
        <w:pict w14:anchorId="3686BE5C">
          <v:shape id="_x0000_i1025" type="#_x0000_t75" style="width:452.55pt;height:627.45pt">
            <v:imagedata r:id="rId11" o:title="Fig_3_gini_ai_marco_meso"/>
          </v:shape>
        </w:pict>
      </w:r>
    </w:p>
    <w:p w14:paraId="70A938C6" w14:textId="77777777" w:rsidR="00005844" w:rsidRDefault="00005844">
      <w:pPr>
        <w:jc w:val="both"/>
      </w:pPr>
    </w:p>
    <w:p w14:paraId="64D98459" w14:textId="0F10B0EF" w:rsidR="008D5E61" w:rsidRPr="00622BF9" w:rsidRDefault="008D5E61" w:rsidP="008D5E61">
      <w:pPr>
        <w:keepNext/>
        <w:jc w:val="center"/>
      </w:pPr>
      <w:r>
        <w:lastRenderedPageBreak/>
        <w:t xml:space="preserve">Figure 3: </w:t>
      </w:r>
      <w:r w:rsidRPr="000C30B5">
        <w:t>Dynamics of</w:t>
      </w:r>
      <w:r w:rsidR="00E258DB">
        <w:t xml:space="preserve"> </w:t>
      </w:r>
      <w:r w:rsidRPr="000C30B5">
        <w:t>RSI</w:t>
      </w:r>
      <w:r w:rsidR="00E258DB">
        <w:t xml:space="preserve"> </w:t>
      </w:r>
      <w:r w:rsidRPr="000C30B5">
        <w:t>for macro</w:t>
      </w:r>
      <w:r>
        <w:t>-</w:t>
      </w:r>
      <w:r w:rsidRPr="000C30B5">
        <w:t>level research areas</w:t>
      </w:r>
      <w:r w:rsidRPr="00005844">
        <w:t>.</w:t>
      </w:r>
    </w:p>
    <w:p w14:paraId="26F3E5A3" w14:textId="77777777" w:rsidR="00005844" w:rsidRDefault="00005844">
      <w:pPr>
        <w:jc w:val="both"/>
      </w:pPr>
    </w:p>
    <w:p w14:paraId="57E39BC5" w14:textId="7209E6A8" w:rsidR="000C30B5" w:rsidRDefault="00D44C68" w:rsidP="00E258DB">
      <w:pPr>
        <w:jc w:val="center"/>
      </w:pPr>
      <w:r>
        <w:pict w14:anchorId="0292ACDE">
          <v:shape id="_x0000_i1026" type="#_x0000_t75" style="width:452.55pt;height:7in">
            <v:imagedata r:id="rId12" o:title="Fig_4_hmap"/>
          </v:shape>
        </w:pict>
      </w:r>
    </w:p>
    <w:p w14:paraId="393D4BD3" w14:textId="77777777" w:rsidR="000C30B5" w:rsidRDefault="000C30B5">
      <w:pPr>
        <w:jc w:val="both"/>
      </w:pPr>
    </w:p>
    <w:p w14:paraId="6D82D128" w14:textId="0F9F9965" w:rsidR="00346CD2" w:rsidRDefault="009F0635" w:rsidP="00346CD2">
      <w:pPr>
        <w:jc w:val="both"/>
      </w:pPr>
      <w:r w:rsidRPr="009F0635">
        <w:t>With the exception of Kazakhstan and Lithuania, the share of publications in physics is increasing in all countries of the post-Soviet space. The specialisation of research in the physics continues to increase, despite the general diversification. At the same time, the shares of publications in other natural sciences are declining. The share of publications in chemistry has decreased in absol</w:t>
      </w:r>
      <w:r>
        <w:t>utely all post-Soviet countries</w:t>
      </w:r>
      <w:r w:rsidR="00346CD2" w:rsidRPr="00346CD2">
        <w:t>.</w:t>
      </w:r>
    </w:p>
    <w:p w14:paraId="1E6F04EC" w14:textId="77777777" w:rsidR="002C4EF4" w:rsidRDefault="002C4EF4" w:rsidP="00346CD2">
      <w:pPr>
        <w:jc w:val="both"/>
      </w:pPr>
    </w:p>
    <w:p w14:paraId="79EF2395" w14:textId="46EA26A6" w:rsidR="002C4EF4" w:rsidRDefault="002C4EF4" w:rsidP="002C4EF4">
      <w:pPr>
        <w:pStyle w:val="berschrift2"/>
        <w:jc w:val="both"/>
      </w:pPr>
      <w:r>
        <w:t>4. Conclusion</w:t>
      </w:r>
    </w:p>
    <w:p w14:paraId="7F92A2A8" w14:textId="2240A14E" w:rsidR="000C30B5" w:rsidRDefault="009F0635">
      <w:pPr>
        <w:jc w:val="both"/>
      </w:pPr>
      <w:r w:rsidRPr="009F0635">
        <w:t xml:space="preserve">Despite the common past, there are significant differences between the post-Soviet countries in the degree of specialisation/diversification of the disciplinary structure of scientific research. Two groups of countries can be distinguished. The first group consists of Lithuania, Estonia, Latvia, and Kazakhstan, which have a relatively diversified disciplinary profile. The second </w:t>
      </w:r>
      <w:r w:rsidRPr="009F0635">
        <w:lastRenderedPageBreak/>
        <w:t>group consists of the remaining countries, where the structure of scientific research remains more or less unbalanced, i.e. research is specialised in certain fields. Interestingly, all four countries with the most disciplinary balanced science are countries that have fundamentally reformed their academic systems. In particular, they have radically reformed their Academies of Science and universities have become the main producers of scientific research</w:t>
      </w:r>
      <w:r w:rsidR="005F1F31">
        <w:t xml:space="preserve"> </w:t>
      </w:r>
      <w:r w:rsidR="005F1F31">
        <w:fldChar w:fldCharType="begin"/>
      </w:r>
      <w:r w:rsidR="005F1F31">
        <w:instrText xml:space="preserve"> ADDIN ZOTERO_ITEM CSL_CITATION {"citationID":"H5LumHhf","properties":{"formattedCitation":"(Lovakov et al., 2022)","plainCitation":"(Lovakov et al., 2022)","noteIndex":0},"citationItems":[{"id":327,"uris":["http://zotero.org/users/4935595/items/M5SBAEXD"],"itemData":{"id":327,"type":"article-journal","abstract":"Universities and non-university research institutes have been recognised as two key sectors producing research globally. The Soviet model of research organisation included a large network of research institutes, affiliated with the USSR Academy of Sciences and republican academies, as well as industry research institutes, affiliated with sectoral ministries. Universities played a minor role in research. Post-Soviet higher education and research systems went through reforms in the last three decades which led to changes in the patterns of knowledge production. This study offers an overview of the reforms and a bibliometric analysis of 319410 publications in journals indexed in the Web of Science database to examine how selected post-Soviet countries have overcome the Soviet legacy of organisational separation of higher education and research. While universities now produce the bulk of research output in selected countries, in the majority of national contexts, Academies of Sciences continue to be important players in research.","container-title":"Scientometrics","DOI":"10.1007/s11192-022-04527-y","ISSN":"1588-2861","issue":"11","journalAbbreviation":"Scientometrics","language":"en","license":"All rights reserved","page":"6293-6313","source":"Springer Link","title":"Universities vs. research institutes? Overcoming the Soviet legacy of higher education and research","title-short":"Universities vs. research institutes?","volume":"127","author":[{"family":"Lovakov","given":"Andrey"},{"family":"Chankseliani","given":"Maia"},{"family":"Panova","given":"Anna"}],"issued":{"date-parts":[["2022",11,1]]}}}],"schema":"https://github.com/citation-style-language/schema/raw/master/csl-citation.json"} </w:instrText>
      </w:r>
      <w:r w:rsidR="005F1F31">
        <w:fldChar w:fldCharType="separate"/>
      </w:r>
      <w:r w:rsidR="005F1F31" w:rsidRPr="005F1F31">
        <w:t>(Lovakov et al., 2022)</w:t>
      </w:r>
      <w:r w:rsidR="005F1F31">
        <w:fldChar w:fldCharType="end"/>
      </w:r>
      <w:r w:rsidR="002C4EF4" w:rsidRPr="002C4EF4">
        <w:t xml:space="preserve">. </w:t>
      </w:r>
      <w:r w:rsidR="008C0329" w:rsidRPr="008C0329">
        <w:t>At the same time, the countries with the least diversified profiles (Armenia, Moldova, and Azerbaijan) are also among those with a dominant research sector</w:t>
      </w:r>
      <w:r w:rsidR="005F1F31">
        <w:t xml:space="preserve"> </w:t>
      </w:r>
      <w:r w:rsidR="005F1F31">
        <w:fldChar w:fldCharType="begin"/>
      </w:r>
      <w:r w:rsidR="005F1F31">
        <w:instrText xml:space="preserve"> ADDIN ZOTERO_ITEM CSL_CITATION {"citationID":"dv9gmgDW","properties":{"formattedCitation":"(Lovakov et al., 2022)","plainCitation":"(Lovakov et al., 2022)","noteIndex":0},"citationItems":[{"id":327,"uris":["http://zotero.org/users/4935595/items/M5SBAEXD"],"itemData":{"id":327,"type":"article-journal","abstract":"Universities and non-university research institutes have been recognised as two key sectors producing research globally. The Soviet model of research organisation included a large network of research institutes, affiliated with the USSR Academy of Sciences and republican academies, as well as industry research institutes, affiliated with sectoral ministries. Universities played a minor role in research. Post-Soviet higher education and research systems went through reforms in the last three decades which led to changes in the patterns of knowledge production. This study offers an overview of the reforms and a bibliometric analysis of 319410 publications in journals indexed in the Web of Science database to examine how selected post-Soviet countries have overcome the Soviet legacy of organisational separation of higher education and research. While universities now produce the bulk of research output in selected countries, in the majority of national contexts, Academies of Sciences continue to be important players in research.","container-title":"Scientometrics","DOI":"10.1007/s11192-022-04527-y","ISSN":"1588-2861","issue":"11","journalAbbreviation":"Scientometrics","language":"en","license":"All rights reserved","page":"6293-6313","source":"Springer Link","title":"Universities vs. research institutes? Overcoming the Soviet legacy of higher education and research","title-short":"Universities vs. research institutes?","volume":"127","author":[{"family":"Lovakov","given":"Andrey"},{"family":"Chankseliani","given":"Maia"},{"family":"Panova","given":"Anna"}],"issued":{"date-parts":[["2022",11,1]]}}}],"schema":"https://github.com/citation-style-language/schema/raw/master/csl-citation.json"} </w:instrText>
      </w:r>
      <w:r w:rsidR="005F1F31">
        <w:fldChar w:fldCharType="separate"/>
      </w:r>
      <w:r w:rsidR="005F1F31" w:rsidRPr="005F1F31">
        <w:t>(Lovakov et al., 2022)</w:t>
      </w:r>
      <w:r w:rsidR="005F1F31">
        <w:fldChar w:fldCharType="end"/>
      </w:r>
      <w:r w:rsidR="002C4EF4" w:rsidRPr="002C4EF4">
        <w:t xml:space="preserve">. </w:t>
      </w:r>
      <w:r w:rsidR="008C0329" w:rsidRPr="008C0329">
        <w:t>Perhaps the active reform of academic systems and the development of scientific research in the university sector have helped to overcome the path-dependency effect and stimulate the development of scientific research in a more diversified range of sc</w:t>
      </w:r>
      <w:r w:rsidR="008C0329">
        <w:t>ientific fields and disciplines</w:t>
      </w:r>
      <w:r w:rsidR="002C4EF4" w:rsidRPr="002C4EF4">
        <w:t>.</w:t>
      </w:r>
    </w:p>
    <w:p w14:paraId="1FC47A35" w14:textId="77777777" w:rsidR="00346CD2" w:rsidRDefault="00346CD2">
      <w:pPr>
        <w:jc w:val="both"/>
      </w:pPr>
    </w:p>
    <w:p w14:paraId="7047E5B3" w14:textId="32EA0047" w:rsidR="007A59E1" w:rsidRPr="007A59E1" w:rsidRDefault="007A59E1">
      <w:pPr>
        <w:jc w:val="both"/>
        <w:rPr>
          <w:b/>
          <w:bCs/>
        </w:rPr>
      </w:pPr>
      <w:r>
        <w:rPr>
          <w:b/>
          <w:bCs/>
        </w:rPr>
        <w:t>O</w:t>
      </w:r>
      <w:r w:rsidRPr="007A59E1">
        <w:rPr>
          <w:b/>
          <w:bCs/>
        </w:rPr>
        <w:t>pen science practices</w:t>
      </w:r>
    </w:p>
    <w:p w14:paraId="541E58D4" w14:textId="4DE797BA" w:rsidR="007A59E1" w:rsidRDefault="00B85AE8">
      <w:pPr>
        <w:jc w:val="both"/>
      </w:pPr>
      <w:r w:rsidRPr="00B85AE8">
        <w:t>The data supporting the results of this study are available from the InCites database. There are restrictions on the availability of these data, which have been us</w:t>
      </w:r>
      <w:r>
        <w:t>ed under licence for this study</w:t>
      </w:r>
      <w:r w:rsidR="00CF7AC8" w:rsidRPr="00CF7AC8">
        <w:t>.</w:t>
      </w:r>
    </w:p>
    <w:p w14:paraId="7951DDF4" w14:textId="77777777" w:rsidR="007A59E1" w:rsidRDefault="007A59E1">
      <w:pPr>
        <w:jc w:val="both"/>
      </w:pPr>
    </w:p>
    <w:p w14:paraId="6126D7F1" w14:textId="7481AD7B" w:rsidR="00370126" w:rsidRPr="007C30D8" w:rsidRDefault="00370126">
      <w:pPr>
        <w:jc w:val="both"/>
        <w:rPr>
          <w:b/>
          <w:bCs/>
        </w:rPr>
      </w:pPr>
      <w:r w:rsidRPr="007C30D8">
        <w:rPr>
          <w:b/>
          <w:bCs/>
        </w:rPr>
        <w:t>Competing interests</w:t>
      </w:r>
    </w:p>
    <w:p w14:paraId="6597B0C5" w14:textId="03A72500" w:rsidR="007C30D8" w:rsidRDefault="00CF7AC8">
      <w:pPr>
        <w:jc w:val="both"/>
      </w:pPr>
      <w:r w:rsidRPr="00CF7AC8">
        <w:t>The author declares that he has no conflicts of interest.</w:t>
      </w:r>
    </w:p>
    <w:p w14:paraId="3E431FFB" w14:textId="77777777" w:rsidR="00CF7AC8" w:rsidRDefault="00CF7AC8">
      <w:pPr>
        <w:jc w:val="both"/>
      </w:pPr>
    </w:p>
    <w:p w14:paraId="31603A15" w14:textId="2DE08369" w:rsidR="00370126" w:rsidRPr="007C30D8" w:rsidRDefault="00370126">
      <w:pPr>
        <w:jc w:val="both"/>
        <w:rPr>
          <w:b/>
          <w:bCs/>
        </w:rPr>
      </w:pPr>
      <w:r w:rsidRPr="007C30D8">
        <w:rPr>
          <w:b/>
          <w:bCs/>
        </w:rPr>
        <w:t>Funding information</w:t>
      </w:r>
      <w:bookmarkStart w:id="0" w:name="_GoBack"/>
      <w:bookmarkEnd w:id="0"/>
    </w:p>
    <w:p w14:paraId="11D1F9EC" w14:textId="1FE69391" w:rsidR="00DF037E" w:rsidRDefault="00B85AE8">
      <w:pPr>
        <w:jc w:val="both"/>
      </w:pPr>
      <w:r w:rsidRPr="00B85AE8">
        <w:t>The study is based on data collected during the project supported by the Russian Science Foundation (project no. 20-18-00140)</w:t>
      </w:r>
      <w:r w:rsidR="00DF037E">
        <w:t>.</w:t>
      </w:r>
    </w:p>
    <w:p w14:paraId="6915C807" w14:textId="77777777" w:rsidR="00DF037E" w:rsidRDefault="00DF037E">
      <w:pPr>
        <w:jc w:val="both"/>
      </w:pPr>
    </w:p>
    <w:p w14:paraId="153897FF" w14:textId="77777777" w:rsidR="008168F4" w:rsidRDefault="008168F4">
      <w:pPr>
        <w:jc w:val="both"/>
        <w:rPr>
          <w:b/>
          <w:bCs/>
        </w:rPr>
      </w:pPr>
      <w:r>
        <w:rPr>
          <w:b/>
          <w:bCs/>
        </w:rPr>
        <w:t>References</w:t>
      </w:r>
    </w:p>
    <w:p w14:paraId="583909C0" w14:textId="77777777" w:rsidR="005F1F31" w:rsidRPr="005F1F31" w:rsidRDefault="00BD3BEA" w:rsidP="00E258DB">
      <w:pPr>
        <w:pStyle w:val="Literaturverzeichnis"/>
        <w:spacing w:line="240" w:lineRule="auto"/>
        <w:ind w:left="0" w:firstLine="0"/>
      </w:pPr>
      <w:r>
        <w:fldChar w:fldCharType="begin"/>
      </w:r>
      <w:r>
        <w:instrText xml:space="preserve"> ADDIN ZOTERO_BIBL {"uncited":[],"omitted":[],"custom":[]} CSL_BIBLIOGRAPHY </w:instrText>
      </w:r>
      <w:r>
        <w:fldChar w:fldCharType="separate"/>
      </w:r>
      <w:r w:rsidR="005F1F31" w:rsidRPr="005F1F31">
        <w:t xml:space="preserve">Abramo, G., D’Angelo, C. A., &amp; Di Costa, F. (2022). Revealing the scientific comparative advantage of nations: Common and distinctive features. </w:t>
      </w:r>
      <w:r w:rsidR="005F1F31" w:rsidRPr="005F1F31">
        <w:rPr>
          <w:i/>
          <w:iCs/>
        </w:rPr>
        <w:t>Journal of Informetrics</w:t>
      </w:r>
      <w:r w:rsidR="005F1F31" w:rsidRPr="005F1F31">
        <w:t xml:space="preserve">, </w:t>
      </w:r>
      <w:r w:rsidR="005F1F31" w:rsidRPr="005F1F31">
        <w:rPr>
          <w:i/>
          <w:iCs/>
        </w:rPr>
        <w:t>16</w:t>
      </w:r>
      <w:r w:rsidR="005F1F31" w:rsidRPr="005F1F31">
        <w:t>(1), 101244. https://doi.org/10.1016/j.joi.2021.101244</w:t>
      </w:r>
    </w:p>
    <w:p w14:paraId="6E6DA15D" w14:textId="77777777" w:rsidR="00E258DB" w:rsidRDefault="00E258DB" w:rsidP="00E258DB">
      <w:pPr>
        <w:pStyle w:val="Literaturverzeichnis"/>
        <w:spacing w:line="240" w:lineRule="auto"/>
        <w:ind w:left="0" w:firstLine="0"/>
      </w:pPr>
    </w:p>
    <w:p w14:paraId="1F37E018" w14:textId="77777777" w:rsidR="005F1F31" w:rsidRPr="005F1F31" w:rsidRDefault="005F1F31" w:rsidP="00E258DB">
      <w:pPr>
        <w:pStyle w:val="Literaturverzeichnis"/>
        <w:spacing w:line="240" w:lineRule="auto"/>
        <w:ind w:left="0" w:firstLine="0"/>
      </w:pPr>
      <w:r w:rsidRPr="005F1F31">
        <w:t xml:space="preserve">Abramo, G., D’Angelo, C. A., &amp; Zhang, L. (2018). A comparison of two approaches for measuring interdisciplinary research output: The disciplinary diversity of authors vs the disciplinary diversity of the reference list. </w:t>
      </w:r>
      <w:r w:rsidRPr="005F1F31">
        <w:rPr>
          <w:i/>
          <w:iCs/>
        </w:rPr>
        <w:t>Journal of Informetrics</w:t>
      </w:r>
      <w:r w:rsidRPr="005F1F31">
        <w:t xml:space="preserve">, </w:t>
      </w:r>
      <w:r w:rsidRPr="005F1F31">
        <w:rPr>
          <w:i/>
          <w:iCs/>
        </w:rPr>
        <w:t>12</w:t>
      </w:r>
      <w:r w:rsidRPr="005F1F31">
        <w:t>(4), 1182–1193. https://doi.org/10.1016/j.joi.2018.09.001</w:t>
      </w:r>
    </w:p>
    <w:p w14:paraId="7ED459BA" w14:textId="77777777" w:rsidR="00E258DB" w:rsidRDefault="00E258DB" w:rsidP="00E258DB">
      <w:pPr>
        <w:pStyle w:val="Literaturverzeichnis"/>
        <w:spacing w:line="240" w:lineRule="auto"/>
        <w:ind w:left="0" w:firstLine="0"/>
      </w:pPr>
    </w:p>
    <w:p w14:paraId="3D9CCE4A" w14:textId="77777777" w:rsidR="005F1F31" w:rsidRPr="005F1F31" w:rsidRDefault="005F1F31" w:rsidP="00E258DB">
      <w:pPr>
        <w:pStyle w:val="Literaturverzeichnis"/>
        <w:spacing w:line="240" w:lineRule="auto"/>
        <w:ind w:left="0" w:firstLine="0"/>
      </w:pPr>
      <w:r w:rsidRPr="005F1F31">
        <w:t xml:space="preserve">Aksnes, D. W., van Leeuwen, T. N., &amp; Sivertsen, G. (2014). The effect of booming countries on changes in the relative specialization index (RSI) on country level. </w:t>
      </w:r>
      <w:r w:rsidRPr="005F1F31">
        <w:rPr>
          <w:i/>
          <w:iCs/>
        </w:rPr>
        <w:t>Scientometrics</w:t>
      </w:r>
      <w:r w:rsidRPr="005F1F31">
        <w:t xml:space="preserve">, </w:t>
      </w:r>
      <w:r w:rsidRPr="005F1F31">
        <w:rPr>
          <w:i/>
          <w:iCs/>
        </w:rPr>
        <w:t>101</w:t>
      </w:r>
      <w:r w:rsidRPr="005F1F31">
        <w:t>(2), 1391–1401. https://doi.org/10.1007/s11192-014-1245-3</w:t>
      </w:r>
    </w:p>
    <w:p w14:paraId="338338F8" w14:textId="77777777" w:rsidR="00E258DB" w:rsidRDefault="00E258DB" w:rsidP="00E258DB">
      <w:pPr>
        <w:pStyle w:val="Literaturverzeichnis"/>
        <w:spacing w:line="240" w:lineRule="auto"/>
        <w:ind w:left="0" w:firstLine="0"/>
      </w:pPr>
    </w:p>
    <w:p w14:paraId="43A2B0FE" w14:textId="77777777" w:rsidR="005F1F31" w:rsidRPr="005F1F31" w:rsidRDefault="005F1F31" w:rsidP="00E258DB">
      <w:pPr>
        <w:pStyle w:val="Literaturverzeichnis"/>
        <w:spacing w:line="240" w:lineRule="auto"/>
        <w:ind w:left="0" w:firstLine="0"/>
      </w:pPr>
      <w:r w:rsidRPr="005F1F31">
        <w:t xml:space="preserve">Graham, L. R. (1992). Big Science in the Last Years of the Big Soviet Union. </w:t>
      </w:r>
      <w:r w:rsidRPr="005F1F31">
        <w:rPr>
          <w:i/>
          <w:iCs/>
        </w:rPr>
        <w:t>Osiris</w:t>
      </w:r>
      <w:r w:rsidRPr="005F1F31">
        <w:t xml:space="preserve">, </w:t>
      </w:r>
      <w:r w:rsidRPr="005F1F31">
        <w:rPr>
          <w:i/>
          <w:iCs/>
        </w:rPr>
        <w:t>7</w:t>
      </w:r>
      <w:r w:rsidRPr="005F1F31">
        <w:t>(1), 49–71. https://doi.org/10.1086/368705</w:t>
      </w:r>
    </w:p>
    <w:p w14:paraId="4C2D5A6F" w14:textId="77777777" w:rsidR="00E258DB" w:rsidRDefault="00E258DB" w:rsidP="00E258DB">
      <w:pPr>
        <w:pStyle w:val="Literaturverzeichnis"/>
        <w:spacing w:line="240" w:lineRule="auto"/>
        <w:ind w:left="0" w:firstLine="0"/>
      </w:pPr>
    </w:p>
    <w:p w14:paraId="536CDE62" w14:textId="77777777" w:rsidR="005F1F31" w:rsidRPr="005F1F31" w:rsidRDefault="005F1F31" w:rsidP="00E258DB">
      <w:pPr>
        <w:pStyle w:val="Literaturverzeichnis"/>
        <w:spacing w:line="240" w:lineRule="auto"/>
        <w:ind w:left="0" w:firstLine="0"/>
      </w:pPr>
      <w:r w:rsidRPr="005F1F31">
        <w:t xml:space="preserve">Graham, L. R., &amp; Dezhina, I. (2008). </w:t>
      </w:r>
      <w:r w:rsidRPr="005F1F31">
        <w:rPr>
          <w:i/>
          <w:iCs/>
        </w:rPr>
        <w:t>Science in the New Russia: Crisis, Aid, Reform</w:t>
      </w:r>
      <w:r w:rsidRPr="005F1F31">
        <w:t>. Indiana University Press.</w:t>
      </w:r>
    </w:p>
    <w:p w14:paraId="02F33416" w14:textId="77777777" w:rsidR="00E258DB" w:rsidRDefault="00E258DB" w:rsidP="00E258DB">
      <w:pPr>
        <w:pStyle w:val="Literaturverzeichnis"/>
        <w:spacing w:line="240" w:lineRule="auto"/>
        <w:ind w:left="0" w:firstLine="0"/>
      </w:pPr>
    </w:p>
    <w:p w14:paraId="129C34D7" w14:textId="77777777" w:rsidR="005F1F31" w:rsidRPr="005F1F31" w:rsidRDefault="005F1F31" w:rsidP="00E258DB">
      <w:pPr>
        <w:pStyle w:val="Literaturverzeichnis"/>
        <w:spacing w:line="240" w:lineRule="auto"/>
        <w:ind w:left="0" w:firstLine="0"/>
      </w:pPr>
      <w:r w:rsidRPr="005F1F31">
        <w:t xml:space="preserve">Jonbekova, D. (2020). Educational research in Central Asia: Methodological and ethical dilemmas in Kazakhstan, Kyrgyzstan and Tajikistan. </w:t>
      </w:r>
      <w:r w:rsidRPr="005F1F31">
        <w:rPr>
          <w:i/>
          <w:iCs/>
        </w:rPr>
        <w:t>Compare: A Journal of Comparative and International Education</w:t>
      </w:r>
      <w:r w:rsidRPr="005F1F31">
        <w:t xml:space="preserve">, </w:t>
      </w:r>
      <w:r w:rsidRPr="005F1F31">
        <w:rPr>
          <w:i/>
          <w:iCs/>
        </w:rPr>
        <w:t>50</w:t>
      </w:r>
      <w:r w:rsidRPr="005F1F31">
        <w:t>(3), 352–370. https://doi.org/10.1080/03057925.2018.1511371</w:t>
      </w:r>
    </w:p>
    <w:p w14:paraId="4721E8B6" w14:textId="77777777" w:rsidR="00E258DB" w:rsidRDefault="00E258DB" w:rsidP="00E258DB">
      <w:pPr>
        <w:pStyle w:val="Literaturverzeichnis"/>
        <w:spacing w:line="240" w:lineRule="auto"/>
        <w:ind w:left="0" w:firstLine="0"/>
      </w:pPr>
    </w:p>
    <w:p w14:paraId="0DA3CA6A" w14:textId="77777777" w:rsidR="005F1F31" w:rsidRPr="005F1F31" w:rsidRDefault="005F1F31" w:rsidP="00E258DB">
      <w:pPr>
        <w:pStyle w:val="Literaturverzeichnis"/>
        <w:spacing w:line="240" w:lineRule="auto"/>
        <w:ind w:left="0" w:firstLine="0"/>
      </w:pPr>
      <w:r w:rsidRPr="005F1F31">
        <w:lastRenderedPageBreak/>
        <w:t xml:space="preserve">Karaulova, M., Gök, A., Shackleton, O., &amp; Shapira, P. (2016). Science system path-dependencies and their influences: Nanotechnology research in Russia. </w:t>
      </w:r>
      <w:r w:rsidRPr="005F1F31">
        <w:rPr>
          <w:i/>
          <w:iCs/>
        </w:rPr>
        <w:t>Scientometrics</w:t>
      </w:r>
      <w:r w:rsidRPr="005F1F31">
        <w:t xml:space="preserve">, </w:t>
      </w:r>
      <w:r w:rsidRPr="005F1F31">
        <w:rPr>
          <w:i/>
          <w:iCs/>
        </w:rPr>
        <w:t>107</w:t>
      </w:r>
      <w:r w:rsidRPr="005F1F31">
        <w:t>(2), 645–670. https://doi.org/10.1007/s11192-016-1916-3</w:t>
      </w:r>
    </w:p>
    <w:p w14:paraId="7AE97B36" w14:textId="77777777" w:rsidR="00E258DB" w:rsidRDefault="00E258DB" w:rsidP="00E258DB">
      <w:pPr>
        <w:pStyle w:val="Literaturverzeichnis"/>
        <w:spacing w:line="240" w:lineRule="auto"/>
        <w:ind w:left="0" w:firstLine="0"/>
      </w:pPr>
    </w:p>
    <w:p w14:paraId="5F9901B9" w14:textId="77777777" w:rsidR="005F1F31" w:rsidRPr="005F1F31" w:rsidRDefault="005F1F31" w:rsidP="00E258DB">
      <w:pPr>
        <w:pStyle w:val="Literaturverzeichnis"/>
        <w:spacing w:line="240" w:lineRule="auto"/>
        <w:ind w:left="0" w:firstLine="0"/>
      </w:pPr>
      <w:r w:rsidRPr="005F1F31">
        <w:t xml:space="preserve">Klochikhin, E. A. (2012). Russia’s innovation policy: Stubborn path-dependencies and new approaches. </w:t>
      </w:r>
      <w:r w:rsidRPr="005F1F31">
        <w:rPr>
          <w:i/>
          <w:iCs/>
        </w:rPr>
        <w:t>Research Policy</w:t>
      </w:r>
      <w:r w:rsidRPr="005F1F31">
        <w:t xml:space="preserve">, </w:t>
      </w:r>
      <w:r w:rsidRPr="005F1F31">
        <w:rPr>
          <w:i/>
          <w:iCs/>
        </w:rPr>
        <w:t>41</w:t>
      </w:r>
      <w:r w:rsidRPr="005F1F31">
        <w:t>(9), 1620–1630. https://doi.org/10.1016/j.respol.2012.03.023</w:t>
      </w:r>
    </w:p>
    <w:p w14:paraId="6A28C971" w14:textId="77777777" w:rsidR="00E258DB" w:rsidRDefault="00E258DB" w:rsidP="00E258DB">
      <w:pPr>
        <w:pStyle w:val="Literaturverzeichnis"/>
        <w:spacing w:line="240" w:lineRule="auto"/>
        <w:ind w:left="0" w:firstLine="0"/>
      </w:pPr>
    </w:p>
    <w:p w14:paraId="0BE3FF69" w14:textId="77777777" w:rsidR="005F1F31" w:rsidRPr="005F1F31" w:rsidRDefault="005F1F31" w:rsidP="00E258DB">
      <w:pPr>
        <w:pStyle w:val="Literaturverzeichnis"/>
        <w:spacing w:line="240" w:lineRule="auto"/>
        <w:ind w:left="0" w:firstLine="0"/>
      </w:pPr>
      <w:r w:rsidRPr="005F1F31">
        <w:t xml:space="preserve">Li, N. (2017). Evolutionary patterns of national disciplinary profiles in research: 1996–2015. </w:t>
      </w:r>
      <w:r w:rsidRPr="005F1F31">
        <w:rPr>
          <w:i/>
          <w:iCs/>
        </w:rPr>
        <w:t>Scientometrics</w:t>
      </w:r>
      <w:r w:rsidRPr="005F1F31">
        <w:t xml:space="preserve">, </w:t>
      </w:r>
      <w:r w:rsidRPr="005F1F31">
        <w:rPr>
          <w:i/>
          <w:iCs/>
        </w:rPr>
        <w:t>111</w:t>
      </w:r>
      <w:r w:rsidRPr="005F1F31">
        <w:t>(1), 493–520. https://doi.org/10.1007/s11192-017-2259-4</w:t>
      </w:r>
    </w:p>
    <w:p w14:paraId="39C4D396" w14:textId="77777777" w:rsidR="00E258DB" w:rsidRDefault="00E258DB" w:rsidP="00E258DB">
      <w:pPr>
        <w:pStyle w:val="Literaturverzeichnis"/>
        <w:spacing w:line="240" w:lineRule="auto"/>
        <w:ind w:left="0" w:firstLine="0"/>
      </w:pPr>
    </w:p>
    <w:p w14:paraId="44CA1385" w14:textId="77777777" w:rsidR="005F1F31" w:rsidRPr="005F1F31" w:rsidRDefault="005F1F31" w:rsidP="00E258DB">
      <w:pPr>
        <w:pStyle w:val="Literaturverzeichnis"/>
        <w:spacing w:line="240" w:lineRule="auto"/>
        <w:ind w:left="0" w:firstLine="0"/>
      </w:pPr>
      <w:r w:rsidRPr="005F1F31">
        <w:t xml:space="preserve">Lovakov, A., Chankseliani, M., &amp; Panova, A. (2022). Universities vs. research institutes? Overcoming the Soviet legacy of higher education and research. </w:t>
      </w:r>
      <w:r w:rsidRPr="005F1F31">
        <w:rPr>
          <w:i/>
          <w:iCs/>
        </w:rPr>
        <w:t>Scientometrics</w:t>
      </w:r>
      <w:r w:rsidRPr="005F1F31">
        <w:t xml:space="preserve">, </w:t>
      </w:r>
      <w:r w:rsidRPr="005F1F31">
        <w:rPr>
          <w:i/>
          <w:iCs/>
        </w:rPr>
        <w:t>127</w:t>
      </w:r>
      <w:r w:rsidRPr="005F1F31">
        <w:t>(11), 6293–6313. https://doi.org/10.1007/s11192-022-04527-y</w:t>
      </w:r>
    </w:p>
    <w:p w14:paraId="4EF5EBAC" w14:textId="77777777" w:rsidR="00E258DB" w:rsidRDefault="00E258DB" w:rsidP="00E258DB">
      <w:pPr>
        <w:pStyle w:val="Literaturverzeichnis"/>
        <w:spacing w:line="240" w:lineRule="auto"/>
        <w:ind w:left="0" w:firstLine="0"/>
      </w:pPr>
    </w:p>
    <w:p w14:paraId="175BADE2" w14:textId="77777777" w:rsidR="005F1F31" w:rsidRPr="005F1F31" w:rsidRDefault="005F1F31" w:rsidP="00E258DB">
      <w:pPr>
        <w:pStyle w:val="Literaturverzeichnis"/>
        <w:spacing w:line="240" w:lineRule="auto"/>
        <w:ind w:left="0" w:firstLine="0"/>
      </w:pPr>
      <w:r w:rsidRPr="005F1F31">
        <w:t xml:space="preserve">Nesvetailov, G. (1995). Center-periphery relations and transformation of post-soviet science. </w:t>
      </w:r>
      <w:r w:rsidRPr="005F1F31">
        <w:rPr>
          <w:i/>
          <w:iCs/>
        </w:rPr>
        <w:t>Knowledge and Policy</w:t>
      </w:r>
      <w:r w:rsidRPr="005F1F31">
        <w:t xml:space="preserve">, </w:t>
      </w:r>
      <w:r w:rsidRPr="005F1F31">
        <w:rPr>
          <w:i/>
          <w:iCs/>
        </w:rPr>
        <w:t>8</w:t>
      </w:r>
      <w:r w:rsidRPr="005F1F31">
        <w:t>(2), 53–67. https://doi.org/10.1007/BF02825968</w:t>
      </w:r>
    </w:p>
    <w:p w14:paraId="4B5EF894" w14:textId="77777777" w:rsidR="00E258DB" w:rsidRDefault="00E258DB" w:rsidP="00E258DB">
      <w:pPr>
        <w:pStyle w:val="Literaturverzeichnis"/>
        <w:spacing w:line="240" w:lineRule="auto"/>
        <w:ind w:left="0" w:firstLine="0"/>
      </w:pPr>
    </w:p>
    <w:p w14:paraId="332A8567" w14:textId="77777777" w:rsidR="005F1F31" w:rsidRPr="005F1F31" w:rsidRDefault="005F1F31" w:rsidP="00E258DB">
      <w:pPr>
        <w:pStyle w:val="Literaturverzeichnis"/>
        <w:spacing w:line="240" w:lineRule="auto"/>
        <w:ind w:left="0" w:firstLine="0"/>
      </w:pPr>
      <w:r w:rsidRPr="005F1F31">
        <w:t xml:space="preserve">Piskunov, D. I., &amp; Saltykov, B. (1992). Transforming the basic structures and operating mechanisms of Soviet science. </w:t>
      </w:r>
      <w:r w:rsidRPr="005F1F31">
        <w:rPr>
          <w:i/>
          <w:iCs/>
        </w:rPr>
        <w:t>Science and Public Policy</w:t>
      </w:r>
      <w:r w:rsidRPr="005F1F31">
        <w:t xml:space="preserve">, </w:t>
      </w:r>
      <w:r w:rsidRPr="005F1F31">
        <w:rPr>
          <w:i/>
          <w:iCs/>
        </w:rPr>
        <w:t>19</w:t>
      </w:r>
      <w:r w:rsidRPr="005F1F31">
        <w:t>(2), 111–118. https://doi.org/10.1093/spp/19.2.111</w:t>
      </w:r>
    </w:p>
    <w:p w14:paraId="15733077" w14:textId="77777777" w:rsidR="00E258DB" w:rsidRDefault="00E258DB" w:rsidP="00E258DB">
      <w:pPr>
        <w:pStyle w:val="Literaturverzeichnis"/>
        <w:spacing w:line="240" w:lineRule="auto"/>
        <w:ind w:left="0" w:firstLine="0"/>
      </w:pPr>
    </w:p>
    <w:p w14:paraId="014C9325" w14:textId="77777777" w:rsidR="005F1F31" w:rsidRPr="005F1F31" w:rsidRDefault="005F1F31" w:rsidP="00E258DB">
      <w:pPr>
        <w:pStyle w:val="Literaturverzeichnis"/>
        <w:spacing w:line="240" w:lineRule="auto"/>
        <w:ind w:left="0" w:firstLine="0"/>
      </w:pPr>
      <w:r w:rsidRPr="005F1F31">
        <w:t xml:space="preserve">Radosevic, S., &amp; Yoruk, E. (2014). Are there global shifts in the world science base? Analysing the catching up and falling behind of world regions. </w:t>
      </w:r>
      <w:r w:rsidRPr="005F1F31">
        <w:rPr>
          <w:i/>
          <w:iCs/>
        </w:rPr>
        <w:t>Scientometrics</w:t>
      </w:r>
      <w:r w:rsidRPr="005F1F31">
        <w:t xml:space="preserve">, </w:t>
      </w:r>
      <w:r w:rsidRPr="005F1F31">
        <w:rPr>
          <w:i/>
          <w:iCs/>
        </w:rPr>
        <w:t>101</w:t>
      </w:r>
      <w:r w:rsidRPr="005F1F31">
        <w:t>(3), 1897–1924. https://doi.org/10.1007/s11192-014-1344-1</w:t>
      </w:r>
    </w:p>
    <w:p w14:paraId="4B70389F" w14:textId="5DF91915" w:rsidR="00B868DF" w:rsidRDefault="00BD3BEA" w:rsidP="00E258DB">
      <w:pPr>
        <w:jc w:val="both"/>
      </w:pPr>
      <w:r>
        <w:fldChar w:fldCharType="end"/>
      </w:r>
    </w:p>
    <w:sectPr w:rsidR="00B868DF" w:rsidSect="00E33403">
      <w:pgSz w:w="11907" w:h="16839"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EC2CA4" w14:textId="77777777" w:rsidR="00916D36" w:rsidRDefault="00916D36">
      <w:r>
        <w:separator/>
      </w:r>
    </w:p>
  </w:endnote>
  <w:endnote w:type="continuationSeparator" w:id="0">
    <w:p w14:paraId="202557B8" w14:textId="77777777" w:rsidR="00916D36" w:rsidRDefault="00916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FC2B0C" w14:textId="77777777" w:rsidR="00916D36" w:rsidRDefault="00916D36">
      <w:r>
        <w:separator/>
      </w:r>
    </w:p>
  </w:footnote>
  <w:footnote w:type="continuationSeparator" w:id="0">
    <w:p w14:paraId="51A35973" w14:textId="77777777" w:rsidR="00916D36" w:rsidRDefault="00916D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D8B67C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83C1035"/>
    <w:multiLevelType w:val="hybridMultilevel"/>
    <w:tmpl w:val="A8E862FE"/>
    <w:lvl w:ilvl="0" w:tplc="04070001">
      <w:start w:val="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defaultTabStop w:val="1304"/>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6AC"/>
    <w:rsid w:val="0000194C"/>
    <w:rsid w:val="0000519E"/>
    <w:rsid w:val="00005844"/>
    <w:rsid w:val="00015A7B"/>
    <w:rsid w:val="00016081"/>
    <w:rsid w:val="000224AE"/>
    <w:rsid w:val="00022F49"/>
    <w:rsid w:val="0002352A"/>
    <w:rsid w:val="000478D3"/>
    <w:rsid w:val="00052E3A"/>
    <w:rsid w:val="0005460D"/>
    <w:rsid w:val="00065B74"/>
    <w:rsid w:val="00066FBE"/>
    <w:rsid w:val="00077816"/>
    <w:rsid w:val="00081D4D"/>
    <w:rsid w:val="0009082E"/>
    <w:rsid w:val="00093969"/>
    <w:rsid w:val="00094E04"/>
    <w:rsid w:val="000A0333"/>
    <w:rsid w:val="000A2344"/>
    <w:rsid w:val="000A4A9F"/>
    <w:rsid w:val="000B24FD"/>
    <w:rsid w:val="000B257D"/>
    <w:rsid w:val="000B323A"/>
    <w:rsid w:val="000C0E34"/>
    <w:rsid w:val="000C1967"/>
    <w:rsid w:val="000C25AF"/>
    <w:rsid w:val="000C30B5"/>
    <w:rsid w:val="000D460F"/>
    <w:rsid w:val="000F6691"/>
    <w:rsid w:val="00105061"/>
    <w:rsid w:val="00105A1D"/>
    <w:rsid w:val="001114CD"/>
    <w:rsid w:val="001138CA"/>
    <w:rsid w:val="001402B3"/>
    <w:rsid w:val="00154C73"/>
    <w:rsid w:val="00157749"/>
    <w:rsid w:val="00161230"/>
    <w:rsid w:val="00173EAD"/>
    <w:rsid w:val="00175488"/>
    <w:rsid w:val="001848C6"/>
    <w:rsid w:val="00186CF6"/>
    <w:rsid w:val="001874F7"/>
    <w:rsid w:val="001A23D8"/>
    <w:rsid w:val="001D7CC8"/>
    <w:rsid w:val="001E568F"/>
    <w:rsid w:val="001F332D"/>
    <w:rsid w:val="001F7644"/>
    <w:rsid w:val="0020033E"/>
    <w:rsid w:val="00202745"/>
    <w:rsid w:val="002127DC"/>
    <w:rsid w:val="0022290C"/>
    <w:rsid w:val="0024127E"/>
    <w:rsid w:val="002570BB"/>
    <w:rsid w:val="00264F48"/>
    <w:rsid w:val="002673FC"/>
    <w:rsid w:val="00276CC7"/>
    <w:rsid w:val="0028410F"/>
    <w:rsid w:val="0029109C"/>
    <w:rsid w:val="00291BD4"/>
    <w:rsid w:val="0029211E"/>
    <w:rsid w:val="00293DA3"/>
    <w:rsid w:val="002943CA"/>
    <w:rsid w:val="002B1950"/>
    <w:rsid w:val="002C0FA2"/>
    <w:rsid w:val="002C342A"/>
    <w:rsid w:val="002C4EF4"/>
    <w:rsid w:val="002D1B17"/>
    <w:rsid w:val="002D33F7"/>
    <w:rsid w:val="002D3BE4"/>
    <w:rsid w:val="002D710E"/>
    <w:rsid w:val="002E7904"/>
    <w:rsid w:val="002F243C"/>
    <w:rsid w:val="00303C99"/>
    <w:rsid w:val="00310C0B"/>
    <w:rsid w:val="0031202E"/>
    <w:rsid w:val="003124AD"/>
    <w:rsid w:val="003127D0"/>
    <w:rsid w:val="00320C5D"/>
    <w:rsid w:val="00345E92"/>
    <w:rsid w:val="00346A57"/>
    <w:rsid w:val="00346CD2"/>
    <w:rsid w:val="00351AF2"/>
    <w:rsid w:val="0035307C"/>
    <w:rsid w:val="00370126"/>
    <w:rsid w:val="00371ACD"/>
    <w:rsid w:val="003755BA"/>
    <w:rsid w:val="00383A87"/>
    <w:rsid w:val="00387850"/>
    <w:rsid w:val="00390253"/>
    <w:rsid w:val="003960AE"/>
    <w:rsid w:val="003A030E"/>
    <w:rsid w:val="003B6383"/>
    <w:rsid w:val="003C30AF"/>
    <w:rsid w:val="003C4345"/>
    <w:rsid w:val="003C5313"/>
    <w:rsid w:val="003C6EF5"/>
    <w:rsid w:val="003C76AF"/>
    <w:rsid w:val="003D1C80"/>
    <w:rsid w:val="00402C81"/>
    <w:rsid w:val="004057FC"/>
    <w:rsid w:val="00420106"/>
    <w:rsid w:val="00430FC6"/>
    <w:rsid w:val="0044073E"/>
    <w:rsid w:val="00445337"/>
    <w:rsid w:val="00445A23"/>
    <w:rsid w:val="00451AA5"/>
    <w:rsid w:val="0045560F"/>
    <w:rsid w:val="00464CA1"/>
    <w:rsid w:val="004725C8"/>
    <w:rsid w:val="00475931"/>
    <w:rsid w:val="00480CAF"/>
    <w:rsid w:val="004971AB"/>
    <w:rsid w:val="004D4532"/>
    <w:rsid w:val="004E212B"/>
    <w:rsid w:val="004E56AC"/>
    <w:rsid w:val="00504263"/>
    <w:rsid w:val="005110DD"/>
    <w:rsid w:val="005170CD"/>
    <w:rsid w:val="005172F9"/>
    <w:rsid w:val="00517FCF"/>
    <w:rsid w:val="00522BF8"/>
    <w:rsid w:val="0053603D"/>
    <w:rsid w:val="0054026B"/>
    <w:rsid w:val="00542798"/>
    <w:rsid w:val="0054666D"/>
    <w:rsid w:val="005549FB"/>
    <w:rsid w:val="00554E8F"/>
    <w:rsid w:val="00570E3F"/>
    <w:rsid w:val="00572E3E"/>
    <w:rsid w:val="005736CB"/>
    <w:rsid w:val="0057717C"/>
    <w:rsid w:val="0058753E"/>
    <w:rsid w:val="005907BB"/>
    <w:rsid w:val="00595181"/>
    <w:rsid w:val="00595AC4"/>
    <w:rsid w:val="00596F60"/>
    <w:rsid w:val="005A1BF2"/>
    <w:rsid w:val="005B3511"/>
    <w:rsid w:val="005C5108"/>
    <w:rsid w:val="005C6A9C"/>
    <w:rsid w:val="005F1F31"/>
    <w:rsid w:val="00606575"/>
    <w:rsid w:val="00614ED0"/>
    <w:rsid w:val="00622BF9"/>
    <w:rsid w:val="0063363B"/>
    <w:rsid w:val="00646543"/>
    <w:rsid w:val="00647A0B"/>
    <w:rsid w:val="006510F8"/>
    <w:rsid w:val="006513C3"/>
    <w:rsid w:val="006609A8"/>
    <w:rsid w:val="0066157A"/>
    <w:rsid w:val="00662AF1"/>
    <w:rsid w:val="00663AC3"/>
    <w:rsid w:val="00681AAA"/>
    <w:rsid w:val="00684B8B"/>
    <w:rsid w:val="006A3370"/>
    <w:rsid w:val="006C40B1"/>
    <w:rsid w:val="006D14F4"/>
    <w:rsid w:val="006E3FD1"/>
    <w:rsid w:val="006E7E5A"/>
    <w:rsid w:val="006F20F3"/>
    <w:rsid w:val="006F487B"/>
    <w:rsid w:val="007042BB"/>
    <w:rsid w:val="007053E7"/>
    <w:rsid w:val="007155F7"/>
    <w:rsid w:val="007228AC"/>
    <w:rsid w:val="0073347A"/>
    <w:rsid w:val="00737C87"/>
    <w:rsid w:val="0074177C"/>
    <w:rsid w:val="00756958"/>
    <w:rsid w:val="00760D33"/>
    <w:rsid w:val="007625EF"/>
    <w:rsid w:val="00762864"/>
    <w:rsid w:val="0076587B"/>
    <w:rsid w:val="0077796D"/>
    <w:rsid w:val="00780EC7"/>
    <w:rsid w:val="0078754B"/>
    <w:rsid w:val="007A42E7"/>
    <w:rsid w:val="007A59E1"/>
    <w:rsid w:val="007A6B4A"/>
    <w:rsid w:val="007A6E4A"/>
    <w:rsid w:val="007C30D8"/>
    <w:rsid w:val="007D2A59"/>
    <w:rsid w:val="007E24E0"/>
    <w:rsid w:val="007F3BBB"/>
    <w:rsid w:val="007F57FB"/>
    <w:rsid w:val="00800369"/>
    <w:rsid w:val="00810FA5"/>
    <w:rsid w:val="00813E5C"/>
    <w:rsid w:val="008168F4"/>
    <w:rsid w:val="00823AF0"/>
    <w:rsid w:val="00824424"/>
    <w:rsid w:val="00835B6B"/>
    <w:rsid w:val="00852334"/>
    <w:rsid w:val="008618F8"/>
    <w:rsid w:val="00870B16"/>
    <w:rsid w:val="008851F9"/>
    <w:rsid w:val="008C0329"/>
    <w:rsid w:val="008C2573"/>
    <w:rsid w:val="008C52D4"/>
    <w:rsid w:val="008D49E0"/>
    <w:rsid w:val="008D5E61"/>
    <w:rsid w:val="008E00AA"/>
    <w:rsid w:val="008E3F52"/>
    <w:rsid w:val="008E5795"/>
    <w:rsid w:val="008E6E34"/>
    <w:rsid w:val="008F1E72"/>
    <w:rsid w:val="008F2C66"/>
    <w:rsid w:val="008F6633"/>
    <w:rsid w:val="008F783D"/>
    <w:rsid w:val="00915294"/>
    <w:rsid w:val="00916D36"/>
    <w:rsid w:val="00927ECF"/>
    <w:rsid w:val="009302E1"/>
    <w:rsid w:val="0093532C"/>
    <w:rsid w:val="009501DD"/>
    <w:rsid w:val="00953BA1"/>
    <w:rsid w:val="00962921"/>
    <w:rsid w:val="00965910"/>
    <w:rsid w:val="00967DBA"/>
    <w:rsid w:val="009737E3"/>
    <w:rsid w:val="00994680"/>
    <w:rsid w:val="0099568F"/>
    <w:rsid w:val="009A1E7B"/>
    <w:rsid w:val="009B0F3C"/>
    <w:rsid w:val="009D026B"/>
    <w:rsid w:val="009E23BF"/>
    <w:rsid w:val="009F0635"/>
    <w:rsid w:val="009F0D43"/>
    <w:rsid w:val="009F2359"/>
    <w:rsid w:val="00A205F0"/>
    <w:rsid w:val="00A22AC2"/>
    <w:rsid w:val="00A22BBF"/>
    <w:rsid w:val="00A40DD3"/>
    <w:rsid w:val="00A4362D"/>
    <w:rsid w:val="00A71714"/>
    <w:rsid w:val="00A96B02"/>
    <w:rsid w:val="00AA1481"/>
    <w:rsid w:val="00AB2736"/>
    <w:rsid w:val="00AC140C"/>
    <w:rsid w:val="00AD1863"/>
    <w:rsid w:val="00AD2309"/>
    <w:rsid w:val="00AD3532"/>
    <w:rsid w:val="00AD53B6"/>
    <w:rsid w:val="00AD6D2D"/>
    <w:rsid w:val="00AE7776"/>
    <w:rsid w:val="00AF2859"/>
    <w:rsid w:val="00AF29CD"/>
    <w:rsid w:val="00B06CDE"/>
    <w:rsid w:val="00B14767"/>
    <w:rsid w:val="00B16715"/>
    <w:rsid w:val="00B16E8E"/>
    <w:rsid w:val="00B17306"/>
    <w:rsid w:val="00B223C2"/>
    <w:rsid w:val="00B35DB9"/>
    <w:rsid w:val="00B42E85"/>
    <w:rsid w:val="00B5494B"/>
    <w:rsid w:val="00B5776F"/>
    <w:rsid w:val="00B63DFC"/>
    <w:rsid w:val="00B65A23"/>
    <w:rsid w:val="00B71AD5"/>
    <w:rsid w:val="00B73A76"/>
    <w:rsid w:val="00B73A77"/>
    <w:rsid w:val="00B85AE8"/>
    <w:rsid w:val="00B868DF"/>
    <w:rsid w:val="00B90235"/>
    <w:rsid w:val="00BA4144"/>
    <w:rsid w:val="00BA59EF"/>
    <w:rsid w:val="00BA68EE"/>
    <w:rsid w:val="00BA6F1A"/>
    <w:rsid w:val="00BB2E42"/>
    <w:rsid w:val="00BC2363"/>
    <w:rsid w:val="00BD2667"/>
    <w:rsid w:val="00BD3BEA"/>
    <w:rsid w:val="00BF286F"/>
    <w:rsid w:val="00C0000D"/>
    <w:rsid w:val="00C06D28"/>
    <w:rsid w:val="00C101A6"/>
    <w:rsid w:val="00C15481"/>
    <w:rsid w:val="00C213E6"/>
    <w:rsid w:val="00C3437E"/>
    <w:rsid w:val="00C437DD"/>
    <w:rsid w:val="00C6489E"/>
    <w:rsid w:val="00C76479"/>
    <w:rsid w:val="00C765BD"/>
    <w:rsid w:val="00C86E38"/>
    <w:rsid w:val="00C90B76"/>
    <w:rsid w:val="00CA1357"/>
    <w:rsid w:val="00CA37F0"/>
    <w:rsid w:val="00CA76C7"/>
    <w:rsid w:val="00CB0C61"/>
    <w:rsid w:val="00CB15AC"/>
    <w:rsid w:val="00CB6152"/>
    <w:rsid w:val="00CB7BCF"/>
    <w:rsid w:val="00CC28DE"/>
    <w:rsid w:val="00CE3C45"/>
    <w:rsid w:val="00CE70E2"/>
    <w:rsid w:val="00CE7165"/>
    <w:rsid w:val="00CF44BA"/>
    <w:rsid w:val="00CF7AC8"/>
    <w:rsid w:val="00D00AAB"/>
    <w:rsid w:val="00D02002"/>
    <w:rsid w:val="00D03AD4"/>
    <w:rsid w:val="00D132FE"/>
    <w:rsid w:val="00D16BC6"/>
    <w:rsid w:val="00D21277"/>
    <w:rsid w:val="00D224D4"/>
    <w:rsid w:val="00D269CF"/>
    <w:rsid w:val="00D300B4"/>
    <w:rsid w:val="00D314CF"/>
    <w:rsid w:val="00D34688"/>
    <w:rsid w:val="00D44C68"/>
    <w:rsid w:val="00D50395"/>
    <w:rsid w:val="00D54C10"/>
    <w:rsid w:val="00D54E25"/>
    <w:rsid w:val="00D5520D"/>
    <w:rsid w:val="00D65F13"/>
    <w:rsid w:val="00D72680"/>
    <w:rsid w:val="00D837D9"/>
    <w:rsid w:val="00D96243"/>
    <w:rsid w:val="00DB40B2"/>
    <w:rsid w:val="00DC105B"/>
    <w:rsid w:val="00DC6FB5"/>
    <w:rsid w:val="00DE0E40"/>
    <w:rsid w:val="00DE5BD2"/>
    <w:rsid w:val="00DF037E"/>
    <w:rsid w:val="00DF1308"/>
    <w:rsid w:val="00DF2DC3"/>
    <w:rsid w:val="00E03487"/>
    <w:rsid w:val="00E077DB"/>
    <w:rsid w:val="00E116A6"/>
    <w:rsid w:val="00E20EFD"/>
    <w:rsid w:val="00E258DB"/>
    <w:rsid w:val="00E32A1D"/>
    <w:rsid w:val="00E33403"/>
    <w:rsid w:val="00E34C97"/>
    <w:rsid w:val="00E439E9"/>
    <w:rsid w:val="00E44280"/>
    <w:rsid w:val="00E501C4"/>
    <w:rsid w:val="00E50A3D"/>
    <w:rsid w:val="00E55FBC"/>
    <w:rsid w:val="00E7703F"/>
    <w:rsid w:val="00EA6D4C"/>
    <w:rsid w:val="00EA7E9B"/>
    <w:rsid w:val="00EB1190"/>
    <w:rsid w:val="00EB5C09"/>
    <w:rsid w:val="00EC04B8"/>
    <w:rsid w:val="00EC069B"/>
    <w:rsid w:val="00EC286B"/>
    <w:rsid w:val="00EC7804"/>
    <w:rsid w:val="00ED27EB"/>
    <w:rsid w:val="00EE4AC8"/>
    <w:rsid w:val="00EE791C"/>
    <w:rsid w:val="00EF2082"/>
    <w:rsid w:val="00EF346B"/>
    <w:rsid w:val="00EF3656"/>
    <w:rsid w:val="00F047FA"/>
    <w:rsid w:val="00F0578C"/>
    <w:rsid w:val="00F11FF9"/>
    <w:rsid w:val="00F13510"/>
    <w:rsid w:val="00F233ED"/>
    <w:rsid w:val="00F25426"/>
    <w:rsid w:val="00F2758B"/>
    <w:rsid w:val="00F37D2C"/>
    <w:rsid w:val="00F463E0"/>
    <w:rsid w:val="00F729E0"/>
    <w:rsid w:val="00F74276"/>
    <w:rsid w:val="00F776E3"/>
    <w:rsid w:val="00F834E1"/>
    <w:rsid w:val="00F8756A"/>
    <w:rsid w:val="00F909B9"/>
    <w:rsid w:val="00F92089"/>
    <w:rsid w:val="00F97FC6"/>
    <w:rsid w:val="00FA4F33"/>
    <w:rsid w:val="00FB2E6C"/>
    <w:rsid w:val="00FC6051"/>
    <w:rsid w:val="00FD22EC"/>
    <w:rsid w:val="00FE52F4"/>
    <w:rsid w:val="00FE5CA9"/>
    <w:rsid w:val="00FE63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9089935"/>
  <w14:defaultImageDpi w14:val="96"/>
  <w15:chartTrackingRefBased/>
  <w15:docId w15:val="{67FBF334-3E8E-47EE-823F-407A3D487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en-GB" w:eastAsia="sv-SE"/>
    </w:rPr>
  </w:style>
  <w:style w:type="paragraph" w:styleId="berschrift1">
    <w:name w:val="heading 1"/>
    <w:basedOn w:val="Standard"/>
    <w:next w:val="Standard"/>
    <w:link w:val="berschrift1Zchn"/>
    <w:uiPriority w:val="99"/>
    <w:qFormat/>
    <w:pPr>
      <w:keepNext/>
      <w:outlineLvl w:val="0"/>
    </w:pPr>
    <w:rPr>
      <w:sz w:val="36"/>
      <w:szCs w:val="36"/>
    </w:rPr>
  </w:style>
  <w:style w:type="paragraph" w:styleId="berschrift2">
    <w:name w:val="heading 2"/>
    <w:basedOn w:val="Standard"/>
    <w:next w:val="Standard"/>
    <w:link w:val="berschrift2Zchn"/>
    <w:uiPriority w:val="99"/>
    <w:qFormat/>
    <w:pPr>
      <w:keepNext/>
      <w:outlineLvl w:val="1"/>
    </w:pPr>
    <w:rPr>
      <w:b/>
      <w:bCs/>
    </w:rPr>
  </w:style>
  <w:style w:type="paragraph" w:styleId="berschrift3">
    <w:name w:val="heading 3"/>
    <w:basedOn w:val="Standard"/>
    <w:next w:val="Standard"/>
    <w:link w:val="berschrift3Zchn"/>
    <w:uiPriority w:val="99"/>
    <w:qFormat/>
    <w:pPr>
      <w:keepNext/>
      <w:outlineLvl w:val="2"/>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Pr>
      <w:rFonts w:ascii="Cambria" w:eastAsia="Times New Roman" w:hAnsi="Cambria" w:cs="Times New Roman"/>
      <w:b/>
      <w:bCs/>
      <w:kern w:val="32"/>
      <w:sz w:val="32"/>
      <w:szCs w:val="32"/>
      <w:lang w:val="en-GB" w:eastAsia="sv-SE"/>
    </w:rPr>
  </w:style>
  <w:style w:type="character" w:customStyle="1" w:styleId="berschrift2Zchn">
    <w:name w:val="Überschrift 2 Zchn"/>
    <w:link w:val="berschrift2"/>
    <w:uiPriority w:val="9"/>
    <w:semiHidden/>
    <w:locked/>
    <w:rPr>
      <w:rFonts w:ascii="Cambria" w:eastAsia="Times New Roman" w:hAnsi="Cambria" w:cs="Times New Roman"/>
      <w:b/>
      <w:bCs/>
      <w:i/>
      <w:iCs/>
      <w:sz w:val="28"/>
      <w:szCs w:val="28"/>
      <w:lang w:val="en-GB" w:eastAsia="sv-SE"/>
    </w:rPr>
  </w:style>
  <w:style w:type="character" w:customStyle="1" w:styleId="berschrift3Zchn">
    <w:name w:val="Überschrift 3 Zchn"/>
    <w:link w:val="berschrift3"/>
    <w:uiPriority w:val="9"/>
    <w:semiHidden/>
    <w:locked/>
    <w:rPr>
      <w:rFonts w:ascii="Cambria" w:eastAsia="Times New Roman" w:hAnsi="Cambria" w:cs="Times New Roman"/>
      <w:b/>
      <w:bCs/>
      <w:sz w:val="26"/>
      <w:szCs w:val="26"/>
      <w:lang w:val="en-GB" w:eastAsia="sv-SE"/>
    </w:rPr>
  </w:style>
  <w:style w:type="character" w:styleId="Hyperlink">
    <w:name w:val="Hyperlink"/>
    <w:uiPriority w:val="99"/>
    <w:rPr>
      <w:rFonts w:cs="Times New Roman"/>
      <w:color w:val="0000FF"/>
      <w:u w:val="single"/>
    </w:rPr>
  </w:style>
  <w:style w:type="paragraph" w:customStyle="1" w:styleId="References">
    <w:name w:val="References"/>
    <w:basedOn w:val="Standard"/>
    <w:uiPriority w:val="99"/>
    <w:pPr>
      <w:spacing w:after="80"/>
      <w:ind w:left="144" w:hanging="144"/>
      <w:jc w:val="both"/>
    </w:pPr>
    <w:rPr>
      <w:sz w:val="18"/>
      <w:szCs w:val="18"/>
      <w:lang w:val="en-US" w:eastAsia="en-US"/>
    </w:rPr>
  </w:style>
  <w:style w:type="paragraph" w:styleId="Textkrper2">
    <w:name w:val="Body Text 2"/>
    <w:basedOn w:val="Standard"/>
    <w:link w:val="Textkrper2Zchn"/>
    <w:uiPriority w:val="99"/>
    <w:pPr>
      <w:jc w:val="both"/>
    </w:pPr>
  </w:style>
  <w:style w:type="character" w:customStyle="1" w:styleId="Textkrper2Zchn">
    <w:name w:val="Textkörper 2 Zchn"/>
    <w:link w:val="Textkrper2"/>
    <w:uiPriority w:val="99"/>
    <w:semiHidden/>
    <w:locked/>
    <w:rPr>
      <w:rFonts w:cs="Times New Roman"/>
      <w:sz w:val="24"/>
      <w:szCs w:val="24"/>
      <w:lang w:val="en-GB" w:eastAsia="sv-SE"/>
    </w:rPr>
  </w:style>
  <w:style w:type="paragraph" w:styleId="Textkrper">
    <w:name w:val="Body Text"/>
    <w:basedOn w:val="Standard"/>
    <w:link w:val="TextkrperZchn"/>
    <w:uiPriority w:val="99"/>
    <w:rPr>
      <w:color w:val="0000FF"/>
    </w:rPr>
  </w:style>
  <w:style w:type="character" w:customStyle="1" w:styleId="TextkrperZchn">
    <w:name w:val="Textkörper Zchn"/>
    <w:link w:val="Textkrper"/>
    <w:uiPriority w:val="99"/>
    <w:semiHidden/>
    <w:locked/>
    <w:rPr>
      <w:rFonts w:cs="Times New Roman"/>
      <w:sz w:val="24"/>
      <w:szCs w:val="24"/>
      <w:lang w:val="en-GB" w:eastAsia="sv-SE"/>
    </w:rPr>
  </w:style>
  <w:style w:type="character" w:customStyle="1" w:styleId="eudoraheader">
    <w:name w:val="eudoraheader"/>
    <w:uiPriority w:val="99"/>
    <w:rsid w:val="00D50395"/>
    <w:rPr>
      <w:rFonts w:cs="Times New Roman"/>
    </w:rPr>
  </w:style>
  <w:style w:type="paragraph" w:styleId="Funotentext">
    <w:name w:val="footnote text"/>
    <w:basedOn w:val="Standard"/>
    <w:link w:val="FunotentextZchn"/>
    <w:uiPriority w:val="99"/>
    <w:semiHidden/>
    <w:rsid w:val="000C1967"/>
    <w:rPr>
      <w:sz w:val="20"/>
      <w:szCs w:val="20"/>
    </w:rPr>
  </w:style>
  <w:style w:type="character" w:customStyle="1" w:styleId="FunotentextZchn">
    <w:name w:val="Fußnotentext Zchn"/>
    <w:link w:val="Funotentext"/>
    <w:uiPriority w:val="99"/>
    <w:semiHidden/>
    <w:locked/>
    <w:rPr>
      <w:rFonts w:cs="Times New Roman"/>
      <w:sz w:val="20"/>
      <w:szCs w:val="20"/>
      <w:lang w:val="en-GB" w:eastAsia="sv-SE"/>
    </w:rPr>
  </w:style>
  <w:style w:type="character" w:styleId="Funotenzeichen">
    <w:name w:val="footnote reference"/>
    <w:uiPriority w:val="99"/>
    <w:semiHidden/>
    <w:rsid w:val="000C1967"/>
    <w:rPr>
      <w:rFonts w:cs="Times New Roman"/>
      <w:vertAlign w:val="superscript"/>
    </w:rPr>
  </w:style>
  <w:style w:type="character" w:styleId="BesuchterHyperlink">
    <w:name w:val="FollowedHyperlink"/>
    <w:uiPriority w:val="99"/>
    <w:semiHidden/>
    <w:unhideWhenUsed/>
    <w:rsid w:val="00AD53B6"/>
    <w:rPr>
      <w:rFonts w:cs="Times New Roman"/>
      <w:color w:val="800080"/>
      <w:u w:val="single"/>
    </w:rPr>
  </w:style>
  <w:style w:type="character" w:styleId="Kommentarzeichen">
    <w:name w:val="annotation reference"/>
    <w:uiPriority w:val="99"/>
    <w:semiHidden/>
    <w:unhideWhenUsed/>
    <w:rsid w:val="001402B3"/>
    <w:rPr>
      <w:rFonts w:cs="Times New Roman"/>
      <w:sz w:val="16"/>
      <w:szCs w:val="16"/>
    </w:rPr>
  </w:style>
  <w:style w:type="paragraph" w:styleId="Kommentartext">
    <w:name w:val="annotation text"/>
    <w:basedOn w:val="Standard"/>
    <w:link w:val="KommentartextZchn"/>
    <w:uiPriority w:val="99"/>
    <w:semiHidden/>
    <w:unhideWhenUsed/>
    <w:rsid w:val="001402B3"/>
    <w:rPr>
      <w:sz w:val="20"/>
      <w:szCs w:val="20"/>
    </w:rPr>
  </w:style>
  <w:style w:type="character" w:customStyle="1" w:styleId="KommentartextZchn">
    <w:name w:val="Kommentartext Zchn"/>
    <w:link w:val="Kommentartext"/>
    <w:uiPriority w:val="99"/>
    <w:semiHidden/>
    <w:locked/>
    <w:rsid w:val="001402B3"/>
    <w:rPr>
      <w:rFonts w:cs="Times New Roman"/>
      <w:sz w:val="20"/>
      <w:szCs w:val="20"/>
      <w:lang w:val="en-GB" w:eastAsia="sv-SE"/>
    </w:rPr>
  </w:style>
  <w:style w:type="paragraph" w:styleId="Kommentarthema">
    <w:name w:val="annotation subject"/>
    <w:basedOn w:val="Kommentartext"/>
    <w:next w:val="Kommentartext"/>
    <w:link w:val="KommentarthemaZchn"/>
    <w:uiPriority w:val="99"/>
    <w:semiHidden/>
    <w:unhideWhenUsed/>
    <w:rsid w:val="001402B3"/>
    <w:rPr>
      <w:b/>
      <w:bCs/>
    </w:rPr>
  </w:style>
  <w:style w:type="character" w:customStyle="1" w:styleId="KommentarthemaZchn">
    <w:name w:val="Kommentarthema Zchn"/>
    <w:link w:val="Kommentarthema"/>
    <w:uiPriority w:val="99"/>
    <w:semiHidden/>
    <w:locked/>
    <w:rsid w:val="001402B3"/>
    <w:rPr>
      <w:rFonts w:cs="Times New Roman"/>
      <w:b/>
      <w:bCs/>
      <w:sz w:val="20"/>
      <w:szCs w:val="20"/>
      <w:lang w:val="en-GB" w:eastAsia="sv-SE"/>
    </w:rPr>
  </w:style>
  <w:style w:type="paragraph" w:styleId="Sprechblasentext">
    <w:name w:val="Balloon Text"/>
    <w:basedOn w:val="Standard"/>
    <w:link w:val="SprechblasentextZchn"/>
    <w:uiPriority w:val="99"/>
    <w:semiHidden/>
    <w:unhideWhenUsed/>
    <w:rsid w:val="001402B3"/>
    <w:rPr>
      <w:rFonts w:ascii="Tahoma" w:hAnsi="Tahoma" w:cs="Tahoma"/>
      <w:sz w:val="16"/>
      <w:szCs w:val="16"/>
    </w:rPr>
  </w:style>
  <w:style w:type="character" w:customStyle="1" w:styleId="SprechblasentextZchn">
    <w:name w:val="Sprechblasentext Zchn"/>
    <w:link w:val="Sprechblasentext"/>
    <w:uiPriority w:val="99"/>
    <w:semiHidden/>
    <w:locked/>
    <w:rsid w:val="001402B3"/>
    <w:rPr>
      <w:rFonts w:ascii="Tahoma" w:hAnsi="Tahoma" w:cs="Tahoma"/>
      <w:sz w:val="16"/>
      <w:szCs w:val="16"/>
      <w:lang w:val="en-GB" w:eastAsia="sv-SE"/>
    </w:rPr>
  </w:style>
  <w:style w:type="paragraph" w:styleId="Kopfzeile">
    <w:name w:val="header"/>
    <w:basedOn w:val="Standard"/>
    <w:link w:val="KopfzeileZchn"/>
    <w:uiPriority w:val="99"/>
    <w:unhideWhenUsed/>
    <w:rsid w:val="00B73A77"/>
    <w:pPr>
      <w:tabs>
        <w:tab w:val="center" w:pos="4536"/>
        <w:tab w:val="right" w:pos="9072"/>
      </w:tabs>
    </w:pPr>
  </w:style>
  <w:style w:type="character" w:customStyle="1" w:styleId="KopfzeileZchn">
    <w:name w:val="Kopfzeile Zchn"/>
    <w:link w:val="Kopfzeile"/>
    <w:uiPriority w:val="99"/>
    <w:rsid w:val="00B73A77"/>
    <w:rPr>
      <w:sz w:val="24"/>
      <w:szCs w:val="24"/>
      <w:lang w:val="en-GB" w:eastAsia="sv-SE"/>
    </w:rPr>
  </w:style>
  <w:style w:type="paragraph" w:styleId="Fuzeile">
    <w:name w:val="footer"/>
    <w:basedOn w:val="Standard"/>
    <w:link w:val="FuzeileZchn"/>
    <w:uiPriority w:val="99"/>
    <w:unhideWhenUsed/>
    <w:rsid w:val="00B73A77"/>
    <w:pPr>
      <w:tabs>
        <w:tab w:val="center" w:pos="4536"/>
        <w:tab w:val="right" w:pos="9072"/>
      </w:tabs>
    </w:pPr>
  </w:style>
  <w:style w:type="character" w:customStyle="1" w:styleId="FuzeileZchn">
    <w:name w:val="Fußzeile Zchn"/>
    <w:link w:val="Fuzeile"/>
    <w:uiPriority w:val="99"/>
    <w:rsid w:val="00B73A77"/>
    <w:rPr>
      <w:sz w:val="24"/>
      <w:szCs w:val="24"/>
      <w:lang w:val="en-GB" w:eastAsia="sv-SE"/>
    </w:rPr>
  </w:style>
  <w:style w:type="character" w:customStyle="1" w:styleId="UnresolvedMention">
    <w:name w:val="Unresolved Mention"/>
    <w:uiPriority w:val="99"/>
    <w:semiHidden/>
    <w:unhideWhenUsed/>
    <w:rsid w:val="00813E5C"/>
    <w:rPr>
      <w:color w:val="605E5C"/>
      <w:shd w:val="clear" w:color="auto" w:fill="E1DFDD"/>
    </w:rPr>
  </w:style>
  <w:style w:type="paragraph" w:styleId="StandardWeb">
    <w:name w:val="Normal (Web)"/>
    <w:basedOn w:val="Standard"/>
    <w:uiPriority w:val="99"/>
    <w:semiHidden/>
    <w:unhideWhenUsed/>
    <w:rsid w:val="00622BF9"/>
    <w:pPr>
      <w:spacing w:before="100" w:beforeAutospacing="1" w:after="100" w:afterAutospacing="1"/>
    </w:pPr>
    <w:rPr>
      <w:lang w:val="de-DE" w:eastAsia="de-DE"/>
    </w:rPr>
  </w:style>
  <w:style w:type="paragraph" w:styleId="Literaturverzeichnis">
    <w:name w:val="Bibliography"/>
    <w:basedOn w:val="Standard"/>
    <w:next w:val="Standard"/>
    <w:uiPriority w:val="37"/>
    <w:unhideWhenUsed/>
    <w:rsid w:val="00BD3BEA"/>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986500">
      <w:bodyDiv w:val="1"/>
      <w:marLeft w:val="0"/>
      <w:marRight w:val="0"/>
      <w:marTop w:val="0"/>
      <w:marBottom w:val="0"/>
      <w:divBdr>
        <w:top w:val="none" w:sz="0" w:space="0" w:color="auto"/>
        <w:left w:val="none" w:sz="0" w:space="0" w:color="auto"/>
        <w:bottom w:val="none" w:sz="0" w:space="0" w:color="auto"/>
        <w:right w:val="none" w:sz="0" w:space="0" w:color="auto"/>
      </w:divBdr>
      <w:divsChild>
        <w:div w:id="2060783708">
          <w:marLeft w:val="0"/>
          <w:marRight w:val="0"/>
          <w:marTop w:val="0"/>
          <w:marBottom w:val="240"/>
          <w:divBdr>
            <w:top w:val="none" w:sz="0" w:space="0" w:color="auto"/>
            <w:left w:val="none" w:sz="0" w:space="0" w:color="auto"/>
            <w:bottom w:val="none" w:sz="0" w:space="0" w:color="auto"/>
            <w:right w:val="none" w:sz="0" w:space="0" w:color="auto"/>
          </w:divBdr>
          <w:divsChild>
            <w:div w:id="156548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35367">
      <w:bodyDiv w:val="1"/>
      <w:marLeft w:val="0"/>
      <w:marRight w:val="0"/>
      <w:marTop w:val="0"/>
      <w:marBottom w:val="0"/>
      <w:divBdr>
        <w:top w:val="none" w:sz="0" w:space="0" w:color="auto"/>
        <w:left w:val="none" w:sz="0" w:space="0" w:color="auto"/>
        <w:bottom w:val="none" w:sz="0" w:space="0" w:color="auto"/>
        <w:right w:val="none" w:sz="0" w:space="0" w:color="auto"/>
      </w:divBdr>
      <w:divsChild>
        <w:div w:id="1433431519">
          <w:marLeft w:val="0"/>
          <w:marRight w:val="0"/>
          <w:marTop w:val="0"/>
          <w:marBottom w:val="240"/>
          <w:divBdr>
            <w:top w:val="none" w:sz="0" w:space="0" w:color="auto"/>
            <w:left w:val="none" w:sz="0" w:space="0" w:color="auto"/>
            <w:bottom w:val="none" w:sz="0" w:space="0" w:color="auto"/>
            <w:right w:val="none" w:sz="0" w:space="0" w:color="auto"/>
          </w:divBdr>
          <w:divsChild>
            <w:div w:id="6985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STI%202012\Paper%20Template%20STI%20201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05C28A0C284E14CAB0F35F7407C529C" ma:contentTypeVersion="4" ma:contentTypeDescription="Create a new document." ma:contentTypeScope="" ma:versionID="3d644cc98ccfc1fe201f09343c2d9f3b">
  <xsd:schema xmlns:xsd="http://www.w3.org/2001/XMLSchema" xmlns:xs="http://www.w3.org/2001/XMLSchema" xmlns:p="http://schemas.microsoft.com/office/2006/metadata/properties" xmlns:ns2="13d39c59-4ee0-43e8-aaee-69a2639e1392" xmlns:ns3="3d2b0075-3574-4d93-af78-f174e69b1c14" targetNamespace="http://schemas.microsoft.com/office/2006/metadata/properties" ma:root="true" ma:fieldsID="a056a2c2337713622c687c4a44406344" ns2:_="" ns3:_="">
    <xsd:import namespace="13d39c59-4ee0-43e8-aaee-69a2639e1392"/>
    <xsd:import namespace="3d2b0075-3574-4d93-af78-f174e69b1c1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d39c59-4ee0-43e8-aaee-69a2639e13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2b0075-3574-4d93-af78-f174e69b1c1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606B7-9066-4666-AE2C-7807002114F5}">
  <ds:schemaRefs>
    <ds:schemaRef ds:uri="http://schemas.microsoft.com/sharepoint/v3/contenttype/forms"/>
  </ds:schemaRefs>
</ds:datastoreItem>
</file>

<file path=customXml/itemProps2.xml><?xml version="1.0" encoding="utf-8"?>
<ds:datastoreItem xmlns:ds="http://schemas.openxmlformats.org/officeDocument/2006/customXml" ds:itemID="{2272617D-7A0A-4E71-A216-0E565E8B05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d39c59-4ee0-43e8-aaee-69a2639e1392"/>
    <ds:schemaRef ds:uri="3d2b0075-3574-4d93-af78-f174e69b1c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5301A8-ECFA-44FB-AF53-3BDAF040E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Template STI 2012.dot</Template>
  <TotalTime>0</TotalTime>
  <Pages>1</Pages>
  <Words>6468</Words>
  <Characters>40752</Characters>
  <Application>Microsoft Office Word</Application>
  <DocSecurity>0</DocSecurity>
  <Lines>339</Lines>
  <Paragraphs>94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STI 2023 paper template</vt:lpstr>
      <vt:lpstr>STI 2023 paper template</vt:lpstr>
    </vt:vector>
  </TitlesOfParts>
  <Company/>
  <LinksUpToDate>false</LinksUpToDate>
  <CharactersWithSpaces>47126</CharactersWithSpaces>
  <SharedDoc>false</SharedDoc>
  <HLinks>
    <vt:vector size="12" baseType="variant">
      <vt:variant>
        <vt:i4>7012473</vt:i4>
      </vt:variant>
      <vt:variant>
        <vt:i4>6</vt:i4>
      </vt:variant>
      <vt:variant>
        <vt:i4>0</vt:i4>
      </vt:variant>
      <vt:variant>
        <vt:i4>5</vt:i4>
      </vt:variant>
      <vt:variant>
        <vt:lpwstr>http://www.csdl.tamu.edu/DL94/paper/kling.html</vt:lpwstr>
      </vt:variant>
      <vt:variant>
        <vt:lpwstr/>
      </vt:variant>
      <vt:variant>
        <vt:i4>4194375</vt:i4>
      </vt:variant>
      <vt:variant>
        <vt:i4>0</vt:i4>
      </vt:variant>
      <vt:variant>
        <vt:i4>0</vt:i4>
      </vt:variant>
      <vt:variant>
        <vt:i4>5</vt:i4>
      </vt:variant>
      <vt:variant>
        <vt:lpwstr>http://www.apastyle.org/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 2023 paper template</dc:title>
  <dc:subject/>
  <dc:creator>Waltman, L.R. (Ludo)</dc:creator>
  <cp:keywords/>
  <cp:lastModifiedBy>Lovakov, Andrey</cp:lastModifiedBy>
  <cp:revision>42</cp:revision>
  <cp:lastPrinted>2005-03-14T08:40:00Z</cp:lastPrinted>
  <dcterms:created xsi:type="dcterms:W3CDTF">2023-04-13T11:36:00Z</dcterms:created>
  <dcterms:modified xsi:type="dcterms:W3CDTF">2023-04-18T13:46:00Z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zotero-version="6.0.23"&gt;&lt;session id="WNppZsWo"/&gt;&lt;style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