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CC5C" w14:textId="35C48CB6" w:rsidR="00AD6D2D" w:rsidRPr="00542798" w:rsidRDefault="00663B50" w:rsidP="00CD2E75">
      <w:pPr>
        <w:pStyle w:val="Heading1"/>
        <w:jc w:val="center"/>
      </w:pPr>
      <w:r>
        <w:t xml:space="preserve">How relevant is </w:t>
      </w:r>
      <w:r w:rsidR="00CD2E75">
        <w:t>public policy and administration</w:t>
      </w:r>
      <w:r>
        <w:t xml:space="preserve"> research for the policy sector?</w:t>
      </w:r>
      <w:r w:rsidR="00CD2E75">
        <w:t xml:space="preserve"> </w:t>
      </w:r>
      <w:r>
        <w:t>An empirical analysis based on Overton data</w:t>
      </w:r>
    </w:p>
    <w:p w14:paraId="1448DA63" w14:textId="77777777" w:rsidR="00AD6D2D" w:rsidRPr="00AD6D2D" w:rsidRDefault="00AD6D2D" w:rsidP="00542798">
      <w:pPr>
        <w:jc w:val="center"/>
      </w:pPr>
    </w:p>
    <w:p w14:paraId="49EED032" w14:textId="01CF4A63" w:rsidR="00AD6D2D" w:rsidRPr="00CE561C" w:rsidRDefault="00663B50" w:rsidP="00542798">
      <w:pPr>
        <w:jc w:val="center"/>
      </w:pPr>
      <w:r w:rsidRPr="00CE561C">
        <w:t>Robin Haunschild</w:t>
      </w:r>
      <w:r w:rsidR="00AD6D2D" w:rsidRPr="00CE561C">
        <w:rPr>
          <w:vertAlign w:val="superscript"/>
        </w:rPr>
        <w:t>*</w:t>
      </w:r>
      <w:r w:rsidR="00AD6D2D" w:rsidRPr="00CE561C">
        <w:t xml:space="preserve">, </w:t>
      </w:r>
      <w:r w:rsidRPr="00CE561C">
        <w:t>Kate Williams</w:t>
      </w:r>
      <w:r w:rsidR="00AD6D2D" w:rsidRPr="00CE561C">
        <w:rPr>
          <w:vertAlign w:val="superscript"/>
        </w:rPr>
        <w:t>**</w:t>
      </w:r>
      <w:r w:rsidRPr="00CE561C">
        <w:t>,</w:t>
      </w:r>
      <w:r w:rsidR="00AD6D2D" w:rsidRPr="00CE561C">
        <w:t xml:space="preserve"> and </w:t>
      </w:r>
      <w:r w:rsidRPr="00CE561C">
        <w:t>Lutz Bornmann</w:t>
      </w:r>
      <w:r w:rsidR="00AD6D2D" w:rsidRPr="00CE561C">
        <w:rPr>
          <w:vertAlign w:val="superscript"/>
        </w:rPr>
        <w:t>*</w:t>
      </w:r>
      <w:r w:rsidR="00ED4CAB" w:rsidRPr="00CE561C">
        <w:rPr>
          <w:vertAlign w:val="superscript"/>
        </w:rPr>
        <w:t>,**</w:t>
      </w:r>
      <w:r w:rsidR="00AD6D2D" w:rsidRPr="00CE561C">
        <w:rPr>
          <w:vertAlign w:val="superscript"/>
        </w:rPr>
        <w:t>*</w:t>
      </w:r>
    </w:p>
    <w:p w14:paraId="69B5EBE6" w14:textId="77777777" w:rsidR="00AD6D2D" w:rsidRPr="00CE561C" w:rsidRDefault="00AD6D2D" w:rsidP="00542798">
      <w:pPr>
        <w:jc w:val="center"/>
        <w:rPr>
          <w:sz w:val="20"/>
          <w:szCs w:val="20"/>
        </w:rPr>
      </w:pPr>
    </w:p>
    <w:p w14:paraId="0327B950" w14:textId="74997FBA" w:rsidR="00AD6D2D" w:rsidRPr="00CE561C" w:rsidRDefault="00E127A7" w:rsidP="00542798">
      <w:pPr>
        <w:jc w:val="center"/>
        <w:rPr>
          <w:sz w:val="20"/>
          <w:szCs w:val="20"/>
        </w:rPr>
      </w:pPr>
      <w:hyperlink r:id="rId8" w:history="1">
        <w:r w:rsidR="00040F68" w:rsidRPr="00CE561C">
          <w:rPr>
            <w:rStyle w:val="Hyperlink"/>
            <w:sz w:val="20"/>
            <w:szCs w:val="20"/>
            <w:vertAlign w:val="superscript"/>
          </w:rPr>
          <w:t xml:space="preserve">* </w:t>
        </w:r>
        <w:r w:rsidR="00040F68" w:rsidRPr="00CE561C">
          <w:rPr>
            <w:rStyle w:val="Hyperlink"/>
            <w:i/>
            <w:iCs/>
            <w:sz w:val="20"/>
            <w:szCs w:val="20"/>
          </w:rPr>
          <w:t>R.Haunschild@fkf.mpg.de</w:t>
        </w:r>
      </w:hyperlink>
      <w:r w:rsidR="00ED4CAB" w:rsidRPr="00CE561C">
        <w:rPr>
          <w:i/>
          <w:iCs/>
          <w:sz w:val="20"/>
          <w:szCs w:val="20"/>
        </w:rPr>
        <w:t xml:space="preserve">; </w:t>
      </w:r>
      <w:hyperlink r:id="rId9" w:history="1">
        <w:r w:rsidR="002C152D" w:rsidRPr="00FC714E">
          <w:rPr>
            <w:rStyle w:val="Hyperlink"/>
            <w:i/>
            <w:iCs/>
            <w:sz w:val="20"/>
            <w:szCs w:val="20"/>
          </w:rPr>
          <w:t>L.Bornmann@fkf.mpg.de</w:t>
        </w:r>
      </w:hyperlink>
      <w:r w:rsidR="002C152D">
        <w:rPr>
          <w:i/>
          <w:iCs/>
          <w:sz w:val="20"/>
          <w:szCs w:val="20"/>
        </w:rPr>
        <w:t xml:space="preserve"> </w:t>
      </w:r>
    </w:p>
    <w:p w14:paraId="693BD9D2" w14:textId="41E5CDD7" w:rsidR="00ED4CAB" w:rsidRPr="00CE561C" w:rsidRDefault="00ED4CAB" w:rsidP="00542798">
      <w:pPr>
        <w:jc w:val="center"/>
        <w:rPr>
          <w:sz w:val="20"/>
          <w:szCs w:val="20"/>
        </w:rPr>
      </w:pPr>
      <w:r w:rsidRPr="00CE561C">
        <w:rPr>
          <w:sz w:val="20"/>
          <w:szCs w:val="20"/>
        </w:rPr>
        <w:t>0000-0001-7025-7256; 0000-0003-0810-7091</w:t>
      </w:r>
    </w:p>
    <w:p w14:paraId="744ED62A" w14:textId="72652221" w:rsidR="00AD6D2D" w:rsidRPr="00AD6D2D" w:rsidRDefault="00ED4CAB" w:rsidP="00542798">
      <w:pPr>
        <w:jc w:val="center"/>
        <w:rPr>
          <w:sz w:val="20"/>
          <w:szCs w:val="20"/>
        </w:rPr>
      </w:pPr>
      <w:r>
        <w:rPr>
          <w:sz w:val="20"/>
          <w:szCs w:val="20"/>
        </w:rPr>
        <w:t>Information Retrieval Service (IVS-CPT)</w:t>
      </w:r>
      <w:r w:rsidR="00AD6D2D" w:rsidRPr="00AD6D2D">
        <w:rPr>
          <w:sz w:val="20"/>
          <w:szCs w:val="20"/>
        </w:rPr>
        <w:t xml:space="preserve">, </w:t>
      </w:r>
      <w:r>
        <w:rPr>
          <w:sz w:val="20"/>
          <w:szCs w:val="20"/>
        </w:rPr>
        <w:t>Max Planck Institute for Solid State Research</w:t>
      </w:r>
      <w:r w:rsidR="00AD6D2D" w:rsidRPr="00AD6D2D">
        <w:rPr>
          <w:sz w:val="20"/>
          <w:szCs w:val="20"/>
        </w:rPr>
        <w:t xml:space="preserve">, </w:t>
      </w:r>
      <w:r>
        <w:rPr>
          <w:sz w:val="20"/>
          <w:szCs w:val="20"/>
        </w:rPr>
        <w:t>Germany</w:t>
      </w:r>
    </w:p>
    <w:p w14:paraId="0F7AF4B5" w14:textId="77777777" w:rsidR="00AD6D2D" w:rsidRPr="00AD6D2D" w:rsidRDefault="00AD6D2D" w:rsidP="00542798">
      <w:pPr>
        <w:jc w:val="center"/>
        <w:rPr>
          <w:sz w:val="20"/>
          <w:szCs w:val="20"/>
        </w:rPr>
      </w:pPr>
    </w:p>
    <w:p w14:paraId="455304FB" w14:textId="09E8FD2B" w:rsidR="00ED4CAB" w:rsidRDefault="00AD6D2D" w:rsidP="00542798">
      <w:pPr>
        <w:jc w:val="center"/>
        <w:rPr>
          <w:i/>
          <w:iCs/>
          <w:sz w:val="20"/>
          <w:szCs w:val="20"/>
        </w:rPr>
      </w:pPr>
      <w:r w:rsidRPr="00AD6D2D">
        <w:rPr>
          <w:sz w:val="20"/>
          <w:szCs w:val="20"/>
          <w:vertAlign w:val="superscript"/>
        </w:rPr>
        <w:t>**</w:t>
      </w:r>
      <w:r w:rsidRPr="00AD6D2D">
        <w:rPr>
          <w:i/>
          <w:iCs/>
          <w:sz w:val="20"/>
          <w:szCs w:val="20"/>
        </w:rPr>
        <w:t xml:space="preserve"> </w:t>
      </w:r>
      <w:hyperlink r:id="rId10" w:history="1">
        <w:r w:rsidR="00ED4CAB" w:rsidRPr="00F22BA5">
          <w:rPr>
            <w:rStyle w:val="Hyperlink"/>
            <w:i/>
            <w:iCs/>
            <w:sz w:val="20"/>
            <w:szCs w:val="20"/>
          </w:rPr>
          <w:t>kate.williams@unimelb.edu.au</w:t>
        </w:r>
      </w:hyperlink>
    </w:p>
    <w:p w14:paraId="5E4A448C" w14:textId="60E900B1" w:rsidR="00AD6D2D" w:rsidRPr="00AD6D2D" w:rsidRDefault="00ED4CAB" w:rsidP="00542798">
      <w:pPr>
        <w:jc w:val="center"/>
        <w:rPr>
          <w:sz w:val="20"/>
          <w:szCs w:val="20"/>
        </w:rPr>
      </w:pPr>
      <w:r w:rsidRPr="00ED4CAB">
        <w:rPr>
          <w:sz w:val="20"/>
          <w:szCs w:val="20"/>
        </w:rPr>
        <w:t>0000-0002-2882-1068</w:t>
      </w:r>
    </w:p>
    <w:p w14:paraId="6234A6AB" w14:textId="72D9865D" w:rsidR="00AD6D2D" w:rsidRDefault="00ED4CAB" w:rsidP="00542798">
      <w:pPr>
        <w:jc w:val="center"/>
        <w:rPr>
          <w:sz w:val="20"/>
          <w:szCs w:val="20"/>
        </w:rPr>
      </w:pPr>
      <w:r w:rsidRPr="00ED4CAB">
        <w:rPr>
          <w:sz w:val="20"/>
          <w:szCs w:val="20"/>
        </w:rPr>
        <w:t>School of Social and Political Sciences</w:t>
      </w:r>
      <w:r>
        <w:rPr>
          <w:sz w:val="20"/>
          <w:szCs w:val="20"/>
        </w:rPr>
        <w:t>,</w:t>
      </w:r>
      <w:r w:rsidRPr="00ED4CAB">
        <w:rPr>
          <w:sz w:val="20"/>
          <w:szCs w:val="20"/>
        </w:rPr>
        <w:t xml:space="preserve"> University of Melbourne</w:t>
      </w:r>
      <w:r>
        <w:rPr>
          <w:sz w:val="20"/>
          <w:szCs w:val="20"/>
        </w:rPr>
        <w:t>, Australia</w:t>
      </w:r>
    </w:p>
    <w:p w14:paraId="1E048317" w14:textId="2E25D303" w:rsidR="00040F68" w:rsidRDefault="00040F68" w:rsidP="00542798">
      <w:pPr>
        <w:jc w:val="center"/>
        <w:rPr>
          <w:sz w:val="20"/>
          <w:szCs w:val="20"/>
        </w:rPr>
      </w:pPr>
    </w:p>
    <w:p w14:paraId="7B3480BF" w14:textId="736CCD80" w:rsidR="00040F68" w:rsidRPr="00F26771" w:rsidRDefault="00E127A7" w:rsidP="00040F68">
      <w:pPr>
        <w:jc w:val="center"/>
        <w:rPr>
          <w:sz w:val="20"/>
          <w:szCs w:val="20"/>
        </w:rPr>
      </w:pPr>
      <w:hyperlink r:id="rId11" w:history="1">
        <w:r w:rsidR="00040F68" w:rsidRPr="00F26771">
          <w:rPr>
            <w:rStyle w:val="Hyperlink"/>
            <w:sz w:val="20"/>
            <w:szCs w:val="20"/>
            <w:vertAlign w:val="superscript"/>
          </w:rPr>
          <w:t>***</w:t>
        </w:r>
      </w:hyperlink>
      <w:r w:rsidR="00040F68" w:rsidRPr="00F26771">
        <w:rPr>
          <w:i/>
          <w:iCs/>
          <w:sz w:val="20"/>
          <w:szCs w:val="20"/>
        </w:rPr>
        <w:t xml:space="preserve"> </w:t>
      </w:r>
      <w:hyperlink r:id="rId12" w:history="1">
        <w:r w:rsidR="002C152D" w:rsidRPr="00FC714E">
          <w:rPr>
            <w:rStyle w:val="Hyperlink"/>
            <w:i/>
            <w:iCs/>
            <w:sz w:val="20"/>
            <w:szCs w:val="20"/>
          </w:rPr>
          <w:t>Lutz.Bornmann@gv.mpg.de</w:t>
        </w:r>
      </w:hyperlink>
      <w:r w:rsidR="002C152D">
        <w:rPr>
          <w:i/>
          <w:iCs/>
          <w:sz w:val="20"/>
          <w:szCs w:val="20"/>
        </w:rPr>
        <w:t xml:space="preserve"> </w:t>
      </w:r>
    </w:p>
    <w:p w14:paraId="283C0FDB" w14:textId="3731C3B8" w:rsidR="00040F68" w:rsidRPr="00040F68" w:rsidRDefault="00040F68" w:rsidP="00040F68">
      <w:pPr>
        <w:jc w:val="center"/>
        <w:rPr>
          <w:sz w:val="20"/>
          <w:szCs w:val="20"/>
          <w:lang w:val="en-US"/>
        </w:rPr>
      </w:pPr>
      <w:r w:rsidRPr="00040F68">
        <w:rPr>
          <w:sz w:val="20"/>
          <w:szCs w:val="20"/>
          <w:lang w:val="en-US"/>
        </w:rPr>
        <w:t>0000-0003-0810-7091</w:t>
      </w:r>
    </w:p>
    <w:p w14:paraId="233910C3" w14:textId="3F455C1C" w:rsidR="00040F68" w:rsidRPr="00AD6D2D" w:rsidRDefault="00F26771" w:rsidP="00040F68">
      <w:pPr>
        <w:jc w:val="center"/>
        <w:rPr>
          <w:sz w:val="20"/>
          <w:szCs w:val="20"/>
        </w:rPr>
      </w:pPr>
      <w:r w:rsidRPr="00F26771">
        <w:rPr>
          <w:sz w:val="20"/>
          <w:szCs w:val="20"/>
        </w:rPr>
        <w:t>Science Policy and Strategy Department, Administrative Headquarters of the Max Planck Society</w:t>
      </w:r>
      <w:r w:rsidR="00040F68" w:rsidRPr="00AD6D2D">
        <w:rPr>
          <w:sz w:val="20"/>
          <w:szCs w:val="20"/>
        </w:rPr>
        <w:t xml:space="preserve">, </w:t>
      </w:r>
      <w:r w:rsidR="00040F68">
        <w:rPr>
          <w:sz w:val="20"/>
          <w:szCs w:val="20"/>
        </w:rPr>
        <w:t>Germany</w:t>
      </w:r>
    </w:p>
    <w:p w14:paraId="18EAD8F9" w14:textId="77777777" w:rsidR="008168F4" w:rsidRPr="00D96243" w:rsidRDefault="008168F4" w:rsidP="00542798">
      <w:pPr>
        <w:jc w:val="center"/>
      </w:pPr>
    </w:p>
    <w:p w14:paraId="04927CB0" w14:textId="19EB24F2" w:rsidR="008168F4" w:rsidRDefault="008168F4" w:rsidP="00542798">
      <w:pPr>
        <w:jc w:val="center"/>
      </w:pPr>
    </w:p>
    <w:p w14:paraId="44B90B33" w14:textId="56C52A29" w:rsidR="005C57FE" w:rsidRPr="0018781C" w:rsidRDefault="00EB38CA" w:rsidP="0093099B">
      <w:pPr>
        <w:jc w:val="both"/>
        <w:rPr>
          <w:sz w:val="20"/>
          <w:szCs w:val="20"/>
        </w:rPr>
      </w:pPr>
      <w:r w:rsidRPr="0018781C">
        <w:rPr>
          <w:sz w:val="20"/>
          <w:szCs w:val="20"/>
        </w:rPr>
        <w:t xml:space="preserve">A key goal of public policy and </w:t>
      </w:r>
      <w:r w:rsidR="00C97B85" w:rsidRPr="0018781C">
        <w:rPr>
          <w:sz w:val="20"/>
          <w:szCs w:val="20"/>
        </w:rPr>
        <w:t xml:space="preserve">public </w:t>
      </w:r>
      <w:r w:rsidRPr="0018781C">
        <w:rPr>
          <w:sz w:val="20"/>
          <w:szCs w:val="20"/>
        </w:rPr>
        <w:t>administration research is to inform policy decisions</w:t>
      </w:r>
      <w:r w:rsidR="005C57FE" w:rsidRPr="0018781C">
        <w:rPr>
          <w:sz w:val="20"/>
          <w:szCs w:val="20"/>
        </w:rPr>
        <w:t xml:space="preserve">. </w:t>
      </w:r>
      <w:r w:rsidR="00647E28" w:rsidRPr="0018781C">
        <w:rPr>
          <w:sz w:val="20"/>
          <w:szCs w:val="20"/>
        </w:rPr>
        <w:t>It is not clear, however, to what extent this is the case. In this study, therefore, c</w:t>
      </w:r>
      <w:r w:rsidR="005C57FE" w:rsidRPr="0018781C">
        <w:rPr>
          <w:sz w:val="20"/>
          <w:szCs w:val="20"/>
        </w:rPr>
        <w:t>itations from policy documents to public policy and administration research were analy</w:t>
      </w:r>
      <w:r w:rsidR="00E46C24" w:rsidRPr="0018781C">
        <w:rPr>
          <w:sz w:val="20"/>
          <w:szCs w:val="20"/>
        </w:rPr>
        <w:t>z</w:t>
      </w:r>
      <w:r w:rsidR="005C57FE" w:rsidRPr="0018781C">
        <w:rPr>
          <w:sz w:val="20"/>
          <w:szCs w:val="20"/>
        </w:rPr>
        <w:t xml:space="preserve">ed to identify which research contributed most to policy </w:t>
      </w:r>
      <w:r w:rsidR="00830D44" w:rsidRPr="0018781C">
        <w:rPr>
          <w:sz w:val="20"/>
          <w:szCs w:val="20"/>
        </w:rPr>
        <w:t xml:space="preserve">reports and </w:t>
      </w:r>
      <w:r w:rsidR="005C57FE" w:rsidRPr="0018781C">
        <w:rPr>
          <w:sz w:val="20"/>
          <w:szCs w:val="20"/>
        </w:rPr>
        <w:t xml:space="preserve">decisions. Additionally, </w:t>
      </w:r>
      <w:r w:rsidR="00CE6593" w:rsidRPr="0018781C">
        <w:rPr>
          <w:sz w:val="20"/>
          <w:szCs w:val="20"/>
        </w:rPr>
        <w:t xml:space="preserve">we </w:t>
      </w:r>
      <w:r w:rsidR="005C57FE" w:rsidRPr="0018781C">
        <w:rPr>
          <w:sz w:val="20"/>
          <w:szCs w:val="20"/>
        </w:rPr>
        <w:t>identified which policy institutions used research literature more than others</w:t>
      </w:r>
      <w:r w:rsidR="00013E2F" w:rsidRPr="0018781C">
        <w:rPr>
          <w:sz w:val="20"/>
          <w:szCs w:val="20"/>
        </w:rPr>
        <w:t xml:space="preserve"> to justify their policy decisions. </w:t>
      </w:r>
      <w:r w:rsidR="00647E28" w:rsidRPr="0018781C">
        <w:rPr>
          <w:sz w:val="20"/>
          <w:szCs w:val="20"/>
        </w:rPr>
        <w:t>Our</w:t>
      </w:r>
      <w:r w:rsidR="00013E2F" w:rsidRPr="0018781C">
        <w:rPr>
          <w:sz w:val="20"/>
          <w:szCs w:val="20"/>
        </w:rPr>
        <w:t xml:space="preserve"> findings sh</w:t>
      </w:r>
      <w:bookmarkStart w:id="0" w:name="_GoBack"/>
      <w:bookmarkEnd w:id="0"/>
      <w:r w:rsidR="00013E2F" w:rsidRPr="0018781C">
        <w:rPr>
          <w:sz w:val="20"/>
          <w:szCs w:val="20"/>
        </w:rPr>
        <w:t xml:space="preserve">ow that </w:t>
      </w:r>
      <w:r w:rsidR="00F02093" w:rsidRPr="0018781C">
        <w:rPr>
          <w:sz w:val="20"/>
          <w:szCs w:val="20"/>
        </w:rPr>
        <w:t>think tanks</w:t>
      </w:r>
      <w:r w:rsidR="00013E2F" w:rsidRPr="0018781C">
        <w:rPr>
          <w:sz w:val="20"/>
          <w:szCs w:val="20"/>
        </w:rPr>
        <w:t xml:space="preserve"> use</w:t>
      </w:r>
      <w:r w:rsidR="00E13E90" w:rsidRPr="0018781C">
        <w:rPr>
          <w:sz w:val="20"/>
          <w:szCs w:val="20"/>
        </w:rPr>
        <w:t xml:space="preserve"> public policy and administration</w:t>
      </w:r>
      <w:r w:rsidR="00013E2F" w:rsidRPr="0018781C">
        <w:rPr>
          <w:sz w:val="20"/>
          <w:szCs w:val="20"/>
        </w:rPr>
        <w:t xml:space="preserve"> research literature more often than governmental organizations when justifying policy</w:t>
      </w:r>
      <w:r w:rsidR="00830D44" w:rsidRPr="0018781C">
        <w:rPr>
          <w:sz w:val="20"/>
          <w:szCs w:val="20"/>
        </w:rPr>
        <w:t xml:space="preserve"> reports and</w:t>
      </w:r>
      <w:r w:rsidR="00013E2F" w:rsidRPr="0018781C">
        <w:rPr>
          <w:sz w:val="20"/>
          <w:szCs w:val="20"/>
        </w:rPr>
        <w:t xml:space="preserve"> decisions.</w:t>
      </w:r>
    </w:p>
    <w:p w14:paraId="45D417DC" w14:textId="77777777" w:rsidR="005C57FE" w:rsidRPr="00D96243" w:rsidRDefault="005C57FE" w:rsidP="0093099B"/>
    <w:p w14:paraId="33A64326" w14:textId="2D03CA13" w:rsidR="001229A3" w:rsidRDefault="008168F4" w:rsidP="00E127A7">
      <w:pPr>
        <w:pStyle w:val="Heading2"/>
        <w:numPr>
          <w:ilvl w:val="0"/>
          <w:numId w:val="3"/>
        </w:numPr>
        <w:ind w:left="357" w:hanging="357"/>
        <w:jc w:val="both"/>
      </w:pPr>
      <w:r w:rsidRPr="00D96243">
        <w:t>Introduction</w:t>
      </w:r>
    </w:p>
    <w:p w14:paraId="5DABDCF8" w14:textId="37EB2D3E" w:rsidR="00C177F0" w:rsidRDefault="001229A3" w:rsidP="00864BC8">
      <w:pPr>
        <w:jc w:val="both"/>
      </w:pPr>
      <w:r>
        <w:t>E</w:t>
      </w:r>
      <w:r w:rsidRPr="001229A3">
        <w:t xml:space="preserve">xpertise has become </w:t>
      </w:r>
      <w:r>
        <w:t xml:space="preserve">an integral part of </w:t>
      </w:r>
      <w:r w:rsidR="00864BC8">
        <w:t>policy</w:t>
      </w:r>
      <w:r w:rsidRPr="001229A3">
        <w:t xml:space="preserve">making </w:t>
      </w:r>
      <w:r>
        <w:t>processes</w:t>
      </w:r>
      <w:r w:rsidR="00992665">
        <w:t xml:space="preserve"> around the world</w:t>
      </w:r>
      <w:r>
        <w:t xml:space="preserve">. </w:t>
      </w:r>
      <w:r w:rsidR="00EC2215">
        <w:t>Accordingly, t</w:t>
      </w:r>
      <w:r>
        <w:t xml:space="preserve">here is now a substantial literature </w:t>
      </w:r>
      <w:r w:rsidRPr="001229A3">
        <w:t>on</w:t>
      </w:r>
      <w:r w:rsidR="00EF2D27">
        <w:t xml:space="preserve"> expert</w:t>
      </w:r>
      <w:r w:rsidR="00C177F0">
        <w:t xml:space="preserve"> knowledge</w:t>
      </w:r>
      <w:r w:rsidR="00EF2D27">
        <w:t xml:space="preserve"> and</w:t>
      </w:r>
      <w:r w:rsidRPr="001229A3">
        <w:t xml:space="preserve"> </w:t>
      </w:r>
      <w:r w:rsidR="00864BC8">
        <w:t>policy processes</w:t>
      </w:r>
      <w:r w:rsidR="00737249">
        <w:t>. Much of this work</w:t>
      </w:r>
      <w:r>
        <w:t xml:space="preserve"> has focused </w:t>
      </w:r>
      <w:r w:rsidR="00AE5D19">
        <w:t>on the</w:t>
      </w:r>
      <w:r w:rsidR="007F4136">
        <w:t xml:space="preserve"> </w:t>
      </w:r>
      <w:r>
        <w:t>dual logics of science and politics</w:t>
      </w:r>
      <w:r w:rsidR="00737249">
        <w:t xml:space="preserve"> and the various ways these complement or contradict each other</w:t>
      </w:r>
      <w:r w:rsidR="008010FD">
        <w:t xml:space="preserve"> </w:t>
      </w:r>
      <w:r w:rsidR="008010FD">
        <w:fldChar w:fldCharType="begin"/>
      </w:r>
      <w:r w:rsidR="008010FD">
        <w:instrText xml:space="preserve"> ADDIN EN.CITE &lt;EndNote&gt;&lt;Cite&gt;&lt;Author&gt;Jasanoff &lt;/Author&gt;&lt;Year&gt;1990&lt;/Year&gt;&lt;RecNum&gt;900&lt;/RecNum&gt;&lt;DisplayText&gt;(Jasanoff 1990)&lt;/DisplayText&gt;&lt;record&gt;&lt;rec-number&gt;900&lt;/rec-number&gt;&lt;foreign-keys&gt;&lt;key app="EN" db-id="art5xdpt5srxr3edaeu5r0sdpaxwttzfwfte" timestamp="1678457815"&gt;900&lt;/key&gt;&lt;/foreign-keys&gt;&lt;ref-type name="Book"&gt;6&lt;/ref-type&gt;&lt;contributors&gt;&lt;authors&gt;&lt;author&gt;Jasanoff , S.&lt;/author&gt;&lt;/authors&gt;&lt;/contributors&gt;&lt;titles&gt;&lt;title&gt;The fifth branch. Science advisers as policymakers.&lt;/title&gt;&lt;/titles&gt;&lt;dates&gt;&lt;year&gt;1990&lt;/year&gt;&lt;/dates&gt;&lt;pub-location&gt;Cambridge, MA&lt;/pub-location&gt;&lt;publisher&gt;Harvard University Press&lt;/publisher&gt;&lt;isbn&gt;0-674-30062-9&lt;/isbn&gt;&lt;urls&gt;&lt;/urls&gt;&lt;/record&gt;&lt;/Cite&gt;&lt;/EndNote&gt;</w:instrText>
      </w:r>
      <w:r w:rsidR="008010FD">
        <w:fldChar w:fldCharType="separate"/>
      </w:r>
      <w:r w:rsidR="008010FD">
        <w:rPr>
          <w:noProof/>
        </w:rPr>
        <w:t>(Jasanoff 1990)</w:t>
      </w:r>
      <w:r w:rsidR="008010FD">
        <w:fldChar w:fldCharType="end"/>
      </w:r>
      <w:r w:rsidR="00737249">
        <w:t xml:space="preserve">. </w:t>
      </w:r>
      <w:r w:rsidR="00C177F0">
        <w:t xml:space="preserve">Attempts to conceptualise the </w:t>
      </w:r>
      <w:r w:rsidR="00030C32">
        <w:t>influence of</w:t>
      </w:r>
      <w:r w:rsidR="00C177F0">
        <w:t xml:space="preserve"> expert knowledge on policymaking have been fragmented</w:t>
      </w:r>
      <w:r w:rsidR="00A30999">
        <w:t xml:space="preserve"> </w:t>
      </w:r>
      <w:r w:rsidR="00A30999">
        <w:fldChar w:fldCharType="begin"/>
      </w:r>
      <w:r w:rsidR="00405CCD">
        <w:instrText xml:space="preserve"> ADDIN EN.CITE &lt;EndNote&gt;&lt;Cite&gt;&lt;Author&gt;Christensen&lt;/Author&gt;&lt;Year&gt;2021&lt;/Year&gt;&lt;RecNum&gt;901&lt;/RecNum&gt;&lt;DisplayText&gt;(Christensen, 2021)&lt;/DisplayText&gt;&lt;record&gt;&lt;rec-number&gt;901&lt;/rec-number&gt;&lt;foreign-keys&gt;&lt;key app="EN" db-id="art5xdpt5srxr3edaeu5r0sdpaxwttzfwfte" timestamp="1678457916"&gt;901&lt;/key&gt;&lt;/foreign-keys&gt;&lt;ref-type name="Journal Article"&gt;17&lt;/ref-type&gt;&lt;contributors&gt;&lt;authors&gt;&lt;author&gt;Christensen, Johan&lt;/author&gt;&lt;/authors&gt;&lt;/contributors&gt;&lt;titles&gt;&lt;title&gt;Expert knowledge and policymaking: A multi-disciplinary research agenda&lt;/title&gt;&lt;secondary-title&gt;Policy &amp;amp; Politics&lt;/secondary-title&gt;&lt;/titles&gt;&lt;periodical&gt;&lt;full-title&gt;Policy &amp;amp; Politics&lt;/full-title&gt;&lt;/periodical&gt;&lt;pages&gt;455-471&lt;/pages&gt;&lt;volume&gt;49&lt;/volume&gt;&lt;number&gt;3&lt;/number&gt;&lt;dates&gt;&lt;year&gt;2021&lt;/year&gt;&lt;pub-dates&gt;&lt;date&gt;01 Jul. 2021&lt;/date&gt;&lt;/pub-dates&gt;&lt;/dates&gt;&lt;isbn&gt;0305-5736&lt;/isbn&gt;&lt;urls&gt;&lt;related-urls&gt;&lt;url&gt;https://bristoluniversitypressdigital.com/view/journals/pp/49/3/article-p455.xml&lt;/url&gt;&lt;/related-urls&gt;&lt;/urls&gt;&lt;electronic-resource-num&gt;https://dx.doi.org/10.1332/030557320x15898190680037&lt;/electronic-resource-num&gt;&lt;language&gt;English&lt;/language&gt;&lt;/record&gt;&lt;/Cite&gt;&lt;/EndNote&gt;</w:instrText>
      </w:r>
      <w:r w:rsidR="00A30999">
        <w:fldChar w:fldCharType="separate"/>
      </w:r>
      <w:r w:rsidR="00A30999">
        <w:rPr>
          <w:noProof/>
        </w:rPr>
        <w:t>(Christensen, 2021)</w:t>
      </w:r>
      <w:r w:rsidR="00A30999">
        <w:fldChar w:fldCharType="end"/>
      </w:r>
      <w:r w:rsidR="00C177F0">
        <w:t xml:space="preserve">. The knowledge utilisation literature, </w:t>
      </w:r>
      <w:r w:rsidR="00AD20A9">
        <w:t>from the field of public policy, has centred the use of information or research in policymaking. This includes evidence-based policymaking</w:t>
      </w:r>
      <w:r w:rsidR="00A30999">
        <w:t xml:space="preserve"> </w:t>
      </w:r>
      <w:r w:rsidR="00A30999">
        <w:fldChar w:fldCharType="begin"/>
      </w:r>
      <w:r w:rsidR="00A30999">
        <w:instrText xml:space="preserve"> ADDIN EN.CITE &lt;EndNote&gt;&lt;Cite&gt;&lt;Author&gt;Head&lt;/Author&gt;&lt;Year&gt;2016&lt;/Year&gt;&lt;RecNum&gt;902&lt;/RecNum&gt;&lt;DisplayText&gt;(Head, 2016)&lt;/DisplayText&gt;&lt;record&gt;&lt;rec-number&gt;902&lt;/rec-number&gt;&lt;foreign-keys&gt;&lt;key app="EN" db-id="art5xdpt5srxr3edaeu5r0sdpaxwttzfwfte" timestamp="1678457976"&gt;902&lt;/key&gt;&lt;/foreign-keys&gt;&lt;ref-type name="Journal Article"&gt;17&lt;/ref-type&gt;&lt;contributors&gt;&lt;authors&gt;&lt;author&gt;Head, Brian W.&lt;/author&gt;&lt;/authors&gt;&lt;/contributors&gt;&lt;titles&gt;&lt;title&gt;Toward more “evidence-informed” policy making?&lt;/title&gt;&lt;secondary-title&gt;Public Administration Review&lt;/secondary-title&gt;&lt;/titles&gt;&lt;periodical&gt;&lt;full-title&gt;Public Administration Review&lt;/full-title&gt;&lt;/periodical&gt;&lt;pages&gt;472-484&lt;/pages&gt;&lt;volume&gt;76&lt;/volume&gt;&lt;number&gt;3&lt;/number&gt;&lt;dates&gt;&lt;year&gt;2016&lt;/year&gt;&lt;/dates&gt;&lt;isbn&gt;0033-3352&lt;/isbn&gt;&lt;urls&gt;&lt;related-urls&gt;&lt;url&gt;https://onlinelibrary.wiley.com/doi/abs/10.1111/puar.12475&lt;/url&gt;&lt;/related-urls&gt;&lt;/urls&gt;&lt;electronic-resource-num&gt;https://doi.org/10.1111/puar.12475&lt;/electronic-resource-num&gt;&lt;/record&gt;&lt;/Cite&gt;&lt;/EndNote&gt;</w:instrText>
      </w:r>
      <w:r w:rsidR="00A30999">
        <w:fldChar w:fldCharType="separate"/>
      </w:r>
      <w:r w:rsidR="00A30999">
        <w:rPr>
          <w:noProof/>
        </w:rPr>
        <w:t>(Head, 2016)</w:t>
      </w:r>
      <w:r w:rsidR="00A30999">
        <w:fldChar w:fldCharType="end"/>
      </w:r>
      <w:r w:rsidR="00AD20A9">
        <w:t>, which aims to understand how evidence is taken up in policy design</w:t>
      </w:r>
      <w:r w:rsidR="00F632A2">
        <w:t>, as well as the</w:t>
      </w:r>
      <w:r w:rsidR="00AD20A9">
        <w:t xml:space="preserve"> strategic and symbolic use of evidence to gain </w:t>
      </w:r>
      <w:r w:rsidR="00F632A2">
        <w:t xml:space="preserve">political </w:t>
      </w:r>
      <w:r w:rsidR="00AD20A9">
        <w:t>legitimacy</w:t>
      </w:r>
      <w:r w:rsidR="00A30999">
        <w:t xml:space="preserve"> </w:t>
      </w:r>
      <w:r w:rsidR="00A30999">
        <w:fldChar w:fldCharType="begin"/>
      </w:r>
      <w:r w:rsidR="00A30999">
        <w:instrText xml:space="preserve"> ADDIN EN.CITE &lt;EndNote&gt;&lt;Cite&gt;&lt;Author&gt;Boswell &lt;/Author&gt;&lt;Year&gt;2009&lt;/Year&gt;&lt;RecNum&gt;903&lt;/RecNum&gt;&lt;DisplayText&gt;(Boswell 2009)&lt;/DisplayText&gt;&lt;record&gt;&lt;rec-number&gt;903&lt;/rec-number&gt;&lt;foreign-keys&gt;&lt;key app="EN" db-id="art5xdpt5srxr3edaeu5r0sdpaxwttzfwfte" timestamp="1678458158"&gt;903&lt;/key&gt;&lt;/foreign-keys&gt;&lt;ref-type name="Book"&gt;6&lt;/ref-type&gt;&lt;contributors&gt;&lt;authors&gt;&lt;author&gt;Boswell , C.&lt;/author&gt;&lt;/authors&gt;&lt;/contributors&gt;&lt;titles&gt;&lt;title&gt;The political uses of expert knowledge&lt;/title&gt;&lt;/titles&gt;&lt;section&gt;190-218&lt;/section&gt;&lt;dates&gt;&lt;year&gt;2009&lt;/year&gt;&lt;/dates&gt;&lt;publisher&gt;Cambridge University Press&lt;/publisher&gt;&lt;isbn&gt;978-0-521-51741-6&lt;/isbn&gt;&lt;urls&gt;&lt;/urls&gt;&lt;/record&gt;&lt;/Cite&gt;&lt;/EndNote&gt;</w:instrText>
      </w:r>
      <w:r w:rsidR="00A30999">
        <w:fldChar w:fldCharType="separate"/>
      </w:r>
      <w:r w:rsidR="00A30999">
        <w:rPr>
          <w:noProof/>
        </w:rPr>
        <w:t>(Boswell 2009)</w:t>
      </w:r>
      <w:r w:rsidR="00A30999">
        <w:fldChar w:fldCharType="end"/>
      </w:r>
      <w:r w:rsidR="00AD20A9">
        <w:t xml:space="preserve">. The field of political science, by contrast, tends to focus on the overarching ideas that arise from </w:t>
      </w:r>
      <w:r w:rsidR="00030C32">
        <w:t xml:space="preserve">academic </w:t>
      </w:r>
      <w:r w:rsidR="00AD20A9">
        <w:t>research and how they shape public policies</w:t>
      </w:r>
      <w:r w:rsidR="00A30999">
        <w:t xml:space="preserve"> </w:t>
      </w:r>
      <w:r w:rsidR="00A30999">
        <w:fldChar w:fldCharType="begin"/>
      </w:r>
      <w:r w:rsidR="00AC0173">
        <w:instrText xml:space="preserve"> ADDIN EN.CITE &lt;EndNote&gt;&lt;Cite&gt;&lt;Author&gt;Hall&lt;/Author&gt;&lt;Year&gt;1989&lt;/Year&gt;&lt;RecNum&gt;904&lt;/RecNum&gt;&lt;DisplayText&gt;(Hall, 1989)&lt;/DisplayText&gt;&lt;record&gt;&lt;rec-number&gt;904&lt;/rec-number&gt;&lt;foreign-keys&gt;&lt;key app="EN" db-id="art5xdpt5srxr3edaeu5r0sdpaxwttzfwfte" timestamp="1678458389"&gt;904&lt;/key&gt;&lt;/foreign-keys&gt;&lt;ref-type name="Book Section"&gt;5&lt;/ref-type&gt;&lt;contributors&gt;&lt;authors&gt;&lt;author&gt;Hall, P. A.&lt;/author&gt;&lt;/authors&gt;&lt;secondary-authors&gt;&lt;author&gt;P. A. Hall&lt;/author&gt;&lt;/secondary-authors&gt;&lt;/contributors&gt;&lt;titles&gt;&lt;title&gt;Introduction&lt;/title&gt;&lt;secondary-title&gt;The political power of economic ideas&lt;/secondary-title&gt;&lt;/titles&gt;&lt;pages&gt;1-26&lt;/pages&gt;&lt;dates&gt;&lt;year&gt;1989&lt;/year&gt;&lt;/dates&gt;&lt;pub-location&gt;Princeton&lt;/pub-location&gt;&lt;publisher&gt;Princeton University Press&lt;/publisher&gt;&lt;isbn&gt;0-691-02302-6&lt;/isbn&gt;&lt;urls&gt;&lt;/urls&gt;&lt;/record&gt;&lt;/Cite&gt;&lt;/EndNote&gt;</w:instrText>
      </w:r>
      <w:r w:rsidR="00A30999">
        <w:fldChar w:fldCharType="separate"/>
      </w:r>
      <w:r w:rsidR="00BA048C">
        <w:rPr>
          <w:noProof/>
        </w:rPr>
        <w:t>(Hall, 1989)</w:t>
      </w:r>
      <w:r w:rsidR="00A30999">
        <w:fldChar w:fldCharType="end"/>
      </w:r>
      <w:r w:rsidR="009C78B3">
        <w:t xml:space="preserve">. </w:t>
      </w:r>
      <w:r w:rsidR="00AD20A9">
        <w:t xml:space="preserve">Other fields including </w:t>
      </w:r>
      <w:r w:rsidR="0092537B">
        <w:rPr>
          <w:lang w:val="en-US"/>
        </w:rPr>
        <w:t>Science</w:t>
      </w:r>
      <w:r w:rsidR="003F5733">
        <w:rPr>
          <w:lang w:val="en-US"/>
        </w:rPr>
        <w:t xml:space="preserve"> and Technology Studies (</w:t>
      </w:r>
      <w:r w:rsidR="00AD20A9">
        <w:t>STS</w:t>
      </w:r>
      <w:r w:rsidR="003F5733">
        <w:t>)</w:t>
      </w:r>
      <w:r w:rsidR="00AD20A9">
        <w:t xml:space="preserve"> and sociology have focused on how individual</w:t>
      </w:r>
      <w:r w:rsidR="000C6C69">
        <w:t>s</w:t>
      </w:r>
      <w:r w:rsidR="00AD20A9">
        <w:t xml:space="preserve"> or groups of expert</w:t>
      </w:r>
      <w:r w:rsidR="00030C32">
        <w:t>s</w:t>
      </w:r>
      <w:r w:rsidR="00AD20A9">
        <w:t xml:space="preserve"> provide meaningful knowledge to decision-makers, for example, considering </w:t>
      </w:r>
      <w:r w:rsidR="00EF6259">
        <w:t xml:space="preserve">the </w:t>
      </w:r>
      <w:r w:rsidR="00EF6259" w:rsidRPr="00B727C1">
        <w:t xml:space="preserve">role of </w:t>
      </w:r>
      <w:r w:rsidR="00AD20A9" w:rsidRPr="00B727C1">
        <w:t>professions</w:t>
      </w:r>
      <w:r w:rsidR="00BA6F35">
        <w:t xml:space="preserve"> </w:t>
      </w:r>
      <w:r w:rsidR="00BA6F35">
        <w:fldChar w:fldCharType="begin"/>
      </w:r>
      <w:r w:rsidR="00BA6F35">
        <w:instrText xml:space="preserve"> ADDIN EN.CITE &lt;EndNote&gt;&lt;Cite&gt;&lt;Author&gt;Abbott&lt;/Author&gt;&lt;Year&gt;1988&lt;/Year&gt;&lt;RecNum&gt;905&lt;/RecNum&gt;&lt;DisplayText&gt;(Abbott, 1988)&lt;/DisplayText&gt;&lt;record&gt;&lt;rec-number&gt;905&lt;/rec-number&gt;&lt;foreign-keys&gt;&lt;key app="EN" db-id="art5xdpt5srxr3edaeu5r0sdpaxwttzfwfte" timestamp="1678458666"&gt;905&lt;/key&gt;&lt;/foreign-keys&gt;&lt;ref-type name="Book"&gt;6&lt;/ref-type&gt;&lt;contributors&gt;&lt;authors&gt;&lt;author&gt;Abbott, A.&lt;/author&gt;&lt;/authors&gt;&lt;/contributors&gt;&lt;titles&gt;&lt;title&gt;The system of professions: An essay on the division of expert labor&lt;/title&gt;&lt;/titles&gt;&lt;dates&gt;&lt;year&gt;1988&lt;/year&gt;&lt;/dates&gt;&lt;pub-location&gt;London&lt;/pub-location&gt;&lt;publisher&gt;University of Chicago Press&lt;/publisher&gt;&lt;isbn&gt;0-226-00069-9&lt;/isbn&gt;&lt;urls&gt;&lt;/urls&gt;&lt;/record&gt;&lt;/Cite&gt;&lt;/EndNote&gt;</w:instrText>
      </w:r>
      <w:r w:rsidR="00BA6F35">
        <w:fldChar w:fldCharType="separate"/>
      </w:r>
      <w:r w:rsidR="00BA6F35">
        <w:rPr>
          <w:noProof/>
        </w:rPr>
        <w:t>(Abbott, 1988)</w:t>
      </w:r>
      <w:r w:rsidR="00BA6F35">
        <w:fldChar w:fldCharType="end"/>
      </w:r>
      <w:r w:rsidR="00AD20A9" w:rsidRPr="00B727C1">
        <w:t xml:space="preserve">, </w:t>
      </w:r>
      <w:r w:rsidR="00030C32" w:rsidRPr="00B727C1">
        <w:t>networks</w:t>
      </w:r>
      <w:r w:rsidR="00BA6F35">
        <w:t xml:space="preserve"> </w:t>
      </w:r>
      <w:r w:rsidR="00BA6F35">
        <w:fldChar w:fldCharType="begin"/>
      </w:r>
      <w:r w:rsidR="00405CCD">
        <w:instrText xml:space="preserve"> ADDIN EN.CITE &lt;EndNote&gt;&lt;Cite&gt;&lt;Author&gt;Haas&lt;/Author&gt;&lt;Year&gt;1992&lt;/Year&gt;&lt;RecNum&gt;906&lt;/RecNum&gt;&lt;DisplayText&gt;(Haas, 1992)&lt;/DisplayText&gt;&lt;record&gt;&lt;rec-number&gt;906&lt;/rec-number&gt;&lt;foreign-keys&gt;&lt;key app="EN" db-id="art5xdpt5srxr3edaeu5r0sdpaxwttzfwfte" timestamp="1678458752"&gt;906&lt;/key&gt;&lt;/foreign-keys&gt;&lt;ref-type name="Journal Article"&gt;17&lt;/ref-type&gt;&lt;contributors&gt;&lt;authors&gt;&lt;author&gt;Haas, Peter M.&lt;/author&gt;&lt;/authors&gt;&lt;/contributors&gt;&lt;titles&gt;&lt;title&gt;Introduction: Epistemic communities and international policy coordination&lt;/title&gt;&lt;secondary-title&gt;International Organization&lt;/secondary-title&gt;&lt;/titles&gt;&lt;periodical&gt;&lt;full-title&gt;International Organization&lt;/full-title&gt;&lt;/periodical&gt;&lt;pages&gt;1-35&lt;/pages&gt;&lt;volume&gt;46&lt;/volume&gt;&lt;number&gt;1&lt;/number&gt;&lt;edition&gt;2009/05/22&lt;/edition&gt;&lt;dates&gt;&lt;year&gt;1992&lt;/year&gt;&lt;/dates&gt;&lt;publisher&gt;Cambridge University Press&lt;/publisher&gt;&lt;isbn&gt;0020-8183&lt;/isbn&gt;&lt;urls&gt;&lt;related-urls&gt;&lt;url&gt;https://www.cambridge.org/core/article/introduction-epistemic-communities-and-international-policy-coordination/CE9CFC049E0F2A14635F1E3EB51960C9&lt;/url&gt;&lt;/related-urls&gt;&lt;/urls&gt;&lt;electronic-resource-num&gt;https://dx.doi.org/10.1017/S0020818300001442&lt;/electronic-resource-num&gt;&lt;remote-database-name&gt;Cambridge Core&lt;/remote-database-name&gt;&lt;remote-database-provider&gt;Cambridge University Press&lt;/remote-database-provider&gt;&lt;/record&gt;&lt;/Cite&gt;&lt;/EndNote&gt;</w:instrText>
      </w:r>
      <w:r w:rsidR="00BA6F35">
        <w:fldChar w:fldCharType="separate"/>
      </w:r>
      <w:r w:rsidR="00BA6F35">
        <w:rPr>
          <w:noProof/>
        </w:rPr>
        <w:t>(Haas, 1992)</w:t>
      </w:r>
      <w:r w:rsidR="00BA6F35">
        <w:fldChar w:fldCharType="end"/>
      </w:r>
      <w:r w:rsidR="00F632A2">
        <w:t xml:space="preserve"> </w:t>
      </w:r>
      <w:r w:rsidR="00030C32" w:rsidRPr="00B727C1">
        <w:t xml:space="preserve">or </w:t>
      </w:r>
      <w:r w:rsidR="00EF6259" w:rsidRPr="00B727C1">
        <w:t>knowledge brokers</w:t>
      </w:r>
      <w:r w:rsidR="00BA6F35">
        <w:t xml:space="preserve"> </w:t>
      </w:r>
      <w:r w:rsidR="00BA6F35">
        <w:fldChar w:fldCharType="begin"/>
      </w:r>
      <w:r w:rsidR="00BA6F35">
        <w:instrText xml:space="preserve"> ADDIN EN.CITE &lt;EndNote&gt;&lt;Cite&gt;&lt;Author&gt;Sverrisson&lt;/Author&gt;&lt;Year&gt;2001&lt;/Year&gt;&lt;RecNum&gt;907&lt;/RecNum&gt;&lt;DisplayText&gt;(Sverrisson, 2001)&lt;/DisplayText&gt;&lt;record&gt;&lt;rec-number&gt;907&lt;/rec-number&gt;&lt;foreign-keys&gt;&lt;key app="EN" db-id="art5xdpt5srxr3edaeu5r0sdpaxwttzfwfte" timestamp="1678458828"&gt;907&lt;/key&gt;&lt;/foreign-keys&gt;&lt;ref-type name="Journal Article"&gt;17&lt;/ref-type&gt;&lt;contributors&gt;&lt;authors&gt;&lt;author&gt;Sverrisson, Árni&lt;/author&gt;&lt;/authors&gt;&lt;/contributors&gt;&lt;titles&gt;&lt;title&gt;Translation networks, knowledge brokers and novelty construction: Pragmatic environmentalism in Sweden&lt;/title&gt;&lt;secondary-title&gt;Acta Sociologica&lt;/secondary-title&gt;&lt;/titles&gt;&lt;periodical&gt;&lt;full-title&gt;Acta Sociologica&lt;/full-title&gt;&lt;/periodical&gt;&lt;pages&gt;313-327&lt;/pages&gt;&lt;volume&gt;44&lt;/volume&gt;&lt;number&gt;4&lt;/number&gt;&lt;dates&gt;&lt;year&gt;2001&lt;/year&gt;&lt;/dates&gt;&lt;publisher&gt;Sage Publications, Ltd.&lt;/publisher&gt;&lt;isbn&gt;00016993&lt;/isbn&gt;&lt;urls&gt;&lt;related-urls&gt;&lt;url&gt;http://www.jstor.org/stable/4194896&lt;/url&gt;&lt;/related-urls&gt;&lt;/urls&gt;&lt;custom1&gt;Full publication date: 2001&lt;/custom1&gt;&lt;remote-database-name&gt;JSTOR&lt;/remote-database-name&gt;&lt;access-date&gt;2023/03/10/&lt;/access-date&gt;&lt;/record&gt;&lt;/Cite&gt;&lt;/EndNote&gt;</w:instrText>
      </w:r>
      <w:r w:rsidR="00BA6F35">
        <w:fldChar w:fldCharType="separate"/>
      </w:r>
      <w:r w:rsidR="00BA6F35">
        <w:rPr>
          <w:noProof/>
        </w:rPr>
        <w:t>(Sverrisson, 2001)</w:t>
      </w:r>
      <w:r w:rsidR="00BA6F35">
        <w:fldChar w:fldCharType="end"/>
      </w:r>
      <w:r w:rsidR="00030C32" w:rsidRPr="00B727C1">
        <w:t xml:space="preserve">. Yet, </w:t>
      </w:r>
      <w:r w:rsidR="001F27D9" w:rsidRPr="00B727C1">
        <w:t>in part due to the methodological difficulties of capturing influenc</w:t>
      </w:r>
      <w:r w:rsidR="00B727C1" w:rsidRPr="00B727C1">
        <w:t>e on audiences outside the academy</w:t>
      </w:r>
      <w:r w:rsidR="00F632A2">
        <w:t xml:space="preserve">, </w:t>
      </w:r>
      <w:r w:rsidR="00F632A2" w:rsidRPr="00B727C1">
        <w:t xml:space="preserve">there </w:t>
      </w:r>
      <w:r w:rsidR="00F632A2">
        <w:t>remains</w:t>
      </w:r>
      <w:r w:rsidR="00F632A2" w:rsidRPr="00B727C1">
        <w:t xml:space="preserve"> limited empirical work </w:t>
      </w:r>
      <w:r w:rsidR="00A37AF6">
        <w:t xml:space="preserve">on </w:t>
      </w:r>
      <w:r w:rsidR="00F632A2" w:rsidRPr="00B727C1">
        <w:t xml:space="preserve">the </w:t>
      </w:r>
      <w:r w:rsidR="009A66D9">
        <w:t>impact</w:t>
      </w:r>
      <w:r w:rsidR="00F632A2" w:rsidRPr="00B727C1">
        <w:t xml:space="preserve"> of expert knowledge on policymaking. </w:t>
      </w:r>
    </w:p>
    <w:p w14:paraId="6F11CF75" w14:textId="1950BFD4" w:rsidR="0023463C" w:rsidRDefault="0023463C" w:rsidP="00AE5D19">
      <w:pPr>
        <w:jc w:val="both"/>
      </w:pPr>
    </w:p>
    <w:p w14:paraId="7EDF3438" w14:textId="73A34D0C" w:rsidR="007F4136" w:rsidRDefault="00B727C1" w:rsidP="00864BC8">
      <w:pPr>
        <w:jc w:val="both"/>
      </w:pPr>
      <w:r>
        <w:t>One source of</w:t>
      </w:r>
      <w:r w:rsidR="00450CBB">
        <w:t xml:space="preserve"> expert knowledge </w:t>
      </w:r>
      <w:r>
        <w:t xml:space="preserve">that has particular bearing on policymaking is the scholarship in the area of </w:t>
      </w:r>
      <w:r w:rsidR="00450CBB">
        <w:t>p</w:t>
      </w:r>
      <w:r w:rsidR="001229A3">
        <w:t xml:space="preserve">ublic policy </w:t>
      </w:r>
      <w:r w:rsidR="00450CBB">
        <w:t xml:space="preserve">and </w:t>
      </w:r>
      <w:r w:rsidR="00CD2E75">
        <w:t>administration</w:t>
      </w:r>
      <w:r w:rsidR="00450CBB">
        <w:t xml:space="preserve"> (</w:t>
      </w:r>
      <w:r w:rsidR="00CD2E75">
        <w:t>PPA</w:t>
      </w:r>
      <w:r w:rsidR="00450CBB">
        <w:t xml:space="preserve">) </w:t>
      </w:r>
      <w:r w:rsidR="001229A3">
        <w:t xml:space="preserve">itself. </w:t>
      </w:r>
      <w:r w:rsidR="00450CBB">
        <w:t xml:space="preserve">The field of </w:t>
      </w:r>
      <w:r w:rsidR="00CD2E75">
        <w:t>PPA</w:t>
      </w:r>
      <w:r w:rsidR="004F5C4B">
        <w:t xml:space="preserve"> encompasses a range of orientations and topics including </w:t>
      </w:r>
      <w:r w:rsidR="004F5C4B" w:rsidRPr="004F5C4B">
        <w:t xml:space="preserve">government, public policy, public management, public administration, and political </w:t>
      </w:r>
      <w:r w:rsidR="00F632A2">
        <w:t>science.</w:t>
      </w:r>
      <w:r w:rsidR="00450CBB">
        <w:t xml:space="preserve"> </w:t>
      </w:r>
      <w:r w:rsidR="00C96395">
        <w:t>T</w:t>
      </w:r>
      <w:r w:rsidR="006440DA">
        <w:t xml:space="preserve">he field can </w:t>
      </w:r>
      <w:r w:rsidR="00C96395">
        <w:t xml:space="preserve">broadly </w:t>
      </w:r>
      <w:r w:rsidR="006440DA">
        <w:t xml:space="preserve">be conceived as </w:t>
      </w:r>
      <w:r w:rsidR="00C96395">
        <w:t>oriented towards</w:t>
      </w:r>
      <w:r w:rsidR="006440DA">
        <w:t xml:space="preserve"> improv</w:t>
      </w:r>
      <w:r w:rsidR="00C96395">
        <w:t>ing</w:t>
      </w:r>
      <w:r w:rsidR="006440DA" w:rsidRPr="006440DA">
        <w:t xml:space="preserve"> understanding</w:t>
      </w:r>
      <w:r w:rsidR="006440DA">
        <w:t>s</w:t>
      </w:r>
      <w:r w:rsidR="006440DA" w:rsidRPr="006440DA">
        <w:t xml:space="preserve"> of policymaking </w:t>
      </w:r>
      <w:r w:rsidR="00152A1D">
        <w:t xml:space="preserve">and public </w:t>
      </w:r>
      <w:r w:rsidR="00AF6510">
        <w:t>administration</w:t>
      </w:r>
      <w:r w:rsidR="00152A1D">
        <w:t xml:space="preserve"> </w:t>
      </w:r>
      <w:r w:rsidR="006440DA" w:rsidRPr="006440DA">
        <w:t>and supply</w:t>
      </w:r>
      <w:r w:rsidR="00C96395">
        <w:t>ing</w:t>
      </w:r>
      <w:r w:rsidR="006440DA" w:rsidRPr="006440DA">
        <w:t xml:space="preserve"> decision makers with reliable policy</w:t>
      </w:r>
      <w:r w:rsidR="00C96395">
        <w:t>-</w:t>
      </w:r>
      <w:r w:rsidR="00152A1D">
        <w:t xml:space="preserve"> and administration</w:t>
      </w:r>
      <w:r w:rsidR="00C96395">
        <w:t xml:space="preserve">-relevant </w:t>
      </w:r>
      <w:r w:rsidR="006440DA" w:rsidRPr="006440DA">
        <w:t>knowledge about economic and social problems</w:t>
      </w:r>
      <w:r w:rsidR="00724352">
        <w:t xml:space="preserve"> </w:t>
      </w:r>
      <w:r w:rsidR="00724352">
        <w:fldChar w:fldCharType="begin"/>
      </w:r>
      <w:r w:rsidR="00724352">
        <w:instrText xml:space="preserve"> ADDIN EN.CITE &lt;EndNote&gt;&lt;Cite&gt;&lt;Author&gt;Fischer&lt;/Author&gt;&lt;Year&gt;2006&lt;/Year&gt;&lt;RecNum&gt;908&lt;/RecNum&gt;&lt;DisplayText&gt;(Fischer, Miller, &amp;amp; Sidney, 2006)&lt;/DisplayText&gt;&lt;record&gt;&lt;rec-number&gt;908&lt;/rec-number&gt;&lt;foreign-keys&gt;&lt;key app="EN" db-id="art5xdpt5srxr3edaeu5r0sdpaxwttzfwfte" timestamp="1678458985"&gt;908&lt;/key&gt;&lt;/foreign-keys&gt;&lt;ref-type name="Book"&gt;6&lt;/ref-type&gt;&lt;contributors&gt;&lt;authors&gt;&lt;author&gt;Fischer, F.&lt;/author&gt;&lt;author&gt;Miller, G.&lt;/author&gt;&lt;author&gt;Sidney, M.&lt;/author&gt;&lt;/authors&gt;&lt;/contributors&gt;&lt;titles&gt;&lt;title&gt;Handbook of public policy analysis: Theory, politics, and methods&lt;/title&gt;&lt;/titles&gt;&lt;dates&gt;&lt;year&gt;2006&lt;/year&gt;&lt;/dates&gt;&lt;publisher&gt;CRC Press&lt;/publisher&gt;&lt;isbn&gt;1-57444-561-8&lt;/isbn&gt;&lt;urls&gt;&lt;/urls&gt;&lt;/record&gt;&lt;/Cite&gt;&lt;/EndNote&gt;</w:instrText>
      </w:r>
      <w:r w:rsidR="00724352">
        <w:fldChar w:fldCharType="separate"/>
      </w:r>
      <w:r w:rsidR="00724352">
        <w:rPr>
          <w:noProof/>
        </w:rPr>
        <w:t>(Fischer, Miller, &amp; Sidney, 2006)</w:t>
      </w:r>
      <w:r w:rsidR="00724352">
        <w:fldChar w:fldCharType="end"/>
      </w:r>
      <w:r w:rsidR="00F632A2">
        <w:t xml:space="preserve">. </w:t>
      </w:r>
      <w:r w:rsidR="00D07692">
        <w:t>While the</w:t>
      </w:r>
      <w:r w:rsidR="00450CBB">
        <w:t xml:space="preserve"> goals of</w:t>
      </w:r>
      <w:r w:rsidR="00C96395">
        <w:t xml:space="preserve"> individual</w:t>
      </w:r>
      <w:r w:rsidR="00450CBB">
        <w:t xml:space="preserve"> </w:t>
      </w:r>
      <w:r w:rsidR="004F5C4B">
        <w:t xml:space="preserve">experts </w:t>
      </w:r>
      <w:r w:rsidR="00D07692">
        <w:lastRenderedPageBreak/>
        <w:t xml:space="preserve">are </w:t>
      </w:r>
      <w:r w:rsidR="006440DA">
        <w:t xml:space="preserve">undoubtedly </w:t>
      </w:r>
      <w:r w:rsidR="00D07692">
        <w:t>varied, insight</w:t>
      </w:r>
      <w:r w:rsidR="00C96395">
        <w:t xml:space="preserve"> into the overarching aims of the field</w:t>
      </w:r>
      <w:r w:rsidR="00D07692">
        <w:t xml:space="preserve"> is</w:t>
      </w:r>
      <w:r w:rsidR="00450CBB">
        <w:t xml:space="preserve"> provided by </w:t>
      </w:r>
      <w:r w:rsidR="00D07692">
        <w:t xml:space="preserve">professional associations and journals. One leading association, the </w:t>
      </w:r>
      <w:r w:rsidR="00030C32" w:rsidRPr="00630B23">
        <w:t>International Research Society for Public Management</w:t>
      </w:r>
      <w:r w:rsidR="00D07692">
        <w:t xml:space="preserve">, </w:t>
      </w:r>
      <w:r w:rsidR="00EF35E6">
        <w:t>aims to</w:t>
      </w:r>
      <w:r w:rsidR="00450CBB">
        <w:t xml:space="preserve"> facilitat</w:t>
      </w:r>
      <w:r w:rsidR="00EF35E6">
        <w:t>e</w:t>
      </w:r>
      <w:r w:rsidR="00450CBB">
        <w:t xml:space="preserve"> “</w:t>
      </w:r>
      <w:r w:rsidR="00630B23" w:rsidRPr="00630B23">
        <w:t xml:space="preserve">the creation and dissemination of new knowledge and understanding across </w:t>
      </w:r>
      <w:r w:rsidR="00C87E9B">
        <w:t xml:space="preserve">[the </w:t>
      </w:r>
      <w:r w:rsidR="00C87E9B" w:rsidRPr="00630B23">
        <w:t>international research</w:t>
      </w:r>
      <w:r w:rsidR="00C87E9B">
        <w:t xml:space="preserve">] </w:t>
      </w:r>
      <w:r w:rsidR="00630B23" w:rsidRPr="00630B23">
        <w:t>community and into policy and practice”</w:t>
      </w:r>
      <w:r w:rsidR="00724352">
        <w:t xml:space="preserve"> </w:t>
      </w:r>
      <w:r w:rsidR="00724352">
        <w:fldChar w:fldCharType="begin"/>
      </w:r>
      <w:r w:rsidR="00724352">
        <w:instrText xml:space="preserve"> ADDIN EN.CITE &lt;EndNote&gt;&lt;Cite&gt;&lt;Author&gt;IRSPM &lt;/Author&gt;&lt;Year&gt;2023&lt;/Year&gt;&lt;RecNum&gt;909&lt;/RecNum&gt;&lt;DisplayText&gt;(IRSPM 2023)&lt;/DisplayText&gt;&lt;record&gt;&lt;rec-number&gt;909&lt;/rec-number&gt;&lt;foreign-keys&gt;&lt;key app="EN" db-id="art5xdpt5srxr3edaeu5r0sdpaxwttzfwfte" timestamp="1678459256"&gt;909&lt;/key&gt;&lt;/foreign-keys&gt;&lt;ref-type name="Web Page"&gt;12&lt;/ref-type&gt;&lt;contributors&gt;&lt;authors&gt;&lt;author&gt;IRSPM ,&lt;/author&gt;&lt;/authors&gt;&lt;/contributors&gt;&lt;titles&gt;&lt;title&gt;International Research Society for Public Management&lt;/title&gt;&lt;/titles&gt;&lt;number&gt;March 10, 2023&lt;/number&gt;&lt;dates&gt;&lt;year&gt;2023&lt;/year&gt;&lt;/dates&gt;&lt;urls&gt;&lt;related-urls&gt;&lt;url&gt;https://www.irspm.org/&lt;/url&gt;&lt;/related-urls&gt;&lt;/urls&gt;&lt;/record&gt;&lt;/Cite&gt;&lt;/EndNote&gt;</w:instrText>
      </w:r>
      <w:r w:rsidR="00724352">
        <w:fldChar w:fldCharType="separate"/>
      </w:r>
      <w:r w:rsidR="00724352">
        <w:rPr>
          <w:noProof/>
        </w:rPr>
        <w:t>(IRSPM 2023)</w:t>
      </w:r>
      <w:r w:rsidR="00724352">
        <w:fldChar w:fldCharType="end"/>
      </w:r>
      <w:r w:rsidR="00AF6510">
        <w:t>.</w:t>
      </w:r>
      <w:r w:rsidR="00630B23">
        <w:rPr>
          <w:i/>
          <w:iCs/>
        </w:rPr>
        <w:t xml:space="preserve"> </w:t>
      </w:r>
      <w:r w:rsidR="00450CBB">
        <w:t xml:space="preserve">Along the same lines, </w:t>
      </w:r>
      <w:r w:rsidR="007F4136" w:rsidRPr="007F4136">
        <w:rPr>
          <w:i/>
          <w:iCs/>
        </w:rPr>
        <w:t>Public Administration Review</w:t>
      </w:r>
      <w:r w:rsidR="007F4136">
        <w:t>, the official publication of the American Society for Public Administration,</w:t>
      </w:r>
      <w:r w:rsidR="00CB7B49">
        <w:t xml:space="preserve"> </w:t>
      </w:r>
      <w:r w:rsidR="001F52AD">
        <w:t>seeks to</w:t>
      </w:r>
      <w:r w:rsidR="007F4136" w:rsidRPr="007F4136">
        <w:t xml:space="preserve"> </w:t>
      </w:r>
      <w:r w:rsidR="001F52AD">
        <w:t>“</w:t>
      </w:r>
      <w:r w:rsidR="007F4136" w:rsidRPr="007F4136">
        <w:t xml:space="preserve">identify and </w:t>
      </w:r>
      <w:r w:rsidR="00030C32" w:rsidRPr="007F4136">
        <w:t>analyse</w:t>
      </w:r>
      <w:r w:rsidR="007F4136" w:rsidRPr="007F4136">
        <w:t xml:space="preserve"> current trends, provide a factual basis for decision making, stimulate discussion, and make the leading literature in the field available in an easily accessible format</w:t>
      </w:r>
      <w:r w:rsidR="007F4136">
        <w:t>”</w:t>
      </w:r>
      <w:r w:rsidR="00CB7B49">
        <w:t xml:space="preserve"> in order to serve “academics,</w:t>
      </w:r>
      <w:r w:rsidR="00CB7B49" w:rsidRPr="007F4136">
        <w:t xml:space="preserve"> practitioners, and students</w:t>
      </w:r>
      <w:r w:rsidR="00CB7B49">
        <w:t>”</w:t>
      </w:r>
      <w:r w:rsidR="00724352">
        <w:t xml:space="preserve"> </w:t>
      </w:r>
      <w:r w:rsidR="00724352">
        <w:fldChar w:fldCharType="begin"/>
      </w:r>
      <w:r w:rsidR="00724352">
        <w:instrText xml:space="preserve"> ADDIN EN.CITE &lt;EndNote&gt;&lt;Cite&gt;&lt;Author&gt;Public Administration Review&lt;/Author&gt;&lt;Year&gt;2023&lt;/Year&gt;&lt;RecNum&gt;910&lt;/RecNum&gt;&lt;DisplayText&gt;(Public Administration Review, 2023)&lt;/DisplayText&gt;&lt;record&gt;&lt;rec-number&gt;910&lt;/rec-number&gt;&lt;foreign-keys&gt;&lt;key app="EN" db-id="art5xdpt5srxr3edaeu5r0sdpaxwttzfwfte" timestamp="1678459354"&gt;910&lt;/key&gt;&lt;/foreign-keys&gt;&lt;ref-type name="Web Page"&gt;12&lt;/ref-type&gt;&lt;contributors&gt;&lt;authors&gt;&lt;author&gt;Public Administration Review,&lt;/author&gt;&lt;/authors&gt;&lt;/contributors&gt;&lt;titles&gt;&lt;title&gt;Public Administration Review - Wiley Online Library&lt;/title&gt;&lt;/titles&gt;&lt;number&gt;March 10, 2023&lt;/number&gt;&lt;dates&gt;&lt;year&gt;2023&lt;/year&gt;&lt;/dates&gt;&lt;urls&gt;&lt;related-urls&gt;&lt;url&gt;https://onlinelibrary.wiley.com/journal/15406210&lt;/url&gt;&lt;/related-urls&gt;&lt;/urls&gt;&lt;/record&gt;&lt;/Cite&gt;&lt;/EndNote&gt;</w:instrText>
      </w:r>
      <w:r w:rsidR="00724352">
        <w:fldChar w:fldCharType="separate"/>
      </w:r>
      <w:r w:rsidR="00724352">
        <w:rPr>
          <w:noProof/>
        </w:rPr>
        <w:t>(Public Administration Review, 2023)</w:t>
      </w:r>
      <w:r w:rsidR="00724352">
        <w:fldChar w:fldCharType="end"/>
      </w:r>
      <w:r w:rsidR="00CB7B49">
        <w:t xml:space="preserve">. </w:t>
      </w:r>
      <w:r w:rsidR="001F52AD">
        <w:t xml:space="preserve">Similarly, </w:t>
      </w:r>
      <w:r w:rsidR="00030C32" w:rsidRPr="003567B1">
        <w:rPr>
          <w:i/>
          <w:iCs/>
        </w:rPr>
        <w:t>Canadian</w:t>
      </w:r>
      <w:r w:rsidR="001F52AD" w:rsidRPr="003567B1">
        <w:rPr>
          <w:i/>
          <w:iCs/>
        </w:rPr>
        <w:t xml:space="preserve"> Public Policy</w:t>
      </w:r>
      <w:r w:rsidR="001F52AD">
        <w:t xml:space="preserve"> is “d</w:t>
      </w:r>
      <w:r w:rsidR="001F52AD" w:rsidRPr="001F52AD">
        <w:t>irected at a wide readership including decision makers and advisers in business organizations and governments, and policy researchers</w:t>
      </w:r>
      <w:r w:rsidR="001F52AD">
        <w:t>”</w:t>
      </w:r>
      <w:r w:rsidR="005A0C8D">
        <w:t xml:space="preserve"> </w:t>
      </w:r>
      <w:r w:rsidR="005A0C8D">
        <w:fldChar w:fldCharType="begin"/>
      </w:r>
      <w:r w:rsidR="005A0C8D">
        <w:instrText xml:space="preserve"> ADDIN EN.CITE &lt;EndNote&gt;&lt;Cite&gt;&lt;Author&gt;Canadian Public Policy&lt;/Author&gt;&lt;Year&gt;2023&lt;/Year&gt;&lt;RecNum&gt;911&lt;/RecNum&gt;&lt;DisplayText&gt;(Canadian Public Policy, 2023)&lt;/DisplayText&gt;&lt;record&gt;&lt;rec-number&gt;911&lt;/rec-number&gt;&lt;foreign-keys&gt;&lt;key app="EN" db-id="art5xdpt5srxr3edaeu5r0sdpaxwttzfwfte" timestamp="1678459411"&gt;911&lt;/key&gt;&lt;/foreign-keys&gt;&lt;ref-type name="Web Page"&gt;12&lt;/ref-type&gt;&lt;contributors&gt;&lt;authors&gt;&lt;author&gt;Canadian Public Policy,&lt;/author&gt;&lt;/authors&gt;&lt;/contributors&gt;&lt;titles&gt;&lt;title&gt;Canadian Public Policy&lt;/title&gt;&lt;/titles&gt;&lt;number&gt;March 10, 2023&lt;/number&gt;&lt;dates&gt;&lt;year&gt;2023&lt;/year&gt;&lt;/dates&gt;&lt;urls&gt;&lt;related-urls&gt;&lt;url&gt;https://www.utpjournals.press/loi/cpp&lt;/url&gt;&lt;/related-urls&gt;&lt;/urls&gt;&lt;/record&gt;&lt;/Cite&gt;&lt;/EndNote&gt;</w:instrText>
      </w:r>
      <w:r w:rsidR="005A0C8D">
        <w:fldChar w:fldCharType="separate"/>
      </w:r>
      <w:r w:rsidR="005A0C8D">
        <w:rPr>
          <w:noProof/>
        </w:rPr>
        <w:t>(Canadian Public Policy, 2023)</w:t>
      </w:r>
      <w:r w:rsidR="005A0C8D">
        <w:fldChar w:fldCharType="end"/>
      </w:r>
      <w:r w:rsidR="001F52AD">
        <w:t xml:space="preserve">. </w:t>
      </w:r>
      <w:r w:rsidR="00450CBB">
        <w:t xml:space="preserve">Thus, experts in the field seek to go beyond academic impact to have influence </w:t>
      </w:r>
      <w:r w:rsidR="004F5C4B">
        <w:t>in</w:t>
      </w:r>
      <w:r w:rsidR="00450CBB">
        <w:t xml:space="preserve"> </w:t>
      </w:r>
      <w:r w:rsidR="00AA230C">
        <w:t xml:space="preserve">the </w:t>
      </w:r>
      <w:r w:rsidR="00450CBB">
        <w:t xml:space="preserve">policy and public management sphere. </w:t>
      </w:r>
      <w:r w:rsidR="00273292">
        <w:t xml:space="preserve">Yet, the influence of </w:t>
      </w:r>
      <w:r w:rsidR="00CD2E75">
        <w:t>PPA</w:t>
      </w:r>
      <w:r w:rsidR="00273292">
        <w:t xml:space="preserve"> scholars has received little systematic attention.</w:t>
      </w:r>
    </w:p>
    <w:p w14:paraId="18154492" w14:textId="2005F1F2" w:rsidR="001229A3" w:rsidRDefault="001229A3" w:rsidP="001229A3">
      <w:pPr>
        <w:jc w:val="both"/>
      </w:pPr>
    </w:p>
    <w:p w14:paraId="58D4814C" w14:textId="29BD4A9A" w:rsidR="00E03487" w:rsidRDefault="00255408" w:rsidP="00255408">
      <w:pPr>
        <w:jc w:val="both"/>
        <w:rPr>
          <w:lang w:val="en-AU"/>
        </w:rPr>
      </w:pPr>
      <w:r w:rsidRPr="00255408">
        <w:t xml:space="preserve">In this study, we deal with the question of how </w:t>
      </w:r>
      <w:r w:rsidR="00CD2E75">
        <w:t>PPA</w:t>
      </w:r>
      <w:r>
        <w:t xml:space="preserve"> </w:t>
      </w:r>
      <w:r w:rsidRPr="00255408">
        <w:t>research and policy are</w:t>
      </w:r>
      <w:r>
        <w:t xml:space="preserve"> </w:t>
      </w:r>
      <w:r w:rsidRPr="00255408">
        <w:t>connected.</w:t>
      </w:r>
      <w:r>
        <w:t xml:space="preserve"> Although reliable data on the connection between research and policy have historically been hard to find, the introduction of </w:t>
      </w:r>
      <w:r w:rsidR="00DE268B">
        <w:t xml:space="preserve">the </w:t>
      </w:r>
      <w:r>
        <w:t>Overton database in 2019</w:t>
      </w:r>
      <w:r w:rsidR="006D1380">
        <w:t xml:space="preserve"> </w:t>
      </w:r>
      <w:r w:rsidR="006D1380">
        <w:rPr>
          <w:color w:val="000000"/>
        </w:rPr>
        <w:fldChar w:fldCharType="begin"/>
      </w:r>
      <w:r w:rsidR="006D1380">
        <w:rPr>
          <w:color w:val="000000"/>
        </w:rPr>
        <w:instrText xml:space="preserve"> ADDIN EN.CITE &lt;EndNote&gt;&lt;Cite&gt;&lt;Author&gt;Szomszor&lt;/Author&gt;&lt;Year&gt;2022&lt;/Year&gt;&lt;RecNum&gt;891&lt;/RecNum&gt;&lt;DisplayText&gt;(Szomszor &amp;amp; Adie, 2022)&lt;/DisplayText&gt;&lt;record&gt;&lt;rec-number&gt;891&lt;/rec-number&gt;&lt;foreign-keys&gt;&lt;key app="EN" db-id="art5xdpt5srxr3edaeu5r0sdpaxwttzfwfte" timestamp="1676628721"&gt;891&lt;/key&gt;&lt;/foreign-keys&gt;&lt;ref-type name="Journal Article"&gt;17&lt;/ref-type&gt;&lt;contributors&gt;&lt;authors&gt;&lt;author&gt;Szomszor, Martin&lt;/author&gt;&lt;author&gt;Adie, Euan&lt;/author&gt;&lt;/authors&gt;&lt;/contributors&gt;&lt;titles&gt;&lt;title&gt;Overton: A bibliometric database of policy document citations&lt;/title&gt;&lt;secondary-title&gt;Quantitative Science Studies&lt;/secondary-title&gt;&lt;/titles&gt;&lt;periodical&gt;&lt;full-title&gt;Quantitative Science Studies&lt;/full-title&gt;&lt;/periodical&gt;&lt;pages&gt;624-650&lt;/pages&gt;&lt;volume&gt;3&lt;/volume&gt;&lt;number&gt;3&lt;/number&gt;&lt;dates&gt;&lt;year&gt;2022&lt;/year&gt;&lt;/dates&gt;&lt;isbn&gt;2641-3337&lt;/isbn&gt;&lt;urls&gt;&lt;related-urls&gt;&lt;url&gt;https://doi.org/10.1162/qss_a_00204&lt;/url&gt;&lt;/related-urls&gt;&lt;/urls&gt;&lt;electronic-resource-num&gt;10.1162/qss_a_00204&lt;/electronic-resource-num&gt;&lt;access-date&gt;2/17/2023&lt;/access-date&gt;&lt;/record&gt;&lt;/Cite&gt;&lt;/EndNote&gt;</w:instrText>
      </w:r>
      <w:r w:rsidR="006D1380">
        <w:rPr>
          <w:color w:val="000000"/>
        </w:rPr>
        <w:fldChar w:fldCharType="separate"/>
      </w:r>
      <w:r w:rsidR="006D1380">
        <w:rPr>
          <w:noProof/>
          <w:color w:val="000000"/>
        </w:rPr>
        <w:t>(Szomszor &amp; Adie, 2022)</w:t>
      </w:r>
      <w:r w:rsidR="006D1380">
        <w:rPr>
          <w:color w:val="000000"/>
        </w:rPr>
        <w:fldChar w:fldCharType="end"/>
      </w:r>
      <w:r>
        <w:t xml:space="preserve"> has allowed </w:t>
      </w:r>
      <w:r w:rsidR="00C8025A">
        <w:t>analysis</w:t>
      </w:r>
      <w:r>
        <w:t xml:space="preserve"> of research papers that are cited in policy documents. P</w:t>
      </w:r>
      <w:r w:rsidRPr="00255408">
        <w:t>olicy documents</w:t>
      </w:r>
      <w:r>
        <w:t xml:space="preserve"> have been defined as </w:t>
      </w:r>
      <w:r w:rsidRPr="00255408">
        <w:t xml:space="preserve">“‘carriers’ of policies . . . [that] provide a channel through which policy science researchers can study the main contents of policies, policymaking </w:t>
      </w:r>
      <w:r w:rsidR="00AF6510" w:rsidRPr="00255408">
        <w:t>processes,</w:t>
      </w:r>
      <w:r w:rsidRPr="00255408">
        <w:t xml:space="preserve"> and policy</w:t>
      </w:r>
      <w:r>
        <w:t xml:space="preserve"> </w:t>
      </w:r>
      <w:r w:rsidRPr="00255408">
        <w:t>instruments”</w:t>
      </w:r>
      <w:r w:rsidR="00F945C4">
        <w:t xml:space="preserve"> </w:t>
      </w:r>
      <w:r w:rsidR="00F945C4">
        <w:fldChar w:fldCharType="begin"/>
      </w:r>
      <w:r w:rsidR="00F945C4">
        <w:instrText xml:space="preserve"> ADDIN EN.CITE &lt;EndNote&gt;&lt;Cite&gt;&lt;Author&gt;Yang&lt;/Author&gt;&lt;Year&gt;2020&lt;/Year&gt;&lt;RecNum&gt;912&lt;/RecNum&gt;&lt;DisplayText&gt;(Yang, Huang, &amp;amp; Su, 2020)&lt;/DisplayText&gt;&lt;record&gt;&lt;rec-number&gt;912&lt;/rec-number&gt;&lt;foreign-keys&gt;&lt;key app="EN" db-id="art5xdpt5srxr3edaeu5r0sdpaxwttzfwfte" timestamp="1678459449"&gt;912&lt;/key&gt;&lt;/foreign-keys&gt;&lt;ref-type name="Journal Article"&gt;17&lt;/ref-type&gt;&lt;contributors&gt;&lt;authors&gt;&lt;author&gt;Yang, Chao&lt;/author&gt;&lt;author&gt;Huang, Cui&lt;/author&gt;&lt;author&gt;Su, Jun&lt;/author&gt;&lt;/authors&gt;&lt;/contributors&gt;&lt;titles&gt;&lt;title&gt;A bibliometrics-based research framework for exploring policy evolution: A case study of China&amp;apos;s information technology policies&lt;/title&gt;&lt;secondary-title&gt;Technological Forecasting and Social Change&lt;/secondary-title&gt;&lt;/titles&gt;&lt;periodical&gt;&lt;full-title&gt;Technological Forecasting and Social Change&lt;/full-title&gt;&lt;/periodical&gt;&lt;pages&gt;120116&lt;/pages&gt;&lt;volume&gt;157&lt;/volume&gt;&lt;keywords&gt;&lt;keyword&gt;Policy documents&lt;/keyword&gt;&lt;keyword&gt;Policy network&lt;/keyword&gt;&lt;keyword&gt;Bibliometrics&lt;/keyword&gt;&lt;keyword&gt;China&amp;apos;s information technology policy&lt;/keyword&gt;&lt;/keywords&gt;&lt;dates&gt;&lt;year&gt;2020&lt;/year&gt;&lt;pub-dates&gt;&lt;date&gt;2020/08/01/&lt;/date&gt;&lt;/pub-dates&gt;&lt;/dates&gt;&lt;isbn&gt;0040-1625&lt;/isbn&gt;&lt;urls&gt;&lt;related-urls&gt;&lt;url&gt;https://www.sciencedirect.com/science/article/pii/S0040162520309422&lt;/url&gt;&lt;/related-urls&gt;&lt;/urls&gt;&lt;electronic-resource-num&gt;https://doi.org/10.1016/j.techfore.2020.120116&lt;/electronic-resource-num&gt;&lt;/record&gt;&lt;/Cite&gt;&lt;/EndNote&gt;</w:instrText>
      </w:r>
      <w:r w:rsidR="00F945C4">
        <w:fldChar w:fldCharType="separate"/>
      </w:r>
      <w:r w:rsidR="00F945C4">
        <w:rPr>
          <w:noProof/>
        </w:rPr>
        <w:t>(Yang, Huang, &amp; Su, 2020)</w:t>
      </w:r>
      <w:r w:rsidR="00F945C4">
        <w:fldChar w:fldCharType="end"/>
      </w:r>
      <w:r w:rsidR="00AF6510">
        <w:t xml:space="preserve">. </w:t>
      </w:r>
      <w:r w:rsidR="00A90C9B">
        <w:t xml:space="preserve">In this </w:t>
      </w:r>
      <w:r w:rsidR="00CB13B8">
        <w:t xml:space="preserve">empirical </w:t>
      </w:r>
      <w:r w:rsidR="00A90C9B">
        <w:t xml:space="preserve">study, we </w:t>
      </w:r>
      <w:r w:rsidR="00653070">
        <w:t xml:space="preserve">use </w:t>
      </w:r>
      <w:r w:rsidR="00653070" w:rsidRPr="00653070">
        <w:t xml:space="preserve">the </w:t>
      </w:r>
      <w:r w:rsidR="00A90C9B" w:rsidRPr="00E52DA0">
        <w:t xml:space="preserve">Overton </w:t>
      </w:r>
      <w:r w:rsidR="00653070" w:rsidRPr="00E52DA0">
        <w:t>database to find policy documents that cited PPA research</w:t>
      </w:r>
      <w:r w:rsidR="00A90C9B" w:rsidRPr="00E52DA0">
        <w:t>.</w:t>
      </w:r>
    </w:p>
    <w:p w14:paraId="6505A2A7" w14:textId="77777777" w:rsidR="001F52AD" w:rsidRPr="00255408" w:rsidRDefault="001F52AD" w:rsidP="001F52AD">
      <w:pPr>
        <w:jc w:val="both"/>
      </w:pPr>
    </w:p>
    <w:p w14:paraId="7974EF73" w14:textId="2939E4CD" w:rsidR="008168F4" w:rsidRDefault="00FC2ECA" w:rsidP="00497D59">
      <w:pPr>
        <w:pStyle w:val="Heading2"/>
        <w:numPr>
          <w:ilvl w:val="0"/>
          <w:numId w:val="3"/>
        </w:numPr>
        <w:ind w:left="426" w:hanging="426"/>
        <w:jc w:val="both"/>
      </w:pPr>
      <w:r>
        <w:t>Dataset and Methodology</w:t>
      </w:r>
    </w:p>
    <w:p w14:paraId="38EE812F" w14:textId="2633985C" w:rsidR="00E879BF" w:rsidRDefault="00E879BF">
      <w:pPr>
        <w:pStyle w:val="BodyText"/>
        <w:jc w:val="both"/>
        <w:rPr>
          <w:iCs/>
          <w:color w:val="000000"/>
        </w:rPr>
      </w:pPr>
    </w:p>
    <w:p w14:paraId="2468C71B" w14:textId="0CC2AF10" w:rsidR="00E879BF" w:rsidRDefault="00E879BF" w:rsidP="00E879BF">
      <w:pPr>
        <w:pStyle w:val="Heading3"/>
      </w:pPr>
      <w:r>
        <w:t xml:space="preserve">2.1 </w:t>
      </w:r>
      <w:r w:rsidRPr="00E879BF">
        <w:t>Dataset</w:t>
      </w:r>
    </w:p>
    <w:p w14:paraId="1612F6B5" w14:textId="7E0636C3" w:rsidR="008168F4" w:rsidRDefault="00E879BF" w:rsidP="00FE0EEC">
      <w:pPr>
        <w:pStyle w:val="BodyText"/>
        <w:jc w:val="both"/>
        <w:rPr>
          <w:color w:val="000000"/>
        </w:rPr>
      </w:pPr>
      <w:r>
        <w:rPr>
          <w:color w:val="000000"/>
        </w:rPr>
        <w:t>We use</w:t>
      </w:r>
      <w:r w:rsidR="001E0B98">
        <w:rPr>
          <w:color w:val="000000"/>
        </w:rPr>
        <w:t>d</w:t>
      </w:r>
      <w:r>
        <w:rPr>
          <w:color w:val="000000"/>
        </w:rPr>
        <w:t xml:space="preserve"> a list of 49 </w:t>
      </w:r>
      <w:r w:rsidR="00CD2E75">
        <w:rPr>
          <w:color w:val="000000"/>
        </w:rPr>
        <w:t>PPA</w:t>
      </w:r>
      <w:r>
        <w:rPr>
          <w:color w:val="000000"/>
        </w:rPr>
        <w:t xml:space="preserve"> journals indexed in the Web of Science (WoS</w:t>
      </w:r>
      <w:r w:rsidR="007B48DD">
        <w:rPr>
          <w:color w:val="000000"/>
        </w:rPr>
        <w:t>, Clarivate</w:t>
      </w:r>
      <w:r>
        <w:rPr>
          <w:color w:val="000000"/>
        </w:rPr>
        <w:t>) as basis</w:t>
      </w:r>
      <w:r w:rsidR="00140B79">
        <w:rPr>
          <w:color w:val="000000"/>
        </w:rPr>
        <w:t>,</w:t>
      </w:r>
      <w:r>
        <w:rPr>
          <w:color w:val="000000"/>
        </w:rPr>
        <w:t xml:space="preserve"> downloaded from </w:t>
      </w:r>
      <w:r w:rsidR="00EC2215" w:rsidRPr="00EC2215">
        <w:rPr>
          <w:color w:val="000000"/>
        </w:rPr>
        <w:t>https://mjl.clarivate.com/</w:t>
      </w:r>
      <w:r>
        <w:rPr>
          <w:color w:val="000000"/>
        </w:rPr>
        <w:t xml:space="preserve"> </w:t>
      </w:r>
      <w:r w:rsidR="004E11D6">
        <w:rPr>
          <w:color w:val="000000"/>
        </w:rPr>
        <w:t xml:space="preserve">on </w:t>
      </w:r>
      <w:r w:rsidR="00EC2215">
        <w:rPr>
          <w:color w:val="000000"/>
        </w:rPr>
        <w:t>01/10/2022.</w:t>
      </w:r>
      <w:r w:rsidR="00957C0D">
        <w:rPr>
          <w:color w:val="000000"/>
        </w:rPr>
        <w:t xml:space="preserve"> We use</w:t>
      </w:r>
      <w:r w:rsidR="001E0B98">
        <w:rPr>
          <w:color w:val="000000"/>
        </w:rPr>
        <w:t>d</w:t>
      </w:r>
      <w:r w:rsidR="00957C0D">
        <w:rPr>
          <w:color w:val="000000"/>
        </w:rPr>
        <w:t xml:space="preserve"> </w:t>
      </w:r>
      <w:r w:rsidR="002C3556">
        <w:rPr>
          <w:color w:val="000000"/>
        </w:rPr>
        <w:t xml:space="preserve">the </w:t>
      </w:r>
      <w:r w:rsidR="00957C0D" w:rsidRPr="00957C0D">
        <w:rPr>
          <w:color w:val="000000"/>
        </w:rPr>
        <w:t>bibliometric in-house database of the Max Planck Society (MPG).</w:t>
      </w:r>
      <w:r w:rsidR="00402BA6">
        <w:rPr>
          <w:color w:val="000000"/>
        </w:rPr>
        <w:t xml:space="preserve"> We restrict</w:t>
      </w:r>
      <w:r w:rsidR="001E0B98">
        <w:rPr>
          <w:color w:val="000000"/>
        </w:rPr>
        <w:t>ed</w:t>
      </w:r>
      <w:r w:rsidR="00402BA6">
        <w:rPr>
          <w:color w:val="000000"/>
        </w:rPr>
        <w:t xml:space="preserve"> the dataset to the publication years 1980-2019.</w:t>
      </w:r>
      <w:r w:rsidR="00A229F5">
        <w:rPr>
          <w:color w:val="000000"/>
        </w:rPr>
        <w:t xml:space="preserve"> Most publications belong to one of the following document types: article, book review, editorial or review. Thus, we restrict</w:t>
      </w:r>
      <w:r w:rsidR="001E0B98">
        <w:rPr>
          <w:color w:val="000000"/>
        </w:rPr>
        <w:t>ed</w:t>
      </w:r>
      <w:r w:rsidR="00A229F5">
        <w:rPr>
          <w:color w:val="000000"/>
        </w:rPr>
        <w:t xml:space="preserve"> our analysis to these four document types. Furthermore, we restrict</w:t>
      </w:r>
      <w:r w:rsidR="001E0B98">
        <w:rPr>
          <w:color w:val="000000"/>
        </w:rPr>
        <w:t>ed</w:t>
      </w:r>
      <w:r w:rsidR="00A229F5">
        <w:rPr>
          <w:color w:val="000000"/>
        </w:rPr>
        <w:t xml:space="preserve"> the dataset to the journals that published at least 50% of the publications with a DOI</w:t>
      </w:r>
      <w:r w:rsidR="004F445B">
        <w:rPr>
          <w:color w:val="000000"/>
        </w:rPr>
        <w:t xml:space="preserve"> among these four document types within the time period 1980-2019</w:t>
      </w:r>
      <w:r w:rsidR="00A229F5">
        <w:rPr>
          <w:color w:val="000000"/>
        </w:rPr>
        <w:t>.</w:t>
      </w:r>
      <w:r w:rsidR="001F111A">
        <w:rPr>
          <w:color w:val="000000"/>
        </w:rPr>
        <w:t xml:space="preserve"> This procedure remov</w:t>
      </w:r>
      <w:r w:rsidR="001E0B98">
        <w:rPr>
          <w:color w:val="000000"/>
        </w:rPr>
        <w:t>ed</w:t>
      </w:r>
      <w:r w:rsidR="001F111A">
        <w:rPr>
          <w:color w:val="000000"/>
        </w:rPr>
        <w:t xml:space="preserve"> six journals from our dataset (</w:t>
      </w:r>
      <w:r w:rsidR="001F111A" w:rsidRPr="001F111A">
        <w:rPr>
          <w:i/>
          <w:color w:val="000000"/>
        </w:rPr>
        <w:t>Amme Idaresi Dergisi</w:t>
      </w:r>
      <w:r w:rsidR="001F111A">
        <w:rPr>
          <w:color w:val="000000"/>
        </w:rPr>
        <w:t xml:space="preserve">, </w:t>
      </w:r>
      <w:r w:rsidR="001F111A" w:rsidRPr="001F111A">
        <w:rPr>
          <w:i/>
          <w:color w:val="000000"/>
        </w:rPr>
        <w:t>Civil Szemle</w:t>
      </w:r>
      <w:r w:rsidR="001F111A">
        <w:rPr>
          <w:color w:val="000000"/>
        </w:rPr>
        <w:t xml:space="preserve">, </w:t>
      </w:r>
      <w:r w:rsidR="001F111A" w:rsidRPr="001F111A">
        <w:rPr>
          <w:i/>
          <w:color w:val="000000"/>
        </w:rPr>
        <w:t>Reforma y Democracia</w:t>
      </w:r>
      <w:r w:rsidR="001F111A">
        <w:rPr>
          <w:color w:val="000000"/>
        </w:rPr>
        <w:t xml:space="preserve">, </w:t>
      </w:r>
      <w:r w:rsidR="001F111A" w:rsidRPr="001F111A">
        <w:rPr>
          <w:i/>
          <w:color w:val="000000"/>
        </w:rPr>
        <w:t>Gestión y Política Pública</w:t>
      </w:r>
      <w:r w:rsidR="001F111A">
        <w:rPr>
          <w:color w:val="000000"/>
        </w:rPr>
        <w:t xml:space="preserve">, </w:t>
      </w:r>
      <w:r w:rsidR="001F111A" w:rsidRPr="001F111A">
        <w:rPr>
          <w:i/>
          <w:color w:val="000000"/>
        </w:rPr>
        <w:t>Transylvanian Review of Administrative Sciences</w:t>
      </w:r>
      <w:r w:rsidR="001F111A">
        <w:rPr>
          <w:color w:val="000000"/>
        </w:rPr>
        <w:t xml:space="preserve">, and </w:t>
      </w:r>
      <w:r w:rsidR="001F111A" w:rsidRPr="001F111A">
        <w:rPr>
          <w:i/>
          <w:color w:val="000000"/>
        </w:rPr>
        <w:t>Journal of Homeland Security and Emergency Management</w:t>
      </w:r>
      <w:r w:rsidR="001F111A">
        <w:rPr>
          <w:color w:val="000000"/>
        </w:rPr>
        <w:t>)</w:t>
      </w:r>
      <w:r w:rsidR="00542613">
        <w:rPr>
          <w:color w:val="000000"/>
        </w:rPr>
        <w:t>.</w:t>
      </w:r>
      <w:r w:rsidR="00FE0EEC">
        <w:rPr>
          <w:color w:val="000000"/>
        </w:rPr>
        <w:t xml:space="preserve"> </w:t>
      </w:r>
      <w:r w:rsidR="005030F4">
        <w:rPr>
          <w:color w:val="000000"/>
        </w:rPr>
        <w:t>We also removed t</w:t>
      </w:r>
      <w:r w:rsidR="00FE0EEC">
        <w:rPr>
          <w:color w:val="000000"/>
        </w:rPr>
        <w:t>wo other journals (</w:t>
      </w:r>
      <w:r w:rsidR="00FE0EEC" w:rsidRPr="00FE0EEC">
        <w:rPr>
          <w:i/>
          <w:color w:val="000000"/>
        </w:rPr>
        <w:t>Climate Policy</w:t>
      </w:r>
      <w:r w:rsidR="00FE0EEC">
        <w:rPr>
          <w:color w:val="000000"/>
        </w:rPr>
        <w:t xml:space="preserve"> and </w:t>
      </w:r>
      <w:r w:rsidR="00FE0EEC" w:rsidRPr="00FE0EEC">
        <w:rPr>
          <w:i/>
          <w:color w:val="000000"/>
        </w:rPr>
        <w:t xml:space="preserve">Environment and Planning C </w:t>
      </w:r>
      <w:r w:rsidR="00BD6469">
        <w:rPr>
          <w:i/>
          <w:color w:val="000000"/>
        </w:rPr>
        <w:t>–</w:t>
      </w:r>
      <w:r w:rsidR="00FE0EEC" w:rsidRPr="00FE0EEC">
        <w:rPr>
          <w:i/>
          <w:color w:val="000000"/>
        </w:rPr>
        <w:t xml:space="preserve"> Politics and Space</w:t>
      </w:r>
      <w:r w:rsidR="00FE0EEC">
        <w:rPr>
          <w:color w:val="000000"/>
        </w:rPr>
        <w:t xml:space="preserve">) </w:t>
      </w:r>
      <w:r w:rsidR="005030F4">
        <w:rPr>
          <w:color w:val="000000"/>
        </w:rPr>
        <w:t>that have a key focus on environmental studies (and are classified in</w:t>
      </w:r>
      <w:r w:rsidR="00FE0EEC">
        <w:rPr>
          <w:color w:val="000000"/>
        </w:rPr>
        <w:t xml:space="preserve"> </w:t>
      </w:r>
      <w:r w:rsidR="00F30428">
        <w:rPr>
          <w:color w:val="000000"/>
        </w:rPr>
        <w:t xml:space="preserve">the </w:t>
      </w:r>
      <w:r w:rsidR="00FE0EEC">
        <w:rPr>
          <w:color w:val="000000"/>
        </w:rPr>
        <w:t xml:space="preserve">WoS Subject Category </w:t>
      </w:r>
      <w:r w:rsidR="00FE0EEC" w:rsidRPr="00FE0EEC">
        <w:rPr>
          <w:color w:val="000000"/>
        </w:rPr>
        <w:t>Environmental Studies</w:t>
      </w:r>
      <w:r w:rsidR="005030F4">
        <w:rPr>
          <w:color w:val="000000"/>
        </w:rPr>
        <w:t>)</w:t>
      </w:r>
      <w:r w:rsidR="00F30428">
        <w:rPr>
          <w:color w:val="000000"/>
        </w:rPr>
        <w:t>.</w:t>
      </w:r>
      <w:r w:rsidR="005030F4">
        <w:rPr>
          <w:color w:val="000000"/>
        </w:rPr>
        <w:t xml:space="preserve"> </w:t>
      </w:r>
      <w:r w:rsidR="00F30428">
        <w:rPr>
          <w:color w:val="000000"/>
        </w:rPr>
        <w:t>W</w:t>
      </w:r>
      <w:r w:rsidR="00FE0EEC">
        <w:rPr>
          <w:color w:val="000000"/>
        </w:rPr>
        <w:t>e expect</w:t>
      </w:r>
      <w:r w:rsidR="001E0B98">
        <w:rPr>
          <w:color w:val="000000"/>
        </w:rPr>
        <w:t>ed</w:t>
      </w:r>
      <w:r w:rsidR="00FE0EEC">
        <w:rPr>
          <w:color w:val="000000"/>
        </w:rPr>
        <w:t xml:space="preserve"> that these two journals would distort our dataset from </w:t>
      </w:r>
      <w:r w:rsidR="00CD2E75">
        <w:rPr>
          <w:color w:val="000000"/>
        </w:rPr>
        <w:t>PPA</w:t>
      </w:r>
      <w:r w:rsidR="00FE0EEC">
        <w:rPr>
          <w:color w:val="000000"/>
        </w:rPr>
        <w:t xml:space="preserve"> too much. We </w:t>
      </w:r>
      <w:r w:rsidR="005030F4">
        <w:rPr>
          <w:color w:val="000000"/>
        </w:rPr>
        <w:t xml:space="preserve">kept </w:t>
      </w:r>
      <w:r w:rsidR="00FE0EEC">
        <w:rPr>
          <w:color w:val="000000"/>
        </w:rPr>
        <w:t xml:space="preserve">the journal </w:t>
      </w:r>
      <w:r w:rsidR="00FE0EEC" w:rsidRPr="00FE0EEC">
        <w:rPr>
          <w:i/>
          <w:color w:val="000000"/>
        </w:rPr>
        <w:t>Science and Public Policy</w:t>
      </w:r>
      <w:r w:rsidR="00FE0EEC">
        <w:rPr>
          <w:color w:val="000000"/>
        </w:rPr>
        <w:t xml:space="preserve"> although it is also assigned to </w:t>
      </w:r>
      <w:r w:rsidR="00FE0EEC" w:rsidRPr="00FE0EEC">
        <w:rPr>
          <w:color w:val="000000"/>
        </w:rPr>
        <w:t>Environmental Studies</w:t>
      </w:r>
      <w:r w:rsidR="00FE0EEC">
        <w:rPr>
          <w:color w:val="000000"/>
        </w:rPr>
        <w:t xml:space="preserve"> because it is</w:t>
      </w:r>
      <w:r w:rsidR="001E0B98">
        <w:rPr>
          <w:color w:val="000000"/>
        </w:rPr>
        <w:t xml:space="preserve"> also</w:t>
      </w:r>
      <w:r w:rsidR="00FE0EEC">
        <w:rPr>
          <w:color w:val="000000"/>
        </w:rPr>
        <w:t xml:space="preserve"> assigned </w:t>
      </w:r>
      <w:r w:rsidR="00882AD0">
        <w:rPr>
          <w:color w:val="000000"/>
        </w:rPr>
        <w:t>to the</w:t>
      </w:r>
      <w:r w:rsidR="00FE0EEC">
        <w:rPr>
          <w:color w:val="000000"/>
        </w:rPr>
        <w:t xml:space="preserve"> WoS Subject Categor</w:t>
      </w:r>
      <w:r w:rsidR="00882AD0">
        <w:rPr>
          <w:color w:val="000000"/>
        </w:rPr>
        <w:t>y</w:t>
      </w:r>
      <w:r w:rsidR="00FE0EEC">
        <w:rPr>
          <w:color w:val="000000"/>
        </w:rPr>
        <w:t xml:space="preserve"> Management</w:t>
      </w:r>
      <w:r w:rsidR="000A46A8">
        <w:rPr>
          <w:color w:val="000000"/>
        </w:rPr>
        <w:t>.</w:t>
      </w:r>
      <w:r w:rsidR="005030F4">
        <w:rPr>
          <w:color w:val="000000"/>
        </w:rPr>
        <w:t xml:space="preserve"> </w:t>
      </w:r>
      <w:r w:rsidR="000A46A8">
        <w:rPr>
          <w:color w:val="000000"/>
        </w:rPr>
        <w:t>Management</w:t>
      </w:r>
      <w:r w:rsidR="000A46A8" w:rsidDel="000A46A8">
        <w:rPr>
          <w:color w:val="000000"/>
        </w:rPr>
        <w:t xml:space="preserve"> </w:t>
      </w:r>
      <w:r w:rsidR="005030F4">
        <w:rPr>
          <w:color w:val="000000"/>
        </w:rPr>
        <w:t>is a key area of overlap for public management research</w:t>
      </w:r>
      <w:r w:rsidR="00FE0EEC">
        <w:rPr>
          <w:color w:val="000000"/>
        </w:rPr>
        <w:t>.</w:t>
      </w:r>
      <w:r w:rsidR="007C0914">
        <w:rPr>
          <w:color w:val="000000"/>
        </w:rPr>
        <w:t xml:space="preserve"> This </w:t>
      </w:r>
      <w:r w:rsidR="001E0B98">
        <w:rPr>
          <w:color w:val="000000"/>
        </w:rPr>
        <w:t>left</w:t>
      </w:r>
      <w:r w:rsidR="007C0914">
        <w:rPr>
          <w:color w:val="000000"/>
        </w:rPr>
        <w:t xml:space="preserve"> us with a list of 41 journals that are shown in</w:t>
      </w:r>
      <w:r w:rsidR="007C0914" w:rsidRPr="00821349">
        <w:rPr>
          <w:color w:val="auto"/>
        </w:rPr>
        <w:t xml:space="preserve"> </w:t>
      </w:r>
      <w:r w:rsidR="00821349" w:rsidRPr="00821349">
        <w:rPr>
          <w:color w:val="auto"/>
        </w:rPr>
        <w:fldChar w:fldCharType="begin"/>
      </w:r>
      <w:r w:rsidR="00821349" w:rsidRPr="00821349">
        <w:rPr>
          <w:color w:val="auto"/>
        </w:rPr>
        <w:instrText xml:space="preserve"> REF _Ref127465762 \h  \* MERGEFORMAT </w:instrText>
      </w:r>
      <w:r w:rsidR="00821349" w:rsidRPr="00821349">
        <w:rPr>
          <w:color w:val="auto"/>
        </w:rPr>
      </w:r>
      <w:r w:rsidR="00821349" w:rsidRPr="00821349">
        <w:rPr>
          <w:color w:val="auto"/>
        </w:rPr>
        <w:fldChar w:fldCharType="separate"/>
      </w:r>
      <w:r w:rsidR="00E21D61" w:rsidRPr="00E21D61">
        <w:rPr>
          <w:color w:val="auto"/>
        </w:rPr>
        <w:t>Table 1</w:t>
      </w:r>
      <w:r w:rsidR="00821349" w:rsidRPr="00821349">
        <w:rPr>
          <w:color w:val="auto"/>
        </w:rPr>
        <w:fldChar w:fldCharType="end"/>
      </w:r>
      <w:r w:rsidR="007C0914">
        <w:rPr>
          <w:color w:val="000000"/>
        </w:rPr>
        <w:t>.</w:t>
      </w:r>
      <w:r w:rsidR="002D7788">
        <w:rPr>
          <w:color w:val="000000"/>
        </w:rPr>
        <w:t xml:space="preserve"> </w:t>
      </w:r>
      <w:r w:rsidR="007E0AFA">
        <w:rPr>
          <w:color w:val="000000"/>
        </w:rPr>
        <w:t xml:space="preserve">Some </w:t>
      </w:r>
      <w:r w:rsidR="002D7788">
        <w:rPr>
          <w:color w:val="000000"/>
        </w:rPr>
        <w:t xml:space="preserve">DOIs </w:t>
      </w:r>
      <w:r w:rsidR="007E0AFA">
        <w:rPr>
          <w:color w:val="000000"/>
        </w:rPr>
        <w:t>(n=</w:t>
      </w:r>
      <w:r w:rsidR="00AC4607">
        <w:rPr>
          <w:color w:val="000000"/>
        </w:rPr>
        <w:t>459</w:t>
      </w:r>
      <w:r w:rsidR="007E0AFA">
        <w:rPr>
          <w:color w:val="000000"/>
        </w:rPr>
        <w:t xml:space="preserve">) </w:t>
      </w:r>
      <w:r w:rsidR="002D7788">
        <w:rPr>
          <w:color w:val="000000"/>
        </w:rPr>
        <w:t>occurred multiple times. The corresponding papers (n=</w:t>
      </w:r>
      <w:r w:rsidR="002D7788" w:rsidRPr="002D7788">
        <w:rPr>
          <w:color w:val="000000"/>
        </w:rPr>
        <w:t>1</w:t>
      </w:r>
      <w:r w:rsidR="002D7788">
        <w:rPr>
          <w:color w:val="000000"/>
        </w:rPr>
        <w:t>,</w:t>
      </w:r>
      <w:r w:rsidR="002D7788" w:rsidRPr="002D7788">
        <w:rPr>
          <w:color w:val="000000"/>
        </w:rPr>
        <w:t>352</w:t>
      </w:r>
      <w:r w:rsidR="002D7788">
        <w:rPr>
          <w:color w:val="000000"/>
        </w:rPr>
        <w:t>) were removed from our dataset.</w:t>
      </w:r>
    </w:p>
    <w:p w14:paraId="108A9256" w14:textId="77777777" w:rsidR="007C0914" w:rsidRDefault="007C0914" w:rsidP="007C0914">
      <w:pPr>
        <w:jc w:val="both"/>
      </w:pPr>
    </w:p>
    <w:p w14:paraId="2F1CAEE1" w14:textId="67C63589" w:rsidR="007C0914" w:rsidRDefault="00821349" w:rsidP="00F25A33">
      <w:pPr>
        <w:keepNext/>
        <w:keepLines/>
        <w:jc w:val="center"/>
      </w:pPr>
      <w:bookmarkStart w:id="1" w:name="_Ref127465762"/>
      <w:r>
        <w:lastRenderedPageBreak/>
        <w:t xml:space="preserve">Table </w:t>
      </w:r>
      <w:r>
        <w:fldChar w:fldCharType="begin"/>
      </w:r>
      <w:r>
        <w:instrText xml:space="preserve"> SEQ Table \* ARABIC </w:instrText>
      </w:r>
      <w:r>
        <w:fldChar w:fldCharType="separate"/>
      </w:r>
      <w:r w:rsidR="00E21D61">
        <w:rPr>
          <w:noProof/>
        </w:rPr>
        <w:t>1</w:t>
      </w:r>
      <w:r>
        <w:fldChar w:fldCharType="end"/>
      </w:r>
      <w:bookmarkEnd w:id="1"/>
      <w:r w:rsidR="007C0914">
        <w:t>.</w:t>
      </w:r>
      <w:r w:rsidR="00545338">
        <w:t xml:space="preserve"> </w:t>
      </w:r>
      <w:r w:rsidR="00CD2E75">
        <w:t>PPA</w:t>
      </w:r>
      <w:r w:rsidR="00545338">
        <w:t xml:space="preserve"> journals that </w:t>
      </w:r>
      <w:r w:rsidR="009D510B">
        <w:t>were</w:t>
      </w:r>
      <w:r w:rsidR="00545338">
        <w:t xml:space="preserve"> included in our study</w:t>
      </w:r>
      <w:r w:rsidR="009D1279">
        <w:t xml:space="preserve"> ordered descending by the number of papers with DOI</w:t>
      </w:r>
    </w:p>
    <w:p w14:paraId="7A6DCC12" w14:textId="77777777" w:rsidR="007C0914" w:rsidRDefault="007C0914" w:rsidP="00F25A33">
      <w:pPr>
        <w:keepNext/>
        <w:keepLines/>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5"/>
        <w:gridCol w:w="1800"/>
      </w:tblGrid>
      <w:tr w:rsidR="00376D80" w14:paraId="0CB6B7D1" w14:textId="77777777" w:rsidTr="00376D80">
        <w:tc>
          <w:tcPr>
            <w:tcW w:w="7035" w:type="dxa"/>
          </w:tcPr>
          <w:p w14:paraId="613AC2AD" w14:textId="5D92FA61" w:rsidR="00376D80" w:rsidRDefault="00376D80" w:rsidP="00F25A33">
            <w:pPr>
              <w:keepNext/>
              <w:keepLines/>
              <w:rPr>
                <w:b/>
                <w:bCs/>
              </w:rPr>
            </w:pPr>
            <w:r>
              <w:t>J</w:t>
            </w:r>
            <w:r w:rsidRPr="008E6D09">
              <w:t>ournal</w:t>
            </w:r>
          </w:p>
        </w:tc>
        <w:tc>
          <w:tcPr>
            <w:tcW w:w="1800" w:type="dxa"/>
          </w:tcPr>
          <w:p w14:paraId="264B55AB" w14:textId="7CF902BE" w:rsidR="00376D80" w:rsidRDefault="00376D80" w:rsidP="00F25A33">
            <w:pPr>
              <w:keepNext/>
              <w:keepLines/>
              <w:rPr>
                <w:b/>
                <w:bCs/>
              </w:rPr>
            </w:pPr>
            <w:r w:rsidRPr="008E6D09">
              <w:t>Number of papers</w:t>
            </w:r>
            <w:r>
              <w:t xml:space="preserve"> with DOI</w:t>
            </w:r>
          </w:p>
        </w:tc>
      </w:tr>
      <w:tr w:rsidR="00376D80" w14:paraId="74C12A5F" w14:textId="77777777" w:rsidTr="00376D80">
        <w:tc>
          <w:tcPr>
            <w:tcW w:w="7035" w:type="dxa"/>
          </w:tcPr>
          <w:p w14:paraId="58B67DB4" w14:textId="6C634513" w:rsidR="00376D80" w:rsidRDefault="00376D80" w:rsidP="00F25A33">
            <w:pPr>
              <w:keepNext/>
              <w:keepLines/>
            </w:pPr>
            <w:r w:rsidRPr="008E6D09">
              <w:t>Public Administration Review</w:t>
            </w:r>
          </w:p>
        </w:tc>
        <w:tc>
          <w:tcPr>
            <w:tcW w:w="1800" w:type="dxa"/>
          </w:tcPr>
          <w:p w14:paraId="6C0145BE" w14:textId="3D8E521E" w:rsidR="00376D80" w:rsidRDefault="00376D80" w:rsidP="00F25A33">
            <w:pPr>
              <w:keepNext/>
              <w:keepLines/>
            </w:pPr>
            <w:r w:rsidRPr="008E6D09">
              <w:t>3</w:t>
            </w:r>
            <w:r w:rsidR="0051577E">
              <w:t>,</w:t>
            </w:r>
            <w:r w:rsidRPr="008E6D09">
              <w:t>926</w:t>
            </w:r>
          </w:p>
        </w:tc>
      </w:tr>
      <w:tr w:rsidR="00376D80" w14:paraId="0F9D7E37" w14:textId="77777777" w:rsidTr="00376D80">
        <w:tc>
          <w:tcPr>
            <w:tcW w:w="7035" w:type="dxa"/>
          </w:tcPr>
          <w:p w14:paraId="3183799F" w14:textId="4C37011C" w:rsidR="00376D80" w:rsidRDefault="00376D80" w:rsidP="00376D80">
            <w:r w:rsidRPr="008E6D09">
              <w:t>Jour</w:t>
            </w:r>
            <w:r>
              <w:t>nal of Social Policy</w:t>
            </w:r>
          </w:p>
        </w:tc>
        <w:tc>
          <w:tcPr>
            <w:tcW w:w="1800" w:type="dxa"/>
          </w:tcPr>
          <w:p w14:paraId="1BDD8D06" w14:textId="17F12BA8" w:rsidR="00376D80" w:rsidRDefault="00376D80" w:rsidP="00376D80">
            <w:r w:rsidRPr="008E6D09">
              <w:t>2</w:t>
            </w:r>
            <w:r w:rsidR="0051577E">
              <w:t>,</w:t>
            </w:r>
            <w:r w:rsidRPr="008E6D09">
              <w:t>872</w:t>
            </w:r>
          </w:p>
        </w:tc>
      </w:tr>
      <w:tr w:rsidR="00376D80" w14:paraId="50C6CE92" w14:textId="77777777" w:rsidTr="00376D80">
        <w:tc>
          <w:tcPr>
            <w:tcW w:w="7035" w:type="dxa"/>
          </w:tcPr>
          <w:p w14:paraId="53C05CE1" w14:textId="311B5F5D" w:rsidR="00376D80" w:rsidRDefault="00376D80" w:rsidP="00376D80">
            <w:r w:rsidRPr="008E6D09">
              <w:t>Canadian Public Policy</w:t>
            </w:r>
          </w:p>
        </w:tc>
        <w:tc>
          <w:tcPr>
            <w:tcW w:w="1800" w:type="dxa"/>
          </w:tcPr>
          <w:p w14:paraId="15B80C91" w14:textId="1A248EF2" w:rsidR="00376D80" w:rsidRDefault="00376D80" w:rsidP="00376D80">
            <w:r w:rsidRPr="008E6D09">
              <w:t>2</w:t>
            </w:r>
            <w:r w:rsidR="0051577E">
              <w:t>,</w:t>
            </w:r>
            <w:r w:rsidRPr="008E6D09">
              <w:t>480</w:t>
            </w:r>
          </w:p>
        </w:tc>
      </w:tr>
      <w:tr w:rsidR="00376D80" w14:paraId="1EED2ABE" w14:textId="77777777" w:rsidTr="00376D80">
        <w:tc>
          <w:tcPr>
            <w:tcW w:w="7035" w:type="dxa"/>
          </w:tcPr>
          <w:p w14:paraId="6CB92253" w14:textId="2ACB0010" w:rsidR="00376D80" w:rsidRDefault="00376D80" w:rsidP="00376D80">
            <w:r w:rsidRPr="008E6D09">
              <w:t xml:space="preserve">Public Administration </w:t>
            </w:r>
          </w:p>
        </w:tc>
        <w:tc>
          <w:tcPr>
            <w:tcW w:w="1800" w:type="dxa"/>
          </w:tcPr>
          <w:p w14:paraId="1566AC50" w14:textId="340FD2E9" w:rsidR="00376D80" w:rsidRDefault="00376D80" w:rsidP="00376D80">
            <w:r w:rsidRPr="008E6D09">
              <w:t>1</w:t>
            </w:r>
            <w:r w:rsidR="0051577E">
              <w:t>,</w:t>
            </w:r>
            <w:r w:rsidRPr="008E6D09">
              <w:t>974</w:t>
            </w:r>
          </w:p>
        </w:tc>
      </w:tr>
      <w:tr w:rsidR="00376D80" w14:paraId="31D94302" w14:textId="77777777" w:rsidTr="00376D80">
        <w:tc>
          <w:tcPr>
            <w:tcW w:w="7035" w:type="dxa"/>
          </w:tcPr>
          <w:p w14:paraId="1A31656F" w14:textId="6BBB8A5A" w:rsidR="00376D80" w:rsidRDefault="00376D80" w:rsidP="00376D80">
            <w:r w:rsidRPr="008E6D09">
              <w:t>Journal of Policy Analysis and Management</w:t>
            </w:r>
          </w:p>
        </w:tc>
        <w:tc>
          <w:tcPr>
            <w:tcW w:w="1800" w:type="dxa"/>
          </w:tcPr>
          <w:p w14:paraId="740D0081" w14:textId="329133FD" w:rsidR="00376D80" w:rsidRDefault="00376D80" w:rsidP="00376D80">
            <w:r w:rsidRPr="008E6D09">
              <w:t>1</w:t>
            </w:r>
            <w:r w:rsidR="000F1E72">
              <w:t>.</w:t>
            </w:r>
            <w:r w:rsidRPr="008E6D09">
              <w:t>962</w:t>
            </w:r>
          </w:p>
        </w:tc>
      </w:tr>
      <w:tr w:rsidR="00376D80" w14:paraId="021FB7D0" w14:textId="77777777" w:rsidTr="00376D80">
        <w:tc>
          <w:tcPr>
            <w:tcW w:w="7035" w:type="dxa"/>
          </w:tcPr>
          <w:p w14:paraId="44997FFF" w14:textId="61AE4271" w:rsidR="00376D80" w:rsidRDefault="00376D80" w:rsidP="00376D80">
            <w:r w:rsidRPr="008E6D09">
              <w:t>Australian Journal of Public Administration</w:t>
            </w:r>
          </w:p>
        </w:tc>
        <w:tc>
          <w:tcPr>
            <w:tcW w:w="1800" w:type="dxa"/>
          </w:tcPr>
          <w:p w14:paraId="4FD038CC" w14:textId="078433C0" w:rsidR="00376D80" w:rsidRDefault="00376D80" w:rsidP="00376D80">
            <w:r w:rsidRPr="008E6D09">
              <w:t>1</w:t>
            </w:r>
            <w:r w:rsidR="000F1E72">
              <w:t>.</w:t>
            </w:r>
            <w:r w:rsidRPr="008E6D09">
              <w:t>813</w:t>
            </w:r>
          </w:p>
        </w:tc>
      </w:tr>
      <w:tr w:rsidR="00376D80" w14:paraId="788F768F" w14:textId="77777777" w:rsidTr="00376D80">
        <w:tc>
          <w:tcPr>
            <w:tcW w:w="7035" w:type="dxa"/>
          </w:tcPr>
          <w:p w14:paraId="00E03D81" w14:textId="77A111F8" w:rsidR="00376D80" w:rsidRDefault="00376D80" w:rsidP="00376D80">
            <w:r w:rsidRPr="008E6D09">
              <w:t>Policy Studies Journal</w:t>
            </w:r>
          </w:p>
        </w:tc>
        <w:tc>
          <w:tcPr>
            <w:tcW w:w="1800" w:type="dxa"/>
          </w:tcPr>
          <w:p w14:paraId="35A43B9B" w14:textId="75C2011F" w:rsidR="00376D80" w:rsidRDefault="00376D80" w:rsidP="00376D80">
            <w:r w:rsidRPr="008E6D09">
              <w:t>1</w:t>
            </w:r>
            <w:r w:rsidR="000F1E72">
              <w:t>.</w:t>
            </w:r>
            <w:r w:rsidRPr="008E6D09">
              <w:t>670</w:t>
            </w:r>
          </w:p>
        </w:tc>
      </w:tr>
      <w:tr w:rsidR="00376D80" w14:paraId="1EAD66A3" w14:textId="77777777" w:rsidTr="00376D80">
        <w:tc>
          <w:tcPr>
            <w:tcW w:w="7035" w:type="dxa"/>
          </w:tcPr>
          <w:p w14:paraId="6DC6026B" w14:textId="75E40118" w:rsidR="00376D80" w:rsidRDefault="00376D80" w:rsidP="00376D80">
            <w:r w:rsidRPr="008E6D09">
              <w:t>Social Policy and Administration</w:t>
            </w:r>
          </w:p>
        </w:tc>
        <w:tc>
          <w:tcPr>
            <w:tcW w:w="1800" w:type="dxa"/>
          </w:tcPr>
          <w:p w14:paraId="6057ADA4" w14:textId="2EB20131" w:rsidR="00376D80" w:rsidRDefault="00376D80" w:rsidP="00376D80">
            <w:r w:rsidRPr="008E6D09">
              <w:t>1</w:t>
            </w:r>
            <w:r w:rsidR="000F1E72">
              <w:t>.</w:t>
            </w:r>
            <w:r w:rsidRPr="008E6D09">
              <w:t>659</w:t>
            </w:r>
          </w:p>
        </w:tc>
      </w:tr>
      <w:tr w:rsidR="00376D80" w14:paraId="154185BA" w14:textId="77777777" w:rsidTr="00376D80">
        <w:tc>
          <w:tcPr>
            <w:tcW w:w="7035" w:type="dxa"/>
          </w:tcPr>
          <w:p w14:paraId="66F2EAF4" w14:textId="07A391DA" w:rsidR="00376D80" w:rsidRDefault="00376D80" w:rsidP="00376D80">
            <w:r w:rsidRPr="008E6D09">
              <w:t>Local Government Studies</w:t>
            </w:r>
          </w:p>
        </w:tc>
        <w:tc>
          <w:tcPr>
            <w:tcW w:w="1800" w:type="dxa"/>
          </w:tcPr>
          <w:p w14:paraId="102C7998" w14:textId="7DE4833F" w:rsidR="00376D80" w:rsidRDefault="00376D80" w:rsidP="00376D80">
            <w:r w:rsidRPr="008E6D09">
              <w:t>1</w:t>
            </w:r>
            <w:r w:rsidR="000F1E72">
              <w:t>.</w:t>
            </w:r>
            <w:r w:rsidRPr="008E6D09">
              <w:t>648</w:t>
            </w:r>
          </w:p>
        </w:tc>
      </w:tr>
      <w:tr w:rsidR="00376D80" w14:paraId="5B63EB49" w14:textId="77777777" w:rsidTr="00376D80">
        <w:tc>
          <w:tcPr>
            <w:tcW w:w="7035" w:type="dxa"/>
          </w:tcPr>
          <w:p w14:paraId="111195B1" w14:textId="2665FECA" w:rsidR="00376D80" w:rsidRDefault="00376D80" w:rsidP="00376D80">
            <w:r w:rsidRPr="008E6D09">
              <w:t>Public Money and Management</w:t>
            </w:r>
          </w:p>
        </w:tc>
        <w:tc>
          <w:tcPr>
            <w:tcW w:w="1800" w:type="dxa"/>
          </w:tcPr>
          <w:p w14:paraId="6AA87380" w14:textId="428C0EE8" w:rsidR="00376D80" w:rsidRDefault="00376D80" w:rsidP="00376D80">
            <w:r w:rsidRPr="008E6D09">
              <w:t>1</w:t>
            </w:r>
            <w:r w:rsidR="000F1E72">
              <w:t>.</w:t>
            </w:r>
            <w:r w:rsidRPr="008E6D09">
              <w:t>643</w:t>
            </w:r>
          </w:p>
        </w:tc>
      </w:tr>
      <w:tr w:rsidR="00376D80" w14:paraId="462848A6" w14:textId="77777777" w:rsidTr="00376D80">
        <w:tc>
          <w:tcPr>
            <w:tcW w:w="7035" w:type="dxa"/>
          </w:tcPr>
          <w:p w14:paraId="60021BEE" w14:textId="511459FF" w:rsidR="00376D80" w:rsidRDefault="00376D80" w:rsidP="00376D80">
            <w:r w:rsidRPr="008E6D09">
              <w:t>Public Administration and Development</w:t>
            </w:r>
          </w:p>
        </w:tc>
        <w:tc>
          <w:tcPr>
            <w:tcW w:w="1800" w:type="dxa"/>
          </w:tcPr>
          <w:p w14:paraId="4BF6625C" w14:textId="1224C069" w:rsidR="00376D80" w:rsidRDefault="00376D80" w:rsidP="00376D80">
            <w:r w:rsidRPr="008E6D09">
              <w:t>1</w:t>
            </w:r>
            <w:r w:rsidR="000F1E72">
              <w:t>.</w:t>
            </w:r>
            <w:r w:rsidRPr="008E6D09">
              <w:t>632</w:t>
            </w:r>
          </w:p>
        </w:tc>
      </w:tr>
      <w:tr w:rsidR="00376D80" w14:paraId="00DB99D1" w14:textId="77777777" w:rsidTr="00376D80">
        <w:tc>
          <w:tcPr>
            <w:tcW w:w="7035" w:type="dxa"/>
          </w:tcPr>
          <w:p w14:paraId="3C5B64BB" w14:textId="2702A7C3" w:rsidR="00376D80" w:rsidRDefault="00376D80" w:rsidP="00376D80">
            <w:r w:rsidRPr="008E6D09">
              <w:t>Journal of European Public Policy</w:t>
            </w:r>
          </w:p>
        </w:tc>
        <w:tc>
          <w:tcPr>
            <w:tcW w:w="1800" w:type="dxa"/>
          </w:tcPr>
          <w:p w14:paraId="1934277D" w14:textId="26F645BA" w:rsidR="00376D80" w:rsidRDefault="00376D80" w:rsidP="00376D80">
            <w:r w:rsidRPr="008E6D09">
              <w:t>1</w:t>
            </w:r>
            <w:r w:rsidR="000F1E72">
              <w:t>.</w:t>
            </w:r>
            <w:r w:rsidRPr="008E6D09">
              <w:t>564</w:t>
            </w:r>
          </w:p>
        </w:tc>
      </w:tr>
      <w:tr w:rsidR="00376D80" w14:paraId="78E7BAAD" w14:textId="77777777" w:rsidTr="00376D80">
        <w:tc>
          <w:tcPr>
            <w:tcW w:w="7035" w:type="dxa"/>
          </w:tcPr>
          <w:p w14:paraId="617D5053" w14:textId="63795C0D" w:rsidR="00376D80" w:rsidRDefault="00376D80" w:rsidP="00376D80">
            <w:r w:rsidRPr="008E6D09">
              <w:t>Administration and Society</w:t>
            </w:r>
          </w:p>
        </w:tc>
        <w:tc>
          <w:tcPr>
            <w:tcW w:w="1800" w:type="dxa"/>
          </w:tcPr>
          <w:p w14:paraId="1F7F7CE9" w14:textId="50DDB248" w:rsidR="00376D80" w:rsidRDefault="00376D80" w:rsidP="00376D80">
            <w:r w:rsidRPr="008E6D09">
              <w:t>1</w:t>
            </w:r>
            <w:r w:rsidR="000F1E72">
              <w:t>.</w:t>
            </w:r>
            <w:r w:rsidRPr="008E6D09">
              <w:t>343</w:t>
            </w:r>
          </w:p>
        </w:tc>
      </w:tr>
      <w:tr w:rsidR="00376D80" w14:paraId="5EAFB41F" w14:textId="77777777" w:rsidTr="00376D80">
        <w:tc>
          <w:tcPr>
            <w:tcW w:w="7035" w:type="dxa"/>
          </w:tcPr>
          <w:p w14:paraId="340CE2F7" w14:textId="7AF1079C" w:rsidR="00376D80" w:rsidRDefault="00376D80" w:rsidP="00376D80">
            <w:r w:rsidRPr="008E6D09">
              <w:t>Public Personnel Management</w:t>
            </w:r>
          </w:p>
        </w:tc>
        <w:tc>
          <w:tcPr>
            <w:tcW w:w="1800" w:type="dxa"/>
          </w:tcPr>
          <w:p w14:paraId="6D6BE150" w14:textId="640D5975" w:rsidR="00376D80" w:rsidRDefault="00376D80" w:rsidP="00376D80">
            <w:r w:rsidRPr="008E6D09">
              <w:t>1</w:t>
            </w:r>
            <w:r w:rsidR="000F1E72">
              <w:t>.</w:t>
            </w:r>
            <w:r w:rsidRPr="008E6D09">
              <w:t>332</w:t>
            </w:r>
          </w:p>
        </w:tc>
      </w:tr>
      <w:tr w:rsidR="00376D80" w14:paraId="46ECBF00" w14:textId="77777777" w:rsidTr="00376D80">
        <w:tc>
          <w:tcPr>
            <w:tcW w:w="7035" w:type="dxa"/>
          </w:tcPr>
          <w:p w14:paraId="0F01B832" w14:textId="0CA209A5" w:rsidR="00376D80" w:rsidRDefault="00376D80" w:rsidP="00376D80">
            <w:r w:rsidRPr="008E6D09">
              <w:t>Canadian Public Administration</w:t>
            </w:r>
          </w:p>
        </w:tc>
        <w:tc>
          <w:tcPr>
            <w:tcW w:w="1800" w:type="dxa"/>
          </w:tcPr>
          <w:p w14:paraId="50041028" w14:textId="6F2DCD85" w:rsidR="00376D80" w:rsidRDefault="00376D80" w:rsidP="00376D80">
            <w:r w:rsidRPr="008E6D09">
              <w:t>1</w:t>
            </w:r>
            <w:r w:rsidR="000F1E72">
              <w:t>.</w:t>
            </w:r>
            <w:r w:rsidRPr="008E6D09">
              <w:t>220</w:t>
            </w:r>
          </w:p>
        </w:tc>
      </w:tr>
      <w:tr w:rsidR="00376D80" w14:paraId="4A4E86B3" w14:textId="77777777" w:rsidTr="00376D80">
        <w:tc>
          <w:tcPr>
            <w:tcW w:w="7035" w:type="dxa"/>
          </w:tcPr>
          <w:p w14:paraId="3AAA5AB1" w14:textId="496B1CEA" w:rsidR="00376D80" w:rsidRDefault="00376D80" w:rsidP="00376D80">
            <w:r w:rsidRPr="008E6D09">
              <w:t>Policy and Politics</w:t>
            </w:r>
          </w:p>
        </w:tc>
        <w:tc>
          <w:tcPr>
            <w:tcW w:w="1800" w:type="dxa"/>
          </w:tcPr>
          <w:p w14:paraId="34660EB2" w14:textId="4B32565C" w:rsidR="00376D80" w:rsidRDefault="00376D80" w:rsidP="00376D80">
            <w:r w:rsidRPr="008E6D09">
              <w:t>1</w:t>
            </w:r>
            <w:r w:rsidR="000F1E72">
              <w:t>.</w:t>
            </w:r>
            <w:r w:rsidRPr="008E6D09">
              <w:t>168</w:t>
            </w:r>
          </w:p>
        </w:tc>
      </w:tr>
      <w:tr w:rsidR="00376D80" w14:paraId="378186A8" w14:textId="77777777" w:rsidTr="00376D80">
        <w:tc>
          <w:tcPr>
            <w:tcW w:w="7035" w:type="dxa"/>
          </w:tcPr>
          <w:p w14:paraId="7E8EE71C" w14:textId="3313CBA8" w:rsidR="00376D80" w:rsidRDefault="00376D80" w:rsidP="00376D80">
            <w:r w:rsidRPr="008E6D09">
              <w:t>International Review of Administrative Sciences</w:t>
            </w:r>
          </w:p>
        </w:tc>
        <w:tc>
          <w:tcPr>
            <w:tcW w:w="1800" w:type="dxa"/>
          </w:tcPr>
          <w:p w14:paraId="4B452AA3" w14:textId="6527E8C0" w:rsidR="00376D80" w:rsidRDefault="00376D80" w:rsidP="00376D80">
            <w:r w:rsidRPr="008E6D09">
              <w:t>1</w:t>
            </w:r>
            <w:r w:rsidR="000F1E72">
              <w:t>.</w:t>
            </w:r>
            <w:r w:rsidRPr="008E6D09">
              <w:t>074</w:t>
            </w:r>
          </w:p>
        </w:tc>
      </w:tr>
      <w:tr w:rsidR="00376D80" w14:paraId="77F02BD9" w14:textId="77777777" w:rsidTr="00376D80">
        <w:tc>
          <w:tcPr>
            <w:tcW w:w="7035" w:type="dxa"/>
          </w:tcPr>
          <w:p w14:paraId="53C7D276" w14:textId="44CB218B" w:rsidR="00376D80" w:rsidRDefault="00376D80" w:rsidP="00376D80">
            <w:r w:rsidRPr="008E6D09">
              <w:t>Contemporary Economic Policy</w:t>
            </w:r>
          </w:p>
        </w:tc>
        <w:tc>
          <w:tcPr>
            <w:tcW w:w="1800" w:type="dxa"/>
          </w:tcPr>
          <w:p w14:paraId="33E1C931" w14:textId="47190C14" w:rsidR="00376D80" w:rsidRDefault="00376D80" w:rsidP="00376D80">
            <w:r w:rsidRPr="008E6D09">
              <w:t>1</w:t>
            </w:r>
            <w:r w:rsidR="000F1E72">
              <w:t>.</w:t>
            </w:r>
            <w:r w:rsidRPr="008E6D09">
              <w:t>040</w:t>
            </w:r>
          </w:p>
        </w:tc>
      </w:tr>
      <w:tr w:rsidR="00376D80" w14:paraId="6369F8B6" w14:textId="77777777" w:rsidTr="00376D80">
        <w:tc>
          <w:tcPr>
            <w:tcW w:w="7035" w:type="dxa"/>
          </w:tcPr>
          <w:p w14:paraId="36D30F59" w14:textId="1062AFA6" w:rsidR="00376D80" w:rsidRDefault="00376D80" w:rsidP="00376D80">
            <w:r w:rsidRPr="008E6D09">
              <w:t>Governance</w:t>
            </w:r>
          </w:p>
        </w:tc>
        <w:tc>
          <w:tcPr>
            <w:tcW w:w="1800" w:type="dxa"/>
          </w:tcPr>
          <w:p w14:paraId="5A00953C" w14:textId="34F937CA" w:rsidR="00376D80" w:rsidRDefault="00376D80" w:rsidP="00376D80">
            <w:r w:rsidRPr="008E6D09">
              <w:t>958</w:t>
            </w:r>
          </w:p>
        </w:tc>
      </w:tr>
      <w:tr w:rsidR="00376D80" w14:paraId="3FCBEE98" w14:textId="77777777" w:rsidTr="00376D80">
        <w:tc>
          <w:tcPr>
            <w:tcW w:w="7035" w:type="dxa"/>
          </w:tcPr>
          <w:p w14:paraId="2723BF23" w14:textId="57DE1AF8" w:rsidR="00376D80" w:rsidRDefault="00376D80" w:rsidP="00376D80">
            <w:r w:rsidRPr="008E6D09">
              <w:t>The American Review of Public Administration</w:t>
            </w:r>
          </w:p>
        </w:tc>
        <w:tc>
          <w:tcPr>
            <w:tcW w:w="1800" w:type="dxa"/>
          </w:tcPr>
          <w:p w14:paraId="216877E2" w14:textId="7EBD8D15" w:rsidR="00376D80" w:rsidRDefault="00376D80" w:rsidP="00376D80">
            <w:r w:rsidRPr="008E6D09">
              <w:t>920</w:t>
            </w:r>
          </w:p>
        </w:tc>
      </w:tr>
      <w:tr w:rsidR="00376D80" w14:paraId="1D3D714A" w14:textId="77777777" w:rsidTr="00376D80">
        <w:tc>
          <w:tcPr>
            <w:tcW w:w="7035" w:type="dxa"/>
          </w:tcPr>
          <w:p w14:paraId="344E168C" w14:textId="48DA5B89" w:rsidR="00376D80" w:rsidRDefault="00376D80" w:rsidP="00376D80">
            <w:r w:rsidRPr="008E6D09">
              <w:t>Science and Public Policy</w:t>
            </w:r>
          </w:p>
        </w:tc>
        <w:tc>
          <w:tcPr>
            <w:tcW w:w="1800" w:type="dxa"/>
          </w:tcPr>
          <w:p w14:paraId="32C3D133" w14:textId="7BF668D0" w:rsidR="00376D80" w:rsidRDefault="00376D80" w:rsidP="00376D80">
            <w:r w:rsidRPr="008E6D09">
              <w:t>901</w:t>
            </w:r>
          </w:p>
        </w:tc>
      </w:tr>
      <w:tr w:rsidR="00376D80" w14:paraId="398408A3" w14:textId="77777777" w:rsidTr="00376D80">
        <w:tc>
          <w:tcPr>
            <w:tcW w:w="7035" w:type="dxa"/>
          </w:tcPr>
          <w:p w14:paraId="4F488474" w14:textId="371FEFCB" w:rsidR="00376D80" w:rsidRDefault="00376D80" w:rsidP="00376D80">
            <w:r w:rsidRPr="008E6D09">
              <w:t>Public Management Review</w:t>
            </w:r>
          </w:p>
        </w:tc>
        <w:tc>
          <w:tcPr>
            <w:tcW w:w="1800" w:type="dxa"/>
          </w:tcPr>
          <w:p w14:paraId="2C0E3E98" w14:textId="5F3F1EE1" w:rsidR="00376D80" w:rsidRDefault="00376D80" w:rsidP="00376D80">
            <w:r w:rsidRPr="008E6D09">
              <w:t>875</w:t>
            </w:r>
          </w:p>
        </w:tc>
      </w:tr>
      <w:tr w:rsidR="00376D80" w14:paraId="326705E1" w14:textId="77777777" w:rsidTr="00376D80">
        <w:tc>
          <w:tcPr>
            <w:tcW w:w="7035" w:type="dxa"/>
          </w:tcPr>
          <w:p w14:paraId="5E9B8492" w14:textId="1390794E" w:rsidR="00376D80" w:rsidRDefault="00376D80" w:rsidP="00376D80">
            <w:r w:rsidRPr="008E6D09">
              <w:t>Policy Sciences</w:t>
            </w:r>
          </w:p>
        </w:tc>
        <w:tc>
          <w:tcPr>
            <w:tcW w:w="1800" w:type="dxa"/>
          </w:tcPr>
          <w:p w14:paraId="0F39AB23" w14:textId="288A5777" w:rsidR="00376D80" w:rsidRDefault="00376D80" w:rsidP="00376D80">
            <w:r w:rsidRPr="008E6D09">
              <w:t>832</w:t>
            </w:r>
          </w:p>
        </w:tc>
      </w:tr>
      <w:tr w:rsidR="00376D80" w14:paraId="2363647F" w14:textId="77777777" w:rsidTr="00376D80">
        <w:tc>
          <w:tcPr>
            <w:tcW w:w="7035" w:type="dxa"/>
          </w:tcPr>
          <w:p w14:paraId="5CFE8AF0" w14:textId="5E4A3790" w:rsidR="00376D80" w:rsidRDefault="00376D80" w:rsidP="00376D80">
            <w:r w:rsidRPr="008E6D09">
              <w:t>Journal of Public Administration Research and Theory</w:t>
            </w:r>
          </w:p>
        </w:tc>
        <w:tc>
          <w:tcPr>
            <w:tcW w:w="1800" w:type="dxa"/>
          </w:tcPr>
          <w:p w14:paraId="2C2505FC" w14:textId="60426627" w:rsidR="00376D80" w:rsidRDefault="00376D80" w:rsidP="00376D80">
            <w:r w:rsidRPr="008E6D09">
              <w:t>817</w:t>
            </w:r>
          </w:p>
        </w:tc>
      </w:tr>
      <w:tr w:rsidR="00376D80" w14:paraId="7B095B01" w14:textId="77777777" w:rsidTr="00376D80">
        <w:tc>
          <w:tcPr>
            <w:tcW w:w="7035" w:type="dxa"/>
          </w:tcPr>
          <w:p w14:paraId="219B60C5" w14:textId="6E55D403" w:rsidR="00376D80" w:rsidRDefault="00376D80" w:rsidP="00376D80">
            <w:r w:rsidRPr="008E6D09">
              <w:t>Journal of European Social Policy</w:t>
            </w:r>
          </w:p>
        </w:tc>
        <w:tc>
          <w:tcPr>
            <w:tcW w:w="1800" w:type="dxa"/>
          </w:tcPr>
          <w:p w14:paraId="60DC35D0" w14:textId="6DB35BDE" w:rsidR="00376D80" w:rsidRDefault="00376D80" w:rsidP="00376D80">
            <w:r w:rsidRPr="008E6D09">
              <w:t>808</w:t>
            </w:r>
          </w:p>
        </w:tc>
      </w:tr>
      <w:tr w:rsidR="00376D80" w14:paraId="5ECDF5D5" w14:textId="77777777" w:rsidTr="00376D80">
        <w:tc>
          <w:tcPr>
            <w:tcW w:w="7035" w:type="dxa"/>
          </w:tcPr>
          <w:p w14:paraId="623E1B3E" w14:textId="14D83954" w:rsidR="00376D80" w:rsidRDefault="00376D80" w:rsidP="00376D80">
            <w:r w:rsidRPr="008E6D09">
              <w:t>Review of Policy Research</w:t>
            </w:r>
          </w:p>
        </w:tc>
        <w:tc>
          <w:tcPr>
            <w:tcW w:w="1800" w:type="dxa"/>
          </w:tcPr>
          <w:p w14:paraId="03A7FE28" w14:textId="461C11B9" w:rsidR="00376D80" w:rsidRDefault="00376D80" w:rsidP="00376D80">
            <w:r w:rsidRPr="008E6D09">
              <w:t>592</w:t>
            </w:r>
          </w:p>
        </w:tc>
      </w:tr>
      <w:tr w:rsidR="00376D80" w14:paraId="43F55271" w14:textId="77777777" w:rsidTr="00376D80">
        <w:tc>
          <w:tcPr>
            <w:tcW w:w="7035" w:type="dxa"/>
          </w:tcPr>
          <w:p w14:paraId="3BF58DC2" w14:textId="3DE0C79D" w:rsidR="00376D80" w:rsidRDefault="00376D80" w:rsidP="00376D80">
            <w:r w:rsidRPr="008E6D09">
              <w:t>Journal of Accounting and Public Policy</w:t>
            </w:r>
          </w:p>
        </w:tc>
        <w:tc>
          <w:tcPr>
            <w:tcW w:w="1800" w:type="dxa"/>
          </w:tcPr>
          <w:p w14:paraId="564C30B4" w14:textId="7356B0F7" w:rsidR="00376D80" w:rsidRDefault="00376D80" w:rsidP="00376D80">
            <w:r w:rsidRPr="008E6D09">
              <w:t>547</w:t>
            </w:r>
          </w:p>
        </w:tc>
      </w:tr>
      <w:tr w:rsidR="00376D80" w14:paraId="7AFB94A1" w14:textId="77777777" w:rsidTr="00376D80">
        <w:tc>
          <w:tcPr>
            <w:tcW w:w="7035" w:type="dxa"/>
          </w:tcPr>
          <w:p w14:paraId="11A23CEB" w14:textId="5FCFF940" w:rsidR="00376D80" w:rsidRDefault="00376D80" w:rsidP="00376D80">
            <w:r w:rsidRPr="008E6D09">
              <w:t>Policy and Society</w:t>
            </w:r>
          </w:p>
        </w:tc>
        <w:tc>
          <w:tcPr>
            <w:tcW w:w="1800" w:type="dxa"/>
          </w:tcPr>
          <w:p w14:paraId="1807B6C6" w14:textId="489A0077" w:rsidR="00376D80" w:rsidRDefault="00376D80" w:rsidP="00376D80">
            <w:r w:rsidRPr="008E6D09">
              <w:t>453</w:t>
            </w:r>
          </w:p>
        </w:tc>
      </w:tr>
      <w:tr w:rsidR="00376D80" w14:paraId="38CC735C" w14:textId="77777777" w:rsidTr="00376D80">
        <w:tc>
          <w:tcPr>
            <w:tcW w:w="7035" w:type="dxa"/>
          </w:tcPr>
          <w:p w14:paraId="72310D7C" w14:textId="5710A481" w:rsidR="00376D80" w:rsidRDefault="00376D80" w:rsidP="00376D80">
            <w:r w:rsidRPr="008E6D09">
              <w:t>Lex Localis</w:t>
            </w:r>
          </w:p>
        </w:tc>
        <w:tc>
          <w:tcPr>
            <w:tcW w:w="1800" w:type="dxa"/>
          </w:tcPr>
          <w:p w14:paraId="5EDF54FE" w14:textId="3483C972" w:rsidR="00376D80" w:rsidRDefault="00376D80" w:rsidP="00376D80">
            <w:r w:rsidRPr="008E6D09">
              <w:t>420</w:t>
            </w:r>
          </w:p>
        </w:tc>
      </w:tr>
      <w:tr w:rsidR="00376D80" w14:paraId="14277D4E" w14:textId="77777777" w:rsidTr="00376D80">
        <w:tc>
          <w:tcPr>
            <w:tcW w:w="7035" w:type="dxa"/>
          </w:tcPr>
          <w:p w14:paraId="2CF6F85D" w14:textId="0CB670DE" w:rsidR="00376D80" w:rsidRDefault="00376D80" w:rsidP="00376D80">
            <w:r w:rsidRPr="008E6D09">
              <w:t xml:space="preserve">Journal of Comparative Policy Analysis </w:t>
            </w:r>
            <w:r w:rsidR="00BD6469">
              <w:t>–</w:t>
            </w:r>
            <w:r w:rsidRPr="008E6D09">
              <w:t xml:space="preserve"> Research and Practice</w:t>
            </w:r>
          </w:p>
        </w:tc>
        <w:tc>
          <w:tcPr>
            <w:tcW w:w="1800" w:type="dxa"/>
          </w:tcPr>
          <w:p w14:paraId="19A2C335" w14:textId="65148A5C" w:rsidR="00376D80" w:rsidRDefault="00376D80" w:rsidP="00376D80">
            <w:r w:rsidRPr="008E6D09">
              <w:t>414</w:t>
            </w:r>
          </w:p>
        </w:tc>
      </w:tr>
      <w:tr w:rsidR="00376D80" w14:paraId="0944522A" w14:textId="77777777" w:rsidTr="00376D80">
        <w:tc>
          <w:tcPr>
            <w:tcW w:w="7035" w:type="dxa"/>
          </w:tcPr>
          <w:p w14:paraId="18005283" w14:textId="600CDB5D" w:rsidR="00376D80" w:rsidRDefault="00376D80" w:rsidP="00376D80">
            <w:r w:rsidRPr="008E6D09">
              <w:t>Policy Studies</w:t>
            </w:r>
          </w:p>
        </w:tc>
        <w:tc>
          <w:tcPr>
            <w:tcW w:w="1800" w:type="dxa"/>
          </w:tcPr>
          <w:p w14:paraId="5F6A3A1D" w14:textId="684866DC" w:rsidR="00376D80" w:rsidRDefault="00376D80" w:rsidP="00376D80">
            <w:r w:rsidRPr="008E6D09">
              <w:t>410</w:t>
            </w:r>
          </w:p>
        </w:tc>
      </w:tr>
      <w:tr w:rsidR="00376D80" w14:paraId="7685D8A9" w14:textId="77777777" w:rsidTr="00376D80">
        <w:tc>
          <w:tcPr>
            <w:tcW w:w="7035" w:type="dxa"/>
          </w:tcPr>
          <w:p w14:paraId="13E736CA" w14:textId="3C9EEB3A" w:rsidR="00376D80" w:rsidRDefault="00376D80" w:rsidP="00376D80">
            <w:r w:rsidRPr="008E6D09">
              <w:t>Regulation and Governance</w:t>
            </w:r>
          </w:p>
        </w:tc>
        <w:tc>
          <w:tcPr>
            <w:tcW w:w="1800" w:type="dxa"/>
          </w:tcPr>
          <w:p w14:paraId="282D8CF8" w14:textId="37B2D9BA" w:rsidR="00376D80" w:rsidRDefault="00376D80" w:rsidP="00376D80">
            <w:r w:rsidRPr="008E6D09">
              <w:t>356</w:t>
            </w:r>
          </w:p>
        </w:tc>
      </w:tr>
      <w:tr w:rsidR="00376D80" w14:paraId="5FBEBF8B" w14:textId="77777777" w:rsidTr="00376D80">
        <w:tc>
          <w:tcPr>
            <w:tcW w:w="7035" w:type="dxa"/>
          </w:tcPr>
          <w:p w14:paraId="43D2CF78" w14:textId="63577D40" w:rsidR="00376D80" w:rsidRDefault="00376D80" w:rsidP="00376D80">
            <w:r w:rsidRPr="008E6D09">
              <w:t>Public Performance and Management Review</w:t>
            </w:r>
          </w:p>
        </w:tc>
        <w:tc>
          <w:tcPr>
            <w:tcW w:w="1800" w:type="dxa"/>
          </w:tcPr>
          <w:p w14:paraId="096E18EC" w14:textId="2E6CE16F" w:rsidR="00376D80" w:rsidRDefault="00376D80" w:rsidP="00376D80">
            <w:r w:rsidRPr="008E6D09">
              <w:t>349</w:t>
            </w:r>
          </w:p>
        </w:tc>
      </w:tr>
      <w:tr w:rsidR="00376D80" w14:paraId="19EF0D04" w14:textId="77777777" w:rsidTr="00376D80">
        <w:tc>
          <w:tcPr>
            <w:tcW w:w="7035" w:type="dxa"/>
          </w:tcPr>
          <w:p w14:paraId="7826EF7F" w14:textId="2211295B" w:rsidR="00376D80" w:rsidRDefault="00376D80" w:rsidP="00376D80">
            <w:r w:rsidRPr="008E6D09">
              <w:t>Nonprofit Management and Leadership</w:t>
            </w:r>
          </w:p>
        </w:tc>
        <w:tc>
          <w:tcPr>
            <w:tcW w:w="1800" w:type="dxa"/>
          </w:tcPr>
          <w:p w14:paraId="08BEC743" w14:textId="076C4D39" w:rsidR="00376D80" w:rsidRDefault="00376D80" w:rsidP="00376D80">
            <w:r w:rsidRPr="008E6D09">
              <w:t>339</w:t>
            </w:r>
          </w:p>
        </w:tc>
      </w:tr>
      <w:tr w:rsidR="00376D80" w14:paraId="5302956C" w14:textId="77777777" w:rsidTr="00376D80">
        <w:tc>
          <w:tcPr>
            <w:tcW w:w="7035" w:type="dxa"/>
          </w:tcPr>
          <w:p w14:paraId="5FB03B0A" w14:textId="60DB29EB" w:rsidR="00376D80" w:rsidRDefault="00376D80" w:rsidP="00376D80">
            <w:r w:rsidRPr="008E6D09">
              <w:t>International Public Management Journal</w:t>
            </w:r>
          </w:p>
        </w:tc>
        <w:tc>
          <w:tcPr>
            <w:tcW w:w="1800" w:type="dxa"/>
          </w:tcPr>
          <w:p w14:paraId="06D5CC12" w14:textId="52E40EA3" w:rsidR="00376D80" w:rsidRDefault="00376D80" w:rsidP="00376D80">
            <w:r w:rsidRPr="008E6D09">
              <w:t>335</w:t>
            </w:r>
          </w:p>
        </w:tc>
      </w:tr>
      <w:tr w:rsidR="00376D80" w14:paraId="30570A7B" w14:textId="77777777" w:rsidTr="00376D80">
        <w:tc>
          <w:tcPr>
            <w:tcW w:w="7035" w:type="dxa"/>
          </w:tcPr>
          <w:p w14:paraId="1A4E0A33" w14:textId="12125D22" w:rsidR="00376D80" w:rsidRDefault="00376D80" w:rsidP="00376D80">
            <w:r w:rsidRPr="008E6D09">
              <w:t>Review of Public Personnel Administration</w:t>
            </w:r>
          </w:p>
        </w:tc>
        <w:tc>
          <w:tcPr>
            <w:tcW w:w="1800" w:type="dxa"/>
          </w:tcPr>
          <w:p w14:paraId="3EE9F489" w14:textId="658B93A0" w:rsidR="00376D80" w:rsidRDefault="00376D80" w:rsidP="00376D80">
            <w:r w:rsidRPr="008E6D09">
              <w:t>285</w:t>
            </w:r>
          </w:p>
        </w:tc>
      </w:tr>
      <w:tr w:rsidR="00376D80" w14:paraId="5409B358" w14:textId="77777777" w:rsidTr="00376D80">
        <w:tc>
          <w:tcPr>
            <w:tcW w:w="7035" w:type="dxa"/>
          </w:tcPr>
          <w:p w14:paraId="0A3694D5" w14:textId="36AB5CC2" w:rsidR="00376D80" w:rsidRDefault="00376D80" w:rsidP="00376D80">
            <w:r w:rsidRPr="008E6D09">
              <w:t>Human Service Organizations Management, Leadership and Governance</w:t>
            </w:r>
          </w:p>
        </w:tc>
        <w:tc>
          <w:tcPr>
            <w:tcW w:w="1800" w:type="dxa"/>
          </w:tcPr>
          <w:p w14:paraId="6AF8560A" w14:textId="67124D13" w:rsidR="00376D80" w:rsidRDefault="00376D80" w:rsidP="00376D80">
            <w:r w:rsidRPr="008E6D09">
              <w:t>237</w:t>
            </w:r>
          </w:p>
        </w:tc>
      </w:tr>
      <w:tr w:rsidR="00376D80" w14:paraId="1DF21C97" w14:textId="77777777" w:rsidTr="00376D80">
        <w:tc>
          <w:tcPr>
            <w:tcW w:w="7035" w:type="dxa"/>
          </w:tcPr>
          <w:p w14:paraId="3699AE49" w14:textId="4423C07F" w:rsidR="00376D80" w:rsidRDefault="00376D80" w:rsidP="00376D80">
            <w:r w:rsidRPr="008E6D09">
              <w:t>Journal of Public Policy</w:t>
            </w:r>
          </w:p>
        </w:tc>
        <w:tc>
          <w:tcPr>
            <w:tcW w:w="1800" w:type="dxa"/>
          </w:tcPr>
          <w:p w14:paraId="40BFECF4" w14:textId="2A9CA5E0" w:rsidR="00376D80" w:rsidRDefault="00376D80" w:rsidP="00376D80">
            <w:r w:rsidRPr="008E6D09">
              <w:t>201</w:t>
            </w:r>
          </w:p>
        </w:tc>
      </w:tr>
      <w:tr w:rsidR="00376D80" w14:paraId="66F1D31D" w14:textId="77777777" w:rsidTr="00376D80">
        <w:tc>
          <w:tcPr>
            <w:tcW w:w="7035" w:type="dxa"/>
          </w:tcPr>
          <w:p w14:paraId="61FFB94F" w14:textId="56943EC4" w:rsidR="00376D80" w:rsidRDefault="00376D80" w:rsidP="00376D80">
            <w:r w:rsidRPr="008E6D09">
              <w:t>Journal of Chinese Governance</w:t>
            </w:r>
          </w:p>
        </w:tc>
        <w:tc>
          <w:tcPr>
            <w:tcW w:w="1800" w:type="dxa"/>
          </w:tcPr>
          <w:p w14:paraId="2A750948" w14:textId="1038CE7B" w:rsidR="00376D80" w:rsidRDefault="00376D80" w:rsidP="00376D80">
            <w:r w:rsidRPr="008E6D09">
              <w:t>120</w:t>
            </w:r>
          </w:p>
        </w:tc>
      </w:tr>
      <w:tr w:rsidR="00376D80" w14:paraId="5A199C66" w14:textId="77777777" w:rsidTr="00376D80">
        <w:tc>
          <w:tcPr>
            <w:tcW w:w="7035" w:type="dxa"/>
          </w:tcPr>
          <w:p w14:paraId="120F8560" w14:textId="7C6FED5A" w:rsidR="00376D80" w:rsidRDefault="00376D80" w:rsidP="00376D80">
            <w:r w:rsidRPr="008E6D09">
              <w:t>Public Po</w:t>
            </w:r>
            <w:r>
              <w:t>licy and Administration</w:t>
            </w:r>
          </w:p>
        </w:tc>
        <w:tc>
          <w:tcPr>
            <w:tcW w:w="1800" w:type="dxa"/>
          </w:tcPr>
          <w:p w14:paraId="787C7822" w14:textId="744BE0FC" w:rsidR="00376D80" w:rsidRDefault="00376D80" w:rsidP="00376D80">
            <w:r w:rsidRPr="008E6D09">
              <w:t>114</w:t>
            </w:r>
          </w:p>
        </w:tc>
      </w:tr>
      <w:tr w:rsidR="00376D80" w14:paraId="2D1E115F" w14:textId="77777777" w:rsidTr="00376D80">
        <w:tc>
          <w:tcPr>
            <w:tcW w:w="7035" w:type="dxa"/>
          </w:tcPr>
          <w:p w14:paraId="3D032B9C" w14:textId="1E0318AA" w:rsidR="00376D80" w:rsidRDefault="00376D80" w:rsidP="00376D80">
            <w:r w:rsidRPr="008E6D09">
              <w:t>Critical Policy Studies</w:t>
            </w:r>
          </w:p>
        </w:tc>
        <w:tc>
          <w:tcPr>
            <w:tcW w:w="1800" w:type="dxa"/>
          </w:tcPr>
          <w:p w14:paraId="3DACE6C6" w14:textId="77D5E1A2" w:rsidR="00376D80" w:rsidRDefault="00376D80" w:rsidP="00376D80">
            <w:r w:rsidRPr="008E6D09">
              <w:t>110</w:t>
            </w:r>
          </w:p>
        </w:tc>
      </w:tr>
    </w:tbl>
    <w:p w14:paraId="6926CCC5" w14:textId="30591DE3" w:rsidR="007C0914" w:rsidRDefault="007C0914" w:rsidP="00FE0EEC">
      <w:pPr>
        <w:pStyle w:val="BodyText"/>
        <w:jc w:val="both"/>
        <w:rPr>
          <w:color w:val="000000"/>
        </w:rPr>
      </w:pPr>
    </w:p>
    <w:p w14:paraId="65DC4895" w14:textId="1BD58625" w:rsidR="001867AA" w:rsidRDefault="001867AA" w:rsidP="001867AA">
      <w:r>
        <w:lastRenderedPageBreak/>
        <w:fldChar w:fldCharType="begin"/>
      </w:r>
      <w:r>
        <w:instrText xml:space="preserve"> REF _Ref127525165 \h  \* MERGEFORMAT </w:instrText>
      </w:r>
      <w:r>
        <w:fldChar w:fldCharType="separate"/>
      </w:r>
      <w:r w:rsidR="00E21D61">
        <w:t xml:space="preserve">Table </w:t>
      </w:r>
      <w:r w:rsidR="00E21D61">
        <w:rPr>
          <w:noProof/>
        </w:rPr>
        <w:t>2</w:t>
      </w:r>
      <w:r>
        <w:fldChar w:fldCharType="end"/>
      </w:r>
      <w:r>
        <w:t xml:space="preserve"> shows the distribution of the WoS </w:t>
      </w:r>
      <w:r w:rsidR="00CD2E75">
        <w:t>PPA</w:t>
      </w:r>
      <w:r>
        <w:t xml:space="preserve"> publications across the document types. </w:t>
      </w:r>
      <w:r w:rsidR="00A70EAB">
        <w:t>Overall, the relative frequency of document types is similar to the total WoS.</w:t>
      </w:r>
      <w:r w:rsidR="001F7AC4">
        <w:t xml:space="preserve"> The only exception are book reviews with a significantly higher proportion among PPA publications than among the total WoS. </w:t>
      </w:r>
    </w:p>
    <w:p w14:paraId="640CB24D" w14:textId="2EC2166C" w:rsidR="000F317D" w:rsidRDefault="000F317D" w:rsidP="00FE0EEC">
      <w:pPr>
        <w:pStyle w:val="BodyText"/>
        <w:jc w:val="both"/>
        <w:rPr>
          <w:color w:val="000000"/>
        </w:rPr>
      </w:pPr>
    </w:p>
    <w:p w14:paraId="2E1D5AE1" w14:textId="727CE657" w:rsidR="000F317D" w:rsidRDefault="000F317D" w:rsidP="000F317D">
      <w:pPr>
        <w:jc w:val="center"/>
      </w:pPr>
      <w:bookmarkStart w:id="2" w:name="_Ref127525165"/>
      <w:r>
        <w:t xml:space="preserve">Table </w:t>
      </w:r>
      <w:r>
        <w:fldChar w:fldCharType="begin"/>
      </w:r>
      <w:r>
        <w:instrText xml:space="preserve"> SEQ Table \* ARABIC </w:instrText>
      </w:r>
      <w:r>
        <w:fldChar w:fldCharType="separate"/>
      </w:r>
      <w:r w:rsidR="00E21D61">
        <w:rPr>
          <w:noProof/>
        </w:rPr>
        <w:t>2</w:t>
      </w:r>
      <w:r>
        <w:fldChar w:fldCharType="end"/>
      </w:r>
      <w:bookmarkEnd w:id="2"/>
      <w:r>
        <w:t xml:space="preserve">. Document types of WoS </w:t>
      </w:r>
      <w:r w:rsidR="00CD2E75">
        <w:t>PPA</w:t>
      </w:r>
      <w:r>
        <w:t xml:space="preserve"> publications that were included in our study ordered descending by the number of papers with DOI</w:t>
      </w:r>
    </w:p>
    <w:p w14:paraId="66E30400" w14:textId="77777777" w:rsidR="000F317D" w:rsidRDefault="000F317D" w:rsidP="00FE0EEC">
      <w:pPr>
        <w:pStyle w:val="BodyText"/>
        <w:jc w:val="both"/>
        <w:rPr>
          <w:color w:val="000000"/>
        </w:rPr>
      </w:pPr>
    </w:p>
    <w:tbl>
      <w:tblPr>
        <w:tblStyle w:val="TableGrid"/>
        <w:tblW w:w="0" w:type="auto"/>
        <w:tblLook w:val="04A0" w:firstRow="1" w:lastRow="0" w:firstColumn="1" w:lastColumn="0" w:noHBand="0" w:noVBand="1"/>
      </w:tblPr>
      <w:tblGrid>
        <w:gridCol w:w="2065"/>
        <w:gridCol w:w="3060"/>
        <w:gridCol w:w="2063"/>
        <w:gridCol w:w="1873"/>
      </w:tblGrid>
      <w:tr w:rsidR="004714EB" w:rsidRPr="000F317D" w14:paraId="086931EC" w14:textId="6E6A1E70" w:rsidTr="00497D59">
        <w:trPr>
          <w:trHeight w:val="300"/>
        </w:trPr>
        <w:tc>
          <w:tcPr>
            <w:tcW w:w="2065" w:type="dxa"/>
            <w:noWrap/>
            <w:hideMark/>
          </w:tcPr>
          <w:p w14:paraId="15781292" w14:textId="13C87DD1" w:rsidR="004714EB" w:rsidRPr="000F317D" w:rsidRDefault="004714EB" w:rsidP="00E41801">
            <w:pPr>
              <w:pStyle w:val="BodyText"/>
              <w:jc w:val="both"/>
              <w:rPr>
                <w:color w:val="000000"/>
                <w:lang w:val="en-US"/>
              </w:rPr>
            </w:pPr>
            <w:r>
              <w:rPr>
                <w:color w:val="000000"/>
              </w:rPr>
              <w:t>Document type</w:t>
            </w:r>
          </w:p>
        </w:tc>
        <w:tc>
          <w:tcPr>
            <w:tcW w:w="3060" w:type="dxa"/>
            <w:noWrap/>
            <w:hideMark/>
          </w:tcPr>
          <w:p w14:paraId="3A6D2675" w14:textId="484F13EE" w:rsidR="004714EB" w:rsidRPr="000F317D" w:rsidRDefault="004714EB" w:rsidP="000F317D">
            <w:pPr>
              <w:pStyle w:val="BodyText"/>
              <w:jc w:val="both"/>
              <w:rPr>
                <w:color w:val="000000"/>
              </w:rPr>
            </w:pPr>
            <w:r w:rsidRPr="000F317D">
              <w:rPr>
                <w:color w:val="000000"/>
              </w:rPr>
              <w:t xml:space="preserve">Number of </w:t>
            </w:r>
            <w:r>
              <w:rPr>
                <w:color w:val="000000"/>
              </w:rPr>
              <w:t>papers with DOI</w:t>
            </w:r>
          </w:p>
        </w:tc>
        <w:tc>
          <w:tcPr>
            <w:tcW w:w="2063" w:type="dxa"/>
          </w:tcPr>
          <w:p w14:paraId="15DE6950" w14:textId="47E4F1F0" w:rsidR="004714EB" w:rsidRPr="000F317D" w:rsidRDefault="004714EB" w:rsidP="000F317D">
            <w:pPr>
              <w:pStyle w:val="BodyText"/>
              <w:jc w:val="both"/>
              <w:rPr>
                <w:color w:val="000000"/>
              </w:rPr>
            </w:pPr>
            <w:r>
              <w:rPr>
                <w:color w:val="000000"/>
              </w:rPr>
              <w:t>Proportion of papers</w:t>
            </w:r>
          </w:p>
        </w:tc>
        <w:tc>
          <w:tcPr>
            <w:tcW w:w="1873" w:type="dxa"/>
          </w:tcPr>
          <w:p w14:paraId="781EAA64" w14:textId="37F3F19F" w:rsidR="004714EB" w:rsidRDefault="004714EB" w:rsidP="000F317D">
            <w:pPr>
              <w:pStyle w:val="BodyText"/>
              <w:jc w:val="both"/>
              <w:rPr>
                <w:color w:val="000000"/>
              </w:rPr>
            </w:pPr>
            <w:r>
              <w:rPr>
                <w:color w:val="000000"/>
              </w:rPr>
              <w:t>Proportion of papers in WoS</w:t>
            </w:r>
          </w:p>
        </w:tc>
      </w:tr>
      <w:tr w:rsidR="00F45028" w:rsidRPr="000F317D" w14:paraId="6BCA8193" w14:textId="4B7BBA56" w:rsidTr="00497D59">
        <w:trPr>
          <w:trHeight w:val="300"/>
        </w:trPr>
        <w:tc>
          <w:tcPr>
            <w:tcW w:w="2065" w:type="dxa"/>
            <w:noWrap/>
            <w:hideMark/>
          </w:tcPr>
          <w:p w14:paraId="46ACCEED" w14:textId="6BBF5DC9" w:rsidR="00F45028" w:rsidRPr="000F317D" w:rsidRDefault="00F45028" w:rsidP="00F45028">
            <w:pPr>
              <w:pStyle w:val="BodyText"/>
              <w:jc w:val="both"/>
              <w:rPr>
                <w:color w:val="000000"/>
              </w:rPr>
            </w:pPr>
            <w:r>
              <w:rPr>
                <w:color w:val="000000"/>
              </w:rPr>
              <w:t>Article</w:t>
            </w:r>
          </w:p>
        </w:tc>
        <w:tc>
          <w:tcPr>
            <w:tcW w:w="3060" w:type="dxa"/>
            <w:noWrap/>
            <w:hideMark/>
          </w:tcPr>
          <w:p w14:paraId="6E8B29AB" w14:textId="419EAFA3" w:rsidR="00F45028" w:rsidRPr="000F317D" w:rsidRDefault="00F45028" w:rsidP="00F45028">
            <w:pPr>
              <w:pStyle w:val="BodyText"/>
              <w:jc w:val="both"/>
              <w:rPr>
                <w:color w:val="000000"/>
              </w:rPr>
            </w:pPr>
            <w:r w:rsidRPr="000F317D">
              <w:rPr>
                <w:color w:val="000000"/>
              </w:rPr>
              <w:t>32</w:t>
            </w:r>
            <w:r>
              <w:rPr>
                <w:color w:val="000000"/>
              </w:rPr>
              <w:t>,</w:t>
            </w:r>
            <w:r w:rsidRPr="000F317D">
              <w:rPr>
                <w:color w:val="000000"/>
              </w:rPr>
              <w:t>624</w:t>
            </w:r>
          </w:p>
        </w:tc>
        <w:tc>
          <w:tcPr>
            <w:tcW w:w="2063" w:type="dxa"/>
          </w:tcPr>
          <w:p w14:paraId="544A9633" w14:textId="41836F81" w:rsidR="00F45028" w:rsidRPr="00BC6A59" w:rsidRDefault="00F45028" w:rsidP="00F45028">
            <w:pPr>
              <w:pStyle w:val="BodyText"/>
              <w:jc w:val="both"/>
              <w:rPr>
                <w:color w:val="auto"/>
              </w:rPr>
            </w:pPr>
            <w:r w:rsidRPr="00BC6A59">
              <w:rPr>
                <w:color w:val="auto"/>
              </w:rPr>
              <w:t>75.15</w:t>
            </w:r>
          </w:p>
        </w:tc>
        <w:tc>
          <w:tcPr>
            <w:tcW w:w="1873" w:type="dxa"/>
          </w:tcPr>
          <w:p w14:paraId="64A84065" w14:textId="0E8AA104" w:rsidR="00F45028" w:rsidRPr="00BC6A59" w:rsidRDefault="00F45028" w:rsidP="00F45028">
            <w:pPr>
              <w:pStyle w:val="BodyText"/>
              <w:jc w:val="both"/>
              <w:rPr>
                <w:color w:val="auto"/>
              </w:rPr>
            </w:pPr>
            <w:r w:rsidRPr="00BC6A59">
              <w:rPr>
                <w:color w:val="auto"/>
              </w:rPr>
              <w:t>82.18</w:t>
            </w:r>
          </w:p>
        </w:tc>
      </w:tr>
      <w:tr w:rsidR="00F45028" w:rsidRPr="000F317D" w14:paraId="3A154DD8" w14:textId="25BB43A7" w:rsidTr="00497D59">
        <w:trPr>
          <w:trHeight w:val="300"/>
        </w:trPr>
        <w:tc>
          <w:tcPr>
            <w:tcW w:w="2065" w:type="dxa"/>
            <w:noWrap/>
            <w:hideMark/>
          </w:tcPr>
          <w:p w14:paraId="52D9D95D" w14:textId="65D78912" w:rsidR="00F45028" w:rsidRPr="000F317D" w:rsidRDefault="00F45028" w:rsidP="00F45028">
            <w:pPr>
              <w:pStyle w:val="BodyText"/>
              <w:jc w:val="both"/>
              <w:rPr>
                <w:color w:val="000000"/>
              </w:rPr>
            </w:pPr>
            <w:r>
              <w:rPr>
                <w:color w:val="000000"/>
              </w:rPr>
              <w:t>Book review</w:t>
            </w:r>
          </w:p>
        </w:tc>
        <w:tc>
          <w:tcPr>
            <w:tcW w:w="3060" w:type="dxa"/>
            <w:noWrap/>
            <w:hideMark/>
          </w:tcPr>
          <w:p w14:paraId="0A74B375" w14:textId="7FC4E37E" w:rsidR="00F45028" w:rsidRPr="000F317D" w:rsidRDefault="00F45028" w:rsidP="00F45028">
            <w:pPr>
              <w:pStyle w:val="BodyText"/>
              <w:jc w:val="both"/>
              <w:rPr>
                <w:color w:val="000000"/>
              </w:rPr>
            </w:pPr>
            <w:r w:rsidRPr="000F317D">
              <w:rPr>
                <w:color w:val="000000"/>
              </w:rPr>
              <w:t>6</w:t>
            </w:r>
            <w:r>
              <w:rPr>
                <w:color w:val="000000"/>
              </w:rPr>
              <w:t>,</w:t>
            </w:r>
            <w:r w:rsidRPr="000F317D">
              <w:rPr>
                <w:color w:val="000000"/>
              </w:rPr>
              <w:t>899</w:t>
            </w:r>
          </w:p>
        </w:tc>
        <w:tc>
          <w:tcPr>
            <w:tcW w:w="2063" w:type="dxa"/>
          </w:tcPr>
          <w:p w14:paraId="2696E7ED" w14:textId="6A597CAE" w:rsidR="00F45028" w:rsidRPr="00BC6A59" w:rsidRDefault="00F45028" w:rsidP="00F45028">
            <w:pPr>
              <w:pStyle w:val="BodyText"/>
              <w:jc w:val="both"/>
              <w:rPr>
                <w:color w:val="auto"/>
              </w:rPr>
            </w:pPr>
            <w:r w:rsidRPr="00BC6A59">
              <w:rPr>
                <w:color w:val="auto"/>
              </w:rPr>
              <w:t>15.89</w:t>
            </w:r>
          </w:p>
        </w:tc>
        <w:tc>
          <w:tcPr>
            <w:tcW w:w="1873" w:type="dxa"/>
          </w:tcPr>
          <w:p w14:paraId="1C1F12CB" w14:textId="4C5E517C" w:rsidR="00F45028" w:rsidRPr="00BC6A59" w:rsidRDefault="00F45028" w:rsidP="00F45028">
            <w:pPr>
              <w:pStyle w:val="BodyText"/>
              <w:jc w:val="both"/>
              <w:rPr>
                <w:color w:val="auto"/>
              </w:rPr>
            </w:pPr>
            <w:r w:rsidRPr="00BC6A59">
              <w:rPr>
                <w:color w:val="auto"/>
              </w:rPr>
              <w:t>8.03</w:t>
            </w:r>
          </w:p>
        </w:tc>
      </w:tr>
      <w:tr w:rsidR="00F45028" w:rsidRPr="000F317D" w14:paraId="6C060FE7" w14:textId="6F20C744" w:rsidTr="00497D59">
        <w:trPr>
          <w:trHeight w:val="300"/>
        </w:trPr>
        <w:tc>
          <w:tcPr>
            <w:tcW w:w="2065" w:type="dxa"/>
            <w:noWrap/>
            <w:hideMark/>
          </w:tcPr>
          <w:p w14:paraId="5E58361A" w14:textId="146D085F" w:rsidR="00F45028" w:rsidRPr="000F317D" w:rsidRDefault="00F45028" w:rsidP="00F45028">
            <w:pPr>
              <w:pStyle w:val="BodyText"/>
              <w:jc w:val="both"/>
              <w:rPr>
                <w:color w:val="000000"/>
              </w:rPr>
            </w:pPr>
            <w:r>
              <w:rPr>
                <w:color w:val="000000"/>
              </w:rPr>
              <w:t>Editorial</w:t>
            </w:r>
          </w:p>
        </w:tc>
        <w:tc>
          <w:tcPr>
            <w:tcW w:w="3060" w:type="dxa"/>
            <w:noWrap/>
            <w:hideMark/>
          </w:tcPr>
          <w:p w14:paraId="79206D17" w14:textId="3F584C77" w:rsidR="00F45028" w:rsidRPr="000F317D" w:rsidRDefault="00F45028" w:rsidP="00F45028">
            <w:pPr>
              <w:pStyle w:val="BodyText"/>
              <w:jc w:val="both"/>
              <w:rPr>
                <w:color w:val="000000"/>
              </w:rPr>
            </w:pPr>
            <w:r w:rsidRPr="000F317D">
              <w:rPr>
                <w:color w:val="000000"/>
              </w:rPr>
              <w:t>3</w:t>
            </w:r>
            <w:r>
              <w:rPr>
                <w:color w:val="000000"/>
              </w:rPr>
              <w:t>,</w:t>
            </w:r>
            <w:r w:rsidRPr="000F317D">
              <w:rPr>
                <w:color w:val="000000"/>
              </w:rPr>
              <w:t>193</w:t>
            </w:r>
          </w:p>
        </w:tc>
        <w:tc>
          <w:tcPr>
            <w:tcW w:w="2063" w:type="dxa"/>
          </w:tcPr>
          <w:p w14:paraId="32726C17" w14:textId="061110BB" w:rsidR="00F45028" w:rsidRPr="00BC6A59" w:rsidRDefault="00F45028" w:rsidP="00F45028">
            <w:pPr>
              <w:pStyle w:val="BodyText"/>
              <w:jc w:val="both"/>
              <w:rPr>
                <w:color w:val="auto"/>
              </w:rPr>
            </w:pPr>
            <w:r w:rsidRPr="00BC6A59">
              <w:rPr>
                <w:color w:val="auto"/>
              </w:rPr>
              <w:t>7.35</w:t>
            </w:r>
          </w:p>
        </w:tc>
        <w:tc>
          <w:tcPr>
            <w:tcW w:w="1873" w:type="dxa"/>
          </w:tcPr>
          <w:p w14:paraId="57896D85" w14:textId="26BCE5A8" w:rsidR="00F45028" w:rsidRPr="00BC6A59" w:rsidRDefault="00F45028" w:rsidP="00F45028">
            <w:pPr>
              <w:pStyle w:val="BodyText"/>
              <w:jc w:val="both"/>
              <w:rPr>
                <w:color w:val="auto"/>
              </w:rPr>
            </w:pPr>
            <w:r w:rsidRPr="00BC6A59">
              <w:rPr>
                <w:color w:val="auto"/>
              </w:rPr>
              <w:t>5.81</w:t>
            </w:r>
          </w:p>
        </w:tc>
      </w:tr>
      <w:tr w:rsidR="00F45028" w:rsidRPr="000F317D" w14:paraId="13C3A2EB" w14:textId="4E3B5DDC" w:rsidTr="00497D59">
        <w:trPr>
          <w:trHeight w:val="300"/>
        </w:trPr>
        <w:tc>
          <w:tcPr>
            <w:tcW w:w="2065" w:type="dxa"/>
            <w:noWrap/>
            <w:hideMark/>
          </w:tcPr>
          <w:p w14:paraId="3F9CF732" w14:textId="2BA011D3" w:rsidR="00F45028" w:rsidRPr="000F317D" w:rsidRDefault="00F45028" w:rsidP="00F45028">
            <w:pPr>
              <w:pStyle w:val="BodyText"/>
              <w:jc w:val="both"/>
              <w:rPr>
                <w:color w:val="000000"/>
              </w:rPr>
            </w:pPr>
            <w:r>
              <w:rPr>
                <w:color w:val="000000"/>
              </w:rPr>
              <w:t>Review</w:t>
            </w:r>
          </w:p>
        </w:tc>
        <w:tc>
          <w:tcPr>
            <w:tcW w:w="3060" w:type="dxa"/>
            <w:noWrap/>
            <w:hideMark/>
          </w:tcPr>
          <w:p w14:paraId="03C410C2" w14:textId="77777777" w:rsidR="00F45028" w:rsidRPr="000F317D" w:rsidRDefault="00F45028" w:rsidP="00F45028">
            <w:pPr>
              <w:pStyle w:val="BodyText"/>
              <w:jc w:val="both"/>
              <w:rPr>
                <w:color w:val="000000"/>
              </w:rPr>
            </w:pPr>
            <w:r w:rsidRPr="000F317D">
              <w:rPr>
                <w:color w:val="000000"/>
              </w:rPr>
              <w:t>697</w:t>
            </w:r>
          </w:p>
        </w:tc>
        <w:tc>
          <w:tcPr>
            <w:tcW w:w="2063" w:type="dxa"/>
          </w:tcPr>
          <w:p w14:paraId="05EEAB6D" w14:textId="57BB9087" w:rsidR="00F45028" w:rsidRPr="00BC6A59" w:rsidRDefault="00F45028" w:rsidP="00F45028">
            <w:pPr>
              <w:pStyle w:val="BodyText"/>
              <w:jc w:val="both"/>
              <w:rPr>
                <w:color w:val="auto"/>
              </w:rPr>
            </w:pPr>
            <w:r w:rsidRPr="00BC6A59">
              <w:rPr>
                <w:color w:val="auto"/>
              </w:rPr>
              <w:t>1.61</w:t>
            </w:r>
          </w:p>
        </w:tc>
        <w:tc>
          <w:tcPr>
            <w:tcW w:w="1873" w:type="dxa"/>
          </w:tcPr>
          <w:p w14:paraId="568C92E4" w14:textId="53EA9E39" w:rsidR="00F45028" w:rsidRPr="00BC6A59" w:rsidRDefault="00F45028" w:rsidP="00F45028">
            <w:pPr>
              <w:pStyle w:val="BodyText"/>
              <w:jc w:val="both"/>
              <w:rPr>
                <w:color w:val="auto"/>
              </w:rPr>
            </w:pPr>
            <w:r w:rsidRPr="00BC6A59">
              <w:rPr>
                <w:color w:val="auto"/>
              </w:rPr>
              <w:t>3.99</w:t>
            </w:r>
          </w:p>
        </w:tc>
      </w:tr>
    </w:tbl>
    <w:p w14:paraId="50A24DA0" w14:textId="77777777" w:rsidR="000F317D" w:rsidRDefault="000F317D" w:rsidP="00FE0EEC">
      <w:pPr>
        <w:pStyle w:val="BodyText"/>
        <w:jc w:val="both"/>
        <w:rPr>
          <w:color w:val="000000"/>
        </w:rPr>
      </w:pPr>
    </w:p>
    <w:p w14:paraId="6C36A36C" w14:textId="0B2DEE9C" w:rsidR="0022105C" w:rsidRPr="00957C0D" w:rsidRDefault="0022105C" w:rsidP="00FE0EEC">
      <w:pPr>
        <w:pStyle w:val="BodyText"/>
        <w:jc w:val="both"/>
        <w:rPr>
          <w:color w:val="000000"/>
        </w:rPr>
      </w:pPr>
      <w:r>
        <w:rPr>
          <w:color w:val="000000"/>
        </w:rPr>
        <w:t>We use</w:t>
      </w:r>
      <w:r w:rsidR="001E0B98">
        <w:rPr>
          <w:color w:val="000000"/>
        </w:rPr>
        <w:t>d</w:t>
      </w:r>
      <w:r>
        <w:rPr>
          <w:color w:val="000000"/>
        </w:rPr>
        <w:t xml:space="preserve"> a snapshot of the Overton database</w:t>
      </w:r>
      <w:r w:rsidR="009E4760">
        <w:rPr>
          <w:color w:val="000000"/>
        </w:rPr>
        <w:t xml:space="preserve"> </w:t>
      </w:r>
      <w:r w:rsidR="009E4760">
        <w:rPr>
          <w:color w:val="000000"/>
        </w:rPr>
        <w:fldChar w:fldCharType="begin"/>
      </w:r>
      <w:r w:rsidR="009E4760">
        <w:rPr>
          <w:color w:val="000000"/>
        </w:rPr>
        <w:instrText xml:space="preserve"> ADDIN EN.CITE &lt;EndNote&gt;&lt;Cite&gt;&lt;Author&gt;Szomszor&lt;/Author&gt;&lt;Year&gt;2022&lt;/Year&gt;&lt;RecNum&gt;891&lt;/RecNum&gt;&lt;DisplayText&gt;(Szomszor &amp;amp; Adie, 2022)&lt;/DisplayText&gt;&lt;record&gt;&lt;rec-number&gt;891&lt;/rec-number&gt;&lt;foreign-keys&gt;&lt;key app="EN" db-id="art5xdpt5srxr3edaeu5r0sdpaxwttzfwfte" timestamp="1676628721"&gt;891&lt;/key&gt;&lt;/foreign-keys&gt;&lt;ref-type name="Journal Article"&gt;17&lt;/ref-type&gt;&lt;contributors&gt;&lt;authors&gt;&lt;author&gt;Szomszor, Martin&lt;/author&gt;&lt;author&gt;Adie, Euan&lt;/author&gt;&lt;/authors&gt;&lt;/contributors&gt;&lt;titles&gt;&lt;title&gt;Overton: A bibliometric database of policy document citations&lt;/title&gt;&lt;secondary-title&gt;Quantitative Science Studies&lt;/secondary-title&gt;&lt;/titles&gt;&lt;periodical&gt;&lt;full-title&gt;Quantitative Science Studies&lt;/full-title&gt;&lt;/periodical&gt;&lt;pages&gt;624-650&lt;/pages&gt;&lt;volume&gt;3&lt;/volume&gt;&lt;number&gt;3&lt;/number&gt;&lt;dates&gt;&lt;year&gt;2022&lt;/year&gt;&lt;/dates&gt;&lt;isbn&gt;2641-3337&lt;/isbn&gt;&lt;urls&gt;&lt;related-urls&gt;&lt;url&gt;https://doi.org/10.1162/qss_a_00204&lt;/url&gt;&lt;/related-urls&gt;&lt;/urls&gt;&lt;electronic-resource-num&gt;10.1162/qss_a_00204&lt;/electronic-resource-num&gt;&lt;access-date&gt;2/17/2023&lt;/access-date&gt;&lt;/record&gt;&lt;/Cite&gt;&lt;/EndNote&gt;</w:instrText>
      </w:r>
      <w:r w:rsidR="009E4760">
        <w:rPr>
          <w:color w:val="000000"/>
        </w:rPr>
        <w:fldChar w:fldCharType="separate"/>
      </w:r>
      <w:r w:rsidR="009E4760">
        <w:rPr>
          <w:noProof/>
          <w:color w:val="000000"/>
        </w:rPr>
        <w:t>(Szomszor &amp; Adie, 2022)</w:t>
      </w:r>
      <w:r w:rsidR="009E4760">
        <w:rPr>
          <w:color w:val="000000"/>
        </w:rPr>
        <w:fldChar w:fldCharType="end"/>
      </w:r>
      <w:r>
        <w:rPr>
          <w:color w:val="000000"/>
        </w:rPr>
        <w:t xml:space="preserve"> from </w:t>
      </w:r>
      <w:r w:rsidRPr="0022105C">
        <w:rPr>
          <w:color w:val="000000"/>
        </w:rPr>
        <w:t>19 January 2023</w:t>
      </w:r>
      <w:r>
        <w:rPr>
          <w:color w:val="000000"/>
        </w:rPr>
        <w:t xml:space="preserve"> to obtain information about which policy sources cited which </w:t>
      </w:r>
      <w:r w:rsidR="00B72FED">
        <w:rPr>
          <w:color w:val="000000"/>
        </w:rPr>
        <w:t xml:space="preserve">selected </w:t>
      </w:r>
      <w:r w:rsidR="00CD2E75">
        <w:rPr>
          <w:color w:val="000000"/>
        </w:rPr>
        <w:t>PPA</w:t>
      </w:r>
      <w:r>
        <w:rPr>
          <w:color w:val="000000"/>
        </w:rPr>
        <w:t xml:space="preserve"> journals.</w:t>
      </w:r>
      <w:r w:rsidR="001E0B98">
        <w:rPr>
          <w:color w:val="000000"/>
        </w:rPr>
        <w:t xml:space="preserve"> </w:t>
      </w:r>
      <w:r w:rsidR="0035543D" w:rsidRPr="0035543D">
        <w:rPr>
          <w:color w:val="000000"/>
        </w:rPr>
        <w:t xml:space="preserve">This snapshot has been imported into a local PostgreSQL database at the Max Planck Institute for Solid State Research (Stuttgart, Germany). </w:t>
      </w:r>
      <w:r w:rsidR="001E0B98">
        <w:rPr>
          <w:color w:val="000000"/>
        </w:rPr>
        <w:t>Both databases</w:t>
      </w:r>
      <w:r w:rsidR="0035543D">
        <w:rPr>
          <w:color w:val="000000"/>
        </w:rPr>
        <w:t xml:space="preserve"> (WoS and Overton)</w:t>
      </w:r>
      <w:r w:rsidR="001E0B98">
        <w:rPr>
          <w:color w:val="000000"/>
        </w:rPr>
        <w:t xml:space="preserve"> </w:t>
      </w:r>
      <w:r w:rsidR="00693A6A">
        <w:rPr>
          <w:color w:val="000000"/>
        </w:rPr>
        <w:t>were linked via the DOI</w:t>
      </w:r>
      <w:r w:rsidR="00A56E2B">
        <w:rPr>
          <w:color w:val="000000"/>
        </w:rPr>
        <w:t>s</w:t>
      </w:r>
      <w:r w:rsidR="00693A6A">
        <w:rPr>
          <w:color w:val="000000"/>
        </w:rPr>
        <w:t xml:space="preserve"> of the scientific publications.</w:t>
      </w:r>
    </w:p>
    <w:p w14:paraId="10F9BE2A" w14:textId="23C2BBF3" w:rsidR="00E879BF" w:rsidRPr="00FE0EEC" w:rsidRDefault="00E879BF">
      <w:pPr>
        <w:pStyle w:val="BodyText"/>
        <w:jc w:val="both"/>
        <w:rPr>
          <w:color w:val="000000"/>
        </w:rPr>
      </w:pPr>
    </w:p>
    <w:p w14:paraId="00B12988" w14:textId="7EAD1DE9" w:rsidR="00E879BF" w:rsidRDefault="00E879BF" w:rsidP="00E879BF">
      <w:pPr>
        <w:pStyle w:val="Heading3"/>
      </w:pPr>
      <w:r>
        <w:t>2.2 Methodology</w:t>
      </w:r>
    </w:p>
    <w:p w14:paraId="5261726C" w14:textId="6CE3EE4F" w:rsidR="00E879BF" w:rsidRDefault="0035543D" w:rsidP="0035543D">
      <w:pPr>
        <w:rPr>
          <w:color w:val="000000"/>
        </w:rPr>
      </w:pPr>
      <w:r>
        <w:rPr>
          <w:lang w:val="en-US"/>
        </w:rPr>
        <w:t xml:space="preserve">We used PostgreSQL and R </w:t>
      </w:r>
      <w:r>
        <w:rPr>
          <w:lang w:val="en-US"/>
        </w:rPr>
        <w:fldChar w:fldCharType="begin"/>
      </w:r>
      <w:r>
        <w:rPr>
          <w:lang w:val="en-US"/>
        </w:rPr>
        <w:instrText xml:space="preserve"> ADDIN EN.CITE &lt;EndNote&gt;&lt;Cite&gt;&lt;Author&gt;R Core Team&lt;/Author&gt;&lt;Year&gt;2019&lt;/Year&gt;&lt;RecNum&gt;512&lt;/RecNum&gt;&lt;DisplayText&gt;(R Core Team, 2019)&lt;/DisplayText&gt;&lt;record&gt;&lt;rec-number&gt;512&lt;/rec-number&gt;&lt;foreign-keys&gt;&lt;key app="EN" db-id="art5xdpt5srxr3edaeu5r0sdpaxwttzfwfte" timestamp="1458725724"&gt;512&lt;/key&gt;&lt;/foreign-keys&gt;&lt;ref-type name="Computer Program"&gt;9&lt;/ref-type&gt;&lt;contributors&gt;&lt;authors&gt;&lt;author&gt;R Core Team,&lt;/author&gt;&lt;/authors&gt;&lt;/contributors&gt;&lt;titles&gt;&lt;title&gt;R: A language and environment for statistical computing&lt;/title&gt;&lt;/titles&gt;&lt;edition&gt;3.6.0&lt;/edition&gt;&lt;dates&gt;&lt;year&gt;2019&lt;/year&gt;&lt;/dates&gt;&lt;pub-location&gt;Vienna, Austria&lt;/pub-location&gt;&lt;publisher&gt;R Foundation for Statistical Computing&lt;/publisher&gt;&lt;urls&gt;&lt;related-urls&gt;&lt;url&gt;&lt;style face="underline" font="default" size="100%"&gt;https://www.r-project.org/&lt;/style&gt;&lt;/url&gt;&lt;/related-urls&gt;&lt;/urls&gt;&lt;/record&gt;&lt;/Cite&gt;&lt;/EndNote&gt;</w:instrText>
      </w:r>
      <w:r>
        <w:rPr>
          <w:lang w:val="en-US"/>
        </w:rPr>
        <w:fldChar w:fldCharType="separate"/>
      </w:r>
      <w:r>
        <w:rPr>
          <w:noProof/>
          <w:lang w:val="en-US"/>
        </w:rPr>
        <w:t>(R Core Team, 2019)</w:t>
      </w:r>
      <w:r>
        <w:rPr>
          <w:lang w:val="en-US"/>
        </w:rPr>
        <w:fldChar w:fldCharType="end"/>
      </w:r>
      <w:r>
        <w:rPr>
          <w:lang w:val="en-US"/>
        </w:rPr>
        <w:t xml:space="preserve"> commands including the R package ‘tidyverse’ </w:t>
      </w:r>
      <w:r>
        <w:rPr>
          <w:lang w:val="en-US"/>
        </w:rPr>
        <w:fldChar w:fldCharType="begin"/>
      </w:r>
      <w:r>
        <w:rPr>
          <w:lang w:val="en-US"/>
        </w:rPr>
        <w:instrText xml:space="preserve"> ADDIN EN.CITE &lt;EndNote&gt;&lt;Cite&gt;&lt;Author&gt;Wickham&lt;/Author&gt;&lt;Year&gt;2017&lt;/Year&gt;&lt;RecNum&gt;789&lt;/RecNum&gt;&lt;DisplayText&gt;(Wickham, 2017)&lt;/DisplayText&gt;&lt;record&gt;&lt;rec-number&gt;789&lt;/rec-number&gt;&lt;foreign-keys&gt;&lt;key app="EN" db-id="art5xdpt5srxr3edaeu5r0sdpaxwttzfwfte" timestamp="1592912210"&gt;789&lt;/key&gt;&lt;/foreign-keys&gt;&lt;ref-type name="Web Page"&gt;12&lt;/ref-type&gt;&lt;contributors&gt;&lt;authors&gt;&lt;author&gt;Wickham, Hadley&lt;/author&gt;&lt;/authors&gt;&lt;/contributors&gt;&lt;titles&gt;&lt;title&gt;Tidyverse: Easily install and load the &amp;apos;Tidyverse&amp;apos;. R package version 1.2.1.&lt;/title&gt;&lt;/titles&gt;&lt;number&gt;22 June 2020&lt;/number&gt;&lt;dates&gt;&lt;year&gt;2017&lt;/year&gt;&lt;/dates&gt;&lt;urls&gt;&lt;related-urls&gt;&lt;url&gt;&lt;style face="underline" font="default" size="100%"&gt;https://CRAN.R-project.org/package=tidyverse&lt;/style&gt;&lt;/url&gt;&lt;/related-urls&gt;&lt;/urls&gt;&lt;/record&gt;&lt;/Cite&gt;&lt;/EndNote&gt;</w:instrText>
      </w:r>
      <w:r>
        <w:rPr>
          <w:lang w:val="en-US"/>
        </w:rPr>
        <w:fldChar w:fldCharType="separate"/>
      </w:r>
      <w:r>
        <w:rPr>
          <w:noProof/>
          <w:lang w:val="en-US"/>
        </w:rPr>
        <w:t>(Wickham, 2017)</w:t>
      </w:r>
      <w:r>
        <w:rPr>
          <w:lang w:val="en-US"/>
        </w:rPr>
        <w:fldChar w:fldCharType="end"/>
      </w:r>
      <w:r>
        <w:rPr>
          <w:lang w:val="en-US"/>
        </w:rPr>
        <w:t xml:space="preserve"> for data analysis.</w:t>
      </w:r>
    </w:p>
    <w:p w14:paraId="708F2ED4" w14:textId="77777777" w:rsidR="008168F4" w:rsidRDefault="008168F4">
      <w:pPr>
        <w:jc w:val="both"/>
      </w:pPr>
    </w:p>
    <w:p w14:paraId="40047A3F" w14:textId="2E1853C0" w:rsidR="008168F4" w:rsidRDefault="000C25AF">
      <w:pPr>
        <w:pStyle w:val="Heading2"/>
        <w:jc w:val="both"/>
      </w:pPr>
      <w:r>
        <w:t xml:space="preserve">3. </w:t>
      </w:r>
      <w:r w:rsidR="00A56E2B">
        <w:t>Results</w:t>
      </w:r>
    </w:p>
    <w:p w14:paraId="7711BFFC" w14:textId="77777777" w:rsidR="00A56E2B" w:rsidRDefault="00A56E2B" w:rsidP="00A56E2B">
      <w:pPr>
        <w:pStyle w:val="Heading3"/>
      </w:pPr>
    </w:p>
    <w:p w14:paraId="17971FAB" w14:textId="4F9DE2C7" w:rsidR="00A56E2B" w:rsidRDefault="00A56E2B" w:rsidP="00A56E2B">
      <w:pPr>
        <w:pStyle w:val="Heading3"/>
      </w:pPr>
      <w:r>
        <w:t>3.1 Number of documents</w:t>
      </w:r>
    </w:p>
    <w:p w14:paraId="4B66E203" w14:textId="6220AF25" w:rsidR="00A56E2B" w:rsidRDefault="00A4686A" w:rsidP="00C21136">
      <w:pPr>
        <w:jc w:val="both"/>
      </w:pPr>
      <w:r>
        <w:fldChar w:fldCharType="begin"/>
      </w:r>
      <w:r>
        <w:instrText xml:space="preserve"> REF _Ref132389213 \h </w:instrText>
      </w:r>
      <w:r>
        <w:fldChar w:fldCharType="separate"/>
      </w:r>
      <w:r w:rsidR="00E21D61">
        <w:t xml:space="preserve">Figure </w:t>
      </w:r>
      <w:r w:rsidR="00E21D61">
        <w:rPr>
          <w:noProof/>
        </w:rPr>
        <w:t>1</w:t>
      </w:r>
      <w:r>
        <w:fldChar w:fldCharType="end"/>
      </w:r>
      <w:r>
        <w:t xml:space="preserve"> </w:t>
      </w:r>
      <w:r w:rsidR="00A56E2B">
        <w:t>shows the distribution</w:t>
      </w:r>
      <w:r w:rsidR="00E4624B">
        <w:t xml:space="preserve"> of the number of </w:t>
      </w:r>
      <w:r w:rsidR="00CD2E75">
        <w:t>PPA</w:t>
      </w:r>
      <w:r w:rsidR="00E4624B">
        <w:t xml:space="preserve"> publications and the number of policy documents that cited these publications across the years.</w:t>
      </w:r>
      <w:r w:rsidR="00C21136">
        <w:t xml:space="preserve"> Overall, the proportion of </w:t>
      </w:r>
      <w:r w:rsidR="00CD2E75">
        <w:t>PPA</w:t>
      </w:r>
      <w:r w:rsidR="00C21136">
        <w:t xml:space="preserve"> publications cited at least once by a policy document was rather constant in the 1980ies. In the 1990ies, this proportion increased and reached a maximum of about 0.45 in 2005. It has been decreasing since then. One explanation could be that the interest in scientific papers has decreased since 2005 in the policy </w:t>
      </w:r>
      <w:r w:rsidR="00AF6510">
        <w:t>sphere</w:t>
      </w:r>
      <w:r w:rsidR="00C21136">
        <w:t>. Another explanation could be that it takes rather long until new scientific findings make it into public policy.</w:t>
      </w:r>
      <w:r w:rsidR="00B7443E">
        <w:t xml:space="preserve"> T</w:t>
      </w:r>
      <w:r w:rsidR="00C21136">
        <w:t xml:space="preserve">he number of policy documents that cited </w:t>
      </w:r>
      <w:r w:rsidR="00CD2E75">
        <w:t>PPA</w:t>
      </w:r>
      <w:r w:rsidR="00B7443E">
        <w:t xml:space="preserve"> publications </w:t>
      </w:r>
      <w:r w:rsidR="00C21136">
        <w:t xml:space="preserve">was very low until 1997 but has increased seemingly exponential since then. Already in 2006, more policy documents that cited </w:t>
      </w:r>
      <w:r w:rsidR="00CD2E75">
        <w:t>PPA</w:t>
      </w:r>
      <w:r w:rsidR="00B7443E">
        <w:t xml:space="preserve"> publications </w:t>
      </w:r>
      <w:r w:rsidR="00C21136">
        <w:t xml:space="preserve">were published than </w:t>
      </w:r>
      <w:r w:rsidR="00CD2E75">
        <w:t>PPA</w:t>
      </w:r>
      <w:r w:rsidR="00B7443E">
        <w:t xml:space="preserve"> publications </w:t>
      </w:r>
      <w:r w:rsidR="00C21136">
        <w:t>that were cited at least once by a policy document. In 2015, more policy documents that cited</w:t>
      </w:r>
      <w:r w:rsidR="00AF6510">
        <w:t xml:space="preserve"> </w:t>
      </w:r>
      <w:r w:rsidR="00CD2E75">
        <w:t>PPA</w:t>
      </w:r>
      <w:r w:rsidR="00B7443E">
        <w:t xml:space="preserve"> publications </w:t>
      </w:r>
      <w:r w:rsidR="00C21136">
        <w:t xml:space="preserve">were published than </w:t>
      </w:r>
      <w:r w:rsidR="00CD2E75">
        <w:t>PPA</w:t>
      </w:r>
      <w:r w:rsidR="00B7443E">
        <w:t xml:space="preserve"> publications</w:t>
      </w:r>
      <w:r w:rsidR="00C21136">
        <w:t>.</w:t>
      </w:r>
    </w:p>
    <w:p w14:paraId="06651AD9" w14:textId="77777777" w:rsidR="00E4624B" w:rsidRDefault="00E4624B" w:rsidP="00E4624B">
      <w:pPr>
        <w:jc w:val="both"/>
      </w:pPr>
    </w:p>
    <w:p w14:paraId="6659B1BE" w14:textId="0AB444DB" w:rsidR="009876A9" w:rsidRDefault="009876A9" w:rsidP="000A46A8">
      <w:pPr>
        <w:keepNext/>
        <w:keepLines/>
        <w:jc w:val="center"/>
      </w:pPr>
      <w:bookmarkStart w:id="3" w:name="_Ref132389213"/>
      <w:r>
        <w:lastRenderedPageBreak/>
        <w:t xml:space="preserve">Figure </w:t>
      </w:r>
      <w:r>
        <w:fldChar w:fldCharType="begin"/>
      </w:r>
      <w:r>
        <w:instrText xml:space="preserve"> SEQ Figure \* ARABIC </w:instrText>
      </w:r>
      <w:r>
        <w:fldChar w:fldCharType="separate"/>
      </w:r>
      <w:r w:rsidR="00E21D61">
        <w:rPr>
          <w:noProof/>
        </w:rPr>
        <w:t>1</w:t>
      </w:r>
      <w:r>
        <w:fldChar w:fldCharType="end"/>
      </w:r>
      <w:bookmarkEnd w:id="3"/>
      <w:r>
        <w:t>: Number of PPA publications and number of policy documents that cited these publications across the years</w:t>
      </w:r>
    </w:p>
    <w:p w14:paraId="7CFBAD74" w14:textId="3FB24FB2" w:rsidR="00A56E2B" w:rsidRDefault="00A56E2B">
      <w:pPr>
        <w:jc w:val="both"/>
      </w:pPr>
      <w:r>
        <w:rPr>
          <w:noProof/>
          <w:lang w:val="de-DE" w:eastAsia="de-DE"/>
        </w:rPr>
        <w:drawing>
          <wp:inline distT="0" distB="0" distL="0" distR="0" wp14:anchorId="3C8F80D0" wp14:editId="39F4EF42">
            <wp:extent cx="5733288" cy="300654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ual_number_of_documents.png"/>
                    <pic:cNvPicPr/>
                  </pic:nvPicPr>
                  <pic:blipFill>
                    <a:blip r:embed="rId13">
                      <a:extLst>
                        <a:ext uri="{28A0092B-C50C-407E-A947-70E740481C1C}">
                          <a14:useLocalDpi xmlns:a14="http://schemas.microsoft.com/office/drawing/2010/main" val="0"/>
                        </a:ext>
                      </a:extLst>
                    </a:blip>
                    <a:stretch>
                      <a:fillRect/>
                    </a:stretch>
                  </pic:blipFill>
                  <pic:spPr>
                    <a:xfrm>
                      <a:off x="0" y="0"/>
                      <a:ext cx="5733288" cy="3006546"/>
                    </a:xfrm>
                    <a:prstGeom prst="rect">
                      <a:avLst/>
                    </a:prstGeom>
                  </pic:spPr>
                </pic:pic>
              </a:graphicData>
            </a:graphic>
          </wp:inline>
        </w:drawing>
      </w:r>
    </w:p>
    <w:p w14:paraId="36A838FB" w14:textId="77777777" w:rsidR="000A46A8" w:rsidRDefault="000A46A8">
      <w:pPr>
        <w:jc w:val="both"/>
      </w:pPr>
    </w:p>
    <w:p w14:paraId="5BCF5404" w14:textId="03FF389D" w:rsidR="004B66D1" w:rsidRDefault="004B66D1" w:rsidP="00E52DA0">
      <w:pPr>
        <w:jc w:val="center"/>
      </w:pPr>
    </w:p>
    <w:p w14:paraId="712B8A0B" w14:textId="6C50A77A" w:rsidR="00E94941" w:rsidRDefault="00E94941" w:rsidP="00470601">
      <w:pPr>
        <w:jc w:val="both"/>
      </w:pPr>
      <w:r>
        <w:fldChar w:fldCharType="begin"/>
      </w:r>
      <w:r>
        <w:instrText xml:space="preserve"> REF _Ref127527214 \h </w:instrText>
      </w:r>
      <w:r>
        <w:fldChar w:fldCharType="separate"/>
      </w:r>
      <w:r w:rsidR="00E21D61">
        <w:t xml:space="preserve">Table </w:t>
      </w:r>
      <w:r w:rsidR="00E21D61">
        <w:rPr>
          <w:noProof/>
        </w:rPr>
        <w:t>3</w:t>
      </w:r>
      <w:r>
        <w:fldChar w:fldCharType="end"/>
      </w:r>
      <w:r>
        <w:t xml:space="preserve"> shows the percentages of </w:t>
      </w:r>
      <w:r w:rsidR="00CD2E75">
        <w:t>PPA</w:t>
      </w:r>
      <w:r>
        <w:t xml:space="preserve"> papers (cited </w:t>
      </w:r>
      <w:r w:rsidR="006278C4">
        <w:t xml:space="preserve">either </w:t>
      </w:r>
      <w:r>
        <w:t xml:space="preserve">by </w:t>
      </w:r>
      <w:r w:rsidR="006278C4">
        <w:t xml:space="preserve">papers or </w:t>
      </w:r>
      <w:r>
        <w:t>policy documents)</w:t>
      </w:r>
      <w:r w:rsidR="006278C4">
        <w:t xml:space="preserve"> in comparison with their uncited counterparts.</w:t>
      </w:r>
      <w:r w:rsidR="00A845A8">
        <w:t xml:space="preserve"> The </w:t>
      </w:r>
      <w:r w:rsidR="00CD2E75">
        <w:t>PPA</w:t>
      </w:r>
      <w:r w:rsidR="00A845A8">
        <w:t xml:space="preserve"> reviews are less frequently cited than reviews in general whereas </w:t>
      </w:r>
      <w:r w:rsidR="00CD2E75">
        <w:t>PPA</w:t>
      </w:r>
      <w:r w:rsidR="00A845A8">
        <w:t xml:space="preserve"> book reviews</w:t>
      </w:r>
      <w:r w:rsidR="00CB2181">
        <w:t xml:space="preserve"> and editorials</w:t>
      </w:r>
      <w:r w:rsidR="00A845A8">
        <w:t xml:space="preserve"> are </w:t>
      </w:r>
      <w:r w:rsidR="00CB2181">
        <w:t>m</w:t>
      </w:r>
      <w:r w:rsidR="00A845A8">
        <w:t>ore frequently cited than book reviews</w:t>
      </w:r>
      <w:r w:rsidR="00CB2181">
        <w:t xml:space="preserve"> and editorials</w:t>
      </w:r>
      <w:r w:rsidR="00A845A8">
        <w:t xml:space="preserve"> in general</w:t>
      </w:r>
      <w:r w:rsidR="00470601">
        <w:t xml:space="preserve">. Overall, </w:t>
      </w:r>
      <w:r w:rsidR="00CD2E75">
        <w:t>PPA</w:t>
      </w:r>
      <w:r w:rsidR="00470601">
        <w:t xml:space="preserve"> </w:t>
      </w:r>
      <w:r w:rsidR="00CB6798">
        <w:t xml:space="preserve">publications </w:t>
      </w:r>
      <w:r w:rsidR="00470601">
        <w:t>are less frequently cited by policy documents than by WoS papers except for book reviews.</w:t>
      </w:r>
    </w:p>
    <w:p w14:paraId="7CA20DC9" w14:textId="6FF7D61F" w:rsidR="00685FE6" w:rsidRDefault="00685FE6">
      <w:pPr>
        <w:jc w:val="both"/>
      </w:pPr>
    </w:p>
    <w:p w14:paraId="11DE5814" w14:textId="20773A7A" w:rsidR="00685FE6" w:rsidRDefault="00685FE6" w:rsidP="002F19C8">
      <w:pPr>
        <w:keepNext/>
        <w:keepLines/>
        <w:jc w:val="center"/>
      </w:pPr>
      <w:bookmarkStart w:id="4" w:name="_Ref127527214"/>
      <w:r>
        <w:t xml:space="preserve">Table </w:t>
      </w:r>
      <w:r>
        <w:fldChar w:fldCharType="begin"/>
      </w:r>
      <w:r>
        <w:instrText xml:space="preserve"> SEQ Table \* ARABIC </w:instrText>
      </w:r>
      <w:r>
        <w:fldChar w:fldCharType="separate"/>
      </w:r>
      <w:r w:rsidR="00E21D61">
        <w:rPr>
          <w:noProof/>
        </w:rPr>
        <w:t>3</w:t>
      </w:r>
      <w:r>
        <w:fldChar w:fldCharType="end"/>
      </w:r>
      <w:bookmarkEnd w:id="4"/>
      <w:r>
        <w:t xml:space="preserve">. Percentages of </w:t>
      </w:r>
      <w:r w:rsidRPr="00D32268">
        <w:t xml:space="preserve">WoS </w:t>
      </w:r>
      <w:r w:rsidR="00CD2E75">
        <w:t>PPA</w:t>
      </w:r>
      <w:r>
        <w:t xml:space="preserve"> </w:t>
      </w:r>
      <w:r w:rsidRPr="00D32268">
        <w:t>papers</w:t>
      </w:r>
      <w:r>
        <w:t xml:space="preserve"> </w:t>
      </w:r>
      <w:r w:rsidR="006F527C">
        <w:t>cited either by WoS papers or</w:t>
      </w:r>
      <w:r>
        <w:t xml:space="preserve"> policy documents broken down by the WoS document types</w:t>
      </w:r>
      <w:r w:rsidR="00E94941">
        <w:t xml:space="preserve"> ordered by the p</w:t>
      </w:r>
      <w:r w:rsidR="00E94941" w:rsidRPr="00E94941">
        <w:t>ercentage</w:t>
      </w:r>
      <w:r w:rsidR="006F527C">
        <w:t>s</w:t>
      </w:r>
      <w:r w:rsidR="00E94941" w:rsidRPr="00E94941">
        <w:t xml:space="preserve"> of WoS </w:t>
      </w:r>
      <w:r w:rsidR="00CD2E75">
        <w:t>PPA</w:t>
      </w:r>
      <w:r w:rsidR="00E94941">
        <w:t xml:space="preserve"> </w:t>
      </w:r>
      <w:r w:rsidR="00E94941" w:rsidRPr="00E94941">
        <w:t>papers cited by policy documents</w:t>
      </w:r>
    </w:p>
    <w:p w14:paraId="0935F21F" w14:textId="68CA85BA" w:rsidR="00D32268" w:rsidRDefault="00D32268" w:rsidP="002F19C8">
      <w:pPr>
        <w:keepNext/>
        <w:keepLines/>
        <w:jc w:val="both"/>
      </w:pPr>
    </w:p>
    <w:tbl>
      <w:tblPr>
        <w:tblStyle w:val="TableGrid"/>
        <w:tblW w:w="0" w:type="auto"/>
        <w:tblLook w:val="04A0" w:firstRow="1" w:lastRow="0" w:firstColumn="1" w:lastColumn="0" w:noHBand="0" w:noVBand="1"/>
      </w:tblPr>
      <w:tblGrid>
        <w:gridCol w:w="1705"/>
        <w:gridCol w:w="2520"/>
        <w:gridCol w:w="2880"/>
        <w:gridCol w:w="1956"/>
      </w:tblGrid>
      <w:tr w:rsidR="006278C4" w:rsidRPr="00D32268" w14:paraId="4D91AE3A" w14:textId="22991575" w:rsidTr="006278C4">
        <w:trPr>
          <w:trHeight w:val="300"/>
        </w:trPr>
        <w:tc>
          <w:tcPr>
            <w:tcW w:w="1705" w:type="dxa"/>
            <w:noWrap/>
            <w:hideMark/>
          </w:tcPr>
          <w:p w14:paraId="7239CAD2" w14:textId="32261E9F" w:rsidR="006278C4" w:rsidRPr="00D32268" w:rsidRDefault="006278C4" w:rsidP="002F19C8">
            <w:pPr>
              <w:keepNext/>
              <w:keepLines/>
              <w:jc w:val="both"/>
              <w:rPr>
                <w:lang w:val="en-US"/>
              </w:rPr>
            </w:pPr>
            <w:r w:rsidRPr="004A535A">
              <w:t>Document type</w:t>
            </w:r>
          </w:p>
        </w:tc>
        <w:tc>
          <w:tcPr>
            <w:tcW w:w="2520" w:type="dxa"/>
            <w:noWrap/>
            <w:hideMark/>
          </w:tcPr>
          <w:p w14:paraId="2E26E1FC" w14:textId="028FF00E" w:rsidR="006278C4" w:rsidRPr="00D32268" w:rsidRDefault="006278C4" w:rsidP="002F19C8">
            <w:pPr>
              <w:keepNext/>
              <w:keepLines/>
              <w:jc w:val="both"/>
            </w:pPr>
            <w:r w:rsidRPr="004A535A">
              <w:t xml:space="preserve">Percentage of WoS </w:t>
            </w:r>
            <w:r w:rsidR="00CD2E75">
              <w:t>PPA</w:t>
            </w:r>
            <w:r>
              <w:t xml:space="preserve"> </w:t>
            </w:r>
            <w:r w:rsidRPr="004A535A">
              <w:t>papers cited by WoS papers</w:t>
            </w:r>
          </w:p>
        </w:tc>
        <w:tc>
          <w:tcPr>
            <w:tcW w:w="2880" w:type="dxa"/>
            <w:noWrap/>
            <w:hideMark/>
          </w:tcPr>
          <w:p w14:paraId="24B85897" w14:textId="7B3158A3" w:rsidR="006278C4" w:rsidRPr="00D32268" w:rsidRDefault="006278C4" w:rsidP="002F19C8">
            <w:pPr>
              <w:keepNext/>
              <w:keepLines/>
              <w:jc w:val="both"/>
            </w:pPr>
            <w:r w:rsidRPr="004A535A">
              <w:t xml:space="preserve">Percentage of WoS </w:t>
            </w:r>
            <w:r w:rsidR="00CD2E75">
              <w:t>PPA</w:t>
            </w:r>
            <w:r>
              <w:t xml:space="preserve"> </w:t>
            </w:r>
            <w:r w:rsidRPr="004A535A">
              <w:t>papers cited by policy documents</w:t>
            </w:r>
          </w:p>
        </w:tc>
        <w:tc>
          <w:tcPr>
            <w:tcW w:w="1956" w:type="dxa"/>
          </w:tcPr>
          <w:p w14:paraId="65D8F21C" w14:textId="4AEDF6AC" w:rsidR="006278C4" w:rsidRPr="00D32268" w:rsidRDefault="006278C4" w:rsidP="002F19C8">
            <w:pPr>
              <w:keepNext/>
              <w:keepLines/>
              <w:jc w:val="both"/>
            </w:pPr>
            <w:r w:rsidRPr="004A535A">
              <w:t>Percentage of WoS papers cited by WoS papers</w:t>
            </w:r>
          </w:p>
        </w:tc>
      </w:tr>
      <w:tr w:rsidR="006278C4" w:rsidRPr="00D32268" w14:paraId="4401AE1D" w14:textId="4ECCF663" w:rsidTr="006278C4">
        <w:trPr>
          <w:trHeight w:val="300"/>
        </w:trPr>
        <w:tc>
          <w:tcPr>
            <w:tcW w:w="1705" w:type="dxa"/>
            <w:noWrap/>
            <w:hideMark/>
          </w:tcPr>
          <w:p w14:paraId="68D5D2AA" w14:textId="447A639D" w:rsidR="006278C4" w:rsidRPr="00D32268" w:rsidRDefault="006278C4" w:rsidP="002F19C8">
            <w:pPr>
              <w:keepNext/>
              <w:keepLines/>
              <w:jc w:val="both"/>
            </w:pPr>
            <w:r w:rsidRPr="004A535A">
              <w:t>Article</w:t>
            </w:r>
          </w:p>
        </w:tc>
        <w:tc>
          <w:tcPr>
            <w:tcW w:w="2520" w:type="dxa"/>
            <w:noWrap/>
            <w:hideMark/>
          </w:tcPr>
          <w:p w14:paraId="6DFFBDAA" w14:textId="594FC3FF" w:rsidR="006278C4" w:rsidRPr="00D32268" w:rsidRDefault="006278C4" w:rsidP="002F19C8">
            <w:pPr>
              <w:keepNext/>
              <w:keepLines/>
              <w:jc w:val="right"/>
            </w:pPr>
            <w:r w:rsidRPr="004A535A">
              <w:t>87.93</w:t>
            </w:r>
          </w:p>
        </w:tc>
        <w:tc>
          <w:tcPr>
            <w:tcW w:w="2880" w:type="dxa"/>
            <w:noWrap/>
            <w:hideMark/>
          </w:tcPr>
          <w:p w14:paraId="071C10E8" w14:textId="103B89A7" w:rsidR="006278C4" w:rsidRPr="00D32268" w:rsidRDefault="006278C4" w:rsidP="002F19C8">
            <w:pPr>
              <w:keepNext/>
              <w:keepLines/>
              <w:jc w:val="right"/>
            </w:pPr>
            <w:r w:rsidRPr="004A535A">
              <w:t>36.26</w:t>
            </w:r>
          </w:p>
        </w:tc>
        <w:tc>
          <w:tcPr>
            <w:tcW w:w="1956" w:type="dxa"/>
          </w:tcPr>
          <w:p w14:paraId="2815021E" w14:textId="7A71C9AE" w:rsidR="006278C4" w:rsidRPr="00D32268" w:rsidRDefault="006278C4" w:rsidP="002F19C8">
            <w:pPr>
              <w:keepNext/>
              <w:keepLines/>
              <w:jc w:val="right"/>
            </w:pPr>
            <w:r w:rsidRPr="004A535A">
              <w:t>88.43</w:t>
            </w:r>
          </w:p>
        </w:tc>
      </w:tr>
      <w:tr w:rsidR="006278C4" w:rsidRPr="00D32268" w14:paraId="4B738B4C" w14:textId="48FEFDAF" w:rsidTr="006278C4">
        <w:trPr>
          <w:trHeight w:val="300"/>
        </w:trPr>
        <w:tc>
          <w:tcPr>
            <w:tcW w:w="1705" w:type="dxa"/>
            <w:noWrap/>
            <w:hideMark/>
          </w:tcPr>
          <w:p w14:paraId="0F816D53" w14:textId="60807064" w:rsidR="006278C4" w:rsidRPr="00D32268" w:rsidRDefault="006278C4" w:rsidP="002F19C8">
            <w:pPr>
              <w:keepNext/>
              <w:keepLines/>
              <w:jc w:val="both"/>
            </w:pPr>
            <w:r w:rsidRPr="004A535A">
              <w:t>Review</w:t>
            </w:r>
          </w:p>
        </w:tc>
        <w:tc>
          <w:tcPr>
            <w:tcW w:w="2520" w:type="dxa"/>
            <w:noWrap/>
            <w:hideMark/>
          </w:tcPr>
          <w:p w14:paraId="734BB402" w14:textId="40FCC8F2" w:rsidR="006278C4" w:rsidRPr="00D32268" w:rsidRDefault="006278C4" w:rsidP="002F19C8">
            <w:pPr>
              <w:keepNext/>
              <w:keepLines/>
              <w:jc w:val="right"/>
            </w:pPr>
            <w:r w:rsidRPr="004A535A">
              <w:t>79.91</w:t>
            </w:r>
          </w:p>
        </w:tc>
        <w:tc>
          <w:tcPr>
            <w:tcW w:w="2880" w:type="dxa"/>
            <w:noWrap/>
            <w:hideMark/>
          </w:tcPr>
          <w:p w14:paraId="3A45AD09" w14:textId="216831B5" w:rsidR="006278C4" w:rsidRPr="00D32268" w:rsidRDefault="006278C4" w:rsidP="002F19C8">
            <w:pPr>
              <w:keepNext/>
              <w:keepLines/>
              <w:jc w:val="right"/>
            </w:pPr>
            <w:r w:rsidRPr="004A535A">
              <w:t>35.15</w:t>
            </w:r>
          </w:p>
        </w:tc>
        <w:tc>
          <w:tcPr>
            <w:tcW w:w="1956" w:type="dxa"/>
          </w:tcPr>
          <w:p w14:paraId="7956F2AB" w14:textId="17CF49A0" w:rsidR="006278C4" w:rsidRPr="00D32268" w:rsidRDefault="006278C4" w:rsidP="002F19C8">
            <w:pPr>
              <w:keepNext/>
              <w:keepLines/>
              <w:jc w:val="right"/>
            </w:pPr>
            <w:r w:rsidRPr="004A535A">
              <w:t>94.12</w:t>
            </w:r>
          </w:p>
        </w:tc>
      </w:tr>
      <w:tr w:rsidR="006278C4" w:rsidRPr="00D32268" w14:paraId="7426C33B" w14:textId="17A890FF" w:rsidTr="006278C4">
        <w:trPr>
          <w:trHeight w:val="300"/>
        </w:trPr>
        <w:tc>
          <w:tcPr>
            <w:tcW w:w="1705" w:type="dxa"/>
            <w:noWrap/>
            <w:hideMark/>
          </w:tcPr>
          <w:p w14:paraId="2AB3BF99" w14:textId="1D3133F2" w:rsidR="006278C4" w:rsidRPr="00D32268" w:rsidRDefault="006278C4" w:rsidP="002F19C8">
            <w:pPr>
              <w:keepNext/>
              <w:keepLines/>
              <w:jc w:val="both"/>
            </w:pPr>
            <w:r w:rsidRPr="004A535A">
              <w:t>Editorial</w:t>
            </w:r>
          </w:p>
        </w:tc>
        <w:tc>
          <w:tcPr>
            <w:tcW w:w="2520" w:type="dxa"/>
            <w:noWrap/>
            <w:hideMark/>
          </w:tcPr>
          <w:p w14:paraId="4CCA1404" w14:textId="0BD79401" w:rsidR="006278C4" w:rsidRPr="00D32268" w:rsidRDefault="006278C4" w:rsidP="002F19C8">
            <w:pPr>
              <w:keepNext/>
              <w:keepLines/>
              <w:jc w:val="right"/>
            </w:pPr>
            <w:r w:rsidRPr="004A535A">
              <w:t>52.08</w:t>
            </w:r>
          </w:p>
        </w:tc>
        <w:tc>
          <w:tcPr>
            <w:tcW w:w="2880" w:type="dxa"/>
            <w:noWrap/>
            <w:hideMark/>
          </w:tcPr>
          <w:p w14:paraId="7F6EC992" w14:textId="3783D38E" w:rsidR="006278C4" w:rsidRPr="00D32268" w:rsidRDefault="006278C4" w:rsidP="002F19C8">
            <w:pPr>
              <w:keepNext/>
              <w:keepLines/>
              <w:jc w:val="right"/>
            </w:pPr>
            <w:r w:rsidRPr="004A535A">
              <w:t>13.40</w:t>
            </w:r>
          </w:p>
        </w:tc>
        <w:tc>
          <w:tcPr>
            <w:tcW w:w="1956" w:type="dxa"/>
          </w:tcPr>
          <w:p w14:paraId="38CF3851" w14:textId="5B946795" w:rsidR="006278C4" w:rsidRPr="00D32268" w:rsidRDefault="006278C4" w:rsidP="002F19C8">
            <w:pPr>
              <w:keepNext/>
              <w:keepLines/>
              <w:jc w:val="right"/>
            </w:pPr>
            <w:r w:rsidRPr="004A535A">
              <w:t>40.82</w:t>
            </w:r>
          </w:p>
        </w:tc>
      </w:tr>
      <w:tr w:rsidR="006278C4" w:rsidRPr="00D32268" w14:paraId="437112C1" w14:textId="00B03F51" w:rsidTr="006278C4">
        <w:trPr>
          <w:trHeight w:val="300"/>
        </w:trPr>
        <w:tc>
          <w:tcPr>
            <w:tcW w:w="1705" w:type="dxa"/>
            <w:noWrap/>
            <w:hideMark/>
          </w:tcPr>
          <w:p w14:paraId="0E1C9949" w14:textId="0145679D" w:rsidR="006278C4" w:rsidRPr="00D32268" w:rsidRDefault="006278C4" w:rsidP="006278C4">
            <w:pPr>
              <w:jc w:val="both"/>
            </w:pPr>
            <w:r w:rsidRPr="004A535A">
              <w:t>Book review</w:t>
            </w:r>
          </w:p>
        </w:tc>
        <w:tc>
          <w:tcPr>
            <w:tcW w:w="2520" w:type="dxa"/>
            <w:noWrap/>
            <w:hideMark/>
          </w:tcPr>
          <w:p w14:paraId="7A3139E4" w14:textId="6CCD6B81" w:rsidR="006278C4" w:rsidRPr="00D32268" w:rsidRDefault="006278C4" w:rsidP="006278C4">
            <w:pPr>
              <w:jc w:val="right"/>
            </w:pPr>
            <w:r w:rsidRPr="004A535A">
              <w:t>6.52</w:t>
            </w:r>
          </w:p>
        </w:tc>
        <w:tc>
          <w:tcPr>
            <w:tcW w:w="2880" w:type="dxa"/>
            <w:noWrap/>
            <w:hideMark/>
          </w:tcPr>
          <w:p w14:paraId="4D86DEC2" w14:textId="28B2102B" w:rsidR="006278C4" w:rsidRPr="00D32268" w:rsidRDefault="006278C4" w:rsidP="006278C4">
            <w:pPr>
              <w:jc w:val="right"/>
            </w:pPr>
            <w:r w:rsidRPr="004A535A">
              <w:t>4.73</w:t>
            </w:r>
          </w:p>
        </w:tc>
        <w:tc>
          <w:tcPr>
            <w:tcW w:w="1956" w:type="dxa"/>
          </w:tcPr>
          <w:p w14:paraId="0479A945" w14:textId="26298354" w:rsidR="006278C4" w:rsidRPr="00D32268" w:rsidRDefault="006278C4" w:rsidP="006278C4">
            <w:pPr>
              <w:jc w:val="right"/>
            </w:pPr>
            <w:r w:rsidRPr="004A535A">
              <w:t>3.01</w:t>
            </w:r>
          </w:p>
        </w:tc>
      </w:tr>
    </w:tbl>
    <w:p w14:paraId="20689FE3" w14:textId="77777777" w:rsidR="00D32268" w:rsidRDefault="00D32268">
      <w:pPr>
        <w:jc w:val="both"/>
      </w:pPr>
    </w:p>
    <w:p w14:paraId="77D8DEBA" w14:textId="77777777" w:rsidR="00E21D61" w:rsidRDefault="00BD7FED" w:rsidP="00821349">
      <w:pPr>
        <w:jc w:val="center"/>
      </w:pPr>
      <w:r>
        <w:t>3.2 Sectors and sources of the policy documents</w:t>
      </w:r>
      <w:r w:rsidR="00CC362F">
        <w:fldChar w:fldCharType="begin"/>
      </w:r>
      <w:r w:rsidR="00CC362F">
        <w:instrText xml:space="preserve"> REF _Ref127465802 \h </w:instrText>
      </w:r>
      <w:r w:rsidR="00CC362F">
        <w:fldChar w:fldCharType="separate"/>
      </w:r>
    </w:p>
    <w:p w14:paraId="5B0D8026" w14:textId="6160CDA4" w:rsidR="00BD7FED" w:rsidRPr="00CC362F" w:rsidRDefault="00E21D61" w:rsidP="00CC362F">
      <w:pPr>
        <w:jc w:val="both"/>
      </w:pPr>
      <w:r w:rsidDel="000A46A8">
        <w:t xml:space="preserve">Figure </w:t>
      </w:r>
      <w:r>
        <w:rPr>
          <w:noProof/>
        </w:rPr>
        <w:t>2</w:t>
      </w:r>
      <w:r w:rsidR="00CC362F">
        <w:fldChar w:fldCharType="end"/>
      </w:r>
      <w:r w:rsidR="00CC362F">
        <w:t xml:space="preserve"> shows the percentage of policy documents per policy sector for all policy documents in the Overton database in the left panel and for the policy documents that cited </w:t>
      </w:r>
      <w:r w:rsidR="00CD2E75">
        <w:t>PPA</w:t>
      </w:r>
      <w:r w:rsidR="00CC362F">
        <w:t xml:space="preserve"> publications in the right panel. </w:t>
      </w:r>
      <w:r w:rsidR="00C44E58">
        <w:t>T</w:t>
      </w:r>
      <w:r w:rsidR="00CC362F" w:rsidRPr="00CC362F">
        <w:t xml:space="preserve">he proportion of policy documents that cited a </w:t>
      </w:r>
      <w:r w:rsidR="00CD2E75">
        <w:t>PPA</w:t>
      </w:r>
      <w:r w:rsidR="00CC362F">
        <w:t xml:space="preserve"> publication </w:t>
      </w:r>
      <w:r w:rsidR="00CC362F" w:rsidRPr="00CC362F">
        <w:t>belong</w:t>
      </w:r>
      <w:r w:rsidR="00030D85">
        <w:t>ing</w:t>
      </w:r>
      <w:r w:rsidR="00CC362F" w:rsidRPr="00CC362F">
        <w:t xml:space="preserve"> to the governmental sector is much lower than for the full Overton database</w:t>
      </w:r>
      <w:r w:rsidR="00C44E58">
        <w:t xml:space="preserve">, although </w:t>
      </w:r>
      <w:r w:rsidR="009A16F3">
        <w:t xml:space="preserve">PPA publications should be of especial interest </w:t>
      </w:r>
      <w:r w:rsidR="00A043F8">
        <w:t>for the governmental sector</w:t>
      </w:r>
      <w:r w:rsidR="00CC362F" w:rsidRPr="00CC362F">
        <w:t xml:space="preserve">. </w:t>
      </w:r>
      <w:r w:rsidR="00CC362F">
        <w:t>Intergovernmental organizations (</w:t>
      </w:r>
      <w:r w:rsidR="00CC362F" w:rsidRPr="00CC362F">
        <w:t>IGOs</w:t>
      </w:r>
      <w:r w:rsidR="00CC362F">
        <w:t>)</w:t>
      </w:r>
      <w:r w:rsidR="00CC362F" w:rsidRPr="00CC362F">
        <w:t xml:space="preserve"> and think tanks are much more frequently the sources of policy papers that cited a </w:t>
      </w:r>
      <w:r w:rsidR="00CD2E75">
        <w:t>PPA</w:t>
      </w:r>
      <w:r w:rsidR="00CC362F">
        <w:t xml:space="preserve"> publication </w:t>
      </w:r>
      <w:r w:rsidR="00CC362F" w:rsidRPr="00CC362F">
        <w:t xml:space="preserve">in comparison </w:t>
      </w:r>
      <w:r w:rsidR="00CC362F">
        <w:t xml:space="preserve">to </w:t>
      </w:r>
      <w:r w:rsidR="00CC362F" w:rsidRPr="00CC362F">
        <w:t>the full Overton database.</w:t>
      </w:r>
    </w:p>
    <w:p w14:paraId="12922751" w14:textId="77777777" w:rsidR="00CC362F" w:rsidRDefault="00CC362F" w:rsidP="00821349">
      <w:pPr>
        <w:jc w:val="center"/>
      </w:pPr>
      <w:bookmarkStart w:id="5" w:name="_Ref127465802"/>
    </w:p>
    <w:p w14:paraId="6804CABB" w14:textId="1826AB5A" w:rsidR="00821349" w:rsidDel="000A46A8" w:rsidRDefault="00821349" w:rsidP="002F19C8">
      <w:pPr>
        <w:keepNext/>
        <w:keepLines/>
        <w:jc w:val="center"/>
      </w:pPr>
      <w:r w:rsidDel="000A46A8">
        <w:lastRenderedPageBreak/>
        <w:t xml:space="preserve">Figure </w:t>
      </w:r>
      <w:r w:rsidDel="000A46A8">
        <w:fldChar w:fldCharType="begin"/>
      </w:r>
      <w:r w:rsidDel="000A46A8">
        <w:instrText xml:space="preserve"> SEQ Figure \* ARABIC </w:instrText>
      </w:r>
      <w:r w:rsidDel="000A46A8">
        <w:fldChar w:fldCharType="separate"/>
      </w:r>
      <w:r w:rsidR="00E21D61">
        <w:rPr>
          <w:noProof/>
        </w:rPr>
        <w:t>2</w:t>
      </w:r>
      <w:r w:rsidDel="000A46A8">
        <w:fldChar w:fldCharType="end"/>
      </w:r>
      <w:bookmarkEnd w:id="5"/>
      <w:r w:rsidDel="000A46A8">
        <w:t>: Percentage of policy documents per policy sector</w:t>
      </w:r>
    </w:p>
    <w:p w14:paraId="4E02C388" w14:textId="2B49555B" w:rsidR="00AE072F" w:rsidRDefault="00AE072F" w:rsidP="002F19C8">
      <w:pPr>
        <w:keepNext/>
        <w:keepLines/>
        <w:jc w:val="center"/>
      </w:pPr>
      <w:r>
        <w:rPr>
          <w:noProof/>
          <w:lang w:val="de-DE" w:eastAsia="de-DE"/>
        </w:rPr>
        <w:drawing>
          <wp:inline distT="0" distB="0" distL="0" distR="0" wp14:anchorId="375C42C6" wp14:editId="359C4722">
            <wp:extent cx="4855464" cy="48554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png"/>
                    <pic:cNvPicPr/>
                  </pic:nvPicPr>
                  <pic:blipFill>
                    <a:blip r:embed="rId14">
                      <a:extLst>
                        <a:ext uri="{28A0092B-C50C-407E-A947-70E740481C1C}">
                          <a14:useLocalDpi xmlns:a14="http://schemas.microsoft.com/office/drawing/2010/main" val="0"/>
                        </a:ext>
                      </a:extLst>
                    </a:blip>
                    <a:stretch>
                      <a:fillRect/>
                    </a:stretch>
                  </pic:blipFill>
                  <pic:spPr>
                    <a:xfrm>
                      <a:off x="0" y="0"/>
                      <a:ext cx="4855464" cy="4855464"/>
                    </a:xfrm>
                    <a:prstGeom prst="rect">
                      <a:avLst/>
                    </a:prstGeom>
                  </pic:spPr>
                </pic:pic>
              </a:graphicData>
            </a:graphic>
          </wp:inline>
        </w:drawing>
      </w:r>
    </w:p>
    <w:p w14:paraId="3A4ACCA6" w14:textId="77777777" w:rsidR="00CC362F" w:rsidRDefault="00CC362F" w:rsidP="002F19C8">
      <w:pPr>
        <w:keepNext/>
        <w:keepLines/>
        <w:jc w:val="center"/>
      </w:pPr>
    </w:p>
    <w:p w14:paraId="028A7B08" w14:textId="4F2110A4" w:rsidR="00821349" w:rsidRDefault="00821349">
      <w:pPr>
        <w:jc w:val="both"/>
      </w:pPr>
    </w:p>
    <w:p w14:paraId="56716C39" w14:textId="7A908D80" w:rsidR="00AF6510" w:rsidRDefault="0018450B" w:rsidP="009A66D9">
      <w:pPr>
        <w:jc w:val="both"/>
      </w:pPr>
      <w:r>
        <w:fldChar w:fldCharType="begin"/>
      </w:r>
      <w:r>
        <w:instrText xml:space="preserve"> REF _Ref127466286 \h </w:instrText>
      </w:r>
      <w:r>
        <w:fldChar w:fldCharType="separate"/>
      </w:r>
      <w:r w:rsidR="00E21D61" w:rsidDel="0028513A">
        <w:t xml:space="preserve">Figure </w:t>
      </w:r>
      <w:r w:rsidR="00E21D61">
        <w:rPr>
          <w:noProof/>
        </w:rPr>
        <w:t>3</w:t>
      </w:r>
      <w:r>
        <w:fldChar w:fldCharType="end"/>
      </w:r>
      <w:r>
        <w:t xml:space="preserve"> shows a scatter plot </w:t>
      </w:r>
      <w:r w:rsidR="008C32A2">
        <w:t xml:space="preserve">with </w:t>
      </w:r>
      <w:r>
        <w:t>the p</w:t>
      </w:r>
      <w:r w:rsidRPr="0018450B">
        <w:t xml:space="preserve">ercentage of policy documents that cited </w:t>
      </w:r>
      <w:r w:rsidR="00CD2E75">
        <w:t>PPA</w:t>
      </w:r>
      <w:r w:rsidRPr="0018450B">
        <w:t xml:space="preserve"> publications</w:t>
      </w:r>
      <w:r>
        <w:t xml:space="preserve"> against the </w:t>
      </w:r>
      <w:r w:rsidRPr="0018450B">
        <w:t>number of all policy documents in the Overton database</w:t>
      </w:r>
      <w:r>
        <w:t xml:space="preserve">. The individual points are </w:t>
      </w:r>
      <w:r w:rsidR="00BA1443">
        <w:t>coloured</w:t>
      </w:r>
      <w:r>
        <w:t xml:space="preserve"> </w:t>
      </w:r>
      <w:r w:rsidR="0014582D">
        <w:t>by</w:t>
      </w:r>
      <w:r>
        <w:t xml:space="preserve"> their policy sector.</w:t>
      </w:r>
      <w:r w:rsidR="0014582D">
        <w:t xml:space="preserve"> </w:t>
      </w:r>
      <w:r w:rsidR="00AF6510">
        <w:t>Amongst the organi</w:t>
      </w:r>
      <w:r w:rsidR="00542BA6">
        <w:t>z</w:t>
      </w:r>
      <w:r w:rsidR="00AF6510">
        <w:t xml:space="preserve">ations with high proportions of policy documents citing PPA papers, there are a variety of research areas, political orientations and proximities to policymaking. Some take on advocacy roles, such as the </w:t>
      </w:r>
      <w:r w:rsidR="00AF6510" w:rsidRPr="00AF6510">
        <w:t>Thomas B. Fordham Institute</w:t>
      </w:r>
      <w:r w:rsidR="00AF6510">
        <w:t xml:space="preserve">, which is a </w:t>
      </w:r>
      <w:r w:rsidR="00AF6510" w:rsidRPr="00AF6510">
        <w:t xml:space="preserve">conservative American non-profit think </w:t>
      </w:r>
      <w:r w:rsidR="00AF6510" w:rsidRPr="009A66D9">
        <w:t>tank with a specific mission around education reform. Others such as the Council of Canadian Academies</w:t>
      </w:r>
      <w:r w:rsidR="009A66D9" w:rsidRPr="009A66D9">
        <w:t>, the Institute for Research on Public Policy,</w:t>
      </w:r>
      <w:r w:rsidR="00083F5A">
        <w:t xml:space="preserve"> </w:t>
      </w:r>
      <w:r w:rsidR="009A66D9" w:rsidRPr="009A66D9">
        <w:t>and</w:t>
      </w:r>
      <w:r w:rsidR="009A66D9">
        <w:t xml:space="preserve"> </w:t>
      </w:r>
      <w:r w:rsidR="00AF6510">
        <w:t xml:space="preserve">MySociety bring together expert research to inform public understanding and decision making on a wide range of issues. </w:t>
      </w:r>
      <w:r w:rsidR="009A66D9">
        <w:t xml:space="preserve">Some, such as the Centre for Analysis of Social Exclusion and the UCL Institute for Innovation and Public Purpose are university-based </w:t>
      </w:r>
      <w:r w:rsidR="009A66D9" w:rsidRPr="009A66D9">
        <w:t>multi-disciplinary research centre</w:t>
      </w:r>
      <w:r w:rsidR="009A66D9">
        <w:t>s.</w:t>
      </w:r>
      <w:r w:rsidR="00CD44C5">
        <w:t xml:space="preserve"> </w:t>
      </w:r>
      <w:r w:rsidR="009A66D9">
        <w:t>Other organi</w:t>
      </w:r>
      <w:r w:rsidR="00542BA6">
        <w:t>z</w:t>
      </w:r>
      <w:r w:rsidR="009A66D9">
        <w:t xml:space="preserve">ations have closer links to policy, such as </w:t>
      </w:r>
      <w:r w:rsidR="009A66D9" w:rsidRPr="00AF6510">
        <w:t>PRUComm</w:t>
      </w:r>
      <w:r w:rsidR="009A66D9">
        <w:t xml:space="preserve">, which is funded by the UK’s National Institute of Health Research to provide evidence for the </w:t>
      </w:r>
      <w:r w:rsidR="009A66D9" w:rsidRPr="00AF6510">
        <w:t>Department of Health and Social Car</w:t>
      </w:r>
      <w:r w:rsidR="009A66D9">
        <w:t xml:space="preserve">e, and the </w:t>
      </w:r>
      <w:r w:rsidR="009A66D9" w:rsidRPr="009A66D9">
        <w:t>Intergovernmental Panel on Climate Change</w:t>
      </w:r>
      <w:r w:rsidR="0028513A">
        <w:t xml:space="preserve"> (IPCC)</w:t>
      </w:r>
      <w:r w:rsidR="009A66D9">
        <w:t>, which i</w:t>
      </w:r>
      <w:r w:rsidR="009A66D9" w:rsidRPr="009A66D9">
        <w:t>s the United Nations body for assessing the science related to climate change</w:t>
      </w:r>
      <w:r w:rsidR="009A66D9">
        <w:t xml:space="preserve">. Two of these, SAPEA and the Swedish Institute for European Policy Studies (SIEPS), are independent government agencies. SAPEA provides </w:t>
      </w:r>
      <w:r w:rsidR="009A66D9" w:rsidRPr="009A66D9">
        <w:t xml:space="preserve">independent scientific advice to </w:t>
      </w:r>
      <w:r w:rsidR="009A66D9">
        <w:t xml:space="preserve">the </w:t>
      </w:r>
      <w:r w:rsidR="009A66D9" w:rsidRPr="009A66D9">
        <w:t>European Commission to support decision-making</w:t>
      </w:r>
      <w:r w:rsidR="009A66D9">
        <w:t>, and SIEPS is an</w:t>
      </w:r>
      <w:r w:rsidR="009A66D9" w:rsidRPr="009A66D9">
        <w:t xml:space="preserve"> independent government agency </w:t>
      </w:r>
      <w:r w:rsidR="009A66D9">
        <w:t>for</w:t>
      </w:r>
      <w:r w:rsidR="009A66D9" w:rsidRPr="009A66D9">
        <w:t xml:space="preserve"> research and analysis of European policy affairs.</w:t>
      </w:r>
    </w:p>
    <w:p w14:paraId="06D286DA" w14:textId="134CE305" w:rsidR="008168F4" w:rsidRDefault="008168F4">
      <w:pPr>
        <w:jc w:val="both"/>
      </w:pPr>
    </w:p>
    <w:p w14:paraId="07ADFC0E" w14:textId="42FC4109" w:rsidR="0018450B" w:rsidDel="0028513A" w:rsidRDefault="0018450B" w:rsidP="002F19C8">
      <w:pPr>
        <w:keepNext/>
        <w:keepLines/>
        <w:jc w:val="center"/>
      </w:pPr>
      <w:bookmarkStart w:id="6" w:name="_Ref127466286"/>
      <w:r w:rsidDel="0028513A">
        <w:lastRenderedPageBreak/>
        <w:t xml:space="preserve">Figure </w:t>
      </w:r>
      <w:r w:rsidDel="0028513A">
        <w:fldChar w:fldCharType="begin"/>
      </w:r>
      <w:r w:rsidDel="0028513A">
        <w:instrText xml:space="preserve"> SEQ Figure \* ARABIC </w:instrText>
      </w:r>
      <w:r w:rsidDel="0028513A">
        <w:fldChar w:fldCharType="separate"/>
      </w:r>
      <w:r w:rsidR="00E21D61">
        <w:rPr>
          <w:noProof/>
        </w:rPr>
        <w:t>3</w:t>
      </w:r>
      <w:r w:rsidDel="0028513A">
        <w:fldChar w:fldCharType="end"/>
      </w:r>
      <w:bookmarkEnd w:id="6"/>
      <w:r w:rsidDel="0028513A">
        <w:t xml:space="preserve">: Percentage of policy documents that cited </w:t>
      </w:r>
      <w:r w:rsidR="00CD2E75" w:rsidDel="0028513A">
        <w:t>PPA</w:t>
      </w:r>
      <w:r w:rsidDel="0028513A">
        <w:t xml:space="preserve"> publications v</w:t>
      </w:r>
      <w:r w:rsidR="001E012B" w:rsidDel="0028513A">
        <w:t>ersus</w:t>
      </w:r>
      <w:r w:rsidDel="0028513A">
        <w:t xml:space="preserve"> number of all policy documents in the Overton database</w:t>
      </w:r>
      <w:r w:rsidR="00EE5289" w:rsidDel="0028513A">
        <w:t xml:space="preserve"> (</w:t>
      </w:r>
      <w:r w:rsidR="00EA6801" w:rsidDel="0028513A">
        <w:t>a</w:t>
      </w:r>
      <w:r w:rsidR="00EE5289" w:rsidDel="0028513A">
        <w:t xml:space="preserve">n interactive version can be accessed at: </w:t>
      </w:r>
      <w:hyperlink r:id="rId15" w:history="1">
        <w:r w:rsidR="00EE5289" w:rsidRPr="00EB6A7D" w:rsidDel="0028513A">
          <w:rPr>
            <w:rStyle w:val="Hyperlink"/>
          </w:rPr>
          <w:t>https://s.gwdg.de/r930Yl</w:t>
        </w:r>
      </w:hyperlink>
      <w:r w:rsidR="00EE5289" w:rsidDel="0028513A">
        <w:t>)</w:t>
      </w:r>
    </w:p>
    <w:p w14:paraId="064817BC" w14:textId="7DD8B1A6" w:rsidR="0018450B" w:rsidRDefault="0018450B">
      <w:pPr>
        <w:jc w:val="both"/>
      </w:pPr>
      <w:r>
        <w:rPr>
          <w:noProof/>
          <w:lang w:val="de-DE" w:eastAsia="de-DE"/>
        </w:rPr>
        <w:drawing>
          <wp:inline distT="0" distB="0" distL="0" distR="0" wp14:anchorId="7D242809" wp14:editId="7A9B43F2">
            <wp:extent cx="5759767" cy="3839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sources_per_sector_all_rel_pp_wos_log_scale.png"/>
                    <pic:cNvPicPr/>
                  </pic:nvPicPr>
                  <pic:blipFill>
                    <a:blip r:embed="rId16">
                      <a:extLst>
                        <a:ext uri="{28A0092B-C50C-407E-A947-70E740481C1C}">
                          <a14:useLocalDpi xmlns:a14="http://schemas.microsoft.com/office/drawing/2010/main" val="0"/>
                        </a:ext>
                      </a:extLst>
                    </a:blip>
                    <a:stretch>
                      <a:fillRect/>
                    </a:stretch>
                  </pic:blipFill>
                  <pic:spPr>
                    <a:xfrm>
                      <a:off x="0" y="0"/>
                      <a:ext cx="5759767" cy="3839845"/>
                    </a:xfrm>
                    <a:prstGeom prst="rect">
                      <a:avLst/>
                    </a:prstGeom>
                  </pic:spPr>
                </pic:pic>
              </a:graphicData>
            </a:graphic>
          </wp:inline>
        </w:drawing>
      </w:r>
    </w:p>
    <w:p w14:paraId="558C0301" w14:textId="7E54A4F7" w:rsidR="008168F4" w:rsidRDefault="008168F4">
      <w:pPr>
        <w:jc w:val="both"/>
      </w:pPr>
    </w:p>
    <w:p w14:paraId="10498C3F" w14:textId="191B4567" w:rsidR="00067E09" w:rsidRDefault="00067E09">
      <w:pPr>
        <w:jc w:val="both"/>
      </w:pPr>
      <w:r>
        <w:fldChar w:fldCharType="begin"/>
      </w:r>
      <w:r>
        <w:instrText xml:space="preserve"> REF _Ref127542964 \h </w:instrText>
      </w:r>
      <w:r>
        <w:fldChar w:fldCharType="separate"/>
      </w:r>
      <w:r w:rsidR="00E21D61">
        <w:t xml:space="preserve">Table </w:t>
      </w:r>
      <w:r w:rsidR="00E21D61">
        <w:rPr>
          <w:noProof/>
        </w:rPr>
        <w:t>4</w:t>
      </w:r>
      <w:r>
        <w:fldChar w:fldCharType="end"/>
      </w:r>
      <w:r>
        <w:t xml:space="preserve"> shows the most productive policy sources grouped by policy sector. </w:t>
      </w:r>
      <w:r w:rsidR="00CC54D5">
        <w:t>National</w:t>
      </w:r>
      <w:r w:rsidR="00B21D92">
        <w:t xml:space="preserve"> g</w:t>
      </w:r>
      <w:r w:rsidR="00BD351B">
        <w:t xml:space="preserve">overnments produce a large volume of policy documents, but relatively few policy documents that rely on PPA </w:t>
      </w:r>
      <w:r w:rsidR="0028513A">
        <w:t>publications</w:t>
      </w:r>
      <w:r w:rsidR="00BD351B">
        <w:t xml:space="preserve">. However, some key exceptions include large </w:t>
      </w:r>
      <w:r w:rsidR="00B21D92">
        <w:t>supranational organi</w:t>
      </w:r>
      <w:r w:rsidR="00542BA6">
        <w:t>z</w:t>
      </w:r>
      <w:r w:rsidR="00B21D92">
        <w:t xml:space="preserve">ations, such as the Publications Office of the European Union, and </w:t>
      </w:r>
      <w:r w:rsidR="00BD351B">
        <w:t>IGOS</w:t>
      </w:r>
      <w:r w:rsidR="00B21D92">
        <w:t xml:space="preserve"> </w:t>
      </w:r>
      <w:r w:rsidR="00BD351B">
        <w:t xml:space="preserve">including </w:t>
      </w:r>
      <w:r w:rsidR="00BD351B" w:rsidRPr="009A66D9">
        <w:t>OECD and World Bank</w:t>
      </w:r>
      <w:r w:rsidR="00BD351B">
        <w:t>, which publish many policy documents that cite</w:t>
      </w:r>
      <w:r w:rsidR="00BD351B" w:rsidRPr="009A66D9">
        <w:t xml:space="preserve"> PPA</w:t>
      </w:r>
      <w:r w:rsidR="00BD351B">
        <w:t xml:space="preserve"> research</w:t>
      </w:r>
      <w:r w:rsidR="00BD351B" w:rsidRPr="009A66D9">
        <w:t>.</w:t>
      </w:r>
      <w:r w:rsidR="00BD351B">
        <w:t xml:space="preserve"> Think tanks generally produce fewer policy documents, but a higher proportion of these cite PPA research. For example, 8.4% of policy documents published by </w:t>
      </w:r>
      <w:r w:rsidR="0010063A">
        <w:t xml:space="preserve">Germany’s </w:t>
      </w:r>
      <w:r w:rsidR="00BD351B" w:rsidRPr="00BD351B">
        <w:t xml:space="preserve">IZA Institute of Labor Economics </w:t>
      </w:r>
      <w:r w:rsidR="00BD351B">
        <w:t>engage with PPA discourse.</w:t>
      </w:r>
    </w:p>
    <w:p w14:paraId="4833A374" w14:textId="77777777" w:rsidR="00067E09" w:rsidRDefault="00067E09">
      <w:pPr>
        <w:jc w:val="both"/>
      </w:pPr>
    </w:p>
    <w:p w14:paraId="246D16AC" w14:textId="4A058F68" w:rsidR="00752CAB" w:rsidRDefault="00752CAB" w:rsidP="00752CAB">
      <w:pPr>
        <w:jc w:val="center"/>
      </w:pPr>
      <w:bookmarkStart w:id="7" w:name="_Ref127542964"/>
      <w:r>
        <w:t xml:space="preserve">Table </w:t>
      </w:r>
      <w:r>
        <w:fldChar w:fldCharType="begin"/>
      </w:r>
      <w:r>
        <w:instrText xml:space="preserve"> SEQ Table \* ARABIC </w:instrText>
      </w:r>
      <w:r>
        <w:fldChar w:fldCharType="separate"/>
      </w:r>
      <w:r w:rsidR="00E21D61">
        <w:rPr>
          <w:noProof/>
        </w:rPr>
        <w:t>4</w:t>
      </w:r>
      <w:r>
        <w:fldChar w:fldCharType="end"/>
      </w:r>
      <w:bookmarkEnd w:id="7"/>
      <w:r>
        <w:t xml:space="preserve">: Types of policy sources most productive in publishing policy documents that cited WoS </w:t>
      </w:r>
      <w:r w:rsidR="00CD2E75">
        <w:t>PPA</w:t>
      </w:r>
      <w:r>
        <w:t xml:space="preserve"> publications in comparison with all policy documents</w:t>
      </w:r>
    </w:p>
    <w:p w14:paraId="0F6FD5B8" w14:textId="5066A0BA" w:rsidR="00752CAB" w:rsidRDefault="00752CAB">
      <w:pPr>
        <w:jc w:val="both"/>
      </w:pPr>
    </w:p>
    <w:tbl>
      <w:tblPr>
        <w:tblStyle w:val="TableGrid"/>
        <w:tblW w:w="0" w:type="auto"/>
        <w:tblLook w:val="04A0" w:firstRow="1" w:lastRow="0" w:firstColumn="1" w:lastColumn="0" w:noHBand="0" w:noVBand="1"/>
      </w:tblPr>
      <w:tblGrid>
        <w:gridCol w:w="2958"/>
        <w:gridCol w:w="1573"/>
        <w:gridCol w:w="2957"/>
        <w:gridCol w:w="1573"/>
      </w:tblGrid>
      <w:tr w:rsidR="00752CAB" w:rsidRPr="00752CAB" w14:paraId="6A4A8F1F" w14:textId="77777777" w:rsidTr="00752CAB">
        <w:trPr>
          <w:trHeight w:val="300"/>
        </w:trPr>
        <w:tc>
          <w:tcPr>
            <w:tcW w:w="7703" w:type="dxa"/>
            <w:gridSpan w:val="2"/>
            <w:noWrap/>
            <w:hideMark/>
          </w:tcPr>
          <w:p w14:paraId="7030B5DD" w14:textId="77777777" w:rsidR="00752CAB" w:rsidRPr="00752CAB" w:rsidRDefault="00752CAB" w:rsidP="00752CAB">
            <w:pPr>
              <w:jc w:val="both"/>
              <w:rPr>
                <w:lang w:val="en-US"/>
              </w:rPr>
            </w:pPr>
            <w:r w:rsidRPr="00752CAB">
              <w:t>All policy documents</w:t>
            </w:r>
          </w:p>
        </w:tc>
        <w:tc>
          <w:tcPr>
            <w:tcW w:w="7703" w:type="dxa"/>
            <w:gridSpan w:val="2"/>
            <w:noWrap/>
            <w:hideMark/>
          </w:tcPr>
          <w:p w14:paraId="17BDE017" w14:textId="666E0C14" w:rsidR="00752CAB" w:rsidRPr="00752CAB" w:rsidRDefault="00CD44C5" w:rsidP="00CD44C5">
            <w:pPr>
              <w:jc w:val="both"/>
            </w:pPr>
            <w:r>
              <w:t>P</w:t>
            </w:r>
            <w:r w:rsidR="00752CAB" w:rsidRPr="00752CAB">
              <w:t>olicy documents</w:t>
            </w:r>
            <w:r>
              <w:t xml:space="preserve"> that cited PPA papers</w:t>
            </w:r>
          </w:p>
        </w:tc>
      </w:tr>
      <w:tr w:rsidR="00752CAB" w:rsidRPr="00752CAB" w14:paraId="1BF0AF99" w14:textId="77777777" w:rsidTr="00752CAB">
        <w:trPr>
          <w:trHeight w:val="300"/>
        </w:trPr>
        <w:tc>
          <w:tcPr>
            <w:tcW w:w="5079" w:type="dxa"/>
            <w:noWrap/>
            <w:hideMark/>
          </w:tcPr>
          <w:p w14:paraId="49617E04" w14:textId="77777777" w:rsidR="00752CAB" w:rsidRPr="00752CAB" w:rsidRDefault="00752CAB" w:rsidP="00752CAB">
            <w:pPr>
              <w:jc w:val="both"/>
            </w:pPr>
            <w:r w:rsidRPr="00752CAB">
              <w:t>Policy source</w:t>
            </w:r>
          </w:p>
        </w:tc>
        <w:tc>
          <w:tcPr>
            <w:tcW w:w="2624" w:type="dxa"/>
            <w:noWrap/>
            <w:hideMark/>
          </w:tcPr>
          <w:p w14:paraId="3C2C2C8E" w14:textId="77777777" w:rsidR="00752CAB" w:rsidRPr="00752CAB" w:rsidRDefault="00752CAB" w:rsidP="00752CAB">
            <w:pPr>
              <w:jc w:val="both"/>
            </w:pPr>
            <w:r w:rsidRPr="00752CAB">
              <w:t>Number of policy documents</w:t>
            </w:r>
          </w:p>
        </w:tc>
        <w:tc>
          <w:tcPr>
            <w:tcW w:w="5079" w:type="dxa"/>
            <w:noWrap/>
            <w:hideMark/>
          </w:tcPr>
          <w:p w14:paraId="05B619E8" w14:textId="77777777" w:rsidR="00752CAB" w:rsidRPr="00752CAB" w:rsidRDefault="00752CAB" w:rsidP="00752CAB">
            <w:pPr>
              <w:jc w:val="both"/>
            </w:pPr>
            <w:r w:rsidRPr="00752CAB">
              <w:t>Policy source</w:t>
            </w:r>
          </w:p>
        </w:tc>
        <w:tc>
          <w:tcPr>
            <w:tcW w:w="2624" w:type="dxa"/>
            <w:noWrap/>
            <w:hideMark/>
          </w:tcPr>
          <w:p w14:paraId="360C9659" w14:textId="77777777" w:rsidR="00752CAB" w:rsidRPr="00752CAB" w:rsidRDefault="00752CAB" w:rsidP="00752CAB">
            <w:pPr>
              <w:jc w:val="both"/>
            </w:pPr>
            <w:r w:rsidRPr="00752CAB">
              <w:t>Number of policy documents</w:t>
            </w:r>
          </w:p>
        </w:tc>
      </w:tr>
      <w:tr w:rsidR="00752CAB" w:rsidRPr="00752CAB" w14:paraId="7471A557" w14:textId="77777777" w:rsidTr="00752CAB">
        <w:trPr>
          <w:trHeight w:val="300"/>
        </w:trPr>
        <w:tc>
          <w:tcPr>
            <w:tcW w:w="15406" w:type="dxa"/>
            <w:gridSpan w:val="4"/>
            <w:noWrap/>
            <w:hideMark/>
          </w:tcPr>
          <w:p w14:paraId="7B8D3D32" w14:textId="77777777" w:rsidR="00752CAB" w:rsidRPr="00752CAB" w:rsidRDefault="00752CAB" w:rsidP="00AB2EF8">
            <w:pPr>
              <w:jc w:val="center"/>
            </w:pPr>
            <w:r w:rsidRPr="00752CAB">
              <w:t>Government</w:t>
            </w:r>
          </w:p>
        </w:tc>
      </w:tr>
      <w:tr w:rsidR="00752CAB" w:rsidRPr="00752CAB" w14:paraId="21E430C2" w14:textId="77777777" w:rsidTr="00752CAB">
        <w:trPr>
          <w:trHeight w:val="300"/>
        </w:trPr>
        <w:tc>
          <w:tcPr>
            <w:tcW w:w="5079" w:type="dxa"/>
            <w:noWrap/>
            <w:hideMark/>
          </w:tcPr>
          <w:p w14:paraId="46E0F650" w14:textId="77777777" w:rsidR="00752CAB" w:rsidRPr="00752CAB" w:rsidRDefault="00752CAB" w:rsidP="00752CAB">
            <w:pPr>
              <w:jc w:val="both"/>
            </w:pPr>
            <w:r w:rsidRPr="00752CAB">
              <w:t>Government of Japan</w:t>
            </w:r>
          </w:p>
        </w:tc>
        <w:tc>
          <w:tcPr>
            <w:tcW w:w="2624" w:type="dxa"/>
            <w:noWrap/>
            <w:hideMark/>
          </w:tcPr>
          <w:p w14:paraId="3F5630B5" w14:textId="5A2A75A7" w:rsidR="00752CAB" w:rsidRPr="00752CAB" w:rsidRDefault="00752CAB" w:rsidP="00752CAB">
            <w:pPr>
              <w:jc w:val="both"/>
            </w:pPr>
            <w:r w:rsidRPr="00752CAB">
              <w:t>253</w:t>
            </w:r>
            <w:r w:rsidR="002835A6">
              <w:t>,</w:t>
            </w:r>
            <w:r w:rsidRPr="00752CAB">
              <w:t>158</w:t>
            </w:r>
          </w:p>
        </w:tc>
        <w:tc>
          <w:tcPr>
            <w:tcW w:w="5079" w:type="dxa"/>
            <w:noWrap/>
            <w:hideMark/>
          </w:tcPr>
          <w:p w14:paraId="68975AD4" w14:textId="77777777" w:rsidR="00752CAB" w:rsidRPr="00752CAB" w:rsidRDefault="00752CAB" w:rsidP="00752CAB">
            <w:pPr>
              <w:jc w:val="both"/>
            </w:pPr>
            <w:r w:rsidRPr="00752CAB">
              <w:t>Publications Office of the European Union</w:t>
            </w:r>
          </w:p>
        </w:tc>
        <w:tc>
          <w:tcPr>
            <w:tcW w:w="2624" w:type="dxa"/>
            <w:noWrap/>
            <w:hideMark/>
          </w:tcPr>
          <w:p w14:paraId="1184775F" w14:textId="2854836A" w:rsidR="00752CAB" w:rsidRPr="00752CAB" w:rsidRDefault="00752CAB" w:rsidP="00752CAB">
            <w:pPr>
              <w:jc w:val="both"/>
            </w:pPr>
            <w:r w:rsidRPr="00752CAB">
              <w:t>1</w:t>
            </w:r>
            <w:r w:rsidR="002835A6">
              <w:t>,</w:t>
            </w:r>
            <w:r w:rsidRPr="00752CAB">
              <w:t>395</w:t>
            </w:r>
          </w:p>
        </w:tc>
      </w:tr>
      <w:tr w:rsidR="00752CAB" w:rsidRPr="00752CAB" w14:paraId="08E1AD07" w14:textId="77777777" w:rsidTr="00752CAB">
        <w:trPr>
          <w:trHeight w:val="300"/>
        </w:trPr>
        <w:tc>
          <w:tcPr>
            <w:tcW w:w="5079" w:type="dxa"/>
            <w:noWrap/>
            <w:hideMark/>
          </w:tcPr>
          <w:p w14:paraId="4A2F53A0" w14:textId="77777777" w:rsidR="00752CAB" w:rsidRPr="00752CAB" w:rsidRDefault="00752CAB" w:rsidP="00752CAB">
            <w:pPr>
              <w:jc w:val="both"/>
            </w:pPr>
            <w:r w:rsidRPr="00752CAB">
              <w:t>State of Texas</w:t>
            </w:r>
          </w:p>
        </w:tc>
        <w:tc>
          <w:tcPr>
            <w:tcW w:w="2624" w:type="dxa"/>
            <w:noWrap/>
            <w:hideMark/>
          </w:tcPr>
          <w:p w14:paraId="14A7F01A" w14:textId="29F06BEC" w:rsidR="00752CAB" w:rsidRPr="00752CAB" w:rsidRDefault="00752CAB" w:rsidP="00752CAB">
            <w:pPr>
              <w:jc w:val="both"/>
            </w:pPr>
            <w:r w:rsidRPr="00752CAB">
              <w:t>126</w:t>
            </w:r>
            <w:r w:rsidR="002835A6">
              <w:t>,</w:t>
            </w:r>
            <w:r w:rsidRPr="00752CAB">
              <w:t>302</w:t>
            </w:r>
          </w:p>
        </w:tc>
        <w:tc>
          <w:tcPr>
            <w:tcW w:w="5079" w:type="dxa"/>
            <w:noWrap/>
            <w:hideMark/>
          </w:tcPr>
          <w:p w14:paraId="09B2DA28" w14:textId="77777777" w:rsidR="00752CAB" w:rsidRPr="00752CAB" w:rsidRDefault="00752CAB" w:rsidP="00752CAB">
            <w:pPr>
              <w:jc w:val="both"/>
            </w:pPr>
            <w:r w:rsidRPr="00752CAB">
              <w:t>The UK Government</w:t>
            </w:r>
          </w:p>
        </w:tc>
        <w:tc>
          <w:tcPr>
            <w:tcW w:w="2624" w:type="dxa"/>
            <w:noWrap/>
            <w:hideMark/>
          </w:tcPr>
          <w:p w14:paraId="2D67F9AA" w14:textId="77777777" w:rsidR="00752CAB" w:rsidRPr="00752CAB" w:rsidRDefault="00752CAB" w:rsidP="00752CAB">
            <w:pPr>
              <w:jc w:val="both"/>
            </w:pPr>
            <w:r w:rsidRPr="00752CAB">
              <w:t>359</w:t>
            </w:r>
          </w:p>
        </w:tc>
      </w:tr>
      <w:tr w:rsidR="00752CAB" w:rsidRPr="00752CAB" w14:paraId="03B0D915" w14:textId="77777777" w:rsidTr="00752CAB">
        <w:trPr>
          <w:trHeight w:val="300"/>
        </w:trPr>
        <w:tc>
          <w:tcPr>
            <w:tcW w:w="5079" w:type="dxa"/>
            <w:noWrap/>
            <w:hideMark/>
          </w:tcPr>
          <w:p w14:paraId="54B796D8" w14:textId="77777777" w:rsidR="00752CAB" w:rsidRPr="00752CAB" w:rsidRDefault="00752CAB" w:rsidP="00752CAB">
            <w:pPr>
              <w:jc w:val="both"/>
            </w:pPr>
            <w:r w:rsidRPr="00752CAB">
              <w:t>State of Hawaii</w:t>
            </w:r>
          </w:p>
        </w:tc>
        <w:tc>
          <w:tcPr>
            <w:tcW w:w="2624" w:type="dxa"/>
            <w:noWrap/>
            <w:hideMark/>
          </w:tcPr>
          <w:p w14:paraId="2222CA3E" w14:textId="076917ED" w:rsidR="00752CAB" w:rsidRPr="00752CAB" w:rsidRDefault="00752CAB" w:rsidP="00752CAB">
            <w:pPr>
              <w:jc w:val="both"/>
            </w:pPr>
            <w:r w:rsidRPr="00752CAB">
              <w:t>116</w:t>
            </w:r>
            <w:r w:rsidR="002835A6">
              <w:t>,</w:t>
            </w:r>
            <w:r w:rsidRPr="00752CAB">
              <w:t>530</w:t>
            </w:r>
          </w:p>
        </w:tc>
        <w:tc>
          <w:tcPr>
            <w:tcW w:w="5079" w:type="dxa"/>
            <w:noWrap/>
            <w:hideMark/>
          </w:tcPr>
          <w:p w14:paraId="2BB563F9" w14:textId="77777777" w:rsidR="00752CAB" w:rsidRPr="00752CAB" w:rsidRDefault="00752CAB" w:rsidP="00752CAB">
            <w:pPr>
              <w:jc w:val="both"/>
            </w:pPr>
            <w:r w:rsidRPr="00752CAB">
              <w:t>Government of Canada</w:t>
            </w:r>
          </w:p>
        </w:tc>
        <w:tc>
          <w:tcPr>
            <w:tcW w:w="2624" w:type="dxa"/>
            <w:noWrap/>
            <w:hideMark/>
          </w:tcPr>
          <w:p w14:paraId="68C90AD1" w14:textId="77777777" w:rsidR="00752CAB" w:rsidRPr="00752CAB" w:rsidRDefault="00752CAB" w:rsidP="00752CAB">
            <w:pPr>
              <w:jc w:val="both"/>
            </w:pPr>
            <w:r w:rsidRPr="00752CAB">
              <w:t>350</w:t>
            </w:r>
          </w:p>
        </w:tc>
      </w:tr>
      <w:tr w:rsidR="00752CAB" w:rsidRPr="00752CAB" w14:paraId="72AFDA54" w14:textId="77777777" w:rsidTr="00752CAB">
        <w:trPr>
          <w:trHeight w:val="300"/>
        </w:trPr>
        <w:tc>
          <w:tcPr>
            <w:tcW w:w="5079" w:type="dxa"/>
            <w:noWrap/>
            <w:hideMark/>
          </w:tcPr>
          <w:p w14:paraId="3284B659" w14:textId="77777777" w:rsidR="00752CAB" w:rsidRPr="00752CAB" w:rsidRDefault="00752CAB" w:rsidP="00752CAB">
            <w:pPr>
              <w:jc w:val="both"/>
            </w:pPr>
            <w:r w:rsidRPr="00752CAB">
              <w:t>State of Maryland</w:t>
            </w:r>
          </w:p>
        </w:tc>
        <w:tc>
          <w:tcPr>
            <w:tcW w:w="2624" w:type="dxa"/>
            <w:noWrap/>
            <w:hideMark/>
          </w:tcPr>
          <w:p w14:paraId="28544542" w14:textId="65C794BF" w:rsidR="00752CAB" w:rsidRPr="00752CAB" w:rsidRDefault="00752CAB" w:rsidP="00752CAB">
            <w:pPr>
              <w:jc w:val="both"/>
            </w:pPr>
            <w:r w:rsidRPr="00752CAB">
              <w:t>102</w:t>
            </w:r>
            <w:r w:rsidR="002835A6">
              <w:t>,</w:t>
            </w:r>
            <w:r w:rsidRPr="00752CAB">
              <w:t>252</w:t>
            </w:r>
          </w:p>
        </w:tc>
        <w:tc>
          <w:tcPr>
            <w:tcW w:w="5079" w:type="dxa"/>
            <w:noWrap/>
            <w:hideMark/>
          </w:tcPr>
          <w:p w14:paraId="43F1AF0C" w14:textId="77777777" w:rsidR="00752CAB" w:rsidRPr="00752CAB" w:rsidRDefault="00752CAB" w:rsidP="00752CAB">
            <w:pPr>
              <w:jc w:val="both"/>
            </w:pPr>
            <w:r w:rsidRPr="00752CAB">
              <w:t>European Parliamentary Research Service</w:t>
            </w:r>
          </w:p>
        </w:tc>
        <w:tc>
          <w:tcPr>
            <w:tcW w:w="2624" w:type="dxa"/>
            <w:noWrap/>
            <w:hideMark/>
          </w:tcPr>
          <w:p w14:paraId="29D5306F" w14:textId="77777777" w:rsidR="00752CAB" w:rsidRPr="00752CAB" w:rsidRDefault="00752CAB" w:rsidP="00752CAB">
            <w:pPr>
              <w:jc w:val="both"/>
            </w:pPr>
            <w:r w:rsidRPr="00752CAB">
              <w:t>316</w:t>
            </w:r>
          </w:p>
        </w:tc>
      </w:tr>
      <w:tr w:rsidR="00752CAB" w:rsidRPr="00752CAB" w14:paraId="1B223C28" w14:textId="77777777" w:rsidTr="00752CAB">
        <w:trPr>
          <w:trHeight w:val="300"/>
        </w:trPr>
        <w:tc>
          <w:tcPr>
            <w:tcW w:w="5079" w:type="dxa"/>
            <w:noWrap/>
            <w:hideMark/>
          </w:tcPr>
          <w:p w14:paraId="5F57B7B5" w14:textId="77777777" w:rsidR="00752CAB" w:rsidRPr="00752CAB" w:rsidRDefault="00752CAB" w:rsidP="00752CAB">
            <w:pPr>
              <w:jc w:val="both"/>
            </w:pPr>
            <w:r w:rsidRPr="00752CAB">
              <w:lastRenderedPageBreak/>
              <w:t>EUR-Lex</w:t>
            </w:r>
          </w:p>
        </w:tc>
        <w:tc>
          <w:tcPr>
            <w:tcW w:w="2624" w:type="dxa"/>
            <w:noWrap/>
            <w:hideMark/>
          </w:tcPr>
          <w:p w14:paraId="432F89DF" w14:textId="34A23F53" w:rsidR="00752CAB" w:rsidRPr="00752CAB" w:rsidRDefault="00752CAB" w:rsidP="00752CAB">
            <w:pPr>
              <w:jc w:val="both"/>
            </w:pPr>
            <w:r w:rsidRPr="00752CAB">
              <w:t>101</w:t>
            </w:r>
            <w:r w:rsidR="002835A6">
              <w:t>,</w:t>
            </w:r>
            <w:r w:rsidRPr="00752CAB">
              <w:t>597</w:t>
            </w:r>
          </w:p>
        </w:tc>
        <w:tc>
          <w:tcPr>
            <w:tcW w:w="5079" w:type="dxa"/>
            <w:noWrap/>
            <w:hideMark/>
          </w:tcPr>
          <w:p w14:paraId="11C9182A" w14:textId="5B98A7B8" w:rsidR="00752CAB" w:rsidRPr="00752CAB" w:rsidRDefault="009A66D9" w:rsidP="00752CAB">
            <w:pPr>
              <w:jc w:val="both"/>
            </w:pPr>
            <w:r>
              <w:t xml:space="preserve">US </w:t>
            </w:r>
            <w:r w:rsidRPr="009A66D9">
              <w:t>Office of Planning, Research, and Evaluation</w:t>
            </w:r>
          </w:p>
        </w:tc>
        <w:tc>
          <w:tcPr>
            <w:tcW w:w="2624" w:type="dxa"/>
            <w:noWrap/>
            <w:hideMark/>
          </w:tcPr>
          <w:p w14:paraId="6AB0C92A" w14:textId="77777777" w:rsidR="00752CAB" w:rsidRPr="00752CAB" w:rsidRDefault="00752CAB" w:rsidP="00752CAB">
            <w:pPr>
              <w:jc w:val="both"/>
            </w:pPr>
            <w:r w:rsidRPr="00752CAB">
              <w:t>220</w:t>
            </w:r>
          </w:p>
        </w:tc>
      </w:tr>
      <w:tr w:rsidR="00752CAB" w:rsidRPr="00752CAB" w14:paraId="312A469A" w14:textId="77777777" w:rsidTr="00752CAB">
        <w:trPr>
          <w:trHeight w:val="300"/>
        </w:trPr>
        <w:tc>
          <w:tcPr>
            <w:tcW w:w="5079" w:type="dxa"/>
            <w:noWrap/>
            <w:hideMark/>
          </w:tcPr>
          <w:p w14:paraId="0B6A9397" w14:textId="77777777" w:rsidR="00752CAB" w:rsidRPr="00752CAB" w:rsidRDefault="00752CAB" w:rsidP="00752CAB">
            <w:pPr>
              <w:jc w:val="both"/>
            </w:pPr>
            <w:r w:rsidRPr="00752CAB">
              <w:t>French Government Ministries</w:t>
            </w:r>
          </w:p>
        </w:tc>
        <w:tc>
          <w:tcPr>
            <w:tcW w:w="2624" w:type="dxa"/>
            <w:noWrap/>
            <w:hideMark/>
          </w:tcPr>
          <w:p w14:paraId="12ACBF28" w14:textId="4F64281F" w:rsidR="00752CAB" w:rsidRPr="00752CAB" w:rsidRDefault="00752CAB" w:rsidP="00752CAB">
            <w:pPr>
              <w:jc w:val="both"/>
            </w:pPr>
            <w:r w:rsidRPr="00752CAB">
              <w:t>99</w:t>
            </w:r>
            <w:r w:rsidR="002835A6">
              <w:t>,</w:t>
            </w:r>
            <w:r w:rsidRPr="00752CAB">
              <w:t>898</w:t>
            </w:r>
          </w:p>
        </w:tc>
        <w:tc>
          <w:tcPr>
            <w:tcW w:w="5079" w:type="dxa"/>
            <w:noWrap/>
            <w:hideMark/>
          </w:tcPr>
          <w:p w14:paraId="082E16F5" w14:textId="28ACC243" w:rsidR="00752CAB" w:rsidRPr="00752CAB" w:rsidRDefault="009A66D9" w:rsidP="00752CAB">
            <w:pPr>
              <w:jc w:val="both"/>
            </w:pPr>
            <w:r>
              <w:t xml:space="preserve">European Commission </w:t>
            </w:r>
            <w:r w:rsidR="00752CAB" w:rsidRPr="00752CAB">
              <w:t>Joint Research Centre</w:t>
            </w:r>
          </w:p>
        </w:tc>
        <w:tc>
          <w:tcPr>
            <w:tcW w:w="2624" w:type="dxa"/>
            <w:noWrap/>
            <w:hideMark/>
          </w:tcPr>
          <w:p w14:paraId="6B337C09" w14:textId="77777777" w:rsidR="00752CAB" w:rsidRPr="00752CAB" w:rsidRDefault="00752CAB" w:rsidP="00752CAB">
            <w:pPr>
              <w:jc w:val="both"/>
            </w:pPr>
            <w:r w:rsidRPr="00752CAB">
              <w:t>192</w:t>
            </w:r>
          </w:p>
        </w:tc>
      </w:tr>
      <w:tr w:rsidR="00752CAB" w:rsidRPr="00752CAB" w14:paraId="376BEBF1" w14:textId="77777777" w:rsidTr="00752CAB">
        <w:trPr>
          <w:trHeight w:val="300"/>
        </w:trPr>
        <w:tc>
          <w:tcPr>
            <w:tcW w:w="5079" w:type="dxa"/>
            <w:noWrap/>
            <w:hideMark/>
          </w:tcPr>
          <w:p w14:paraId="3DE359FD" w14:textId="77777777" w:rsidR="00752CAB" w:rsidRPr="00752CAB" w:rsidRDefault="00752CAB" w:rsidP="00752CAB">
            <w:pPr>
              <w:jc w:val="both"/>
            </w:pPr>
            <w:r w:rsidRPr="00752CAB">
              <w:t>State of Colorado</w:t>
            </w:r>
          </w:p>
        </w:tc>
        <w:tc>
          <w:tcPr>
            <w:tcW w:w="2624" w:type="dxa"/>
            <w:noWrap/>
            <w:hideMark/>
          </w:tcPr>
          <w:p w14:paraId="560002CB" w14:textId="5064065A" w:rsidR="00752CAB" w:rsidRPr="00752CAB" w:rsidRDefault="00752CAB" w:rsidP="00752CAB">
            <w:pPr>
              <w:jc w:val="both"/>
            </w:pPr>
            <w:r w:rsidRPr="00752CAB">
              <w:t>97</w:t>
            </w:r>
            <w:r w:rsidR="002835A6">
              <w:t>,</w:t>
            </w:r>
            <w:r w:rsidRPr="00752CAB">
              <w:t>783</w:t>
            </w:r>
          </w:p>
        </w:tc>
        <w:tc>
          <w:tcPr>
            <w:tcW w:w="5079" w:type="dxa"/>
            <w:noWrap/>
            <w:hideMark/>
          </w:tcPr>
          <w:p w14:paraId="59781550" w14:textId="27935CBA" w:rsidR="00752CAB" w:rsidRPr="00752CAB" w:rsidRDefault="009A66D9" w:rsidP="00752CAB">
            <w:pPr>
              <w:jc w:val="both"/>
            </w:pPr>
            <w:r>
              <w:t xml:space="preserve">US </w:t>
            </w:r>
            <w:r w:rsidR="00752CAB" w:rsidRPr="00752CAB">
              <w:t>Government Publishing Office</w:t>
            </w:r>
          </w:p>
        </w:tc>
        <w:tc>
          <w:tcPr>
            <w:tcW w:w="2624" w:type="dxa"/>
            <w:noWrap/>
            <w:hideMark/>
          </w:tcPr>
          <w:p w14:paraId="6ED689A8" w14:textId="77777777" w:rsidR="00752CAB" w:rsidRPr="00752CAB" w:rsidRDefault="00752CAB" w:rsidP="00752CAB">
            <w:pPr>
              <w:jc w:val="both"/>
            </w:pPr>
            <w:r w:rsidRPr="00752CAB">
              <w:t>168</w:t>
            </w:r>
          </w:p>
        </w:tc>
      </w:tr>
      <w:tr w:rsidR="00752CAB" w:rsidRPr="00752CAB" w14:paraId="180A29C8" w14:textId="77777777" w:rsidTr="00752CAB">
        <w:trPr>
          <w:trHeight w:val="300"/>
        </w:trPr>
        <w:tc>
          <w:tcPr>
            <w:tcW w:w="5079" w:type="dxa"/>
            <w:noWrap/>
            <w:hideMark/>
          </w:tcPr>
          <w:p w14:paraId="42474468" w14:textId="77777777" w:rsidR="00752CAB" w:rsidRPr="00752CAB" w:rsidRDefault="00752CAB" w:rsidP="00752CAB">
            <w:pPr>
              <w:jc w:val="both"/>
            </w:pPr>
            <w:r w:rsidRPr="00752CAB">
              <w:t>State of California</w:t>
            </w:r>
          </w:p>
        </w:tc>
        <w:tc>
          <w:tcPr>
            <w:tcW w:w="2624" w:type="dxa"/>
            <w:noWrap/>
            <w:hideMark/>
          </w:tcPr>
          <w:p w14:paraId="43182B0A" w14:textId="4D422F61" w:rsidR="00752CAB" w:rsidRPr="00752CAB" w:rsidRDefault="00752CAB" w:rsidP="00752CAB">
            <w:pPr>
              <w:jc w:val="both"/>
            </w:pPr>
            <w:r w:rsidRPr="00752CAB">
              <w:t>93</w:t>
            </w:r>
            <w:r w:rsidR="002835A6">
              <w:t>,</w:t>
            </w:r>
            <w:r w:rsidRPr="00752CAB">
              <w:t>269</w:t>
            </w:r>
          </w:p>
        </w:tc>
        <w:tc>
          <w:tcPr>
            <w:tcW w:w="5079" w:type="dxa"/>
            <w:noWrap/>
            <w:hideMark/>
          </w:tcPr>
          <w:p w14:paraId="1137EFA2" w14:textId="77777777" w:rsidR="00752CAB" w:rsidRPr="00752CAB" w:rsidRDefault="00752CAB" w:rsidP="00752CAB">
            <w:pPr>
              <w:jc w:val="both"/>
            </w:pPr>
            <w:r w:rsidRPr="00752CAB">
              <w:t>Government of Finland</w:t>
            </w:r>
          </w:p>
        </w:tc>
        <w:tc>
          <w:tcPr>
            <w:tcW w:w="2624" w:type="dxa"/>
            <w:noWrap/>
            <w:hideMark/>
          </w:tcPr>
          <w:p w14:paraId="29F0DAE4" w14:textId="77777777" w:rsidR="00752CAB" w:rsidRPr="00752CAB" w:rsidRDefault="00752CAB" w:rsidP="00752CAB">
            <w:pPr>
              <w:jc w:val="both"/>
            </w:pPr>
            <w:r w:rsidRPr="00752CAB">
              <w:t>149</w:t>
            </w:r>
          </w:p>
        </w:tc>
      </w:tr>
      <w:tr w:rsidR="00752CAB" w:rsidRPr="00752CAB" w14:paraId="0D7B3169" w14:textId="77777777" w:rsidTr="00752CAB">
        <w:trPr>
          <w:trHeight w:val="300"/>
        </w:trPr>
        <w:tc>
          <w:tcPr>
            <w:tcW w:w="5079" w:type="dxa"/>
            <w:noWrap/>
            <w:hideMark/>
          </w:tcPr>
          <w:p w14:paraId="58F1A609" w14:textId="77777777" w:rsidR="00752CAB" w:rsidRPr="00752CAB" w:rsidRDefault="00752CAB" w:rsidP="00752CAB">
            <w:pPr>
              <w:jc w:val="both"/>
            </w:pPr>
            <w:r w:rsidRPr="00752CAB">
              <w:t>State of Washington</w:t>
            </w:r>
          </w:p>
        </w:tc>
        <w:tc>
          <w:tcPr>
            <w:tcW w:w="2624" w:type="dxa"/>
            <w:noWrap/>
            <w:hideMark/>
          </w:tcPr>
          <w:p w14:paraId="497B92F1" w14:textId="7F208D14" w:rsidR="00752CAB" w:rsidRPr="00752CAB" w:rsidRDefault="00752CAB" w:rsidP="00752CAB">
            <w:pPr>
              <w:jc w:val="both"/>
            </w:pPr>
            <w:r w:rsidRPr="00752CAB">
              <w:t>92</w:t>
            </w:r>
            <w:r w:rsidR="002835A6">
              <w:t>,</w:t>
            </w:r>
            <w:r w:rsidRPr="00752CAB">
              <w:t>403</w:t>
            </w:r>
          </w:p>
        </w:tc>
        <w:tc>
          <w:tcPr>
            <w:tcW w:w="5079" w:type="dxa"/>
            <w:noWrap/>
            <w:hideMark/>
          </w:tcPr>
          <w:p w14:paraId="24C10211" w14:textId="77777777" w:rsidR="00752CAB" w:rsidRPr="00752CAB" w:rsidRDefault="00752CAB" w:rsidP="00752CAB">
            <w:pPr>
              <w:jc w:val="both"/>
            </w:pPr>
            <w:r w:rsidRPr="00752CAB">
              <w:t>Banca D'Italia</w:t>
            </w:r>
          </w:p>
        </w:tc>
        <w:tc>
          <w:tcPr>
            <w:tcW w:w="2624" w:type="dxa"/>
            <w:noWrap/>
            <w:hideMark/>
          </w:tcPr>
          <w:p w14:paraId="1B7909D7" w14:textId="77777777" w:rsidR="00752CAB" w:rsidRPr="00752CAB" w:rsidRDefault="00752CAB" w:rsidP="00752CAB">
            <w:pPr>
              <w:jc w:val="both"/>
            </w:pPr>
            <w:r w:rsidRPr="00752CAB">
              <w:t>143</w:t>
            </w:r>
          </w:p>
        </w:tc>
      </w:tr>
      <w:tr w:rsidR="00752CAB" w:rsidRPr="00752CAB" w14:paraId="46C03AEB" w14:textId="77777777" w:rsidTr="00752CAB">
        <w:trPr>
          <w:trHeight w:val="300"/>
        </w:trPr>
        <w:tc>
          <w:tcPr>
            <w:tcW w:w="5079" w:type="dxa"/>
            <w:noWrap/>
            <w:hideMark/>
          </w:tcPr>
          <w:p w14:paraId="4A233461" w14:textId="77777777" w:rsidR="00752CAB" w:rsidRPr="00752CAB" w:rsidRDefault="00752CAB" w:rsidP="00752CAB">
            <w:pPr>
              <w:jc w:val="both"/>
            </w:pPr>
            <w:r w:rsidRPr="00752CAB">
              <w:t>City of New York</w:t>
            </w:r>
          </w:p>
        </w:tc>
        <w:tc>
          <w:tcPr>
            <w:tcW w:w="2624" w:type="dxa"/>
            <w:noWrap/>
            <w:hideMark/>
          </w:tcPr>
          <w:p w14:paraId="439D3FA9" w14:textId="1ED1273D" w:rsidR="00752CAB" w:rsidRPr="00752CAB" w:rsidRDefault="00752CAB" w:rsidP="00752CAB">
            <w:pPr>
              <w:jc w:val="both"/>
            </w:pPr>
            <w:r w:rsidRPr="00752CAB">
              <w:t>86</w:t>
            </w:r>
            <w:r w:rsidR="002835A6">
              <w:t>,</w:t>
            </w:r>
            <w:r w:rsidRPr="00752CAB">
              <w:t>365</w:t>
            </w:r>
          </w:p>
        </w:tc>
        <w:tc>
          <w:tcPr>
            <w:tcW w:w="5079" w:type="dxa"/>
            <w:noWrap/>
            <w:hideMark/>
          </w:tcPr>
          <w:p w14:paraId="02A008BF" w14:textId="77777777" w:rsidR="00752CAB" w:rsidRPr="00752CAB" w:rsidRDefault="00752CAB" w:rsidP="00752CAB">
            <w:pPr>
              <w:jc w:val="both"/>
            </w:pPr>
            <w:r w:rsidRPr="00752CAB">
              <w:t>UK Parliament Select Committee Publications</w:t>
            </w:r>
          </w:p>
        </w:tc>
        <w:tc>
          <w:tcPr>
            <w:tcW w:w="2624" w:type="dxa"/>
            <w:noWrap/>
            <w:hideMark/>
          </w:tcPr>
          <w:p w14:paraId="507C2C67" w14:textId="77777777" w:rsidR="00752CAB" w:rsidRPr="00752CAB" w:rsidRDefault="00752CAB" w:rsidP="00752CAB">
            <w:pPr>
              <w:jc w:val="both"/>
            </w:pPr>
            <w:r w:rsidRPr="00752CAB">
              <w:t>126</w:t>
            </w:r>
          </w:p>
        </w:tc>
      </w:tr>
      <w:tr w:rsidR="00752CAB" w:rsidRPr="00752CAB" w14:paraId="5DA80B14" w14:textId="77777777" w:rsidTr="00752CAB">
        <w:trPr>
          <w:trHeight w:val="300"/>
        </w:trPr>
        <w:tc>
          <w:tcPr>
            <w:tcW w:w="15406" w:type="dxa"/>
            <w:gridSpan w:val="4"/>
            <w:noWrap/>
            <w:hideMark/>
          </w:tcPr>
          <w:p w14:paraId="57A12F7F" w14:textId="77777777" w:rsidR="00752CAB" w:rsidRPr="00752CAB" w:rsidRDefault="00752CAB" w:rsidP="00AB2EF8">
            <w:pPr>
              <w:jc w:val="center"/>
            </w:pPr>
            <w:r w:rsidRPr="00752CAB">
              <w:t>IGO</w:t>
            </w:r>
          </w:p>
        </w:tc>
      </w:tr>
      <w:tr w:rsidR="00752CAB" w:rsidRPr="00752CAB" w14:paraId="538471D9" w14:textId="77777777" w:rsidTr="00752CAB">
        <w:trPr>
          <w:trHeight w:val="300"/>
        </w:trPr>
        <w:tc>
          <w:tcPr>
            <w:tcW w:w="5079" w:type="dxa"/>
            <w:noWrap/>
            <w:hideMark/>
          </w:tcPr>
          <w:p w14:paraId="12BDE658" w14:textId="77777777" w:rsidR="00752CAB" w:rsidRPr="00752CAB" w:rsidRDefault="00752CAB" w:rsidP="00752CAB">
            <w:pPr>
              <w:jc w:val="both"/>
            </w:pPr>
            <w:r w:rsidRPr="00752CAB">
              <w:t>World Health Organization</w:t>
            </w:r>
          </w:p>
        </w:tc>
        <w:tc>
          <w:tcPr>
            <w:tcW w:w="2624" w:type="dxa"/>
            <w:noWrap/>
            <w:hideMark/>
          </w:tcPr>
          <w:p w14:paraId="1A3A7CE9" w14:textId="06FF7134" w:rsidR="00752CAB" w:rsidRPr="00752CAB" w:rsidRDefault="00752CAB" w:rsidP="00752CAB">
            <w:pPr>
              <w:jc w:val="both"/>
            </w:pPr>
            <w:r w:rsidRPr="00752CAB">
              <w:t>212</w:t>
            </w:r>
            <w:r w:rsidR="002835A6">
              <w:t>,</w:t>
            </w:r>
            <w:r w:rsidRPr="00752CAB">
              <w:t>326</w:t>
            </w:r>
          </w:p>
        </w:tc>
        <w:tc>
          <w:tcPr>
            <w:tcW w:w="5079" w:type="dxa"/>
            <w:noWrap/>
            <w:hideMark/>
          </w:tcPr>
          <w:p w14:paraId="50D6C04C" w14:textId="77777777" w:rsidR="00752CAB" w:rsidRPr="00752CAB" w:rsidRDefault="00752CAB" w:rsidP="00752CAB">
            <w:pPr>
              <w:jc w:val="both"/>
            </w:pPr>
            <w:r w:rsidRPr="00752CAB">
              <w:t>OECD</w:t>
            </w:r>
          </w:p>
        </w:tc>
        <w:tc>
          <w:tcPr>
            <w:tcW w:w="2624" w:type="dxa"/>
            <w:noWrap/>
            <w:hideMark/>
          </w:tcPr>
          <w:p w14:paraId="599C12A7" w14:textId="7E9E6798" w:rsidR="00752CAB" w:rsidRPr="00752CAB" w:rsidRDefault="00752CAB" w:rsidP="00752CAB">
            <w:pPr>
              <w:jc w:val="both"/>
            </w:pPr>
            <w:r w:rsidRPr="00752CAB">
              <w:t>1</w:t>
            </w:r>
            <w:r w:rsidR="002835A6">
              <w:t>,</w:t>
            </w:r>
            <w:r w:rsidRPr="00752CAB">
              <w:t>674</w:t>
            </w:r>
          </w:p>
        </w:tc>
      </w:tr>
      <w:tr w:rsidR="00752CAB" w:rsidRPr="00752CAB" w14:paraId="0AABA431" w14:textId="77777777" w:rsidTr="00752CAB">
        <w:trPr>
          <w:trHeight w:val="300"/>
        </w:trPr>
        <w:tc>
          <w:tcPr>
            <w:tcW w:w="5079" w:type="dxa"/>
            <w:noWrap/>
            <w:hideMark/>
          </w:tcPr>
          <w:p w14:paraId="1B10823A" w14:textId="77777777" w:rsidR="00752CAB" w:rsidRPr="00752CAB" w:rsidRDefault="00752CAB" w:rsidP="00752CAB">
            <w:pPr>
              <w:jc w:val="both"/>
            </w:pPr>
            <w:r w:rsidRPr="00752CAB">
              <w:t>UNESCO</w:t>
            </w:r>
          </w:p>
        </w:tc>
        <w:tc>
          <w:tcPr>
            <w:tcW w:w="2624" w:type="dxa"/>
            <w:noWrap/>
            <w:hideMark/>
          </w:tcPr>
          <w:p w14:paraId="6360B03A" w14:textId="10A68201" w:rsidR="00752CAB" w:rsidRPr="00752CAB" w:rsidRDefault="00752CAB" w:rsidP="00752CAB">
            <w:pPr>
              <w:jc w:val="both"/>
            </w:pPr>
            <w:r w:rsidRPr="00752CAB">
              <w:t>48</w:t>
            </w:r>
            <w:r w:rsidR="002835A6">
              <w:t>,</w:t>
            </w:r>
            <w:r w:rsidRPr="00752CAB">
              <w:t>754</w:t>
            </w:r>
          </w:p>
        </w:tc>
        <w:tc>
          <w:tcPr>
            <w:tcW w:w="5079" w:type="dxa"/>
            <w:noWrap/>
            <w:hideMark/>
          </w:tcPr>
          <w:p w14:paraId="0F559403" w14:textId="77777777" w:rsidR="00752CAB" w:rsidRPr="00752CAB" w:rsidRDefault="00752CAB" w:rsidP="00752CAB">
            <w:pPr>
              <w:jc w:val="both"/>
            </w:pPr>
            <w:r w:rsidRPr="00752CAB">
              <w:t>World Bank</w:t>
            </w:r>
          </w:p>
        </w:tc>
        <w:tc>
          <w:tcPr>
            <w:tcW w:w="2624" w:type="dxa"/>
            <w:noWrap/>
            <w:hideMark/>
          </w:tcPr>
          <w:p w14:paraId="611C02FE" w14:textId="54849D96" w:rsidR="00752CAB" w:rsidRPr="00752CAB" w:rsidRDefault="00752CAB" w:rsidP="00752CAB">
            <w:pPr>
              <w:jc w:val="both"/>
            </w:pPr>
            <w:r w:rsidRPr="00752CAB">
              <w:t>1</w:t>
            </w:r>
            <w:r w:rsidR="002835A6">
              <w:t>,</w:t>
            </w:r>
            <w:r w:rsidRPr="00752CAB">
              <w:t>165</w:t>
            </w:r>
          </w:p>
        </w:tc>
      </w:tr>
      <w:tr w:rsidR="00752CAB" w:rsidRPr="00752CAB" w14:paraId="5871468A" w14:textId="77777777" w:rsidTr="00752CAB">
        <w:trPr>
          <w:trHeight w:val="300"/>
        </w:trPr>
        <w:tc>
          <w:tcPr>
            <w:tcW w:w="5079" w:type="dxa"/>
            <w:noWrap/>
            <w:hideMark/>
          </w:tcPr>
          <w:p w14:paraId="75C69E13" w14:textId="77777777" w:rsidR="00752CAB" w:rsidRPr="00752CAB" w:rsidRDefault="00752CAB" w:rsidP="00752CAB">
            <w:pPr>
              <w:jc w:val="both"/>
            </w:pPr>
            <w:r w:rsidRPr="00752CAB">
              <w:t>Organization for Security and Co-operation in Europe</w:t>
            </w:r>
          </w:p>
        </w:tc>
        <w:tc>
          <w:tcPr>
            <w:tcW w:w="2624" w:type="dxa"/>
            <w:noWrap/>
            <w:hideMark/>
          </w:tcPr>
          <w:p w14:paraId="5FAB3A88" w14:textId="5ED616FC" w:rsidR="00752CAB" w:rsidRPr="00752CAB" w:rsidRDefault="00752CAB" w:rsidP="00752CAB">
            <w:pPr>
              <w:jc w:val="both"/>
            </w:pPr>
            <w:r w:rsidRPr="00752CAB">
              <w:t>32</w:t>
            </w:r>
            <w:r w:rsidR="002835A6">
              <w:t>,</w:t>
            </w:r>
            <w:r w:rsidRPr="00752CAB">
              <w:t>143</w:t>
            </w:r>
          </w:p>
        </w:tc>
        <w:tc>
          <w:tcPr>
            <w:tcW w:w="5079" w:type="dxa"/>
            <w:noWrap/>
            <w:hideMark/>
          </w:tcPr>
          <w:p w14:paraId="46F16885" w14:textId="77777777" w:rsidR="00752CAB" w:rsidRPr="00752CAB" w:rsidRDefault="00752CAB" w:rsidP="00752CAB">
            <w:pPr>
              <w:jc w:val="both"/>
            </w:pPr>
            <w:r w:rsidRPr="00752CAB">
              <w:t>Inter-American Development Bank</w:t>
            </w:r>
          </w:p>
        </w:tc>
        <w:tc>
          <w:tcPr>
            <w:tcW w:w="2624" w:type="dxa"/>
            <w:noWrap/>
            <w:hideMark/>
          </w:tcPr>
          <w:p w14:paraId="36438C7C" w14:textId="77777777" w:rsidR="00752CAB" w:rsidRPr="00752CAB" w:rsidRDefault="00752CAB" w:rsidP="00752CAB">
            <w:pPr>
              <w:jc w:val="both"/>
            </w:pPr>
            <w:r w:rsidRPr="00752CAB">
              <w:t>505</w:t>
            </w:r>
          </w:p>
        </w:tc>
      </w:tr>
      <w:tr w:rsidR="00752CAB" w:rsidRPr="00752CAB" w14:paraId="135BD496" w14:textId="77777777" w:rsidTr="00752CAB">
        <w:trPr>
          <w:trHeight w:val="300"/>
        </w:trPr>
        <w:tc>
          <w:tcPr>
            <w:tcW w:w="5079" w:type="dxa"/>
            <w:noWrap/>
            <w:hideMark/>
          </w:tcPr>
          <w:p w14:paraId="0CABFFA4" w14:textId="77777777" w:rsidR="00752CAB" w:rsidRPr="00752CAB" w:rsidRDefault="00752CAB" w:rsidP="00752CAB">
            <w:pPr>
              <w:jc w:val="both"/>
            </w:pPr>
            <w:r w:rsidRPr="00752CAB">
              <w:t>World Bank</w:t>
            </w:r>
          </w:p>
        </w:tc>
        <w:tc>
          <w:tcPr>
            <w:tcW w:w="2624" w:type="dxa"/>
            <w:noWrap/>
            <w:hideMark/>
          </w:tcPr>
          <w:p w14:paraId="3D7AF272" w14:textId="563CAB58" w:rsidR="00752CAB" w:rsidRPr="00752CAB" w:rsidRDefault="00752CAB" w:rsidP="00752CAB">
            <w:pPr>
              <w:jc w:val="both"/>
            </w:pPr>
            <w:r w:rsidRPr="00752CAB">
              <w:t>31</w:t>
            </w:r>
            <w:r w:rsidR="002835A6">
              <w:t>,</w:t>
            </w:r>
            <w:r w:rsidRPr="00752CAB">
              <w:t>991</w:t>
            </w:r>
          </w:p>
        </w:tc>
        <w:tc>
          <w:tcPr>
            <w:tcW w:w="5079" w:type="dxa"/>
            <w:noWrap/>
            <w:hideMark/>
          </w:tcPr>
          <w:p w14:paraId="30B3DE46" w14:textId="77777777" w:rsidR="00752CAB" w:rsidRPr="00752CAB" w:rsidRDefault="00752CAB" w:rsidP="00752CAB">
            <w:pPr>
              <w:jc w:val="both"/>
            </w:pPr>
            <w:r w:rsidRPr="00752CAB">
              <w:t>World Health Organization</w:t>
            </w:r>
          </w:p>
        </w:tc>
        <w:tc>
          <w:tcPr>
            <w:tcW w:w="2624" w:type="dxa"/>
            <w:noWrap/>
            <w:hideMark/>
          </w:tcPr>
          <w:p w14:paraId="7F62FB9E" w14:textId="77777777" w:rsidR="00752CAB" w:rsidRPr="00752CAB" w:rsidRDefault="00752CAB" w:rsidP="00752CAB">
            <w:pPr>
              <w:jc w:val="both"/>
            </w:pPr>
            <w:r w:rsidRPr="00752CAB">
              <w:t>421</w:t>
            </w:r>
          </w:p>
        </w:tc>
      </w:tr>
      <w:tr w:rsidR="00752CAB" w:rsidRPr="00752CAB" w14:paraId="07565097" w14:textId="77777777" w:rsidTr="00752CAB">
        <w:trPr>
          <w:trHeight w:val="300"/>
        </w:trPr>
        <w:tc>
          <w:tcPr>
            <w:tcW w:w="5079" w:type="dxa"/>
            <w:noWrap/>
            <w:hideMark/>
          </w:tcPr>
          <w:p w14:paraId="44F73F74" w14:textId="77777777" w:rsidR="00752CAB" w:rsidRPr="00752CAB" w:rsidRDefault="00752CAB" w:rsidP="00752CAB">
            <w:pPr>
              <w:jc w:val="both"/>
            </w:pPr>
            <w:r w:rsidRPr="00752CAB">
              <w:t>Food and Agriculture Organization of the United Nations</w:t>
            </w:r>
          </w:p>
        </w:tc>
        <w:tc>
          <w:tcPr>
            <w:tcW w:w="2624" w:type="dxa"/>
            <w:noWrap/>
            <w:hideMark/>
          </w:tcPr>
          <w:p w14:paraId="5C4A317C" w14:textId="70863B16" w:rsidR="00752CAB" w:rsidRPr="00752CAB" w:rsidRDefault="00752CAB" w:rsidP="00752CAB">
            <w:pPr>
              <w:jc w:val="both"/>
            </w:pPr>
            <w:r w:rsidRPr="00752CAB">
              <w:t>27</w:t>
            </w:r>
            <w:r w:rsidR="002835A6">
              <w:t>,</w:t>
            </w:r>
            <w:r w:rsidRPr="00752CAB">
              <w:t>069</w:t>
            </w:r>
          </w:p>
        </w:tc>
        <w:tc>
          <w:tcPr>
            <w:tcW w:w="5079" w:type="dxa"/>
            <w:noWrap/>
            <w:hideMark/>
          </w:tcPr>
          <w:p w14:paraId="255954EA" w14:textId="77777777" w:rsidR="00752CAB" w:rsidRPr="00752CAB" w:rsidRDefault="00752CAB" w:rsidP="00752CAB">
            <w:pPr>
              <w:jc w:val="both"/>
            </w:pPr>
            <w:r w:rsidRPr="00752CAB">
              <w:t>UNESCO</w:t>
            </w:r>
          </w:p>
        </w:tc>
        <w:tc>
          <w:tcPr>
            <w:tcW w:w="2624" w:type="dxa"/>
            <w:noWrap/>
            <w:hideMark/>
          </w:tcPr>
          <w:p w14:paraId="6F1B59F0" w14:textId="77777777" w:rsidR="00752CAB" w:rsidRPr="00752CAB" w:rsidRDefault="00752CAB" w:rsidP="00752CAB">
            <w:pPr>
              <w:jc w:val="both"/>
            </w:pPr>
            <w:r w:rsidRPr="00752CAB">
              <w:t>206</w:t>
            </w:r>
          </w:p>
        </w:tc>
      </w:tr>
      <w:tr w:rsidR="00752CAB" w:rsidRPr="00752CAB" w14:paraId="355197B7" w14:textId="77777777" w:rsidTr="00752CAB">
        <w:trPr>
          <w:trHeight w:val="300"/>
        </w:trPr>
        <w:tc>
          <w:tcPr>
            <w:tcW w:w="5079" w:type="dxa"/>
            <w:noWrap/>
            <w:hideMark/>
          </w:tcPr>
          <w:p w14:paraId="155E62D6" w14:textId="77777777" w:rsidR="00752CAB" w:rsidRPr="00752CAB" w:rsidRDefault="00752CAB" w:rsidP="00752CAB">
            <w:pPr>
              <w:jc w:val="both"/>
            </w:pPr>
            <w:r w:rsidRPr="00752CAB">
              <w:t>OECD</w:t>
            </w:r>
          </w:p>
        </w:tc>
        <w:tc>
          <w:tcPr>
            <w:tcW w:w="2624" w:type="dxa"/>
            <w:noWrap/>
            <w:hideMark/>
          </w:tcPr>
          <w:p w14:paraId="61026523" w14:textId="6895BF50" w:rsidR="00752CAB" w:rsidRPr="00752CAB" w:rsidRDefault="00752CAB" w:rsidP="00752CAB">
            <w:pPr>
              <w:jc w:val="both"/>
            </w:pPr>
            <w:r w:rsidRPr="00752CAB">
              <w:t>24</w:t>
            </w:r>
            <w:r w:rsidR="002835A6">
              <w:t>,</w:t>
            </w:r>
            <w:r w:rsidRPr="00752CAB">
              <w:t>198</w:t>
            </w:r>
          </w:p>
        </w:tc>
        <w:tc>
          <w:tcPr>
            <w:tcW w:w="5079" w:type="dxa"/>
            <w:noWrap/>
            <w:hideMark/>
          </w:tcPr>
          <w:p w14:paraId="33EECECD" w14:textId="77777777" w:rsidR="00752CAB" w:rsidRPr="00752CAB" w:rsidRDefault="00752CAB" w:rsidP="00752CAB">
            <w:pPr>
              <w:jc w:val="both"/>
            </w:pPr>
            <w:r w:rsidRPr="00752CAB">
              <w:t>Asian Development Bank</w:t>
            </w:r>
          </w:p>
        </w:tc>
        <w:tc>
          <w:tcPr>
            <w:tcW w:w="2624" w:type="dxa"/>
            <w:noWrap/>
            <w:hideMark/>
          </w:tcPr>
          <w:p w14:paraId="6B805534" w14:textId="77777777" w:rsidR="00752CAB" w:rsidRPr="00752CAB" w:rsidRDefault="00752CAB" w:rsidP="00752CAB">
            <w:pPr>
              <w:jc w:val="both"/>
            </w:pPr>
            <w:r w:rsidRPr="00752CAB">
              <w:t>177</w:t>
            </w:r>
          </w:p>
        </w:tc>
      </w:tr>
      <w:tr w:rsidR="00752CAB" w:rsidRPr="00752CAB" w14:paraId="5EA3A80A" w14:textId="77777777" w:rsidTr="00752CAB">
        <w:trPr>
          <w:trHeight w:val="300"/>
        </w:trPr>
        <w:tc>
          <w:tcPr>
            <w:tcW w:w="5079" w:type="dxa"/>
            <w:noWrap/>
            <w:hideMark/>
          </w:tcPr>
          <w:p w14:paraId="163609A5" w14:textId="77777777" w:rsidR="00752CAB" w:rsidRPr="00752CAB" w:rsidRDefault="00752CAB" w:rsidP="00752CAB">
            <w:pPr>
              <w:jc w:val="both"/>
            </w:pPr>
            <w:r w:rsidRPr="00752CAB">
              <w:t>United Nations</w:t>
            </w:r>
          </w:p>
        </w:tc>
        <w:tc>
          <w:tcPr>
            <w:tcW w:w="2624" w:type="dxa"/>
            <w:noWrap/>
            <w:hideMark/>
          </w:tcPr>
          <w:p w14:paraId="321CC154" w14:textId="53D957DF" w:rsidR="00752CAB" w:rsidRPr="00752CAB" w:rsidRDefault="00752CAB" w:rsidP="00752CAB">
            <w:pPr>
              <w:jc w:val="both"/>
            </w:pPr>
            <w:r w:rsidRPr="00752CAB">
              <w:t>23</w:t>
            </w:r>
            <w:r w:rsidR="002835A6">
              <w:t>,</w:t>
            </w:r>
            <w:r w:rsidRPr="00752CAB">
              <w:t>361</w:t>
            </w:r>
          </w:p>
        </w:tc>
        <w:tc>
          <w:tcPr>
            <w:tcW w:w="5079" w:type="dxa"/>
            <w:noWrap/>
            <w:hideMark/>
          </w:tcPr>
          <w:p w14:paraId="14318ACF" w14:textId="77777777" w:rsidR="00752CAB" w:rsidRPr="00752CAB" w:rsidRDefault="00752CAB" w:rsidP="00752CAB">
            <w:pPr>
              <w:jc w:val="both"/>
            </w:pPr>
            <w:r w:rsidRPr="00752CAB">
              <w:t>International Monetary Fund</w:t>
            </w:r>
          </w:p>
        </w:tc>
        <w:tc>
          <w:tcPr>
            <w:tcW w:w="2624" w:type="dxa"/>
            <w:noWrap/>
            <w:hideMark/>
          </w:tcPr>
          <w:p w14:paraId="4BA6F221" w14:textId="77777777" w:rsidR="00752CAB" w:rsidRPr="00752CAB" w:rsidRDefault="00752CAB" w:rsidP="00752CAB">
            <w:pPr>
              <w:jc w:val="both"/>
            </w:pPr>
            <w:r w:rsidRPr="00752CAB">
              <w:t>165</w:t>
            </w:r>
          </w:p>
        </w:tc>
      </w:tr>
      <w:tr w:rsidR="00752CAB" w:rsidRPr="00752CAB" w14:paraId="150AE37D" w14:textId="77777777" w:rsidTr="00752CAB">
        <w:trPr>
          <w:trHeight w:val="300"/>
        </w:trPr>
        <w:tc>
          <w:tcPr>
            <w:tcW w:w="5079" w:type="dxa"/>
            <w:noWrap/>
            <w:hideMark/>
          </w:tcPr>
          <w:p w14:paraId="47726F7C" w14:textId="77777777" w:rsidR="00752CAB" w:rsidRPr="00752CAB" w:rsidRDefault="00752CAB" w:rsidP="00752CAB">
            <w:pPr>
              <w:jc w:val="both"/>
            </w:pPr>
            <w:r w:rsidRPr="00752CAB">
              <w:t>International Monetary Fund</w:t>
            </w:r>
          </w:p>
        </w:tc>
        <w:tc>
          <w:tcPr>
            <w:tcW w:w="2624" w:type="dxa"/>
            <w:noWrap/>
            <w:hideMark/>
          </w:tcPr>
          <w:p w14:paraId="0C2BB873" w14:textId="540CF0DC" w:rsidR="00752CAB" w:rsidRPr="00752CAB" w:rsidRDefault="00752CAB" w:rsidP="00752CAB">
            <w:pPr>
              <w:jc w:val="both"/>
            </w:pPr>
            <w:r w:rsidRPr="00752CAB">
              <w:t>14</w:t>
            </w:r>
            <w:r w:rsidR="002835A6">
              <w:t>,</w:t>
            </w:r>
            <w:r w:rsidRPr="00752CAB">
              <w:t>318</w:t>
            </w:r>
          </w:p>
        </w:tc>
        <w:tc>
          <w:tcPr>
            <w:tcW w:w="5079" w:type="dxa"/>
            <w:noWrap/>
            <w:hideMark/>
          </w:tcPr>
          <w:p w14:paraId="044FC370" w14:textId="77777777" w:rsidR="00752CAB" w:rsidRPr="00752CAB" w:rsidRDefault="00752CAB" w:rsidP="00752CAB">
            <w:pPr>
              <w:jc w:val="both"/>
            </w:pPr>
            <w:r w:rsidRPr="00752CAB">
              <w:t>United Nations CEPAL</w:t>
            </w:r>
          </w:p>
        </w:tc>
        <w:tc>
          <w:tcPr>
            <w:tcW w:w="2624" w:type="dxa"/>
            <w:noWrap/>
            <w:hideMark/>
          </w:tcPr>
          <w:p w14:paraId="030940E3" w14:textId="77777777" w:rsidR="00752CAB" w:rsidRPr="00752CAB" w:rsidRDefault="00752CAB" w:rsidP="00752CAB">
            <w:pPr>
              <w:jc w:val="both"/>
            </w:pPr>
            <w:r w:rsidRPr="00752CAB">
              <w:t>142</w:t>
            </w:r>
          </w:p>
        </w:tc>
      </w:tr>
      <w:tr w:rsidR="00752CAB" w:rsidRPr="00752CAB" w14:paraId="5CDD4FFB" w14:textId="77777777" w:rsidTr="00752CAB">
        <w:trPr>
          <w:trHeight w:val="300"/>
        </w:trPr>
        <w:tc>
          <w:tcPr>
            <w:tcW w:w="5079" w:type="dxa"/>
            <w:noWrap/>
            <w:hideMark/>
          </w:tcPr>
          <w:p w14:paraId="5DC5ED88" w14:textId="77777777" w:rsidR="00752CAB" w:rsidRPr="00752CAB" w:rsidRDefault="00752CAB" w:rsidP="00752CAB">
            <w:pPr>
              <w:jc w:val="both"/>
            </w:pPr>
            <w:r w:rsidRPr="00752CAB">
              <w:t>Inter-American Development Bank</w:t>
            </w:r>
          </w:p>
        </w:tc>
        <w:tc>
          <w:tcPr>
            <w:tcW w:w="2624" w:type="dxa"/>
            <w:noWrap/>
            <w:hideMark/>
          </w:tcPr>
          <w:p w14:paraId="0D3650F4" w14:textId="0F810283" w:rsidR="00752CAB" w:rsidRPr="00752CAB" w:rsidRDefault="00752CAB" w:rsidP="00752CAB">
            <w:pPr>
              <w:jc w:val="both"/>
            </w:pPr>
            <w:r w:rsidRPr="00752CAB">
              <w:t>13</w:t>
            </w:r>
            <w:r w:rsidR="002835A6">
              <w:t>,</w:t>
            </w:r>
            <w:r w:rsidRPr="00752CAB">
              <w:t>398</w:t>
            </w:r>
          </w:p>
        </w:tc>
        <w:tc>
          <w:tcPr>
            <w:tcW w:w="5079" w:type="dxa"/>
            <w:noWrap/>
            <w:hideMark/>
          </w:tcPr>
          <w:p w14:paraId="77CC4C3F" w14:textId="77777777" w:rsidR="00752CAB" w:rsidRPr="00752CAB" w:rsidRDefault="00752CAB" w:rsidP="00752CAB">
            <w:pPr>
              <w:jc w:val="both"/>
            </w:pPr>
            <w:r w:rsidRPr="00752CAB">
              <w:t>United Nations Environment Programme</w:t>
            </w:r>
          </w:p>
        </w:tc>
        <w:tc>
          <w:tcPr>
            <w:tcW w:w="2624" w:type="dxa"/>
            <w:noWrap/>
            <w:hideMark/>
          </w:tcPr>
          <w:p w14:paraId="73960226" w14:textId="77777777" w:rsidR="00752CAB" w:rsidRPr="00752CAB" w:rsidRDefault="00752CAB" w:rsidP="00752CAB">
            <w:pPr>
              <w:jc w:val="both"/>
            </w:pPr>
            <w:r w:rsidRPr="00752CAB">
              <w:t>94</w:t>
            </w:r>
          </w:p>
        </w:tc>
      </w:tr>
      <w:tr w:rsidR="00752CAB" w:rsidRPr="00752CAB" w14:paraId="1E418338" w14:textId="77777777" w:rsidTr="00752CAB">
        <w:trPr>
          <w:trHeight w:val="300"/>
        </w:trPr>
        <w:tc>
          <w:tcPr>
            <w:tcW w:w="5079" w:type="dxa"/>
            <w:noWrap/>
            <w:hideMark/>
          </w:tcPr>
          <w:p w14:paraId="31524AD8" w14:textId="77777777" w:rsidR="00752CAB" w:rsidRPr="00752CAB" w:rsidRDefault="00752CAB" w:rsidP="00752CAB">
            <w:pPr>
              <w:jc w:val="both"/>
            </w:pPr>
            <w:r w:rsidRPr="00752CAB">
              <w:t>United Nations CEPAL</w:t>
            </w:r>
          </w:p>
        </w:tc>
        <w:tc>
          <w:tcPr>
            <w:tcW w:w="2624" w:type="dxa"/>
            <w:noWrap/>
            <w:hideMark/>
          </w:tcPr>
          <w:p w14:paraId="3D0E0135" w14:textId="25C6BE70" w:rsidR="00752CAB" w:rsidRPr="00752CAB" w:rsidRDefault="00752CAB" w:rsidP="00752CAB">
            <w:pPr>
              <w:jc w:val="both"/>
            </w:pPr>
            <w:r w:rsidRPr="00752CAB">
              <w:t>8</w:t>
            </w:r>
            <w:r w:rsidR="002835A6">
              <w:t>,</w:t>
            </w:r>
            <w:r w:rsidRPr="00752CAB">
              <w:t>900</w:t>
            </w:r>
          </w:p>
        </w:tc>
        <w:tc>
          <w:tcPr>
            <w:tcW w:w="5079" w:type="dxa"/>
            <w:noWrap/>
            <w:hideMark/>
          </w:tcPr>
          <w:p w14:paraId="5D5125B2" w14:textId="77777777" w:rsidR="00752CAB" w:rsidRPr="00752CAB" w:rsidRDefault="00752CAB" w:rsidP="00752CAB">
            <w:pPr>
              <w:jc w:val="both"/>
            </w:pPr>
            <w:r w:rsidRPr="00752CAB">
              <w:t>Food and Agriculture Organization of the United Nations</w:t>
            </w:r>
          </w:p>
        </w:tc>
        <w:tc>
          <w:tcPr>
            <w:tcW w:w="2624" w:type="dxa"/>
            <w:noWrap/>
            <w:hideMark/>
          </w:tcPr>
          <w:p w14:paraId="0D1FF688" w14:textId="77777777" w:rsidR="00752CAB" w:rsidRPr="00752CAB" w:rsidRDefault="00752CAB" w:rsidP="00752CAB">
            <w:pPr>
              <w:jc w:val="both"/>
            </w:pPr>
            <w:r w:rsidRPr="00752CAB">
              <w:t>92</w:t>
            </w:r>
          </w:p>
        </w:tc>
      </w:tr>
      <w:tr w:rsidR="00752CAB" w:rsidRPr="00752CAB" w14:paraId="719CC67B" w14:textId="77777777" w:rsidTr="00752CAB">
        <w:trPr>
          <w:trHeight w:val="300"/>
        </w:trPr>
        <w:tc>
          <w:tcPr>
            <w:tcW w:w="15406" w:type="dxa"/>
            <w:gridSpan w:val="4"/>
            <w:noWrap/>
            <w:hideMark/>
          </w:tcPr>
          <w:p w14:paraId="5253BD94" w14:textId="77777777" w:rsidR="00752CAB" w:rsidRPr="00752CAB" w:rsidRDefault="00752CAB" w:rsidP="00AB2EF8">
            <w:pPr>
              <w:jc w:val="center"/>
            </w:pPr>
            <w:r w:rsidRPr="00752CAB">
              <w:t>Think tank</w:t>
            </w:r>
          </w:p>
        </w:tc>
      </w:tr>
      <w:tr w:rsidR="00752CAB" w:rsidRPr="00752CAB" w14:paraId="1CB43997" w14:textId="77777777" w:rsidTr="00752CAB">
        <w:trPr>
          <w:trHeight w:val="300"/>
        </w:trPr>
        <w:tc>
          <w:tcPr>
            <w:tcW w:w="5079" w:type="dxa"/>
            <w:noWrap/>
            <w:hideMark/>
          </w:tcPr>
          <w:p w14:paraId="26775638" w14:textId="5A58671D" w:rsidR="00752CAB" w:rsidRPr="00E52DA0" w:rsidRDefault="00752CAB" w:rsidP="00752CAB">
            <w:pPr>
              <w:jc w:val="both"/>
              <w:rPr>
                <w:lang w:val="nl-NL"/>
              </w:rPr>
            </w:pPr>
            <w:r w:rsidRPr="00E52DA0">
              <w:rPr>
                <w:lang w:val="nl-NL"/>
              </w:rPr>
              <w:t>blogs.lse.ac.uk</w:t>
            </w:r>
            <w:r w:rsidR="009A66D9" w:rsidRPr="00E52DA0">
              <w:rPr>
                <w:lang w:val="nl-NL"/>
              </w:rPr>
              <w:t xml:space="preserve"> (UK)</w:t>
            </w:r>
          </w:p>
        </w:tc>
        <w:tc>
          <w:tcPr>
            <w:tcW w:w="2624" w:type="dxa"/>
            <w:noWrap/>
            <w:hideMark/>
          </w:tcPr>
          <w:p w14:paraId="4B336DCC" w14:textId="1DF925D6" w:rsidR="00752CAB" w:rsidRPr="00752CAB" w:rsidRDefault="00752CAB" w:rsidP="00752CAB">
            <w:pPr>
              <w:jc w:val="both"/>
            </w:pPr>
            <w:r w:rsidRPr="00752CAB">
              <w:t>25</w:t>
            </w:r>
            <w:r w:rsidR="002835A6">
              <w:t>,</w:t>
            </w:r>
            <w:r w:rsidRPr="00752CAB">
              <w:t>794</w:t>
            </w:r>
          </w:p>
        </w:tc>
        <w:tc>
          <w:tcPr>
            <w:tcW w:w="5079" w:type="dxa"/>
            <w:noWrap/>
            <w:hideMark/>
          </w:tcPr>
          <w:p w14:paraId="0F080194" w14:textId="33DAFAAD" w:rsidR="00752CAB" w:rsidRPr="00752CAB" w:rsidRDefault="00752CAB" w:rsidP="00752CAB">
            <w:pPr>
              <w:jc w:val="both"/>
            </w:pPr>
            <w:r w:rsidRPr="00752CAB">
              <w:t>IZA Institute of Labor Economics</w:t>
            </w:r>
            <w:r w:rsidR="009A66D9">
              <w:t xml:space="preserve"> (Germany)</w:t>
            </w:r>
          </w:p>
        </w:tc>
        <w:tc>
          <w:tcPr>
            <w:tcW w:w="2624" w:type="dxa"/>
            <w:noWrap/>
            <w:hideMark/>
          </w:tcPr>
          <w:p w14:paraId="413155C5" w14:textId="00B0579D" w:rsidR="00752CAB" w:rsidRPr="00752CAB" w:rsidRDefault="00752CAB" w:rsidP="00752CAB">
            <w:pPr>
              <w:jc w:val="both"/>
            </w:pPr>
            <w:r w:rsidRPr="00752CAB">
              <w:t>1</w:t>
            </w:r>
            <w:r w:rsidR="002835A6">
              <w:t>,</w:t>
            </w:r>
            <w:r w:rsidRPr="00752CAB">
              <w:t>358</w:t>
            </w:r>
          </w:p>
        </w:tc>
      </w:tr>
      <w:tr w:rsidR="00752CAB" w:rsidRPr="00752CAB" w14:paraId="41DE2CCD" w14:textId="77777777" w:rsidTr="00752CAB">
        <w:trPr>
          <w:trHeight w:val="300"/>
        </w:trPr>
        <w:tc>
          <w:tcPr>
            <w:tcW w:w="5079" w:type="dxa"/>
            <w:noWrap/>
            <w:hideMark/>
          </w:tcPr>
          <w:p w14:paraId="49121339" w14:textId="6DC0A658" w:rsidR="00752CAB" w:rsidRPr="00752CAB" w:rsidRDefault="009A66D9" w:rsidP="00752CAB">
            <w:pPr>
              <w:jc w:val="both"/>
            </w:pPr>
            <w:r w:rsidRPr="009A66D9">
              <w:t xml:space="preserve">National Bureau of Economic Research </w:t>
            </w:r>
            <w:r>
              <w:t>(US)</w:t>
            </w:r>
          </w:p>
        </w:tc>
        <w:tc>
          <w:tcPr>
            <w:tcW w:w="2624" w:type="dxa"/>
            <w:noWrap/>
            <w:hideMark/>
          </w:tcPr>
          <w:p w14:paraId="5578427B" w14:textId="7A2D40B4" w:rsidR="00752CAB" w:rsidRPr="00752CAB" w:rsidRDefault="00752CAB" w:rsidP="00752CAB">
            <w:pPr>
              <w:jc w:val="both"/>
            </w:pPr>
            <w:r w:rsidRPr="00752CAB">
              <w:t>21</w:t>
            </w:r>
            <w:r w:rsidR="002835A6">
              <w:t>,</w:t>
            </w:r>
            <w:r w:rsidRPr="00752CAB">
              <w:t>033</w:t>
            </w:r>
          </w:p>
        </w:tc>
        <w:tc>
          <w:tcPr>
            <w:tcW w:w="5079" w:type="dxa"/>
            <w:noWrap/>
            <w:hideMark/>
          </w:tcPr>
          <w:p w14:paraId="019B3B2F" w14:textId="61665BB6" w:rsidR="00752CAB" w:rsidRPr="00752CAB" w:rsidRDefault="009A66D9" w:rsidP="00752CAB">
            <w:pPr>
              <w:jc w:val="both"/>
            </w:pPr>
            <w:r w:rsidRPr="009A66D9">
              <w:t>National Bureau of Economic Research</w:t>
            </w:r>
            <w:r>
              <w:t xml:space="preserve"> (US)</w:t>
            </w:r>
          </w:p>
        </w:tc>
        <w:tc>
          <w:tcPr>
            <w:tcW w:w="2624" w:type="dxa"/>
            <w:noWrap/>
            <w:hideMark/>
          </w:tcPr>
          <w:p w14:paraId="3B3A2D07" w14:textId="77777777" w:rsidR="00752CAB" w:rsidRPr="00752CAB" w:rsidRDefault="00752CAB" w:rsidP="00752CAB">
            <w:pPr>
              <w:jc w:val="both"/>
            </w:pPr>
            <w:r w:rsidRPr="00752CAB">
              <w:t>999</w:t>
            </w:r>
          </w:p>
        </w:tc>
      </w:tr>
      <w:tr w:rsidR="00752CAB" w:rsidRPr="00752CAB" w14:paraId="58548164" w14:textId="77777777" w:rsidTr="00752CAB">
        <w:trPr>
          <w:trHeight w:val="300"/>
        </w:trPr>
        <w:tc>
          <w:tcPr>
            <w:tcW w:w="5079" w:type="dxa"/>
            <w:noWrap/>
            <w:hideMark/>
          </w:tcPr>
          <w:p w14:paraId="03698FD0" w14:textId="1E7B347E" w:rsidR="00752CAB" w:rsidRPr="00752CAB" w:rsidRDefault="00752CAB" w:rsidP="00752CAB">
            <w:pPr>
              <w:jc w:val="both"/>
            </w:pPr>
            <w:r w:rsidRPr="00752CAB">
              <w:t>Brookings Institute</w:t>
            </w:r>
            <w:r w:rsidR="009A66D9">
              <w:t xml:space="preserve"> (US)</w:t>
            </w:r>
          </w:p>
        </w:tc>
        <w:tc>
          <w:tcPr>
            <w:tcW w:w="2624" w:type="dxa"/>
            <w:noWrap/>
            <w:hideMark/>
          </w:tcPr>
          <w:p w14:paraId="03BEE227" w14:textId="351841E9" w:rsidR="00752CAB" w:rsidRPr="00752CAB" w:rsidRDefault="00752CAB" w:rsidP="00752CAB">
            <w:pPr>
              <w:jc w:val="both"/>
            </w:pPr>
            <w:r w:rsidRPr="00752CAB">
              <w:t>18</w:t>
            </w:r>
            <w:r w:rsidR="002835A6">
              <w:t>,</w:t>
            </w:r>
            <w:r w:rsidRPr="00752CAB">
              <w:t>283</w:t>
            </w:r>
          </w:p>
        </w:tc>
        <w:tc>
          <w:tcPr>
            <w:tcW w:w="5079" w:type="dxa"/>
            <w:noWrap/>
            <w:hideMark/>
          </w:tcPr>
          <w:p w14:paraId="4CF69F80" w14:textId="77777777" w:rsidR="00752CAB" w:rsidRPr="00752CAB" w:rsidRDefault="00752CAB" w:rsidP="00752CAB">
            <w:pPr>
              <w:jc w:val="both"/>
            </w:pPr>
            <w:r w:rsidRPr="00752CAB">
              <w:t>RAND Corporation</w:t>
            </w:r>
          </w:p>
        </w:tc>
        <w:tc>
          <w:tcPr>
            <w:tcW w:w="2624" w:type="dxa"/>
            <w:noWrap/>
            <w:hideMark/>
          </w:tcPr>
          <w:p w14:paraId="2C51C738" w14:textId="77777777" w:rsidR="00752CAB" w:rsidRPr="00752CAB" w:rsidRDefault="00752CAB" w:rsidP="00752CAB">
            <w:pPr>
              <w:jc w:val="both"/>
            </w:pPr>
            <w:r w:rsidRPr="00752CAB">
              <w:t>537</w:t>
            </w:r>
          </w:p>
        </w:tc>
      </w:tr>
      <w:tr w:rsidR="00752CAB" w:rsidRPr="00752CAB" w14:paraId="7BC44B3E" w14:textId="77777777" w:rsidTr="00752CAB">
        <w:trPr>
          <w:trHeight w:val="300"/>
        </w:trPr>
        <w:tc>
          <w:tcPr>
            <w:tcW w:w="5079" w:type="dxa"/>
            <w:noWrap/>
            <w:hideMark/>
          </w:tcPr>
          <w:p w14:paraId="3CF4AF32" w14:textId="7938A9B0" w:rsidR="00752CAB" w:rsidRPr="00752CAB" w:rsidRDefault="00752CAB" w:rsidP="00752CAB">
            <w:pPr>
              <w:jc w:val="both"/>
            </w:pPr>
            <w:r w:rsidRPr="00752CAB">
              <w:t>International Development Research Centre</w:t>
            </w:r>
            <w:r w:rsidR="009A66D9">
              <w:t xml:space="preserve"> (Canada)</w:t>
            </w:r>
          </w:p>
        </w:tc>
        <w:tc>
          <w:tcPr>
            <w:tcW w:w="2624" w:type="dxa"/>
            <w:noWrap/>
            <w:hideMark/>
          </w:tcPr>
          <w:p w14:paraId="11F1F126" w14:textId="7EA55FAF" w:rsidR="00752CAB" w:rsidRPr="00752CAB" w:rsidRDefault="00752CAB" w:rsidP="00752CAB">
            <w:pPr>
              <w:jc w:val="both"/>
            </w:pPr>
            <w:r w:rsidRPr="00752CAB">
              <w:t>16</w:t>
            </w:r>
            <w:r w:rsidR="002835A6">
              <w:t>,</w:t>
            </w:r>
            <w:r w:rsidRPr="00752CAB">
              <w:t>700</w:t>
            </w:r>
          </w:p>
        </w:tc>
        <w:tc>
          <w:tcPr>
            <w:tcW w:w="5079" w:type="dxa"/>
            <w:noWrap/>
            <w:hideMark/>
          </w:tcPr>
          <w:p w14:paraId="09BD0C6F" w14:textId="723C3866" w:rsidR="00752CAB" w:rsidRPr="00752CAB" w:rsidRDefault="00752CAB" w:rsidP="00752CAB">
            <w:pPr>
              <w:jc w:val="both"/>
            </w:pPr>
            <w:r w:rsidRPr="00752CAB">
              <w:t>Institute of Development Studies</w:t>
            </w:r>
            <w:r w:rsidR="009A66D9">
              <w:t xml:space="preserve"> (UK)</w:t>
            </w:r>
          </w:p>
        </w:tc>
        <w:tc>
          <w:tcPr>
            <w:tcW w:w="2624" w:type="dxa"/>
            <w:noWrap/>
            <w:hideMark/>
          </w:tcPr>
          <w:p w14:paraId="3492B8B2" w14:textId="77777777" w:rsidR="00752CAB" w:rsidRPr="00752CAB" w:rsidRDefault="00752CAB" w:rsidP="00752CAB">
            <w:pPr>
              <w:jc w:val="both"/>
            </w:pPr>
            <w:r w:rsidRPr="00752CAB">
              <w:t>463</w:t>
            </w:r>
          </w:p>
        </w:tc>
      </w:tr>
      <w:tr w:rsidR="00752CAB" w:rsidRPr="00752CAB" w14:paraId="78DF53AD" w14:textId="77777777" w:rsidTr="00752CAB">
        <w:trPr>
          <w:trHeight w:val="300"/>
        </w:trPr>
        <w:tc>
          <w:tcPr>
            <w:tcW w:w="5079" w:type="dxa"/>
            <w:noWrap/>
            <w:hideMark/>
          </w:tcPr>
          <w:p w14:paraId="34878DC6" w14:textId="6A858DC7" w:rsidR="00752CAB" w:rsidRPr="00752CAB" w:rsidRDefault="00752CAB" w:rsidP="00752CAB">
            <w:pPr>
              <w:jc w:val="both"/>
            </w:pPr>
            <w:r w:rsidRPr="00752CAB">
              <w:t>IZA Institute of Labor Economics</w:t>
            </w:r>
            <w:r w:rsidR="009A66D9">
              <w:t xml:space="preserve"> (Germany)</w:t>
            </w:r>
          </w:p>
        </w:tc>
        <w:tc>
          <w:tcPr>
            <w:tcW w:w="2624" w:type="dxa"/>
            <w:noWrap/>
            <w:hideMark/>
          </w:tcPr>
          <w:p w14:paraId="4F56AF55" w14:textId="2954A6D3" w:rsidR="00752CAB" w:rsidRPr="00752CAB" w:rsidRDefault="00752CAB" w:rsidP="00752CAB">
            <w:pPr>
              <w:jc w:val="both"/>
            </w:pPr>
            <w:r w:rsidRPr="00752CAB">
              <w:t>16</w:t>
            </w:r>
            <w:r w:rsidR="002835A6">
              <w:t>,</w:t>
            </w:r>
            <w:r w:rsidRPr="00752CAB">
              <w:t>145</w:t>
            </w:r>
          </w:p>
        </w:tc>
        <w:tc>
          <w:tcPr>
            <w:tcW w:w="5079" w:type="dxa"/>
            <w:noWrap/>
            <w:hideMark/>
          </w:tcPr>
          <w:p w14:paraId="4B9137E1" w14:textId="1FD63449" w:rsidR="00752CAB" w:rsidRPr="00752CAB" w:rsidRDefault="00752CAB" w:rsidP="00752CAB">
            <w:pPr>
              <w:jc w:val="both"/>
            </w:pPr>
            <w:r w:rsidRPr="00752CAB">
              <w:t>Ifo Institute</w:t>
            </w:r>
            <w:r w:rsidR="009A66D9">
              <w:t xml:space="preserve"> for Economic Research (Germany)</w:t>
            </w:r>
          </w:p>
        </w:tc>
        <w:tc>
          <w:tcPr>
            <w:tcW w:w="2624" w:type="dxa"/>
            <w:noWrap/>
            <w:hideMark/>
          </w:tcPr>
          <w:p w14:paraId="1D199113" w14:textId="77777777" w:rsidR="00752CAB" w:rsidRPr="00752CAB" w:rsidRDefault="00752CAB" w:rsidP="00752CAB">
            <w:pPr>
              <w:jc w:val="both"/>
            </w:pPr>
            <w:r w:rsidRPr="00752CAB">
              <w:t>365</w:t>
            </w:r>
          </w:p>
        </w:tc>
      </w:tr>
      <w:tr w:rsidR="00752CAB" w:rsidRPr="00752CAB" w14:paraId="1A975C3F" w14:textId="77777777" w:rsidTr="00752CAB">
        <w:trPr>
          <w:trHeight w:val="300"/>
        </w:trPr>
        <w:tc>
          <w:tcPr>
            <w:tcW w:w="5079" w:type="dxa"/>
            <w:noWrap/>
            <w:hideMark/>
          </w:tcPr>
          <w:p w14:paraId="2A9A0285" w14:textId="32FE60EC" w:rsidR="00752CAB" w:rsidRPr="00752CAB" w:rsidRDefault="00752CAB" w:rsidP="00752CAB">
            <w:pPr>
              <w:jc w:val="both"/>
            </w:pPr>
            <w:r w:rsidRPr="00752CAB">
              <w:t>Center for Strategic and International Studies</w:t>
            </w:r>
            <w:r w:rsidR="009A66D9">
              <w:t xml:space="preserve"> (US)</w:t>
            </w:r>
          </w:p>
        </w:tc>
        <w:tc>
          <w:tcPr>
            <w:tcW w:w="2624" w:type="dxa"/>
            <w:noWrap/>
            <w:hideMark/>
          </w:tcPr>
          <w:p w14:paraId="715F66BB" w14:textId="2F90B602" w:rsidR="00752CAB" w:rsidRPr="00752CAB" w:rsidRDefault="00752CAB" w:rsidP="00752CAB">
            <w:pPr>
              <w:jc w:val="both"/>
            </w:pPr>
            <w:r w:rsidRPr="00752CAB">
              <w:t>15</w:t>
            </w:r>
            <w:r w:rsidR="002835A6">
              <w:t>,</w:t>
            </w:r>
            <w:r w:rsidRPr="00752CAB">
              <w:t>810</w:t>
            </w:r>
          </w:p>
        </w:tc>
        <w:tc>
          <w:tcPr>
            <w:tcW w:w="5079" w:type="dxa"/>
            <w:noWrap/>
            <w:hideMark/>
          </w:tcPr>
          <w:p w14:paraId="73F4F989" w14:textId="422FE48D" w:rsidR="00752CAB" w:rsidRPr="00752CAB" w:rsidRDefault="00752CAB" w:rsidP="00752CAB">
            <w:pPr>
              <w:jc w:val="both"/>
            </w:pPr>
            <w:r w:rsidRPr="00752CAB">
              <w:t>Brookings Institute</w:t>
            </w:r>
            <w:r w:rsidR="009A66D9">
              <w:t xml:space="preserve"> (US)</w:t>
            </w:r>
          </w:p>
        </w:tc>
        <w:tc>
          <w:tcPr>
            <w:tcW w:w="2624" w:type="dxa"/>
            <w:noWrap/>
            <w:hideMark/>
          </w:tcPr>
          <w:p w14:paraId="1815E24D" w14:textId="77777777" w:rsidR="00752CAB" w:rsidRPr="00752CAB" w:rsidRDefault="00752CAB" w:rsidP="00752CAB">
            <w:pPr>
              <w:jc w:val="both"/>
            </w:pPr>
            <w:r w:rsidRPr="00752CAB">
              <w:t>300</w:t>
            </w:r>
          </w:p>
        </w:tc>
      </w:tr>
      <w:tr w:rsidR="00752CAB" w:rsidRPr="00752CAB" w14:paraId="5C6B23F2" w14:textId="77777777" w:rsidTr="00752CAB">
        <w:trPr>
          <w:trHeight w:val="300"/>
        </w:trPr>
        <w:tc>
          <w:tcPr>
            <w:tcW w:w="5079" w:type="dxa"/>
            <w:noWrap/>
            <w:hideMark/>
          </w:tcPr>
          <w:p w14:paraId="3BBAA02C" w14:textId="563161D1" w:rsidR="00752CAB" w:rsidRPr="00752CAB" w:rsidRDefault="00752CAB" w:rsidP="00752CAB">
            <w:pPr>
              <w:jc w:val="both"/>
            </w:pPr>
            <w:r w:rsidRPr="00752CAB">
              <w:t>Acton Institute</w:t>
            </w:r>
            <w:r w:rsidR="009A66D9">
              <w:t xml:space="preserve"> (US)</w:t>
            </w:r>
          </w:p>
        </w:tc>
        <w:tc>
          <w:tcPr>
            <w:tcW w:w="2624" w:type="dxa"/>
            <w:noWrap/>
            <w:hideMark/>
          </w:tcPr>
          <w:p w14:paraId="019F962C" w14:textId="5DA33DE5" w:rsidR="00752CAB" w:rsidRPr="00752CAB" w:rsidRDefault="00752CAB" w:rsidP="00752CAB">
            <w:pPr>
              <w:jc w:val="both"/>
            </w:pPr>
            <w:r w:rsidRPr="00752CAB">
              <w:t>15</w:t>
            </w:r>
            <w:r w:rsidR="002835A6">
              <w:t>,</w:t>
            </w:r>
            <w:r w:rsidRPr="00752CAB">
              <w:t>013</w:t>
            </w:r>
          </w:p>
        </w:tc>
        <w:tc>
          <w:tcPr>
            <w:tcW w:w="5079" w:type="dxa"/>
            <w:noWrap/>
            <w:hideMark/>
          </w:tcPr>
          <w:p w14:paraId="6250D5D2" w14:textId="5336A158" w:rsidR="00752CAB" w:rsidRPr="00752CAB" w:rsidRDefault="00752CAB" w:rsidP="00752CAB">
            <w:pPr>
              <w:jc w:val="both"/>
            </w:pPr>
            <w:r w:rsidRPr="00752CAB">
              <w:t>International Development Research Centre</w:t>
            </w:r>
            <w:r w:rsidR="009A66D9">
              <w:t xml:space="preserve"> (Canada)</w:t>
            </w:r>
          </w:p>
        </w:tc>
        <w:tc>
          <w:tcPr>
            <w:tcW w:w="2624" w:type="dxa"/>
            <w:noWrap/>
            <w:hideMark/>
          </w:tcPr>
          <w:p w14:paraId="5227D033" w14:textId="77777777" w:rsidR="00752CAB" w:rsidRPr="00752CAB" w:rsidRDefault="00752CAB" w:rsidP="00752CAB">
            <w:pPr>
              <w:jc w:val="both"/>
            </w:pPr>
            <w:r w:rsidRPr="00752CAB">
              <w:t>280</w:t>
            </w:r>
          </w:p>
        </w:tc>
      </w:tr>
      <w:tr w:rsidR="00752CAB" w:rsidRPr="00752CAB" w14:paraId="1FF48F16" w14:textId="77777777" w:rsidTr="00752CAB">
        <w:trPr>
          <w:trHeight w:val="300"/>
        </w:trPr>
        <w:tc>
          <w:tcPr>
            <w:tcW w:w="5079" w:type="dxa"/>
            <w:noWrap/>
            <w:hideMark/>
          </w:tcPr>
          <w:p w14:paraId="154ED894" w14:textId="289AC1E5" w:rsidR="00752CAB" w:rsidRPr="00752CAB" w:rsidRDefault="00752CAB" w:rsidP="00752CAB">
            <w:pPr>
              <w:jc w:val="both"/>
            </w:pPr>
            <w:r w:rsidRPr="00752CAB">
              <w:t>Heritage Foundation</w:t>
            </w:r>
            <w:r w:rsidR="009A66D9">
              <w:t xml:space="preserve"> (US)</w:t>
            </w:r>
          </w:p>
        </w:tc>
        <w:tc>
          <w:tcPr>
            <w:tcW w:w="2624" w:type="dxa"/>
            <w:noWrap/>
            <w:hideMark/>
          </w:tcPr>
          <w:p w14:paraId="0CD75B31" w14:textId="5A8A6BDB" w:rsidR="00752CAB" w:rsidRPr="00752CAB" w:rsidRDefault="00752CAB" w:rsidP="00752CAB">
            <w:pPr>
              <w:jc w:val="both"/>
            </w:pPr>
            <w:r w:rsidRPr="00752CAB">
              <w:t>14</w:t>
            </w:r>
            <w:r w:rsidR="002835A6">
              <w:t>,</w:t>
            </w:r>
            <w:r w:rsidRPr="00752CAB">
              <w:t>689</w:t>
            </w:r>
          </w:p>
        </w:tc>
        <w:tc>
          <w:tcPr>
            <w:tcW w:w="5079" w:type="dxa"/>
            <w:noWrap/>
            <w:hideMark/>
          </w:tcPr>
          <w:p w14:paraId="3CD22DD5" w14:textId="299183BC" w:rsidR="00752CAB" w:rsidRPr="00E52DA0" w:rsidRDefault="00752CAB" w:rsidP="00752CAB">
            <w:pPr>
              <w:jc w:val="both"/>
              <w:rPr>
                <w:lang w:val="nl-NL"/>
              </w:rPr>
            </w:pPr>
            <w:r w:rsidRPr="00E52DA0">
              <w:rPr>
                <w:lang w:val="nl-NL"/>
              </w:rPr>
              <w:t>blogs.lse.ac.uk</w:t>
            </w:r>
            <w:r w:rsidR="009A66D9" w:rsidRPr="00E52DA0">
              <w:rPr>
                <w:lang w:val="nl-NL"/>
              </w:rPr>
              <w:t xml:space="preserve"> (UK)</w:t>
            </w:r>
          </w:p>
        </w:tc>
        <w:tc>
          <w:tcPr>
            <w:tcW w:w="2624" w:type="dxa"/>
            <w:noWrap/>
            <w:hideMark/>
          </w:tcPr>
          <w:p w14:paraId="663525B5" w14:textId="77777777" w:rsidR="00752CAB" w:rsidRPr="00752CAB" w:rsidRDefault="00752CAB" w:rsidP="00752CAB">
            <w:pPr>
              <w:jc w:val="both"/>
            </w:pPr>
            <w:r w:rsidRPr="00752CAB">
              <w:t>271</w:t>
            </w:r>
          </w:p>
        </w:tc>
      </w:tr>
      <w:tr w:rsidR="00752CAB" w:rsidRPr="00752CAB" w14:paraId="36C38B29" w14:textId="77777777" w:rsidTr="00752CAB">
        <w:trPr>
          <w:trHeight w:val="300"/>
        </w:trPr>
        <w:tc>
          <w:tcPr>
            <w:tcW w:w="5079" w:type="dxa"/>
            <w:noWrap/>
            <w:hideMark/>
          </w:tcPr>
          <w:p w14:paraId="0421FBEA" w14:textId="210ABD25" w:rsidR="00752CAB" w:rsidRPr="00752CAB" w:rsidRDefault="009A66D9" w:rsidP="00752CAB">
            <w:pPr>
              <w:jc w:val="both"/>
            </w:pPr>
            <w:r w:rsidRPr="009A66D9">
              <w:t>American Civil Liberties Union</w:t>
            </w:r>
            <w:r>
              <w:t xml:space="preserve"> (US)</w:t>
            </w:r>
          </w:p>
        </w:tc>
        <w:tc>
          <w:tcPr>
            <w:tcW w:w="2624" w:type="dxa"/>
            <w:noWrap/>
            <w:hideMark/>
          </w:tcPr>
          <w:p w14:paraId="26C9E6F9" w14:textId="0B589F75" w:rsidR="00752CAB" w:rsidRPr="00752CAB" w:rsidRDefault="00752CAB" w:rsidP="00752CAB">
            <w:pPr>
              <w:jc w:val="both"/>
            </w:pPr>
            <w:r w:rsidRPr="00752CAB">
              <w:t>14</w:t>
            </w:r>
            <w:r w:rsidR="002835A6">
              <w:t>,</w:t>
            </w:r>
            <w:r w:rsidRPr="00752CAB">
              <w:t>262</w:t>
            </w:r>
          </w:p>
        </w:tc>
        <w:tc>
          <w:tcPr>
            <w:tcW w:w="5079" w:type="dxa"/>
            <w:noWrap/>
            <w:hideMark/>
          </w:tcPr>
          <w:p w14:paraId="2AAEA351" w14:textId="6840AEA0" w:rsidR="00752CAB" w:rsidRPr="00752CAB" w:rsidRDefault="00752CAB" w:rsidP="00752CAB">
            <w:pPr>
              <w:jc w:val="both"/>
            </w:pPr>
            <w:r w:rsidRPr="00752CAB">
              <w:t>Overseas Development Institute</w:t>
            </w:r>
            <w:r w:rsidR="009A66D9">
              <w:t xml:space="preserve"> (UK)</w:t>
            </w:r>
          </w:p>
        </w:tc>
        <w:tc>
          <w:tcPr>
            <w:tcW w:w="2624" w:type="dxa"/>
            <w:noWrap/>
            <w:hideMark/>
          </w:tcPr>
          <w:p w14:paraId="08BC317F" w14:textId="77777777" w:rsidR="00752CAB" w:rsidRPr="00752CAB" w:rsidRDefault="00752CAB" w:rsidP="00752CAB">
            <w:pPr>
              <w:jc w:val="both"/>
            </w:pPr>
            <w:r w:rsidRPr="00752CAB">
              <w:t>237</w:t>
            </w:r>
          </w:p>
        </w:tc>
      </w:tr>
      <w:tr w:rsidR="00752CAB" w:rsidRPr="00752CAB" w14:paraId="7DFF9D2B" w14:textId="77777777" w:rsidTr="00752CAB">
        <w:trPr>
          <w:trHeight w:val="300"/>
        </w:trPr>
        <w:tc>
          <w:tcPr>
            <w:tcW w:w="5079" w:type="dxa"/>
            <w:noWrap/>
            <w:hideMark/>
          </w:tcPr>
          <w:p w14:paraId="06BE7C50" w14:textId="2DB2474C" w:rsidR="00752CAB" w:rsidRPr="00752CAB" w:rsidRDefault="00752CAB" w:rsidP="00752CAB">
            <w:pPr>
              <w:jc w:val="both"/>
            </w:pPr>
            <w:r w:rsidRPr="00752CAB">
              <w:lastRenderedPageBreak/>
              <w:t>Foundation for Economic Education</w:t>
            </w:r>
            <w:r w:rsidR="009A66D9">
              <w:t xml:space="preserve"> (US)</w:t>
            </w:r>
          </w:p>
        </w:tc>
        <w:tc>
          <w:tcPr>
            <w:tcW w:w="2624" w:type="dxa"/>
            <w:noWrap/>
            <w:hideMark/>
          </w:tcPr>
          <w:p w14:paraId="54B3C96D" w14:textId="61E9F862" w:rsidR="00752CAB" w:rsidRPr="00752CAB" w:rsidRDefault="00752CAB" w:rsidP="00752CAB">
            <w:pPr>
              <w:jc w:val="both"/>
            </w:pPr>
            <w:r w:rsidRPr="00752CAB">
              <w:t>14</w:t>
            </w:r>
            <w:r w:rsidR="002835A6">
              <w:t>,</w:t>
            </w:r>
            <w:r w:rsidRPr="00752CAB">
              <w:t>120</w:t>
            </w:r>
          </w:p>
        </w:tc>
        <w:tc>
          <w:tcPr>
            <w:tcW w:w="5079" w:type="dxa"/>
            <w:noWrap/>
            <w:hideMark/>
          </w:tcPr>
          <w:p w14:paraId="10433590" w14:textId="7F3B9CBA" w:rsidR="00752CAB" w:rsidRPr="00752CAB" w:rsidRDefault="009A66D9" w:rsidP="00752CAB">
            <w:pPr>
              <w:jc w:val="both"/>
            </w:pPr>
            <w:r w:rsidRPr="00752CAB">
              <w:t>DIW</w:t>
            </w:r>
            <w:r w:rsidRPr="009A66D9">
              <w:t xml:space="preserve"> German Institute for Economic Research </w:t>
            </w:r>
            <w:r>
              <w:t xml:space="preserve"> (Germany)</w:t>
            </w:r>
          </w:p>
        </w:tc>
        <w:tc>
          <w:tcPr>
            <w:tcW w:w="2624" w:type="dxa"/>
            <w:noWrap/>
            <w:hideMark/>
          </w:tcPr>
          <w:p w14:paraId="7D6A9C6B" w14:textId="77777777" w:rsidR="00752CAB" w:rsidRPr="00752CAB" w:rsidRDefault="00752CAB" w:rsidP="00752CAB">
            <w:pPr>
              <w:jc w:val="both"/>
            </w:pPr>
            <w:r w:rsidRPr="00752CAB">
              <w:t>225</w:t>
            </w:r>
          </w:p>
        </w:tc>
      </w:tr>
      <w:tr w:rsidR="00752CAB" w:rsidRPr="00752CAB" w14:paraId="1AB7CCBF" w14:textId="77777777" w:rsidTr="00752CAB">
        <w:trPr>
          <w:trHeight w:val="300"/>
        </w:trPr>
        <w:tc>
          <w:tcPr>
            <w:tcW w:w="15406" w:type="dxa"/>
            <w:gridSpan w:val="4"/>
            <w:noWrap/>
            <w:hideMark/>
          </w:tcPr>
          <w:p w14:paraId="523D74D4" w14:textId="33DDA892" w:rsidR="00752CAB" w:rsidRPr="00752CAB" w:rsidRDefault="00752CAB" w:rsidP="00AB2EF8">
            <w:pPr>
              <w:jc w:val="center"/>
            </w:pPr>
            <w:r w:rsidRPr="00752CAB">
              <w:t>Others</w:t>
            </w:r>
          </w:p>
        </w:tc>
      </w:tr>
      <w:tr w:rsidR="00752CAB" w:rsidRPr="00752CAB" w14:paraId="6D28AD79" w14:textId="77777777" w:rsidTr="00752CAB">
        <w:trPr>
          <w:trHeight w:val="300"/>
        </w:trPr>
        <w:tc>
          <w:tcPr>
            <w:tcW w:w="5079" w:type="dxa"/>
            <w:noWrap/>
            <w:hideMark/>
          </w:tcPr>
          <w:p w14:paraId="18368C2A" w14:textId="77777777" w:rsidR="00752CAB" w:rsidRPr="00752CAB" w:rsidRDefault="00752CAB" w:rsidP="00752CAB">
            <w:pPr>
              <w:jc w:val="both"/>
            </w:pPr>
            <w:r w:rsidRPr="00752CAB">
              <w:t>Analysis &amp; Policy Observatory</w:t>
            </w:r>
          </w:p>
        </w:tc>
        <w:tc>
          <w:tcPr>
            <w:tcW w:w="2624" w:type="dxa"/>
            <w:noWrap/>
            <w:hideMark/>
          </w:tcPr>
          <w:p w14:paraId="7FABD363" w14:textId="5998BCA8" w:rsidR="00752CAB" w:rsidRPr="00752CAB" w:rsidRDefault="00752CAB" w:rsidP="00752CAB">
            <w:pPr>
              <w:jc w:val="both"/>
            </w:pPr>
            <w:r w:rsidRPr="00752CAB">
              <w:t>16</w:t>
            </w:r>
            <w:r w:rsidR="002835A6">
              <w:t>,</w:t>
            </w:r>
            <w:r w:rsidRPr="00752CAB">
              <w:t>733</w:t>
            </w:r>
          </w:p>
        </w:tc>
        <w:tc>
          <w:tcPr>
            <w:tcW w:w="5079" w:type="dxa"/>
            <w:noWrap/>
            <w:hideMark/>
          </w:tcPr>
          <w:p w14:paraId="7DD97CA4" w14:textId="77777777" w:rsidR="00752CAB" w:rsidRPr="00752CAB" w:rsidRDefault="00752CAB" w:rsidP="00752CAB">
            <w:pPr>
              <w:jc w:val="both"/>
            </w:pPr>
            <w:r w:rsidRPr="00752CAB">
              <w:t>Analysis &amp; Policy Observatory</w:t>
            </w:r>
          </w:p>
        </w:tc>
        <w:tc>
          <w:tcPr>
            <w:tcW w:w="2624" w:type="dxa"/>
            <w:noWrap/>
            <w:hideMark/>
          </w:tcPr>
          <w:p w14:paraId="1B8F8D33" w14:textId="77777777" w:rsidR="00752CAB" w:rsidRPr="00752CAB" w:rsidRDefault="00752CAB" w:rsidP="00752CAB">
            <w:pPr>
              <w:jc w:val="both"/>
            </w:pPr>
            <w:r w:rsidRPr="00752CAB">
              <w:t>880</w:t>
            </w:r>
          </w:p>
        </w:tc>
      </w:tr>
      <w:tr w:rsidR="00752CAB" w:rsidRPr="00752CAB" w14:paraId="0478DFCA" w14:textId="77777777" w:rsidTr="00752CAB">
        <w:trPr>
          <w:trHeight w:val="300"/>
        </w:trPr>
        <w:tc>
          <w:tcPr>
            <w:tcW w:w="5079" w:type="dxa"/>
            <w:noWrap/>
            <w:hideMark/>
          </w:tcPr>
          <w:p w14:paraId="4C93F3E4" w14:textId="77777777" w:rsidR="00752CAB" w:rsidRPr="00752CAB" w:rsidRDefault="00752CAB" w:rsidP="00752CAB">
            <w:pPr>
              <w:jc w:val="both"/>
            </w:pPr>
            <w:r w:rsidRPr="00752CAB">
              <w:t>Guidelines in PubMed Central</w:t>
            </w:r>
          </w:p>
        </w:tc>
        <w:tc>
          <w:tcPr>
            <w:tcW w:w="2624" w:type="dxa"/>
            <w:noWrap/>
            <w:hideMark/>
          </w:tcPr>
          <w:p w14:paraId="63005242" w14:textId="538A6E25" w:rsidR="00752CAB" w:rsidRPr="00752CAB" w:rsidRDefault="00752CAB" w:rsidP="00752CAB">
            <w:pPr>
              <w:jc w:val="both"/>
            </w:pPr>
            <w:r w:rsidRPr="00752CAB">
              <w:t>14</w:t>
            </w:r>
            <w:r w:rsidR="002835A6">
              <w:t>,</w:t>
            </w:r>
            <w:r w:rsidRPr="00752CAB">
              <w:t>496</w:t>
            </w:r>
          </w:p>
        </w:tc>
        <w:tc>
          <w:tcPr>
            <w:tcW w:w="5079" w:type="dxa"/>
            <w:noWrap/>
            <w:hideMark/>
          </w:tcPr>
          <w:p w14:paraId="1E60A56A" w14:textId="77777777" w:rsidR="00752CAB" w:rsidRPr="00752CAB" w:rsidRDefault="00752CAB" w:rsidP="00752CAB">
            <w:pPr>
              <w:jc w:val="both"/>
            </w:pPr>
            <w:r w:rsidRPr="00752CAB">
              <w:t>Guidelines in PubMed Central</w:t>
            </w:r>
          </w:p>
        </w:tc>
        <w:tc>
          <w:tcPr>
            <w:tcW w:w="2624" w:type="dxa"/>
            <w:noWrap/>
            <w:hideMark/>
          </w:tcPr>
          <w:p w14:paraId="7CB69B83" w14:textId="77777777" w:rsidR="00752CAB" w:rsidRPr="00752CAB" w:rsidRDefault="00752CAB" w:rsidP="00752CAB">
            <w:pPr>
              <w:jc w:val="both"/>
            </w:pPr>
            <w:r w:rsidRPr="00752CAB">
              <w:t>30</w:t>
            </w:r>
          </w:p>
        </w:tc>
      </w:tr>
      <w:tr w:rsidR="00752CAB" w:rsidRPr="00752CAB" w14:paraId="5477811F" w14:textId="77777777" w:rsidTr="00752CAB">
        <w:trPr>
          <w:trHeight w:val="300"/>
        </w:trPr>
        <w:tc>
          <w:tcPr>
            <w:tcW w:w="5079" w:type="dxa"/>
            <w:noWrap/>
            <w:hideMark/>
          </w:tcPr>
          <w:p w14:paraId="2C2DEAC7" w14:textId="77777777" w:rsidR="00752CAB" w:rsidRPr="00752CAB" w:rsidRDefault="00752CAB" w:rsidP="00752CAB">
            <w:pPr>
              <w:jc w:val="both"/>
            </w:pPr>
            <w:r w:rsidRPr="00752CAB">
              <w:t>AI Regulation Special Collection</w:t>
            </w:r>
          </w:p>
        </w:tc>
        <w:tc>
          <w:tcPr>
            <w:tcW w:w="2624" w:type="dxa"/>
            <w:noWrap/>
            <w:hideMark/>
          </w:tcPr>
          <w:p w14:paraId="78949614" w14:textId="77777777" w:rsidR="00752CAB" w:rsidRPr="00752CAB" w:rsidRDefault="00752CAB" w:rsidP="00752CAB">
            <w:pPr>
              <w:jc w:val="both"/>
            </w:pPr>
            <w:r w:rsidRPr="00752CAB">
              <w:t>391</w:t>
            </w:r>
          </w:p>
        </w:tc>
        <w:tc>
          <w:tcPr>
            <w:tcW w:w="5079" w:type="dxa"/>
            <w:noWrap/>
            <w:hideMark/>
          </w:tcPr>
          <w:p w14:paraId="774E6989" w14:textId="77777777" w:rsidR="00752CAB" w:rsidRPr="00752CAB" w:rsidRDefault="00752CAB" w:rsidP="00752CAB">
            <w:pPr>
              <w:jc w:val="both"/>
            </w:pPr>
            <w:r w:rsidRPr="00752CAB">
              <w:t>AI Regulation Special Collection</w:t>
            </w:r>
          </w:p>
        </w:tc>
        <w:tc>
          <w:tcPr>
            <w:tcW w:w="2624" w:type="dxa"/>
            <w:noWrap/>
            <w:hideMark/>
          </w:tcPr>
          <w:p w14:paraId="163398BE" w14:textId="77777777" w:rsidR="00752CAB" w:rsidRPr="00752CAB" w:rsidRDefault="00752CAB" w:rsidP="00752CAB">
            <w:pPr>
              <w:jc w:val="both"/>
            </w:pPr>
            <w:r w:rsidRPr="00752CAB">
              <w:t>14</w:t>
            </w:r>
          </w:p>
        </w:tc>
      </w:tr>
    </w:tbl>
    <w:p w14:paraId="0C30D1D8" w14:textId="77777777" w:rsidR="00752CAB" w:rsidRDefault="00752CAB">
      <w:pPr>
        <w:jc w:val="both"/>
      </w:pPr>
    </w:p>
    <w:p w14:paraId="56A68BA2" w14:textId="00FA2F96" w:rsidR="009A66D9" w:rsidRDefault="000C25AF" w:rsidP="00E52DA0">
      <w:pPr>
        <w:pStyle w:val="Heading2"/>
        <w:jc w:val="both"/>
      </w:pPr>
      <w:r>
        <w:t xml:space="preserve">4. </w:t>
      </w:r>
      <w:r w:rsidR="00BD7FED">
        <w:t>Discussion</w:t>
      </w:r>
    </w:p>
    <w:p w14:paraId="573480BD" w14:textId="6604E490" w:rsidR="009A66D9" w:rsidRDefault="009A66D9" w:rsidP="00497D59">
      <w:pPr>
        <w:jc w:val="both"/>
      </w:pPr>
      <w:r>
        <w:t>The i</w:t>
      </w:r>
      <w:r w:rsidRPr="009A66D9">
        <w:t xml:space="preserve">nterpretation of </w:t>
      </w:r>
      <w:r>
        <w:t xml:space="preserve">the </w:t>
      </w:r>
      <w:r w:rsidRPr="009A66D9">
        <w:t>policy impact of research can only be undertaken based on an important</w:t>
      </w:r>
      <w:r>
        <w:t xml:space="preserve"> </w:t>
      </w:r>
      <w:r w:rsidRPr="009A66D9">
        <w:t>caveat</w:t>
      </w:r>
      <w:r>
        <w:t xml:space="preserve"> that policy sources capture two distinct types of documents: those that are authored by scientists to inform decision making, and those that are authored by policymakers to inscribe policy decisions or legislation. </w:t>
      </w:r>
      <w:r w:rsidRPr="009A66D9">
        <w:t xml:space="preserve">The </w:t>
      </w:r>
      <w:r>
        <w:t>distinction between</w:t>
      </w:r>
      <w:r w:rsidRPr="009A66D9">
        <w:t xml:space="preserve"> these </w:t>
      </w:r>
      <w:r>
        <w:t xml:space="preserve">types of </w:t>
      </w:r>
      <w:r w:rsidRPr="009A66D9">
        <w:t xml:space="preserve">documents explains some of the results here. For example, </w:t>
      </w:r>
      <w:r>
        <w:t>some organi</w:t>
      </w:r>
      <w:r w:rsidR="00542BA6">
        <w:t>z</w:t>
      </w:r>
      <w:r>
        <w:t xml:space="preserve">ations that seek to inform policy decisions, such as IPCC and </w:t>
      </w:r>
      <w:r w:rsidRPr="00AF6510">
        <w:t>PRUComm</w:t>
      </w:r>
      <w:r>
        <w:t>, will include many references to provide a robust evidence</w:t>
      </w:r>
      <w:r w:rsidRPr="009A66D9">
        <w:t xml:space="preserve"> </w:t>
      </w:r>
      <w:r>
        <w:t xml:space="preserve">base. </w:t>
      </w:r>
      <w:r w:rsidRPr="009A66D9">
        <w:t xml:space="preserve">On the other hand, policy briefs </w:t>
      </w:r>
      <w:r>
        <w:t>or ministerial notes by governments or intergovernment</w:t>
      </w:r>
      <w:r w:rsidR="008C45FD">
        <w:t>al</w:t>
      </w:r>
      <w:r>
        <w:t xml:space="preserve"> organi</w:t>
      </w:r>
      <w:r w:rsidR="00542BA6">
        <w:t>z</w:t>
      </w:r>
      <w:r>
        <w:t>ations may intentionally limit</w:t>
      </w:r>
      <w:r w:rsidRPr="009A66D9">
        <w:t xml:space="preserve"> literature sources</w:t>
      </w:r>
      <w:r>
        <w:t xml:space="preserve"> to improve accessibility or to conform to policy conventions</w:t>
      </w:r>
      <w:r w:rsidRPr="009A66D9">
        <w:t>. The policy impact analysis</w:t>
      </w:r>
      <w:r>
        <w:t xml:space="preserve"> </w:t>
      </w:r>
      <w:r w:rsidRPr="009A66D9">
        <w:t>in this study, therefore to some extent highlights different policy document types</w:t>
      </w:r>
      <w:r>
        <w:t xml:space="preserve"> that may be favoured by certain organi</w:t>
      </w:r>
      <w:r w:rsidR="00542BA6">
        <w:t>z</w:t>
      </w:r>
      <w:r>
        <w:t>ation types</w:t>
      </w:r>
      <w:r w:rsidRPr="009A66D9">
        <w:t xml:space="preserve">. </w:t>
      </w:r>
      <w:r>
        <w:t xml:space="preserve">Interestingly, PPA book reviews are more frequently cited </w:t>
      </w:r>
      <w:r w:rsidR="00022978">
        <w:t>by policy than by W</w:t>
      </w:r>
      <w:r w:rsidR="00D36615">
        <w:t>o</w:t>
      </w:r>
      <w:r w:rsidR="00022978">
        <w:t>S papers</w:t>
      </w:r>
      <w:r w:rsidR="00D36615">
        <w:t xml:space="preserve"> in general</w:t>
      </w:r>
      <w:r>
        <w:t xml:space="preserve">, perhaps suggesting that highly accessible formats that present concise or synthesised evidence are favoured over more comprehensive formats in this field. </w:t>
      </w:r>
    </w:p>
    <w:p w14:paraId="6ADD0E4C" w14:textId="3D7A6655" w:rsidR="009A66D9" w:rsidRDefault="009A66D9" w:rsidP="00497D59">
      <w:pPr>
        <w:jc w:val="both"/>
      </w:pPr>
    </w:p>
    <w:p w14:paraId="1BB493F0" w14:textId="4CCE3BE5" w:rsidR="009A66D9" w:rsidRDefault="009A66D9" w:rsidP="00497D59">
      <w:pPr>
        <w:jc w:val="both"/>
      </w:pPr>
      <w:r>
        <w:t>I</w:t>
      </w:r>
      <w:r w:rsidRPr="009A66D9">
        <w:t xml:space="preserve">n this study, we </w:t>
      </w:r>
      <w:r>
        <w:t>examined</w:t>
      </w:r>
      <w:r w:rsidRPr="009A66D9">
        <w:t xml:space="preserve"> several aspects of the connection between </w:t>
      </w:r>
      <w:r>
        <w:t>PPA</w:t>
      </w:r>
      <w:r w:rsidRPr="009A66D9">
        <w:t xml:space="preserve"> research and policy. Focusing on </w:t>
      </w:r>
      <w:r>
        <w:t xml:space="preserve">the </w:t>
      </w:r>
      <w:r w:rsidRPr="009A66D9">
        <w:t xml:space="preserve">connection </w:t>
      </w:r>
      <w:r>
        <w:t xml:space="preserve">over time </w:t>
      </w:r>
      <w:r w:rsidRPr="009A66D9">
        <w:t xml:space="preserve">reveals that </w:t>
      </w:r>
      <w:r>
        <w:t xml:space="preserve">while the number of PPA papers and the number of policy documents that cite them have increased in recent years, </w:t>
      </w:r>
      <w:r w:rsidRPr="009A66D9">
        <w:t xml:space="preserve">the </w:t>
      </w:r>
      <w:r>
        <w:t>proportion of</w:t>
      </w:r>
      <w:r w:rsidRPr="009A66D9">
        <w:t xml:space="preserve"> </w:t>
      </w:r>
      <w:r>
        <w:t>PPA research</w:t>
      </w:r>
      <w:r w:rsidRPr="009A66D9">
        <w:t xml:space="preserve"> in policy seems to </w:t>
      </w:r>
      <w:r>
        <w:t>have peaked in the mid-2000s</w:t>
      </w:r>
      <w:r w:rsidRPr="009A66D9">
        <w:t>.</w:t>
      </w:r>
      <w:r>
        <w:t xml:space="preserve"> </w:t>
      </w:r>
      <w:r w:rsidR="00022978">
        <w:t>This potentially reflects a declining interest in the PPA literature within the policy sphere or a lag between new evidence and its translation into policy.</w:t>
      </w:r>
    </w:p>
    <w:p w14:paraId="24A536C3" w14:textId="71328CB6" w:rsidR="009A66D9" w:rsidRDefault="009A66D9" w:rsidP="00497D59">
      <w:pPr>
        <w:jc w:val="both"/>
      </w:pPr>
    </w:p>
    <w:p w14:paraId="3B4D12F6" w14:textId="64C14779" w:rsidR="009A66D9" w:rsidRDefault="009A66D9" w:rsidP="00497D59">
      <w:pPr>
        <w:jc w:val="both"/>
      </w:pPr>
      <w:r>
        <w:t xml:space="preserve">Our results show that governments and </w:t>
      </w:r>
      <w:r w:rsidRPr="009A66D9">
        <w:t>intergovernmental organization</w:t>
      </w:r>
      <w:r>
        <w:t xml:space="preserve">s produce a high number of policy documents, but </w:t>
      </w:r>
      <w:r w:rsidR="00B65EB2">
        <w:t>cite rather few papers from</w:t>
      </w:r>
      <w:r>
        <w:t xml:space="preserve"> PPA research. This suggests that, in general, PPA research is less influential on </w:t>
      </w:r>
      <w:r w:rsidRPr="001F52AD">
        <w:t xml:space="preserve">decision makers and advisers in </w:t>
      </w:r>
      <w:r>
        <w:t>international</w:t>
      </w:r>
      <w:r w:rsidRPr="001F52AD">
        <w:t xml:space="preserve"> organizations and governments</w:t>
      </w:r>
      <w:r>
        <w:t xml:space="preserve">, than on </w:t>
      </w:r>
      <w:r w:rsidRPr="001F52AD">
        <w:t>policy researchers</w:t>
      </w:r>
      <w:r>
        <w:t xml:space="preserve"> within think tanks. Think tanks seem to produce fewer policy documents</w:t>
      </w:r>
      <w:r w:rsidR="006D6ED2">
        <w:t xml:space="preserve"> overall, but </w:t>
      </w:r>
      <w:r>
        <w:t xml:space="preserve">that are more closely related to PPA research. This is potentially due to the brokerage function of </w:t>
      </w:r>
      <w:r w:rsidR="00BD351B">
        <w:t>t</w:t>
      </w:r>
      <w:r>
        <w:t>hink tanks, whereby they seek to understand how to actively move expert knowledge into the policy sphere</w:t>
      </w:r>
      <w:r w:rsidR="00F945C4">
        <w:t xml:space="preserve"> </w:t>
      </w:r>
      <w:r w:rsidR="00F945C4">
        <w:fldChar w:fldCharType="begin"/>
      </w:r>
      <w:r w:rsidR="00AC0173">
        <w:instrText xml:space="preserve"> ADDIN EN.CITE &lt;EndNote&gt;&lt;Cite&gt;&lt;Author&gt;Abelson&lt;/Author&gt;&lt;Year&gt;2009&lt;/Year&gt;&lt;RecNum&gt;914&lt;/RecNum&gt;&lt;DisplayText&gt;(Abelson, 2009)&lt;/DisplayText&gt;&lt;record&gt;&lt;rec-number&gt;914&lt;/rec-number&gt;&lt;foreign-keys&gt;&lt;key app="EN" db-id="art5xdpt5srxr3edaeu5r0sdpaxwttzfwfte" timestamp="1678460545"&gt;914&lt;/key&gt;&lt;/foreign-keys&gt;&lt;ref-type name="Book"&gt;6&lt;/ref-type&gt;&lt;contributors&gt;&lt;authors&gt;&lt;author&gt;Abelson, D. E.&lt;/author&gt;&lt;/authors&gt;&lt;/contributors&gt;&lt;titles&gt;&lt;title&gt;Do think tanks matter? Assessing the impact of public policy institutes introduction&lt;/title&gt;&lt;/titles&gt;&lt;pages&gt;3-+&lt;/pages&gt;&lt;dates&gt;&lt;year&gt;2009&lt;/year&gt;&lt;/dates&gt;&lt;pub-location&gt;Kingston&lt;/pub-location&gt;&lt;publisher&gt;Queen&amp;apos;s School of Policy Studies&lt;/publisher&gt;&lt;isbn&gt;978-0-7735-3608-1; 978-0-7735-7541-7; 978-0-7735-3607-4&lt;/isbn&gt;&lt;accession-num&gt;WOS:000325139100001&lt;/accession-num&gt;&lt;urls&gt;&lt;related-urls&gt;&lt;url&gt;&lt;style face="underline" font="default" size="100%"&gt;&amp;lt;Go to ISI&amp;gt;://WOS:000325139100001&lt;/style&gt;&lt;/url&gt;&lt;/related-urls&gt;&lt;/urls&gt;&lt;/record&gt;&lt;/Cite&gt;&lt;/EndNote&gt;</w:instrText>
      </w:r>
      <w:r w:rsidR="00F945C4">
        <w:fldChar w:fldCharType="separate"/>
      </w:r>
      <w:r w:rsidR="0033275B">
        <w:rPr>
          <w:noProof/>
        </w:rPr>
        <w:t>(Abelson, 2009)</w:t>
      </w:r>
      <w:r w:rsidR="00F945C4">
        <w:fldChar w:fldCharType="end"/>
      </w:r>
      <w:r>
        <w:t>. However, our results show some exceptions to this</w:t>
      </w:r>
      <w:r w:rsidR="00997BDA">
        <w:t>. S</w:t>
      </w:r>
      <w:r w:rsidR="006D6ED2">
        <w:t xml:space="preserve">ome IGOs, including </w:t>
      </w:r>
      <w:r w:rsidRPr="009A66D9">
        <w:t>the Publication Offices of the European Union, OECD, and World Bank</w:t>
      </w:r>
      <w:r w:rsidR="006D6ED2">
        <w:t xml:space="preserve">, </w:t>
      </w:r>
      <w:r>
        <w:t xml:space="preserve">are </w:t>
      </w:r>
      <w:r w:rsidRPr="009A66D9">
        <w:t>very active in the PPA discourse.</w:t>
      </w:r>
      <w:r w:rsidR="00022978">
        <w:t xml:space="preserve"> National governments in particular are much less likely to be the source </w:t>
      </w:r>
      <w:r w:rsidR="00022978" w:rsidRPr="00CC362F">
        <w:t xml:space="preserve">of policy papers that cited a </w:t>
      </w:r>
      <w:r w:rsidR="00022978">
        <w:t xml:space="preserve">WoS PPA publication </w:t>
      </w:r>
      <w:r w:rsidR="00022978" w:rsidRPr="00CC362F">
        <w:t xml:space="preserve">in comparison </w:t>
      </w:r>
      <w:r w:rsidR="00022978">
        <w:t xml:space="preserve">to </w:t>
      </w:r>
      <w:r w:rsidR="00022978" w:rsidRPr="00CC362F">
        <w:t>the full Overton database.</w:t>
      </w:r>
      <w:r w:rsidR="00022978">
        <w:t xml:space="preserve"> This is reflected in the most productive government sector source of documents that cited PPA research being the inter-governmental </w:t>
      </w:r>
      <w:r w:rsidR="00022978" w:rsidRPr="00752CAB">
        <w:t>Publications Office of the European Union</w:t>
      </w:r>
      <w:r w:rsidR="00022978">
        <w:t xml:space="preserve"> by a large margin. </w:t>
      </w:r>
      <w:r w:rsidR="006D6ED2">
        <w:t xml:space="preserve">This may point to a potential disconnect between </w:t>
      </w:r>
      <w:r w:rsidR="00997BDA">
        <w:t xml:space="preserve">national </w:t>
      </w:r>
      <w:r w:rsidR="006D6ED2">
        <w:t xml:space="preserve">government decision making and PPA research, which does not reflect the goals of many PPA journals and associations. Alternatively, it may </w:t>
      </w:r>
      <w:r w:rsidR="0078723B">
        <w:t xml:space="preserve">reflect </w:t>
      </w:r>
      <w:r w:rsidR="006D6ED2">
        <w:t xml:space="preserve">complex methodological challenges around policy impact. </w:t>
      </w:r>
    </w:p>
    <w:p w14:paraId="42C23F5D" w14:textId="77777777" w:rsidR="009A66D9" w:rsidRPr="008E3F52" w:rsidRDefault="009A66D9" w:rsidP="0029211E">
      <w:pPr>
        <w:keepNext/>
      </w:pPr>
    </w:p>
    <w:p w14:paraId="1826EB18" w14:textId="67E5E606" w:rsidR="009A66D9" w:rsidRDefault="00B42E85" w:rsidP="00E52DA0">
      <w:pPr>
        <w:pStyle w:val="Heading2"/>
        <w:jc w:val="both"/>
      </w:pPr>
      <w:r>
        <w:t xml:space="preserve">5. </w:t>
      </w:r>
      <w:r w:rsidR="00BD7FED">
        <w:t>Conclusions</w:t>
      </w:r>
    </w:p>
    <w:p w14:paraId="6501900E" w14:textId="65DFD1A9" w:rsidR="009A66D9" w:rsidRPr="009A66D9" w:rsidRDefault="009A66D9" w:rsidP="00497D59">
      <w:pPr>
        <w:jc w:val="both"/>
      </w:pPr>
      <w:r>
        <w:t>This study highlights the dual challenges of creating and measuring policy impact. One challenge of much of the detailed synthesis work in PPA research is not directly used in</w:t>
      </w:r>
      <w:r w:rsidR="00022978">
        <w:t xml:space="preserve"> </w:t>
      </w:r>
      <w:r>
        <w:t>policymaking. This means that attempts to provide a solid evidence base may not be as well received</w:t>
      </w:r>
      <w:r w:rsidR="00022978">
        <w:t xml:space="preserve"> by government</w:t>
      </w:r>
      <w:r w:rsidR="00CF2B70">
        <w:t>al</w:t>
      </w:r>
      <w:r w:rsidR="00022978">
        <w:t xml:space="preserve"> decision makers</w:t>
      </w:r>
      <w:r>
        <w:t xml:space="preserve"> as more accessible formats. It also produces particular challenges around measurement, whereby documents that inscribe actual policy decisions typically do not contain many citations, making policy impact difficult to capture. The findings here provide support for the idea that the PPA literature is further built upon and brokered by think tanks</w:t>
      </w:r>
      <w:r w:rsidR="00022978">
        <w:t xml:space="preserve"> (and to a lesser extent, IGOs)</w:t>
      </w:r>
      <w:r>
        <w:t>, who then help translate this knowledge into policy briefs, policy reports, briefing notes or ministerial expertise. Final policy decisions made by governments typically do not contain any citations. Thus, PPA research may have different impact for different organi</w:t>
      </w:r>
      <w:r w:rsidR="00542BA6">
        <w:t>z</w:t>
      </w:r>
      <w:r>
        <w:t>ation</w:t>
      </w:r>
      <w:r w:rsidR="00CF2B70">
        <w:t>al</w:t>
      </w:r>
      <w:r>
        <w:t xml:space="preserve"> types, which is complicated because it becomes increasingly challenging to measure impact the closer we get to meaningful decisions. </w:t>
      </w:r>
    </w:p>
    <w:p w14:paraId="7DC8A395" w14:textId="44DD13A8" w:rsidR="008168F4" w:rsidRDefault="008168F4">
      <w:pPr>
        <w:jc w:val="both"/>
      </w:pPr>
    </w:p>
    <w:p w14:paraId="7047E5B3" w14:textId="32EA0047" w:rsidR="007A59E1" w:rsidRPr="007A59E1" w:rsidRDefault="007A59E1">
      <w:pPr>
        <w:jc w:val="both"/>
        <w:rPr>
          <w:b/>
          <w:bCs/>
        </w:rPr>
      </w:pPr>
      <w:r>
        <w:rPr>
          <w:b/>
          <w:bCs/>
        </w:rPr>
        <w:t>O</w:t>
      </w:r>
      <w:r w:rsidRPr="007A59E1">
        <w:rPr>
          <w:b/>
          <w:bCs/>
        </w:rPr>
        <w:t>pen science practices</w:t>
      </w:r>
    </w:p>
    <w:p w14:paraId="541E58D4" w14:textId="5B61E8E2" w:rsidR="007A59E1" w:rsidRDefault="007374CD">
      <w:pPr>
        <w:jc w:val="both"/>
      </w:pPr>
      <w:r>
        <w:t>We are not aware of an open database of policy documents. Thus, we are restricted to using a closed dataset</w:t>
      </w:r>
      <w:r w:rsidR="008D49E0">
        <w:t>.</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629FB350" w14:textId="5CAA58D5" w:rsidR="00370126" w:rsidRDefault="007C0914">
      <w:pPr>
        <w:jc w:val="both"/>
      </w:pPr>
      <w:r w:rsidRPr="007C0914">
        <w:t xml:space="preserve">The bibliometric data used in this study are from </w:t>
      </w:r>
      <w:r>
        <w:t>a</w:t>
      </w:r>
      <w:r w:rsidRPr="007C0914">
        <w:t xml:space="preserve"> bibliometric in-house database of the Max Planck Society (MPG)</w:t>
      </w:r>
      <w:r>
        <w:t>,</w:t>
      </w:r>
      <w:r w:rsidRPr="007C0914">
        <w:t xml:space="preserve"> developed and maintained in cooperation with the Max Planck Digital Library (MPDL, Munich)</w:t>
      </w:r>
      <w:r>
        <w:t>,</w:t>
      </w:r>
      <w:r w:rsidRPr="007C0914">
        <w:t xml:space="preserve"> derived from the Science Citation Index Expanded (SCI-E), Social Sciences Citation Index (SSCI), and Arts and Humanities Citation Index (AHCI) prepared by Clarivate (Philadelphia, Pennsylvania, USA)</w:t>
      </w:r>
      <w:r w:rsidR="009876A9">
        <w:t xml:space="preserve"> </w:t>
      </w:r>
      <w:r w:rsidR="009876A9" w:rsidRPr="00D37424">
        <w:rPr>
          <w:lang w:val="en-US"/>
        </w:rPr>
        <w:t xml:space="preserve">via the </w:t>
      </w:r>
      <w:r w:rsidR="009876A9">
        <w:rPr>
          <w:lang w:val="en-US"/>
        </w:rPr>
        <w:t>“</w:t>
      </w:r>
      <w:r w:rsidR="009876A9" w:rsidRPr="00D37424">
        <w:rPr>
          <w:lang w:val="en-US"/>
        </w:rPr>
        <w:t>Kompetenznetzwerk Bibliometrie</w:t>
      </w:r>
      <w:r w:rsidR="009876A9">
        <w:rPr>
          <w:lang w:val="en-US"/>
        </w:rPr>
        <w:t>”</w:t>
      </w:r>
      <w:r w:rsidR="009876A9" w:rsidRPr="00D37424">
        <w:rPr>
          <w:lang w:val="en-US"/>
        </w:rPr>
        <w:t xml:space="preserve"> (see https://bibliometrie.info/en/about-kb/) funded by BMBF (grant 16WIK2101A)</w:t>
      </w:r>
      <w:r w:rsidR="009876A9">
        <w:rPr>
          <w:lang w:val="en-US"/>
        </w:rPr>
        <w:t>.</w:t>
      </w:r>
      <w:r>
        <w:t xml:space="preserve"> The policy document data </w:t>
      </w:r>
      <w:r w:rsidR="007C286F">
        <w:t xml:space="preserve">used </w:t>
      </w:r>
      <w:r>
        <w:t>in this study are from an Overton snapshot provided by Euan Adie on 19 January 2023.</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3C93FC0F" w14:textId="500AF4BB" w:rsidR="00BD7FED" w:rsidRDefault="00BD7FED">
      <w:pPr>
        <w:jc w:val="both"/>
      </w:pPr>
      <w:r w:rsidRPr="00BD7FED">
        <w:t>Conceptualization</w:t>
      </w:r>
      <w:r>
        <w:t>: LB</w:t>
      </w:r>
      <w:r w:rsidR="007D4604">
        <w:t xml:space="preserve"> &amp;</w:t>
      </w:r>
      <w:r w:rsidR="00F633C9">
        <w:t xml:space="preserve"> KW</w:t>
      </w:r>
    </w:p>
    <w:p w14:paraId="564E1A4E" w14:textId="7AA17274" w:rsidR="00BD7FED" w:rsidRDefault="00BD7FED" w:rsidP="00BD7FED">
      <w:pPr>
        <w:jc w:val="both"/>
      </w:pPr>
      <w:r>
        <w:t>Data curation: RH &amp; KW</w:t>
      </w:r>
    </w:p>
    <w:p w14:paraId="2F82ED12" w14:textId="0D1FC5D6" w:rsidR="00BD7FED" w:rsidRDefault="00BD7FED" w:rsidP="00BD7FED">
      <w:pPr>
        <w:jc w:val="both"/>
      </w:pPr>
      <w:r>
        <w:t>Investigation: RH</w:t>
      </w:r>
      <w:r w:rsidR="00567508">
        <w:t xml:space="preserve"> &amp;</w:t>
      </w:r>
      <w:r>
        <w:t xml:space="preserve"> KW</w:t>
      </w:r>
    </w:p>
    <w:p w14:paraId="092BA1F5" w14:textId="37859136" w:rsidR="00BD7FED" w:rsidRDefault="00BD7FED" w:rsidP="00BD7FED">
      <w:pPr>
        <w:jc w:val="both"/>
      </w:pPr>
      <w:r>
        <w:t>Methodology: RH, KW, &amp; LB</w:t>
      </w:r>
    </w:p>
    <w:p w14:paraId="466FAD08" w14:textId="4D30E64C" w:rsidR="00BD7FED" w:rsidRDefault="00BD7FED" w:rsidP="00BD7FED">
      <w:pPr>
        <w:jc w:val="both"/>
      </w:pPr>
      <w:r>
        <w:t>Visualization: RH</w:t>
      </w:r>
    </w:p>
    <w:p w14:paraId="576B2DF5" w14:textId="38665BA8" w:rsidR="00BD7FED" w:rsidRDefault="00BD7FED" w:rsidP="00BD7FED">
      <w:pPr>
        <w:jc w:val="both"/>
      </w:pPr>
      <w:r>
        <w:t>Writing – original draft: RH</w:t>
      </w:r>
      <w:r w:rsidR="004C64E4">
        <w:t xml:space="preserve"> &amp;</w:t>
      </w:r>
      <w:r>
        <w:t xml:space="preserve"> KW</w:t>
      </w:r>
    </w:p>
    <w:p w14:paraId="0099233D" w14:textId="04C0C96A" w:rsidR="00BD7FED" w:rsidRDefault="00BD7FED" w:rsidP="00BD7FED">
      <w:pPr>
        <w:jc w:val="both"/>
      </w:pPr>
      <w:r>
        <w:t>Writing – review &amp; editing: RH, KW, &amp; LB</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2DE94869" w14:textId="0A3BA5EE" w:rsidR="00370126" w:rsidRDefault="007C286F">
      <w:pPr>
        <w:jc w:val="both"/>
      </w:pPr>
      <w:r>
        <w:t>The</w:t>
      </w:r>
      <w:r w:rsidR="00EF3656">
        <w:t xml:space="preserve"> </w:t>
      </w:r>
      <w:r>
        <w:t>a</w:t>
      </w:r>
      <w:r w:rsidR="00EF3656">
        <w:t>uthors declare that they 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4F86D9E6" w:rsidR="00DF037E" w:rsidRDefault="00C00329">
      <w:pPr>
        <w:jc w:val="both"/>
      </w:pPr>
      <w:r>
        <w:t xml:space="preserve">Access to </w:t>
      </w:r>
      <w:r w:rsidRPr="007C0914">
        <w:t>bibliometric data</w:t>
      </w:r>
      <w:r>
        <w:t xml:space="preserve"> was enabled via </w:t>
      </w:r>
      <w:r w:rsidRPr="00D37424">
        <w:rPr>
          <w:lang w:val="en-US"/>
        </w:rPr>
        <w:t>grant 16WIK2101A</w:t>
      </w:r>
      <w:r w:rsidR="00DF037E">
        <w:t>.</w:t>
      </w:r>
    </w:p>
    <w:p w14:paraId="6915C807" w14:textId="77777777" w:rsidR="00DF037E" w:rsidRDefault="00DF037E">
      <w:pPr>
        <w:jc w:val="both"/>
      </w:pPr>
    </w:p>
    <w:p w14:paraId="153897FF" w14:textId="77777777" w:rsidR="008168F4" w:rsidRDefault="008168F4">
      <w:pPr>
        <w:jc w:val="both"/>
        <w:rPr>
          <w:b/>
          <w:bCs/>
        </w:rPr>
      </w:pPr>
      <w:r>
        <w:rPr>
          <w:b/>
          <w:bCs/>
        </w:rPr>
        <w:t>References</w:t>
      </w:r>
    </w:p>
    <w:p w14:paraId="4571F55C" w14:textId="77777777" w:rsidR="00405CCD" w:rsidRPr="00405CCD" w:rsidRDefault="009E4760" w:rsidP="00405CCD">
      <w:pPr>
        <w:pStyle w:val="EndNoteBibliography"/>
        <w:ind w:left="720" w:hanging="720"/>
        <w:divId w:val="348218636"/>
      </w:pPr>
      <w:r>
        <w:fldChar w:fldCharType="begin"/>
      </w:r>
      <w:r w:rsidRPr="00CE561C">
        <w:rPr>
          <w:lang w:val="en-AU"/>
        </w:rPr>
        <w:instrText xml:space="preserve"> ADDIN EN.REFLIST </w:instrText>
      </w:r>
      <w:r>
        <w:fldChar w:fldCharType="separate"/>
      </w:r>
      <w:r w:rsidR="00405CCD" w:rsidRPr="00405CCD">
        <w:t xml:space="preserve">Abbott, A. (1988). </w:t>
      </w:r>
      <w:r w:rsidR="00405CCD" w:rsidRPr="00405CCD">
        <w:rPr>
          <w:i/>
        </w:rPr>
        <w:t>The system of professions: An essay on the division of expert labor</w:t>
      </w:r>
      <w:r w:rsidR="00405CCD" w:rsidRPr="00405CCD">
        <w:t>. London: University of Chicago Press.</w:t>
      </w:r>
    </w:p>
    <w:p w14:paraId="4F543EC8" w14:textId="77777777" w:rsidR="00405CCD" w:rsidRPr="00405CCD" w:rsidRDefault="00405CCD" w:rsidP="00405CCD">
      <w:pPr>
        <w:pStyle w:val="EndNoteBibliography"/>
        <w:ind w:left="720" w:hanging="720"/>
        <w:divId w:val="348218636"/>
      </w:pPr>
      <w:r w:rsidRPr="00405CCD">
        <w:t xml:space="preserve">Abelson, D. E. (2009). </w:t>
      </w:r>
      <w:r w:rsidRPr="00405CCD">
        <w:rPr>
          <w:i/>
        </w:rPr>
        <w:t>Do think tanks matter? Assessing the impact of public policy institutes introduction</w:t>
      </w:r>
      <w:r w:rsidRPr="00405CCD">
        <w:t>. Kingston: Queen's School of Policy Studies.</w:t>
      </w:r>
    </w:p>
    <w:p w14:paraId="104962E2" w14:textId="77777777" w:rsidR="00405CCD" w:rsidRPr="00405CCD" w:rsidRDefault="00405CCD" w:rsidP="00405CCD">
      <w:pPr>
        <w:pStyle w:val="EndNoteBibliography"/>
        <w:ind w:left="720" w:hanging="720"/>
        <w:divId w:val="348218636"/>
      </w:pPr>
      <w:r w:rsidRPr="00405CCD">
        <w:t xml:space="preserve">Boswell , C. (2009). </w:t>
      </w:r>
      <w:r w:rsidRPr="00405CCD">
        <w:rPr>
          <w:i/>
        </w:rPr>
        <w:t>The political uses of expert knowledge</w:t>
      </w:r>
      <w:r w:rsidRPr="00405CCD">
        <w:t>: Cambridge University Press.</w:t>
      </w:r>
    </w:p>
    <w:p w14:paraId="7A88930E" w14:textId="5704BB99" w:rsidR="00405CCD" w:rsidRPr="00405CCD" w:rsidRDefault="00405CCD" w:rsidP="00405CCD">
      <w:pPr>
        <w:pStyle w:val="EndNoteBibliography"/>
        <w:ind w:left="720" w:hanging="720"/>
        <w:divId w:val="348218636"/>
      </w:pPr>
      <w:r w:rsidRPr="00405CCD">
        <w:lastRenderedPageBreak/>
        <w:t xml:space="preserve">Canadian Public Policy. (2023). Canadian Public Policy. Retrieved March 10, 2023, from </w:t>
      </w:r>
      <w:hyperlink r:id="rId17" w:history="1">
        <w:r w:rsidRPr="00405CCD">
          <w:rPr>
            <w:rStyle w:val="Hyperlink"/>
          </w:rPr>
          <w:t>https://www.utpjournals.press/loi/cpp</w:t>
        </w:r>
      </w:hyperlink>
    </w:p>
    <w:p w14:paraId="45A056DE" w14:textId="227B41FF" w:rsidR="00405CCD" w:rsidRPr="00405CCD" w:rsidRDefault="00405CCD" w:rsidP="00405CCD">
      <w:pPr>
        <w:pStyle w:val="EndNoteBibliography"/>
        <w:ind w:left="720" w:hanging="720"/>
        <w:divId w:val="348218636"/>
      </w:pPr>
      <w:r w:rsidRPr="00405CCD">
        <w:t xml:space="preserve">Christensen, J. (2021). Expert knowledge and policymaking: A multi-disciplinary research agenda. </w:t>
      </w:r>
      <w:r w:rsidRPr="00405CCD">
        <w:rPr>
          <w:i/>
        </w:rPr>
        <w:t>Policy &amp; Politics, 49</w:t>
      </w:r>
      <w:r w:rsidRPr="00405CCD">
        <w:t xml:space="preserve">(3), 455-471. doi: </w:t>
      </w:r>
      <w:hyperlink r:id="rId18" w:history="1">
        <w:r w:rsidRPr="00405CCD">
          <w:rPr>
            <w:rStyle w:val="Hyperlink"/>
          </w:rPr>
          <w:t>https://dx.doi.org/10.1332/030557320x15898190680037</w:t>
        </w:r>
      </w:hyperlink>
      <w:r w:rsidRPr="00405CCD">
        <w:t>.</w:t>
      </w:r>
    </w:p>
    <w:p w14:paraId="0089B527" w14:textId="77777777" w:rsidR="00405CCD" w:rsidRPr="00405CCD" w:rsidRDefault="00405CCD" w:rsidP="00405CCD">
      <w:pPr>
        <w:pStyle w:val="EndNoteBibliography"/>
        <w:ind w:left="720" w:hanging="720"/>
        <w:divId w:val="348218636"/>
      </w:pPr>
      <w:r w:rsidRPr="00405CCD">
        <w:t xml:space="preserve">Fischer, F., Miller, G., &amp; Sidney, M. (2006). </w:t>
      </w:r>
      <w:r w:rsidRPr="00405CCD">
        <w:rPr>
          <w:i/>
        </w:rPr>
        <w:t>Handbook of public policy analysis: Theory, politics, and methods</w:t>
      </w:r>
      <w:r w:rsidRPr="00405CCD">
        <w:t>: CRC Press.</w:t>
      </w:r>
    </w:p>
    <w:p w14:paraId="536985EF" w14:textId="4A26DF4C" w:rsidR="00405CCD" w:rsidRPr="00405CCD" w:rsidRDefault="00405CCD" w:rsidP="00405CCD">
      <w:pPr>
        <w:pStyle w:val="EndNoteBibliography"/>
        <w:ind w:left="720" w:hanging="720"/>
        <w:divId w:val="348218636"/>
      </w:pPr>
      <w:r w:rsidRPr="00405CCD">
        <w:t xml:space="preserve">Haas, P. M. (1992). Introduction: Epistemic communities and international policy coordination. </w:t>
      </w:r>
      <w:r w:rsidRPr="00405CCD">
        <w:rPr>
          <w:i/>
        </w:rPr>
        <w:t>International Organization, 46</w:t>
      </w:r>
      <w:r w:rsidRPr="00405CCD">
        <w:t xml:space="preserve">(1), 1-35. doi: </w:t>
      </w:r>
      <w:hyperlink r:id="rId19" w:history="1">
        <w:r w:rsidRPr="00405CCD">
          <w:rPr>
            <w:rStyle w:val="Hyperlink"/>
          </w:rPr>
          <w:t>https://dx.doi.org/10.1017/S0020818300001442</w:t>
        </w:r>
      </w:hyperlink>
      <w:r w:rsidRPr="00405CCD">
        <w:t>.</w:t>
      </w:r>
    </w:p>
    <w:p w14:paraId="54707D79" w14:textId="77777777" w:rsidR="00405CCD" w:rsidRPr="00405CCD" w:rsidRDefault="00405CCD" w:rsidP="00405CCD">
      <w:pPr>
        <w:pStyle w:val="EndNoteBibliography"/>
        <w:ind w:left="720" w:hanging="720"/>
        <w:divId w:val="348218636"/>
      </w:pPr>
      <w:r w:rsidRPr="00405CCD">
        <w:t xml:space="preserve">Hall, P. A. (1989). Introduction. In P. A. Hall (Ed.), </w:t>
      </w:r>
      <w:r w:rsidRPr="00405CCD">
        <w:rPr>
          <w:i/>
        </w:rPr>
        <w:t>The political power of economic ideas</w:t>
      </w:r>
      <w:r w:rsidRPr="00405CCD">
        <w:t xml:space="preserve"> (pp. 1-26). Princeton: Princeton University Press.</w:t>
      </w:r>
    </w:p>
    <w:p w14:paraId="144A26B4" w14:textId="4360537D" w:rsidR="00405CCD" w:rsidRPr="00405CCD" w:rsidRDefault="00405CCD" w:rsidP="00405CCD">
      <w:pPr>
        <w:pStyle w:val="EndNoteBibliography"/>
        <w:ind w:left="720" w:hanging="720"/>
        <w:divId w:val="348218636"/>
      </w:pPr>
      <w:r w:rsidRPr="00405CCD">
        <w:t xml:space="preserve">Head, B. W. (2016). Toward more “evidence-informed” policy making? </w:t>
      </w:r>
      <w:r w:rsidRPr="00405CCD">
        <w:rPr>
          <w:i/>
        </w:rPr>
        <w:t>Public Administration Review, 76</w:t>
      </w:r>
      <w:r w:rsidRPr="00405CCD">
        <w:t xml:space="preserve">(3), 472-484. doi: </w:t>
      </w:r>
      <w:hyperlink r:id="rId20" w:history="1">
        <w:r w:rsidRPr="00405CCD">
          <w:rPr>
            <w:rStyle w:val="Hyperlink"/>
          </w:rPr>
          <w:t>https://doi.org/10.1111/puar.12475</w:t>
        </w:r>
      </w:hyperlink>
      <w:r w:rsidRPr="00405CCD">
        <w:t>.</w:t>
      </w:r>
    </w:p>
    <w:p w14:paraId="6605DE8C" w14:textId="201E1E98" w:rsidR="00405CCD" w:rsidRPr="00405CCD" w:rsidRDefault="00405CCD" w:rsidP="00405CCD">
      <w:pPr>
        <w:pStyle w:val="EndNoteBibliography"/>
        <w:ind w:left="720" w:hanging="720"/>
        <w:divId w:val="348218636"/>
      </w:pPr>
      <w:r w:rsidRPr="00405CCD">
        <w:t xml:space="preserve">IRSPM (2023). International Research Society for Public Management. Retrieved March 10, 2023, from </w:t>
      </w:r>
      <w:hyperlink r:id="rId21" w:history="1">
        <w:r w:rsidRPr="00405CCD">
          <w:rPr>
            <w:rStyle w:val="Hyperlink"/>
          </w:rPr>
          <w:t>https://www.irspm.org/</w:t>
        </w:r>
      </w:hyperlink>
    </w:p>
    <w:p w14:paraId="0F1A234E" w14:textId="77777777" w:rsidR="00405CCD" w:rsidRPr="00405CCD" w:rsidRDefault="00405CCD" w:rsidP="00405CCD">
      <w:pPr>
        <w:pStyle w:val="EndNoteBibliography"/>
        <w:ind w:left="720" w:hanging="720"/>
        <w:divId w:val="348218636"/>
      </w:pPr>
      <w:r w:rsidRPr="00405CCD">
        <w:t xml:space="preserve">Jasanoff , S. (1990). </w:t>
      </w:r>
      <w:r w:rsidRPr="00405CCD">
        <w:rPr>
          <w:i/>
        </w:rPr>
        <w:t>The fifth branch. Science advisers as policymakers.</w:t>
      </w:r>
      <w:r w:rsidRPr="00405CCD">
        <w:t xml:space="preserve"> Cambridge, MA: Harvard University Press.</w:t>
      </w:r>
    </w:p>
    <w:p w14:paraId="241BB156" w14:textId="16A560F6" w:rsidR="00405CCD" w:rsidRPr="00405CCD" w:rsidRDefault="00405CCD" w:rsidP="00405CCD">
      <w:pPr>
        <w:pStyle w:val="EndNoteBibliography"/>
        <w:ind w:left="720" w:hanging="720"/>
        <w:divId w:val="348218636"/>
      </w:pPr>
      <w:r w:rsidRPr="00405CCD">
        <w:t xml:space="preserve">Public Administration Review. (2023). Public Administration Review - Wiley Online Library. Retrieved March 10, 2023, from </w:t>
      </w:r>
      <w:hyperlink r:id="rId22" w:history="1">
        <w:r w:rsidRPr="00405CCD">
          <w:rPr>
            <w:rStyle w:val="Hyperlink"/>
          </w:rPr>
          <w:t>https://onlinelibrary.wiley.com/journal/15406210</w:t>
        </w:r>
      </w:hyperlink>
    </w:p>
    <w:p w14:paraId="55A26DF6" w14:textId="0AD114DE" w:rsidR="00405CCD" w:rsidRPr="00405CCD" w:rsidRDefault="00405CCD" w:rsidP="00405CCD">
      <w:pPr>
        <w:pStyle w:val="EndNoteBibliography"/>
        <w:ind w:left="720" w:hanging="720"/>
        <w:divId w:val="348218636"/>
        <w:rPr>
          <w:u w:val="single"/>
        </w:rPr>
      </w:pPr>
      <w:r w:rsidRPr="00405CCD">
        <w:t xml:space="preserve">R Core Team. (2019). R: A language and environment for statistical computing (Version 3.6.0). Vienna, Austria: R Foundation for Statistical Computing. Retrieved from </w:t>
      </w:r>
      <w:hyperlink r:id="rId23" w:history="1">
        <w:r w:rsidRPr="00405CCD">
          <w:rPr>
            <w:rStyle w:val="Hyperlink"/>
          </w:rPr>
          <w:t>https://www.r-project.org/</w:t>
        </w:r>
      </w:hyperlink>
    </w:p>
    <w:p w14:paraId="74642E7B" w14:textId="77777777" w:rsidR="00405CCD" w:rsidRPr="00405CCD" w:rsidRDefault="00405CCD" w:rsidP="00405CCD">
      <w:pPr>
        <w:pStyle w:val="EndNoteBibliography"/>
        <w:ind w:left="720" w:hanging="720"/>
        <w:divId w:val="348218636"/>
      </w:pPr>
      <w:r w:rsidRPr="00405CCD">
        <w:t xml:space="preserve">Sverrisson, Á. (2001). Translation networks, knowledge brokers and novelty construction: Pragmatic environmentalism in Sweden. </w:t>
      </w:r>
      <w:r w:rsidRPr="00405CCD">
        <w:rPr>
          <w:i/>
        </w:rPr>
        <w:t>Acta Sociologica, 44</w:t>
      </w:r>
      <w:r w:rsidRPr="00405CCD">
        <w:t>(4), 313-327.</w:t>
      </w:r>
    </w:p>
    <w:p w14:paraId="4AF6455A" w14:textId="77777777" w:rsidR="00405CCD" w:rsidRPr="00405CCD" w:rsidRDefault="00405CCD" w:rsidP="00405CCD">
      <w:pPr>
        <w:pStyle w:val="EndNoteBibliography"/>
        <w:ind w:left="720" w:hanging="720"/>
        <w:divId w:val="348218636"/>
      </w:pPr>
      <w:r w:rsidRPr="00405CCD">
        <w:t xml:space="preserve">Szomszor, M., &amp; Adie, E. (2022). Overton: A bibliometric database of policy document citations. </w:t>
      </w:r>
      <w:r w:rsidRPr="00405CCD">
        <w:rPr>
          <w:i/>
        </w:rPr>
        <w:t>Quantitative Science Studies, 3</w:t>
      </w:r>
      <w:r w:rsidRPr="00405CCD">
        <w:t>(3), 624-650. doi: 10.1162/qss_a_00204.</w:t>
      </w:r>
    </w:p>
    <w:p w14:paraId="0C40E1AE" w14:textId="1FA1DADB" w:rsidR="00405CCD" w:rsidRPr="00405CCD" w:rsidRDefault="00405CCD" w:rsidP="00405CCD">
      <w:pPr>
        <w:pStyle w:val="EndNoteBibliography"/>
        <w:ind w:left="720" w:hanging="720"/>
        <w:divId w:val="348218636"/>
        <w:rPr>
          <w:u w:val="single"/>
        </w:rPr>
      </w:pPr>
      <w:r w:rsidRPr="00405CCD">
        <w:t xml:space="preserve">Wickham, H. (2017). Tidyverse: Easily install and load the 'Tidyverse'. R package version 1.2.1. Retrieved 22 June 2020, from </w:t>
      </w:r>
      <w:hyperlink r:id="rId24" w:history="1">
        <w:r w:rsidRPr="00405CCD">
          <w:rPr>
            <w:rStyle w:val="Hyperlink"/>
          </w:rPr>
          <w:t>https://CRAN.R-project.org/package=tidyverse</w:t>
        </w:r>
      </w:hyperlink>
    </w:p>
    <w:p w14:paraId="24513F2F" w14:textId="352A65F2" w:rsidR="00405CCD" w:rsidRPr="00405CCD" w:rsidRDefault="00405CCD" w:rsidP="00405CCD">
      <w:pPr>
        <w:pStyle w:val="EndNoteBibliography"/>
        <w:ind w:left="720" w:hanging="720"/>
        <w:divId w:val="348218636"/>
      </w:pPr>
      <w:r w:rsidRPr="00405CCD">
        <w:t xml:space="preserve">Yang, C., Huang, C., &amp; Su, J. (2020). A bibliometrics-based research framework for exploring policy evolution: A case study of China's information technology policies. </w:t>
      </w:r>
      <w:r w:rsidRPr="00405CCD">
        <w:rPr>
          <w:i/>
        </w:rPr>
        <w:t>Technological Forecasting and Social Change, 157</w:t>
      </w:r>
      <w:r w:rsidRPr="00405CCD">
        <w:t xml:space="preserve">, 120116. doi: </w:t>
      </w:r>
      <w:hyperlink r:id="rId25" w:history="1">
        <w:r w:rsidRPr="00405CCD">
          <w:rPr>
            <w:rStyle w:val="Hyperlink"/>
          </w:rPr>
          <w:t>https://doi.org/10.1016/j.techfore.2020.120116</w:t>
        </w:r>
      </w:hyperlink>
      <w:r w:rsidRPr="00405CCD">
        <w:t>.</w:t>
      </w:r>
    </w:p>
    <w:p w14:paraId="2BD9F41A" w14:textId="1C55D822" w:rsidR="00115D47" w:rsidRDefault="009E4760">
      <w:pPr>
        <w:divId w:val="348218636"/>
      </w:pPr>
      <w:r>
        <w:fldChar w:fldCharType="end"/>
      </w:r>
    </w:p>
    <w:p w14:paraId="32F5D186" w14:textId="7DF92A64" w:rsidR="00D00AAB" w:rsidRPr="00173EAD" w:rsidRDefault="00D00AAB" w:rsidP="00F92089">
      <w:pPr>
        <w:jc w:val="both"/>
      </w:pPr>
    </w:p>
    <w:sectPr w:rsidR="00D00AAB" w:rsidRPr="00173EAD" w:rsidSect="00E33403">
      <w:pgSz w:w="11907" w:h="16839"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414C5" w16cid:durableId="27E7AB37"/>
  <w16cid:commentId w16cid:paraId="728E03F4" w16cid:durableId="27E8DF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53B0" w14:textId="77777777" w:rsidR="0001776E" w:rsidRDefault="0001776E">
      <w:r>
        <w:separator/>
      </w:r>
    </w:p>
  </w:endnote>
  <w:endnote w:type="continuationSeparator" w:id="0">
    <w:p w14:paraId="5D54192C" w14:textId="77777777" w:rsidR="0001776E" w:rsidRDefault="0001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A441" w14:textId="77777777" w:rsidR="0001776E" w:rsidRDefault="0001776E">
      <w:r>
        <w:separator/>
      </w:r>
    </w:p>
  </w:footnote>
  <w:footnote w:type="continuationSeparator" w:id="0">
    <w:p w14:paraId="40EBBF28" w14:textId="77777777" w:rsidR="0001776E" w:rsidRDefault="00017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76185"/>
    <w:multiLevelType w:val="multilevel"/>
    <w:tmpl w:val="F5BAA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A4DD0"/>
    <w:multiLevelType w:val="hybridMultilevel"/>
    <w:tmpl w:val="30AE0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47329"/>
    <w:multiLevelType w:val="multilevel"/>
    <w:tmpl w:val="9E28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91ADD"/>
    <w:multiLevelType w:val="multilevel"/>
    <w:tmpl w:val="77381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F7C6D"/>
    <w:multiLevelType w:val="multilevel"/>
    <w:tmpl w:val="838E3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C6B39"/>
    <w:multiLevelType w:val="multilevel"/>
    <w:tmpl w:val="62E08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E84E58"/>
    <w:multiLevelType w:val="hybridMultilevel"/>
    <w:tmpl w:val="1ADCCD9E"/>
    <w:lvl w:ilvl="0" w:tplc="E6EEFAD4">
      <w:start w:val="2"/>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3852C3"/>
    <w:multiLevelType w:val="multilevel"/>
    <w:tmpl w:val="9C28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3"/>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num>
  <w:num w:numId="8">
    <w:abstractNumId w:val="4"/>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m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t5xdpt5srxr3edaeu5r0sdpaxwttzfwfte&quot;&gt;RH_EndNote_Library-Converted_2&lt;record-ids&gt;&lt;item&gt;512&lt;/item&gt;&lt;item&gt;789&lt;/item&gt;&lt;item&gt;891&lt;/item&gt;&lt;item&gt;900&lt;/item&gt;&lt;item&gt;901&lt;/item&gt;&lt;item&gt;902&lt;/item&gt;&lt;item&gt;903&lt;/item&gt;&lt;item&gt;904&lt;/item&gt;&lt;item&gt;905&lt;/item&gt;&lt;item&gt;906&lt;/item&gt;&lt;item&gt;907&lt;/item&gt;&lt;item&gt;908&lt;/item&gt;&lt;item&gt;909&lt;/item&gt;&lt;item&gt;910&lt;/item&gt;&lt;item&gt;911&lt;/item&gt;&lt;item&gt;912&lt;/item&gt;&lt;item&gt;914&lt;/item&gt;&lt;/record-ids&gt;&lt;/item&gt;&lt;/Libraries&gt;"/>
  </w:docVars>
  <w:rsids>
    <w:rsidRoot w:val="004E56AC"/>
    <w:rsid w:val="0000194C"/>
    <w:rsid w:val="0000519E"/>
    <w:rsid w:val="00013E2F"/>
    <w:rsid w:val="00015A7B"/>
    <w:rsid w:val="00016081"/>
    <w:rsid w:val="00016CFE"/>
    <w:rsid w:val="0001776E"/>
    <w:rsid w:val="000224AE"/>
    <w:rsid w:val="00022978"/>
    <w:rsid w:val="00022F49"/>
    <w:rsid w:val="00023AB3"/>
    <w:rsid w:val="00030C32"/>
    <w:rsid w:val="00030D85"/>
    <w:rsid w:val="00040F68"/>
    <w:rsid w:val="000478D3"/>
    <w:rsid w:val="00052E3A"/>
    <w:rsid w:val="0005460D"/>
    <w:rsid w:val="00054CD4"/>
    <w:rsid w:val="00065B74"/>
    <w:rsid w:val="000668A4"/>
    <w:rsid w:val="00066FBE"/>
    <w:rsid w:val="00067E09"/>
    <w:rsid w:val="000743B9"/>
    <w:rsid w:val="00077816"/>
    <w:rsid w:val="00081D4D"/>
    <w:rsid w:val="00082CF8"/>
    <w:rsid w:val="00083F5A"/>
    <w:rsid w:val="00093969"/>
    <w:rsid w:val="00094E04"/>
    <w:rsid w:val="000A0333"/>
    <w:rsid w:val="000A2344"/>
    <w:rsid w:val="000A46A8"/>
    <w:rsid w:val="000A4A9F"/>
    <w:rsid w:val="000B257D"/>
    <w:rsid w:val="000B323A"/>
    <w:rsid w:val="000C0E34"/>
    <w:rsid w:val="000C17D4"/>
    <w:rsid w:val="000C1967"/>
    <w:rsid w:val="000C25AF"/>
    <w:rsid w:val="000C6C69"/>
    <w:rsid w:val="000D460F"/>
    <w:rsid w:val="000F1E72"/>
    <w:rsid w:val="000F317D"/>
    <w:rsid w:val="000F6691"/>
    <w:rsid w:val="0010063A"/>
    <w:rsid w:val="00104E6D"/>
    <w:rsid w:val="00105061"/>
    <w:rsid w:val="00105A1D"/>
    <w:rsid w:val="001138CA"/>
    <w:rsid w:val="00115695"/>
    <w:rsid w:val="00115D47"/>
    <w:rsid w:val="001164B5"/>
    <w:rsid w:val="001229A3"/>
    <w:rsid w:val="0012500F"/>
    <w:rsid w:val="001372D8"/>
    <w:rsid w:val="001402B3"/>
    <w:rsid w:val="00140B79"/>
    <w:rsid w:val="0014582D"/>
    <w:rsid w:val="00152A1D"/>
    <w:rsid w:val="00157749"/>
    <w:rsid w:val="00157D13"/>
    <w:rsid w:val="00161230"/>
    <w:rsid w:val="00173EAD"/>
    <w:rsid w:val="00175488"/>
    <w:rsid w:val="00177A8A"/>
    <w:rsid w:val="0018450B"/>
    <w:rsid w:val="001867AA"/>
    <w:rsid w:val="00186CF6"/>
    <w:rsid w:val="0018781C"/>
    <w:rsid w:val="0019343D"/>
    <w:rsid w:val="00196A5E"/>
    <w:rsid w:val="001B29B6"/>
    <w:rsid w:val="001D7CC8"/>
    <w:rsid w:val="001E012B"/>
    <w:rsid w:val="001E0B98"/>
    <w:rsid w:val="001E2E51"/>
    <w:rsid w:val="001E568F"/>
    <w:rsid w:val="001F111A"/>
    <w:rsid w:val="001F27D9"/>
    <w:rsid w:val="001F332D"/>
    <w:rsid w:val="001F52AD"/>
    <w:rsid w:val="001F7644"/>
    <w:rsid w:val="001F7AC4"/>
    <w:rsid w:val="0020033E"/>
    <w:rsid w:val="00202745"/>
    <w:rsid w:val="002127DC"/>
    <w:rsid w:val="0022105C"/>
    <w:rsid w:val="0022290C"/>
    <w:rsid w:val="0023463C"/>
    <w:rsid w:val="00244ABE"/>
    <w:rsid w:val="00255408"/>
    <w:rsid w:val="002570BB"/>
    <w:rsid w:val="00264F48"/>
    <w:rsid w:val="00273292"/>
    <w:rsid w:val="00276CC7"/>
    <w:rsid w:val="002835A6"/>
    <w:rsid w:val="0028410F"/>
    <w:rsid w:val="0028513A"/>
    <w:rsid w:val="0029109C"/>
    <w:rsid w:val="00291BD4"/>
    <w:rsid w:val="0029211E"/>
    <w:rsid w:val="00293DA3"/>
    <w:rsid w:val="002943CA"/>
    <w:rsid w:val="002B1950"/>
    <w:rsid w:val="002C0FA2"/>
    <w:rsid w:val="002C152D"/>
    <w:rsid w:val="002C342A"/>
    <w:rsid w:val="002C3556"/>
    <w:rsid w:val="002C3C98"/>
    <w:rsid w:val="002D1B17"/>
    <w:rsid w:val="002D33F7"/>
    <w:rsid w:val="002D3BE4"/>
    <w:rsid w:val="002D710E"/>
    <w:rsid w:val="002D7788"/>
    <w:rsid w:val="002E5944"/>
    <w:rsid w:val="002E7904"/>
    <w:rsid w:val="002F19C8"/>
    <w:rsid w:val="002F243C"/>
    <w:rsid w:val="00310C0B"/>
    <w:rsid w:val="0031202E"/>
    <w:rsid w:val="003124AD"/>
    <w:rsid w:val="003127D0"/>
    <w:rsid w:val="00316C17"/>
    <w:rsid w:val="00320C5D"/>
    <w:rsid w:val="003316A5"/>
    <w:rsid w:val="0033275B"/>
    <w:rsid w:val="0034141E"/>
    <w:rsid w:val="00345E92"/>
    <w:rsid w:val="00346A57"/>
    <w:rsid w:val="00351AF2"/>
    <w:rsid w:val="0035307C"/>
    <w:rsid w:val="0035543D"/>
    <w:rsid w:val="003567B1"/>
    <w:rsid w:val="00370126"/>
    <w:rsid w:val="00371ACD"/>
    <w:rsid w:val="00376D80"/>
    <w:rsid w:val="003826CA"/>
    <w:rsid w:val="00383A87"/>
    <w:rsid w:val="0038759A"/>
    <w:rsid w:val="00387850"/>
    <w:rsid w:val="00390253"/>
    <w:rsid w:val="00391E3C"/>
    <w:rsid w:val="00393436"/>
    <w:rsid w:val="003960AE"/>
    <w:rsid w:val="003B6383"/>
    <w:rsid w:val="003C30AF"/>
    <w:rsid w:val="003C4345"/>
    <w:rsid w:val="003C5313"/>
    <w:rsid w:val="003C6EF5"/>
    <w:rsid w:val="003C76AF"/>
    <w:rsid w:val="003D1C80"/>
    <w:rsid w:val="003D2580"/>
    <w:rsid w:val="003E4949"/>
    <w:rsid w:val="003F47CA"/>
    <w:rsid w:val="003F5733"/>
    <w:rsid w:val="004001B0"/>
    <w:rsid w:val="00402BA6"/>
    <w:rsid w:val="00402C81"/>
    <w:rsid w:val="004057FC"/>
    <w:rsid w:val="00405CCD"/>
    <w:rsid w:val="00420106"/>
    <w:rsid w:val="004279E6"/>
    <w:rsid w:val="00430FC6"/>
    <w:rsid w:val="0044073E"/>
    <w:rsid w:val="00445A23"/>
    <w:rsid w:val="004508FD"/>
    <w:rsid w:val="00450CBB"/>
    <w:rsid w:val="00451AA5"/>
    <w:rsid w:val="0045560F"/>
    <w:rsid w:val="004573D4"/>
    <w:rsid w:val="00470601"/>
    <w:rsid w:val="00471222"/>
    <w:rsid w:val="004714EB"/>
    <w:rsid w:val="004725C8"/>
    <w:rsid w:val="00475931"/>
    <w:rsid w:val="004971AB"/>
    <w:rsid w:val="00497D59"/>
    <w:rsid w:val="004B66D1"/>
    <w:rsid w:val="004C64E4"/>
    <w:rsid w:val="004D23C5"/>
    <w:rsid w:val="004D4532"/>
    <w:rsid w:val="004E11D6"/>
    <w:rsid w:val="004E212B"/>
    <w:rsid w:val="004E56AC"/>
    <w:rsid w:val="004F445B"/>
    <w:rsid w:val="004F5C4B"/>
    <w:rsid w:val="0050144C"/>
    <w:rsid w:val="005030F4"/>
    <w:rsid w:val="005110DD"/>
    <w:rsid w:val="0051577E"/>
    <w:rsid w:val="005170CD"/>
    <w:rsid w:val="005172F9"/>
    <w:rsid w:val="00517FCF"/>
    <w:rsid w:val="00522BF8"/>
    <w:rsid w:val="0053603D"/>
    <w:rsid w:val="0054026B"/>
    <w:rsid w:val="00542613"/>
    <w:rsid w:val="00542798"/>
    <w:rsid w:val="00542BA6"/>
    <w:rsid w:val="00545338"/>
    <w:rsid w:val="0054666D"/>
    <w:rsid w:val="00554E8F"/>
    <w:rsid w:val="00561B02"/>
    <w:rsid w:val="00567508"/>
    <w:rsid w:val="00570E3F"/>
    <w:rsid w:val="00572E3E"/>
    <w:rsid w:val="005736CB"/>
    <w:rsid w:val="00574F51"/>
    <w:rsid w:val="0057717C"/>
    <w:rsid w:val="0058253A"/>
    <w:rsid w:val="0058753E"/>
    <w:rsid w:val="00595181"/>
    <w:rsid w:val="00595AC4"/>
    <w:rsid w:val="00596F60"/>
    <w:rsid w:val="005A0C8D"/>
    <w:rsid w:val="005A1BF2"/>
    <w:rsid w:val="005B3511"/>
    <w:rsid w:val="005C57FE"/>
    <w:rsid w:val="005C6A9C"/>
    <w:rsid w:val="00606575"/>
    <w:rsid w:val="00614ED0"/>
    <w:rsid w:val="006278C4"/>
    <w:rsid w:val="00630B23"/>
    <w:rsid w:val="0063363B"/>
    <w:rsid w:val="006440DA"/>
    <w:rsid w:val="00646543"/>
    <w:rsid w:val="00647A0B"/>
    <w:rsid w:val="00647E28"/>
    <w:rsid w:val="006510F8"/>
    <w:rsid w:val="006513C3"/>
    <w:rsid w:val="00653070"/>
    <w:rsid w:val="006609A8"/>
    <w:rsid w:val="0066157A"/>
    <w:rsid w:val="00662AF1"/>
    <w:rsid w:val="00663AC3"/>
    <w:rsid w:val="00663B50"/>
    <w:rsid w:val="00681AAA"/>
    <w:rsid w:val="00684B8B"/>
    <w:rsid w:val="00685FE6"/>
    <w:rsid w:val="0069082E"/>
    <w:rsid w:val="00693A6A"/>
    <w:rsid w:val="006A3370"/>
    <w:rsid w:val="006C223F"/>
    <w:rsid w:val="006C3ECD"/>
    <w:rsid w:val="006C40B1"/>
    <w:rsid w:val="006C4D7E"/>
    <w:rsid w:val="006D1380"/>
    <w:rsid w:val="006D14F4"/>
    <w:rsid w:val="006D6ED2"/>
    <w:rsid w:val="006E1324"/>
    <w:rsid w:val="006E3FD1"/>
    <w:rsid w:val="006E7E5A"/>
    <w:rsid w:val="006F487B"/>
    <w:rsid w:val="006F527C"/>
    <w:rsid w:val="007042BB"/>
    <w:rsid w:val="007053E7"/>
    <w:rsid w:val="007155F7"/>
    <w:rsid w:val="00716BCE"/>
    <w:rsid w:val="007228AC"/>
    <w:rsid w:val="00724352"/>
    <w:rsid w:val="0073347A"/>
    <w:rsid w:val="00734AFE"/>
    <w:rsid w:val="00737249"/>
    <w:rsid w:val="007374CD"/>
    <w:rsid w:val="00737C87"/>
    <w:rsid w:val="007412A0"/>
    <w:rsid w:val="0074177C"/>
    <w:rsid w:val="00742285"/>
    <w:rsid w:val="0075295B"/>
    <w:rsid w:val="00752CAB"/>
    <w:rsid w:val="007625EF"/>
    <w:rsid w:val="00762864"/>
    <w:rsid w:val="0076587B"/>
    <w:rsid w:val="0077796D"/>
    <w:rsid w:val="00780EC7"/>
    <w:rsid w:val="0078723B"/>
    <w:rsid w:val="0078754B"/>
    <w:rsid w:val="0079189B"/>
    <w:rsid w:val="007A42E7"/>
    <w:rsid w:val="007A59E1"/>
    <w:rsid w:val="007B48DD"/>
    <w:rsid w:val="007B6A15"/>
    <w:rsid w:val="007C0914"/>
    <w:rsid w:val="007C286F"/>
    <w:rsid w:val="007C30D8"/>
    <w:rsid w:val="007D2A59"/>
    <w:rsid w:val="007D4604"/>
    <w:rsid w:val="007E0AFA"/>
    <w:rsid w:val="007E24E0"/>
    <w:rsid w:val="007F2506"/>
    <w:rsid w:val="007F3BBB"/>
    <w:rsid w:val="007F4136"/>
    <w:rsid w:val="007F57FB"/>
    <w:rsid w:val="00800369"/>
    <w:rsid w:val="008010FD"/>
    <w:rsid w:val="00810FA5"/>
    <w:rsid w:val="00813E5C"/>
    <w:rsid w:val="008168F4"/>
    <w:rsid w:val="0082029D"/>
    <w:rsid w:val="00821349"/>
    <w:rsid w:val="00823AF0"/>
    <w:rsid w:val="00827042"/>
    <w:rsid w:val="00830D44"/>
    <w:rsid w:val="00830E76"/>
    <w:rsid w:val="00835B6B"/>
    <w:rsid w:val="00852334"/>
    <w:rsid w:val="008618F8"/>
    <w:rsid w:val="00864BC8"/>
    <w:rsid w:val="00870B16"/>
    <w:rsid w:val="00873AE3"/>
    <w:rsid w:val="00882AD0"/>
    <w:rsid w:val="0089264A"/>
    <w:rsid w:val="008A6D60"/>
    <w:rsid w:val="008C2573"/>
    <w:rsid w:val="008C32A2"/>
    <w:rsid w:val="008C45FD"/>
    <w:rsid w:val="008C52D4"/>
    <w:rsid w:val="008D49E0"/>
    <w:rsid w:val="008E3F52"/>
    <w:rsid w:val="008E5795"/>
    <w:rsid w:val="008E6E34"/>
    <w:rsid w:val="008F1E72"/>
    <w:rsid w:val="008F23FB"/>
    <w:rsid w:val="008F2C66"/>
    <w:rsid w:val="008F6633"/>
    <w:rsid w:val="008F783D"/>
    <w:rsid w:val="00907714"/>
    <w:rsid w:val="00915294"/>
    <w:rsid w:val="0092537B"/>
    <w:rsid w:val="00927ECF"/>
    <w:rsid w:val="009302E1"/>
    <w:rsid w:val="0093099B"/>
    <w:rsid w:val="0093532C"/>
    <w:rsid w:val="0094371C"/>
    <w:rsid w:val="00943AF8"/>
    <w:rsid w:val="009501DD"/>
    <w:rsid w:val="00951038"/>
    <w:rsid w:val="00953BA1"/>
    <w:rsid w:val="00957C0D"/>
    <w:rsid w:val="00962921"/>
    <w:rsid w:val="009737E3"/>
    <w:rsid w:val="009876A9"/>
    <w:rsid w:val="00992665"/>
    <w:rsid w:val="00994680"/>
    <w:rsid w:val="00995D89"/>
    <w:rsid w:val="00997BDA"/>
    <w:rsid w:val="009A16F3"/>
    <w:rsid w:val="009A1E7B"/>
    <w:rsid w:val="009A66D9"/>
    <w:rsid w:val="009C148E"/>
    <w:rsid w:val="009C78B3"/>
    <w:rsid w:val="009D026B"/>
    <w:rsid w:val="009D1279"/>
    <w:rsid w:val="009D510B"/>
    <w:rsid w:val="009E2110"/>
    <w:rsid w:val="009E23BF"/>
    <w:rsid w:val="009E4760"/>
    <w:rsid w:val="009F2359"/>
    <w:rsid w:val="00A043F8"/>
    <w:rsid w:val="00A06DD2"/>
    <w:rsid w:val="00A229F5"/>
    <w:rsid w:val="00A22AC2"/>
    <w:rsid w:val="00A30999"/>
    <w:rsid w:val="00A37AF6"/>
    <w:rsid w:val="00A40AF7"/>
    <w:rsid w:val="00A40DD3"/>
    <w:rsid w:val="00A4362D"/>
    <w:rsid w:val="00A4686A"/>
    <w:rsid w:val="00A56E2B"/>
    <w:rsid w:val="00A70EAB"/>
    <w:rsid w:val="00A71714"/>
    <w:rsid w:val="00A845A8"/>
    <w:rsid w:val="00A90C9B"/>
    <w:rsid w:val="00A948AD"/>
    <w:rsid w:val="00A954A2"/>
    <w:rsid w:val="00A96B02"/>
    <w:rsid w:val="00AA1481"/>
    <w:rsid w:val="00AA230C"/>
    <w:rsid w:val="00AA2E35"/>
    <w:rsid w:val="00AB2736"/>
    <w:rsid w:val="00AB2EF8"/>
    <w:rsid w:val="00AB4AD7"/>
    <w:rsid w:val="00AC0173"/>
    <w:rsid w:val="00AC140C"/>
    <w:rsid w:val="00AC1D9A"/>
    <w:rsid w:val="00AC4607"/>
    <w:rsid w:val="00AD20A9"/>
    <w:rsid w:val="00AD2309"/>
    <w:rsid w:val="00AD3532"/>
    <w:rsid w:val="00AD53B6"/>
    <w:rsid w:val="00AD6D2D"/>
    <w:rsid w:val="00AE072F"/>
    <w:rsid w:val="00AE096F"/>
    <w:rsid w:val="00AE5D19"/>
    <w:rsid w:val="00AE7776"/>
    <w:rsid w:val="00AF2859"/>
    <w:rsid w:val="00AF54E0"/>
    <w:rsid w:val="00AF6510"/>
    <w:rsid w:val="00B06CDE"/>
    <w:rsid w:val="00B16715"/>
    <w:rsid w:val="00B16E8E"/>
    <w:rsid w:val="00B21D92"/>
    <w:rsid w:val="00B223C2"/>
    <w:rsid w:val="00B30B45"/>
    <w:rsid w:val="00B35DB9"/>
    <w:rsid w:val="00B36605"/>
    <w:rsid w:val="00B42E85"/>
    <w:rsid w:val="00B5494B"/>
    <w:rsid w:val="00B5776F"/>
    <w:rsid w:val="00B63DFC"/>
    <w:rsid w:val="00B65EB2"/>
    <w:rsid w:val="00B667AB"/>
    <w:rsid w:val="00B70B69"/>
    <w:rsid w:val="00B713C4"/>
    <w:rsid w:val="00B71AD5"/>
    <w:rsid w:val="00B727C1"/>
    <w:rsid w:val="00B72FED"/>
    <w:rsid w:val="00B73A76"/>
    <w:rsid w:val="00B73A77"/>
    <w:rsid w:val="00B7443E"/>
    <w:rsid w:val="00B868DF"/>
    <w:rsid w:val="00B90235"/>
    <w:rsid w:val="00BA048C"/>
    <w:rsid w:val="00BA1443"/>
    <w:rsid w:val="00BA4144"/>
    <w:rsid w:val="00BA59EF"/>
    <w:rsid w:val="00BA6029"/>
    <w:rsid w:val="00BA68EE"/>
    <w:rsid w:val="00BA6F1A"/>
    <w:rsid w:val="00BA6F35"/>
    <w:rsid w:val="00BB2E42"/>
    <w:rsid w:val="00BB7D92"/>
    <w:rsid w:val="00BC2363"/>
    <w:rsid w:val="00BC6A59"/>
    <w:rsid w:val="00BD2667"/>
    <w:rsid w:val="00BD351B"/>
    <w:rsid w:val="00BD6469"/>
    <w:rsid w:val="00BD7FED"/>
    <w:rsid w:val="00C0000D"/>
    <w:rsid w:val="00C00329"/>
    <w:rsid w:val="00C05EB7"/>
    <w:rsid w:val="00C06D28"/>
    <w:rsid w:val="00C101A6"/>
    <w:rsid w:val="00C177F0"/>
    <w:rsid w:val="00C21136"/>
    <w:rsid w:val="00C213E6"/>
    <w:rsid w:val="00C263CF"/>
    <w:rsid w:val="00C3437E"/>
    <w:rsid w:val="00C4041F"/>
    <w:rsid w:val="00C437DD"/>
    <w:rsid w:val="00C44E58"/>
    <w:rsid w:val="00C53522"/>
    <w:rsid w:val="00C6489E"/>
    <w:rsid w:val="00C76479"/>
    <w:rsid w:val="00C765BD"/>
    <w:rsid w:val="00C8025A"/>
    <w:rsid w:val="00C86E38"/>
    <w:rsid w:val="00C87E9B"/>
    <w:rsid w:val="00C90B76"/>
    <w:rsid w:val="00C96395"/>
    <w:rsid w:val="00C97B85"/>
    <w:rsid w:val="00CA1357"/>
    <w:rsid w:val="00CA37F0"/>
    <w:rsid w:val="00CA76C7"/>
    <w:rsid w:val="00CB0C61"/>
    <w:rsid w:val="00CB13B8"/>
    <w:rsid w:val="00CB2181"/>
    <w:rsid w:val="00CB6152"/>
    <w:rsid w:val="00CB6798"/>
    <w:rsid w:val="00CB7B49"/>
    <w:rsid w:val="00CB7BCF"/>
    <w:rsid w:val="00CC28DE"/>
    <w:rsid w:val="00CC362F"/>
    <w:rsid w:val="00CC54D5"/>
    <w:rsid w:val="00CD2E75"/>
    <w:rsid w:val="00CD44C5"/>
    <w:rsid w:val="00CE3C45"/>
    <w:rsid w:val="00CE561C"/>
    <w:rsid w:val="00CE6593"/>
    <w:rsid w:val="00CE70E2"/>
    <w:rsid w:val="00CF155F"/>
    <w:rsid w:val="00CF2B70"/>
    <w:rsid w:val="00CF44BA"/>
    <w:rsid w:val="00D00AAB"/>
    <w:rsid w:val="00D02002"/>
    <w:rsid w:val="00D02E74"/>
    <w:rsid w:val="00D03AD4"/>
    <w:rsid w:val="00D07692"/>
    <w:rsid w:val="00D132FE"/>
    <w:rsid w:val="00D16BC6"/>
    <w:rsid w:val="00D21277"/>
    <w:rsid w:val="00D269CF"/>
    <w:rsid w:val="00D314CF"/>
    <w:rsid w:val="00D32268"/>
    <w:rsid w:val="00D34688"/>
    <w:rsid w:val="00D36615"/>
    <w:rsid w:val="00D50395"/>
    <w:rsid w:val="00D533FB"/>
    <w:rsid w:val="00D54C10"/>
    <w:rsid w:val="00D54E25"/>
    <w:rsid w:val="00D5520D"/>
    <w:rsid w:val="00D5590B"/>
    <w:rsid w:val="00D65F13"/>
    <w:rsid w:val="00D774F3"/>
    <w:rsid w:val="00D837D9"/>
    <w:rsid w:val="00D96243"/>
    <w:rsid w:val="00DA48B2"/>
    <w:rsid w:val="00DB40B2"/>
    <w:rsid w:val="00DC105B"/>
    <w:rsid w:val="00DC6FB5"/>
    <w:rsid w:val="00DE017B"/>
    <w:rsid w:val="00DE0E40"/>
    <w:rsid w:val="00DE268B"/>
    <w:rsid w:val="00DE5BD2"/>
    <w:rsid w:val="00DF037E"/>
    <w:rsid w:val="00DF2DC3"/>
    <w:rsid w:val="00E03487"/>
    <w:rsid w:val="00E077DB"/>
    <w:rsid w:val="00E07C28"/>
    <w:rsid w:val="00E127A7"/>
    <w:rsid w:val="00E13E90"/>
    <w:rsid w:val="00E21D61"/>
    <w:rsid w:val="00E2495B"/>
    <w:rsid w:val="00E32A1D"/>
    <w:rsid w:val="00E33403"/>
    <w:rsid w:val="00E34C97"/>
    <w:rsid w:val="00E41801"/>
    <w:rsid w:val="00E44280"/>
    <w:rsid w:val="00E4624B"/>
    <w:rsid w:val="00E46C24"/>
    <w:rsid w:val="00E501C4"/>
    <w:rsid w:val="00E50A3D"/>
    <w:rsid w:val="00E52892"/>
    <w:rsid w:val="00E52DA0"/>
    <w:rsid w:val="00E55FBC"/>
    <w:rsid w:val="00E7703F"/>
    <w:rsid w:val="00E879BF"/>
    <w:rsid w:val="00E94941"/>
    <w:rsid w:val="00EA6801"/>
    <w:rsid w:val="00EA6D4C"/>
    <w:rsid w:val="00EA7E9B"/>
    <w:rsid w:val="00EB1190"/>
    <w:rsid w:val="00EB1FBD"/>
    <w:rsid w:val="00EB38CA"/>
    <w:rsid w:val="00EB5C09"/>
    <w:rsid w:val="00EB6A7D"/>
    <w:rsid w:val="00EC04B8"/>
    <w:rsid w:val="00EC1F4F"/>
    <w:rsid w:val="00EC2215"/>
    <w:rsid w:val="00EC286B"/>
    <w:rsid w:val="00EC514C"/>
    <w:rsid w:val="00EC7804"/>
    <w:rsid w:val="00ED2232"/>
    <w:rsid w:val="00ED27EB"/>
    <w:rsid w:val="00ED4CAB"/>
    <w:rsid w:val="00EE4AC8"/>
    <w:rsid w:val="00EE5289"/>
    <w:rsid w:val="00EE791C"/>
    <w:rsid w:val="00EF2082"/>
    <w:rsid w:val="00EF2CED"/>
    <w:rsid w:val="00EF2D27"/>
    <w:rsid w:val="00EF35E6"/>
    <w:rsid w:val="00EF3656"/>
    <w:rsid w:val="00EF6259"/>
    <w:rsid w:val="00F02093"/>
    <w:rsid w:val="00F047FA"/>
    <w:rsid w:val="00F0578C"/>
    <w:rsid w:val="00F11FF9"/>
    <w:rsid w:val="00F13510"/>
    <w:rsid w:val="00F233ED"/>
    <w:rsid w:val="00F25426"/>
    <w:rsid w:val="00F25A33"/>
    <w:rsid w:val="00F26771"/>
    <w:rsid w:val="00F2758B"/>
    <w:rsid w:val="00F30428"/>
    <w:rsid w:val="00F37D2C"/>
    <w:rsid w:val="00F45028"/>
    <w:rsid w:val="00F463E0"/>
    <w:rsid w:val="00F47D89"/>
    <w:rsid w:val="00F632A2"/>
    <w:rsid w:val="00F633C9"/>
    <w:rsid w:val="00F729E0"/>
    <w:rsid w:val="00F74276"/>
    <w:rsid w:val="00F776E3"/>
    <w:rsid w:val="00F834E1"/>
    <w:rsid w:val="00F8756A"/>
    <w:rsid w:val="00F909B9"/>
    <w:rsid w:val="00F92089"/>
    <w:rsid w:val="00F945C4"/>
    <w:rsid w:val="00FA1837"/>
    <w:rsid w:val="00FA4F33"/>
    <w:rsid w:val="00FB2E6C"/>
    <w:rsid w:val="00FC2ECA"/>
    <w:rsid w:val="00FC6051"/>
    <w:rsid w:val="00FC67B1"/>
    <w:rsid w:val="00FD22EC"/>
    <w:rsid w:val="00FE0EEC"/>
    <w:rsid w:val="00FE52F4"/>
    <w:rsid w:val="00FE5CA9"/>
    <w:rsid w:val="00FE63AC"/>
    <w:rsid w:val="00FF69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
    <w:unhideWhenUsed/>
    <w:qFormat/>
    <w:rsid w:val="00E879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79B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56E2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paragraph" w:styleId="ListParagraph">
    <w:name w:val="List Paragraph"/>
    <w:basedOn w:val="Normal"/>
    <w:uiPriority w:val="34"/>
    <w:qFormat/>
    <w:rsid w:val="00040F68"/>
    <w:pPr>
      <w:ind w:left="720"/>
      <w:contextualSpacing/>
    </w:pPr>
  </w:style>
  <w:style w:type="character" w:customStyle="1" w:styleId="Heading4Char">
    <w:name w:val="Heading 4 Char"/>
    <w:basedOn w:val="DefaultParagraphFont"/>
    <w:link w:val="Heading4"/>
    <w:uiPriority w:val="9"/>
    <w:rsid w:val="00E879BF"/>
    <w:rPr>
      <w:rFonts w:asciiTheme="majorHAnsi" w:eastAsiaTheme="majorEastAsia" w:hAnsiTheme="majorHAnsi" w:cstheme="majorBidi"/>
      <w:i/>
      <w:iCs/>
      <w:color w:val="2F5496" w:themeColor="accent1" w:themeShade="BF"/>
      <w:sz w:val="24"/>
      <w:szCs w:val="24"/>
      <w:lang w:val="en-GB" w:eastAsia="sv-SE"/>
    </w:rPr>
  </w:style>
  <w:style w:type="character" w:customStyle="1" w:styleId="Heading5Char">
    <w:name w:val="Heading 5 Char"/>
    <w:basedOn w:val="DefaultParagraphFont"/>
    <w:link w:val="Heading5"/>
    <w:uiPriority w:val="9"/>
    <w:rsid w:val="00E879BF"/>
    <w:rPr>
      <w:rFonts w:asciiTheme="majorHAnsi" w:eastAsiaTheme="majorEastAsia" w:hAnsiTheme="majorHAnsi" w:cstheme="majorBidi"/>
      <w:color w:val="2F5496" w:themeColor="accent1" w:themeShade="BF"/>
      <w:sz w:val="24"/>
      <w:szCs w:val="24"/>
      <w:lang w:val="en-GB" w:eastAsia="sv-SE"/>
    </w:rPr>
  </w:style>
  <w:style w:type="character" w:customStyle="1" w:styleId="Heading6Char">
    <w:name w:val="Heading 6 Char"/>
    <w:basedOn w:val="DefaultParagraphFont"/>
    <w:link w:val="Heading6"/>
    <w:uiPriority w:val="9"/>
    <w:rsid w:val="00A56E2B"/>
    <w:rPr>
      <w:rFonts w:asciiTheme="majorHAnsi" w:eastAsiaTheme="majorEastAsia" w:hAnsiTheme="majorHAnsi" w:cstheme="majorBidi"/>
      <w:color w:val="1F3763" w:themeColor="accent1" w:themeShade="7F"/>
      <w:sz w:val="24"/>
      <w:szCs w:val="24"/>
      <w:lang w:val="en-GB" w:eastAsia="sv-SE"/>
    </w:rPr>
  </w:style>
  <w:style w:type="table" w:styleId="TableGrid">
    <w:name w:val="Table Grid"/>
    <w:basedOn w:val="TableNormal"/>
    <w:uiPriority w:val="59"/>
    <w:rsid w:val="008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1349"/>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9E4760"/>
    <w:pPr>
      <w:jc w:val="center"/>
    </w:pPr>
    <w:rPr>
      <w:noProof/>
      <w:lang w:val="sv-SE"/>
    </w:rPr>
  </w:style>
  <w:style w:type="character" w:customStyle="1" w:styleId="EndNoteBibliographyTitleChar">
    <w:name w:val="EndNote Bibliography Title Char"/>
    <w:basedOn w:val="BodyTextChar"/>
    <w:link w:val="EndNoteBibliographyTitle"/>
    <w:rsid w:val="009E4760"/>
    <w:rPr>
      <w:rFonts w:cs="Times New Roman"/>
      <w:noProof/>
      <w:sz w:val="24"/>
      <w:szCs w:val="24"/>
      <w:lang w:val="sv-SE" w:eastAsia="sv-SE"/>
    </w:rPr>
  </w:style>
  <w:style w:type="paragraph" w:customStyle="1" w:styleId="EndNoteBibliography">
    <w:name w:val="EndNote Bibliography"/>
    <w:basedOn w:val="Normal"/>
    <w:link w:val="EndNoteBibliographyChar"/>
    <w:rsid w:val="009E4760"/>
    <w:pPr>
      <w:jc w:val="both"/>
    </w:pPr>
    <w:rPr>
      <w:noProof/>
      <w:lang w:val="sv-SE"/>
    </w:rPr>
  </w:style>
  <w:style w:type="character" w:customStyle="1" w:styleId="EndNoteBibliographyChar">
    <w:name w:val="EndNote Bibliography Char"/>
    <w:basedOn w:val="BodyTextChar"/>
    <w:link w:val="EndNoteBibliography"/>
    <w:rsid w:val="009E4760"/>
    <w:rPr>
      <w:rFonts w:cs="Times New Roman"/>
      <w:noProof/>
      <w:sz w:val="24"/>
      <w:szCs w:val="24"/>
      <w:lang w:val="sv-SE" w:eastAsia="sv-SE"/>
    </w:rPr>
  </w:style>
  <w:style w:type="character" w:styleId="PlaceholderText">
    <w:name w:val="Placeholder Text"/>
    <w:basedOn w:val="DefaultParagraphFont"/>
    <w:uiPriority w:val="99"/>
    <w:semiHidden/>
    <w:rsid w:val="00115D47"/>
    <w:rPr>
      <w:color w:val="808080"/>
    </w:rPr>
  </w:style>
  <w:style w:type="paragraph" w:customStyle="1" w:styleId="Bibliography1">
    <w:name w:val="Bibliography1"/>
    <w:basedOn w:val="Normal"/>
    <w:rsid w:val="00115D47"/>
    <w:pPr>
      <w:spacing w:before="100" w:beforeAutospacing="1" w:after="100" w:afterAutospacing="1"/>
    </w:pPr>
    <w:rPr>
      <w:rFonts w:eastAsiaTheme="minorEastAsia"/>
      <w:lang w:val="en-AU" w:eastAsia="zh-CN"/>
    </w:rPr>
  </w:style>
  <w:style w:type="paragraph" w:customStyle="1" w:styleId="Bibliography2">
    <w:name w:val="Bibliography2"/>
    <w:basedOn w:val="Normal"/>
    <w:rsid w:val="00F632A2"/>
    <w:pPr>
      <w:spacing w:before="100" w:beforeAutospacing="1" w:after="100" w:afterAutospacing="1"/>
    </w:pPr>
    <w:rPr>
      <w:rFonts w:eastAsiaTheme="minorEastAsia"/>
      <w:lang w:val="en-AU" w:eastAsia="en-GB"/>
    </w:rPr>
  </w:style>
  <w:style w:type="character" w:customStyle="1" w:styleId="NichtaufgelsteErwhnung1">
    <w:name w:val="Nicht aufgelöste Erwähnung1"/>
    <w:basedOn w:val="DefaultParagraphFont"/>
    <w:uiPriority w:val="99"/>
    <w:semiHidden/>
    <w:unhideWhenUsed/>
    <w:rsid w:val="009A66D9"/>
    <w:rPr>
      <w:color w:val="605E5C"/>
      <w:shd w:val="clear" w:color="auto" w:fill="E1DFDD"/>
    </w:rPr>
  </w:style>
  <w:style w:type="paragraph" w:styleId="Revision">
    <w:name w:val="Revision"/>
    <w:hidden/>
    <w:uiPriority w:val="99"/>
    <w:semiHidden/>
    <w:rsid w:val="0033275B"/>
    <w:rPr>
      <w:sz w:val="24"/>
      <w:szCs w:val="24"/>
      <w:lang w:val="en-GB" w:eastAsia="sv-SE"/>
    </w:rPr>
  </w:style>
  <w:style w:type="character" w:customStyle="1" w:styleId="NichtaufgelsteErwhnung2">
    <w:name w:val="Nicht aufgelöste Erwähnung2"/>
    <w:basedOn w:val="DefaultParagraphFont"/>
    <w:uiPriority w:val="99"/>
    <w:semiHidden/>
    <w:unhideWhenUsed/>
    <w:rsid w:val="002C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842">
      <w:bodyDiv w:val="1"/>
      <w:marLeft w:val="0"/>
      <w:marRight w:val="0"/>
      <w:marTop w:val="0"/>
      <w:marBottom w:val="0"/>
      <w:divBdr>
        <w:top w:val="none" w:sz="0" w:space="0" w:color="auto"/>
        <w:left w:val="none" w:sz="0" w:space="0" w:color="auto"/>
        <w:bottom w:val="none" w:sz="0" w:space="0" w:color="auto"/>
        <w:right w:val="none" w:sz="0" w:space="0" w:color="auto"/>
      </w:divBdr>
    </w:div>
    <w:div w:id="17585521">
      <w:bodyDiv w:val="1"/>
      <w:marLeft w:val="0"/>
      <w:marRight w:val="0"/>
      <w:marTop w:val="0"/>
      <w:marBottom w:val="0"/>
      <w:divBdr>
        <w:top w:val="none" w:sz="0" w:space="0" w:color="auto"/>
        <w:left w:val="none" w:sz="0" w:space="0" w:color="auto"/>
        <w:bottom w:val="none" w:sz="0" w:space="0" w:color="auto"/>
        <w:right w:val="none" w:sz="0" w:space="0" w:color="auto"/>
      </w:divBdr>
    </w:div>
    <w:div w:id="59910956">
      <w:bodyDiv w:val="1"/>
      <w:marLeft w:val="0"/>
      <w:marRight w:val="0"/>
      <w:marTop w:val="0"/>
      <w:marBottom w:val="0"/>
      <w:divBdr>
        <w:top w:val="none" w:sz="0" w:space="0" w:color="auto"/>
        <w:left w:val="none" w:sz="0" w:space="0" w:color="auto"/>
        <w:bottom w:val="none" w:sz="0" w:space="0" w:color="auto"/>
        <w:right w:val="none" w:sz="0" w:space="0" w:color="auto"/>
      </w:divBdr>
    </w:div>
    <w:div w:id="74013263">
      <w:bodyDiv w:val="1"/>
      <w:marLeft w:val="0"/>
      <w:marRight w:val="0"/>
      <w:marTop w:val="0"/>
      <w:marBottom w:val="0"/>
      <w:divBdr>
        <w:top w:val="none" w:sz="0" w:space="0" w:color="auto"/>
        <w:left w:val="none" w:sz="0" w:space="0" w:color="auto"/>
        <w:bottom w:val="none" w:sz="0" w:space="0" w:color="auto"/>
        <w:right w:val="none" w:sz="0" w:space="0" w:color="auto"/>
      </w:divBdr>
    </w:div>
    <w:div w:id="91247143">
      <w:bodyDiv w:val="1"/>
      <w:marLeft w:val="0"/>
      <w:marRight w:val="0"/>
      <w:marTop w:val="0"/>
      <w:marBottom w:val="0"/>
      <w:divBdr>
        <w:top w:val="none" w:sz="0" w:space="0" w:color="auto"/>
        <w:left w:val="none" w:sz="0" w:space="0" w:color="auto"/>
        <w:bottom w:val="none" w:sz="0" w:space="0" w:color="auto"/>
        <w:right w:val="none" w:sz="0" w:space="0" w:color="auto"/>
      </w:divBdr>
    </w:div>
    <w:div w:id="93987245">
      <w:bodyDiv w:val="1"/>
      <w:marLeft w:val="0"/>
      <w:marRight w:val="0"/>
      <w:marTop w:val="0"/>
      <w:marBottom w:val="0"/>
      <w:divBdr>
        <w:top w:val="none" w:sz="0" w:space="0" w:color="auto"/>
        <w:left w:val="none" w:sz="0" w:space="0" w:color="auto"/>
        <w:bottom w:val="none" w:sz="0" w:space="0" w:color="auto"/>
        <w:right w:val="none" w:sz="0" w:space="0" w:color="auto"/>
      </w:divBdr>
    </w:div>
    <w:div w:id="95373677">
      <w:bodyDiv w:val="1"/>
      <w:marLeft w:val="0"/>
      <w:marRight w:val="0"/>
      <w:marTop w:val="0"/>
      <w:marBottom w:val="0"/>
      <w:divBdr>
        <w:top w:val="none" w:sz="0" w:space="0" w:color="auto"/>
        <w:left w:val="none" w:sz="0" w:space="0" w:color="auto"/>
        <w:bottom w:val="none" w:sz="0" w:space="0" w:color="auto"/>
        <w:right w:val="none" w:sz="0" w:space="0" w:color="auto"/>
      </w:divBdr>
    </w:div>
    <w:div w:id="127557622">
      <w:bodyDiv w:val="1"/>
      <w:marLeft w:val="0"/>
      <w:marRight w:val="0"/>
      <w:marTop w:val="0"/>
      <w:marBottom w:val="0"/>
      <w:divBdr>
        <w:top w:val="none" w:sz="0" w:space="0" w:color="auto"/>
        <w:left w:val="none" w:sz="0" w:space="0" w:color="auto"/>
        <w:bottom w:val="none" w:sz="0" w:space="0" w:color="auto"/>
        <w:right w:val="none" w:sz="0" w:space="0" w:color="auto"/>
      </w:divBdr>
    </w:div>
    <w:div w:id="128673034">
      <w:bodyDiv w:val="1"/>
      <w:marLeft w:val="0"/>
      <w:marRight w:val="0"/>
      <w:marTop w:val="0"/>
      <w:marBottom w:val="0"/>
      <w:divBdr>
        <w:top w:val="none" w:sz="0" w:space="0" w:color="auto"/>
        <w:left w:val="none" w:sz="0" w:space="0" w:color="auto"/>
        <w:bottom w:val="none" w:sz="0" w:space="0" w:color="auto"/>
        <w:right w:val="none" w:sz="0" w:space="0" w:color="auto"/>
      </w:divBdr>
    </w:div>
    <w:div w:id="143620962">
      <w:bodyDiv w:val="1"/>
      <w:marLeft w:val="0"/>
      <w:marRight w:val="0"/>
      <w:marTop w:val="0"/>
      <w:marBottom w:val="0"/>
      <w:divBdr>
        <w:top w:val="none" w:sz="0" w:space="0" w:color="auto"/>
        <w:left w:val="none" w:sz="0" w:space="0" w:color="auto"/>
        <w:bottom w:val="none" w:sz="0" w:space="0" w:color="auto"/>
        <w:right w:val="none" w:sz="0" w:space="0" w:color="auto"/>
      </w:divBdr>
    </w:div>
    <w:div w:id="146241339">
      <w:bodyDiv w:val="1"/>
      <w:marLeft w:val="0"/>
      <w:marRight w:val="0"/>
      <w:marTop w:val="0"/>
      <w:marBottom w:val="0"/>
      <w:divBdr>
        <w:top w:val="none" w:sz="0" w:space="0" w:color="auto"/>
        <w:left w:val="none" w:sz="0" w:space="0" w:color="auto"/>
        <w:bottom w:val="none" w:sz="0" w:space="0" w:color="auto"/>
        <w:right w:val="none" w:sz="0" w:space="0" w:color="auto"/>
      </w:divBdr>
    </w:div>
    <w:div w:id="210308142">
      <w:bodyDiv w:val="1"/>
      <w:marLeft w:val="0"/>
      <w:marRight w:val="0"/>
      <w:marTop w:val="0"/>
      <w:marBottom w:val="0"/>
      <w:divBdr>
        <w:top w:val="none" w:sz="0" w:space="0" w:color="auto"/>
        <w:left w:val="none" w:sz="0" w:space="0" w:color="auto"/>
        <w:bottom w:val="none" w:sz="0" w:space="0" w:color="auto"/>
        <w:right w:val="none" w:sz="0" w:space="0" w:color="auto"/>
      </w:divBdr>
    </w:div>
    <w:div w:id="218982296">
      <w:bodyDiv w:val="1"/>
      <w:marLeft w:val="0"/>
      <w:marRight w:val="0"/>
      <w:marTop w:val="0"/>
      <w:marBottom w:val="0"/>
      <w:divBdr>
        <w:top w:val="none" w:sz="0" w:space="0" w:color="auto"/>
        <w:left w:val="none" w:sz="0" w:space="0" w:color="auto"/>
        <w:bottom w:val="none" w:sz="0" w:space="0" w:color="auto"/>
        <w:right w:val="none" w:sz="0" w:space="0" w:color="auto"/>
      </w:divBdr>
    </w:div>
    <w:div w:id="225072042">
      <w:bodyDiv w:val="1"/>
      <w:marLeft w:val="0"/>
      <w:marRight w:val="0"/>
      <w:marTop w:val="0"/>
      <w:marBottom w:val="0"/>
      <w:divBdr>
        <w:top w:val="none" w:sz="0" w:space="0" w:color="auto"/>
        <w:left w:val="none" w:sz="0" w:space="0" w:color="auto"/>
        <w:bottom w:val="none" w:sz="0" w:space="0" w:color="auto"/>
        <w:right w:val="none" w:sz="0" w:space="0" w:color="auto"/>
      </w:divBdr>
    </w:div>
    <w:div w:id="225386132">
      <w:bodyDiv w:val="1"/>
      <w:marLeft w:val="0"/>
      <w:marRight w:val="0"/>
      <w:marTop w:val="0"/>
      <w:marBottom w:val="0"/>
      <w:divBdr>
        <w:top w:val="none" w:sz="0" w:space="0" w:color="auto"/>
        <w:left w:val="none" w:sz="0" w:space="0" w:color="auto"/>
        <w:bottom w:val="none" w:sz="0" w:space="0" w:color="auto"/>
        <w:right w:val="none" w:sz="0" w:space="0" w:color="auto"/>
      </w:divBdr>
    </w:div>
    <w:div w:id="233200146">
      <w:bodyDiv w:val="1"/>
      <w:marLeft w:val="0"/>
      <w:marRight w:val="0"/>
      <w:marTop w:val="0"/>
      <w:marBottom w:val="0"/>
      <w:divBdr>
        <w:top w:val="none" w:sz="0" w:space="0" w:color="auto"/>
        <w:left w:val="none" w:sz="0" w:space="0" w:color="auto"/>
        <w:bottom w:val="none" w:sz="0" w:space="0" w:color="auto"/>
        <w:right w:val="none" w:sz="0" w:space="0" w:color="auto"/>
      </w:divBdr>
    </w:div>
    <w:div w:id="235894093">
      <w:bodyDiv w:val="1"/>
      <w:marLeft w:val="0"/>
      <w:marRight w:val="0"/>
      <w:marTop w:val="0"/>
      <w:marBottom w:val="0"/>
      <w:divBdr>
        <w:top w:val="none" w:sz="0" w:space="0" w:color="auto"/>
        <w:left w:val="none" w:sz="0" w:space="0" w:color="auto"/>
        <w:bottom w:val="none" w:sz="0" w:space="0" w:color="auto"/>
        <w:right w:val="none" w:sz="0" w:space="0" w:color="auto"/>
      </w:divBdr>
    </w:div>
    <w:div w:id="248125101">
      <w:bodyDiv w:val="1"/>
      <w:marLeft w:val="0"/>
      <w:marRight w:val="0"/>
      <w:marTop w:val="0"/>
      <w:marBottom w:val="0"/>
      <w:divBdr>
        <w:top w:val="none" w:sz="0" w:space="0" w:color="auto"/>
        <w:left w:val="none" w:sz="0" w:space="0" w:color="auto"/>
        <w:bottom w:val="none" w:sz="0" w:space="0" w:color="auto"/>
        <w:right w:val="none" w:sz="0" w:space="0" w:color="auto"/>
      </w:divBdr>
    </w:div>
    <w:div w:id="249193123">
      <w:bodyDiv w:val="1"/>
      <w:marLeft w:val="0"/>
      <w:marRight w:val="0"/>
      <w:marTop w:val="0"/>
      <w:marBottom w:val="0"/>
      <w:divBdr>
        <w:top w:val="none" w:sz="0" w:space="0" w:color="auto"/>
        <w:left w:val="none" w:sz="0" w:space="0" w:color="auto"/>
        <w:bottom w:val="none" w:sz="0" w:space="0" w:color="auto"/>
        <w:right w:val="none" w:sz="0" w:space="0" w:color="auto"/>
      </w:divBdr>
    </w:div>
    <w:div w:id="254243559">
      <w:bodyDiv w:val="1"/>
      <w:marLeft w:val="0"/>
      <w:marRight w:val="0"/>
      <w:marTop w:val="0"/>
      <w:marBottom w:val="0"/>
      <w:divBdr>
        <w:top w:val="none" w:sz="0" w:space="0" w:color="auto"/>
        <w:left w:val="none" w:sz="0" w:space="0" w:color="auto"/>
        <w:bottom w:val="none" w:sz="0" w:space="0" w:color="auto"/>
        <w:right w:val="none" w:sz="0" w:space="0" w:color="auto"/>
      </w:divBdr>
    </w:div>
    <w:div w:id="268902269">
      <w:bodyDiv w:val="1"/>
      <w:marLeft w:val="0"/>
      <w:marRight w:val="0"/>
      <w:marTop w:val="0"/>
      <w:marBottom w:val="0"/>
      <w:divBdr>
        <w:top w:val="none" w:sz="0" w:space="0" w:color="auto"/>
        <w:left w:val="none" w:sz="0" w:space="0" w:color="auto"/>
        <w:bottom w:val="none" w:sz="0" w:space="0" w:color="auto"/>
        <w:right w:val="none" w:sz="0" w:space="0" w:color="auto"/>
      </w:divBdr>
    </w:div>
    <w:div w:id="282466549">
      <w:bodyDiv w:val="1"/>
      <w:marLeft w:val="0"/>
      <w:marRight w:val="0"/>
      <w:marTop w:val="0"/>
      <w:marBottom w:val="0"/>
      <w:divBdr>
        <w:top w:val="none" w:sz="0" w:space="0" w:color="auto"/>
        <w:left w:val="none" w:sz="0" w:space="0" w:color="auto"/>
        <w:bottom w:val="none" w:sz="0" w:space="0" w:color="auto"/>
        <w:right w:val="none" w:sz="0" w:space="0" w:color="auto"/>
      </w:divBdr>
    </w:div>
    <w:div w:id="286670639">
      <w:bodyDiv w:val="1"/>
      <w:marLeft w:val="0"/>
      <w:marRight w:val="0"/>
      <w:marTop w:val="0"/>
      <w:marBottom w:val="0"/>
      <w:divBdr>
        <w:top w:val="none" w:sz="0" w:space="0" w:color="auto"/>
        <w:left w:val="none" w:sz="0" w:space="0" w:color="auto"/>
        <w:bottom w:val="none" w:sz="0" w:space="0" w:color="auto"/>
        <w:right w:val="none" w:sz="0" w:space="0" w:color="auto"/>
      </w:divBdr>
    </w:div>
    <w:div w:id="304480521">
      <w:bodyDiv w:val="1"/>
      <w:marLeft w:val="0"/>
      <w:marRight w:val="0"/>
      <w:marTop w:val="0"/>
      <w:marBottom w:val="0"/>
      <w:divBdr>
        <w:top w:val="none" w:sz="0" w:space="0" w:color="auto"/>
        <w:left w:val="none" w:sz="0" w:space="0" w:color="auto"/>
        <w:bottom w:val="none" w:sz="0" w:space="0" w:color="auto"/>
        <w:right w:val="none" w:sz="0" w:space="0" w:color="auto"/>
      </w:divBdr>
    </w:div>
    <w:div w:id="311176521">
      <w:bodyDiv w:val="1"/>
      <w:marLeft w:val="0"/>
      <w:marRight w:val="0"/>
      <w:marTop w:val="0"/>
      <w:marBottom w:val="0"/>
      <w:divBdr>
        <w:top w:val="none" w:sz="0" w:space="0" w:color="auto"/>
        <w:left w:val="none" w:sz="0" w:space="0" w:color="auto"/>
        <w:bottom w:val="none" w:sz="0" w:space="0" w:color="auto"/>
        <w:right w:val="none" w:sz="0" w:space="0" w:color="auto"/>
      </w:divBdr>
    </w:div>
    <w:div w:id="319965376">
      <w:bodyDiv w:val="1"/>
      <w:marLeft w:val="0"/>
      <w:marRight w:val="0"/>
      <w:marTop w:val="0"/>
      <w:marBottom w:val="0"/>
      <w:divBdr>
        <w:top w:val="none" w:sz="0" w:space="0" w:color="auto"/>
        <w:left w:val="none" w:sz="0" w:space="0" w:color="auto"/>
        <w:bottom w:val="none" w:sz="0" w:space="0" w:color="auto"/>
        <w:right w:val="none" w:sz="0" w:space="0" w:color="auto"/>
      </w:divBdr>
    </w:div>
    <w:div w:id="328873031">
      <w:bodyDiv w:val="1"/>
      <w:marLeft w:val="0"/>
      <w:marRight w:val="0"/>
      <w:marTop w:val="0"/>
      <w:marBottom w:val="0"/>
      <w:divBdr>
        <w:top w:val="none" w:sz="0" w:space="0" w:color="auto"/>
        <w:left w:val="none" w:sz="0" w:space="0" w:color="auto"/>
        <w:bottom w:val="none" w:sz="0" w:space="0" w:color="auto"/>
        <w:right w:val="none" w:sz="0" w:space="0" w:color="auto"/>
      </w:divBdr>
    </w:div>
    <w:div w:id="341784977">
      <w:bodyDiv w:val="1"/>
      <w:marLeft w:val="0"/>
      <w:marRight w:val="0"/>
      <w:marTop w:val="0"/>
      <w:marBottom w:val="0"/>
      <w:divBdr>
        <w:top w:val="none" w:sz="0" w:space="0" w:color="auto"/>
        <w:left w:val="none" w:sz="0" w:space="0" w:color="auto"/>
        <w:bottom w:val="none" w:sz="0" w:space="0" w:color="auto"/>
        <w:right w:val="none" w:sz="0" w:space="0" w:color="auto"/>
      </w:divBdr>
    </w:div>
    <w:div w:id="346564322">
      <w:bodyDiv w:val="1"/>
      <w:marLeft w:val="0"/>
      <w:marRight w:val="0"/>
      <w:marTop w:val="0"/>
      <w:marBottom w:val="0"/>
      <w:divBdr>
        <w:top w:val="none" w:sz="0" w:space="0" w:color="auto"/>
        <w:left w:val="none" w:sz="0" w:space="0" w:color="auto"/>
        <w:bottom w:val="none" w:sz="0" w:space="0" w:color="auto"/>
        <w:right w:val="none" w:sz="0" w:space="0" w:color="auto"/>
      </w:divBdr>
    </w:div>
    <w:div w:id="346641501">
      <w:bodyDiv w:val="1"/>
      <w:marLeft w:val="0"/>
      <w:marRight w:val="0"/>
      <w:marTop w:val="0"/>
      <w:marBottom w:val="0"/>
      <w:divBdr>
        <w:top w:val="none" w:sz="0" w:space="0" w:color="auto"/>
        <w:left w:val="none" w:sz="0" w:space="0" w:color="auto"/>
        <w:bottom w:val="none" w:sz="0" w:space="0" w:color="auto"/>
        <w:right w:val="none" w:sz="0" w:space="0" w:color="auto"/>
      </w:divBdr>
    </w:div>
    <w:div w:id="348218636">
      <w:bodyDiv w:val="1"/>
      <w:marLeft w:val="0"/>
      <w:marRight w:val="0"/>
      <w:marTop w:val="0"/>
      <w:marBottom w:val="0"/>
      <w:divBdr>
        <w:top w:val="none" w:sz="0" w:space="0" w:color="auto"/>
        <w:left w:val="none" w:sz="0" w:space="0" w:color="auto"/>
        <w:bottom w:val="none" w:sz="0" w:space="0" w:color="auto"/>
        <w:right w:val="none" w:sz="0" w:space="0" w:color="auto"/>
      </w:divBdr>
    </w:div>
    <w:div w:id="354818296">
      <w:bodyDiv w:val="1"/>
      <w:marLeft w:val="0"/>
      <w:marRight w:val="0"/>
      <w:marTop w:val="0"/>
      <w:marBottom w:val="0"/>
      <w:divBdr>
        <w:top w:val="none" w:sz="0" w:space="0" w:color="auto"/>
        <w:left w:val="none" w:sz="0" w:space="0" w:color="auto"/>
        <w:bottom w:val="none" w:sz="0" w:space="0" w:color="auto"/>
        <w:right w:val="none" w:sz="0" w:space="0" w:color="auto"/>
      </w:divBdr>
    </w:div>
    <w:div w:id="357203273">
      <w:bodyDiv w:val="1"/>
      <w:marLeft w:val="0"/>
      <w:marRight w:val="0"/>
      <w:marTop w:val="0"/>
      <w:marBottom w:val="0"/>
      <w:divBdr>
        <w:top w:val="none" w:sz="0" w:space="0" w:color="auto"/>
        <w:left w:val="none" w:sz="0" w:space="0" w:color="auto"/>
        <w:bottom w:val="none" w:sz="0" w:space="0" w:color="auto"/>
        <w:right w:val="none" w:sz="0" w:space="0" w:color="auto"/>
      </w:divBdr>
    </w:div>
    <w:div w:id="363023220">
      <w:bodyDiv w:val="1"/>
      <w:marLeft w:val="0"/>
      <w:marRight w:val="0"/>
      <w:marTop w:val="0"/>
      <w:marBottom w:val="0"/>
      <w:divBdr>
        <w:top w:val="none" w:sz="0" w:space="0" w:color="auto"/>
        <w:left w:val="none" w:sz="0" w:space="0" w:color="auto"/>
        <w:bottom w:val="none" w:sz="0" w:space="0" w:color="auto"/>
        <w:right w:val="none" w:sz="0" w:space="0" w:color="auto"/>
      </w:divBdr>
    </w:div>
    <w:div w:id="365836878">
      <w:bodyDiv w:val="1"/>
      <w:marLeft w:val="0"/>
      <w:marRight w:val="0"/>
      <w:marTop w:val="0"/>
      <w:marBottom w:val="0"/>
      <w:divBdr>
        <w:top w:val="none" w:sz="0" w:space="0" w:color="auto"/>
        <w:left w:val="none" w:sz="0" w:space="0" w:color="auto"/>
        <w:bottom w:val="none" w:sz="0" w:space="0" w:color="auto"/>
        <w:right w:val="none" w:sz="0" w:space="0" w:color="auto"/>
      </w:divBdr>
    </w:div>
    <w:div w:id="371810552">
      <w:bodyDiv w:val="1"/>
      <w:marLeft w:val="0"/>
      <w:marRight w:val="0"/>
      <w:marTop w:val="0"/>
      <w:marBottom w:val="0"/>
      <w:divBdr>
        <w:top w:val="none" w:sz="0" w:space="0" w:color="auto"/>
        <w:left w:val="none" w:sz="0" w:space="0" w:color="auto"/>
        <w:bottom w:val="none" w:sz="0" w:space="0" w:color="auto"/>
        <w:right w:val="none" w:sz="0" w:space="0" w:color="auto"/>
      </w:divBdr>
    </w:div>
    <w:div w:id="378290333">
      <w:bodyDiv w:val="1"/>
      <w:marLeft w:val="0"/>
      <w:marRight w:val="0"/>
      <w:marTop w:val="0"/>
      <w:marBottom w:val="0"/>
      <w:divBdr>
        <w:top w:val="none" w:sz="0" w:space="0" w:color="auto"/>
        <w:left w:val="none" w:sz="0" w:space="0" w:color="auto"/>
        <w:bottom w:val="none" w:sz="0" w:space="0" w:color="auto"/>
        <w:right w:val="none" w:sz="0" w:space="0" w:color="auto"/>
      </w:divBdr>
    </w:div>
    <w:div w:id="387336793">
      <w:bodyDiv w:val="1"/>
      <w:marLeft w:val="0"/>
      <w:marRight w:val="0"/>
      <w:marTop w:val="0"/>
      <w:marBottom w:val="0"/>
      <w:divBdr>
        <w:top w:val="none" w:sz="0" w:space="0" w:color="auto"/>
        <w:left w:val="none" w:sz="0" w:space="0" w:color="auto"/>
        <w:bottom w:val="none" w:sz="0" w:space="0" w:color="auto"/>
        <w:right w:val="none" w:sz="0" w:space="0" w:color="auto"/>
      </w:divBdr>
    </w:div>
    <w:div w:id="395904581">
      <w:bodyDiv w:val="1"/>
      <w:marLeft w:val="0"/>
      <w:marRight w:val="0"/>
      <w:marTop w:val="0"/>
      <w:marBottom w:val="0"/>
      <w:divBdr>
        <w:top w:val="none" w:sz="0" w:space="0" w:color="auto"/>
        <w:left w:val="none" w:sz="0" w:space="0" w:color="auto"/>
        <w:bottom w:val="none" w:sz="0" w:space="0" w:color="auto"/>
        <w:right w:val="none" w:sz="0" w:space="0" w:color="auto"/>
      </w:divBdr>
    </w:div>
    <w:div w:id="396590250">
      <w:bodyDiv w:val="1"/>
      <w:marLeft w:val="0"/>
      <w:marRight w:val="0"/>
      <w:marTop w:val="0"/>
      <w:marBottom w:val="0"/>
      <w:divBdr>
        <w:top w:val="none" w:sz="0" w:space="0" w:color="auto"/>
        <w:left w:val="none" w:sz="0" w:space="0" w:color="auto"/>
        <w:bottom w:val="none" w:sz="0" w:space="0" w:color="auto"/>
        <w:right w:val="none" w:sz="0" w:space="0" w:color="auto"/>
      </w:divBdr>
    </w:div>
    <w:div w:id="408380865">
      <w:bodyDiv w:val="1"/>
      <w:marLeft w:val="0"/>
      <w:marRight w:val="0"/>
      <w:marTop w:val="0"/>
      <w:marBottom w:val="0"/>
      <w:divBdr>
        <w:top w:val="none" w:sz="0" w:space="0" w:color="auto"/>
        <w:left w:val="none" w:sz="0" w:space="0" w:color="auto"/>
        <w:bottom w:val="none" w:sz="0" w:space="0" w:color="auto"/>
        <w:right w:val="none" w:sz="0" w:space="0" w:color="auto"/>
      </w:divBdr>
    </w:div>
    <w:div w:id="408502805">
      <w:bodyDiv w:val="1"/>
      <w:marLeft w:val="0"/>
      <w:marRight w:val="0"/>
      <w:marTop w:val="0"/>
      <w:marBottom w:val="0"/>
      <w:divBdr>
        <w:top w:val="none" w:sz="0" w:space="0" w:color="auto"/>
        <w:left w:val="none" w:sz="0" w:space="0" w:color="auto"/>
        <w:bottom w:val="none" w:sz="0" w:space="0" w:color="auto"/>
        <w:right w:val="none" w:sz="0" w:space="0" w:color="auto"/>
      </w:divBdr>
    </w:div>
    <w:div w:id="418865034">
      <w:bodyDiv w:val="1"/>
      <w:marLeft w:val="0"/>
      <w:marRight w:val="0"/>
      <w:marTop w:val="0"/>
      <w:marBottom w:val="0"/>
      <w:divBdr>
        <w:top w:val="none" w:sz="0" w:space="0" w:color="auto"/>
        <w:left w:val="none" w:sz="0" w:space="0" w:color="auto"/>
        <w:bottom w:val="none" w:sz="0" w:space="0" w:color="auto"/>
        <w:right w:val="none" w:sz="0" w:space="0" w:color="auto"/>
      </w:divBdr>
    </w:div>
    <w:div w:id="465318296">
      <w:bodyDiv w:val="1"/>
      <w:marLeft w:val="0"/>
      <w:marRight w:val="0"/>
      <w:marTop w:val="0"/>
      <w:marBottom w:val="0"/>
      <w:divBdr>
        <w:top w:val="none" w:sz="0" w:space="0" w:color="auto"/>
        <w:left w:val="none" w:sz="0" w:space="0" w:color="auto"/>
        <w:bottom w:val="none" w:sz="0" w:space="0" w:color="auto"/>
        <w:right w:val="none" w:sz="0" w:space="0" w:color="auto"/>
      </w:divBdr>
    </w:div>
    <w:div w:id="468137259">
      <w:bodyDiv w:val="1"/>
      <w:marLeft w:val="0"/>
      <w:marRight w:val="0"/>
      <w:marTop w:val="0"/>
      <w:marBottom w:val="0"/>
      <w:divBdr>
        <w:top w:val="none" w:sz="0" w:space="0" w:color="auto"/>
        <w:left w:val="none" w:sz="0" w:space="0" w:color="auto"/>
        <w:bottom w:val="none" w:sz="0" w:space="0" w:color="auto"/>
        <w:right w:val="none" w:sz="0" w:space="0" w:color="auto"/>
      </w:divBdr>
    </w:div>
    <w:div w:id="483548794">
      <w:bodyDiv w:val="1"/>
      <w:marLeft w:val="0"/>
      <w:marRight w:val="0"/>
      <w:marTop w:val="0"/>
      <w:marBottom w:val="0"/>
      <w:divBdr>
        <w:top w:val="none" w:sz="0" w:space="0" w:color="auto"/>
        <w:left w:val="none" w:sz="0" w:space="0" w:color="auto"/>
        <w:bottom w:val="none" w:sz="0" w:space="0" w:color="auto"/>
        <w:right w:val="none" w:sz="0" w:space="0" w:color="auto"/>
      </w:divBdr>
    </w:div>
    <w:div w:id="489566132">
      <w:bodyDiv w:val="1"/>
      <w:marLeft w:val="0"/>
      <w:marRight w:val="0"/>
      <w:marTop w:val="0"/>
      <w:marBottom w:val="0"/>
      <w:divBdr>
        <w:top w:val="none" w:sz="0" w:space="0" w:color="auto"/>
        <w:left w:val="none" w:sz="0" w:space="0" w:color="auto"/>
        <w:bottom w:val="none" w:sz="0" w:space="0" w:color="auto"/>
        <w:right w:val="none" w:sz="0" w:space="0" w:color="auto"/>
      </w:divBdr>
    </w:div>
    <w:div w:id="496458394">
      <w:bodyDiv w:val="1"/>
      <w:marLeft w:val="0"/>
      <w:marRight w:val="0"/>
      <w:marTop w:val="0"/>
      <w:marBottom w:val="0"/>
      <w:divBdr>
        <w:top w:val="none" w:sz="0" w:space="0" w:color="auto"/>
        <w:left w:val="none" w:sz="0" w:space="0" w:color="auto"/>
        <w:bottom w:val="none" w:sz="0" w:space="0" w:color="auto"/>
        <w:right w:val="none" w:sz="0" w:space="0" w:color="auto"/>
      </w:divBdr>
    </w:div>
    <w:div w:id="509637591">
      <w:bodyDiv w:val="1"/>
      <w:marLeft w:val="0"/>
      <w:marRight w:val="0"/>
      <w:marTop w:val="0"/>
      <w:marBottom w:val="0"/>
      <w:divBdr>
        <w:top w:val="none" w:sz="0" w:space="0" w:color="auto"/>
        <w:left w:val="none" w:sz="0" w:space="0" w:color="auto"/>
        <w:bottom w:val="none" w:sz="0" w:space="0" w:color="auto"/>
        <w:right w:val="none" w:sz="0" w:space="0" w:color="auto"/>
      </w:divBdr>
    </w:div>
    <w:div w:id="524096717">
      <w:bodyDiv w:val="1"/>
      <w:marLeft w:val="0"/>
      <w:marRight w:val="0"/>
      <w:marTop w:val="0"/>
      <w:marBottom w:val="0"/>
      <w:divBdr>
        <w:top w:val="none" w:sz="0" w:space="0" w:color="auto"/>
        <w:left w:val="none" w:sz="0" w:space="0" w:color="auto"/>
        <w:bottom w:val="none" w:sz="0" w:space="0" w:color="auto"/>
        <w:right w:val="none" w:sz="0" w:space="0" w:color="auto"/>
      </w:divBdr>
    </w:div>
    <w:div w:id="532764326">
      <w:bodyDiv w:val="1"/>
      <w:marLeft w:val="0"/>
      <w:marRight w:val="0"/>
      <w:marTop w:val="0"/>
      <w:marBottom w:val="0"/>
      <w:divBdr>
        <w:top w:val="none" w:sz="0" w:space="0" w:color="auto"/>
        <w:left w:val="none" w:sz="0" w:space="0" w:color="auto"/>
        <w:bottom w:val="none" w:sz="0" w:space="0" w:color="auto"/>
        <w:right w:val="none" w:sz="0" w:space="0" w:color="auto"/>
      </w:divBdr>
    </w:div>
    <w:div w:id="534196866">
      <w:bodyDiv w:val="1"/>
      <w:marLeft w:val="0"/>
      <w:marRight w:val="0"/>
      <w:marTop w:val="0"/>
      <w:marBottom w:val="0"/>
      <w:divBdr>
        <w:top w:val="none" w:sz="0" w:space="0" w:color="auto"/>
        <w:left w:val="none" w:sz="0" w:space="0" w:color="auto"/>
        <w:bottom w:val="none" w:sz="0" w:space="0" w:color="auto"/>
        <w:right w:val="none" w:sz="0" w:space="0" w:color="auto"/>
      </w:divBdr>
    </w:div>
    <w:div w:id="553780595">
      <w:bodyDiv w:val="1"/>
      <w:marLeft w:val="0"/>
      <w:marRight w:val="0"/>
      <w:marTop w:val="0"/>
      <w:marBottom w:val="0"/>
      <w:divBdr>
        <w:top w:val="none" w:sz="0" w:space="0" w:color="auto"/>
        <w:left w:val="none" w:sz="0" w:space="0" w:color="auto"/>
        <w:bottom w:val="none" w:sz="0" w:space="0" w:color="auto"/>
        <w:right w:val="none" w:sz="0" w:space="0" w:color="auto"/>
      </w:divBdr>
    </w:div>
    <w:div w:id="594367112">
      <w:bodyDiv w:val="1"/>
      <w:marLeft w:val="0"/>
      <w:marRight w:val="0"/>
      <w:marTop w:val="0"/>
      <w:marBottom w:val="0"/>
      <w:divBdr>
        <w:top w:val="none" w:sz="0" w:space="0" w:color="auto"/>
        <w:left w:val="none" w:sz="0" w:space="0" w:color="auto"/>
        <w:bottom w:val="none" w:sz="0" w:space="0" w:color="auto"/>
        <w:right w:val="none" w:sz="0" w:space="0" w:color="auto"/>
      </w:divBdr>
    </w:div>
    <w:div w:id="601692043">
      <w:bodyDiv w:val="1"/>
      <w:marLeft w:val="0"/>
      <w:marRight w:val="0"/>
      <w:marTop w:val="0"/>
      <w:marBottom w:val="0"/>
      <w:divBdr>
        <w:top w:val="none" w:sz="0" w:space="0" w:color="auto"/>
        <w:left w:val="none" w:sz="0" w:space="0" w:color="auto"/>
        <w:bottom w:val="none" w:sz="0" w:space="0" w:color="auto"/>
        <w:right w:val="none" w:sz="0" w:space="0" w:color="auto"/>
      </w:divBdr>
    </w:div>
    <w:div w:id="625702020">
      <w:bodyDiv w:val="1"/>
      <w:marLeft w:val="0"/>
      <w:marRight w:val="0"/>
      <w:marTop w:val="0"/>
      <w:marBottom w:val="0"/>
      <w:divBdr>
        <w:top w:val="none" w:sz="0" w:space="0" w:color="auto"/>
        <w:left w:val="none" w:sz="0" w:space="0" w:color="auto"/>
        <w:bottom w:val="none" w:sz="0" w:space="0" w:color="auto"/>
        <w:right w:val="none" w:sz="0" w:space="0" w:color="auto"/>
      </w:divBdr>
    </w:div>
    <w:div w:id="668144284">
      <w:bodyDiv w:val="1"/>
      <w:marLeft w:val="0"/>
      <w:marRight w:val="0"/>
      <w:marTop w:val="0"/>
      <w:marBottom w:val="0"/>
      <w:divBdr>
        <w:top w:val="none" w:sz="0" w:space="0" w:color="auto"/>
        <w:left w:val="none" w:sz="0" w:space="0" w:color="auto"/>
        <w:bottom w:val="none" w:sz="0" w:space="0" w:color="auto"/>
        <w:right w:val="none" w:sz="0" w:space="0" w:color="auto"/>
      </w:divBdr>
    </w:div>
    <w:div w:id="680746016">
      <w:bodyDiv w:val="1"/>
      <w:marLeft w:val="0"/>
      <w:marRight w:val="0"/>
      <w:marTop w:val="0"/>
      <w:marBottom w:val="0"/>
      <w:divBdr>
        <w:top w:val="none" w:sz="0" w:space="0" w:color="auto"/>
        <w:left w:val="none" w:sz="0" w:space="0" w:color="auto"/>
        <w:bottom w:val="none" w:sz="0" w:space="0" w:color="auto"/>
        <w:right w:val="none" w:sz="0" w:space="0" w:color="auto"/>
      </w:divBdr>
    </w:div>
    <w:div w:id="705108910">
      <w:bodyDiv w:val="1"/>
      <w:marLeft w:val="0"/>
      <w:marRight w:val="0"/>
      <w:marTop w:val="0"/>
      <w:marBottom w:val="0"/>
      <w:divBdr>
        <w:top w:val="none" w:sz="0" w:space="0" w:color="auto"/>
        <w:left w:val="none" w:sz="0" w:space="0" w:color="auto"/>
        <w:bottom w:val="none" w:sz="0" w:space="0" w:color="auto"/>
        <w:right w:val="none" w:sz="0" w:space="0" w:color="auto"/>
      </w:divBdr>
    </w:div>
    <w:div w:id="768894306">
      <w:bodyDiv w:val="1"/>
      <w:marLeft w:val="0"/>
      <w:marRight w:val="0"/>
      <w:marTop w:val="0"/>
      <w:marBottom w:val="0"/>
      <w:divBdr>
        <w:top w:val="none" w:sz="0" w:space="0" w:color="auto"/>
        <w:left w:val="none" w:sz="0" w:space="0" w:color="auto"/>
        <w:bottom w:val="none" w:sz="0" w:space="0" w:color="auto"/>
        <w:right w:val="none" w:sz="0" w:space="0" w:color="auto"/>
      </w:divBdr>
    </w:div>
    <w:div w:id="799686811">
      <w:bodyDiv w:val="1"/>
      <w:marLeft w:val="0"/>
      <w:marRight w:val="0"/>
      <w:marTop w:val="0"/>
      <w:marBottom w:val="0"/>
      <w:divBdr>
        <w:top w:val="none" w:sz="0" w:space="0" w:color="auto"/>
        <w:left w:val="none" w:sz="0" w:space="0" w:color="auto"/>
        <w:bottom w:val="none" w:sz="0" w:space="0" w:color="auto"/>
        <w:right w:val="none" w:sz="0" w:space="0" w:color="auto"/>
      </w:divBdr>
    </w:div>
    <w:div w:id="802388936">
      <w:bodyDiv w:val="1"/>
      <w:marLeft w:val="0"/>
      <w:marRight w:val="0"/>
      <w:marTop w:val="0"/>
      <w:marBottom w:val="0"/>
      <w:divBdr>
        <w:top w:val="none" w:sz="0" w:space="0" w:color="auto"/>
        <w:left w:val="none" w:sz="0" w:space="0" w:color="auto"/>
        <w:bottom w:val="none" w:sz="0" w:space="0" w:color="auto"/>
        <w:right w:val="none" w:sz="0" w:space="0" w:color="auto"/>
      </w:divBdr>
    </w:div>
    <w:div w:id="807942025">
      <w:bodyDiv w:val="1"/>
      <w:marLeft w:val="0"/>
      <w:marRight w:val="0"/>
      <w:marTop w:val="0"/>
      <w:marBottom w:val="0"/>
      <w:divBdr>
        <w:top w:val="none" w:sz="0" w:space="0" w:color="auto"/>
        <w:left w:val="none" w:sz="0" w:space="0" w:color="auto"/>
        <w:bottom w:val="none" w:sz="0" w:space="0" w:color="auto"/>
        <w:right w:val="none" w:sz="0" w:space="0" w:color="auto"/>
      </w:divBdr>
      <w:divsChild>
        <w:div w:id="127211065">
          <w:marLeft w:val="0"/>
          <w:marRight w:val="0"/>
          <w:marTop w:val="0"/>
          <w:marBottom w:val="0"/>
          <w:divBdr>
            <w:top w:val="none" w:sz="0" w:space="0" w:color="auto"/>
            <w:left w:val="none" w:sz="0" w:space="0" w:color="auto"/>
            <w:bottom w:val="none" w:sz="0" w:space="0" w:color="auto"/>
            <w:right w:val="none" w:sz="0" w:space="0" w:color="auto"/>
          </w:divBdr>
          <w:divsChild>
            <w:div w:id="69163888">
              <w:marLeft w:val="0"/>
              <w:marRight w:val="0"/>
              <w:marTop w:val="0"/>
              <w:marBottom w:val="0"/>
              <w:divBdr>
                <w:top w:val="none" w:sz="0" w:space="0" w:color="auto"/>
                <w:left w:val="none" w:sz="0" w:space="0" w:color="auto"/>
                <w:bottom w:val="none" w:sz="0" w:space="0" w:color="auto"/>
                <w:right w:val="none" w:sz="0" w:space="0" w:color="auto"/>
              </w:divBdr>
              <w:divsChild>
                <w:div w:id="1909807394">
                  <w:marLeft w:val="0"/>
                  <w:marRight w:val="0"/>
                  <w:marTop w:val="0"/>
                  <w:marBottom w:val="0"/>
                  <w:divBdr>
                    <w:top w:val="none" w:sz="0" w:space="0" w:color="auto"/>
                    <w:left w:val="none" w:sz="0" w:space="0" w:color="auto"/>
                    <w:bottom w:val="none" w:sz="0" w:space="0" w:color="auto"/>
                    <w:right w:val="none" w:sz="0" w:space="0" w:color="auto"/>
                  </w:divBdr>
                  <w:divsChild>
                    <w:div w:id="1957519586">
                      <w:marLeft w:val="0"/>
                      <w:marRight w:val="0"/>
                      <w:marTop w:val="0"/>
                      <w:marBottom w:val="0"/>
                      <w:divBdr>
                        <w:top w:val="none" w:sz="0" w:space="0" w:color="auto"/>
                        <w:left w:val="none" w:sz="0" w:space="0" w:color="auto"/>
                        <w:bottom w:val="none" w:sz="0" w:space="0" w:color="auto"/>
                        <w:right w:val="none" w:sz="0" w:space="0" w:color="auto"/>
                      </w:divBdr>
                      <w:divsChild>
                        <w:div w:id="1787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286">
          <w:marLeft w:val="0"/>
          <w:marRight w:val="0"/>
          <w:marTop w:val="0"/>
          <w:marBottom w:val="0"/>
          <w:divBdr>
            <w:top w:val="none" w:sz="0" w:space="0" w:color="auto"/>
            <w:left w:val="none" w:sz="0" w:space="0" w:color="auto"/>
            <w:bottom w:val="none" w:sz="0" w:space="0" w:color="auto"/>
            <w:right w:val="none" w:sz="0" w:space="0" w:color="auto"/>
          </w:divBdr>
          <w:divsChild>
            <w:div w:id="711196741">
              <w:marLeft w:val="0"/>
              <w:marRight w:val="0"/>
              <w:marTop w:val="0"/>
              <w:marBottom w:val="0"/>
              <w:divBdr>
                <w:top w:val="none" w:sz="0" w:space="0" w:color="auto"/>
                <w:left w:val="none" w:sz="0" w:space="0" w:color="auto"/>
                <w:bottom w:val="none" w:sz="0" w:space="0" w:color="auto"/>
                <w:right w:val="none" w:sz="0" w:space="0" w:color="auto"/>
              </w:divBdr>
              <w:divsChild>
                <w:div w:id="821582058">
                  <w:marLeft w:val="0"/>
                  <w:marRight w:val="0"/>
                  <w:marTop w:val="0"/>
                  <w:marBottom w:val="0"/>
                  <w:divBdr>
                    <w:top w:val="none" w:sz="0" w:space="0" w:color="auto"/>
                    <w:left w:val="none" w:sz="0" w:space="0" w:color="auto"/>
                    <w:bottom w:val="none" w:sz="0" w:space="0" w:color="auto"/>
                    <w:right w:val="none" w:sz="0" w:space="0" w:color="auto"/>
                  </w:divBdr>
                  <w:divsChild>
                    <w:div w:id="1167328354">
                      <w:marLeft w:val="0"/>
                      <w:marRight w:val="0"/>
                      <w:marTop w:val="0"/>
                      <w:marBottom w:val="0"/>
                      <w:divBdr>
                        <w:top w:val="none" w:sz="0" w:space="0" w:color="auto"/>
                        <w:left w:val="none" w:sz="0" w:space="0" w:color="auto"/>
                        <w:bottom w:val="none" w:sz="0" w:space="0" w:color="auto"/>
                        <w:right w:val="none" w:sz="0" w:space="0" w:color="auto"/>
                      </w:divBdr>
                      <w:divsChild>
                        <w:div w:id="78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770">
      <w:bodyDiv w:val="1"/>
      <w:marLeft w:val="0"/>
      <w:marRight w:val="0"/>
      <w:marTop w:val="0"/>
      <w:marBottom w:val="0"/>
      <w:divBdr>
        <w:top w:val="none" w:sz="0" w:space="0" w:color="auto"/>
        <w:left w:val="none" w:sz="0" w:space="0" w:color="auto"/>
        <w:bottom w:val="none" w:sz="0" w:space="0" w:color="auto"/>
        <w:right w:val="none" w:sz="0" w:space="0" w:color="auto"/>
      </w:divBdr>
    </w:div>
    <w:div w:id="865559346">
      <w:bodyDiv w:val="1"/>
      <w:marLeft w:val="0"/>
      <w:marRight w:val="0"/>
      <w:marTop w:val="0"/>
      <w:marBottom w:val="0"/>
      <w:divBdr>
        <w:top w:val="none" w:sz="0" w:space="0" w:color="auto"/>
        <w:left w:val="none" w:sz="0" w:space="0" w:color="auto"/>
        <w:bottom w:val="none" w:sz="0" w:space="0" w:color="auto"/>
        <w:right w:val="none" w:sz="0" w:space="0" w:color="auto"/>
      </w:divBdr>
    </w:div>
    <w:div w:id="868495640">
      <w:bodyDiv w:val="1"/>
      <w:marLeft w:val="0"/>
      <w:marRight w:val="0"/>
      <w:marTop w:val="0"/>
      <w:marBottom w:val="0"/>
      <w:divBdr>
        <w:top w:val="none" w:sz="0" w:space="0" w:color="auto"/>
        <w:left w:val="none" w:sz="0" w:space="0" w:color="auto"/>
        <w:bottom w:val="none" w:sz="0" w:space="0" w:color="auto"/>
        <w:right w:val="none" w:sz="0" w:space="0" w:color="auto"/>
      </w:divBdr>
    </w:div>
    <w:div w:id="872425682">
      <w:bodyDiv w:val="1"/>
      <w:marLeft w:val="0"/>
      <w:marRight w:val="0"/>
      <w:marTop w:val="0"/>
      <w:marBottom w:val="0"/>
      <w:divBdr>
        <w:top w:val="none" w:sz="0" w:space="0" w:color="auto"/>
        <w:left w:val="none" w:sz="0" w:space="0" w:color="auto"/>
        <w:bottom w:val="none" w:sz="0" w:space="0" w:color="auto"/>
        <w:right w:val="none" w:sz="0" w:space="0" w:color="auto"/>
      </w:divBdr>
    </w:div>
    <w:div w:id="872571903">
      <w:bodyDiv w:val="1"/>
      <w:marLeft w:val="0"/>
      <w:marRight w:val="0"/>
      <w:marTop w:val="0"/>
      <w:marBottom w:val="0"/>
      <w:divBdr>
        <w:top w:val="none" w:sz="0" w:space="0" w:color="auto"/>
        <w:left w:val="none" w:sz="0" w:space="0" w:color="auto"/>
        <w:bottom w:val="none" w:sz="0" w:space="0" w:color="auto"/>
        <w:right w:val="none" w:sz="0" w:space="0" w:color="auto"/>
      </w:divBdr>
    </w:div>
    <w:div w:id="873420681">
      <w:bodyDiv w:val="1"/>
      <w:marLeft w:val="0"/>
      <w:marRight w:val="0"/>
      <w:marTop w:val="0"/>
      <w:marBottom w:val="0"/>
      <w:divBdr>
        <w:top w:val="none" w:sz="0" w:space="0" w:color="auto"/>
        <w:left w:val="none" w:sz="0" w:space="0" w:color="auto"/>
        <w:bottom w:val="none" w:sz="0" w:space="0" w:color="auto"/>
        <w:right w:val="none" w:sz="0" w:space="0" w:color="auto"/>
      </w:divBdr>
    </w:div>
    <w:div w:id="896087944">
      <w:bodyDiv w:val="1"/>
      <w:marLeft w:val="0"/>
      <w:marRight w:val="0"/>
      <w:marTop w:val="0"/>
      <w:marBottom w:val="0"/>
      <w:divBdr>
        <w:top w:val="none" w:sz="0" w:space="0" w:color="auto"/>
        <w:left w:val="none" w:sz="0" w:space="0" w:color="auto"/>
        <w:bottom w:val="none" w:sz="0" w:space="0" w:color="auto"/>
        <w:right w:val="none" w:sz="0" w:space="0" w:color="auto"/>
      </w:divBdr>
    </w:div>
    <w:div w:id="917834797">
      <w:bodyDiv w:val="1"/>
      <w:marLeft w:val="0"/>
      <w:marRight w:val="0"/>
      <w:marTop w:val="0"/>
      <w:marBottom w:val="0"/>
      <w:divBdr>
        <w:top w:val="none" w:sz="0" w:space="0" w:color="auto"/>
        <w:left w:val="none" w:sz="0" w:space="0" w:color="auto"/>
        <w:bottom w:val="none" w:sz="0" w:space="0" w:color="auto"/>
        <w:right w:val="none" w:sz="0" w:space="0" w:color="auto"/>
      </w:divBdr>
    </w:div>
    <w:div w:id="918245937">
      <w:bodyDiv w:val="1"/>
      <w:marLeft w:val="0"/>
      <w:marRight w:val="0"/>
      <w:marTop w:val="0"/>
      <w:marBottom w:val="0"/>
      <w:divBdr>
        <w:top w:val="none" w:sz="0" w:space="0" w:color="auto"/>
        <w:left w:val="none" w:sz="0" w:space="0" w:color="auto"/>
        <w:bottom w:val="none" w:sz="0" w:space="0" w:color="auto"/>
        <w:right w:val="none" w:sz="0" w:space="0" w:color="auto"/>
      </w:divBdr>
    </w:div>
    <w:div w:id="929583536">
      <w:bodyDiv w:val="1"/>
      <w:marLeft w:val="0"/>
      <w:marRight w:val="0"/>
      <w:marTop w:val="0"/>
      <w:marBottom w:val="0"/>
      <w:divBdr>
        <w:top w:val="none" w:sz="0" w:space="0" w:color="auto"/>
        <w:left w:val="none" w:sz="0" w:space="0" w:color="auto"/>
        <w:bottom w:val="none" w:sz="0" w:space="0" w:color="auto"/>
        <w:right w:val="none" w:sz="0" w:space="0" w:color="auto"/>
      </w:divBdr>
    </w:div>
    <w:div w:id="936131570">
      <w:bodyDiv w:val="1"/>
      <w:marLeft w:val="0"/>
      <w:marRight w:val="0"/>
      <w:marTop w:val="0"/>
      <w:marBottom w:val="0"/>
      <w:divBdr>
        <w:top w:val="none" w:sz="0" w:space="0" w:color="auto"/>
        <w:left w:val="none" w:sz="0" w:space="0" w:color="auto"/>
        <w:bottom w:val="none" w:sz="0" w:space="0" w:color="auto"/>
        <w:right w:val="none" w:sz="0" w:space="0" w:color="auto"/>
      </w:divBdr>
    </w:div>
    <w:div w:id="952326236">
      <w:bodyDiv w:val="1"/>
      <w:marLeft w:val="0"/>
      <w:marRight w:val="0"/>
      <w:marTop w:val="0"/>
      <w:marBottom w:val="0"/>
      <w:divBdr>
        <w:top w:val="none" w:sz="0" w:space="0" w:color="auto"/>
        <w:left w:val="none" w:sz="0" w:space="0" w:color="auto"/>
        <w:bottom w:val="none" w:sz="0" w:space="0" w:color="auto"/>
        <w:right w:val="none" w:sz="0" w:space="0" w:color="auto"/>
      </w:divBdr>
    </w:div>
    <w:div w:id="952860139">
      <w:bodyDiv w:val="1"/>
      <w:marLeft w:val="0"/>
      <w:marRight w:val="0"/>
      <w:marTop w:val="0"/>
      <w:marBottom w:val="0"/>
      <w:divBdr>
        <w:top w:val="none" w:sz="0" w:space="0" w:color="auto"/>
        <w:left w:val="none" w:sz="0" w:space="0" w:color="auto"/>
        <w:bottom w:val="none" w:sz="0" w:space="0" w:color="auto"/>
        <w:right w:val="none" w:sz="0" w:space="0" w:color="auto"/>
      </w:divBdr>
    </w:div>
    <w:div w:id="955718484">
      <w:bodyDiv w:val="1"/>
      <w:marLeft w:val="0"/>
      <w:marRight w:val="0"/>
      <w:marTop w:val="0"/>
      <w:marBottom w:val="0"/>
      <w:divBdr>
        <w:top w:val="none" w:sz="0" w:space="0" w:color="auto"/>
        <w:left w:val="none" w:sz="0" w:space="0" w:color="auto"/>
        <w:bottom w:val="none" w:sz="0" w:space="0" w:color="auto"/>
        <w:right w:val="none" w:sz="0" w:space="0" w:color="auto"/>
      </w:divBdr>
    </w:div>
    <w:div w:id="967782810">
      <w:bodyDiv w:val="1"/>
      <w:marLeft w:val="0"/>
      <w:marRight w:val="0"/>
      <w:marTop w:val="0"/>
      <w:marBottom w:val="0"/>
      <w:divBdr>
        <w:top w:val="none" w:sz="0" w:space="0" w:color="auto"/>
        <w:left w:val="none" w:sz="0" w:space="0" w:color="auto"/>
        <w:bottom w:val="none" w:sz="0" w:space="0" w:color="auto"/>
        <w:right w:val="none" w:sz="0" w:space="0" w:color="auto"/>
      </w:divBdr>
    </w:div>
    <w:div w:id="975988190">
      <w:bodyDiv w:val="1"/>
      <w:marLeft w:val="0"/>
      <w:marRight w:val="0"/>
      <w:marTop w:val="0"/>
      <w:marBottom w:val="0"/>
      <w:divBdr>
        <w:top w:val="none" w:sz="0" w:space="0" w:color="auto"/>
        <w:left w:val="none" w:sz="0" w:space="0" w:color="auto"/>
        <w:bottom w:val="none" w:sz="0" w:space="0" w:color="auto"/>
        <w:right w:val="none" w:sz="0" w:space="0" w:color="auto"/>
      </w:divBdr>
    </w:div>
    <w:div w:id="989408943">
      <w:bodyDiv w:val="1"/>
      <w:marLeft w:val="0"/>
      <w:marRight w:val="0"/>
      <w:marTop w:val="0"/>
      <w:marBottom w:val="0"/>
      <w:divBdr>
        <w:top w:val="none" w:sz="0" w:space="0" w:color="auto"/>
        <w:left w:val="none" w:sz="0" w:space="0" w:color="auto"/>
        <w:bottom w:val="none" w:sz="0" w:space="0" w:color="auto"/>
        <w:right w:val="none" w:sz="0" w:space="0" w:color="auto"/>
      </w:divBdr>
    </w:div>
    <w:div w:id="998538229">
      <w:bodyDiv w:val="1"/>
      <w:marLeft w:val="0"/>
      <w:marRight w:val="0"/>
      <w:marTop w:val="0"/>
      <w:marBottom w:val="0"/>
      <w:divBdr>
        <w:top w:val="none" w:sz="0" w:space="0" w:color="auto"/>
        <w:left w:val="none" w:sz="0" w:space="0" w:color="auto"/>
        <w:bottom w:val="none" w:sz="0" w:space="0" w:color="auto"/>
        <w:right w:val="none" w:sz="0" w:space="0" w:color="auto"/>
      </w:divBdr>
    </w:div>
    <w:div w:id="1010524245">
      <w:bodyDiv w:val="1"/>
      <w:marLeft w:val="0"/>
      <w:marRight w:val="0"/>
      <w:marTop w:val="0"/>
      <w:marBottom w:val="0"/>
      <w:divBdr>
        <w:top w:val="none" w:sz="0" w:space="0" w:color="auto"/>
        <w:left w:val="none" w:sz="0" w:space="0" w:color="auto"/>
        <w:bottom w:val="none" w:sz="0" w:space="0" w:color="auto"/>
        <w:right w:val="none" w:sz="0" w:space="0" w:color="auto"/>
      </w:divBdr>
    </w:div>
    <w:div w:id="1013535183">
      <w:bodyDiv w:val="1"/>
      <w:marLeft w:val="0"/>
      <w:marRight w:val="0"/>
      <w:marTop w:val="0"/>
      <w:marBottom w:val="0"/>
      <w:divBdr>
        <w:top w:val="none" w:sz="0" w:space="0" w:color="auto"/>
        <w:left w:val="none" w:sz="0" w:space="0" w:color="auto"/>
        <w:bottom w:val="none" w:sz="0" w:space="0" w:color="auto"/>
        <w:right w:val="none" w:sz="0" w:space="0" w:color="auto"/>
      </w:divBdr>
    </w:div>
    <w:div w:id="1020014520">
      <w:bodyDiv w:val="1"/>
      <w:marLeft w:val="0"/>
      <w:marRight w:val="0"/>
      <w:marTop w:val="0"/>
      <w:marBottom w:val="0"/>
      <w:divBdr>
        <w:top w:val="none" w:sz="0" w:space="0" w:color="auto"/>
        <w:left w:val="none" w:sz="0" w:space="0" w:color="auto"/>
        <w:bottom w:val="none" w:sz="0" w:space="0" w:color="auto"/>
        <w:right w:val="none" w:sz="0" w:space="0" w:color="auto"/>
      </w:divBdr>
    </w:div>
    <w:div w:id="1030566446">
      <w:bodyDiv w:val="1"/>
      <w:marLeft w:val="0"/>
      <w:marRight w:val="0"/>
      <w:marTop w:val="0"/>
      <w:marBottom w:val="0"/>
      <w:divBdr>
        <w:top w:val="none" w:sz="0" w:space="0" w:color="auto"/>
        <w:left w:val="none" w:sz="0" w:space="0" w:color="auto"/>
        <w:bottom w:val="none" w:sz="0" w:space="0" w:color="auto"/>
        <w:right w:val="none" w:sz="0" w:space="0" w:color="auto"/>
      </w:divBdr>
    </w:div>
    <w:div w:id="1040007508">
      <w:bodyDiv w:val="1"/>
      <w:marLeft w:val="0"/>
      <w:marRight w:val="0"/>
      <w:marTop w:val="0"/>
      <w:marBottom w:val="0"/>
      <w:divBdr>
        <w:top w:val="none" w:sz="0" w:space="0" w:color="auto"/>
        <w:left w:val="none" w:sz="0" w:space="0" w:color="auto"/>
        <w:bottom w:val="none" w:sz="0" w:space="0" w:color="auto"/>
        <w:right w:val="none" w:sz="0" w:space="0" w:color="auto"/>
      </w:divBdr>
    </w:div>
    <w:div w:id="1066147198">
      <w:bodyDiv w:val="1"/>
      <w:marLeft w:val="0"/>
      <w:marRight w:val="0"/>
      <w:marTop w:val="0"/>
      <w:marBottom w:val="0"/>
      <w:divBdr>
        <w:top w:val="none" w:sz="0" w:space="0" w:color="auto"/>
        <w:left w:val="none" w:sz="0" w:space="0" w:color="auto"/>
        <w:bottom w:val="none" w:sz="0" w:space="0" w:color="auto"/>
        <w:right w:val="none" w:sz="0" w:space="0" w:color="auto"/>
      </w:divBdr>
    </w:div>
    <w:div w:id="1074399854">
      <w:bodyDiv w:val="1"/>
      <w:marLeft w:val="0"/>
      <w:marRight w:val="0"/>
      <w:marTop w:val="0"/>
      <w:marBottom w:val="0"/>
      <w:divBdr>
        <w:top w:val="none" w:sz="0" w:space="0" w:color="auto"/>
        <w:left w:val="none" w:sz="0" w:space="0" w:color="auto"/>
        <w:bottom w:val="none" w:sz="0" w:space="0" w:color="auto"/>
        <w:right w:val="none" w:sz="0" w:space="0" w:color="auto"/>
      </w:divBdr>
    </w:div>
    <w:div w:id="1090467350">
      <w:bodyDiv w:val="1"/>
      <w:marLeft w:val="0"/>
      <w:marRight w:val="0"/>
      <w:marTop w:val="0"/>
      <w:marBottom w:val="0"/>
      <w:divBdr>
        <w:top w:val="none" w:sz="0" w:space="0" w:color="auto"/>
        <w:left w:val="none" w:sz="0" w:space="0" w:color="auto"/>
        <w:bottom w:val="none" w:sz="0" w:space="0" w:color="auto"/>
        <w:right w:val="none" w:sz="0" w:space="0" w:color="auto"/>
      </w:divBdr>
    </w:div>
    <w:div w:id="1124930264">
      <w:bodyDiv w:val="1"/>
      <w:marLeft w:val="0"/>
      <w:marRight w:val="0"/>
      <w:marTop w:val="0"/>
      <w:marBottom w:val="0"/>
      <w:divBdr>
        <w:top w:val="none" w:sz="0" w:space="0" w:color="auto"/>
        <w:left w:val="none" w:sz="0" w:space="0" w:color="auto"/>
        <w:bottom w:val="none" w:sz="0" w:space="0" w:color="auto"/>
        <w:right w:val="none" w:sz="0" w:space="0" w:color="auto"/>
      </w:divBdr>
    </w:div>
    <w:div w:id="1141843016">
      <w:bodyDiv w:val="1"/>
      <w:marLeft w:val="0"/>
      <w:marRight w:val="0"/>
      <w:marTop w:val="0"/>
      <w:marBottom w:val="0"/>
      <w:divBdr>
        <w:top w:val="none" w:sz="0" w:space="0" w:color="auto"/>
        <w:left w:val="none" w:sz="0" w:space="0" w:color="auto"/>
        <w:bottom w:val="none" w:sz="0" w:space="0" w:color="auto"/>
        <w:right w:val="none" w:sz="0" w:space="0" w:color="auto"/>
      </w:divBdr>
    </w:div>
    <w:div w:id="1168596681">
      <w:bodyDiv w:val="1"/>
      <w:marLeft w:val="0"/>
      <w:marRight w:val="0"/>
      <w:marTop w:val="0"/>
      <w:marBottom w:val="0"/>
      <w:divBdr>
        <w:top w:val="none" w:sz="0" w:space="0" w:color="auto"/>
        <w:left w:val="none" w:sz="0" w:space="0" w:color="auto"/>
        <w:bottom w:val="none" w:sz="0" w:space="0" w:color="auto"/>
        <w:right w:val="none" w:sz="0" w:space="0" w:color="auto"/>
      </w:divBdr>
    </w:div>
    <w:div w:id="1193764677">
      <w:bodyDiv w:val="1"/>
      <w:marLeft w:val="0"/>
      <w:marRight w:val="0"/>
      <w:marTop w:val="0"/>
      <w:marBottom w:val="0"/>
      <w:divBdr>
        <w:top w:val="none" w:sz="0" w:space="0" w:color="auto"/>
        <w:left w:val="none" w:sz="0" w:space="0" w:color="auto"/>
        <w:bottom w:val="none" w:sz="0" w:space="0" w:color="auto"/>
        <w:right w:val="none" w:sz="0" w:space="0" w:color="auto"/>
      </w:divBdr>
    </w:div>
    <w:div w:id="1193954403">
      <w:bodyDiv w:val="1"/>
      <w:marLeft w:val="0"/>
      <w:marRight w:val="0"/>
      <w:marTop w:val="0"/>
      <w:marBottom w:val="0"/>
      <w:divBdr>
        <w:top w:val="none" w:sz="0" w:space="0" w:color="auto"/>
        <w:left w:val="none" w:sz="0" w:space="0" w:color="auto"/>
        <w:bottom w:val="none" w:sz="0" w:space="0" w:color="auto"/>
        <w:right w:val="none" w:sz="0" w:space="0" w:color="auto"/>
      </w:divBdr>
    </w:div>
    <w:div w:id="1201239757">
      <w:bodyDiv w:val="1"/>
      <w:marLeft w:val="0"/>
      <w:marRight w:val="0"/>
      <w:marTop w:val="0"/>
      <w:marBottom w:val="0"/>
      <w:divBdr>
        <w:top w:val="none" w:sz="0" w:space="0" w:color="auto"/>
        <w:left w:val="none" w:sz="0" w:space="0" w:color="auto"/>
        <w:bottom w:val="none" w:sz="0" w:space="0" w:color="auto"/>
        <w:right w:val="none" w:sz="0" w:space="0" w:color="auto"/>
      </w:divBdr>
    </w:div>
    <w:div w:id="1241452410">
      <w:bodyDiv w:val="1"/>
      <w:marLeft w:val="0"/>
      <w:marRight w:val="0"/>
      <w:marTop w:val="0"/>
      <w:marBottom w:val="0"/>
      <w:divBdr>
        <w:top w:val="none" w:sz="0" w:space="0" w:color="auto"/>
        <w:left w:val="none" w:sz="0" w:space="0" w:color="auto"/>
        <w:bottom w:val="none" w:sz="0" w:space="0" w:color="auto"/>
        <w:right w:val="none" w:sz="0" w:space="0" w:color="auto"/>
      </w:divBdr>
    </w:div>
    <w:div w:id="1247886057">
      <w:bodyDiv w:val="1"/>
      <w:marLeft w:val="0"/>
      <w:marRight w:val="0"/>
      <w:marTop w:val="0"/>
      <w:marBottom w:val="0"/>
      <w:divBdr>
        <w:top w:val="none" w:sz="0" w:space="0" w:color="auto"/>
        <w:left w:val="none" w:sz="0" w:space="0" w:color="auto"/>
        <w:bottom w:val="none" w:sz="0" w:space="0" w:color="auto"/>
        <w:right w:val="none" w:sz="0" w:space="0" w:color="auto"/>
      </w:divBdr>
    </w:div>
    <w:div w:id="1254509380">
      <w:bodyDiv w:val="1"/>
      <w:marLeft w:val="0"/>
      <w:marRight w:val="0"/>
      <w:marTop w:val="0"/>
      <w:marBottom w:val="0"/>
      <w:divBdr>
        <w:top w:val="none" w:sz="0" w:space="0" w:color="auto"/>
        <w:left w:val="none" w:sz="0" w:space="0" w:color="auto"/>
        <w:bottom w:val="none" w:sz="0" w:space="0" w:color="auto"/>
        <w:right w:val="none" w:sz="0" w:space="0" w:color="auto"/>
      </w:divBdr>
    </w:div>
    <w:div w:id="1257440559">
      <w:bodyDiv w:val="1"/>
      <w:marLeft w:val="0"/>
      <w:marRight w:val="0"/>
      <w:marTop w:val="0"/>
      <w:marBottom w:val="0"/>
      <w:divBdr>
        <w:top w:val="none" w:sz="0" w:space="0" w:color="auto"/>
        <w:left w:val="none" w:sz="0" w:space="0" w:color="auto"/>
        <w:bottom w:val="none" w:sz="0" w:space="0" w:color="auto"/>
        <w:right w:val="none" w:sz="0" w:space="0" w:color="auto"/>
      </w:divBdr>
    </w:div>
    <w:div w:id="1271401926">
      <w:bodyDiv w:val="1"/>
      <w:marLeft w:val="0"/>
      <w:marRight w:val="0"/>
      <w:marTop w:val="0"/>
      <w:marBottom w:val="0"/>
      <w:divBdr>
        <w:top w:val="none" w:sz="0" w:space="0" w:color="auto"/>
        <w:left w:val="none" w:sz="0" w:space="0" w:color="auto"/>
        <w:bottom w:val="none" w:sz="0" w:space="0" w:color="auto"/>
        <w:right w:val="none" w:sz="0" w:space="0" w:color="auto"/>
      </w:divBdr>
    </w:div>
    <w:div w:id="1304047330">
      <w:bodyDiv w:val="1"/>
      <w:marLeft w:val="0"/>
      <w:marRight w:val="0"/>
      <w:marTop w:val="0"/>
      <w:marBottom w:val="0"/>
      <w:divBdr>
        <w:top w:val="none" w:sz="0" w:space="0" w:color="auto"/>
        <w:left w:val="none" w:sz="0" w:space="0" w:color="auto"/>
        <w:bottom w:val="none" w:sz="0" w:space="0" w:color="auto"/>
        <w:right w:val="none" w:sz="0" w:space="0" w:color="auto"/>
      </w:divBdr>
    </w:div>
    <w:div w:id="1307274560">
      <w:bodyDiv w:val="1"/>
      <w:marLeft w:val="0"/>
      <w:marRight w:val="0"/>
      <w:marTop w:val="0"/>
      <w:marBottom w:val="0"/>
      <w:divBdr>
        <w:top w:val="none" w:sz="0" w:space="0" w:color="auto"/>
        <w:left w:val="none" w:sz="0" w:space="0" w:color="auto"/>
        <w:bottom w:val="none" w:sz="0" w:space="0" w:color="auto"/>
        <w:right w:val="none" w:sz="0" w:space="0" w:color="auto"/>
      </w:divBdr>
    </w:div>
    <w:div w:id="1348170496">
      <w:bodyDiv w:val="1"/>
      <w:marLeft w:val="0"/>
      <w:marRight w:val="0"/>
      <w:marTop w:val="0"/>
      <w:marBottom w:val="0"/>
      <w:divBdr>
        <w:top w:val="none" w:sz="0" w:space="0" w:color="auto"/>
        <w:left w:val="none" w:sz="0" w:space="0" w:color="auto"/>
        <w:bottom w:val="none" w:sz="0" w:space="0" w:color="auto"/>
        <w:right w:val="none" w:sz="0" w:space="0" w:color="auto"/>
      </w:divBdr>
    </w:div>
    <w:div w:id="1353652144">
      <w:bodyDiv w:val="1"/>
      <w:marLeft w:val="0"/>
      <w:marRight w:val="0"/>
      <w:marTop w:val="0"/>
      <w:marBottom w:val="0"/>
      <w:divBdr>
        <w:top w:val="none" w:sz="0" w:space="0" w:color="auto"/>
        <w:left w:val="none" w:sz="0" w:space="0" w:color="auto"/>
        <w:bottom w:val="none" w:sz="0" w:space="0" w:color="auto"/>
        <w:right w:val="none" w:sz="0" w:space="0" w:color="auto"/>
      </w:divBdr>
    </w:div>
    <w:div w:id="1375156529">
      <w:bodyDiv w:val="1"/>
      <w:marLeft w:val="0"/>
      <w:marRight w:val="0"/>
      <w:marTop w:val="0"/>
      <w:marBottom w:val="0"/>
      <w:divBdr>
        <w:top w:val="none" w:sz="0" w:space="0" w:color="auto"/>
        <w:left w:val="none" w:sz="0" w:space="0" w:color="auto"/>
        <w:bottom w:val="none" w:sz="0" w:space="0" w:color="auto"/>
        <w:right w:val="none" w:sz="0" w:space="0" w:color="auto"/>
      </w:divBdr>
    </w:div>
    <w:div w:id="1382285537">
      <w:bodyDiv w:val="1"/>
      <w:marLeft w:val="0"/>
      <w:marRight w:val="0"/>
      <w:marTop w:val="0"/>
      <w:marBottom w:val="0"/>
      <w:divBdr>
        <w:top w:val="none" w:sz="0" w:space="0" w:color="auto"/>
        <w:left w:val="none" w:sz="0" w:space="0" w:color="auto"/>
        <w:bottom w:val="none" w:sz="0" w:space="0" w:color="auto"/>
        <w:right w:val="none" w:sz="0" w:space="0" w:color="auto"/>
      </w:divBdr>
    </w:div>
    <w:div w:id="1395397223">
      <w:bodyDiv w:val="1"/>
      <w:marLeft w:val="0"/>
      <w:marRight w:val="0"/>
      <w:marTop w:val="0"/>
      <w:marBottom w:val="0"/>
      <w:divBdr>
        <w:top w:val="none" w:sz="0" w:space="0" w:color="auto"/>
        <w:left w:val="none" w:sz="0" w:space="0" w:color="auto"/>
        <w:bottom w:val="none" w:sz="0" w:space="0" w:color="auto"/>
        <w:right w:val="none" w:sz="0" w:space="0" w:color="auto"/>
      </w:divBdr>
    </w:div>
    <w:div w:id="1418095778">
      <w:bodyDiv w:val="1"/>
      <w:marLeft w:val="0"/>
      <w:marRight w:val="0"/>
      <w:marTop w:val="0"/>
      <w:marBottom w:val="0"/>
      <w:divBdr>
        <w:top w:val="none" w:sz="0" w:space="0" w:color="auto"/>
        <w:left w:val="none" w:sz="0" w:space="0" w:color="auto"/>
        <w:bottom w:val="none" w:sz="0" w:space="0" w:color="auto"/>
        <w:right w:val="none" w:sz="0" w:space="0" w:color="auto"/>
      </w:divBdr>
    </w:div>
    <w:div w:id="1418206391">
      <w:bodyDiv w:val="1"/>
      <w:marLeft w:val="0"/>
      <w:marRight w:val="0"/>
      <w:marTop w:val="0"/>
      <w:marBottom w:val="0"/>
      <w:divBdr>
        <w:top w:val="none" w:sz="0" w:space="0" w:color="auto"/>
        <w:left w:val="none" w:sz="0" w:space="0" w:color="auto"/>
        <w:bottom w:val="none" w:sz="0" w:space="0" w:color="auto"/>
        <w:right w:val="none" w:sz="0" w:space="0" w:color="auto"/>
      </w:divBdr>
    </w:div>
    <w:div w:id="1420635775">
      <w:bodyDiv w:val="1"/>
      <w:marLeft w:val="0"/>
      <w:marRight w:val="0"/>
      <w:marTop w:val="0"/>
      <w:marBottom w:val="0"/>
      <w:divBdr>
        <w:top w:val="none" w:sz="0" w:space="0" w:color="auto"/>
        <w:left w:val="none" w:sz="0" w:space="0" w:color="auto"/>
        <w:bottom w:val="none" w:sz="0" w:space="0" w:color="auto"/>
        <w:right w:val="none" w:sz="0" w:space="0" w:color="auto"/>
      </w:divBdr>
    </w:div>
    <w:div w:id="1440372035">
      <w:bodyDiv w:val="1"/>
      <w:marLeft w:val="0"/>
      <w:marRight w:val="0"/>
      <w:marTop w:val="0"/>
      <w:marBottom w:val="0"/>
      <w:divBdr>
        <w:top w:val="none" w:sz="0" w:space="0" w:color="auto"/>
        <w:left w:val="none" w:sz="0" w:space="0" w:color="auto"/>
        <w:bottom w:val="none" w:sz="0" w:space="0" w:color="auto"/>
        <w:right w:val="none" w:sz="0" w:space="0" w:color="auto"/>
      </w:divBdr>
    </w:div>
    <w:div w:id="1441727794">
      <w:bodyDiv w:val="1"/>
      <w:marLeft w:val="0"/>
      <w:marRight w:val="0"/>
      <w:marTop w:val="0"/>
      <w:marBottom w:val="0"/>
      <w:divBdr>
        <w:top w:val="none" w:sz="0" w:space="0" w:color="auto"/>
        <w:left w:val="none" w:sz="0" w:space="0" w:color="auto"/>
        <w:bottom w:val="none" w:sz="0" w:space="0" w:color="auto"/>
        <w:right w:val="none" w:sz="0" w:space="0" w:color="auto"/>
      </w:divBdr>
    </w:div>
    <w:div w:id="1452169082">
      <w:bodyDiv w:val="1"/>
      <w:marLeft w:val="0"/>
      <w:marRight w:val="0"/>
      <w:marTop w:val="0"/>
      <w:marBottom w:val="0"/>
      <w:divBdr>
        <w:top w:val="none" w:sz="0" w:space="0" w:color="auto"/>
        <w:left w:val="none" w:sz="0" w:space="0" w:color="auto"/>
        <w:bottom w:val="none" w:sz="0" w:space="0" w:color="auto"/>
        <w:right w:val="none" w:sz="0" w:space="0" w:color="auto"/>
      </w:divBdr>
    </w:div>
    <w:div w:id="1463579619">
      <w:bodyDiv w:val="1"/>
      <w:marLeft w:val="0"/>
      <w:marRight w:val="0"/>
      <w:marTop w:val="0"/>
      <w:marBottom w:val="0"/>
      <w:divBdr>
        <w:top w:val="none" w:sz="0" w:space="0" w:color="auto"/>
        <w:left w:val="none" w:sz="0" w:space="0" w:color="auto"/>
        <w:bottom w:val="none" w:sz="0" w:space="0" w:color="auto"/>
        <w:right w:val="none" w:sz="0" w:space="0" w:color="auto"/>
      </w:divBdr>
    </w:div>
    <w:div w:id="1465349964">
      <w:bodyDiv w:val="1"/>
      <w:marLeft w:val="0"/>
      <w:marRight w:val="0"/>
      <w:marTop w:val="0"/>
      <w:marBottom w:val="0"/>
      <w:divBdr>
        <w:top w:val="none" w:sz="0" w:space="0" w:color="auto"/>
        <w:left w:val="none" w:sz="0" w:space="0" w:color="auto"/>
        <w:bottom w:val="none" w:sz="0" w:space="0" w:color="auto"/>
        <w:right w:val="none" w:sz="0" w:space="0" w:color="auto"/>
      </w:divBdr>
    </w:div>
    <w:div w:id="1487361593">
      <w:bodyDiv w:val="1"/>
      <w:marLeft w:val="0"/>
      <w:marRight w:val="0"/>
      <w:marTop w:val="0"/>
      <w:marBottom w:val="0"/>
      <w:divBdr>
        <w:top w:val="none" w:sz="0" w:space="0" w:color="auto"/>
        <w:left w:val="none" w:sz="0" w:space="0" w:color="auto"/>
        <w:bottom w:val="none" w:sz="0" w:space="0" w:color="auto"/>
        <w:right w:val="none" w:sz="0" w:space="0" w:color="auto"/>
      </w:divBdr>
    </w:div>
    <w:div w:id="1511530636">
      <w:bodyDiv w:val="1"/>
      <w:marLeft w:val="0"/>
      <w:marRight w:val="0"/>
      <w:marTop w:val="0"/>
      <w:marBottom w:val="0"/>
      <w:divBdr>
        <w:top w:val="none" w:sz="0" w:space="0" w:color="auto"/>
        <w:left w:val="none" w:sz="0" w:space="0" w:color="auto"/>
        <w:bottom w:val="none" w:sz="0" w:space="0" w:color="auto"/>
        <w:right w:val="none" w:sz="0" w:space="0" w:color="auto"/>
      </w:divBdr>
    </w:div>
    <w:div w:id="1515879086">
      <w:bodyDiv w:val="1"/>
      <w:marLeft w:val="0"/>
      <w:marRight w:val="0"/>
      <w:marTop w:val="0"/>
      <w:marBottom w:val="0"/>
      <w:divBdr>
        <w:top w:val="none" w:sz="0" w:space="0" w:color="auto"/>
        <w:left w:val="none" w:sz="0" w:space="0" w:color="auto"/>
        <w:bottom w:val="none" w:sz="0" w:space="0" w:color="auto"/>
        <w:right w:val="none" w:sz="0" w:space="0" w:color="auto"/>
      </w:divBdr>
    </w:div>
    <w:div w:id="1517226729">
      <w:bodyDiv w:val="1"/>
      <w:marLeft w:val="0"/>
      <w:marRight w:val="0"/>
      <w:marTop w:val="0"/>
      <w:marBottom w:val="0"/>
      <w:divBdr>
        <w:top w:val="none" w:sz="0" w:space="0" w:color="auto"/>
        <w:left w:val="none" w:sz="0" w:space="0" w:color="auto"/>
        <w:bottom w:val="none" w:sz="0" w:space="0" w:color="auto"/>
        <w:right w:val="none" w:sz="0" w:space="0" w:color="auto"/>
      </w:divBdr>
    </w:div>
    <w:div w:id="1533573099">
      <w:bodyDiv w:val="1"/>
      <w:marLeft w:val="0"/>
      <w:marRight w:val="0"/>
      <w:marTop w:val="0"/>
      <w:marBottom w:val="0"/>
      <w:divBdr>
        <w:top w:val="none" w:sz="0" w:space="0" w:color="auto"/>
        <w:left w:val="none" w:sz="0" w:space="0" w:color="auto"/>
        <w:bottom w:val="none" w:sz="0" w:space="0" w:color="auto"/>
        <w:right w:val="none" w:sz="0" w:space="0" w:color="auto"/>
      </w:divBdr>
    </w:div>
    <w:div w:id="1540237139">
      <w:bodyDiv w:val="1"/>
      <w:marLeft w:val="0"/>
      <w:marRight w:val="0"/>
      <w:marTop w:val="0"/>
      <w:marBottom w:val="0"/>
      <w:divBdr>
        <w:top w:val="none" w:sz="0" w:space="0" w:color="auto"/>
        <w:left w:val="none" w:sz="0" w:space="0" w:color="auto"/>
        <w:bottom w:val="none" w:sz="0" w:space="0" w:color="auto"/>
        <w:right w:val="none" w:sz="0" w:space="0" w:color="auto"/>
      </w:divBdr>
    </w:div>
    <w:div w:id="1545747691">
      <w:bodyDiv w:val="1"/>
      <w:marLeft w:val="0"/>
      <w:marRight w:val="0"/>
      <w:marTop w:val="0"/>
      <w:marBottom w:val="0"/>
      <w:divBdr>
        <w:top w:val="none" w:sz="0" w:space="0" w:color="auto"/>
        <w:left w:val="none" w:sz="0" w:space="0" w:color="auto"/>
        <w:bottom w:val="none" w:sz="0" w:space="0" w:color="auto"/>
        <w:right w:val="none" w:sz="0" w:space="0" w:color="auto"/>
      </w:divBdr>
    </w:div>
    <w:div w:id="1563558985">
      <w:bodyDiv w:val="1"/>
      <w:marLeft w:val="0"/>
      <w:marRight w:val="0"/>
      <w:marTop w:val="0"/>
      <w:marBottom w:val="0"/>
      <w:divBdr>
        <w:top w:val="none" w:sz="0" w:space="0" w:color="auto"/>
        <w:left w:val="none" w:sz="0" w:space="0" w:color="auto"/>
        <w:bottom w:val="none" w:sz="0" w:space="0" w:color="auto"/>
        <w:right w:val="none" w:sz="0" w:space="0" w:color="auto"/>
      </w:divBdr>
    </w:div>
    <w:div w:id="1607468106">
      <w:bodyDiv w:val="1"/>
      <w:marLeft w:val="0"/>
      <w:marRight w:val="0"/>
      <w:marTop w:val="0"/>
      <w:marBottom w:val="0"/>
      <w:divBdr>
        <w:top w:val="none" w:sz="0" w:space="0" w:color="auto"/>
        <w:left w:val="none" w:sz="0" w:space="0" w:color="auto"/>
        <w:bottom w:val="none" w:sz="0" w:space="0" w:color="auto"/>
        <w:right w:val="none" w:sz="0" w:space="0" w:color="auto"/>
      </w:divBdr>
    </w:div>
    <w:div w:id="1608733504">
      <w:bodyDiv w:val="1"/>
      <w:marLeft w:val="0"/>
      <w:marRight w:val="0"/>
      <w:marTop w:val="0"/>
      <w:marBottom w:val="0"/>
      <w:divBdr>
        <w:top w:val="none" w:sz="0" w:space="0" w:color="auto"/>
        <w:left w:val="none" w:sz="0" w:space="0" w:color="auto"/>
        <w:bottom w:val="none" w:sz="0" w:space="0" w:color="auto"/>
        <w:right w:val="none" w:sz="0" w:space="0" w:color="auto"/>
      </w:divBdr>
    </w:div>
    <w:div w:id="1641422329">
      <w:bodyDiv w:val="1"/>
      <w:marLeft w:val="0"/>
      <w:marRight w:val="0"/>
      <w:marTop w:val="0"/>
      <w:marBottom w:val="0"/>
      <w:divBdr>
        <w:top w:val="none" w:sz="0" w:space="0" w:color="auto"/>
        <w:left w:val="none" w:sz="0" w:space="0" w:color="auto"/>
        <w:bottom w:val="none" w:sz="0" w:space="0" w:color="auto"/>
        <w:right w:val="none" w:sz="0" w:space="0" w:color="auto"/>
      </w:divBdr>
    </w:div>
    <w:div w:id="1642998938">
      <w:bodyDiv w:val="1"/>
      <w:marLeft w:val="0"/>
      <w:marRight w:val="0"/>
      <w:marTop w:val="0"/>
      <w:marBottom w:val="0"/>
      <w:divBdr>
        <w:top w:val="none" w:sz="0" w:space="0" w:color="auto"/>
        <w:left w:val="none" w:sz="0" w:space="0" w:color="auto"/>
        <w:bottom w:val="none" w:sz="0" w:space="0" w:color="auto"/>
        <w:right w:val="none" w:sz="0" w:space="0" w:color="auto"/>
      </w:divBdr>
    </w:div>
    <w:div w:id="1656756661">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2050941">
      <w:bodyDiv w:val="1"/>
      <w:marLeft w:val="0"/>
      <w:marRight w:val="0"/>
      <w:marTop w:val="0"/>
      <w:marBottom w:val="0"/>
      <w:divBdr>
        <w:top w:val="none" w:sz="0" w:space="0" w:color="auto"/>
        <w:left w:val="none" w:sz="0" w:space="0" w:color="auto"/>
        <w:bottom w:val="none" w:sz="0" w:space="0" w:color="auto"/>
        <w:right w:val="none" w:sz="0" w:space="0" w:color="auto"/>
      </w:divBdr>
    </w:div>
    <w:div w:id="1698579842">
      <w:bodyDiv w:val="1"/>
      <w:marLeft w:val="0"/>
      <w:marRight w:val="0"/>
      <w:marTop w:val="0"/>
      <w:marBottom w:val="0"/>
      <w:divBdr>
        <w:top w:val="none" w:sz="0" w:space="0" w:color="auto"/>
        <w:left w:val="none" w:sz="0" w:space="0" w:color="auto"/>
        <w:bottom w:val="none" w:sz="0" w:space="0" w:color="auto"/>
        <w:right w:val="none" w:sz="0" w:space="0" w:color="auto"/>
      </w:divBdr>
    </w:div>
    <w:div w:id="1711766057">
      <w:bodyDiv w:val="1"/>
      <w:marLeft w:val="0"/>
      <w:marRight w:val="0"/>
      <w:marTop w:val="0"/>
      <w:marBottom w:val="0"/>
      <w:divBdr>
        <w:top w:val="none" w:sz="0" w:space="0" w:color="auto"/>
        <w:left w:val="none" w:sz="0" w:space="0" w:color="auto"/>
        <w:bottom w:val="none" w:sz="0" w:space="0" w:color="auto"/>
        <w:right w:val="none" w:sz="0" w:space="0" w:color="auto"/>
      </w:divBdr>
    </w:div>
    <w:div w:id="1738819881">
      <w:bodyDiv w:val="1"/>
      <w:marLeft w:val="0"/>
      <w:marRight w:val="0"/>
      <w:marTop w:val="0"/>
      <w:marBottom w:val="0"/>
      <w:divBdr>
        <w:top w:val="none" w:sz="0" w:space="0" w:color="auto"/>
        <w:left w:val="none" w:sz="0" w:space="0" w:color="auto"/>
        <w:bottom w:val="none" w:sz="0" w:space="0" w:color="auto"/>
        <w:right w:val="none" w:sz="0" w:space="0" w:color="auto"/>
      </w:divBdr>
    </w:div>
    <w:div w:id="1745642722">
      <w:bodyDiv w:val="1"/>
      <w:marLeft w:val="0"/>
      <w:marRight w:val="0"/>
      <w:marTop w:val="0"/>
      <w:marBottom w:val="0"/>
      <w:divBdr>
        <w:top w:val="none" w:sz="0" w:space="0" w:color="auto"/>
        <w:left w:val="none" w:sz="0" w:space="0" w:color="auto"/>
        <w:bottom w:val="none" w:sz="0" w:space="0" w:color="auto"/>
        <w:right w:val="none" w:sz="0" w:space="0" w:color="auto"/>
      </w:divBdr>
    </w:div>
    <w:div w:id="1753358514">
      <w:bodyDiv w:val="1"/>
      <w:marLeft w:val="0"/>
      <w:marRight w:val="0"/>
      <w:marTop w:val="0"/>
      <w:marBottom w:val="0"/>
      <w:divBdr>
        <w:top w:val="none" w:sz="0" w:space="0" w:color="auto"/>
        <w:left w:val="none" w:sz="0" w:space="0" w:color="auto"/>
        <w:bottom w:val="none" w:sz="0" w:space="0" w:color="auto"/>
        <w:right w:val="none" w:sz="0" w:space="0" w:color="auto"/>
      </w:divBdr>
    </w:div>
    <w:div w:id="1768113946">
      <w:bodyDiv w:val="1"/>
      <w:marLeft w:val="0"/>
      <w:marRight w:val="0"/>
      <w:marTop w:val="0"/>
      <w:marBottom w:val="0"/>
      <w:divBdr>
        <w:top w:val="none" w:sz="0" w:space="0" w:color="auto"/>
        <w:left w:val="none" w:sz="0" w:space="0" w:color="auto"/>
        <w:bottom w:val="none" w:sz="0" w:space="0" w:color="auto"/>
        <w:right w:val="none" w:sz="0" w:space="0" w:color="auto"/>
      </w:divBdr>
    </w:div>
    <w:div w:id="1769155957">
      <w:bodyDiv w:val="1"/>
      <w:marLeft w:val="0"/>
      <w:marRight w:val="0"/>
      <w:marTop w:val="0"/>
      <w:marBottom w:val="0"/>
      <w:divBdr>
        <w:top w:val="none" w:sz="0" w:space="0" w:color="auto"/>
        <w:left w:val="none" w:sz="0" w:space="0" w:color="auto"/>
        <w:bottom w:val="none" w:sz="0" w:space="0" w:color="auto"/>
        <w:right w:val="none" w:sz="0" w:space="0" w:color="auto"/>
      </w:divBdr>
    </w:div>
    <w:div w:id="1779639208">
      <w:bodyDiv w:val="1"/>
      <w:marLeft w:val="0"/>
      <w:marRight w:val="0"/>
      <w:marTop w:val="0"/>
      <w:marBottom w:val="0"/>
      <w:divBdr>
        <w:top w:val="none" w:sz="0" w:space="0" w:color="auto"/>
        <w:left w:val="none" w:sz="0" w:space="0" w:color="auto"/>
        <w:bottom w:val="none" w:sz="0" w:space="0" w:color="auto"/>
        <w:right w:val="none" w:sz="0" w:space="0" w:color="auto"/>
      </w:divBdr>
    </w:div>
    <w:div w:id="1798986471">
      <w:bodyDiv w:val="1"/>
      <w:marLeft w:val="0"/>
      <w:marRight w:val="0"/>
      <w:marTop w:val="0"/>
      <w:marBottom w:val="0"/>
      <w:divBdr>
        <w:top w:val="none" w:sz="0" w:space="0" w:color="auto"/>
        <w:left w:val="none" w:sz="0" w:space="0" w:color="auto"/>
        <w:bottom w:val="none" w:sz="0" w:space="0" w:color="auto"/>
        <w:right w:val="none" w:sz="0" w:space="0" w:color="auto"/>
      </w:divBdr>
    </w:div>
    <w:div w:id="1842041676">
      <w:bodyDiv w:val="1"/>
      <w:marLeft w:val="0"/>
      <w:marRight w:val="0"/>
      <w:marTop w:val="0"/>
      <w:marBottom w:val="0"/>
      <w:divBdr>
        <w:top w:val="none" w:sz="0" w:space="0" w:color="auto"/>
        <w:left w:val="none" w:sz="0" w:space="0" w:color="auto"/>
        <w:bottom w:val="none" w:sz="0" w:space="0" w:color="auto"/>
        <w:right w:val="none" w:sz="0" w:space="0" w:color="auto"/>
      </w:divBdr>
    </w:div>
    <w:div w:id="1864436380">
      <w:bodyDiv w:val="1"/>
      <w:marLeft w:val="0"/>
      <w:marRight w:val="0"/>
      <w:marTop w:val="0"/>
      <w:marBottom w:val="0"/>
      <w:divBdr>
        <w:top w:val="none" w:sz="0" w:space="0" w:color="auto"/>
        <w:left w:val="none" w:sz="0" w:space="0" w:color="auto"/>
        <w:bottom w:val="none" w:sz="0" w:space="0" w:color="auto"/>
        <w:right w:val="none" w:sz="0" w:space="0" w:color="auto"/>
      </w:divBdr>
    </w:div>
    <w:div w:id="1890991679">
      <w:bodyDiv w:val="1"/>
      <w:marLeft w:val="0"/>
      <w:marRight w:val="0"/>
      <w:marTop w:val="0"/>
      <w:marBottom w:val="0"/>
      <w:divBdr>
        <w:top w:val="none" w:sz="0" w:space="0" w:color="auto"/>
        <w:left w:val="none" w:sz="0" w:space="0" w:color="auto"/>
        <w:bottom w:val="none" w:sz="0" w:space="0" w:color="auto"/>
        <w:right w:val="none" w:sz="0" w:space="0" w:color="auto"/>
      </w:divBdr>
    </w:div>
    <w:div w:id="1895266318">
      <w:bodyDiv w:val="1"/>
      <w:marLeft w:val="0"/>
      <w:marRight w:val="0"/>
      <w:marTop w:val="0"/>
      <w:marBottom w:val="0"/>
      <w:divBdr>
        <w:top w:val="none" w:sz="0" w:space="0" w:color="auto"/>
        <w:left w:val="none" w:sz="0" w:space="0" w:color="auto"/>
        <w:bottom w:val="none" w:sz="0" w:space="0" w:color="auto"/>
        <w:right w:val="none" w:sz="0" w:space="0" w:color="auto"/>
      </w:divBdr>
    </w:div>
    <w:div w:id="1910918391">
      <w:bodyDiv w:val="1"/>
      <w:marLeft w:val="0"/>
      <w:marRight w:val="0"/>
      <w:marTop w:val="0"/>
      <w:marBottom w:val="0"/>
      <w:divBdr>
        <w:top w:val="none" w:sz="0" w:space="0" w:color="auto"/>
        <w:left w:val="none" w:sz="0" w:space="0" w:color="auto"/>
        <w:bottom w:val="none" w:sz="0" w:space="0" w:color="auto"/>
        <w:right w:val="none" w:sz="0" w:space="0" w:color="auto"/>
      </w:divBdr>
    </w:div>
    <w:div w:id="1914119296">
      <w:bodyDiv w:val="1"/>
      <w:marLeft w:val="0"/>
      <w:marRight w:val="0"/>
      <w:marTop w:val="0"/>
      <w:marBottom w:val="0"/>
      <w:divBdr>
        <w:top w:val="none" w:sz="0" w:space="0" w:color="auto"/>
        <w:left w:val="none" w:sz="0" w:space="0" w:color="auto"/>
        <w:bottom w:val="none" w:sz="0" w:space="0" w:color="auto"/>
        <w:right w:val="none" w:sz="0" w:space="0" w:color="auto"/>
      </w:divBdr>
    </w:div>
    <w:div w:id="1943100809">
      <w:bodyDiv w:val="1"/>
      <w:marLeft w:val="0"/>
      <w:marRight w:val="0"/>
      <w:marTop w:val="0"/>
      <w:marBottom w:val="0"/>
      <w:divBdr>
        <w:top w:val="none" w:sz="0" w:space="0" w:color="auto"/>
        <w:left w:val="none" w:sz="0" w:space="0" w:color="auto"/>
        <w:bottom w:val="none" w:sz="0" w:space="0" w:color="auto"/>
        <w:right w:val="none" w:sz="0" w:space="0" w:color="auto"/>
      </w:divBdr>
    </w:div>
    <w:div w:id="1956401395">
      <w:bodyDiv w:val="1"/>
      <w:marLeft w:val="0"/>
      <w:marRight w:val="0"/>
      <w:marTop w:val="0"/>
      <w:marBottom w:val="0"/>
      <w:divBdr>
        <w:top w:val="none" w:sz="0" w:space="0" w:color="auto"/>
        <w:left w:val="none" w:sz="0" w:space="0" w:color="auto"/>
        <w:bottom w:val="none" w:sz="0" w:space="0" w:color="auto"/>
        <w:right w:val="none" w:sz="0" w:space="0" w:color="auto"/>
      </w:divBdr>
    </w:div>
    <w:div w:id="1963950035">
      <w:bodyDiv w:val="1"/>
      <w:marLeft w:val="0"/>
      <w:marRight w:val="0"/>
      <w:marTop w:val="0"/>
      <w:marBottom w:val="0"/>
      <w:divBdr>
        <w:top w:val="none" w:sz="0" w:space="0" w:color="auto"/>
        <w:left w:val="none" w:sz="0" w:space="0" w:color="auto"/>
        <w:bottom w:val="none" w:sz="0" w:space="0" w:color="auto"/>
        <w:right w:val="none" w:sz="0" w:space="0" w:color="auto"/>
      </w:divBdr>
    </w:div>
    <w:div w:id="1985231350">
      <w:bodyDiv w:val="1"/>
      <w:marLeft w:val="0"/>
      <w:marRight w:val="0"/>
      <w:marTop w:val="0"/>
      <w:marBottom w:val="0"/>
      <w:divBdr>
        <w:top w:val="none" w:sz="0" w:space="0" w:color="auto"/>
        <w:left w:val="none" w:sz="0" w:space="0" w:color="auto"/>
        <w:bottom w:val="none" w:sz="0" w:space="0" w:color="auto"/>
        <w:right w:val="none" w:sz="0" w:space="0" w:color="auto"/>
      </w:divBdr>
    </w:div>
    <w:div w:id="1989819184">
      <w:bodyDiv w:val="1"/>
      <w:marLeft w:val="0"/>
      <w:marRight w:val="0"/>
      <w:marTop w:val="0"/>
      <w:marBottom w:val="0"/>
      <w:divBdr>
        <w:top w:val="none" w:sz="0" w:space="0" w:color="auto"/>
        <w:left w:val="none" w:sz="0" w:space="0" w:color="auto"/>
        <w:bottom w:val="none" w:sz="0" w:space="0" w:color="auto"/>
        <w:right w:val="none" w:sz="0" w:space="0" w:color="auto"/>
      </w:divBdr>
    </w:div>
    <w:div w:id="1998803009">
      <w:bodyDiv w:val="1"/>
      <w:marLeft w:val="0"/>
      <w:marRight w:val="0"/>
      <w:marTop w:val="0"/>
      <w:marBottom w:val="0"/>
      <w:divBdr>
        <w:top w:val="none" w:sz="0" w:space="0" w:color="auto"/>
        <w:left w:val="none" w:sz="0" w:space="0" w:color="auto"/>
        <w:bottom w:val="none" w:sz="0" w:space="0" w:color="auto"/>
        <w:right w:val="none" w:sz="0" w:space="0" w:color="auto"/>
      </w:divBdr>
    </w:div>
    <w:div w:id="2008941276">
      <w:bodyDiv w:val="1"/>
      <w:marLeft w:val="0"/>
      <w:marRight w:val="0"/>
      <w:marTop w:val="0"/>
      <w:marBottom w:val="0"/>
      <w:divBdr>
        <w:top w:val="none" w:sz="0" w:space="0" w:color="auto"/>
        <w:left w:val="none" w:sz="0" w:space="0" w:color="auto"/>
        <w:bottom w:val="none" w:sz="0" w:space="0" w:color="auto"/>
        <w:right w:val="none" w:sz="0" w:space="0" w:color="auto"/>
      </w:divBdr>
    </w:div>
    <w:div w:id="2011366841">
      <w:bodyDiv w:val="1"/>
      <w:marLeft w:val="0"/>
      <w:marRight w:val="0"/>
      <w:marTop w:val="0"/>
      <w:marBottom w:val="0"/>
      <w:divBdr>
        <w:top w:val="none" w:sz="0" w:space="0" w:color="auto"/>
        <w:left w:val="none" w:sz="0" w:space="0" w:color="auto"/>
        <w:bottom w:val="none" w:sz="0" w:space="0" w:color="auto"/>
        <w:right w:val="none" w:sz="0" w:space="0" w:color="auto"/>
      </w:divBdr>
    </w:div>
    <w:div w:id="2029333583">
      <w:bodyDiv w:val="1"/>
      <w:marLeft w:val="0"/>
      <w:marRight w:val="0"/>
      <w:marTop w:val="0"/>
      <w:marBottom w:val="0"/>
      <w:divBdr>
        <w:top w:val="none" w:sz="0" w:space="0" w:color="auto"/>
        <w:left w:val="none" w:sz="0" w:space="0" w:color="auto"/>
        <w:bottom w:val="none" w:sz="0" w:space="0" w:color="auto"/>
        <w:right w:val="none" w:sz="0" w:space="0" w:color="auto"/>
      </w:divBdr>
    </w:div>
    <w:div w:id="2046245638">
      <w:bodyDiv w:val="1"/>
      <w:marLeft w:val="0"/>
      <w:marRight w:val="0"/>
      <w:marTop w:val="0"/>
      <w:marBottom w:val="0"/>
      <w:divBdr>
        <w:top w:val="none" w:sz="0" w:space="0" w:color="auto"/>
        <w:left w:val="none" w:sz="0" w:space="0" w:color="auto"/>
        <w:bottom w:val="none" w:sz="0" w:space="0" w:color="auto"/>
        <w:right w:val="none" w:sz="0" w:space="0" w:color="auto"/>
      </w:divBdr>
    </w:div>
    <w:div w:id="2061124506">
      <w:bodyDiv w:val="1"/>
      <w:marLeft w:val="0"/>
      <w:marRight w:val="0"/>
      <w:marTop w:val="0"/>
      <w:marBottom w:val="0"/>
      <w:divBdr>
        <w:top w:val="none" w:sz="0" w:space="0" w:color="auto"/>
        <w:left w:val="none" w:sz="0" w:space="0" w:color="auto"/>
        <w:bottom w:val="none" w:sz="0" w:space="0" w:color="auto"/>
        <w:right w:val="none" w:sz="0" w:space="0" w:color="auto"/>
      </w:divBdr>
    </w:div>
    <w:div w:id="2064407623">
      <w:bodyDiv w:val="1"/>
      <w:marLeft w:val="0"/>
      <w:marRight w:val="0"/>
      <w:marTop w:val="0"/>
      <w:marBottom w:val="0"/>
      <w:divBdr>
        <w:top w:val="none" w:sz="0" w:space="0" w:color="auto"/>
        <w:left w:val="none" w:sz="0" w:space="0" w:color="auto"/>
        <w:bottom w:val="none" w:sz="0" w:space="0" w:color="auto"/>
        <w:right w:val="none" w:sz="0" w:space="0" w:color="auto"/>
      </w:divBdr>
    </w:div>
    <w:div w:id="2073455695">
      <w:bodyDiv w:val="1"/>
      <w:marLeft w:val="0"/>
      <w:marRight w:val="0"/>
      <w:marTop w:val="0"/>
      <w:marBottom w:val="0"/>
      <w:divBdr>
        <w:top w:val="none" w:sz="0" w:space="0" w:color="auto"/>
        <w:left w:val="none" w:sz="0" w:space="0" w:color="auto"/>
        <w:bottom w:val="none" w:sz="0" w:space="0" w:color="auto"/>
        <w:right w:val="none" w:sz="0" w:space="0" w:color="auto"/>
      </w:divBdr>
    </w:div>
    <w:div w:id="2076855927">
      <w:bodyDiv w:val="1"/>
      <w:marLeft w:val="0"/>
      <w:marRight w:val="0"/>
      <w:marTop w:val="0"/>
      <w:marBottom w:val="0"/>
      <w:divBdr>
        <w:top w:val="none" w:sz="0" w:space="0" w:color="auto"/>
        <w:left w:val="none" w:sz="0" w:space="0" w:color="auto"/>
        <w:bottom w:val="none" w:sz="0" w:space="0" w:color="auto"/>
        <w:right w:val="none" w:sz="0" w:space="0" w:color="auto"/>
      </w:divBdr>
    </w:div>
    <w:div w:id="2089501607">
      <w:bodyDiv w:val="1"/>
      <w:marLeft w:val="0"/>
      <w:marRight w:val="0"/>
      <w:marTop w:val="0"/>
      <w:marBottom w:val="0"/>
      <w:divBdr>
        <w:top w:val="none" w:sz="0" w:space="0" w:color="auto"/>
        <w:left w:val="none" w:sz="0" w:space="0" w:color="auto"/>
        <w:bottom w:val="none" w:sz="0" w:space="0" w:color="auto"/>
        <w:right w:val="none" w:sz="0" w:space="0" w:color="auto"/>
      </w:divBdr>
    </w:div>
    <w:div w:id="2102338722">
      <w:bodyDiv w:val="1"/>
      <w:marLeft w:val="0"/>
      <w:marRight w:val="0"/>
      <w:marTop w:val="0"/>
      <w:marBottom w:val="0"/>
      <w:divBdr>
        <w:top w:val="none" w:sz="0" w:space="0" w:color="auto"/>
        <w:left w:val="none" w:sz="0" w:space="0" w:color="auto"/>
        <w:bottom w:val="none" w:sz="0" w:space="0" w:color="auto"/>
        <w:right w:val="none" w:sz="0" w:space="0" w:color="auto"/>
      </w:divBdr>
    </w:div>
    <w:div w:id="2110076486">
      <w:bodyDiv w:val="1"/>
      <w:marLeft w:val="0"/>
      <w:marRight w:val="0"/>
      <w:marTop w:val="0"/>
      <w:marBottom w:val="0"/>
      <w:divBdr>
        <w:top w:val="none" w:sz="0" w:space="0" w:color="auto"/>
        <w:left w:val="none" w:sz="0" w:space="0" w:color="auto"/>
        <w:bottom w:val="none" w:sz="0" w:space="0" w:color="auto"/>
        <w:right w:val="none" w:sz="0" w:space="0" w:color="auto"/>
      </w:divBdr>
    </w:div>
    <w:div w:id="2126927153">
      <w:bodyDiv w:val="1"/>
      <w:marLeft w:val="0"/>
      <w:marRight w:val="0"/>
      <w:marTop w:val="0"/>
      <w:marBottom w:val="0"/>
      <w:divBdr>
        <w:top w:val="none" w:sz="0" w:space="0" w:color="auto"/>
        <w:left w:val="none" w:sz="0" w:space="0" w:color="auto"/>
        <w:bottom w:val="none" w:sz="0" w:space="0" w:color="auto"/>
        <w:right w:val="none" w:sz="0" w:space="0" w:color="auto"/>
      </w:divBdr>
    </w:div>
    <w:div w:id="21458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Haunschild@fkf.mpg.de" TargetMode="External"/><Relationship Id="rId13" Type="http://schemas.openxmlformats.org/officeDocument/2006/relationships/image" Target="media/image1.png"/><Relationship Id="rId18" Type="http://schemas.openxmlformats.org/officeDocument/2006/relationships/hyperlink" Target="https://dx.doi.org/10.1332/030557320x158981906800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rspm.org/" TargetMode="External"/><Relationship Id="rId7" Type="http://schemas.openxmlformats.org/officeDocument/2006/relationships/endnotes" Target="endnotes.xml"/><Relationship Id="rId12" Type="http://schemas.openxmlformats.org/officeDocument/2006/relationships/hyperlink" Target="mailto:Lutz.Bornmann@gv.mpg.de" TargetMode="External"/><Relationship Id="rId17" Type="http://schemas.openxmlformats.org/officeDocument/2006/relationships/hyperlink" Target="https://www.utpjournals.press/loi/cpp" TargetMode="External"/><Relationship Id="rId25" Type="http://schemas.openxmlformats.org/officeDocument/2006/relationships/hyperlink" Target="https://doi.org/10.1016/j.techfore.2020.12011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111/puar.12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https://CRAN.R-project.org/package=tidyverse" TargetMode="External"/><Relationship Id="rId5" Type="http://schemas.openxmlformats.org/officeDocument/2006/relationships/webSettings" Target="webSettings.xml"/><Relationship Id="rId15" Type="http://schemas.openxmlformats.org/officeDocument/2006/relationships/hyperlink" Target="https://s.gwdg.de/r930Yl" TargetMode="External"/><Relationship Id="rId23" Type="http://schemas.openxmlformats.org/officeDocument/2006/relationships/hyperlink" Target="https://www.r-project.org/" TargetMode="External"/><Relationship Id="rId28" Type="http://schemas.microsoft.com/office/2016/09/relationships/commentsIds" Target="commentsIds.xml"/><Relationship Id="rId10" Type="http://schemas.openxmlformats.org/officeDocument/2006/relationships/hyperlink" Target="mailto:kate.williams@unimelb.edu.au" TargetMode="External"/><Relationship Id="rId19" Type="http://schemas.openxmlformats.org/officeDocument/2006/relationships/hyperlink" Target="https://dx.doi.org/10.1017/S0020818300001442" TargetMode="External"/><Relationship Id="rId4" Type="http://schemas.openxmlformats.org/officeDocument/2006/relationships/settings" Target="settings.xml"/><Relationship Id="rId9" Type="http://schemas.openxmlformats.org/officeDocument/2006/relationships/hyperlink" Target="mailto:L.Bornmann@fkf.mpg.de" TargetMode="External"/><Relationship Id="rId14" Type="http://schemas.openxmlformats.org/officeDocument/2006/relationships/image" Target="media/image2.png"/><Relationship Id="rId22" Type="http://schemas.openxmlformats.org/officeDocument/2006/relationships/hyperlink" Target="https://onlinelibrary.wiley.com/journal/1540621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B18B84-6883-3549-AC52-24FD12019662}">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7CDC-2FAB-4CAA-A355-98FB442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11</Pages>
  <Words>3746</Words>
  <Characters>39357</Characters>
  <Application>Microsoft Office Word</Application>
  <DocSecurity>0</DocSecurity>
  <Lines>327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STI 2023 paper template</vt:lpstr>
      <vt:lpstr>STI 2023 paper template</vt:lpstr>
    </vt:vector>
  </TitlesOfParts>
  <Company/>
  <LinksUpToDate>false</LinksUpToDate>
  <CharactersWithSpaces>43017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rhaun</cp:lastModifiedBy>
  <cp:revision>8</cp:revision>
  <cp:lastPrinted>2023-04-19T16:08:00Z</cp:lastPrinted>
  <dcterms:created xsi:type="dcterms:W3CDTF">2023-04-18T08:46:00Z</dcterms:created>
  <dcterms:modified xsi:type="dcterms:W3CDTF">2023-04-20T08:21:00Z</dcterms:modified>
</cp:coreProperties>
</file>