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540F33AB" w:rsidR="00AD6D2D" w:rsidRDefault="005C3ACB" w:rsidP="00542798">
      <w:pPr>
        <w:pStyle w:val="Heading1"/>
        <w:jc w:val="center"/>
      </w:pPr>
      <w:r>
        <w:t xml:space="preserve">To what extent has </w:t>
      </w:r>
      <w:r w:rsidR="00DE0DF1" w:rsidRPr="00DE0DF1">
        <w:t xml:space="preserve">open access (OA) </w:t>
      </w:r>
      <w:r w:rsidR="008D093E">
        <w:t xml:space="preserve">publishing </w:t>
      </w:r>
      <w:r>
        <w:t>benefi</w:t>
      </w:r>
      <w:r w:rsidR="008D093E">
        <w:t>t</w:t>
      </w:r>
      <w:r>
        <w:t>ed</w:t>
      </w:r>
      <w:r w:rsidR="00DE0DF1" w:rsidRPr="00DE0DF1">
        <w:t xml:space="preserve"> researchers in lower-income countries</w:t>
      </w:r>
      <w:r w:rsidR="00FB50A5">
        <w:t xml:space="preserve">? </w:t>
      </w:r>
      <w:r w:rsidR="00130BAD">
        <w:t xml:space="preserve">A global </w:t>
      </w:r>
      <w:r w:rsidR="008D093E">
        <w:t xml:space="preserve">analysis </w:t>
      </w:r>
      <w:r w:rsidR="00DE0DF1" w:rsidRPr="00DE0DF1">
        <w:t>of reference patterns</w:t>
      </w:r>
      <w:r w:rsidR="00FA08F1">
        <w:t xml:space="preserve"> 1980-2020</w:t>
      </w:r>
    </w:p>
    <w:p w14:paraId="686B3622" w14:textId="77777777" w:rsidR="001E33F7" w:rsidRDefault="001E33F7" w:rsidP="001E33F7"/>
    <w:p w14:paraId="540D6392" w14:textId="6B56AC1D" w:rsidR="001E33F7" w:rsidRPr="00B12ED4" w:rsidRDefault="001E33F7" w:rsidP="001E33F7">
      <w:pPr>
        <w:pStyle w:val="002-Authors"/>
      </w:pPr>
      <w:r w:rsidRPr="00B12ED4">
        <w:t>Henrik Karlstrøm, Fredrik N. Piro</w:t>
      </w:r>
      <w:r w:rsidR="00CF4FCF" w:rsidRPr="00B12ED4">
        <w:t xml:space="preserve"> </w:t>
      </w:r>
      <w:r w:rsidRPr="00B12ED4">
        <w:t>and Dag W. Aksnes</w:t>
      </w:r>
    </w:p>
    <w:p w14:paraId="4605F4BE" w14:textId="62013980" w:rsidR="00E74E31" w:rsidRPr="00B12ED4" w:rsidRDefault="006B2565" w:rsidP="00E74E31">
      <w:pPr>
        <w:pStyle w:val="003-Email"/>
      </w:pPr>
      <w:hyperlink r:id="rId10" w:history="1">
        <w:r w:rsidR="00E74E31" w:rsidRPr="00B12ED4">
          <w:rPr>
            <w:rStyle w:val="Hyperlink"/>
          </w:rPr>
          <w:t>henrik.karlstrom@nifu.no</w:t>
        </w:r>
      </w:hyperlink>
      <w:r w:rsidR="00E74E31" w:rsidRPr="00B12ED4">
        <w:t xml:space="preserve">; </w:t>
      </w:r>
      <w:hyperlink r:id="rId11" w:history="1">
        <w:r w:rsidR="00E74E31" w:rsidRPr="00B12ED4">
          <w:rPr>
            <w:rStyle w:val="Hyperlink"/>
          </w:rPr>
          <w:t>fredrik.piro@nifu.no</w:t>
        </w:r>
      </w:hyperlink>
      <w:r w:rsidR="00E74E31" w:rsidRPr="00B12ED4">
        <w:t xml:space="preserve">; </w:t>
      </w:r>
      <w:hyperlink r:id="rId12" w:history="1">
        <w:r w:rsidR="00E74E31" w:rsidRPr="00B12ED4">
          <w:rPr>
            <w:rStyle w:val="Hyperlink"/>
          </w:rPr>
          <w:t>dag.w.aksnes@nifu.no</w:t>
        </w:r>
      </w:hyperlink>
    </w:p>
    <w:p w14:paraId="6B68295C" w14:textId="77777777" w:rsidR="00E74E31" w:rsidRPr="00B12ED4" w:rsidRDefault="00E74E31" w:rsidP="00E74E31">
      <w:pPr>
        <w:rPr>
          <w:lang w:eastAsia="en-US"/>
        </w:rPr>
      </w:pPr>
    </w:p>
    <w:p w14:paraId="56A3A151" w14:textId="1702544F" w:rsidR="00E74E31" w:rsidRPr="00B12ED4" w:rsidRDefault="00E74E31" w:rsidP="00E74E31">
      <w:pPr>
        <w:jc w:val="center"/>
        <w:rPr>
          <w:sz w:val="20"/>
          <w:szCs w:val="20"/>
        </w:rPr>
      </w:pPr>
      <w:r w:rsidRPr="00B12ED4">
        <w:rPr>
          <w:sz w:val="20"/>
          <w:szCs w:val="20"/>
        </w:rPr>
        <w:t>0000-0002-9942-4326, 0000-0002-8108-778X, 0000-0002-1519-195X</w:t>
      </w:r>
    </w:p>
    <w:p w14:paraId="1A55EB54" w14:textId="77777777" w:rsidR="00CF4FCF" w:rsidRPr="00B12ED4" w:rsidRDefault="00CF4FCF" w:rsidP="00CF4FCF">
      <w:pPr>
        <w:rPr>
          <w:lang w:eastAsia="en-US"/>
        </w:rPr>
      </w:pPr>
    </w:p>
    <w:p w14:paraId="5B8BFBB6" w14:textId="53A74C2F" w:rsidR="001E33F7" w:rsidRPr="004926F9" w:rsidRDefault="001E33F7" w:rsidP="007043AB">
      <w:pPr>
        <w:jc w:val="center"/>
        <w:rPr>
          <w:lang w:val="en-US"/>
        </w:rPr>
      </w:pPr>
      <w:r w:rsidRPr="004926F9">
        <w:rPr>
          <w:sz w:val="20"/>
          <w:lang w:val="en-US"/>
        </w:rPr>
        <w:t>NIFU – Nordic Institute for studies in Innovation, Research and Education, Norway</w:t>
      </w:r>
    </w:p>
    <w:p w14:paraId="09E93E72" w14:textId="77777777" w:rsidR="001E33F7" w:rsidRPr="001E33F7" w:rsidRDefault="001E33F7" w:rsidP="001E33F7">
      <w:pPr>
        <w:rPr>
          <w:lang w:val="en-US"/>
        </w:rPr>
      </w:pPr>
    </w:p>
    <w:p w14:paraId="18EAD8F9" w14:textId="77777777" w:rsidR="008168F4" w:rsidRPr="00D96243" w:rsidRDefault="008168F4" w:rsidP="007043AB"/>
    <w:p w14:paraId="0D54B357" w14:textId="520D480B" w:rsidR="00340196" w:rsidRDefault="00EA446D" w:rsidP="00CB15AC">
      <w:pPr>
        <w:jc w:val="both"/>
        <w:rPr>
          <w:sz w:val="20"/>
          <w:szCs w:val="20"/>
        </w:rPr>
      </w:pPr>
      <w:r w:rsidRPr="00EA446D">
        <w:rPr>
          <w:sz w:val="20"/>
          <w:szCs w:val="20"/>
        </w:rPr>
        <w:t xml:space="preserve">Making scientific literature freely available to everyone is a main objective of the open access (OA) movement. This may be especially crucial for researchers in lower-income countries who often face barriers due to high subscription costs. In this paper, we address this issue by </w:t>
      </w:r>
      <w:proofErr w:type="spellStart"/>
      <w:r w:rsidRPr="00EA446D">
        <w:rPr>
          <w:sz w:val="20"/>
          <w:szCs w:val="20"/>
        </w:rPr>
        <w:t>analyzing</w:t>
      </w:r>
      <w:proofErr w:type="spellEnd"/>
      <w:r w:rsidRPr="00EA446D">
        <w:rPr>
          <w:sz w:val="20"/>
          <w:szCs w:val="20"/>
        </w:rPr>
        <w:t xml:space="preserve"> the reference lists of scientific publications worldwide over time. Our study focuses on key issues, including whether researchers from lower-income countries refer to fewer previous publications when they publish and how this trend evolves over time. We also investigate whether researchers from lower-income countries rely more on literature that is openly available through different OA routes compared to other researchers. Our study reveals that the proportion of references that are OA is increasing over time for all publications and country groups. However, publications from lower-income countries have a higher growth rate of OA-references, suggesting that the emergence of OA-publishing has been particularly advantageous for researchers in these countries.</w:t>
      </w:r>
    </w:p>
    <w:p w14:paraId="54181E09" w14:textId="77777777" w:rsidR="00EA446D" w:rsidRDefault="00EA446D" w:rsidP="00CB15AC">
      <w:pPr>
        <w:jc w:val="both"/>
        <w:rPr>
          <w:sz w:val="20"/>
          <w:szCs w:val="20"/>
        </w:rPr>
      </w:pPr>
    </w:p>
    <w:p w14:paraId="26F746EB" w14:textId="77777777" w:rsidR="00CB15AC" w:rsidRPr="00D96243" w:rsidRDefault="00CB15AC" w:rsidP="00CB15AC">
      <w:pPr>
        <w:jc w:val="both"/>
      </w:pPr>
    </w:p>
    <w:p w14:paraId="02C61035" w14:textId="1AAB023E" w:rsidR="008168F4" w:rsidRPr="00D96243" w:rsidRDefault="000C25AF">
      <w:pPr>
        <w:pStyle w:val="Heading2"/>
        <w:jc w:val="both"/>
      </w:pPr>
      <w:bookmarkStart w:id="0" w:name="_Hlk132811504"/>
      <w:r w:rsidRPr="00D96243">
        <w:t xml:space="preserve">1. </w:t>
      </w:r>
      <w:r w:rsidR="008168F4" w:rsidRPr="00D96243">
        <w:t>Introduction</w:t>
      </w:r>
      <w:r w:rsidR="00F4588B">
        <w:rPr>
          <w:rStyle w:val="FootnoteReference"/>
        </w:rPr>
        <w:footnoteReference w:id="1"/>
      </w:r>
    </w:p>
    <w:bookmarkEnd w:id="0"/>
    <w:p w14:paraId="16D579D9" w14:textId="77777777" w:rsidR="006674A7" w:rsidRDefault="006674A7" w:rsidP="006674A7">
      <w:pPr>
        <w:jc w:val="both"/>
        <w:rPr>
          <w:iCs/>
        </w:rPr>
      </w:pPr>
      <w:r w:rsidRPr="006674A7">
        <w:rPr>
          <w:iCs/>
        </w:rPr>
        <w:t xml:space="preserve">A fundamental objective of the open access (OA) movement has been to make scientific literature freely available to everyone. Recent studies indicate that the percentage of OA publications indexed in Web of Science (WoS) is approaching 50%; in the period 2015-2019 42.9% of WoS publications were OA (Simard et al., 2022). </w:t>
      </w:r>
    </w:p>
    <w:p w14:paraId="5200115F" w14:textId="77777777" w:rsidR="005C4E54" w:rsidRPr="006674A7" w:rsidRDefault="005C4E54" w:rsidP="006674A7">
      <w:pPr>
        <w:jc w:val="both"/>
        <w:rPr>
          <w:iCs/>
        </w:rPr>
      </w:pPr>
    </w:p>
    <w:p w14:paraId="16B0473C" w14:textId="77777777" w:rsidR="006674A7" w:rsidRDefault="006674A7" w:rsidP="006674A7">
      <w:pPr>
        <w:jc w:val="both"/>
        <w:rPr>
          <w:iCs/>
        </w:rPr>
      </w:pPr>
      <w:r w:rsidRPr="006674A7">
        <w:rPr>
          <w:iCs/>
        </w:rPr>
        <w:t>In the debate about the benefits of OA, lower-income countries have typically been chosen as a case to illustrate the advantages (and disadvantages) of OA. Changing the costs of publishing from subscription fees to author payments (</w:t>
      </w:r>
      <w:proofErr w:type="spellStart"/>
      <w:r w:rsidRPr="006674A7">
        <w:rPr>
          <w:iCs/>
        </w:rPr>
        <w:t>Budzinski</w:t>
      </w:r>
      <w:proofErr w:type="spellEnd"/>
      <w:r w:rsidRPr="006674A7">
        <w:rPr>
          <w:iCs/>
        </w:rPr>
        <w:t xml:space="preserve"> et al., 2020), has inevitably sparked a discussion about whether lower-income countries, as producers of research, would be disadvantaged by no longer being affordable to publish in journals (Nature, 2022). Our study is situated in the potential benefits of OA from the consumer perspective, i.e., in the use of knowledge. From this perspective it is reasonable to foresee that the greatest use, and hence benefit, would be in countries where access to scientific publications initially was poor. Several recent studies have explored country and regional differences in OA publishing, with a low-income perspective in mind, both from the producing side, finding that lower-income countries have the highest shares of OA publishing (e.g., </w:t>
      </w:r>
      <w:proofErr w:type="spellStart"/>
      <w:r w:rsidRPr="006674A7">
        <w:rPr>
          <w:iCs/>
        </w:rPr>
        <w:t>Iyandemye</w:t>
      </w:r>
      <w:proofErr w:type="spellEnd"/>
      <w:r w:rsidRPr="006674A7">
        <w:rPr>
          <w:iCs/>
        </w:rPr>
        <w:t xml:space="preserve"> &amp; Thomas, 2019), and from the consuming side, the highest share of OA citations (Simard et al., 2022). </w:t>
      </w:r>
    </w:p>
    <w:p w14:paraId="1895D0F0" w14:textId="77777777" w:rsidR="005C4E54" w:rsidRPr="006674A7" w:rsidRDefault="005C4E54" w:rsidP="006674A7">
      <w:pPr>
        <w:jc w:val="both"/>
        <w:rPr>
          <w:iCs/>
        </w:rPr>
      </w:pPr>
    </w:p>
    <w:p w14:paraId="5664905A" w14:textId="77777777" w:rsidR="007A111A" w:rsidRDefault="006674A7" w:rsidP="006674A7">
      <w:pPr>
        <w:jc w:val="both"/>
        <w:rPr>
          <w:iCs/>
        </w:rPr>
      </w:pPr>
      <w:r w:rsidRPr="006674A7">
        <w:rPr>
          <w:iCs/>
        </w:rPr>
        <w:t xml:space="preserve">Our study is grounded in the latter perspective. In addition to presenting descriptive findings of OA reference patterns, we also </w:t>
      </w:r>
      <w:proofErr w:type="spellStart"/>
      <w:r w:rsidRPr="006674A7">
        <w:rPr>
          <w:iCs/>
        </w:rPr>
        <w:t>analyze</w:t>
      </w:r>
      <w:proofErr w:type="spellEnd"/>
      <w:r w:rsidRPr="006674A7">
        <w:rPr>
          <w:iCs/>
        </w:rPr>
        <w:t xml:space="preserve"> how and to what extent OA is beneficial to lower-income countries. Here, we explore whether the potential increase in use of OA publications and references in lower-income countries, relative to high-income countries, covary with other </w:t>
      </w:r>
      <w:r w:rsidRPr="006674A7">
        <w:rPr>
          <w:iCs/>
        </w:rPr>
        <w:lastRenderedPageBreak/>
        <w:t xml:space="preserve">indicators that express evidence of better research capacity or greater inclination to be updated on the frontiers of science. </w:t>
      </w:r>
    </w:p>
    <w:p w14:paraId="305A70BC" w14:textId="77777777" w:rsidR="000F6A38" w:rsidRDefault="000F6A38" w:rsidP="006674A7">
      <w:pPr>
        <w:jc w:val="both"/>
        <w:rPr>
          <w:iCs/>
        </w:rPr>
      </w:pPr>
    </w:p>
    <w:p w14:paraId="7F4E0143" w14:textId="68CE2ECA" w:rsidR="000F6A38" w:rsidRDefault="000F6A38" w:rsidP="000F6A38">
      <w:pPr>
        <w:rPr>
          <w:lang w:val="en-US"/>
        </w:rPr>
      </w:pPr>
      <w:r w:rsidRPr="00C1423F">
        <w:rPr>
          <w:lang w:val="en-US"/>
        </w:rPr>
        <w:t xml:space="preserve">The </w:t>
      </w:r>
      <w:r w:rsidRPr="00C1423F">
        <w:rPr>
          <w:i/>
          <w:iCs/>
          <w:lang w:val="en-US"/>
        </w:rPr>
        <w:t xml:space="preserve">raison d'être </w:t>
      </w:r>
      <w:r w:rsidRPr="00C1423F">
        <w:rPr>
          <w:lang w:val="en-US"/>
        </w:rPr>
        <w:t>for the expectation that OA is more beneficial to research systems in lower-income countries has to do with these countries’ initial low investments in R&amp;D</w:t>
      </w:r>
      <w:r>
        <w:rPr>
          <w:lang w:val="en-US"/>
        </w:rPr>
        <w:t xml:space="preserve">. </w:t>
      </w:r>
      <w:r w:rsidRPr="00C1423F">
        <w:rPr>
          <w:lang w:val="en-US"/>
        </w:rPr>
        <w:t xml:space="preserve">More specifically, in several developing countries, foremost in Africa, </w:t>
      </w:r>
      <w:proofErr w:type="gramStart"/>
      <w:r w:rsidRPr="00C1423F">
        <w:rPr>
          <w:lang w:val="en-US"/>
        </w:rPr>
        <w:t>the access</w:t>
      </w:r>
      <w:proofErr w:type="gramEnd"/>
      <w:r w:rsidRPr="00C1423F">
        <w:rPr>
          <w:lang w:val="en-US"/>
        </w:rPr>
        <w:t xml:space="preserve"> to scientific literature has been limited (Abrahams et al., 2008; Chan &amp; Costa, 2005). One main problem with low R&amp;D </w:t>
      </w:r>
      <w:proofErr w:type="gramStart"/>
      <w:r w:rsidRPr="00C1423F">
        <w:rPr>
          <w:lang w:val="en-US"/>
        </w:rPr>
        <w:t>investments,</w:t>
      </w:r>
      <w:proofErr w:type="gramEnd"/>
      <w:r w:rsidRPr="00C1423F">
        <w:rPr>
          <w:lang w:val="en-US"/>
        </w:rPr>
        <w:t xml:space="preserve"> is the low ability to cover costs for (very expensive) journal subscriptions (Aronson, 2004; </w:t>
      </w:r>
      <w:proofErr w:type="spellStart"/>
      <w:r w:rsidRPr="00C1423F">
        <w:rPr>
          <w:lang w:val="en-US"/>
        </w:rPr>
        <w:t>Dulle</w:t>
      </w:r>
      <w:proofErr w:type="spellEnd"/>
      <w:r w:rsidRPr="00C1423F">
        <w:rPr>
          <w:lang w:val="en-US"/>
        </w:rPr>
        <w:t xml:space="preserve"> &amp; </w:t>
      </w:r>
      <w:proofErr w:type="spellStart"/>
      <w:r w:rsidRPr="00C1423F">
        <w:rPr>
          <w:lang w:val="en-US"/>
        </w:rPr>
        <w:t>Minishi-Majanja</w:t>
      </w:r>
      <w:proofErr w:type="spellEnd"/>
      <w:r w:rsidRPr="00C1423F">
        <w:rPr>
          <w:lang w:val="en-US"/>
        </w:rPr>
        <w:t xml:space="preserve">, 2009; </w:t>
      </w:r>
      <w:proofErr w:type="spellStart"/>
      <w:r w:rsidRPr="00C1423F">
        <w:rPr>
          <w:lang w:val="en-US"/>
        </w:rPr>
        <w:t>Matheka</w:t>
      </w:r>
      <w:proofErr w:type="spellEnd"/>
      <w:r w:rsidRPr="00C1423F">
        <w:rPr>
          <w:lang w:val="en-US"/>
        </w:rPr>
        <w:t xml:space="preserve"> et al., 2014). Prior to the OA wave, Chan &amp; Costa (2005) illustrate the problem with data from a WHO survey, showing that in countries with a GNP per capita of less than USD 1000, more than 50% of academic institutions did not have </w:t>
      </w:r>
      <w:r w:rsidRPr="00C1423F">
        <w:rPr>
          <w:i/>
          <w:iCs/>
          <w:lang w:val="en-US"/>
        </w:rPr>
        <w:t xml:space="preserve">any </w:t>
      </w:r>
      <w:r w:rsidRPr="00C1423F">
        <w:rPr>
          <w:lang w:val="en-US"/>
        </w:rPr>
        <w:t xml:space="preserve">journals subscriptions, while in countries with a GNP per capita in the range USD 1000-3000, 34% of academic institutions did not have any subscriptions (while 34% reported to have an average of two subscriptions). </w:t>
      </w:r>
    </w:p>
    <w:p w14:paraId="3209D8F1" w14:textId="77777777" w:rsidR="00B438CA" w:rsidRDefault="00B438CA" w:rsidP="000F6A38">
      <w:pPr>
        <w:rPr>
          <w:lang w:val="en-US"/>
        </w:rPr>
      </w:pPr>
    </w:p>
    <w:p w14:paraId="08DD4623" w14:textId="77777777" w:rsidR="00B438CA" w:rsidRPr="00C1423F" w:rsidRDefault="00B438CA" w:rsidP="00B438CA">
      <w:pPr>
        <w:rPr>
          <w:highlight w:val="yellow"/>
          <w:lang w:val="en-US"/>
        </w:rPr>
      </w:pPr>
      <w:r w:rsidRPr="00C1423F">
        <w:rPr>
          <w:lang w:val="en-US"/>
        </w:rPr>
        <w:t xml:space="preserve">The rationale for studying the number of references is based on the simple logic that accessibility to scientific literature is a determinant to how many relevant papers an author/group of authors can meaningfully enter to the paper. In high-income countries, the access was already in place before OA, whilst in lower-income countries (foremost African countries) this has often not been the case, where there has historically been poor access to internet and computer facilities, not enabling the research to fully utilize the increasingly available online literature (Adcock &amp; </w:t>
      </w:r>
      <w:proofErr w:type="spellStart"/>
      <w:r w:rsidRPr="00C1423F">
        <w:rPr>
          <w:lang w:val="en-US"/>
        </w:rPr>
        <w:t>Fottrell</w:t>
      </w:r>
      <w:proofErr w:type="spellEnd"/>
      <w:r w:rsidRPr="00C1423F">
        <w:rPr>
          <w:lang w:val="en-US"/>
        </w:rPr>
        <w:t xml:space="preserve">, 2008; Chan &amp; Costa, 2005). One may therefore reason that with the increasing numbers of OA papers available, the numbers of references given in a paper may have increased relatively more in lower-income countries than in higher-income countries. </w:t>
      </w:r>
    </w:p>
    <w:p w14:paraId="7524339F" w14:textId="77777777" w:rsidR="00B438CA" w:rsidRPr="00C1423F" w:rsidRDefault="00B438CA" w:rsidP="000F6A38">
      <w:pPr>
        <w:rPr>
          <w:lang w:val="en-US"/>
        </w:rPr>
      </w:pPr>
    </w:p>
    <w:p w14:paraId="25EA64FD" w14:textId="77777777" w:rsidR="00625303" w:rsidRDefault="00625303" w:rsidP="00625303">
      <w:pPr>
        <w:keepNext/>
        <w:jc w:val="both"/>
        <w:outlineLvl w:val="1"/>
        <w:rPr>
          <w:b/>
          <w:bCs/>
        </w:rPr>
      </w:pPr>
    </w:p>
    <w:p w14:paraId="701D789F" w14:textId="52ACDAAF" w:rsidR="00625303" w:rsidRPr="00625303" w:rsidRDefault="00625303" w:rsidP="00625303">
      <w:pPr>
        <w:keepNext/>
        <w:jc w:val="both"/>
        <w:outlineLvl w:val="1"/>
        <w:rPr>
          <w:b/>
          <w:bCs/>
        </w:rPr>
      </w:pPr>
      <w:r>
        <w:rPr>
          <w:b/>
          <w:bCs/>
        </w:rPr>
        <w:t>2</w:t>
      </w:r>
      <w:r w:rsidRPr="00AC7E0B">
        <w:rPr>
          <w:b/>
          <w:bCs/>
        </w:rPr>
        <w:t xml:space="preserve">. </w:t>
      </w:r>
      <w:r>
        <w:rPr>
          <w:b/>
          <w:bCs/>
        </w:rPr>
        <w:t>Data and methods</w:t>
      </w:r>
    </w:p>
    <w:p w14:paraId="4AA6E376" w14:textId="77777777" w:rsidR="00BF356F" w:rsidRDefault="00BF356F" w:rsidP="00BF356F">
      <w:pPr>
        <w:jc w:val="both"/>
        <w:rPr>
          <w:iCs/>
        </w:rPr>
      </w:pPr>
      <w:r w:rsidRPr="00BF356F">
        <w:rPr>
          <w:iCs/>
        </w:rPr>
        <w:t>The study is based on Web of Science (WoS) data. The WoS Core collection, which we use in this study, now covers Science Citation Index Expanded, Social Sciences Citation Index, Arts &amp; Humanities Citation Index, Emerging Sources Citation Index, Conference Proceedings citation indexes, and Book Citation Index. We have applied a local version of WoS maintained by the Norwegian Agency for Shared Services in Education and Research.</w:t>
      </w:r>
    </w:p>
    <w:p w14:paraId="17D525EE" w14:textId="77777777" w:rsidR="00BF356F" w:rsidRPr="00BF356F" w:rsidRDefault="00BF356F" w:rsidP="00BF356F">
      <w:pPr>
        <w:jc w:val="both"/>
        <w:rPr>
          <w:iCs/>
        </w:rPr>
      </w:pPr>
    </w:p>
    <w:p w14:paraId="7F70FBA8" w14:textId="77777777" w:rsidR="00BF356F" w:rsidRPr="00BF356F" w:rsidRDefault="00BF356F" w:rsidP="00BF356F">
      <w:pPr>
        <w:jc w:val="both"/>
        <w:rPr>
          <w:iCs/>
        </w:rPr>
      </w:pPr>
      <w:r w:rsidRPr="00BF356F">
        <w:rPr>
          <w:iCs/>
        </w:rPr>
        <w:t xml:space="preserve">The analyses have been carried out at a global level. Because transnational collaborations make it impossible to identify the country source of a given reference in a publication, the study is limited to regular articles with only one single author country, in total 32.7 mill. articles during the period 1980-2020 and 1.29 billion references in the reference lists of these articles. The corresponding global total, also including internationally co-authored articles is 42.0 mill. Thus, the analysis covers the large majority (78 per cent) of the WoS indexed articles published during the period. This is in accordance with a recent study showing that in 2020, 25 per cent of the world-production of articles involved international collaboration (Aksnes &amp; Sivertsen 2022). </w:t>
      </w:r>
    </w:p>
    <w:p w14:paraId="2C735B69" w14:textId="24F4AA64" w:rsidR="00BF356F" w:rsidRDefault="00BF356F" w:rsidP="00BF356F">
      <w:pPr>
        <w:jc w:val="both"/>
        <w:rPr>
          <w:iCs/>
        </w:rPr>
      </w:pPr>
      <w:r w:rsidRPr="00BF356F">
        <w:rPr>
          <w:iCs/>
        </w:rPr>
        <w:t>We are classifying author countries into four income groups (“high”, “upper middle”, “lower middle” and “low” income), based on the World Bank’s classification of countries by 2020 gross national income (GNI) per capita (World Bank, 2022).</w:t>
      </w:r>
    </w:p>
    <w:p w14:paraId="5AEA7470" w14:textId="77777777" w:rsidR="00BF356F" w:rsidRPr="00BF356F" w:rsidRDefault="00BF356F" w:rsidP="00BF356F">
      <w:pPr>
        <w:jc w:val="both"/>
        <w:rPr>
          <w:iCs/>
        </w:rPr>
      </w:pPr>
    </w:p>
    <w:p w14:paraId="60869CE4" w14:textId="77777777" w:rsidR="00BF356F" w:rsidRDefault="00BF356F" w:rsidP="00BF356F">
      <w:pPr>
        <w:jc w:val="both"/>
        <w:rPr>
          <w:iCs/>
        </w:rPr>
      </w:pPr>
      <w:r w:rsidRPr="00BF356F">
        <w:rPr>
          <w:iCs/>
        </w:rPr>
        <w:t xml:space="preserve">The number of papers included in the analysis has increased from approx. 380,000 in 1980 to 1,702,000 in 2020. The number of papers from the high-income group is by far the highest with 24,020,000 articles over the entire period. The corresponding figures for the other groups are: Upper middle-income: 6,554,000 articles; lower middle-income 2,094, 000; low-income 2941. </w:t>
      </w:r>
      <w:r w:rsidRPr="00BF356F">
        <w:rPr>
          <w:iCs/>
        </w:rPr>
        <w:lastRenderedPageBreak/>
        <w:t xml:space="preserve">As can be seen, there are remarkably few publications from the low-income countries. This is both because these countries have very limited national budgets for research activities and because most of the research is carried out in collaboration with researchers from other countries, and results in internationally </w:t>
      </w:r>
      <w:proofErr w:type="spellStart"/>
      <w:r w:rsidRPr="00BF356F">
        <w:rPr>
          <w:iCs/>
        </w:rPr>
        <w:t>coauthored</w:t>
      </w:r>
      <w:proofErr w:type="spellEnd"/>
      <w:r w:rsidRPr="00BF356F">
        <w:rPr>
          <w:iCs/>
        </w:rPr>
        <w:t xml:space="preserve"> publications (Aksnes &amp; Sivertsen, 2022), which are not included in the present study. </w:t>
      </w:r>
    </w:p>
    <w:p w14:paraId="64FF88CB" w14:textId="77777777" w:rsidR="00BF356F" w:rsidRPr="00BF356F" w:rsidRDefault="00BF356F" w:rsidP="00BF356F">
      <w:pPr>
        <w:jc w:val="both"/>
        <w:rPr>
          <w:iCs/>
        </w:rPr>
      </w:pPr>
    </w:p>
    <w:p w14:paraId="273DB730" w14:textId="77777777" w:rsidR="00BF356F" w:rsidRDefault="00BF356F" w:rsidP="00BF356F">
      <w:pPr>
        <w:jc w:val="both"/>
        <w:rPr>
          <w:iCs/>
        </w:rPr>
      </w:pPr>
      <w:r w:rsidRPr="00BF356F">
        <w:rPr>
          <w:iCs/>
        </w:rPr>
        <w:t xml:space="preserve">Data on OA status is retrieved from the </w:t>
      </w:r>
      <w:proofErr w:type="spellStart"/>
      <w:r w:rsidRPr="00BF356F">
        <w:rPr>
          <w:iCs/>
        </w:rPr>
        <w:t>Unpaywall</w:t>
      </w:r>
      <w:proofErr w:type="spellEnd"/>
      <w:r w:rsidRPr="00BF356F">
        <w:rPr>
          <w:iCs/>
        </w:rPr>
        <w:t xml:space="preserve"> database. </w:t>
      </w:r>
      <w:proofErr w:type="spellStart"/>
      <w:r w:rsidRPr="00BF356F">
        <w:rPr>
          <w:iCs/>
        </w:rPr>
        <w:t>Unpaywall</w:t>
      </w:r>
      <w:proofErr w:type="spellEnd"/>
      <w:r w:rsidRPr="00BF356F">
        <w:rPr>
          <w:iCs/>
        </w:rPr>
        <w:t xml:space="preserve"> operates with several </w:t>
      </w:r>
      <w:proofErr w:type="spellStart"/>
      <w:r w:rsidRPr="00BF356F">
        <w:rPr>
          <w:iCs/>
        </w:rPr>
        <w:t>flavors</w:t>
      </w:r>
      <w:proofErr w:type="spellEnd"/>
      <w:r w:rsidRPr="00BF356F">
        <w:rPr>
          <w:iCs/>
        </w:rPr>
        <w:t xml:space="preserve"> of OA. Since we are concerned only with the possibility of reading the contents of a publications for use as a reference in a publication and not the access license indicated by the different types of OA, we considered all forms of OA as one category for the purposes of this study.</w:t>
      </w:r>
    </w:p>
    <w:p w14:paraId="55258281" w14:textId="77777777" w:rsidR="00BF356F" w:rsidRPr="00BF356F" w:rsidRDefault="00BF356F" w:rsidP="00BF356F">
      <w:pPr>
        <w:jc w:val="both"/>
        <w:rPr>
          <w:iCs/>
        </w:rPr>
      </w:pPr>
    </w:p>
    <w:p w14:paraId="05A9768C" w14:textId="77777777" w:rsidR="00BF356F" w:rsidRDefault="00BF356F" w:rsidP="00BF356F">
      <w:pPr>
        <w:jc w:val="both"/>
        <w:rPr>
          <w:iCs/>
        </w:rPr>
      </w:pPr>
      <w:r w:rsidRPr="00BF356F">
        <w:rPr>
          <w:iCs/>
        </w:rPr>
        <w:t xml:space="preserve">Not all publications present in the reference lists of the publication set could be assigned an OA status. This is due to several factors: 1) not all references in a publication are to scientific publications, 2) WoS only indexes a subset of all scientific publications, 3) not all references have a DOI making matching with </w:t>
      </w:r>
      <w:proofErr w:type="spellStart"/>
      <w:r w:rsidRPr="00BF356F">
        <w:rPr>
          <w:iCs/>
        </w:rPr>
        <w:t>Unpaywall</w:t>
      </w:r>
      <w:proofErr w:type="spellEnd"/>
      <w:r w:rsidRPr="00BF356F">
        <w:rPr>
          <w:iCs/>
        </w:rPr>
        <w:t xml:space="preserve"> possible, 4) not all scientific publications have an OA status in </w:t>
      </w:r>
      <w:proofErr w:type="spellStart"/>
      <w:r w:rsidRPr="00BF356F">
        <w:rPr>
          <w:iCs/>
        </w:rPr>
        <w:t>Unpaywall</w:t>
      </w:r>
      <w:proofErr w:type="spellEnd"/>
      <w:r w:rsidRPr="00BF356F">
        <w:rPr>
          <w:iCs/>
        </w:rPr>
        <w:t>.</w:t>
      </w:r>
    </w:p>
    <w:p w14:paraId="1BFBDBCD" w14:textId="77777777" w:rsidR="00BF356F" w:rsidRPr="00BF356F" w:rsidRDefault="00BF356F" w:rsidP="00BF356F">
      <w:pPr>
        <w:jc w:val="both"/>
        <w:rPr>
          <w:iCs/>
        </w:rPr>
      </w:pPr>
    </w:p>
    <w:p w14:paraId="51C35B3E" w14:textId="77777777" w:rsidR="00176271" w:rsidRDefault="00BF356F" w:rsidP="00BF356F">
      <w:pPr>
        <w:jc w:val="both"/>
        <w:rPr>
          <w:iCs/>
        </w:rPr>
      </w:pPr>
      <w:r w:rsidRPr="00BF356F">
        <w:rPr>
          <w:iCs/>
        </w:rPr>
        <w:t xml:space="preserve">Having collected all publications in WoS that fit the criteria outlined above (published 1980-2020, regular articles, single country authorship, having a DOI), the publications were matched against the </w:t>
      </w:r>
      <w:proofErr w:type="spellStart"/>
      <w:r w:rsidRPr="00BF356F">
        <w:rPr>
          <w:iCs/>
        </w:rPr>
        <w:t>Unpaywall</w:t>
      </w:r>
      <w:proofErr w:type="spellEnd"/>
      <w:r w:rsidRPr="00BF356F">
        <w:rPr>
          <w:iCs/>
        </w:rPr>
        <w:t xml:space="preserve"> database to obtain their OA status. </w:t>
      </w:r>
    </w:p>
    <w:p w14:paraId="0DCFDFCC" w14:textId="77777777" w:rsidR="00176271" w:rsidRDefault="00176271" w:rsidP="00BF356F">
      <w:pPr>
        <w:jc w:val="both"/>
        <w:rPr>
          <w:iCs/>
        </w:rPr>
      </w:pPr>
    </w:p>
    <w:p w14:paraId="0C478896" w14:textId="2453DF25" w:rsidR="00BF356F" w:rsidRDefault="00176271" w:rsidP="00BF356F">
      <w:pPr>
        <w:jc w:val="both"/>
        <w:rPr>
          <w:iCs/>
        </w:rPr>
      </w:pPr>
      <w:r w:rsidRPr="00176271">
        <w:rPr>
          <w:iCs/>
        </w:rPr>
        <w:t>Analyses have been carried out at field level</w:t>
      </w:r>
      <w:r>
        <w:rPr>
          <w:iCs/>
        </w:rPr>
        <w:t xml:space="preserve">s, but the results have not been </w:t>
      </w:r>
      <w:r w:rsidR="001F2E91">
        <w:rPr>
          <w:iCs/>
        </w:rPr>
        <w:t>included</w:t>
      </w:r>
      <w:r w:rsidR="00DF54C9">
        <w:rPr>
          <w:iCs/>
        </w:rPr>
        <w:t xml:space="preserve"> in this short paper. </w:t>
      </w:r>
    </w:p>
    <w:p w14:paraId="58393EE6" w14:textId="77777777" w:rsidR="00BF356F" w:rsidRDefault="00BF356F" w:rsidP="00625303">
      <w:pPr>
        <w:jc w:val="both"/>
        <w:rPr>
          <w:iCs/>
        </w:rPr>
      </w:pPr>
    </w:p>
    <w:p w14:paraId="261056D1" w14:textId="77777777" w:rsidR="00AC7E0B" w:rsidRDefault="00AC7E0B" w:rsidP="00AC7E0B">
      <w:pPr>
        <w:keepNext/>
        <w:jc w:val="both"/>
        <w:outlineLvl w:val="1"/>
        <w:rPr>
          <w:b/>
          <w:bCs/>
        </w:rPr>
      </w:pPr>
    </w:p>
    <w:p w14:paraId="7D8AF5B0" w14:textId="16C13DCB" w:rsidR="00AC7E0B" w:rsidRPr="00AC7E0B" w:rsidRDefault="00AC7E0B" w:rsidP="00AC7E0B">
      <w:pPr>
        <w:keepNext/>
        <w:jc w:val="both"/>
        <w:outlineLvl w:val="1"/>
        <w:rPr>
          <w:b/>
          <w:bCs/>
        </w:rPr>
      </w:pPr>
      <w:bookmarkStart w:id="1" w:name="_Hlk132812900"/>
      <w:r>
        <w:rPr>
          <w:b/>
          <w:bCs/>
        </w:rPr>
        <w:t>3</w:t>
      </w:r>
      <w:r w:rsidRPr="00AC7E0B">
        <w:rPr>
          <w:b/>
          <w:bCs/>
        </w:rPr>
        <w:t xml:space="preserve">. </w:t>
      </w:r>
      <w:r>
        <w:rPr>
          <w:b/>
          <w:bCs/>
        </w:rPr>
        <w:t>Results</w:t>
      </w:r>
    </w:p>
    <w:bookmarkEnd w:id="1"/>
    <w:p w14:paraId="2D7CC080" w14:textId="77777777" w:rsidR="00AC7E0B" w:rsidRDefault="00AC7E0B" w:rsidP="006674A7">
      <w:pPr>
        <w:jc w:val="both"/>
      </w:pPr>
    </w:p>
    <w:p w14:paraId="413BAA07" w14:textId="08FFBB6D" w:rsidR="007E10E7" w:rsidRDefault="007E10E7" w:rsidP="007E10E7">
      <w:pPr>
        <w:pStyle w:val="Heading3"/>
        <w:jc w:val="both"/>
      </w:pPr>
      <w:r>
        <w:t>3</w:t>
      </w:r>
      <w:r>
        <w:t xml:space="preserve">.1. </w:t>
      </w:r>
      <w:r w:rsidRPr="007E10E7">
        <w:t>Overall reference patterns over time</w:t>
      </w:r>
    </w:p>
    <w:p w14:paraId="296B94EB" w14:textId="7EDDEA7C" w:rsidR="008D4FBA" w:rsidRPr="008D4FBA" w:rsidRDefault="00FA0AA4" w:rsidP="008D4FBA">
      <w:r>
        <w:t>T</w:t>
      </w:r>
      <w:r w:rsidRPr="00396E5A">
        <w:t>he number of references per article has increased considerably during the period 1980-2020. In 1980 an average article contained 19.8 references compared with 43.2 in 2020.</w:t>
      </w:r>
      <w:r>
        <w:t xml:space="preserve"> </w:t>
      </w:r>
      <w:r w:rsidR="008D4FBA" w:rsidRPr="00C1423F">
        <w:rPr>
          <w:lang w:val="en-US"/>
        </w:rPr>
        <w:t>This general upward trend is present in all fields</w:t>
      </w:r>
      <w:r w:rsidR="008D4FBA">
        <w:rPr>
          <w:lang w:val="en-US"/>
        </w:rPr>
        <w:t xml:space="preserve">. </w:t>
      </w:r>
      <w:r w:rsidR="008D4FBA" w:rsidRPr="00C1423F">
        <w:rPr>
          <w:lang w:val="en-US"/>
        </w:rPr>
        <w:t>At the same time, there are large differences across fields, where for example biology ha</w:t>
      </w:r>
      <w:r w:rsidR="00E30589">
        <w:rPr>
          <w:lang w:val="en-US"/>
        </w:rPr>
        <w:t>s</w:t>
      </w:r>
      <w:r w:rsidR="008D4FBA" w:rsidRPr="00C1423F">
        <w:rPr>
          <w:lang w:val="en-US"/>
        </w:rPr>
        <w:t xml:space="preserve"> much longer reference lists on average than mathematics and statistics</w:t>
      </w:r>
      <w:r w:rsidR="008D4FBA">
        <w:rPr>
          <w:lang w:val="en-US"/>
        </w:rPr>
        <w:t xml:space="preserve"> (to be shown in the final paper)</w:t>
      </w:r>
      <w:r w:rsidR="008D4FBA" w:rsidRPr="00C1423F">
        <w:rPr>
          <w:lang w:val="en-US"/>
        </w:rPr>
        <w:t xml:space="preserve">. </w:t>
      </w:r>
    </w:p>
    <w:p w14:paraId="4DAAB842" w14:textId="77777777" w:rsidR="008D4FBA" w:rsidRDefault="008D4FBA" w:rsidP="00FA0AA4"/>
    <w:p w14:paraId="593650F0" w14:textId="3A0785F4" w:rsidR="00FA0AA4" w:rsidRDefault="00FA0AA4" w:rsidP="00FA0AA4">
      <w:r w:rsidRPr="001C742A">
        <w:t xml:space="preserve">Figure </w:t>
      </w:r>
      <w:r>
        <w:t>1</w:t>
      </w:r>
      <w:r w:rsidRPr="001C742A">
        <w:t xml:space="preserve"> shows that articles from high-income countries have many more references on average than publications from other income groups. This holds over the entire 40-year period, but the gap has been reduced in recent years. Interestingly, there are relatively small differences across the groups of low- and middle-income countries.</w:t>
      </w:r>
      <w:r w:rsidRPr="00B73222">
        <w:t xml:space="preserve"> </w:t>
      </w:r>
    </w:p>
    <w:p w14:paraId="736C5BDF" w14:textId="77777777" w:rsidR="00AC7E0B" w:rsidRDefault="00AC7E0B" w:rsidP="00FA0AA4"/>
    <w:p w14:paraId="13CBEA52" w14:textId="1AD36FCE" w:rsidR="00FA0AA4" w:rsidRDefault="00AC7E0B" w:rsidP="00FA167D">
      <w:pPr>
        <w:keepNext/>
        <w:jc w:val="center"/>
      </w:pPr>
      <w:r>
        <w:lastRenderedPageBreak/>
        <w:t xml:space="preserve">Figure 1: </w:t>
      </w:r>
      <w:r w:rsidRPr="00AC7E0B">
        <w:t>Average number of references per publication, 1980-2020, by country income group.</w:t>
      </w:r>
      <w:r>
        <w:t xml:space="preserve"> </w:t>
      </w:r>
    </w:p>
    <w:p w14:paraId="10E90B2E" w14:textId="7B30F908" w:rsidR="00FA0AA4" w:rsidRDefault="00C731E1" w:rsidP="00FA0AA4">
      <w:r>
        <w:rPr>
          <w:noProof/>
        </w:rPr>
        <w:drawing>
          <wp:inline distT="0" distB="0" distL="0" distR="0" wp14:anchorId="2412D0C8" wp14:editId="28CEC2EC">
            <wp:extent cx="5760085" cy="2877820"/>
            <wp:effectExtent l="0" t="0" r="0" b="0"/>
            <wp:docPr id="312195857"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95857" name="Picture 1"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877820"/>
                    </a:xfrm>
                    <a:prstGeom prst="rect">
                      <a:avLst/>
                    </a:prstGeom>
                    <a:noFill/>
                    <a:ln>
                      <a:noFill/>
                    </a:ln>
                  </pic:spPr>
                </pic:pic>
              </a:graphicData>
            </a:graphic>
          </wp:inline>
        </w:drawing>
      </w:r>
    </w:p>
    <w:p w14:paraId="66B1F1E1" w14:textId="77777777" w:rsidR="00FA0AA4" w:rsidRPr="00DB5B83" w:rsidRDefault="00FA0AA4" w:rsidP="00FA0AA4"/>
    <w:p w14:paraId="5EB1B25C" w14:textId="306D0A02" w:rsidR="007D5D0E" w:rsidRPr="00C1423F" w:rsidRDefault="007D5D0E" w:rsidP="007D5D0E">
      <w:pPr>
        <w:rPr>
          <w:lang w:val="en-US"/>
        </w:rPr>
      </w:pPr>
      <w:r>
        <w:rPr>
          <w:lang w:val="en-US"/>
        </w:rPr>
        <w:t>T</w:t>
      </w:r>
      <w:r w:rsidRPr="00C1423F">
        <w:rPr>
          <w:lang w:val="en-US"/>
        </w:rPr>
        <w:t xml:space="preserve">he general trends from </w:t>
      </w:r>
      <w:r w:rsidR="00C70596">
        <w:rPr>
          <w:lang w:val="en-US"/>
        </w:rPr>
        <w:t xml:space="preserve">Figure 1 </w:t>
      </w:r>
      <w:r w:rsidR="009D3E65">
        <w:rPr>
          <w:lang w:val="en-US"/>
        </w:rPr>
        <w:t>also</w:t>
      </w:r>
      <w:r w:rsidR="009D3E65" w:rsidRPr="00C1423F">
        <w:rPr>
          <w:lang w:val="en-US"/>
        </w:rPr>
        <w:t xml:space="preserve"> </w:t>
      </w:r>
      <w:r w:rsidRPr="00C1423F">
        <w:rPr>
          <w:lang w:val="en-US"/>
        </w:rPr>
        <w:t xml:space="preserve">hold </w:t>
      </w:r>
      <w:r w:rsidR="003947CA">
        <w:rPr>
          <w:lang w:val="en-US"/>
        </w:rPr>
        <w:t xml:space="preserve">when the issue is </w:t>
      </w:r>
      <w:r w:rsidR="009D3E65">
        <w:rPr>
          <w:lang w:val="en-US"/>
        </w:rPr>
        <w:t xml:space="preserve">analyzed at field levels: </w:t>
      </w:r>
      <w:r w:rsidRPr="00C1423F">
        <w:rPr>
          <w:lang w:val="en-US"/>
        </w:rPr>
        <w:t>across all fields and income groups the number of references per paper is increasing steadily and there is a gap between the high-income countries and the middle- and low-income countries</w:t>
      </w:r>
      <w:r w:rsidR="00C70596">
        <w:rPr>
          <w:lang w:val="en-US"/>
        </w:rPr>
        <w:t xml:space="preserve">. </w:t>
      </w:r>
      <w:r w:rsidR="00C70596" w:rsidRPr="00C1423F">
        <w:rPr>
          <w:lang w:val="en-US"/>
        </w:rPr>
        <w:t xml:space="preserve">However, </w:t>
      </w:r>
      <w:r w:rsidR="00C70596">
        <w:rPr>
          <w:lang w:val="en-US"/>
        </w:rPr>
        <w:t xml:space="preserve">some </w:t>
      </w:r>
      <w:r w:rsidR="00C70596" w:rsidRPr="00C1423F">
        <w:rPr>
          <w:lang w:val="en-US"/>
        </w:rPr>
        <w:t>field-specific differences exist</w:t>
      </w:r>
      <w:r w:rsidR="00C70596">
        <w:rPr>
          <w:lang w:val="en-US"/>
        </w:rPr>
        <w:t xml:space="preserve"> (to be shown in the final paper)</w:t>
      </w:r>
      <w:r w:rsidRPr="00C1423F">
        <w:rPr>
          <w:lang w:val="en-US"/>
        </w:rPr>
        <w:t xml:space="preserve">. </w:t>
      </w:r>
    </w:p>
    <w:p w14:paraId="6213AE47" w14:textId="77777777" w:rsidR="009E4B24" w:rsidRDefault="009E4B24" w:rsidP="00FA0AA4"/>
    <w:p w14:paraId="1C3D978E" w14:textId="2E64FE06" w:rsidR="009E4B24" w:rsidRPr="00DD4EE0" w:rsidRDefault="009E4B24" w:rsidP="00DD4EE0">
      <w:pPr>
        <w:keepNext/>
        <w:jc w:val="both"/>
        <w:outlineLvl w:val="2"/>
        <w:rPr>
          <w:i/>
          <w:iCs/>
        </w:rPr>
      </w:pPr>
      <w:r w:rsidRPr="009E4B24">
        <w:rPr>
          <w:i/>
          <w:iCs/>
        </w:rPr>
        <w:t>3.</w:t>
      </w:r>
      <w:r>
        <w:rPr>
          <w:i/>
          <w:iCs/>
        </w:rPr>
        <w:t>2</w:t>
      </w:r>
      <w:r w:rsidRPr="009E4B24">
        <w:rPr>
          <w:i/>
          <w:iCs/>
        </w:rPr>
        <w:t>. Changes in</w:t>
      </w:r>
      <w:r w:rsidR="00DD4EE0">
        <w:rPr>
          <w:i/>
          <w:iCs/>
        </w:rPr>
        <w:t xml:space="preserve"> OA and non-OA reference pattern over time </w:t>
      </w:r>
    </w:p>
    <w:p w14:paraId="5C41C515" w14:textId="04F9B8C0" w:rsidR="00FA0AA4" w:rsidRDefault="00383D05" w:rsidP="00FA0AA4">
      <w:r w:rsidRPr="00383D05">
        <w:t xml:space="preserve">Within the period under consideration another trend has happened concurrently with the increase in the number of references per paper – the growth of openly available scientific publications. </w:t>
      </w:r>
      <w:r>
        <w:t xml:space="preserve"> </w:t>
      </w:r>
      <w:r w:rsidR="00FA0AA4" w:rsidRPr="00396E5A">
        <w:t>In 2005, publications from high-income countries had on average 7.5 OA references and 24.2 non-OA references (Table 1). These numbers increased to 16.5 OA and 30.3 non-OA references in 2020. Thus, the growth is stronger for OA than for non-OA references in absolute as well as relative terms.  A similar pattern is shown for middle- and low-income countries</w:t>
      </w:r>
      <w:r w:rsidR="00842618">
        <w:t xml:space="preserve">, which have been combined in </w:t>
      </w:r>
      <w:r w:rsidR="006F43C6">
        <w:t xml:space="preserve">the table. </w:t>
      </w:r>
    </w:p>
    <w:p w14:paraId="2C1F0A7A" w14:textId="77777777" w:rsidR="00DB0E28" w:rsidRDefault="00DB0E28" w:rsidP="00FA0AA4"/>
    <w:p w14:paraId="16F6042D" w14:textId="77777777" w:rsidR="00DB0E28" w:rsidRDefault="00DB0E28" w:rsidP="00FA0AA4"/>
    <w:p w14:paraId="799B1040" w14:textId="77777777" w:rsidR="00DB0E28" w:rsidRDefault="00DB0E28" w:rsidP="00FA0AA4"/>
    <w:p w14:paraId="3138AB4E" w14:textId="77777777" w:rsidR="00DB0E28" w:rsidRDefault="00DB0E28" w:rsidP="00FA0AA4"/>
    <w:p w14:paraId="253D374B" w14:textId="77777777" w:rsidR="00DB0E28" w:rsidRDefault="00DB0E28" w:rsidP="00FA0AA4"/>
    <w:p w14:paraId="7AC3ABBE" w14:textId="77777777" w:rsidR="00DB0E28" w:rsidRDefault="00DB0E28" w:rsidP="00FA0AA4"/>
    <w:p w14:paraId="0EC05D9C" w14:textId="77777777" w:rsidR="00DB0E28" w:rsidRDefault="00DB0E28" w:rsidP="00FA0AA4"/>
    <w:p w14:paraId="5255C441" w14:textId="77777777" w:rsidR="00DB0E28" w:rsidRDefault="00DB0E28" w:rsidP="00FA0AA4"/>
    <w:p w14:paraId="031DAC68" w14:textId="77777777" w:rsidR="00DB0E28" w:rsidRDefault="00DB0E28" w:rsidP="00FA0AA4"/>
    <w:p w14:paraId="55F6E117" w14:textId="77777777" w:rsidR="00DB0E28" w:rsidRDefault="00DB0E28" w:rsidP="00FA0AA4"/>
    <w:p w14:paraId="7D0D96E7" w14:textId="77777777" w:rsidR="00DB0E28" w:rsidRDefault="00DB0E28" w:rsidP="00FA0AA4"/>
    <w:p w14:paraId="2C913626" w14:textId="77777777" w:rsidR="00DB0E28" w:rsidRDefault="00DB0E28" w:rsidP="00FA0AA4"/>
    <w:p w14:paraId="2ECA0C17" w14:textId="77777777" w:rsidR="00DB0E28" w:rsidRDefault="00DB0E28" w:rsidP="00FA0AA4"/>
    <w:p w14:paraId="3257EAEC" w14:textId="77777777" w:rsidR="00DB0E28" w:rsidRDefault="00DB0E28" w:rsidP="00FA0AA4"/>
    <w:p w14:paraId="2543D47C" w14:textId="77777777" w:rsidR="00DB0E28" w:rsidRDefault="00DB0E28" w:rsidP="00FA0AA4"/>
    <w:p w14:paraId="2118071F" w14:textId="77777777" w:rsidR="00DB0E28" w:rsidRDefault="00DB0E28" w:rsidP="00FA0AA4"/>
    <w:p w14:paraId="6A7CA13D" w14:textId="77777777" w:rsidR="0034654D" w:rsidRDefault="0034654D" w:rsidP="00FA0AA4"/>
    <w:p w14:paraId="0C06B246" w14:textId="31E82D1B" w:rsidR="00FA0AA4" w:rsidRPr="003066BF" w:rsidRDefault="0034654D" w:rsidP="00842618">
      <w:pPr>
        <w:jc w:val="center"/>
      </w:pPr>
      <w:r>
        <w:lastRenderedPageBreak/>
        <w:t xml:space="preserve">Table 1. </w:t>
      </w:r>
      <w:r w:rsidRPr="0034654D">
        <w:t>Average number of references per publication, 2005-2020, by country income group and access type.</w:t>
      </w:r>
    </w:p>
    <w:tbl>
      <w:tblPr>
        <w:tblW w:w="0" w:type="auto"/>
        <w:jc w:val="center"/>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947"/>
        <w:gridCol w:w="1047"/>
        <w:gridCol w:w="1227"/>
        <w:gridCol w:w="1227"/>
        <w:gridCol w:w="1227"/>
      </w:tblGrid>
      <w:tr w:rsidR="00FA0AA4" w:rsidRPr="00C1423F" w14:paraId="0F96C347" w14:textId="77777777" w:rsidTr="006A1A4E">
        <w:trPr>
          <w:jc w:val="center"/>
        </w:trPr>
        <w:tc>
          <w:tcPr>
            <w:tcW w:w="947" w:type="dxa"/>
            <w:tcBorders>
              <w:bottom w:val="single" w:sz="6" w:space="0" w:color="000000"/>
              <w:right w:val="single" w:sz="6" w:space="0" w:color="000000"/>
            </w:tcBorders>
            <w:shd w:val="clear" w:color="auto" w:fill="auto"/>
          </w:tcPr>
          <w:p w14:paraId="77F1ED1C" w14:textId="77777777" w:rsidR="00FA0AA4" w:rsidRPr="00C1423F" w:rsidRDefault="00FA0AA4" w:rsidP="006A1A4E">
            <w:pPr>
              <w:rPr>
                <w:i/>
                <w:lang w:val="en-US"/>
              </w:rPr>
            </w:pPr>
          </w:p>
        </w:tc>
        <w:tc>
          <w:tcPr>
            <w:tcW w:w="2274" w:type="dxa"/>
            <w:gridSpan w:val="2"/>
            <w:tcBorders>
              <w:left w:val="single" w:sz="6" w:space="0" w:color="000000"/>
              <w:bottom w:val="single" w:sz="6" w:space="0" w:color="000000"/>
            </w:tcBorders>
            <w:shd w:val="clear" w:color="auto" w:fill="auto"/>
          </w:tcPr>
          <w:p w14:paraId="17224888" w14:textId="77777777" w:rsidR="00FA0AA4" w:rsidRPr="004753A1" w:rsidRDefault="00FA0AA4" w:rsidP="006A1A4E">
            <w:pPr>
              <w:jc w:val="center"/>
              <w:rPr>
                <w:b/>
                <w:bCs/>
                <w:iCs/>
                <w:lang w:val="en-US"/>
              </w:rPr>
            </w:pPr>
            <w:r w:rsidRPr="004753A1">
              <w:rPr>
                <w:b/>
                <w:bCs/>
                <w:iCs/>
                <w:lang w:val="en-US"/>
              </w:rPr>
              <w:t>High-income</w:t>
            </w:r>
          </w:p>
        </w:tc>
        <w:tc>
          <w:tcPr>
            <w:tcW w:w="2454" w:type="dxa"/>
            <w:gridSpan w:val="2"/>
            <w:tcBorders>
              <w:bottom w:val="single" w:sz="6" w:space="0" w:color="000000"/>
            </w:tcBorders>
            <w:shd w:val="clear" w:color="auto" w:fill="auto"/>
          </w:tcPr>
          <w:p w14:paraId="1945388A" w14:textId="77777777" w:rsidR="00FA0AA4" w:rsidRPr="004753A1" w:rsidRDefault="00FA0AA4" w:rsidP="006A1A4E">
            <w:pPr>
              <w:jc w:val="center"/>
              <w:rPr>
                <w:b/>
                <w:bCs/>
                <w:iCs/>
                <w:lang w:val="en-US"/>
              </w:rPr>
            </w:pPr>
            <w:r w:rsidRPr="004753A1">
              <w:rPr>
                <w:b/>
                <w:bCs/>
                <w:iCs/>
                <w:lang w:val="en-US"/>
              </w:rPr>
              <w:t>Middle/low-income</w:t>
            </w:r>
          </w:p>
        </w:tc>
      </w:tr>
      <w:tr w:rsidR="00FA0AA4" w:rsidRPr="00C1423F" w14:paraId="5A21264B" w14:textId="77777777" w:rsidTr="006A1A4E">
        <w:trPr>
          <w:jc w:val="center"/>
        </w:trPr>
        <w:tc>
          <w:tcPr>
            <w:tcW w:w="947" w:type="dxa"/>
            <w:tcBorders>
              <w:bottom w:val="single" w:sz="6" w:space="0" w:color="000000"/>
              <w:right w:val="single" w:sz="6" w:space="0" w:color="000000"/>
            </w:tcBorders>
            <w:shd w:val="clear" w:color="auto" w:fill="auto"/>
          </w:tcPr>
          <w:p w14:paraId="25CE36AA" w14:textId="77777777" w:rsidR="00FA0AA4" w:rsidRPr="00C1423F" w:rsidRDefault="00FA0AA4" w:rsidP="006A1A4E">
            <w:pPr>
              <w:rPr>
                <w:i/>
                <w:lang w:val="en-US"/>
              </w:rPr>
            </w:pPr>
          </w:p>
        </w:tc>
        <w:tc>
          <w:tcPr>
            <w:tcW w:w="1047" w:type="dxa"/>
            <w:tcBorders>
              <w:left w:val="single" w:sz="6" w:space="0" w:color="000000"/>
              <w:bottom w:val="single" w:sz="6" w:space="0" w:color="000000"/>
            </w:tcBorders>
            <w:shd w:val="clear" w:color="auto" w:fill="auto"/>
          </w:tcPr>
          <w:p w14:paraId="7313D040" w14:textId="77777777" w:rsidR="00FA0AA4" w:rsidRPr="004753A1" w:rsidRDefault="00FA0AA4" w:rsidP="006A1A4E">
            <w:pPr>
              <w:jc w:val="center"/>
              <w:rPr>
                <w:b/>
                <w:bCs/>
                <w:iCs/>
                <w:lang w:val="en-US"/>
              </w:rPr>
            </w:pPr>
            <w:r w:rsidRPr="004753A1">
              <w:rPr>
                <w:b/>
                <w:bCs/>
                <w:iCs/>
                <w:lang w:val="en-US"/>
              </w:rPr>
              <w:t>Non-OA</w:t>
            </w:r>
          </w:p>
        </w:tc>
        <w:tc>
          <w:tcPr>
            <w:tcW w:w="1227" w:type="dxa"/>
            <w:tcBorders>
              <w:bottom w:val="single" w:sz="6" w:space="0" w:color="000000"/>
            </w:tcBorders>
            <w:shd w:val="clear" w:color="auto" w:fill="auto"/>
          </w:tcPr>
          <w:p w14:paraId="5A2925CD" w14:textId="77777777" w:rsidR="00FA0AA4" w:rsidRPr="004753A1" w:rsidRDefault="00FA0AA4" w:rsidP="006A1A4E">
            <w:pPr>
              <w:jc w:val="center"/>
              <w:rPr>
                <w:b/>
                <w:bCs/>
                <w:iCs/>
                <w:lang w:val="en-US"/>
              </w:rPr>
            </w:pPr>
            <w:r w:rsidRPr="004753A1">
              <w:rPr>
                <w:b/>
                <w:bCs/>
                <w:iCs/>
                <w:lang w:val="en-US"/>
              </w:rPr>
              <w:t>OA</w:t>
            </w:r>
          </w:p>
        </w:tc>
        <w:tc>
          <w:tcPr>
            <w:tcW w:w="1227" w:type="dxa"/>
            <w:tcBorders>
              <w:bottom w:val="single" w:sz="6" w:space="0" w:color="000000"/>
            </w:tcBorders>
            <w:shd w:val="clear" w:color="auto" w:fill="auto"/>
          </w:tcPr>
          <w:p w14:paraId="779C21BB" w14:textId="77777777" w:rsidR="00FA0AA4" w:rsidRPr="004753A1" w:rsidRDefault="00FA0AA4" w:rsidP="006A1A4E">
            <w:pPr>
              <w:jc w:val="center"/>
              <w:rPr>
                <w:b/>
                <w:bCs/>
                <w:iCs/>
                <w:lang w:val="en-US"/>
              </w:rPr>
            </w:pPr>
            <w:r w:rsidRPr="004753A1">
              <w:rPr>
                <w:b/>
                <w:bCs/>
                <w:iCs/>
                <w:lang w:val="en-US"/>
              </w:rPr>
              <w:t>Non-OA</w:t>
            </w:r>
          </w:p>
        </w:tc>
        <w:tc>
          <w:tcPr>
            <w:tcW w:w="1227" w:type="dxa"/>
            <w:tcBorders>
              <w:bottom w:val="single" w:sz="6" w:space="0" w:color="000000"/>
            </w:tcBorders>
          </w:tcPr>
          <w:p w14:paraId="3BC6F13B" w14:textId="77777777" w:rsidR="00FA0AA4" w:rsidRPr="004753A1" w:rsidRDefault="00FA0AA4" w:rsidP="006A1A4E">
            <w:pPr>
              <w:jc w:val="center"/>
              <w:rPr>
                <w:b/>
                <w:bCs/>
                <w:iCs/>
                <w:lang w:val="en-US"/>
              </w:rPr>
            </w:pPr>
            <w:r w:rsidRPr="004753A1">
              <w:rPr>
                <w:b/>
                <w:bCs/>
                <w:iCs/>
                <w:lang w:val="en-US"/>
              </w:rPr>
              <w:t>OA</w:t>
            </w:r>
          </w:p>
        </w:tc>
      </w:tr>
      <w:tr w:rsidR="00FA0AA4" w:rsidRPr="00C1423F" w14:paraId="4418CBA8" w14:textId="77777777" w:rsidTr="006A1A4E">
        <w:trPr>
          <w:jc w:val="center"/>
        </w:trPr>
        <w:tc>
          <w:tcPr>
            <w:tcW w:w="947" w:type="dxa"/>
            <w:tcBorders>
              <w:top w:val="single" w:sz="6" w:space="0" w:color="000000"/>
              <w:right w:val="single" w:sz="6" w:space="0" w:color="000000"/>
            </w:tcBorders>
            <w:shd w:val="clear" w:color="auto" w:fill="auto"/>
          </w:tcPr>
          <w:p w14:paraId="44C6FE7C" w14:textId="77777777" w:rsidR="00FA0AA4" w:rsidRPr="00C1423F" w:rsidRDefault="00FA0AA4" w:rsidP="006A1A4E">
            <w:pPr>
              <w:rPr>
                <w:lang w:val="en-US"/>
              </w:rPr>
            </w:pPr>
            <w:r w:rsidRPr="00C1423F">
              <w:rPr>
                <w:lang w:val="en-US"/>
              </w:rPr>
              <w:t>2005</w:t>
            </w:r>
          </w:p>
        </w:tc>
        <w:tc>
          <w:tcPr>
            <w:tcW w:w="1047" w:type="dxa"/>
            <w:tcBorders>
              <w:top w:val="single" w:sz="6" w:space="0" w:color="000000"/>
              <w:left w:val="single" w:sz="6" w:space="0" w:color="000000"/>
            </w:tcBorders>
            <w:shd w:val="clear" w:color="auto" w:fill="auto"/>
          </w:tcPr>
          <w:p w14:paraId="211DC2D3" w14:textId="77777777" w:rsidR="00FA0AA4" w:rsidRPr="00C1423F" w:rsidRDefault="00FA0AA4" w:rsidP="006A1A4E">
            <w:pPr>
              <w:jc w:val="center"/>
              <w:rPr>
                <w:lang w:val="en-US"/>
              </w:rPr>
            </w:pPr>
            <w:r w:rsidRPr="00C1423F">
              <w:rPr>
                <w:lang w:val="en-US"/>
              </w:rPr>
              <w:t>24.2</w:t>
            </w:r>
          </w:p>
        </w:tc>
        <w:tc>
          <w:tcPr>
            <w:tcW w:w="1227" w:type="dxa"/>
            <w:tcBorders>
              <w:top w:val="single" w:sz="6" w:space="0" w:color="000000"/>
            </w:tcBorders>
            <w:shd w:val="clear" w:color="auto" w:fill="auto"/>
          </w:tcPr>
          <w:p w14:paraId="0DC7E216" w14:textId="77777777" w:rsidR="00FA0AA4" w:rsidRPr="00C1423F" w:rsidRDefault="00FA0AA4" w:rsidP="006A1A4E">
            <w:pPr>
              <w:jc w:val="center"/>
              <w:rPr>
                <w:lang w:val="en-US"/>
              </w:rPr>
            </w:pPr>
            <w:r w:rsidRPr="00C1423F">
              <w:rPr>
                <w:lang w:val="en-US"/>
              </w:rPr>
              <w:t>7.5</w:t>
            </w:r>
          </w:p>
        </w:tc>
        <w:tc>
          <w:tcPr>
            <w:tcW w:w="1227" w:type="dxa"/>
            <w:tcBorders>
              <w:top w:val="single" w:sz="6" w:space="0" w:color="000000"/>
            </w:tcBorders>
            <w:shd w:val="clear" w:color="auto" w:fill="auto"/>
          </w:tcPr>
          <w:p w14:paraId="483919C4" w14:textId="77777777" w:rsidR="00FA0AA4" w:rsidRPr="00C1423F" w:rsidRDefault="00FA0AA4" w:rsidP="006A1A4E">
            <w:pPr>
              <w:jc w:val="center"/>
              <w:rPr>
                <w:lang w:val="en-US"/>
              </w:rPr>
            </w:pPr>
            <w:r w:rsidRPr="00C1423F">
              <w:rPr>
                <w:lang w:val="en-US"/>
              </w:rPr>
              <w:t>18.6</w:t>
            </w:r>
          </w:p>
        </w:tc>
        <w:tc>
          <w:tcPr>
            <w:tcW w:w="1227" w:type="dxa"/>
            <w:tcBorders>
              <w:top w:val="single" w:sz="6" w:space="0" w:color="000000"/>
            </w:tcBorders>
          </w:tcPr>
          <w:p w14:paraId="519E61BF" w14:textId="77777777" w:rsidR="00FA0AA4" w:rsidRPr="00C1423F" w:rsidRDefault="00FA0AA4" w:rsidP="006A1A4E">
            <w:pPr>
              <w:jc w:val="center"/>
              <w:rPr>
                <w:lang w:val="en-US"/>
              </w:rPr>
            </w:pPr>
            <w:r w:rsidRPr="00C1423F">
              <w:rPr>
                <w:lang w:val="en-US"/>
              </w:rPr>
              <w:t>7.4</w:t>
            </w:r>
          </w:p>
        </w:tc>
      </w:tr>
      <w:tr w:rsidR="00FA0AA4" w:rsidRPr="00C1423F" w14:paraId="4B9CA015" w14:textId="77777777" w:rsidTr="006A1A4E">
        <w:trPr>
          <w:jc w:val="center"/>
        </w:trPr>
        <w:tc>
          <w:tcPr>
            <w:tcW w:w="947" w:type="dxa"/>
            <w:tcBorders>
              <w:right w:val="single" w:sz="6" w:space="0" w:color="000000"/>
            </w:tcBorders>
            <w:shd w:val="clear" w:color="auto" w:fill="auto"/>
          </w:tcPr>
          <w:p w14:paraId="0649BBC2" w14:textId="77777777" w:rsidR="00FA0AA4" w:rsidRPr="00C1423F" w:rsidRDefault="00FA0AA4" w:rsidP="006A1A4E">
            <w:pPr>
              <w:rPr>
                <w:lang w:val="en-US"/>
              </w:rPr>
            </w:pPr>
            <w:r w:rsidRPr="00C1423F">
              <w:rPr>
                <w:lang w:val="en-US"/>
              </w:rPr>
              <w:t>2006</w:t>
            </w:r>
          </w:p>
        </w:tc>
        <w:tc>
          <w:tcPr>
            <w:tcW w:w="1047" w:type="dxa"/>
            <w:tcBorders>
              <w:left w:val="single" w:sz="6" w:space="0" w:color="000000"/>
            </w:tcBorders>
            <w:shd w:val="clear" w:color="auto" w:fill="auto"/>
          </w:tcPr>
          <w:p w14:paraId="55B4BF24" w14:textId="77777777" w:rsidR="00FA0AA4" w:rsidRPr="00C1423F" w:rsidRDefault="00FA0AA4" w:rsidP="006A1A4E">
            <w:pPr>
              <w:jc w:val="center"/>
              <w:rPr>
                <w:lang w:val="en-US"/>
              </w:rPr>
            </w:pPr>
            <w:r w:rsidRPr="00C1423F">
              <w:rPr>
                <w:lang w:val="en-US"/>
              </w:rPr>
              <w:t>24.7</w:t>
            </w:r>
          </w:p>
        </w:tc>
        <w:tc>
          <w:tcPr>
            <w:tcW w:w="1227" w:type="dxa"/>
            <w:shd w:val="clear" w:color="auto" w:fill="auto"/>
          </w:tcPr>
          <w:p w14:paraId="1215B4BA" w14:textId="77777777" w:rsidR="00FA0AA4" w:rsidRPr="00C1423F" w:rsidRDefault="00FA0AA4" w:rsidP="006A1A4E">
            <w:pPr>
              <w:jc w:val="center"/>
              <w:rPr>
                <w:lang w:val="en-US"/>
              </w:rPr>
            </w:pPr>
            <w:r w:rsidRPr="00C1423F">
              <w:rPr>
                <w:lang w:val="en-US"/>
              </w:rPr>
              <w:t>7.7</w:t>
            </w:r>
          </w:p>
        </w:tc>
        <w:tc>
          <w:tcPr>
            <w:tcW w:w="1227" w:type="dxa"/>
            <w:shd w:val="clear" w:color="auto" w:fill="auto"/>
          </w:tcPr>
          <w:p w14:paraId="65C30595" w14:textId="77777777" w:rsidR="00FA0AA4" w:rsidRPr="00C1423F" w:rsidRDefault="00FA0AA4" w:rsidP="006A1A4E">
            <w:pPr>
              <w:jc w:val="center"/>
              <w:rPr>
                <w:lang w:val="en-US"/>
              </w:rPr>
            </w:pPr>
            <w:r w:rsidRPr="00C1423F">
              <w:rPr>
                <w:lang w:val="en-US"/>
              </w:rPr>
              <w:t>20.0</w:t>
            </w:r>
          </w:p>
        </w:tc>
        <w:tc>
          <w:tcPr>
            <w:tcW w:w="1227" w:type="dxa"/>
          </w:tcPr>
          <w:p w14:paraId="05B9FFF2" w14:textId="77777777" w:rsidR="00FA0AA4" w:rsidRPr="00C1423F" w:rsidRDefault="00FA0AA4" w:rsidP="006A1A4E">
            <w:pPr>
              <w:jc w:val="center"/>
              <w:rPr>
                <w:lang w:val="en-US"/>
              </w:rPr>
            </w:pPr>
            <w:r w:rsidRPr="00C1423F">
              <w:rPr>
                <w:lang w:val="en-US"/>
              </w:rPr>
              <w:t>8.5</w:t>
            </w:r>
          </w:p>
        </w:tc>
      </w:tr>
      <w:tr w:rsidR="00FA0AA4" w:rsidRPr="00C1423F" w14:paraId="3BAC67C0" w14:textId="77777777" w:rsidTr="006A1A4E">
        <w:trPr>
          <w:jc w:val="center"/>
        </w:trPr>
        <w:tc>
          <w:tcPr>
            <w:tcW w:w="947" w:type="dxa"/>
            <w:tcBorders>
              <w:right w:val="single" w:sz="6" w:space="0" w:color="000000"/>
            </w:tcBorders>
            <w:shd w:val="clear" w:color="auto" w:fill="auto"/>
          </w:tcPr>
          <w:p w14:paraId="52B6362C" w14:textId="77777777" w:rsidR="00FA0AA4" w:rsidRPr="00C1423F" w:rsidRDefault="00FA0AA4" w:rsidP="006A1A4E">
            <w:pPr>
              <w:rPr>
                <w:lang w:val="en-US"/>
              </w:rPr>
            </w:pPr>
            <w:r w:rsidRPr="00C1423F">
              <w:rPr>
                <w:lang w:val="en-US"/>
              </w:rPr>
              <w:t>2007</w:t>
            </w:r>
          </w:p>
        </w:tc>
        <w:tc>
          <w:tcPr>
            <w:tcW w:w="1047" w:type="dxa"/>
            <w:tcBorders>
              <w:left w:val="single" w:sz="6" w:space="0" w:color="000000"/>
            </w:tcBorders>
            <w:shd w:val="clear" w:color="auto" w:fill="auto"/>
          </w:tcPr>
          <w:p w14:paraId="33490915" w14:textId="77777777" w:rsidR="00FA0AA4" w:rsidRPr="00C1423F" w:rsidRDefault="00FA0AA4" w:rsidP="006A1A4E">
            <w:pPr>
              <w:jc w:val="center"/>
              <w:rPr>
                <w:lang w:val="en-US"/>
              </w:rPr>
            </w:pPr>
            <w:r w:rsidRPr="00C1423F">
              <w:rPr>
                <w:lang w:val="en-US"/>
              </w:rPr>
              <w:t>25.5</w:t>
            </w:r>
          </w:p>
        </w:tc>
        <w:tc>
          <w:tcPr>
            <w:tcW w:w="1227" w:type="dxa"/>
            <w:shd w:val="clear" w:color="auto" w:fill="auto"/>
          </w:tcPr>
          <w:p w14:paraId="13EE2EF7" w14:textId="77777777" w:rsidR="00FA0AA4" w:rsidRPr="00C1423F" w:rsidRDefault="00FA0AA4" w:rsidP="006A1A4E">
            <w:pPr>
              <w:jc w:val="center"/>
              <w:rPr>
                <w:lang w:val="en-US"/>
              </w:rPr>
            </w:pPr>
            <w:r w:rsidRPr="00C1423F">
              <w:rPr>
                <w:lang w:val="en-US"/>
              </w:rPr>
              <w:t>7.9</w:t>
            </w:r>
          </w:p>
        </w:tc>
        <w:tc>
          <w:tcPr>
            <w:tcW w:w="1227" w:type="dxa"/>
            <w:shd w:val="clear" w:color="auto" w:fill="auto"/>
          </w:tcPr>
          <w:p w14:paraId="338C8662" w14:textId="77777777" w:rsidR="00FA0AA4" w:rsidRPr="00C1423F" w:rsidRDefault="00FA0AA4" w:rsidP="006A1A4E">
            <w:pPr>
              <w:jc w:val="center"/>
              <w:rPr>
                <w:lang w:val="en-US"/>
              </w:rPr>
            </w:pPr>
            <w:r w:rsidRPr="00C1423F">
              <w:rPr>
                <w:lang w:val="en-US"/>
              </w:rPr>
              <w:t>20.4</w:t>
            </w:r>
          </w:p>
        </w:tc>
        <w:tc>
          <w:tcPr>
            <w:tcW w:w="1227" w:type="dxa"/>
          </w:tcPr>
          <w:p w14:paraId="310C3079" w14:textId="77777777" w:rsidR="00FA0AA4" w:rsidRPr="00C1423F" w:rsidRDefault="00FA0AA4" w:rsidP="006A1A4E">
            <w:pPr>
              <w:jc w:val="center"/>
              <w:rPr>
                <w:lang w:val="en-US"/>
              </w:rPr>
            </w:pPr>
            <w:r w:rsidRPr="00C1423F">
              <w:rPr>
                <w:lang w:val="en-US"/>
              </w:rPr>
              <w:t>7.6</w:t>
            </w:r>
          </w:p>
        </w:tc>
      </w:tr>
      <w:tr w:rsidR="00FA0AA4" w:rsidRPr="00C1423F" w14:paraId="31DDA6B3" w14:textId="77777777" w:rsidTr="006A1A4E">
        <w:trPr>
          <w:jc w:val="center"/>
        </w:trPr>
        <w:tc>
          <w:tcPr>
            <w:tcW w:w="947" w:type="dxa"/>
            <w:tcBorders>
              <w:right w:val="single" w:sz="6" w:space="0" w:color="000000"/>
            </w:tcBorders>
            <w:shd w:val="clear" w:color="auto" w:fill="auto"/>
          </w:tcPr>
          <w:p w14:paraId="601509C3" w14:textId="77777777" w:rsidR="00FA0AA4" w:rsidRPr="00C1423F" w:rsidRDefault="00FA0AA4" w:rsidP="006A1A4E">
            <w:pPr>
              <w:rPr>
                <w:lang w:val="en-US"/>
              </w:rPr>
            </w:pPr>
            <w:r w:rsidRPr="00C1423F">
              <w:rPr>
                <w:lang w:val="en-US"/>
              </w:rPr>
              <w:t>2008</w:t>
            </w:r>
          </w:p>
        </w:tc>
        <w:tc>
          <w:tcPr>
            <w:tcW w:w="1047" w:type="dxa"/>
            <w:tcBorders>
              <w:left w:val="single" w:sz="6" w:space="0" w:color="000000"/>
            </w:tcBorders>
            <w:shd w:val="clear" w:color="auto" w:fill="auto"/>
          </w:tcPr>
          <w:p w14:paraId="222475F4" w14:textId="77777777" w:rsidR="00FA0AA4" w:rsidRPr="00C1423F" w:rsidRDefault="00FA0AA4" w:rsidP="006A1A4E">
            <w:pPr>
              <w:jc w:val="center"/>
              <w:rPr>
                <w:lang w:val="en-US"/>
              </w:rPr>
            </w:pPr>
            <w:r w:rsidRPr="00C1423F">
              <w:rPr>
                <w:lang w:val="en-US"/>
              </w:rPr>
              <w:t>26.5</w:t>
            </w:r>
          </w:p>
        </w:tc>
        <w:tc>
          <w:tcPr>
            <w:tcW w:w="1227" w:type="dxa"/>
            <w:shd w:val="clear" w:color="auto" w:fill="auto"/>
          </w:tcPr>
          <w:p w14:paraId="6BCDCBA2" w14:textId="77777777" w:rsidR="00FA0AA4" w:rsidRPr="00C1423F" w:rsidRDefault="00FA0AA4" w:rsidP="006A1A4E">
            <w:pPr>
              <w:jc w:val="center"/>
              <w:rPr>
                <w:lang w:val="en-US"/>
              </w:rPr>
            </w:pPr>
            <w:r w:rsidRPr="00C1423F">
              <w:rPr>
                <w:lang w:val="en-US"/>
              </w:rPr>
              <w:t>8.2</w:t>
            </w:r>
          </w:p>
        </w:tc>
        <w:tc>
          <w:tcPr>
            <w:tcW w:w="1227" w:type="dxa"/>
            <w:shd w:val="clear" w:color="auto" w:fill="auto"/>
          </w:tcPr>
          <w:p w14:paraId="5109F651" w14:textId="77777777" w:rsidR="00FA0AA4" w:rsidRPr="00C1423F" w:rsidRDefault="00FA0AA4" w:rsidP="006A1A4E">
            <w:pPr>
              <w:jc w:val="center"/>
              <w:rPr>
                <w:lang w:val="en-US"/>
              </w:rPr>
            </w:pPr>
            <w:r w:rsidRPr="00C1423F">
              <w:rPr>
                <w:lang w:val="en-US"/>
              </w:rPr>
              <w:t>21.0</w:t>
            </w:r>
          </w:p>
        </w:tc>
        <w:tc>
          <w:tcPr>
            <w:tcW w:w="1227" w:type="dxa"/>
          </w:tcPr>
          <w:p w14:paraId="063B73FF" w14:textId="77777777" w:rsidR="00FA0AA4" w:rsidRPr="00C1423F" w:rsidRDefault="00FA0AA4" w:rsidP="006A1A4E">
            <w:pPr>
              <w:jc w:val="center"/>
              <w:rPr>
                <w:lang w:val="en-US"/>
              </w:rPr>
            </w:pPr>
            <w:r w:rsidRPr="00C1423F">
              <w:rPr>
                <w:lang w:val="en-US"/>
              </w:rPr>
              <w:t>8.2</w:t>
            </w:r>
          </w:p>
        </w:tc>
      </w:tr>
      <w:tr w:rsidR="00FA0AA4" w:rsidRPr="00C1423F" w14:paraId="6473F87F" w14:textId="77777777" w:rsidTr="006A1A4E">
        <w:trPr>
          <w:jc w:val="center"/>
        </w:trPr>
        <w:tc>
          <w:tcPr>
            <w:tcW w:w="947" w:type="dxa"/>
            <w:tcBorders>
              <w:right w:val="single" w:sz="6" w:space="0" w:color="000000"/>
            </w:tcBorders>
            <w:shd w:val="clear" w:color="auto" w:fill="auto"/>
          </w:tcPr>
          <w:p w14:paraId="1F50E930" w14:textId="77777777" w:rsidR="00FA0AA4" w:rsidRPr="00C1423F" w:rsidRDefault="00FA0AA4" w:rsidP="006A1A4E">
            <w:pPr>
              <w:rPr>
                <w:lang w:val="en-US"/>
              </w:rPr>
            </w:pPr>
            <w:r w:rsidRPr="00C1423F">
              <w:rPr>
                <w:lang w:val="en-US"/>
              </w:rPr>
              <w:t>2009</w:t>
            </w:r>
          </w:p>
        </w:tc>
        <w:tc>
          <w:tcPr>
            <w:tcW w:w="1047" w:type="dxa"/>
            <w:tcBorders>
              <w:left w:val="single" w:sz="6" w:space="0" w:color="000000"/>
            </w:tcBorders>
            <w:shd w:val="clear" w:color="auto" w:fill="auto"/>
          </w:tcPr>
          <w:p w14:paraId="7E0E86D6" w14:textId="77777777" w:rsidR="00FA0AA4" w:rsidRPr="00C1423F" w:rsidRDefault="00FA0AA4" w:rsidP="006A1A4E">
            <w:pPr>
              <w:jc w:val="center"/>
              <w:rPr>
                <w:lang w:val="en-US"/>
              </w:rPr>
            </w:pPr>
            <w:r w:rsidRPr="00C1423F">
              <w:rPr>
                <w:lang w:val="en-US"/>
              </w:rPr>
              <w:t>27.0</w:t>
            </w:r>
          </w:p>
        </w:tc>
        <w:tc>
          <w:tcPr>
            <w:tcW w:w="1227" w:type="dxa"/>
            <w:shd w:val="clear" w:color="auto" w:fill="auto"/>
          </w:tcPr>
          <w:p w14:paraId="0E57CCFC" w14:textId="77777777" w:rsidR="00FA0AA4" w:rsidRPr="00C1423F" w:rsidRDefault="00FA0AA4" w:rsidP="006A1A4E">
            <w:pPr>
              <w:jc w:val="center"/>
              <w:rPr>
                <w:lang w:val="en-US"/>
              </w:rPr>
            </w:pPr>
            <w:r w:rsidRPr="00C1423F">
              <w:rPr>
                <w:lang w:val="en-US"/>
              </w:rPr>
              <w:t>8.7</w:t>
            </w:r>
          </w:p>
        </w:tc>
        <w:tc>
          <w:tcPr>
            <w:tcW w:w="1227" w:type="dxa"/>
            <w:shd w:val="clear" w:color="auto" w:fill="auto"/>
          </w:tcPr>
          <w:p w14:paraId="595FA228" w14:textId="77777777" w:rsidR="00FA0AA4" w:rsidRPr="00C1423F" w:rsidRDefault="00FA0AA4" w:rsidP="006A1A4E">
            <w:pPr>
              <w:jc w:val="center"/>
              <w:rPr>
                <w:lang w:val="en-US"/>
              </w:rPr>
            </w:pPr>
            <w:r w:rsidRPr="00C1423F">
              <w:rPr>
                <w:lang w:val="en-US"/>
              </w:rPr>
              <w:t>20.8</w:t>
            </w:r>
          </w:p>
        </w:tc>
        <w:tc>
          <w:tcPr>
            <w:tcW w:w="1227" w:type="dxa"/>
          </w:tcPr>
          <w:p w14:paraId="44DCC4BA" w14:textId="77777777" w:rsidR="00FA0AA4" w:rsidRPr="00C1423F" w:rsidRDefault="00FA0AA4" w:rsidP="006A1A4E">
            <w:pPr>
              <w:jc w:val="center"/>
              <w:rPr>
                <w:lang w:val="en-US"/>
              </w:rPr>
            </w:pPr>
            <w:r w:rsidRPr="00C1423F">
              <w:rPr>
                <w:lang w:val="en-US"/>
              </w:rPr>
              <w:t>7.9</w:t>
            </w:r>
          </w:p>
        </w:tc>
      </w:tr>
      <w:tr w:rsidR="00FA0AA4" w:rsidRPr="00C1423F" w14:paraId="57969E5C" w14:textId="77777777" w:rsidTr="006A1A4E">
        <w:trPr>
          <w:jc w:val="center"/>
        </w:trPr>
        <w:tc>
          <w:tcPr>
            <w:tcW w:w="947" w:type="dxa"/>
            <w:tcBorders>
              <w:right w:val="single" w:sz="6" w:space="0" w:color="000000"/>
            </w:tcBorders>
            <w:shd w:val="clear" w:color="auto" w:fill="auto"/>
          </w:tcPr>
          <w:p w14:paraId="501113AD" w14:textId="77777777" w:rsidR="00FA0AA4" w:rsidRPr="00C1423F" w:rsidRDefault="00FA0AA4" w:rsidP="006A1A4E">
            <w:pPr>
              <w:rPr>
                <w:lang w:val="en-US"/>
              </w:rPr>
            </w:pPr>
            <w:r w:rsidRPr="00C1423F">
              <w:rPr>
                <w:lang w:val="en-US"/>
              </w:rPr>
              <w:t>2010</w:t>
            </w:r>
          </w:p>
        </w:tc>
        <w:tc>
          <w:tcPr>
            <w:tcW w:w="1047" w:type="dxa"/>
            <w:tcBorders>
              <w:left w:val="single" w:sz="6" w:space="0" w:color="000000"/>
            </w:tcBorders>
            <w:shd w:val="clear" w:color="auto" w:fill="auto"/>
          </w:tcPr>
          <w:p w14:paraId="3A2CB122" w14:textId="77777777" w:rsidR="00FA0AA4" w:rsidRPr="00C1423F" w:rsidRDefault="00FA0AA4" w:rsidP="006A1A4E">
            <w:pPr>
              <w:jc w:val="center"/>
              <w:rPr>
                <w:lang w:val="en-US"/>
              </w:rPr>
            </w:pPr>
            <w:r w:rsidRPr="00C1423F">
              <w:rPr>
                <w:lang w:val="en-US"/>
              </w:rPr>
              <w:t>28.6</w:t>
            </w:r>
          </w:p>
        </w:tc>
        <w:tc>
          <w:tcPr>
            <w:tcW w:w="1227" w:type="dxa"/>
            <w:shd w:val="clear" w:color="auto" w:fill="auto"/>
          </w:tcPr>
          <w:p w14:paraId="5F9444A9" w14:textId="77777777" w:rsidR="00FA0AA4" w:rsidRPr="00C1423F" w:rsidRDefault="00FA0AA4" w:rsidP="006A1A4E">
            <w:pPr>
              <w:jc w:val="center"/>
              <w:rPr>
                <w:lang w:val="en-US"/>
              </w:rPr>
            </w:pPr>
            <w:r w:rsidRPr="00C1423F">
              <w:rPr>
                <w:lang w:val="en-US"/>
              </w:rPr>
              <w:t>9.3</w:t>
            </w:r>
          </w:p>
        </w:tc>
        <w:tc>
          <w:tcPr>
            <w:tcW w:w="1227" w:type="dxa"/>
            <w:shd w:val="clear" w:color="auto" w:fill="auto"/>
          </w:tcPr>
          <w:p w14:paraId="561AE308" w14:textId="77777777" w:rsidR="00FA0AA4" w:rsidRPr="00C1423F" w:rsidRDefault="00FA0AA4" w:rsidP="006A1A4E">
            <w:pPr>
              <w:jc w:val="center"/>
              <w:rPr>
                <w:lang w:val="en-US"/>
              </w:rPr>
            </w:pPr>
            <w:r w:rsidRPr="00C1423F">
              <w:rPr>
                <w:lang w:val="en-US"/>
              </w:rPr>
              <w:t>22.0</w:t>
            </w:r>
          </w:p>
        </w:tc>
        <w:tc>
          <w:tcPr>
            <w:tcW w:w="1227" w:type="dxa"/>
          </w:tcPr>
          <w:p w14:paraId="6084895D" w14:textId="77777777" w:rsidR="00FA0AA4" w:rsidRPr="00C1423F" w:rsidRDefault="00FA0AA4" w:rsidP="006A1A4E">
            <w:pPr>
              <w:jc w:val="center"/>
              <w:rPr>
                <w:lang w:val="en-US"/>
              </w:rPr>
            </w:pPr>
            <w:r w:rsidRPr="00C1423F">
              <w:rPr>
                <w:lang w:val="en-US"/>
              </w:rPr>
              <w:t>8.1</w:t>
            </w:r>
          </w:p>
        </w:tc>
      </w:tr>
      <w:tr w:rsidR="00FA0AA4" w:rsidRPr="00C1423F" w14:paraId="1D91762E" w14:textId="77777777" w:rsidTr="006A1A4E">
        <w:trPr>
          <w:jc w:val="center"/>
        </w:trPr>
        <w:tc>
          <w:tcPr>
            <w:tcW w:w="947" w:type="dxa"/>
            <w:tcBorders>
              <w:right w:val="single" w:sz="6" w:space="0" w:color="000000"/>
            </w:tcBorders>
            <w:shd w:val="clear" w:color="auto" w:fill="auto"/>
          </w:tcPr>
          <w:p w14:paraId="484606A3" w14:textId="77777777" w:rsidR="00FA0AA4" w:rsidRPr="00C1423F" w:rsidRDefault="00FA0AA4" w:rsidP="006A1A4E">
            <w:pPr>
              <w:rPr>
                <w:lang w:val="en-US"/>
              </w:rPr>
            </w:pPr>
            <w:r w:rsidRPr="00C1423F">
              <w:rPr>
                <w:lang w:val="en-US"/>
              </w:rPr>
              <w:t>2011</w:t>
            </w:r>
          </w:p>
        </w:tc>
        <w:tc>
          <w:tcPr>
            <w:tcW w:w="1047" w:type="dxa"/>
            <w:tcBorders>
              <w:left w:val="single" w:sz="6" w:space="0" w:color="000000"/>
            </w:tcBorders>
            <w:shd w:val="clear" w:color="auto" w:fill="auto"/>
          </w:tcPr>
          <w:p w14:paraId="4179858A" w14:textId="77777777" w:rsidR="00FA0AA4" w:rsidRPr="00C1423F" w:rsidRDefault="00FA0AA4" w:rsidP="006A1A4E">
            <w:pPr>
              <w:jc w:val="center"/>
              <w:rPr>
                <w:lang w:val="en-US"/>
              </w:rPr>
            </w:pPr>
            <w:r w:rsidRPr="00C1423F">
              <w:rPr>
                <w:lang w:val="en-US"/>
              </w:rPr>
              <w:t>29.3</w:t>
            </w:r>
          </w:p>
        </w:tc>
        <w:tc>
          <w:tcPr>
            <w:tcW w:w="1227" w:type="dxa"/>
            <w:shd w:val="clear" w:color="auto" w:fill="auto"/>
          </w:tcPr>
          <w:p w14:paraId="6E04CF4E" w14:textId="77777777" w:rsidR="00FA0AA4" w:rsidRPr="00C1423F" w:rsidRDefault="00FA0AA4" w:rsidP="006A1A4E">
            <w:pPr>
              <w:jc w:val="center"/>
              <w:rPr>
                <w:lang w:val="en-US"/>
              </w:rPr>
            </w:pPr>
            <w:r w:rsidRPr="00C1423F">
              <w:rPr>
                <w:lang w:val="en-US"/>
              </w:rPr>
              <w:t>9.7</w:t>
            </w:r>
          </w:p>
        </w:tc>
        <w:tc>
          <w:tcPr>
            <w:tcW w:w="1227" w:type="dxa"/>
            <w:shd w:val="clear" w:color="auto" w:fill="auto"/>
          </w:tcPr>
          <w:p w14:paraId="4991CAD0" w14:textId="77777777" w:rsidR="00FA0AA4" w:rsidRPr="00C1423F" w:rsidRDefault="00FA0AA4" w:rsidP="006A1A4E">
            <w:pPr>
              <w:jc w:val="center"/>
              <w:rPr>
                <w:lang w:val="en-US"/>
              </w:rPr>
            </w:pPr>
            <w:r w:rsidRPr="00C1423F">
              <w:rPr>
                <w:lang w:val="en-US"/>
              </w:rPr>
              <w:t>22.5</w:t>
            </w:r>
          </w:p>
        </w:tc>
        <w:tc>
          <w:tcPr>
            <w:tcW w:w="1227" w:type="dxa"/>
          </w:tcPr>
          <w:p w14:paraId="791E618E" w14:textId="77777777" w:rsidR="00FA0AA4" w:rsidRPr="00C1423F" w:rsidRDefault="00FA0AA4" w:rsidP="006A1A4E">
            <w:pPr>
              <w:jc w:val="center"/>
              <w:rPr>
                <w:lang w:val="en-US"/>
              </w:rPr>
            </w:pPr>
            <w:r w:rsidRPr="00C1423F">
              <w:rPr>
                <w:lang w:val="en-US"/>
              </w:rPr>
              <w:t>8.2</w:t>
            </w:r>
          </w:p>
        </w:tc>
      </w:tr>
      <w:tr w:rsidR="00FA0AA4" w:rsidRPr="00C1423F" w14:paraId="07628768" w14:textId="77777777" w:rsidTr="006A1A4E">
        <w:trPr>
          <w:jc w:val="center"/>
        </w:trPr>
        <w:tc>
          <w:tcPr>
            <w:tcW w:w="947" w:type="dxa"/>
            <w:tcBorders>
              <w:right w:val="single" w:sz="6" w:space="0" w:color="000000"/>
            </w:tcBorders>
            <w:shd w:val="clear" w:color="auto" w:fill="auto"/>
          </w:tcPr>
          <w:p w14:paraId="706F8445" w14:textId="77777777" w:rsidR="00FA0AA4" w:rsidRPr="00C1423F" w:rsidRDefault="00FA0AA4" w:rsidP="006A1A4E">
            <w:pPr>
              <w:rPr>
                <w:lang w:val="en-US"/>
              </w:rPr>
            </w:pPr>
            <w:r w:rsidRPr="00C1423F">
              <w:rPr>
                <w:lang w:val="en-US"/>
              </w:rPr>
              <w:t>2012</w:t>
            </w:r>
          </w:p>
        </w:tc>
        <w:tc>
          <w:tcPr>
            <w:tcW w:w="1047" w:type="dxa"/>
            <w:tcBorders>
              <w:left w:val="single" w:sz="6" w:space="0" w:color="000000"/>
            </w:tcBorders>
            <w:shd w:val="clear" w:color="auto" w:fill="auto"/>
          </w:tcPr>
          <w:p w14:paraId="013248CD" w14:textId="77777777" w:rsidR="00FA0AA4" w:rsidRPr="00C1423F" w:rsidRDefault="00FA0AA4" w:rsidP="006A1A4E">
            <w:pPr>
              <w:jc w:val="center"/>
              <w:rPr>
                <w:lang w:val="en-US"/>
              </w:rPr>
            </w:pPr>
            <w:r w:rsidRPr="00C1423F">
              <w:rPr>
                <w:lang w:val="en-US"/>
              </w:rPr>
              <w:t>29.5</w:t>
            </w:r>
          </w:p>
        </w:tc>
        <w:tc>
          <w:tcPr>
            <w:tcW w:w="1227" w:type="dxa"/>
            <w:shd w:val="clear" w:color="auto" w:fill="auto"/>
          </w:tcPr>
          <w:p w14:paraId="011F8C29" w14:textId="77777777" w:rsidR="00FA0AA4" w:rsidRPr="00C1423F" w:rsidRDefault="00FA0AA4" w:rsidP="006A1A4E">
            <w:pPr>
              <w:jc w:val="center"/>
              <w:rPr>
                <w:lang w:val="en-US"/>
              </w:rPr>
            </w:pPr>
            <w:r w:rsidRPr="00C1423F">
              <w:rPr>
                <w:lang w:val="en-US"/>
              </w:rPr>
              <w:t>10.0</w:t>
            </w:r>
          </w:p>
        </w:tc>
        <w:tc>
          <w:tcPr>
            <w:tcW w:w="1227" w:type="dxa"/>
            <w:shd w:val="clear" w:color="auto" w:fill="auto"/>
          </w:tcPr>
          <w:p w14:paraId="3250B067" w14:textId="77777777" w:rsidR="00FA0AA4" w:rsidRPr="00C1423F" w:rsidRDefault="00FA0AA4" w:rsidP="006A1A4E">
            <w:pPr>
              <w:jc w:val="center"/>
              <w:rPr>
                <w:lang w:val="en-US"/>
              </w:rPr>
            </w:pPr>
            <w:r w:rsidRPr="00C1423F">
              <w:rPr>
                <w:lang w:val="en-US"/>
              </w:rPr>
              <w:t>23.3</w:t>
            </w:r>
          </w:p>
        </w:tc>
        <w:tc>
          <w:tcPr>
            <w:tcW w:w="1227" w:type="dxa"/>
          </w:tcPr>
          <w:p w14:paraId="5C8C2489" w14:textId="77777777" w:rsidR="00FA0AA4" w:rsidRPr="00C1423F" w:rsidRDefault="00FA0AA4" w:rsidP="006A1A4E">
            <w:pPr>
              <w:jc w:val="center"/>
              <w:rPr>
                <w:lang w:val="en-US"/>
              </w:rPr>
            </w:pPr>
            <w:r w:rsidRPr="00C1423F">
              <w:rPr>
                <w:lang w:val="en-US"/>
              </w:rPr>
              <w:t>9.2</w:t>
            </w:r>
          </w:p>
        </w:tc>
      </w:tr>
      <w:tr w:rsidR="00FA0AA4" w:rsidRPr="00C1423F" w14:paraId="21FEAA9E" w14:textId="77777777" w:rsidTr="006A1A4E">
        <w:trPr>
          <w:jc w:val="center"/>
        </w:trPr>
        <w:tc>
          <w:tcPr>
            <w:tcW w:w="947" w:type="dxa"/>
            <w:tcBorders>
              <w:right w:val="single" w:sz="6" w:space="0" w:color="000000"/>
            </w:tcBorders>
            <w:shd w:val="clear" w:color="auto" w:fill="auto"/>
          </w:tcPr>
          <w:p w14:paraId="69F164AA" w14:textId="77777777" w:rsidR="00FA0AA4" w:rsidRPr="00C1423F" w:rsidRDefault="00FA0AA4" w:rsidP="006A1A4E">
            <w:pPr>
              <w:rPr>
                <w:lang w:val="en-US"/>
              </w:rPr>
            </w:pPr>
            <w:r w:rsidRPr="00C1423F">
              <w:rPr>
                <w:lang w:val="en-US"/>
              </w:rPr>
              <w:t>2013</w:t>
            </w:r>
          </w:p>
        </w:tc>
        <w:tc>
          <w:tcPr>
            <w:tcW w:w="1047" w:type="dxa"/>
            <w:tcBorders>
              <w:left w:val="single" w:sz="6" w:space="0" w:color="000000"/>
            </w:tcBorders>
            <w:shd w:val="clear" w:color="auto" w:fill="auto"/>
          </w:tcPr>
          <w:p w14:paraId="6CAFBD53" w14:textId="77777777" w:rsidR="00FA0AA4" w:rsidRPr="00C1423F" w:rsidRDefault="00FA0AA4" w:rsidP="006A1A4E">
            <w:pPr>
              <w:jc w:val="center"/>
              <w:rPr>
                <w:lang w:val="en-US"/>
              </w:rPr>
            </w:pPr>
            <w:r w:rsidRPr="00C1423F">
              <w:rPr>
                <w:lang w:val="en-US"/>
              </w:rPr>
              <w:t>29.7</w:t>
            </w:r>
          </w:p>
        </w:tc>
        <w:tc>
          <w:tcPr>
            <w:tcW w:w="1227" w:type="dxa"/>
            <w:shd w:val="clear" w:color="auto" w:fill="auto"/>
          </w:tcPr>
          <w:p w14:paraId="2CFF04C0" w14:textId="77777777" w:rsidR="00FA0AA4" w:rsidRPr="00C1423F" w:rsidRDefault="00FA0AA4" w:rsidP="006A1A4E">
            <w:pPr>
              <w:jc w:val="center"/>
              <w:rPr>
                <w:lang w:val="en-US"/>
              </w:rPr>
            </w:pPr>
            <w:r w:rsidRPr="00C1423F">
              <w:rPr>
                <w:lang w:val="en-US"/>
              </w:rPr>
              <w:t>10.4</w:t>
            </w:r>
          </w:p>
        </w:tc>
        <w:tc>
          <w:tcPr>
            <w:tcW w:w="1227" w:type="dxa"/>
            <w:shd w:val="clear" w:color="auto" w:fill="auto"/>
          </w:tcPr>
          <w:p w14:paraId="4E660D4B" w14:textId="77777777" w:rsidR="00FA0AA4" w:rsidRPr="00C1423F" w:rsidRDefault="00FA0AA4" w:rsidP="006A1A4E">
            <w:pPr>
              <w:jc w:val="center"/>
              <w:rPr>
                <w:lang w:val="en-US"/>
              </w:rPr>
            </w:pPr>
            <w:r w:rsidRPr="00C1423F">
              <w:rPr>
                <w:lang w:val="en-US"/>
              </w:rPr>
              <w:t>23.5</w:t>
            </w:r>
          </w:p>
        </w:tc>
        <w:tc>
          <w:tcPr>
            <w:tcW w:w="1227" w:type="dxa"/>
          </w:tcPr>
          <w:p w14:paraId="3C18E464" w14:textId="77777777" w:rsidR="00FA0AA4" w:rsidRPr="00C1423F" w:rsidRDefault="00FA0AA4" w:rsidP="006A1A4E">
            <w:pPr>
              <w:jc w:val="center"/>
              <w:rPr>
                <w:lang w:val="en-US"/>
              </w:rPr>
            </w:pPr>
            <w:r w:rsidRPr="00C1423F">
              <w:rPr>
                <w:lang w:val="en-US"/>
              </w:rPr>
              <w:t>8.9</w:t>
            </w:r>
          </w:p>
        </w:tc>
      </w:tr>
      <w:tr w:rsidR="00FA0AA4" w:rsidRPr="00C1423F" w14:paraId="5354EB27" w14:textId="77777777" w:rsidTr="006A1A4E">
        <w:trPr>
          <w:jc w:val="center"/>
        </w:trPr>
        <w:tc>
          <w:tcPr>
            <w:tcW w:w="947" w:type="dxa"/>
            <w:tcBorders>
              <w:right w:val="single" w:sz="6" w:space="0" w:color="000000"/>
            </w:tcBorders>
            <w:shd w:val="clear" w:color="auto" w:fill="auto"/>
          </w:tcPr>
          <w:p w14:paraId="41E44484" w14:textId="77777777" w:rsidR="00FA0AA4" w:rsidRPr="00C1423F" w:rsidRDefault="00FA0AA4" w:rsidP="006A1A4E">
            <w:pPr>
              <w:rPr>
                <w:lang w:val="en-US"/>
              </w:rPr>
            </w:pPr>
            <w:r w:rsidRPr="00C1423F">
              <w:rPr>
                <w:lang w:val="en-US"/>
              </w:rPr>
              <w:t>2014</w:t>
            </w:r>
          </w:p>
        </w:tc>
        <w:tc>
          <w:tcPr>
            <w:tcW w:w="1047" w:type="dxa"/>
            <w:tcBorders>
              <w:left w:val="single" w:sz="6" w:space="0" w:color="000000"/>
            </w:tcBorders>
            <w:shd w:val="clear" w:color="auto" w:fill="auto"/>
          </w:tcPr>
          <w:p w14:paraId="6D2562FA" w14:textId="77777777" w:rsidR="00FA0AA4" w:rsidRPr="00C1423F" w:rsidRDefault="00FA0AA4" w:rsidP="006A1A4E">
            <w:pPr>
              <w:jc w:val="center"/>
              <w:rPr>
                <w:lang w:val="en-US"/>
              </w:rPr>
            </w:pPr>
            <w:r w:rsidRPr="00C1423F">
              <w:rPr>
                <w:lang w:val="en-US"/>
              </w:rPr>
              <w:t>30.2</w:t>
            </w:r>
          </w:p>
        </w:tc>
        <w:tc>
          <w:tcPr>
            <w:tcW w:w="1227" w:type="dxa"/>
            <w:shd w:val="clear" w:color="auto" w:fill="auto"/>
          </w:tcPr>
          <w:p w14:paraId="4E5307A8" w14:textId="77777777" w:rsidR="00FA0AA4" w:rsidRPr="00C1423F" w:rsidRDefault="00FA0AA4" w:rsidP="006A1A4E">
            <w:pPr>
              <w:jc w:val="center"/>
              <w:rPr>
                <w:lang w:val="en-US"/>
              </w:rPr>
            </w:pPr>
            <w:r w:rsidRPr="00C1423F">
              <w:rPr>
                <w:lang w:val="en-US"/>
              </w:rPr>
              <w:t>10.9</w:t>
            </w:r>
          </w:p>
        </w:tc>
        <w:tc>
          <w:tcPr>
            <w:tcW w:w="1227" w:type="dxa"/>
            <w:shd w:val="clear" w:color="auto" w:fill="auto"/>
          </w:tcPr>
          <w:p w14:paraId="6259952A" w14:textId="77777777" w:rsidR="00FA0AA4" w:rsidRPr="00C1423F" w:rsidRDefault="00FA0AA4" w:rsidP="006A1A4E">
            <w:pPr>
              <w:jc w:val="center"/>
              <w:rPr>
                <w:lang w:val="en-US"/>
              </w:rPr>
            </w:pPr>
            <w:r w:rsidRPr="00C1423F">
              <w:rPr>
                <w:lang w:val="en-US"/>
              </w:rPr>
              <w:t>24.3</w:t>
            </w:r>
          </w:p>
        </w:tc>
        <w:tc>
          <w:tcPr>
            <w:tcW w:w="1227" w:type="dxa"/>
          </w:tcPr>
          <w:p w14:paraId="21BC63FF" w14:textId="77777777" w:rsidR="00FA0AA4" w:rsidRPr="00C1423F" w:rsidRDefault="00FA0AA4" w:rsidP="006A1A4E">
            <w:pPr>
              <w:jc w:val="center"/>
              <w:rPr>
                <w:lang w:val="en-US"/>
              </w:rPr>
            </w:pPr>
            <w:r w:rsidRPr="00C1423F">
              <w:rPr>
                <w:lang w:val="en-US"/>
              </w:rPr>
              <w:t>9.5</w:t>
            </w:r>
          </w:p>
        </w:tc>
      </w:tr>
      <w:tr w:rsidR="00FA0AA4" w:rsidRPr="00C1423F" w14:paraId="463E78FA" w14:textId="77777777" w:rsidTr="006A1A4E">
        <w:trPr>
          <w:jc w:val="center"/>
        </w:trPr>
        <w:tc>
          <w:tcPr>
            <w:tcW w:w="947" w:type="dxa"/>
            <w:tcBorders>
              <w:right w:val="single" w:sz="6" w:space="0" w:color="000000"/>
            </w:tcBorders>
            <w:shd w:val="clear" w:color="auto" w:fill="auto"/>
          </w:tcPr>
          <w:p w14:paraId="7BCE15E0" w14:textId="77777777" w:rsidR="00FA0AA4" w:rsidRPr="00C1423F" w:rsidRDefault="00FA0AA4" w:rsidP="006A1A4E">
            <w:pPr>
              <w:rPr>
                <w:lang w:val="en-US"/>
              </w:rPr>
            </w:pPr>
            <w:r w:rsidRPr="00C1423F">
              <w:rPr>
                <w:lang w:val="en-US"/>
              </w:rPr>
              <w:t>2015</w:t>
            </w:r>
          </w:p>
        </w:tc>
        <w:tc>
          <w:tcPr>
            <w:tcW w:w="1047" w:type="dxa"/>
            <w:tcBorders>
              <w:left w:val="single" w:sz="6" w:space="0" w:color="000000"/>
            </w:tcBorders>
            <w:shd w:val="clear" w:color="auto" w:fill="auto"/>
          </w:tcPr>
          <w:p w14:paraId="2C2A22FE" w14:textId="77777777" w:rsidR="00FA0AA4" w:rsidRPr="00C1423F" w:rsidRDefault="00FA0AA4" w:rsidP="006A1A4E">
            <w:pPr>
              <w:jc w:val="center"/>
              <w:rPr>
                <w:lang w:val="en-US"/>
              </w:rPr>
            </w:pPr>
            <w:r w:rsidRPr="00C1423F">
              <w:rPr>
                <w:lang w:val="en-US"/>
              </w:rPr>
              <w:t>30.2</w:t>
            </w:r>
          </w:p>
        </w:tc>
        <w:tc>
          <w:tcPr>
            <w:tcW w:w="1227" w:type="dxa"/>
            <w:shd w:val="clear" w:color="auto" w:fill="auto"/>
          </w:tcPr>
          <w:p w14:paraId="678D4469" w14:textId="77777777" w:rsidR="00FA0AA4" w:rsidRPr="00C1423F" w:rsidRDefault="00FA0AA4" w:rsidP="006A1A4E">
            <w:pPr>
              <w:jc w:val="center"/>
              <w:rPr>
                <w:lang w:val="en-US"/>
              </w:rPr>
            </w:pPr>
            <w:r w:rsidRPr="00C1423F">
              <w:rPr>
                <w:lang w:val="en-US"/>
              </w:rPr>
              <w:t>11.4</w:t>
            </w:r>
          </w:p>
        </w:tc>
        <w:tc>
          <w:tcPr>
            <w:tcW w:w="1227" w:type="dxa"/>
            <w:shd w:val="clear" w:color="auto" w:fill="auto"/>
          </w:tcPr>
          <w:p w14:paraId="31865DB1" w14:textId="77777777" w:rsidR="00FA0AA4" w:rsidRPr="00C1423F" w:rsidRDefault="00FA0AA4" w:rsidP="006A1A4E">
            <w:pPr>
              <w:jc w:val="center"/>
              <w:rPr>
                <w:lang w:val="en-US"/>
              </w:rPr>
            </w:pPr>
            <w:r w:rsidRPr="00C1423F">
              <w:rPr>
                <w:lang w:val="en-US"/>
              </w:rPr>
              <w:t>24.3</w:t>
            </w:r>
          </w:p>
        </w:tc>
        <w:tc>
          <w:tcPr>
            <w:tcW w:w="1227" w:type="dxa"/>
          </w:tcPr>
          <w:p w14:paraId="0AC51836" w14:textId="77777777" w:rsidR="00FA0AA4" w:rsidRPr="00C1423F" w:rsidRDefault="00FA0AA4" w:rsidP="006A1A4E">
            <w:pPr>
              <w:jc w:val="center"/>
              <w:rPr>
                <w:lang w:val="en-US"/>
              </w:rPr>
            </w:pPr>
            <w:r w:rsidRPr="00C1423F">
              <w:rPr>
                <w:lang w:val="en-US"/>
              </w:rPr>
              <w:t>10.3</w:t>
            </w:r>
          </w:p>
        </w:tc>
      </w:tr>
      <w:tr w:rsidR="00FA0AA4" w:rsidRPr="00C1423F" w14:paraId="25F800BD" w14:textId="77777777" w:rsidTr="006A1A4E">
        <w:trPr>
          <w:jc w:val="center"/>
        </w:trPr>
        <w:tc>
          <w:tcPr>
            <w:tcW w:w="947" w:type="dxa"/>
            <w:tcBorders>
              <w:right w:val="single" w:sz="6" w:space="0" w:color="000000"/>
            </w:tcBorders>
            <w:shd w:val="clear" w:color="auto" w:fill="auto"/>
          </w:tcPr>
          <w:p w14:paraId="65B3F2D9" w14:textId="77777777" w:rsidR="00FA0AA4" w:rsidRPr="00C1423F" w:rsidRDefault="00FA0AA4" w:rsidP="006A1A4E">
            <w:pPr>
              <w:rPr>
                <w:lang w:val="en-US"/>
              </w:rPr>
            </w:pPr>
            <w:r w:rsidRPr="00C1423F">
              <w:rPr>
                <w:lang w:val="en-US"/>
              </w:rPr>
              <w:t>2016</w:t>
            </w:r>
          </w:p>
        </w:tc>
        <w:tc>
          <w:tcPr>
            <w:tcW w:w="1047" w:type="dxa"/>
            <w:tcBorders>
              <w:left w:val="single" w:sz="6" w:space="0" w:color="000000"/>
            </w:tcBorders>
            <w:shd w:val="clear" w:color="auto" w:fill="auto"/>
          </w:tcPr>
          <w:p w14:paraId="43785B7A" w14:textId="77777777" w:rsidR="00FA0AA4" w:rsidRPr="00C1423F" w:rsidRDefault="00FA0AA4" w:rsidP="006A1A4E">
            <w:pPr>
              <w:jc w:val="center"/>
              <w:rPr>
                <w:lang w:val="en-US"/>
              </w:rPr>
            </w:pPr>
            <w:r w:rsidRPr="00C1423F">
              <w:rPr>
                <w:lang w:val="en-US"/>
              </w:rPr>
              <w:t>30.2</w:t>
            </w:r>
          </w:p>
        </w:tc>
        <w:tc>
          <w:tcPr>
            <w:tcW w:w="1227" w:type="dxa"/>
            <w:shd w:val="clear" w:color="auto" w:fill="auto"/>
          </w:tcPr>
          <w:p w14:paraId="7B5A3FB1" w14:textId="77777777" w:rsidR="00FA0AA4" w:rsidRPr="00C1423F" w:rsidRDefault="00FA0AA4" w:rsidP="006A1A4E">
            <w:pPr>
              <w:jc w:val="center"/>
              <w:rPr>
                <w:lang w:val="en-US"/>
              </w:rPr>
            </w:pPr>
            <w:r w:rsidRPr="00C1423F">
              <w:rPr>
                <w:lang w:val="en-US"/>
              </w:rPr>
              <w:t>12.4</w:t>
            </w:r>
          </w:p>
        </w:tc>
        <w:tc>
          <w:tcPr>
            <w:tcW w:w="1227" w:type="dxa"/>
            <w:shd w:val="clear" w:color="auto" w:fill="auto"/>
          </w:tcPr>
          <w:p w14:paraId="504A6A7A" w14:textId="77777777" w:rsidR="00FA0AA4" w:rsidRPr="00C1423F" w:rsidRDefault="00FA0AA4" w:rsidP="006A1A4E">
            <w:pPr>
              <w:jc w:val="center"/>
              <w:rPr>
                <w:lang w:val="en-US"/>
              </w:rPr>
            </w:pPr>
            <w:r w:rsidRPr="00C1423F">
              <w:rPr>
                <w:lang w:val="en-US"/>
              </w:rPr>
              <w:t>25.2</w:t>
            </w:r>
          </w:p>
        </w:tc>
        <w:tc>
          <w:tcPr>
            <w:tcW w:w="1227" w:type="dxa"/>
          </w:tcPr>
          <w:p w14:paraId="51E3A9DA" w14:textId="77777777" w:rsidR="00FA0AA4" w:rsidRPr="00C1423F" w:rsidRDefault="00FA0AA4" w:rsidP="006A1A4E">
            <w:pPr>
              <w:jc w:val="center"/>
              <w:rPr>
                <w:lang w:val="en-US"/>
              </w:rPr>
            </w:pPr>
            <w:r w:rsidRPr="00C1423F">
              <w:rPr>
                <w:lang w:val="en-US"/>
              </w:rPr>
              <w:t>10.7</w:t>
            </w:r>
          </w:p>
        </w:tc>
      </w:tr>
      <w:tr w:rsidR="00FA0AA4" w:rsidRPr="00C1423F" w14:paraId="2DB5EBB0" w14:textId="77777777" w:rsidTr="006A1A4E">
        <w:trPr>
          <w:jc w:val="center"/>
        </w:trPr>
        <w:tc>
          <w:tcPr>
            <w:tcW w:w="947" w:type="dxa"/>
            <w:tcBorders>
              <w:right w:val="single" w:sz="6" w:space="0" w:color="000000"/>
            </w:tcBorders>
            <w:shd w:val="clear" w:color="auto" w:fill="auto"/>
          </w:tcPr>
          <w:p w14:paraId="364125C2" w14:textId="77777777" w:rsidR="00FA0AA4" w:rsidRPr="00C1423F" w:rsidRDefault="00FA0AA4" w:rsidP="006A1A4E">
            <w:pPr>
              <w:rPr>
                <w:lang w:val="en-US"/>
              </w:rPr>
            </w:pPr>
            <w:r w:rsidRPr="00C1423F">
              <w:rPr>
                <w:lang w:val="en-US"/>
              </w:rPr>
              <w:t>2017</w:t>
            </w:r>
          </w:p>
        </w:tc>
        <w:tc>
          <w:tcPr>
            <w:tcW w:w="1047" w:type="dxa"/>
            <w:tcBorders>
              <w:left w:val="single" w:sz="6" w:space="0" w:color="000000"/>
            </w:tcBorders>
            <w:shd w:val="clear" w:color="auto" w:fill="auto"/>
          </w:tcPr>
          <w:p w14:paraId="7C5247CF" w14:textId="77777777" w:rsidR="00FA0AA4" w:rsidRPr="00C1423F" w:rsidRDefault="00FA0AA4" w:rsidP="006A1A4E">
            <w:pPr>
              <w:jc w:val="center"/>
              <w:rPr>
                <w:lang w:val="en-US"/>
              </w:rPr>
            </w:pPr>
            <w:r w:rsidRPr="00C1423F">
              <w:rPr>
                <w:lang w:val="en-US"/>
              </w:rPr>
              <w:t>30.5</w:t>
            </w:r>
          </w:p>
        </w:tc>
        <w:tc>
          <w:tcPr>
            <w:tcW w:w="1227" w:type="dxa"/>
            <w:shd w:val="clear" w:color="auto" w:fill="auto"/>
          </w:tcPr>
          <w:p w14:paraId="7B99C336" w14:textId="77777777" w:rsidR="00FA0AA4" w:rsidRPr="00C1423F" w:rsidRDefault="00FA0AA4" w:rsidP="006A1A4E">
            <w:pPr>
              <w:jc w:val="center"/>
              <w:rPr>
                <w:lang w:val="en-US"/>
              </w:rPr>
            </w:pPr>
            <w:r w:rsidRPr="00C1423F">
              <w:rPr>
                <w:lang w:val="en-US"/>
              </w:rPr>
              <w:t>13.3</w:t>
            </w:r>
          </w:p>
        </w:tc>
        <w:tc>
          <w:tcPr>
            <w:tcW w:w="1227" w:type="dxa"/>
            <w:shd w:val="clear" w:color="auto" w:fill="auto"/>
          </w:tcPr>
          <w:p w14:paraId="54E2E7ED" w14:textId="77777777" w:rsidR="00FA0AA4" w:rsidRPr="00C1423F" w:rsidRDefault="00FA0AA4" w:rsidP="006A1A4E">
            <w:pPr>
              <w:jc w:val="center"/>
              <w:rPr>
                <w:lang w:val="en-US"/>
              </w:rPr>
            </w:pPr>
            <w:r w:rsidRPr="00C1423F">
              <w:rPr>
                <w:lang w:val="en-US"/>
              </w:rPr>
              <w:t>25.7</w:t>
            </w:r>
          </w:p>
        </w:tc>
        <w:tc>
          <w:tcPr>
            <w:tcW w:w="1227" w:type="dxa"/>
          </w:tcPr>
          <w:p w14:paraId="1FE84BF0" w14:textId="77777777" w:rsidR="00FA0AA4" w:rsidRPr="00C1423F" w:rsidRDefault="00FA0AA4" w:rsidP="006A1A4E">
            <w:pPr>
              <w:jc w:val="center"/>
              <w:rPr>
                <w:lang w:val="en-US"/>
              </w:rPr>
            </w:pPr>
            <w:r w:rsidRPr="00C1423F">
              <w:rPr>
                <w:lang w:val="en-US"/>
              </w:rPr>
              <w:t>11.6</w:t>
            </w:r>
          </w:p>
        </w:tc>
      </w:tr>
      <w:tr w:rsidR="00FA0AA4" w:rsidRPr="00C1423F" w14:paraId="48F33E04" w14:textId="77777777" w:rsidTr="006A1A4E">
        <w:trPr>
          <w:jc w:val="center"/>
        </w:trPr>
        <w:tc>
          <w:tcPr>
            <w:tcW w:w="947" w:type="dxa"/>
            <w:tcBorders>
              <w:right w:val="single" w:sz="6" w:space="0" w:color="000000"/>
            </w:tcBorders>
            <w:shd w:val="clear" w:color="auto" w:fill="auto"/>
          </w:tcPr>
          <w:p w14:paraId="371F8CF0" w14:textId="77777777" w:rsidR="00FA0AA4" w:rsidRPr="00C1423F" w:rsidRDefault="00FA0AA4" w:rsidP="006A1A4E">
            <w:pPr>
              <w:rPr>
                <w:lang w:val="en-US"/>
              </w:rPr>
            </w:pPr>
            <w:r w:rsidRPr="00C1423F">
              <w:rPr>
                <w:lang w:val="en-US"/>
              </w:rPr>
              <w:t>2018</w:t>
            </w:r>
          </w:p>
        </w:tc>
        <w:tc>
          <w:tcPr>
            <w:tcW w:w="1047" w:type="dxa"/>
            <w:tcBorders>
              <w:left w:val="single" w:sz="6" w:space="0" w:color="000000"/>
            </w:tcBorders>
            <w:shd w:val="clear" w:color="auto" w:fill="auto"/>
          </w:tcPr>
          <w:p w14:paraId="506EB066" w14:textId="77777777" w:rsidR="00FA0AA4" w:rsidRPr="00C1423F" w:rsidRDefault="00FA0AA4" w:rsidP="006A1A4E">
            <w:pPr>
              <w:jc w:val="center"/>
              <w:rPr>
                <w:lang w:val="en-US"/>
              </w:rPr>
            </w:pPr>
            <w:r w:rsidRPr="00C1423F">
              <w:rPr>
                <w:lang w:val="en-US"/>
              </w:rPr>
              <w:t>30.4</w:t>
            </w:r>
          </w:p>
        </w:tc>
        <w:tc>
          <w:tcPr>
            <w:tcW w:w="1227" w:type="dxa"/>
            <w:shd w:val="clear" w:color="auto" w:fill="auto"/>
          </w:tcPr>
          <w:p w14:paraId="41721165" w14:textId="77777777" w:rsidR="00FA0AA4" w:rsidRPr="00C1423F" w:rsidRDefault="00FA0AA4" w:rsidP="006A1A4E">
            <w:pPr>
              <w:jc w:val="center"/>
              <w:rPr>
                <w:lang w:val="en-US"/>
              </w:rPr>
            </w:pPr>
            <w:r w:rsidRPr="00C1423F">
              <w:rPr>
                <w:lang w:val="en-US"/>
              </w:rPr>
              <w:t>14.1</w:t>
            </w:r>
          </w:p>
        </w:tc>
        <w:tc>
          <w:tcPr>
            <w:tcW w:w="1227" w:type="dxa"/>
            <w:shd w:val="clear" w:color="auto" w:fill="auto"/>
          </w:tcPr>
          <w:p w14:paraId="50122F73" w14:textId="77777777" w:rsidR="00FA0AA4" w:rsidRPr="00C1423F" w:rsidRDefault="00FA0AA4" w:rsidP="006A1A4E">
            <w:pPr>
              <w:jc w:val="center"/>
              <w:rPr>
                <w:lang w:val="en-US"/>
              </w:rPr>
            </w:pPr>
            <w:r w:rsidRPr="00C1423F">
              <w:rPr>
                <w:lang w:val="en-US"/>
              </w:rPr>
              <w:t>26.2</w:t>
            </w:r>
          </w:p>
        </w:tc>
        <w:tc>
          <w:tcPr>
            <w:tcW w:w="1227" w:type="dxa"/>
          </w:tcPr>
          <w:p w14:paraId="64B32DDC" w14:textId="77777777" w:rsidR="00FA0AA4" w:rsidRPr="00C1423F" w:rsidRDefault="00FA0AA4" w:rsidP="006A1A4E">
            <w:pPr>
              <w:jc w:val="center"/>
              <w:rPr>
                <w:lang w:val="en-US"/>
              </w:rPr>
            </w:pPr>
            <w:r w:rsidRPr="00C1423F">
              <w:rPr>
                <w:lang w:val="en-US"/>
              </w:rPr>
              <w:t>12.5</w:t>
            </w:r>
          </w:p>
        </w:tc>
      </w:tr>
      <w:tr w:rsidR="00FA0AA4" w:rsidRPr="00C1423F" w14:paraId="09748CFD" w14:textId="77777777" w:rsidTr="006A1A4E">
        <w:trPr>
          <w:jc w:val="center"/>
        </w:trPr>
        <w:tc>
          <w:tcPr>
            <w:tcW w:w="947" w:type="dxa"/>
            <w:tcBorders>
              <w:right w:val="single" w:sz="6" w:space="0" w:color="000000"/>
            </w:tcBorders>
            <w:shd w:val="clear" w:color="auto" w:fill="auto"/>
          </w:tcPr>
          <w:p w14:paraId="369F0B47" w14:textId="77777777" w:rsidR="00FA0AA4" w:rsidRPr="00C1423F" w:rsidRDefault="00FA0AA4" w:rsidP="006A1A4E">
            <w:pPr>
              <w:rPr>
                <w:lang w:val="en-US"/>
              </w:rPr>
            </w:pPr>
            <w:r w:rsidRPr="00C1423F">
              <w:rPr>
                <w:lang w:val="en-US"/>
              </w:rPr>
              <w:t>2019</w:t>
            </w:r>
          </w:p>
        </w:tc>
        <w:tc>
          <w:tcPr>
            <w:tcW w:w="1047" w:type="dxa"/>
            <w:tcBorders>
              <w:left w:val="single" w:sz="6" w:space="0" w:color="000000"/>
            </w:tcBorders>
            <w:shd w:val="clear" w:color="auto" w:fill="auto"/>
          </w:tcPr>
          <w:p w14:paraId="0E8064E2" w14:textId="77777777" w:rsidR="00FA0AA4" w:rsidRPr="00C1423F" w:rsidRDefault="00FA0AA4" w:rsidP="006A1A4E">
            <w:pPr>
              <w:jc w:val="center"/>
              <w:rPr>
                <w:lang w:val="en-US"/>
              </w:rPr>
            </w:pPr>
            <w:r w:rsidRPr="00C1423F">
              <w:rPr>
                <w:lang w:val="en-US"/>
              </w:rPr>
              <w:t>30.5</w:t>
            </w:r>
          </w:p>
        </w:tc>
        <w:tc>
          <w:tcPr>
            <w:tcW w:w="1227" w:type="dxa"/>
            <w:shd w:val="clear" w:color="auto" w:fill="auto"/>
          </w:tcPr>
          <w:p w14:paraId="6EAAED84" w14:textId="77777777" w:rsidR="00FA0AA4" w:rsidRPr="00C1423F" w:rsidRDefault="00FA0AA4" w:rsidP="006A1A4E">
            <w:pPr>
              <w:jc w:val="center"/>
              <w:rPr>
                <w:lang w:val="en-US"/>
              </w:rPr>
            </w:pPr>
            <w:r w:rsidRPr="00C1423F">
              <w:rPr>
                <w:lang w:val="en-US"/>
              </w:rPr>
              <w:t>15.4</w:t>
            </w:r>
          </w:p>
        </w:tc>
        <w:tc>
          <w:tcPr>
            <w:tcW w:w="1227" w:type="dxa"/>
            <w:shd w:val="clear" w:color="auto" w:fill="auto"/>
          </w:tcPr>
          <w:p w14:paraId="2E66E2BB" w14:textId="77777777" w:rsidR="00FA0AA4" w:rsidRPr="00C1423F" w:rsidRDefault="00FA0AA4" w:rsidP="006A1A4E">
            <w:pPr>
              <w:jc w:val="center"/>
              <w:rPr>
                <w:lang w:val="en-US"/>
              </w:rPr>
            </w:pPr>
            <w:r w:rsidRPr="00C1423F">
              <w:rPr>
                <w:lang w:val="en-US"/>
              </w:rPr>
              <w:t>26.3</w:t>
            </w:r>
          </w:p>
        </w:tc>
        <w:tc>
          <w:tcPr>
            <w:tcW w:w="1227" w:type="dxa"/>
          </w:tcPr>
          <w:p w14:paraId="3C14EA7D" w14:textId="77777777" w:rsidR="00FA0AA4" w:rsidRPr="00C1423F" w:rsidRDefault="00FA0AA4" w:rsidP="006A1A4E">
            <w:pPr>
              <w:jc w:val="center"/>
              <w:rPr>
                <w:lang w:val="en-US"/>
              </w:rPr>
            </w:pPr>
            <w:r w:rsidRPr="00C1423F">
              <w:rPr>
                <w:lang w:val="en-US"/>
              </w:rPr>
              <w:t>13.2</w:t>
            </w:r>
          </w:p>
        </w:tc>
      </w:tr>
      <w:tr w:rsidR="00FA0AA4" w:rsidRPr="00C1423F" w14:paraId="77856DB0" w14:textId="77777777" w:rsidTr="006A1A4E">
        <w:trPr>
          <w:jc w:val="center"/>
        </w:trPr>
        <w:tc>
          <w:tcPr>
            <w:tcW w:w="947" w:type="dxa"/>
            <w:tcBorders>
              <w:right w:val="single" w:sz="6" w:space="0" w:color="000000"/>
            </w:tcBorders>
            <w:shd w:val="clear" w:color="auto" w:fill="auto"/>
          </w:tcPr>
          <w:p w14:paraId="575175A3" w14:textId="77777777" w:rsidR="00FA0AA4" w:rsidRPr="00C1423F" w:rsidRDefault="00FA0AA4" w:rsidP="006A1A4E">
            <w:pPr>
              <w:rPr>
                <w:lang w:val="en-US"/>
              </w:rPr>
            </w:pPr>
            <w:r w:rsidRPr="00C1423F">
              <w:rPr>
                <w:lang w:val="en-US"/>
              </w:rPr>
              <w:t>2020</w:t>
            </w:r>
          </w:p>
        </w:tc>
        <w:tc>
          <w:tcPr>
            <w:tcW w:w="1047" w:type="dxa"/>
            <w:tcBorders>
              <w:left w:val="single" w:sz="6" w:space="0" w:color="000000"/>
            </w:tcBorders>
            <w:shd w:val="clear" w:color="auto" w:fill="auto"/>
          </w:tcPr>
          <w:p w14:paraId="6B1AE31A" w14:textId="77777777" w:rsidR="00FA0AA4" w:rsidRPr="00C1423F" w:rsidRDefault="00FA0AA4" w:rsidP="006A1A4E">
            <w:pPr>
              <w:jc w:val="center"/>
              <w:rPr>
                <w:lang w:val="en-US"/>
              </w:rPr>
            </w:pPr>
            <w:r w:rsidRPr="00C1423F">
              <w:rPr>
                <w:lang w:val="en-US"/>
              </w:rPr>
              <w:t>30.3</w:t>
            </w:r>
          </w:p>
        </w:tc>
        <w:tc>
          <w:tcPr>
            <w:tcW w:w="1227" w:type="dxa"/>
            <w:shd w:val="clear" w:color="auto" w:fill="auto"/>
          </w:tcPr>
          <w:p w14:paraId="01874413" w14:textId="77777777" w:rsidR="00FA0AA4" w:rsidRPr="00C1423F" w:rsidRDefault="00FA0AA4" w:rsidP="006A1A4E">
            <w:pPr>
              <w:jc w:val="center"/>
              <w:rPr>
                <w:lang w:val="en-US"/>
              </w:rPr>
            </w:pPr>
            <w:r w:rsidRPr="00C1423F">
              <w:rPr>
                <w:lang w:val="en-US"/>
              </w:rPr>
              <w:t>16.5</w:t>
            </w:r>
          </w:p>
        </w:tc>
        <w:tc>
          <w:tcPr>
            <w:tcW w:w="1227" w:type="dxa"/>
            <w:shd w:val="clear" w:color="auto" w:fill="auto"/>
          </w:tcPr>
          <w:p w14:paraId="3D4B4879" w14:textId="77777777" w:rsidR="00FA0AA4" w:rsidRPr="00C1423F" w:rsidRDefault="00FA0AA4" w:rsidP="006A1A4E">
            <w:pPr>
              <w:jc w:val="center"/>
              <w:rPr>
                <w:lang w:val="en-US"/>
              </w:rPr>
            </w:pPr>
            <w:r w:rsidRPr="00C1423F">
              <w:rPr>
                <w:lang w:val="en-US"/>
              </w:rPr>
              <w:t>26.9</w:t>
            </w:r>
          </w:p>
        </w:tc>
        <w:tc>
          <w:tcPr>
            <w:tcW w:w="1227" w:type="dxa"/>
          </w:tcPr>
          <w:p w14:paraId="0C280CF3" w14:textId="77777777" w:rsidR="00FA0AA4" w:rsidRPr="00C1423F" w:rsidRDefault="00FA0AA4" w:rsidP="006A1A4E">
            <w:pPr>
              <w:jc w:val="center"/>
              <w:rPr>
                <w:lang w:val="en-US"/>
              </w:rPr>
            </w:pPr>
            <w:r w:rsidRPr="00C1423F">
              <w:rPr>
                <w:lang w:val="en-US"/>
              </w:rPr>
              <w:t>14.9</w:t>
            </w:r>
          </w:p>
        </w:tc>
      </w:tr>
    </w:tbl>
    <w:p w14:paraId="54CDE79B" w14:textId="77777777" w:rsidR="00FA0AA4" w:rsidRDefault="00FA0AA4" w:rsidP="00FA0AA4"/>
    <w:p w14:paraId="7A3B0A15" w14:textId="77777777" w:rsidR="00FA0AA4" w:rsidRDefault="00FA0AA4" w:rsidP="00FA0AA4"/>
    <w:p w14:paraId="45FED398" w14:textId="77777777" w:rsidR="00FA0AA4" w:rsidRDefault="00FA0AA4" w:rsidP="00FA0AA4">
      <w:r w:rsidRPr="00582E69">
        <w:t>Table 2 demonstrates that the</w:t>
      </w:r>
      <w:r w:rsidRPr="00274A30">
        <w:t xml:space="preserve"> compound average growth rate </w:t>
      </w:r>
      <w:r>
        <w:t>(</w:t>
      </w:r>
      <w:r w:rsidRPr="00582E69">
        <w:t>CAGR</w:t>
      </w:r>
      <w:r>
        <w:t>)</w:t>
      </w:r>
      <w:r w:rsidRPr="00582E69">
        <w:t xml:space="preserve"> is positive for </w:t>
      </w:r>
      <w:r>
        <w:t>both</w:t>
      </w:r>
      <w:r w:rsidRPr="00582E69">
        <w:t xml:space="preserve"> </w:t>
      </w:r>
      <w:r>
        <w:t xml:space="preserve">types of </w:t>
      </w:r>
      <w:r w:rsidRPr="00582E69">
        <w:t>references</w:t>
      </w:r>
      <w:r>
        <w:t xml:space="preserve">, but </w:t>
      </w:r>
      <w:r w:rsidRPr="00582E69">
        <w:t>highe</w:t>
      </w:r>
      <w:r>
        <w:t>st</w:t>
      </w:r>
      <w:r w:rsidRPr="00582E69">
        <w:t xml:space="preserve"> for OA references for all income groups, and highest for the two lowest income groups</w:t>
      </w:r>
      <w:r>
        <w:t xml:space="preserve">. </w:t>
      </w:r>
    </w:p>
    <w:p w14:paraId="5C0853BF" w14:textId="77777777" w:rsidR="00FA0AA4" w:rsidRDefault="00FA0AA4" w:rsidP="00FA0AA4"/>
    <w:p w14:paraId="4681A4F2" w14:textId="77777777" w:rsidR="00FA0AA4" w:rsidRDefault="00FA0AA4" w:rsidP="00FA0AA4">
      <w:r w:rsidRPr="000731E0">
        <w:t>The increased growth rate of OA references, particularly among publications from lower-income countries, indicates a convergence of reference practices between researchers from different income groups</w:t>
      </w:r>
      <w:r>
        <w:t>.</w:t>
      </w:r>
    </w:p>
    <w:p w14:paraId="0253D956" w14:textId="77777777" w:rsidR="0034654D" w:rsidRDefault="0034654D" w:rsidP="00FA0AA4"/>
    <w:p w14:paraId="35803B87" w14:textId="4A672E7B" w:rsidR="00FA0AA4" w:rsidRDefault="0034654D" w:rsidP="00BA4F90">
      <w:pPr>
        <w:jc w:val="center"/>
      </w:pPr>
      <w:r>
        <w:t xml:space="preserve">Table 2. </w:t>
      </w:r>
      <w:r w:rsidRPr="0034654D">
        <w:t>Compound Average Growth Rate by income group and access type of references, 2005-2020.</w:t>
      </w:r>
    </w:p>
    <w:tbl>
      <w:tblPr>
        <w:tblW w:w="0" w:type="auto"/>
        <w:jc w:val="center"/>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410"/>
        <w:gridCol w:w="992"/>
        <w:gridCol w:w="1418"/>
      </w:tblGrid>
      <w:tr w:rsidR="00FA0AA4" w:rsidRPr="00C1423F" w14:paraId="20E817A5" w14:textId="77777777" w:rsidTr="002662DD">
        <w:trPr>
          <w:trHeight w:val="237"/>
          <w:jc w:val="center"/>
        </w:trPr>
        <w:tc>
          <w:tcPr>
            <w:tcW w:w="2410" w:type="dxa"/>
            <w:tcBorders>
              <w:bottom w:val="single" w:sz="6" w:space="0" w:color="000000"/>
              <w:right w:val="single" w:sz="6" w:space="0" w:color="000000"/>
            </w:tcBorders>
            <w:shd w:val="clear" w:color="auto" w:fill="auto"/>
          </w:tcPr>
          <w:p w14:paraId="13786983" w14:textId="77777777" w:rsidR="00FA0AA4" w:rsidRPr="00C1423F" w:rsidRDefault="00FA0AA4" w:rsidP="006A1A4E">
            <w:pPr>
              <w:rPr>
                <w:i/>
                <w:lang w:val="en-US"/>
              </w:rPr>
            </w:pPr>
            <w:r w:rsidRPr="00C1423F">
              <w:rPr>
                <w:lang w:val="en-US"/>
              </w:rPr>
              <w:t>Income group</w:t>
            </w:r>
          </w:p>
        </w:tc>
        <w:tc>
          <w:tcPr>
            <w:tcW w:w="992" w:type="dxa"/>
            <w:tcBorders>
              <w:left w:val="single" w:sz="6" w:space="0" w:color="000000"/>
              <w:bottom w:val="single" w:sz="6" w:space="0" w:color="000000"/>
            </w:tcBorders>
            <w:shd w:val="clear" w:color="auto" w:fill="auto"/>
          </w:tcPr>
          <w:p w14:paraId="0D74744D" w14:textId="77777777" w:rsidR="00FA0AA4" w:rsidRPr="00C1423F" w:rsidRDefault="00FA0AA4" w:rsidP="006A1A4E">
            <w:pPr>
              <w:jc w:val="center"/>
              <w:rPr>
                <w:i/>
                <w:lang w:val="en-US"/>
              </w:rPr>
            </w:pPr>
            <w:r w:rsidRPr="00C1423F">
              <w:rPr>
                <w:i/>
                <w:lang w:val="en-US"/>
              </w:rPr>
              <w:t>Non-OA</w:t>
            </w:r>
          </w:p>
        </w:tc>
        <w:tc>
          <w:tcPr>
            <w:tcW w:w="1418" w:type="dxa"/>
            <w:tcBorders>
              <w:bottom w:val="single" w:sz="6" w:space="0" w:color="000000"/>
            </w:tcBorders>
            <w:shd w:val="clear" w:color="auto" w:fill="auto"/>
          </w:tcPr>
          <w:p w14:paraId="479E59CE" w14:textId="77777777" w:rsidR="00FA0AA4" w:rsidRPr="00C1423F" w:rsidRDefault="00FA0AA4" w:rsidP="006A1A4E">
            <w:pPr>
              <w:jc w:val="center"/>
              <w:rPr>
                <w:i/>
                <w:lang w:val="en-US"/>
              </w:rPr>
            </w:pPr>
            <w:r w:rsidRPr="00C1423F">
              <w:rPr>
                <w:lang w:val="en-US"/>
              </w:rPr>
              <w:t>OA</w:t>
            </w:r>
          </w:p>
        </w:tc>
      </w:tr>
      <w:tr w:rsidR="00FA0AA4" w:rsidRPr="00C1423F" w14:paraId="10F80F05" w14:textId="77777777" w:rsidTr="002662DD">
        <w:trPr>
          <w:trHeight w:val="237"/>
          <w:jc w:val="center"/>
        </w:trPr>
        <w:tc>
          <w:tcPr>
            <w:tcW w:w="2410" w:type="dxa"/>
            <w:tcBorders>
              <w:top w:val="single" w:sz="6" w:space="0" w:color="000000"/>
              <w:right w:val="single" w:sz="6" w:space="0" w:color="000000"/>
            </w:tcBorders>
            <w:shd w:val="clear" w:color="auto" w:fill="auto"/>
          </w:tcPr>
          <w:p w14:paraId="02DFC653" w14:textId="77777777" w:rsidR="00FA0AA4" w:rsidRPr="00C1423F" w:rsidRDefault="00FA0AA4" w:rsidP="006A1A4E">
            <w:pPr>
              <w:rPr>
                <w:lang w:val="en-US"/>
              </w:rPr>
            </w:pPr>
            <w:bookmarkStart w:id="2" w:name="_Hlk118963514"/>
            <w:r w:rsidRPr="00C1423F">
              <w:rPr>
                <w:lang w:val="en-US"/>
              </w:rPr>
              <w:t>Low-income</w:t>
            </w:r>
          </w:p>
        </w:tc>
        <w:tc>
          <w:tcPr>
            <w:tcW w:w="992" w:type="dxa"/>
            <w:tcBorders>
              <w:top w:val="single" w:sz="6" w:space="0" w:color="000000"/>
              <w:left w:val="single" w:sz="6" w:space="0" w:color="000000"/>
            </w:tcBorders>
            <w:shd w:val="clear" w:color="auto" w:fill="auto"/>
          </w:tcPr>
          <w:p w14:paraId="5DC8062A" w14:textId="77777777" w:rsidR="00FA0AA4" w:rsidRPr="00C1423F" w:rsidRDefault="00FA0AA4" w:rsidP="006A1A4E">
            <w:pPr>
              <w:jc w:val="center"/>
              <w:rPr>
                <w:lang w:val="en-US"/>
              </w:rPr>
            </w:pPr>
            <w:r w:rsidRPr="00C1423F">
              <w:rPr>
                <w:lang w:val="en-US"/>
              </w:rPr>
              <w:t>35 %</w:t>
            </w:r>
          </w:p>
        </w:tc>
        <w:tc>
          <w:tcPr>
            <w:tcW w:w="1418" w:type="dxa"/>
            <w:tcBorders>
              <w:top w:val="single" w:sz="6" w:space="0" w:color="000000"/>
            </w:tcBorders>
            <w:shd w:val="clear" w:color="auto" w:fill="auto"/>
          </w:tcPr>
          <w:p w14:paraId="5DA152F3" w14:textId="77777777" w:rsidR="00FA0AA4" w:rsidRPr="00C1423F" w:rsidRDefault="00FA0AA4" w:rsidP="006A1A4E">
            <w:pPr>
              <w:jc w:val="center"/>
              <w:rPr>
                <w:lang w:val="en-US"/>
              </w:rPr>
            </w:pPr>
            <w:r w:rsidRPr="00C1423F">
              <w:rPr>
                <w:lang w:val="en-US"/>
              </w:rPr>
              <w:t>42 %</w:t>
            </w:r>
          </w:p>
        </w:tc>
      </w:tr>
      <w:tr w:rsidR="00FA0AA4" w:rsidRPr="00C1423F" w14:paraId="3ACFFF9E" w14:textId="77777777" w:rsidTr="002662DD">
        <w:trPr>
          <w:trHeight w:val="237"/>
          <w:jc w:val="center"/>
        </w:trPr>
        <w:tc>
          <w:tcPr>
            <w:tcW w:w="2410" w:type="dxa"/>
            <w:tcBorders>
              <w:right w:val="single" w:sz="6" w:space="0" w:color="000000"/>
            </w:tcBorders>
            <w:shd w:val="clear" w:color="auto" w:fill="auto"/>
          </w:tcPr>
          <w:p w14:paraId="1764E505" w14:textId="77777777" w:rsidR="00FA0AA4" w:rsidRPr="00C1423F" w:rsidRDefault="00FA0AA4" w:rsidP="006A1A4E">
            <w:pPr>
              <w:rPr>
                <w:lang w:val="en-US"/>
              </w:rPr>
            </w:pPr>
            <w:r w:rsidRPr="00C1423F">
              <w:rPr>
                <w:lang w:val="en-US"/>
              </w:rPr>
              <w:t>Lower middle-income</w:t>
            </w:r>
          </w:p>
        </w:tc>
        <w:tc>
          <w:tcPr>
            <w:tcW w:w="992" w:type="dxa"/>
            <w:tcBorders>
              <w:left w:val="single" w:sz="6" w:space="0" w:color="000000"/>
            </w:tcBorders>
            <w:shd w:val="clear" w:color="auto" w:fill="auto"/>
          </w:tcPr>
          <w:p w14:paraId="14B2BF1F" w14:textId="77777777" w:rsidR="00FA0AA4" w:rsidRPr="00C1423F" w:rsidRDefault="00FA0AA4" w:rsidP="006A1A4E">
            <w:pPr>
              <w:jc w:val="center"/>
              <w:rPr>
                <w:lang w:val="en-US"/>
              </w:rPr>
            </w:pPr>
            <w:r w:rsidRPr="00C1423F">
              <w:rPr>
                <w:lang w:val="en-US"/>
              </w:rPr>
              <w:t>28 %</w:t>
            </w:r>
          </w:p>
        </w:tc>
        <w:tc>
          <w:tcPr>
            <w:tcW w:w="1418" w:type="dxa"/>
            <w:shd w:val="clear" w:color="auto" w:fill="auto"/>
          </w:tcPr>
          <w:p w14:paraId="285AB49F" w14:textId="77777777" w:rsidR="00FA0AA4" w:rsidRPr="00C1423F" w:rsidRDefault="00FA0AA4" w:rsidP="006A1A4E">
            <w:pPr>
              <w:jc w:val="center"/>
              <w:rPr>
                <w:lang w:val="en-US"/>
              </w:rPr>
            </w:pPr>
            <w:r w:rsidRPr="00C1423F">
              <w:rPr>
                <w:lang w:val="en-US"/>
              </w:rPr>
              <w:t>33 %</w:t>
            </w:r>
          </w:p>
        </w:tc>
      </w:tr>
      <w:tr w:rsidR="00FA0AA4" w:rsidRPr="00C1423F" w14:paraId="14BDBADE" w14:textId="77777777" w:rsidTr="002662DD">
        <w:trPr>
          <w:trHeight w:val="175"/>
          <w:jc w:val="center"/>
        </w:trPr>
        <w:tc>
          <w:tcPr>
            <w:tcW w:w="2410" w:type="dxa"/>
            <w:tcBorders>
              <w:right w:val="single" w:sz="6" w:space="0" w:color="000000"/>
            </w:tcBorders>
            <w:shd w:val="clear" w:color="auto" w:fill="auto"/>
          </w:tcPr>
          <w:p w14:paraId="588E31A7" w14:textId="77777777" w:rsidR="00FA0AA4" w:rsidRPr="00C1423F" w:rsidRDefault="00FA0AA4" w:rsidP="006A1A4E">
            <w:pPr>
              <w:rPr>
                <w:lang w:val="en-US"/>
              </w:rPr>
            </w:pPr>
            <w:r w:rsidRPr="00C1423F">
              <w:rPr>
                <w:lang w:val="en-US"/>
              </w:rPr>
              <w:t>Upper middle-income</w:t>
            </w:r>
          </w:p>
        </w:tc>
        <w:tc>
          <w:tcPr>
            <w:tcW w:w="992" w:type="dxa"/>
            <w:tcBorders>
              <w:left w:val="single" w:sz="6" w:space="0" w:color="000000"/>
            </w:tcBorders>
            <w:shd w:val="clear" w:color="auto" w:fill="auto"/>
          </w:tcPr>
          <w:p w14:paraId="6213CB07" w14:textId="77777777" w:rsidR="00FA0AA4" w:rsidRPr="00C1423F" w:rsidRDefault="00FA0AA4" w:rsidP="006A1A4E">
            <w:pPr>
              <w:jc w:val="center"/>
              <w:rPr>
                <w:lang w:val="en-US"/>
              </w:rPr>
            </w:pPr>
            <w:r w:rsidRPr="00C1423F">
              <w:rPr>
                <w:lang w:val="en-US"/>
              </w:rPr>
              <w:t>26 %</w:t>
            </w:r>
          </w:p>
        </w:tc>
        <w:tc>
          <w:tcPr>
            <w:tcW w:w="1418" w:type="dxa"/>
            <w:shd w:val="clear" w:color="auto" w:fill="auto"/>
          </w:tcPr>
          <w:p w14:paraId="2C60B2F2" w14:textId="77777777" w:rsidR="00FA0AA4" w:rsidRPr="00C1423F" w:rsidRDefault="00FA0AA4" w:rsidP="006A1A4E">
            <w:pPr>
              <w:jc w:val="center"/>
              <w:rPr>
                <w:lang w:val="en-US"/>
              </w:rPr>
            </w:pPr>
            <w:r w:rsidRPr="00C1423F">
              <w:rPr>
                <w:lang w:val="en-US"/>
              </w:rPr>
              <w:t>32 %</w:t>
            </w:r>
          </w:p>
        </w:tc>
      </w:tr>
      <w:tr w:rsidR="00FA0AA4" w:rsidRPr="00C1423F" w14:paraId="673256CB" w14:textId="77777777" w:rsidTr="002662DD">
        <w:trPr>
          <w:trHeight w:val="357"/>
          <w:jc w:val="center"/>
        </w:trPr>
        <w:tc>
          <w:tcPr>
            <w:tcW w:w="2410" w:type="dxa"/>
            <w:tcBorders>
              <w:right w:val="single" w:sz="6" w:space="0" w:color="000000"/>
            </w:tcBorders>
            <w:shd w:val="clear" w:color="auto" w:fill="auto"/>
          </w:tcPr>
          <w:p w14:paraId="4DB69F07" w14:textId="77777777" w:rsidR="00FA0AA4" w:rsidRPr="00C1423F" w:rsidRDefault="00FA0AA4" w:rsidP="006A1A4E">
            <w:pPr>
              <w:rPr>
                <w:lang w:val="en-US"/>
              </w:rPr>
            </w:pPr>
            <w:r w:rsidRPr="00C1423F">
              <w:rPr>
                <w:lang w:val="en-US"/>
              </w:rPr>
              <w:t>High-income</w:t>
            </w:r>
          </w:p>
        </w:tc>
        <w:tc>
          <w:tcPr>
            <w:tcW w:w="992" w:type="dxa"/>
            <w:tcBorders>
              <w:left w:val="single" w:sz="6" w:space="0" w:color="000000"/>
            </w:tcBorders>
            <w:shd w:val="clear" w:color="auto" w:fill="auto"/>
          </w:tcPr>
          <w:p w14:paraId="71FFBB36" w14:textId="77777777" w:rsidR="00FA0AA4" w:rsidRPr="00C1423F" w:rsidRDefault="00FA0AA4" w:rsidP="006A1A4E">
            <w:pPr>
              <w:jc w:val="center"/>
              <w:rPr>
                <w:lang w:val="en-US"/>
              </w:rPr>
            </w:pPr>
            <w:r w:rsidRPr="00C1423F">
              <w:rPr>
                <w:lang w:val="en-US"/>
              </w:rPr>
              <w:t>13 %</w:t>
            </w:r>
          </w:p>
        </w:tc>
        <w:tc>
          <w:tcPr>
            <w:tcW w:w="1418" w:type="dxa"/>
            <w:shd w:val="clear" w:color="auto" w:fill="auto"/>
          </w:tcPr>
          <w:p w14:paraId="7ABE077E" w14:textId="77777777" w:rsidR="00FA0AA4" w:rsidRPr="00C1423F" w:rsidRDefault="00FA0AA4" w:rsidP="006A1A4E">
            <w:pPr>
              <w:jc w:val="center"/>
              <w:rPr>
                <w:lang w:val="en-US"/>
              </w:rPr>
            </w:pPr>
            <w:r w:rsidRPr="00C1423F">
              <w:rPr>
                <w:lang w:val="en-US"/>
              </w:rPr>
              <w:t>18 %</w:t>
            </w:r>
          </w:p>
        </w:tc>
      </w:tr>
      <w:bookmarkEnd w:id="2"/>
    </w:tbl>
    <w:p w14:paraId="1138AADA" w14:textId="77777777" w:rsidR="00FA0AA4" w:rsidRDefault="00FA0AA4" w:rsidP="00FA0AA4"/>
    <w:p w14:paraId="5DA67746" w14:textId="56519B85" w:rsidR="009130A2" w:rsidRPr="00C1423F" w:rsidRDefault="00FA0AA4" w:rsidP="00CA63BE">
      <w:pPr>
        <w:rPr>
          <w:noProof/>
          <w:lang w:val="en-US"/>
        </w:rPr>
      </w:pPr>
      <w:r w:rsidRPr="00C1423F">
        <w:rPr>
          <w:noProof/>
          <w:lang w:val="en-US"/>
        </w:rPr>
        <w:t>The calculations have also been carried out at field levels. This analysis reveals that the overall OA</w:t>
      </w:r>
      <w:r>
        <w:rPr>
          <w:noProof/>
          <w:lang w:val="en-US"/>
        </w:rPr>
        <w:t xml:space="preserve"> </w:t>
      </w:r>
      <w:r w:rsidRPr="00C1423F">
        <w:rPr>
          <w:noProof/>
          <w:lang w:val="en-US"/>
        </w:rPr>
        <w:t>patterns idenfified for groups of countries are present also at field levels</w:t>
      </w:r>
      <w:r w:rsidR="006813D7">
        <w:rPr>
          <w:noProof/>
          <w:lang w:val="en-US"/>
        </w:rPr>
        <w:t>, but i</w:t>
      </w:r>
      <w:r w:rsidRPr="00C1423F">
        <w:rPr>
          <w:noProof/>
          <w:lang w:val="en-US"/>
        </w:rPr>
        <w:t xml:space="preserve">n some fields, the patterns do not follow the general tedencies for country groups, making the conclusions less generic. </w:t>
      </w:r>
      <w:r w:rsidR="006813D7">
        <w:rPr>
          <w:noProof/>
          <w:lang w:val="en-US"/>
        </w:rPr>
        <w:t xml:space="preserve">We have </w:t>
      </w:r>
      <w:r w:rsidR="00CA63BE">
        <w:rPr>
          <w:noProof/>
          <w:lang w:val="en-US"/>
        </w:rPr>
        <w:t>also explo</w:t>
      </w:r>
      <w:r w:rsidR="00C4162F">
        <w:rPr>
          <w:noProof/>
          <w:lang w:val="en-US"/>
        </w:rPr>
        <w:t>re</w:t>
      </w:r>
      <w:r w:rsidR="006813D7">
        <w:rPr>
          <w:noProof/>
          <w:lang w:val="en-US"/>
        </w:rPr>
        <w:t>d</w:t>
      </w:r>
      <w:r w:rsidR="00C4162F">
        <w:rPr>
          <w:noProof/>
          <w:lang w:val="en-US"/>
        </w:rPr>
        <w:t xml:space="preserve"> </w:t>
      </w:r>
      <w:r w:rsidR="00CA63BE" w:rsidRPr="00CA63BE">
        <w:rPr>
          <w:lang w:val="en-US"/>
        </w:rPr>
        <w:t>whether increased use of OA publications is also followed by</w:t>
      </w:r>
      <w:r w:rsidR="006A7996">
        <w:rPr>
          <w:lang w:val="en-US"/>
        </w:rPr>
        <w:t xml:space="preserve"> i</w:t>
      </w:r>
      <w:r w:rsidR="00CA63BE" w:rsidRPr="00CA63BE">
        <w:rPr>
          <w:lang w:val="en-US"/>
        </w:rPr>
        <w:t>mproved access to scientific literature, being expressed in more recent publications being cited in the reference lists.</w:t>
      </w:r>
      <w:r w:rsidR="006A7996">
        <w:rPr>
          <w:lang w:val="en-US"/>
        </w:rPr>
        <w:t xml:space="preserve"> Due to lac</w:t>
      </w:r>
      <w:r w:rsidR="00DA0EAC">
        <w:rPr>
          <w:lang w:val="en-US"/>
        </w:rPr>
        <w:t>k</w:t>
      </w:r>
      <w:r w:rsidR="006A7996">
        <w:rPr>
          <w:lang w:val="en-US"/>
        </w:rPr>
        <w:t xml:space="preserve"> of space, these results have not been </w:t>
      </w:r>
      <w:r w:rsidR="00DA0EAC">
        <w:rPr>
          <w:lang w:val="en-US"/>
        </w:rPr>
        <w:t xml:space="preserve">included in </w:t>
      </w:r>
      <w:r w:rsidR="00B152AA">
        <w:rPr>
          <w:lang w:val="en-US"/>
        </w:rPr>
        <w:t>the present</w:t>
      </w:r>
      <w:r w:rsidR="00DA0EAC">
        <w:rPr>
          <w:lang w:val="en-US"/>
        </w:rPr>
        <w:t xml:space="preserve"> version. </w:t>
      </w:r>
    </w:p>
    <w:p w14:paraId="563AB303" w14:textId="77777777" w:rsidR="009130A2" w:rsidRDefault="009130A2" w:rsidP="009130A2">
      <w:pPr>
        <w:rPr>
          <w:lang w:val="en-US"/>
        </w:rPr>
      </w:pPr>
    </w:p>
    <w:p w14:paraId="2E7BE849" w14:textId="77777777" w:rsidR="00DB0E28" w:rsidRPr="00C1423F" w:rsidRDefault="00DB0E28" w:rsidP="009130A2">
      <w:pPr>
        <w:rPr>
          <w:lang w:val="en-US"/>
        </w:rPr>
      </w:pPr>
    </w:p>
    <w:p w14:paraId="18A912D5" w14:textId="77777777" w:rsidR="00FA0AA4" w:rsidRPr="006D2057" w:rsidRDefault="00FA0AA4" w:rsidP="00FA0AA4">
      <w:pPr>
        <w:rPr>
          <w:lang w:val="en-US"/>
        </w:rPr>
      </w:pPr>
    </w:p>
    <w:p w14:paraId="56E35571" w14:textId="47BEFB91" w:rsidR="00D05F98" w:rsidRPr="00AC7E0B" w:rsidRDefault="00D05F98" w:rsidP="00D05F98">
      <w:pPr>
        <w:keepNext/>
        <w:jc w:val="both"/>
        <w:outlineLvl w:val="1"/>
        <w:rPr>
          <w:b/>
          <w:bCs/>
        </w:rPr>
      </w:pPr>
      <w:r>
        <w:rPr>
          <w:b/>
          <w:bCs/>
        </w:rPr>
        <w:lastRenderedPageBreak/>
        <w:t>4</w:t>
      </w:r>
      <w:r w:rsidRPr="00AC7E0B">
        <w:rPr>
          <w:b/>
          <w:bCs/>
        </w:rPr>
        <w:t xml:space="preserve">. </w:t>
      </w:r>
      <w:r w:rsidRPr="00D05F98">
        <w:rPr>
          <w:b/>
          <w:bCs/>
        </w:rPr>
        <w:t>Discussion &amp; conclusions</w:t>
      </w:r>
    </w:p>
    <w:p w14:paraId="1F743CC1" w14:textId="77777777" w:rsidR="00E44F35" w:rsidRDefault="00E44F35" w:rsidP="00E44F35">
      <w:pPr>
        <w:rPr>
          <w:noProof/>
          <w:lang w:val="en-US"/>
        </w:rPr>
      </w:pPr>
      <w:r w:rsidRPr="00E44F35">
        <w:rPr>
          <w:noProof/>
          <w:lang w:val="en-US"/>
        </w:rPr>
        <w:t xml:space="preserve">This study has shown that the reference practice of scientists has undergone major changes the last 40 years. The length of the reference list has more than doubled. Publications from low-income countries used to include much fewer references than publications from high-income countries. This gap is reduced during the period. </w:t>
      </w:r>
    </w:p>
    <w:p w14:paraId="71D4FEB3" w14:textId="77777777" w:rsidR="00E44F35" w:rsidRDefault="00E44F35" w:rsidP="00E44F35">
      <w:pPr>
        <w:rPr>
          <w:noProof/>
          <w:lang w:val="en-US"/>
        </w:rPr>
      </w:pPr>
    </w:p>
    <w:p w14:paraId="37E518D6" w14:textId="494B8909" w:rsidR="00E44F35" w:rsidRDefault="00E44F35" w:rsidP="00E44F35">
      <w:pPr>
        <w:rPr>
          <w:noProof/>
          <w:lang w:val="en-US"/>
        </w:rPr>
      </w:pPr>
      <w:r w:rsidRPr="00E44F35">
        <w:rPr>
          <w:noProof/>
          <w:lang w:val="en-US"/>
        </w:rPr>
        <w:t>Another major change relates to the transformation of scientific communication where publications are much more easily accessible. Here, OA is an important part of the development. This study has revealed that the increased availability of literature through OA publishing has affected researchers from low- and high-income countries differently. The growth rate of references which are OA is strongest for low-income countries. This suggests that the rise of OA publishing has been particularly beneficial for researchers in low-income countries. In this way a fundamental objective as well as justification of the OA movement has been accomplished.</w:t>
      </w:r>
    </w:p>
    <w:p w14:paraId="3CC34DC2" w14:textId="77777777" w:rsidR="00977E83" w:rsidRDefault="00977E83" w:rsidP="00E44F35">
      <w:pPr>
        <w:rPr>
          <w:noProof/>
          <w:lang w:val="en-US"/>
        </w:rPr>
      </w:pPr>
    </w:p>
    <w:p w14:paraId="33EE4C87" w14:textId="150226BA" w:rsidR="005D48B2" w:rsidRPr="00C1423F" w:rsidRDefault="005D48B2" w:rsidP="005D48B2">
      <w:pPr>
        <w:rPr>
          <w:noProof/>
          <w:lang w:val="en-US"/>
        </w:rPr>
      </w:pPr>
      <w:r w:rsidRPr="00C1423F">
        <w:rPr>
          <w:noProof/>
          <w:lang w:val="en-US"/>
        </w:rPr>
        <w:t>Still, we observe that even today the large majority of the references of the low-income countries go to closed literature. One may ask why this is the case and why the OA</w:t>
      </w:r>
      <w:r>
        <w:rPr>
          <w:noProof/>
          <w:lang w:val="en-US"/>
        </w:rPr>
        <w:t xml:space="preserve"> </w:t>
      </w:r>
      <w:r w:rsidRPr="00C1423F">
        <w:rPr>
          <w:noProof/>
          <w:lang w:val="en-US"/>
        </w:rPr>
        <w:t xml:space="preserve">differences across country groups are not even larger. Two factors are relevant to consider in this context. </w:t>
      </w:r>
    </w:p>
    <w:p w14:paraId="20BA2452" w14:textId="77777777" w:rsidR="00F73EF8" w:rsidRDefault="00F73EF8" w:rsidP="005D48B2">
      <w:pPr>
        <w:rPr>
          <w:noProof/>
          <w:lang w:val="en-US"/>
        </w:rPr>
      </w:pPr>
    </w:p>
    <w:p w14:paraId="57FA9F93" w14:textId="25935895" w:rsidR="005D48B2" w:rsidRDefault="005D48B2" w:rsidP="005D48B2">
      <w:pPr>
        <w:rPr>
          <w:noProof/>
          <w:lang w:val="en-US"/>
        </w:rPr>
      </w:pPr>
      <w:r w:rsidRPr="00C1423F">
        <w:rPr>
          <w:noProof/>
          <w:lang w:val="en-US"/>
        </w:rPr>
        <w:t xml:space="preserve">First, reseachers in lower-income countries are facing the same situation as researchers in high-income countries when they are collecting literature. Only parts of the relevant previous literature on a particular topic is openly available. Thus, based on such considerations one would not expect radically different patterns. </w:t>
      </w:r>
    </w:p>
    <w:p w14:paraId="27FF5B00" w14:textId="77777777" w:rsidR="00F73EF8" w:rsidRPr="00C1423F" w:rsidRDefault="00F73EF8" w:rsidP="005D48B2">
      <w:pPr>
        <w:rPr>
          <w:noProof/>
          <w:lang w:val="en-US"/>
        </w:rPr>
      </w:pPr>
    </w:p>
    <w:p w14:paraId="44C89DA6" w14:textId="53C185C7" w:rsidR="005D48B2" w:rsidRDefault="005D48B2" w:rsidP="005D48B2">
      <w:pPr>
        <w:rPr>
          <w:lang w:val="en-US"/>
        </w:rPr>
      </w:pPr>
      <w:r w:rsidRPr="00C1423F">
        <w:rPr>
          <w:noProof/>
          <w:lang w:val="en-US"/>
        </w:rPr>
        <w:t>Second, researchers in lower-income coutries may also have access to the closed literature.</w:t>
      </w:r>
      <w:r>
        <w:rPr>
          <w:noProof/>
          <w:lang w:val="en-US"/>
        </w:rPr>
        <w:t xml:space="preserve"> </w:t>
      </w:r>
      <w:r w:rsidRPr="00C1423F">
        <w:rPr>
          <w:noProof/>
          <w:lang w:val="en-US"/>
        </w:rPr>
        <w:t xml:space="preserve">Of course, there are universites and libraries in the lower-income countries with subscription based acccess to the literature. Second, what appears as closed literature in this study, may still be openly available. In particular, it should be noted that articles available through academic social networks only (e.g. ResearchGate and Academia.edu) are not counted as OA, due to the criteria applied by Unpaywall </w:t>
      </w:r>
      <w:r w:rsidRPr="00C1423F">
        <w:rPr>
          <w:lang w:val="en-US"/>
        </w:rPr>
        <w:t xml:space="preserve">(Piwowar et al., 2018). Full texts of a very large body of literature are available through these websites (Taylor, 2022). Another option is to contact the authors directly to get printed </w:t>
      </w:r>
      <w:proofErr w:type="gramStart"/>
      <w:r w:rsidRPr="00C1423F">
        <w:rPr>
          <w:lang w:val="en-US"/>
        </w:rPr>
        <w:t>version</w:t>
      </w:r>
      <w:proofErr w:type="gramEnd"/>
      <w:r w:rsidRPr="00C1423F">
        <w:rPr>
          <w:lang w:val="en-US"/>
        </w:rPr>
        <w:t xml:space="preserve"> of articles or pdfs sent by e-mail. Finally, it is known that not all references cited in publications have been read by the authors citing them, and reference cop</w:t>
      </w:r>
      <w:r w:rsidR="006B2565">
        <w:rPr>
          <w:lang w:val="en-US"/>
        </w:rPr>
        <w:t>y</w:t>
      </w:r>
      <w:r w:rsidRPr="00C1423F">
        <w:rPr>
          <w:lang w:val="en-US"/>
        </w:rPr>
        <w:t xml:space="preserve">ing is widespread (Simkin, &amp; </w:t>
      </w:r>
      <w:proofErr w:type="spellStart"/>
      <w:r w:rsidRPr="00C1423F">
        <w:rPr>
          <w:lang w:val="en-US"/>
        </w:rPr>
        <w:t>Roychowdhury</w:t>
      </w:r>
      <w:proofErr w:type="spellEnd"/>
      <w:r w:rsidRPr="00C1423F">
        <w:rPr>
          <w:lang w:val="en-US"/>
        </w:rPr>
        <w:t xml:space="preserve">, 2007). </w:t>
      </w:r>
    </w:p>
    <w:p w14:paraId="68036B8D" w14:textId="77777777" w:rsidR="00C0424C" w:rsidRDefault="00C0424C" w:rsidP="005D48B2">
      <w:pPr>
        <w:rPr>
          <w:lang w:val="en-US"/>
        </w:rPr>
      </w:pPr>
    </w:p>
    <w:p w14:paraId="69D5648A" w14:textId="77777777" w:rsidR="00C0424C" w:rsidRPr="000751FA" w:rsidRDefault="00C0424C" w:rsidP="00C0424C">
      <w:pPr>
        <w:pStyle w:val="BodyText"/>
        <w:rPr>
          <w:color w:val="auto"/>
          <w:lang w:val="en-US"/>
        </w:rPr>
      </w:pPr>
      <w:r w:rsidRPr="000751FA">
        <w:rPr>
          <w:color w:val="auto"/>
          <w:lang w:val="en-US"/>
        </w:rPr>
        <w:t xml:space="preserve">As mentioned in the introduction, many previous studies have been conducted on the role of OA from a global equity perspective. However, most studies have been limited to the producing side, while research on the consumer side is limited (i.e., the use of literature as reflected in reference patterns). </w:t>
      </w:r>
    </w:p>
    <w:p w14:paraId="2530E503" w14:textId="77777777" w:rsidR="00C0424C" w:rsidRDefault="00C0424C" w:rsidP="00C0424C">
      <w:pPr>
        <w:pStyle w:val="BodyText"/>
        <w:rPr>
          <w:color w:val="auto"/>
          <w:lang w:val="en-US"/>
        </w:rPr>
      </w:pPr>
    </w:p>
    <w:p w14:paraId="3A7EF885" w14:textId="1B67BF6A" w:rsidR="00C0424C" w:rsidRPr="000751FA" w:rsidRDefault="00C0424C" w:rsidP="00C0424C">
      <w:pPr>
        <w:pStyle w:val="BodyText"/>
        <w:rPr>
          <w:color w:val="auto"/>
          <w:lang w:val="en-US"/>
        </w:rPr>
      </w:pPr>
      <w:r w:rsidRPr="000751FA">
        <w:rPr>
          <w:color w:val="auto"/>
          <w:lang w:val="en-US"/>
        </w:rPr>
        <w:t>One exception is the study by Simard et al.</w:t>
      </w:r>
      <w:r>
        <w:rPr>
          <w:color w:val="auto"/>
          <w:lang w:val="en-US"/>
        </w:rPr>
        <w:t xml:space="preserve"> </w:t>
      </w:r>
      <w:r w:rsidR="00DF5FC8">
        <w:rPr>
          <w:color w:val="auto"/>
          <w:lang w:val="en-US"/>
        </w:rPr>
        <w:t>(2022)</w:t>
      </w:r>
      <w:r w:rsidRPr="000751FA">
        <w:rPr>
          <w:color w:val="auto"/>
          <w:lang w:val="en-US"/>
        </w:rPr>
        <w:t xml:space="preserve">, which showed that low-income countries have a higher uptake of OA than high-income countries. Although it has similarities to our study, it also has fundamental differences in the methodological approach. Simard et al. assigned papers to country groups based on the address affiliation of the first and corresponding authors only. Thus, publications with coauthors from additional countries were also included. This may affect the findings for low-income countries, as their scientific production is limited, and international collaboration is extremely widespread. </w:t>
      </w:r>
      <w:r w:rsidR="00960AE4">
        <w:rPr>
          <w:color w:val="auto"/>
          <w:lang w:val="en-US"/>
        </w:rPr>
        <w:t>S</w:t>
      </w:r>
      <w:r w:rsidRPr="000751FA">
        <w:rPr>
          <w:color w:val="auto"/>
          <w:lang w:val="en-US"/>
        </w:rPr>
        <w:t xml:space="preserve">uch a methodological approach may be </w:t>
      </w:r>
      <w:r w:rsidR="001B124A" w:rsidRPr="000751FA">
        <w:rPr>
          <w:color w:val="auto"/>
          <w:lang w:val="en-US"/>
        </w:rPr>
        <w:t>problematic,</w:t>
      </w:r>
      <w:r w:rsidR="00960AE4">
        <w:rPr>
          <w:color w:val="auto"/>
          <w:lang w:val="en-US"/>
        </w:rPr>
        <w:t xml:space="preserve"> and ou</w:t>
      </w:r>
      <w:r w:rsidR="001B124A">
        <w:rPr>
          <w:color w:val="auto"/>
          <w:lang w:val="en-US"/>
        </w:rPr>
        <w:t>r</w:t>
      </w:r>
      <w:r w:rsidR="00960AE4">
        <w:rPr>
          <w:color w:val="auto"/>
          <w:lang w:val="en-US"/>
        </w:rPr>
        <w:t xml:space="preserve"> study is therefore </w:t>
      </w:r>
      <w:r w:rsidRPr="000751FA">
        <w:rPr>
          <w:color w:val="auto"/>
          <w:lang w:val="en-US"/>
        </w:rPr>
        <w:t xml:space="preserve">limited to articles that do not involve international collaboration. Nevertheless, the overall findings of our study </w:t>
      </w:r>
      <w:r w:rsidRPr="000751FA">
        <w:rPr>
          <w:color w:val="auto"/>
          <w:lang w:val="en-US"/>
        </w:rPr>
        <w:lastRenderedPageBreak/>
        <w:t xml:space="preserve">resemble those of Simard et al., in that the methodological disparities did not lead to a different main conclusion. </w:t>
      </w:r>
    </w:p>
    <w:p w14:paraId="57D144CE" w14:textId="77777777" w:rsidR="00E1368F" w:rsidRDefault="00E1368F" w:rsidP="00FA0AA4">
      <w:pPr>
        <w:rPr>
          <w:noProof/>
          <w:lang w:val="en-US"/>
        </w:rPr>
      </w:pPr>
    </w:p>
    <w:p w14:paraId="29C90D42" w14:textId="327597BC" w:rsidR="00E1368F" w:rsidRDefault="00C20F85" w:rsidP="00FA0AA4">
      <w:pPr>
        <w:rPr>
          <w:noProof/>
          <w:lang w:val="en-US"/>
        </w:rPr>
      </w:pPr>
      <w:r>
        <w:t>While o</w:t>
      </w:r>
      <w:r w:rsidR="00E1368F">
        <w:t>pen access (OA) has been particularly beneficial for researchers in lower-income countries</w:t>
      </w:r>
      <w:r w:rsidR="003F2383">
        <w:t xml:space="preserve"> </w:t>
      </w:r>
      <w:r w:rsidR="003F2383" w:rsidRPr="003F2383">
        <w:t>by providing unrestricted access to publications</w:t>
      </w:r>
      <w:r w:rsidR="00F065E7">
        <w:t xml:space="preserve">, </w:t>
      </w:r>
      <w:r w:rsidR="00E1368F">
        <w:t>a new problem has emerged due to the shifting of publishing costs from subscription fees to author payments (</w:t>
      </w:r>
      <w:proofErr w:type="spellStart"/>
      <w:r w:rsidR="00E1368F">
        <w:t>Budzinski</w:t>
      </w:r>
      <w:proofErr w:type="spellEnd"/>
      <w:r w:rsidR="00E1368F">
        <w:t xml:space="preserve"> et al., 2020). This means that researchers in lower-income countries, </w:t>
      </w:r>
      <w:r w:rsidR="00E1368F">
        <w:t>when being</w:t>
      </w:r>
      <w:r w:rsidR="00E1368F">
        <w:t xml:space="preserve"> the producers of research, will be disadvantaged as they may no longer be able to afford </w:t>
      </w:r>
      <w:r w:rsidR="00F065E7">
        <w:t xml:space="preserve">the fee for </w:t>
      </w:r>
      <w:r w:rsidR="00E1368F">
        <w:t>publish</w:t>
      </w:r>
      <w:r w:rsidR="00F065E7">
        <w:t>ing</w:t>
      </w:r>
      <w:r w:rsidR="00E1368F">
        <w:t xml:space="preserve"> (Nature, 2022).</w:t>
      </w:r>
    </w:p>
    <w:p w14:paraId="7CB0E621" w14:textId="77777777" w:rsidR="003875E1" w:rsidRDefault="003875E1" w:rsidP="00FA0AA4">
      <w:pPr>
        <w:rPr>
          <w:noProof/>
          <w:lang w:val="en-US"/>
        </w:rPr>
      </w:pPr>
    </w:p>
    <w:p w14:paraId="7DC8A395" w14:textId="44DD13A8" w:rsidR="008168F4" w:rsidRDefault="008168F4">
      <w:pPr>
        <w:jc w:val="both"/>
      </w:pPr>
    </w:p>
    <w:p w14:paraId="7047E5B3" w14:textId="32EA0047" w:rsidR="007A59E1" w:rsidRPr="007A59E1" w:rsidRDefault="007A59E1">
      <w:pPr>
        <w:jc w:val="both"/>
        <w:rPr>
          <w:b/>
          <w:bCs/>
        </w:rPr>
      </w:pPr>
      <w:r>
        <w:rPr>
          <w:b/>
          <w:bCs/>
        </w:rPr>
        <w:t>O</w:t>
      </w:r>
      <w:r w:rsidRPr="007A59E1">
        <w:rPr>
          <w:b/>
          <w:bCs/>
        </w:rPr>
        <w:t>pen science practices</w:t>
      </w:r>
    </w:p>
    <w:p w14:paraId="385BD66C" w14:textId="16B01B8E" w:rsidR="00114C9D" w:rsidRDefault="00114C9D">
      <w:pPr>
        <w:jc w:val="both"/>
      </w:pPr>
      <w:r w:rsidRPr="00114C9D">
        <w:t xml:space="preserve">The data </w:t>
      </w:r>
      <w:proofErr w:type="spellStart"/>
      <w:r w:rsidRPr="00114C9D">
        <w:t>analyzed</w:t>
      </w:r>
      <w:proofErr w:type="spellEnd"/>
      <w:r w:rsidRPr="00114C9D">
        <w:t xml:space="preserve"> in this study have been retrieved from the Web of Science database, licensed by the Norwegian Agency for Shared Services in Education and Research from Clarivate. </w:t>
      </w:r>
      <w:r>
        <w:t xml:space="preserve">Investigations will be </w:t>
      </w:r>
      <w:r w:rsidR="006813D7">
        <w:t>carried out whether t</w:t>
      </w:r>
      <w:r w:rsidRPr="00114C9D">
        <w:t xml:space="preserve">he licensing agreement permits distribution of publication metadata from Web of Science in aggregated form. </w:t>
      </w:r>
    </w:p>
    <w:p w14:paraId="2B36B3A1" w14:textId="77777777" w:rsidR="0019174B" w:rsidRDefault="0019174B">
      <w:pPr>
        <w:jc w:val="both"/>
      </w:pPr>
    </w:p>
    <w:p w14:paraId="228D0C9D" w14:textId="77777777" w:rsidR="0019174B" w:rsidRDefault="0019174B" w:rsidP="0019174B">
      <w:pPr>
        <w:rPr>
          <w:b/>
          <w:bCs/>
          <w:noProof/>
          <w:lang w:val="en-US"/>
        </w:rPr>
      </w:pPr>
      <w:r w:rsidRPr="003875E1">
        <w:rPr>
          <w:b/>
          <w:bCs/>
          <w:noProof/>
          <w:lang w:val="en-US"/>
        </w:rPr>
        <w:t>Competing interests</w:t>
      </w:r>
    </w:p>
    <w:p w14:paraId="182996BD" w14:textId="77777777" w:rsidR="0019174B" w:rsidRPr="003875E1" w:rsidRDefault="0019174B" w:rsidP="0019174B">
      <w:pPr>
        <w:rPr>
          <w:noProof/>
          <w:lang w:val="en-US"/>
        </w:rPr>
      </w:pPr>
      <w:r w:rsidRPr="003875E1">
        <w:rPr>
          <w:noProof/>
          <w:lang w:val="en-US"/>
        </w:rPr>
        <w:t xml:space="preserve">The authors have no competing interests. </w:t>
      </w:r>
    </w:p>
    <w:p w14:paraId="16177BAE" w14:textId="77777777" w:rsidR="00936A7C" w:rsidRDefault="00936A7C">
      <w:pPr>
        <w:jc w:val="both"/>
      </w:pPr>
    </w:p>
    <w:p w14:paraId="6915C807" w14:textId="77777777" w:rsidR="00DF037E" w:rsidRDefault="00DF037E">
      <w:pPr>
        <w:jc w:val="both"/>
      </w:pPr>
    </w:p>
    <w:p w14:paraId="153897FF" w14:textId="77777777" w:rsidR="008168F4" w:rsidRDefault="008168F4">
      <w:pPr>
        <w:jc w:val="both"/>
        <w:rPr>
          <w:b/>
          <w:bCs/>
        </w:rPr>
      </w:pPr>
      <w:r>
        <w:rPr>
          <w:b/>
          <w:bCs/>
        </w:rPr>
        <w:t>References</w:t>
      </w:r>
    </w:p>
    <w:p w14:paraId="1747FA1D" w14:textId="3A95868A" w:rsidR="00815EAE" w:rsidRPr="007B3655" w:rsidRDefault="00815EAE" w:rsidP="00815EAE">
      <w:pPr>
        <w:pStyle w:val="008-References"/>
        <w:ind w:left="0" w:firstLine="0"/>
        <w:rPr>
          <w:sz w:val="24"/>
          <w:szCs w:val="24"/>
          <w:lang w:val="en-US"/>
        </w:rPr>
      </w:pPr>
      <w:r w:rsidRPr="007B3655">
        <w:rPr>
          <w:sz w:val="24"/>
          <w:szCs w:val="24"/>
          <w:lang w:val="en-US"/>
        </w:rPr>
        <w:t xml:space="preserve">Abrahams, L., Burke, M., Gray, E. &amp; </w:t>
      </w:r>
      <w:proofErr w:type="spellStart"/>
      <w:r w:rsidRPr="007B3655">
        <w:rPr>
          <w:sz w:val="24"/>
          <w:szCs w:val="24"/>
          <w:lang w:val="en-US"/>
        </w:rPr>
        <w:t>Rens</w:t>
      </w:r>
      <w:proofErr w:type="spellEnd"/>
      <w:r w:rsidRPr="007B3655">
        <w:rPr>
          <w:sz w:val="24"/>
          <w:szCs w:val="24"/>
          <w:lang w:val="en-US"/>
        </w:rPr>
        <w:t>, A. (2008). Opening Access to Knowledge in Southern African Universities. Southern African Regional Universities Association (SARUA): Study Series 2008. ISBN: 978-0-9814099-8-6.</w:t>
      </w:r>
    </w:p>
    <w:p w14:paraId="4F848EB2" w14:textId="77777777" w:rsidR="00815EAE" w:rsidRPr="007B3655" w:rsidRDefault="00815EAE" w:rsidP="00815EAE">
      <w:pPr>
        <w:pStyle w:val="008-References"/>
        <w:ind w:left="0" w:firstLine="0"/>
        <w:rPr>
          <w:sz w:val="24"/>
          <w:szCs w:val="24"/>
          <w:lang w:val="en-US"/>
        </w:rPr>
      </w:pPr>
    </w:p>
    <w:p w14:paraId="5C3131AA" w14:textId="155741D0" w:rsidR="00DF5FC8" w:rsidRPr="007B3655" w:rsidRDefault="00DF5FC8" w:rsidP="00815EAE">
      <w:pPr>
        <w:pStyle w:val="008-References"/>
        <w:ind w:left="0" w:firstLine="0"/>
        <w:rPr>
          <w:sz w:val="24"/>
          <w:szCs w:val="24"/>
          <w:lang w:val="en-US"/>
        </w:rPr>
      </w:pPr>
      <w:r w:rsidRPr="007B3655">
        <w:rPr>
          <w:sz w:val="24"/>
          <w:szCs w:val="24"/>
          <w:lang w:val="en-US"/>
        </w:rPr>
        <w:fldChar w:fldCharType="begin"/>
      </w:r>
      <w:r w:rsidRPr="007B3655">
        <w:rPr>
          <w:sz w:val="24"/>
          <w:szCs w:val="24"/>
          <w:lang w:val="en-US"/>
        </w:rPr>
        <w:instrText xml:space="preserve"> ADDIN EN.REFLIST </w:instrText>
      </w:r>
      <w:r w:rsidRPr="007B3655">
        <w:rPr>
          <w:sz w:val="24"/>
          <w:szCs w:val="24"/>
          <w:lang w:val="en-US"/>
        </w:rPr>
        <w:fldChar w:fldCharType="separate"/>
      </w:r>
      <w:r w:rsidRPr="007B3655">
        <w:rPr>
          <w:sz w:val="24"/>
          <w:szCs w:val="24"/>
          <w:lang w:val="en-US"/>
        </w:rPr>
        <w:fldChar w:fldCharType="end"/>
      </w:r>
      <w:r w:rsidRPr="007B3655">
        <w:rPr>
          <w:sz w:val="24"/>
          <w:szCs w:val="24"/>
          <w:lang w:val="en-US"/>
        </w:rPr>
        <w:t xml:space="preserve">Abrahams, L., Burke, M., Gray, E. &amp; </w:t>
      </w:r>
      <w:proofErr w:type="spellStart"/>
      <w:r w:rsidRPr="007B3655">
        <w:rPr>
          <w:sz w:val="24"/>
          <w:szCs w:val="24"/>
          <w:lang w:val="en-US"/>
        </w:rPr>
        <w:t>Rens</w:t>
      </w:r>
      <w:proofErr w:type="spellEnd"/>
      <w:r w:rsidRPr="007B3655">
        <w:rPr>
          <w:sz w:val="24"/>
          <w:szCs w:val="24"/>
          <w:lang w:val="en-US"/>
        </w:rPr>
        <w:t xml:space="preserve">, A. (2008). </w:t>
      </w:r>
      <w:r w:rsidRPr="007B3655">
        <w:rPr>
          <w:i/>
          <w:iCs/>
          <w:sz w:val="24"/>
          <w:szCs w:val="24"/>
          <w:lang w:val="en-US"/>
        </w:rPr>
        <w:t xml:space="preserve">Opening Access to Knowledge in Southern African Universities. </w:t>
      </w:r>
      <w:r w:rsidRPr="007B3655">
        <w:rPr>
          <w:sz w:val="24"/>
          <w:szCs w:val="24"/>
          <w:lang w:val="en-US"/>
        </w:rPr>
        <w:t>Southern African Regional Universities Association (SARUA): Study Series 2008. ISBN: 978-0-9814099-8-6.</w:t>
      </w:r>
    </w:p>
    <w:p w14:paraId="40DABA5F" w14:textId="77777777" w:rsidR="00815EAE" w:rsidRPr="007B3655" w:rsidRDefault="00815EAE" w:rsidP="00815EAE">
      <w:pPr>
        <w:pStyle w:val="008-References"/>
        <w:ind w:left="0" w:firstLine="0"/>
        <w:rPr>
          <w:sz w:val="24"/>
          <w:szCs w:val="24"/>
          <w:lang w:val="en-US"/>
        </w:rPr>
      </w:pPr>
    </w:p>
    <w:p w14:paraId="664B3A72" w14:textId="6354A214" w:rsidR="00DF5FC8" w:rsidRPr="007B3655" w:rsidRDefault="00DF5FC8" w:rsidP="00815EAE">
      <w:pPr>
        <w:pStyle w:val="008-References"/>
        <w:ind w:left="0" w:firstLine="0"/>
        <w:rPr>
          <w:sz w:val="24"/>
          <w:szCs w:val="24"/>
          <w:lang w:val="en-US"/>
        </w:rPr>
      </w:pPr>
      <w:r w:rsidRPr="007B3655">
        <w:rPr>
          <w:sz w:val="24"/>
          <w:szCs w:val="24"/>
          <w:lang w:val="en-US"/>
        </w:rPr>
        <w:t xml:space="preserve">Adcock, J., &amp; </w:t>
      </w:r>
      <w:proofErr w:type="spellStart"/>
      <w:r w:rsidRPr="007B3655">
        <w:rPr>
          <w:sz w:val="24"/>
          <w:szCs w:val="24"/>
          <w:lang w:val="en-US"/>
        </w:rPr>
        <w:t>Fottrell</w:t>
      </w:r>
      <w:proofErr w:type="spellEnd"/>
      <w:r w:rsidRPr="007B3655">
        <w:rPr>
          <w:sz w:val="24"/>
          <w:szCs w:val="24"/>
          <w:lang w:val="en-US"/>
        </w:rPr>
        <w:t xml:space="preserve">, E. (2008). </w:t>
      </w:r>
      <w:r w:rsidRPr="007B3655">
        <w:rPr>
          <w:i/>
          <w:iCs/>
          <w:sz w:val="24"/>
          <w:szCs w:val="24"/>
          <w:lang w:val="en-US"/>
        </w:rPr>
        <w:t>The North-South information highway: case studies of publication access among health researchers in resource-poor countries</w:t>
      </w:r>
      <w:r w:rsidRPr="007B3655">
        <w:rPr>
          <w:sz w:val="24"/>
          <w:szCs w:val="24"/>
          <w:lang w:val="en-US"/>
        </w:rPr>
        <w:t xml:space="preserve">. Global Health Action, 1 (1). </w:t>
      </w:r>
      <w:hyperlink r:id="rId14" w:history="1">
        <w:r w:rsidRPr="007B3655">
          <w:rPr>
            <w:rStyle w:val="Hyperlink"/>
            <w:sz w:val="24"/>
            <w:szCs w:val="24"/>
            <w:lang w:val="en-US"/>
          </w:rPr>
          <w:t>https://doi.org/10.3402/gha.v1i0.1865</w:t>
        </w:r>
      </w:hyperlink>
      <w:r w:rsidRPr="007B3655">
        <w:rPr>
          <w:sz w:val="24"/>
          <w:szCs w:val="24"/>
          <w:lang w:val="en-US"/>
        </w:rPr>
        <w:t xml:space="preserve">  </w:t>
      </w:r>
    </w:p>
    <w:p w14:paraId="28993B78" w14:textId="77777777" w:rsidR="00815EAE" w:rsidRPr="007B3655" w:rsidRDefault="00815EAE" w:rsidP="00815EAE">
      <w:pPr>
        <w:pStyle w:val="008-References"/>
        <w:ind w:left="0" w:firstLine="0"/>
        <w:rPr>
          <w:sz w:val="24"/>
          <w:szCs w:val="24"/>
          <w:lang w:val="nb-NO"/>
        </w:rPr>
      </w:pPr>
    </w:p>
    <w:p w14:paraId="042F78A8" w14:textId="222CB7F0" w:rsidR="00DF5FC8" w:rsidRPr="007B3655" w:rsidRDefault="00DF5FC8" w:rsidP="00815EAE">
      <w:pPr>
        <w:pStyle w:val="008-References"/>
        <w:ind w:left="0" w:firstLine="0"/>
        <w:rPr>
          <w:sz w:val="24"/>
          <w:szCs w:val="24"/>
          <w:lang w:val="en-US"/>
        </w:rPr>
      </w:pPr>
      <w:r w:rsidRPr="007B3655">
        <w:rPr>
          <w:sz w:val="24"/>
          <w:szCs w:val="24"/>
          <w:lang w:val="nb-NO"/>
        </w:rPr>
        <w:t xml:space="preserve">Aksnes, D.W. &amp; Sivertsen, G. (2022). </w:t>
      </w:r>
      <w:r w:rsidRPr="007B3655">
        <w:rPr>
          <w:sz w:val="24"/>
          <w:szCs w:val="24"/>
          <w:lang w:val="en-US"/>
        </w:rPr>
        <w:t xml:space="preserve">Patterns and trends in country level research collaboration over four decades. In N. Robinson-Garcia, D. Torres-Salinas, &amp; W. Arroyo-Machado (Eds.), </w:t>
      </w:r>
      <w:r w:rsidRPr="007B3655">
        <w:rPr>
          <w:i/>
          <w:iCs/>
          <w:sz w:val="24"/>
          <w:szCs w:val="24"/>
          <w:lang w:val="en-US"/>
        </w:rPr>
        <w:t>26th International Conference on Science and Technology Indicators</w:t>
      </w:r>
      <w:r w:rsidRPr="007B3655">
        <w:rPr>
          <w:sz w:val="24"/>
          <w:szCs w:val="24"/>
          <w:lang w:val="en-US"/>
        </w:rPr>
        <w:t xml:space="preserve">, STI 2022(sti2275). </w:t>
      </w:r>
      <w:hyperlink r:id="rId15" w:history="1">
        <w:r w:rsidRPr="007B3655">
          <w:rPr>
            <w:rStyle w:val="Hyperlink"/>
            <w:sz w:val="24"/>
            <w:szCs w:val="24"/>
            <w:lang w:val="en-US"/>
          </w:rPr>
          <w:t>https://doi.org/10.5281/zenodo.6974640</w:t>
        </w:r>
      </w:hyperlink>
    </w:p>
    <w:p w14:paraId="0CC1FF89" w14:textId="77777777" w:rsidR="00815EAE" w:rsidRPr="007B3655" w:rsidRDefault="00815EAE" w:rsidP="00815EAE">
      <w:pPr>
        <w:pStyle w:val="008-References"/>
        <w:ind w:left="0" w:firstLine="0"/>
        <w:rPr>
          <w:sz w:val="24"/>
          <w:szCs w:val="24"/>
          <w:lang w:val="en-US"/>
        </w:rPr>
      </w:pPr>
    </w:p>
    <w:p w14:paraId="2C347D28" w14:textId="198B36CC" w:rsidR="00DF5FC8" w:rsidRPr="007B3655" w:rsidRDefault="00DF5FC8" w:rsidP="00815EAE">
      <w:pPr>
        <w:pStyle w:val="008-References"/>
        <w:ind w:left="0" w:firstLine="0"/>
        <w:rPr>
          <w:sz w:val="24"/>
          <w:szCs w:val="24"/>
          <w:lang w:val="en-US"/>
        </w:rPr>
      </w:pPr>
      <w:r w:rsidRPr="007B3655">
        <w:rPr>
          <w:sz w:val="24"/>
          <w:szCs w:val="24"/>
          <w:lang w:val="en-US"/>
        </w:rPr>
        <w:t xml:space="preserve">Aronson, B. (2003). Improving Online Access to Medical Information to Low-Income Countries. </w:t>
      </w:r>
      <w:r w:rsidRPr="007B3655">
        <w:rPr>
          <w:i/>
          <w:iCs/>
          <w:sz w:val="24"/>
          <w:szCs w:val="24"/>
          <w:lang w:val="en-US"/>
        </w:rPr>
        <w:t xml:space="preserve">New England Journal of Medicine, </w:t>
      </w:r>
      <w:r w:rsidRPr="007B3655">
        <w:rPr>
          <w:sz w:val="24"/>
          <w:szCs w:val="24"/>
          <w:lang w:val="en-US"/>
        </w:rPr>
        <w:t>350(10), 966-968.</w:t>
      </w:r>
    </w:p>
    <w:p w14:paraId="669844DD" w14:textId="77777777" w:rsidR="00815EAE" w:rsidRPr="007B3655" w:rsidRDefault="00815EAE" w:rsidP="00815EAE">
      <w:pPr>
        <w:pStyle w:val="008-References"/>
        <w:ind w:left="0" w:firstLine="0"/>
        <w:rPr>
          <w:sz w:val="24"/>
          <w:szCs w:val="24"/>
          <w:lang w:val="en-US"/>
        </w:rPr>
      </w:pPr>
    </w:p>
    <w:p w14:paraId="21C2E90D" w14:textId="0974F2EE" w:rsidR="00DF5FC8" w:rsidRPr="007B3655" w:rsidRDefault="00DF5FC8" w:rsidP="00815EAE">
      <w:pPr>
        <w:pStyle w:val="008-References"/>
        <w:ind w:left="0" w:firstLine="0"/>
        <w:rPr>
          <w:sz w:val="24"/>
          <w:szCs w:val="24"/>
          <w:lang w:val="en-US"/>
        </w:rPr>
      </w:pPr>
      <w:proofErr w:type="spellStart"/>
      <w:r w:rsidRPr="007B3655">
        <w:rPr>
          <w:sz w:val="24"/>
          <w:szCs w:val="24"/>
          <w:lang w:val="en-US"/>
        </w:rPr>
        <w:t>Budzinski</w:t>
      </w:r>
      <w:proofErr w:type="spellEnd"/>
      <w:r w:rsidRPr="007B3655">
        <w:rPr>
          <w:sz w:val="24"/>
          <w:szCs w:val="24"/>
          <w:lang w:val="en-US"/>
        </w:rPr>
        <w:t xml:space="preserve">, O., </w:t>
      </w:r>
      <w:proofErr w:type="spellStart"/>
      <w:r w:rsidRPr="007B3655">
        <w:rPr>
          <w:sz w:val="24"/>
          <w:szCs w:val="24"/>
          <w:lang w:val="en-US"/>
        </w:rPr>
        <w:t>Grebel</w:t>
      </w:r>
      <w:proofErr w:type="spellEnd"/>
      <w:r w:rsidRPr="007B3655">
        <w:rPr>
          <w:sz w:val="24"/>
          <w:szCs w:val="24"/>
          <w:lang w:val="en-US"/>
        </w:rPr>
        <w:t xml:space="preserve">, T., </w:t>
      </w:r>
      <w:proofErr w:type="spellStart"/>
      <w:r w:rsidRPr="007B3655">
        <w:rPr>
          <w:sz w:val="24"/>
          <w:szCs w:val="24"/>
          <w:lang w:val="en-US"/>
        </w:rPr>
        <w:t>Wolling</w:t>
      </w:r>
      <w:proofErr w:type="spellEnd"/>
      <w:r w:rsidRPr="007B3655">
        <w:rPr>
          <w:sz w:val="24"/>
          <w:szCs w:val="24"/>
          <w:lang w:val="en-US"/>
        </w:rPr>
        <w:t xml:space="preserve">, J. &amp; Zhang, X. (2020). Drivers of article processing charges </w:t>
      </w:r>
      <w:proofErr w:type="gramStart"/>
      <w:r w:rsidRPr="007B3655">
        <w:rPr>
          <w:sz w:val="24"/>
          <w:szCs w:val="24"/>
          <w:lang w:val="en-US"/>
        </w:rPr>
        <w:t>in</w:t>
      </w:r>
      <w:proofErr w:type="gramEnd"/>
      <w:r w:rsidRPr="007B3655">
        <w:rPr>
          <w:sz w:val="24"/>
          <w:szCs w:val="24"/>
          <w:lang w:val="en-US"/>
        </w:rPr>
        <w:t xml:space="preserve"> open access. </w:t>
      </w:r>
      <w:r w:rsidRPr="007B3655">
        <w:rPr>
          <w:i/>
          <w:iCs/>
          <w:sz w:val="24"/>
          <w:szCs w:val="24"/>
          <w:lang w:val="en-US"/>
        </w:rPr>
        <w:t>Scientometrics,</w:t>
      </w:r>
      <w:r w:rsidRPr="007B3655">
        <w:rPr>
          <w:sz w:val="24"/>
          <w:szCs w:val="24"/>
          <w:lang w:val="en-US"/>
        </w:rPr>
        <w:t xml:space="preserve"> 124, 2185–2206.</w:t>
      </w:r>
    </w:p>
    <w:p w14:paraId="034A42CC" w14:textId="77777777" w:rsidR="00815EAE" w:rsidRPr="007B3655" w:rsidRDefault="00815EAE" w:rsidP="00815EAE">
      <w:pPr>
        <w:pStyle w:val="008-References"/>
        <w:ind w:left="0" w:firstLine="0"/>
        <w:rPr>
          <w:sz w:val="24"/>
          <w:szCs w:val="24"/>
          <w:lang w:val="en-US"/>
        </w:rPr>
      </w:pPr>
    </w:p>
    <w:p w14:paraId="4D7365A6" w14:textId="7A96B929" w:rsidR="00DF5FC8" w:rsidRPr="007B3655" w:rsidRDefault="00DF5FC8" w:rsidP="00815EAE">
      <w:pPr>
        <w:pStyle w:val="008-References"/>
        <w:ind w:left="0" w:firstLine="0"/>
        <w:rPr>
          <w:sz w:val="24"/>
          <w:szCs w:val="24"/>
          <w:lang w:val="en-US"/>
        </w:rPr>
      </w:pPr>
      <w:r w:rsidRPr="007B3655">
        <w:rPr>
          <w:sz w:val="24"/>
          <w:szCs w:val="24"/>
          <w:lang w:val="en-US"/>
        </w:rPr>
        <w:t xml:space="preserve">Chan, L., &amp; Costa, S. (2005). </w:t>
      </w:r>
      <w:r w:rsidRPr="007B3655">
        <w:rPr>
          <w:i/>
          <w:iCs/>
          <w:sz w:val="24"/>
          <w:szCs w:val="24"/>
          <w:lang w:val="en-US"/>
        </w:rPr>
        <w:t>Participation in the global knowledge commons. Challenges and opportunities for research dissemination in developing countries.</w:t>
      </w:r>
      <w:r w:rsidRPr="007B3655">
        <w:rPr>
          <w:sz w:val="24"/>
          <w:szCs w:val="24"/>
          <w:lang w:val="en-US"/>
        </w:rPr>
        <w:t xml:space="preserve"> New Library World, 106(3-4), 141-163.</w:t>
      </w:r>
    </w:p>
    <w:p w14:paraId="0DD61B83" w14:textId="77777777" w:rsidR="00815EAE" w:rsidRPr="007B3655" w:rsidRDefault="00815EAE" w:rsidP="00815EAE">
      <w:pPr>
        <w:pStyle w:val="008-References"/>
        <w:ind w:left="0" w:firstLine="0"/>
        <w:rPr>
          <w:sz w:val="24"/>
          <w:szCs w:val="24"/>
          <w:lang w:val="nb-NO"/>
        </w:rPr>
      </w:pPr>
    </w:p>
    <w:p w14:paraId="5771232C" w14:textId="52F14AF9" w:rsidR="00DF5FC8" w:rsidRPr="007B3655" w:rsidRDefault="00DF5FC8" w:rsidP="00815EAE">
      <w:pPr>
        <w:pStyle w:val="008-References"/>
        <w:ind w:left="0" w:firstLine="0"/>
        <w:rPr>
          <w:sz w:val="24"/>
          <w:szCs w:val="24"/>
          <w:lang w:val="en-US"/>
        </w:rPr>
      </w:pPr>
      <w:r w:rsidRPr="007B3655">
        <w:rPr>
          <w:sz w:val="24"/>
          <w:szCs w:val="24"/>
          <w:lang w:val="nb-NO"/>
        </w:rPr>
        <w:lastRenderedPageBreak/>
        <w:t xml:space="preserve">Dulle, F.W. &amp; </w:t>
      </w:r>
      <w:proofErr w:type="spellStart"/>
      <w:r w:rsidRPr="007B3655">
        <w:rPr>
          <w:sz w:val="24"/>
          <w:szCs w:val="24"/>
          <w:lang w:val="nb-NO"/>
        </w:rPr>
        <w:t>Minishi-Majanja</w:t>
      </w:r>
      <w:proofErr w:type="spellEnd"/>
      <w:r w:rsidRPr="007B3655">
        <w:rPr>
          <w:sz w:val="24"/>
          <w:szCs w:val="24"/>
          <w:lang w:val="nb-NO"/>
        </w:rPr>
        <w:t xml:space="preserve">, M.M. (2009). </w:t>
      </w:r>
      <w:r w:rsidRPr="007B3655">
        <w:rPr>
          <w:sz w:val="24"/>
          <w:szCs w:val="24"/>
          <w:lang w:val="en-US"/>
        </w:rPr>
        <w:t xml:space="preserve">Researchers' perspectives on open access scholarly communication in Tanzanian public universities. </w:t>
      </w:r>
      <w:r w:rsidRPr="007B3655">
        <w:rPr>
          <w:i/>
          <w:iCs/>
          <w:sz w:val="24"/>
          <w:szCs w:val="24"/>
          <w:lang w:val="en-US"/>
        </w:rPr>
        <w:t xml:space="preserve">South African Journal of Information Management, </w:t>
      </w:r>
      <w:r w:rsidRPr="007B3655">
        <w:rPr>
          <w:sz w:val="24"/>
          <w:szCs w:val="24"/>
          <w:lang w:val="en-US"/>
        </w:rPr>
        <w:t>11(4), a413.</w:t>
      </w:r>
    </w:p>
    <w:p w14:paraId="57F4C0A5" w14:textId="77777777" w:rsidR="00815EAE" w:rsidRPr="007B3655" w:rsidRDefault="00815EAE" w:rsidP="00815EAE">
      <w:pPr>
        <w:pStyle w:val="008-References"/>
        <w:ind w:left="0" w:firstLine="0"/>
        <w:rPr>
          <w:sz w:val="24"/>
          <w:szCs w:val="24"/>
          <w:lang w:val="en-US"/>
        </w:rPr>
      </w:pPr>
    </w:p>
    <w:p w14:paraId="449130A4" w14:textId="69EA2E07" w:rsidR="00DF5FC8" w:rsidRPr="007B3655" w:rsidRDefault="00DF5FC8" w:rsidP="00815EAE">
      <w:pPr>
        <w:pStyle w:val="008-References"/>
        <w:ind w:left="0" w:firstLine="0"/>
        <w:rPr>
          <w:sz w:val="24"/>
          <w:szCs w:val="24"/>
          <w:lang w:val="en-US"/>
        </w:rPr>
      </w:pPr>
      <w:proofErr w:type="spellStart"/>
      <w:r w:rsidRPr="007B3655">
        <w:rPr>
          <w:sz w:val="24"/>
          <w:szCs w:val="24"/>
          <w:lang w:val="en-US"/>
        </w:rPr>
        <w:t>Iyandemye</w:t>
      </w:r>
      <w:proofErr w:type="spellEnd"/>
      <w:r w:rsidRPr="007B3655">
        <w:rPr>
          <w:sz w:val="24"/>
          <w:szCs w:val="24"/>
          <w:lang w:val="en-US"/>
        </w:rPr>
        <w:t xml:space="preserve">, J. &amp; Thomas, M.P. (2019). </w:t>
      </w:r>
      <w:proofErr w:type="gramStart"/>
      <w:r w:rsidRPr="007B3655">
        <w:rPr>
          <w:sz w:val="24"/>
          <w:szCs w:val="24"/>
          <w:lang w:val="en-US"/>
        </w:rPr>
        <w:t>Low income</w:t>
      </w:r>
      <w:proofErr w:type="gramEnd"/>
      <w:r w:rsidRPr="007B3655">
        <w:rPr>
          <w:sz w:val="24"/>
          <w:szCs w:val="24"/>
          <w:lang w:val="en-US"/>
        </w:rPr>
        <w:t xml:space="preserve"> countries have the highest percentages of open access publication: A systematic computational analysis of the biomedical literature. </w:t>
      </w:r>
      <w:proofErr w:type="spellStart"/>
      <w:r w:rsidRPr="007B3655">
        <w:rPr>
          <w:i/>
          <w:iCs/>
          <w:sz w:val="24"/>
          <w:szCs w:val="24"/>
          <w:lang w:val="en-US"/>
        </w:rPr>
        <w:t>PLoS</w:t>
      </w:r>
      <w:proofErr w:type="spellEnd"/>
      <w:r w:rsidRPr="007B3655">
        <w:rPr>
          <w:i/>
          <w:iCs/>
          <w:sz w:val="24"/>
          <w:szCs w:val="24"/>
          <w:lang w:val="en-US"/>
        </w:rPr>
        <w:t xml:space="preserve"> ONE, </w:t>
      </w:r>
      <w:r w:rsidRPr="007B3655">
        <w:rPr>
          <w:sz w:val="24"/>
          <w:szCs w:val="24"/>
          <w:lang w:val="en-US"/>
        </w:rPr>
        <w:t>14(7), e0220229.</w:t>
      </w:r>
    </w:p>
    <w:p w14:paraId="1095E2E7" w14:textId="77777777" w:rsidR="00815EAE" w:rsidRPr="007B3655" w:rsidRDefault="00815EAE" w:rsidP="00815EAE">
      <w:pPr>
        <w:pStyle w:val="008-References"/>
        <w:ind w:left="0" w:firstLine="0"/>
        <w:rPr>
          <w:sz w:val="24"/>
          <w:szCs w:val="24"/>
          <w:lang w:val="nb-NO"/>
        </w:rPr>
      </w:pPr>
    </w:p>
    <w:p w14:paraId="0E028592" w14:textId="638F6EAE" w:rsidR="0043597C" w:rsidRPr="007B3655" w:rsidRDefault="0043597C" w:rsidP="00815EAE">
      <w:pPr>
        <w:pStyle w:val="008-References"/>
        <w:ind w:left="0" w:firstLine="0"/>
        <w:rPr>
          <w:sz w:val="24"/>
          <w:szCs w:val="24"/>
          <w:lang w:val="en-US"/>
        </w:rPr>
      </w:pPr>
      <w:proofErr w:type="spellStart"/>
      <w:r w:rsidRPr="007B3655">
        <w:rPr>
          <w:sz w:val="24"/>
          <w:szCs w:val="24"/>
          <w:lang w:val="nb-NO"/>
        </w:rPr>
        <w:t>Matheka</w:t>
      </w:r>
      <w:proofErr w:type="spellEnd"/>
      <w:r w:rsidRPr="007B3655">
        <w:rPr>
          <w:sz w:val="24"/>
          <w:szCs w:val="24"/>
          <w:lang w:val="nb-NO"/>
        </w:rPr>
        <w:t xml:space="preserve"> DM, </w:t>
      </w:r>
      <w:proofErr w:type="spellStart"/>
      <w:r w:rsidRPr="007B3655">
        <w:rPr>
          <w:sz w:val="24"/>
          <w:szCs w:val="24"/>
          <w:lang w:val="nb-NO"/>
        </w:rPr>
        <w:t>Nderitu</w:t>
      </w:r>
      <w:proofErr w:type="spellEnd"/>
      <w:r w:rsidRPr="007B3655">
        <w:rPr>
          <w:sz w:val="24"/>
          <w:szCs w:val="24"/>
          <w:lang w:val="nb-NO"/>
        </w:rPr>
        <w:t xml:space="preserve"> J, </w:t>
      </w:r>
      <w:proofErr w:type="spellStart"/>
      <w:r w:rsidRPr="007B3655">
        <w:rPr>
          <w:sz w:val="24"/>
          <w:szCs w:val="24"/>
          <w:lang w:val="nb-NO"/>
        </w:rPr>
        <w:t>Mutonga</w:t>
      </w:r>
      <w:proofErr w:type="spellEnd"/>
      <w:r w:rsidRPr="007B3655">
        <w:rPr>
          <w:sz w:val="24"/>
          <w:szCs w:val="24"/>
          <w:lang w:val="nb-NO"/>
        </w:rPr>
        <w:t xml:space="preserve"> D et al</w:t>
      </w:r>
      <w:r w:rsidRPr="007B3655">
        <w:rPr>
          <w:sz w:val="24"/>
          <w:szCs w:val="24"/>
          <w:lang w:val="nb-NO"/>
        </w:rPr>
        <w:t xml:space="preserve"> (2014)</w:t>
      </w:r>
      <w:r w:rsidRPr="007B3655">
        <w:rPr>
          <w:sz w:val="24"/>
          <w:szCs w:val="24"/>
          <w:lang w:val="nb-NO"/>
        </w:rPr>
        <w:t xml:space="preserve">. </w:t>
      </w:r>
      <w:r w:rsidRPr="007B3655">
        <w:rPr>
          <w:sz w:val="24"/>
          <w:szCs w:val="24"/>
          <w:lang w:val="en-US"/>
        </w:rPr>
        <w:t>Open access: academic publishing and its implications for knowledge equity in Kenya. Globalization and Health. Dec;10(1):1-5.</w:t>
      </w:r>
    </w:p>
    <w:p w14:paraId="4F4A974D" w14:textId="77777777" w:rsidR="00815EAE" w:rsidRPr="007B3655" w:rsidRDefault="00815EAE" w:rsidP="00815EAE">
      <w:pPr>
        <w:pStyle w:val="008-References"/>
        <w:ind w:left="0" w:firstLine="0"/>
        <w:rPr>
          <w:sz w:val="24"/>
          <w:szCs w:val="24"/>
          <w:lang w:val="en-US"/>
        </w:rPr>
      </w:pPr>
    </w:p>
    <w:p w14:paraId="35790714" w14:textId="612E7BA7" w:rsidR="00DF5FC8" w:rsidRPr="007B3655" w:rsidRDefault="00DF5FC8" w:rsidP="00815EAE">
      <w:pPr>
        <w:pStyle w:val="008-References"/>
        <w:ind w:left="0" w:firstLine="0"/>
        <w:rPr>
          <w:sz w:val="24"/>
          <w:szCs w:val="24"/>
          <w:lang w:val="en-US"/>
        </w:rPr>
      </w:pPr>
      <w:r w:rsidRPr="007B3655">
        <w:rPr>
          <w:sz w:val="24"/>
          <w:szCs w:val="24"/>
          <w:lang w:val="en-US"/>
        </w:rPr>
        <w:t xml:space="preserve">Nature (2022). Open-access publishing fees deter researchers in the global south. 22 </w:t>
      </w:r>
      <w:proofErr w:type="gramStart"/>
      <w:r w:rsidRPr="007B3655">
        <w:rPr>
          <w:sz w:val="24"/>
          <w:szCs w:val="24"/>
          <w:lang w:val="en-US"/>
        </w:rPr>
        <w:t>February,</w:t>
      </w:r>
      <w:proofErr w:type="gramEnd"/>
      <w:r w:rsidRPr="007B3655">
        <w:rPr>
          <w:sz w:val="24"/>
          <w:szCs w:val="24"/>
          <w:lang w:val="en-US"/>
        </w:rPr>
        <w:t xml:space="preserve"> 2022. </w:t>
      </w:r>
      <w:hyperlink r:id="rId16" w:history="1">
        <w:r w:rsidRPr="007B3655">
          <w:rPr>
            <w:rStyle w:val="Hyperlink"/>
            <w:sz w:val="24"/>
            <w:szCs w:val="24"/>
            <w:lang w:val="en-US"/>
          </w:rPr>
          <w:t>https://www.nature.com/articles/d41586-022-00342-w</w:t>
        </w:r>
      </w:hyperlink>
    </w:p>
    <w:p w14:paraId="0BEB3894" w14:textId="77777777" w:rsidR="00815EAE" w:rsidRPr="007B3655" w:rsidRDefault="00815EAE" w:rsidP="00815EAE">
      <w:pPr>
        <w:pStyle w:val="008-References"/>
        <w:ind w:left="0" w:firstLine="0"/>
        <w:rPr>
          <w:sz w:val="24"/>
          <w:szCs w:val="24"/>
          <w:lang w:val="en-US"/>
        </w:rPr>
      </w:pPr>
    </w:p>
    <w:p w14:paraId="4073CBE0" w14:textId="7B9B3272" w:rsidR="00DF5FC8" w:rsidRPr="007B3655" w:rsidRDefault="00DF5FC8" w:rsidP="00815EAE">
      <w:pPr>
        <w:pStyle w:val="008-References"/>
        <w:ind w:left="0" w:firstLine="0"/>
        <w:rPr>
          <w:sz w:val="24"/>
          <w:szCs w:val="24"/>
          <w:lang w:val="en-US"/>
        </w:rPr>
      </w:pPr>
      <w:r w:rsidRPr="007B3655">
        <w:rPr>
          <w:sz w:val="24"/>
          <w:szCs w:val="24"/>
          <w:lang w:val="en-US"/>
        </w:rPr>
        <w:t xml:space="preserve">Piwowar, H., </w:t>
      </w:r>
      <w:proofErr w:type="spellStart"/>
      <w:r w:rsidRPr="007B3655">
        <w:rPr>
          <w:sz w:val="24"/>
          <w:szCs w:val="24"/>
          <w:lang w:val="en-US"/>
        </w:rPr>
        <w:t>Priem</w:t>
      </w:r>
      <w:proofErr w:type="spellEnd"/>
      <w:r w:rsidRPr="007B3655">
        <w:rPr>
          <w:sz w:val="24"/>
          <w:szCs w:val="24"/>
          <w:lang w:val="en-US"/>
        </w:rPr>
        <w:t xml:space="preserve">, J., Lariviere, V., </w:t>
      </w:r>
      <w:proofErr w:type="spellStart"/>
      <w:r w:rsidRPr="007B3655">
        <w:rPr>
          <w:sz w:val="24"/>
          <w:szCs w:val="24"/>
          <w:lang w:val="en-US"/>
        </w:rPr>
        <w:t>Alperin</w:t>
      </w:r>
      <w:proofErr w:type="spellEnd"/>
      <w:r w:rsidRPr="007B3655">
        <w:rPr>
          <w:sz w:val="24"/>
          <w:szCs w:val="24"/>
          <w:lang w:val="en-US"/>
        </w:rPr>
        <w:t xml:space="preserve">, J. P., Matthias, L., Norlander, B., Farley, A., West, J., &amp; </w:t>
      </w:r>
      <w:proofErr w:type="spellStart"/>
      <w:r w:rsidRPr="007B3655">
        <w:rPr>
          <w:sz w:val="24"/>
          <w:szCs w:val="24"/>
          <w:lang w:val="en-US"/>
        </w:rPr>
        <w:t>Haustein</w:t>
      </w:r>
      <w:proofErr w:type="spellEnd"/>
      <w:r w:rsidRPr="007B3655">
        <w:rPr>
          <w:sz w:val="24"/>
          <w:szCs w:val="24"/>
          <w:lang w:val="en-US"/>
        </w:rPr>
        <w:t xml:space="preserve">, S. (2018). The state of OA: a large-scale analysis of the prevalence and impact of Open Access articles. </w:t>
      </w:r>
      <w:proofErr w:type="spellStart"/>
      <w:r w:rsidRPr="007B3655">
        <w:rPr>
          <w:i/>
          <w:iCs/>
          <w:sz w:val="24"/>
          <w:szCs w:val="24"/>
          <w:lang w:val="en-US"/>
        </w:rPr>
        <w:t>Peerj</w:t>
      </w:r>
      <w:proofErr w:type="spellEnd"/>
      <w:r w:rsidRPr="007B3655">
        <w:rPr>
          <w:sz w:val="24"/>
          <w:szCs w:val="24"/>
          <w:lang w:val="en-US"/>
        </w:rPr>
        <w:t xml:space="preserve">, 6, Article e4375. </w:t>
      </w:r>
      <w:hyperlink r:id="rId17" w:history="1">
        <w:r w:rsidRPr="007B3655">
          <w:rPr>
            <w:rStyle w:val="Hyperlink"/>
            <w:sz w:val="24"/>
            <w:szCs w:val="24"/>
            <w:lang w:val="en-US"/>
          </w:rPr>
          <w:t>https://doi.org/10.7717/peerj.4375</w:t>
        </w:r>
      </w:hyperlink>
      <w:r w:rsidRPr="007B3655">
        <w:rPr>
          <w:sz w:val="24"/>
          <w:szCs w:val="24"/>
          <w:lang w:val="en-US"/>
        </w:rPr>
        <w:t xml:space="preserve">  </w:t>
      </w:r>
    </w:p>
    <w:p w14:paraId="6E8B2413" w14:textId="77777777" w:rsidR="00815EAE" w:rsidRPr="007B3655" w:rsidRDefault="00815EAE" w:rsidP="00815EAE">
      <w:pPr>
        <w:pStyle w:val="008-References"/>
        <w:ind w:left="0" w:firstLine="0"/>
        <w:rPr>
          <w:sz w:val="24"/>
          <w:szCs w:val="24"/>
          <w:lang w:val="en-US"/>
        </w:rPr>
      </w:pPr>
    </w:p>
    <w:p w14:paraId="6DD3982C" w14:textId="1FC1923A" w:rsidR="00DF5FC8" w:rsidRPr="007B3655" w:rsidRDefault="00DF5FC8" w:rsidP="00815EAE">
      <w:pPr>
        <w:pStyle w:val="008-References"/>
        <w:ind w:left="0" w:firstLine="0"/>
        <w:rPr>
          <w:rStyle w:val="Hyperlink"/>
          <w:sz w:val="24"/>
          <w:szCs w:val="24"/>
          <w:lang w:val="en-US"/>
        </w:rPr>
      </w:pPr>
      <w:r w:rsidRPr="007B3655">
        <w:rPr>
          <w:sz w:val="24"/>
          <w:szCs w:val="24"/>
          <w:lang w:val="en-US"/>
        </w:rPr>
        <w:t xml:space="preserve">Simard M-A, </w:t>
      </w:r>
      <w:proofErr w:type="spellStart"/>
      <w:r w:rsidRPr="007B3655">
        <w:rPr>
          <w:sz w:val="24"/>
          <w:szCs w:val="24"/>
          <w:lang w:val="en-US"/>
        </w:rPr>
        <w:t>Ghiasi</w:t>
      </w:r>
      <w:proofErr w:type="spellEnd"/>
      <w:r w:rsidRPr="007B3655">
        <w:rPr>
          <w:sz w:val="24"/>
          <w:szCs w:val="24"/>
          <w:lang w:val="en-US"/>
        </w:rPr>
        <w:t xml:space="preserve"> G, </w:t>
      </w:r>
      <w:proofErr w:type="spellStart"/>
      <w:r w:rsidRPr="007B3655">
        <w:rPr>
          <w:sz w:val="24"/>
          <w:szCs w:val="24"/>
          <w:lang w:val="en-US"/>
        </w:rPr>
        <w:t>Mongeon</w:t>
      </w:r>
      <w:proofErr w:type="spellEnd"/>
      <w:r w:rsidRPr="007B3655">
        <w:rPr>
          <w:sz w:val="24"/>
          <w:szCs w:val="24"/>
          <w:lang w:val="en-US"/>
        </w:rPr>
        <w:t xml:space="preserve"> P &amp; Larivière V. (2022). National differences in dissemination and use of open access literature. </w:t>
      </w:r>
      <w:proofErr w:type="spellStart"/>
      <w:r w:rsidRPr="007B3655">
        <w:rPr>
          <w:i/>
          <w:iCs/>
          <w:sz w:val="24"/>
          <w:szCs w:val="24"/>
          <w:lang w:val="en-US"/>
        </w:rPr>
        <w:t>PLoS</w:t>
      </w:r>
      <w:proofErr w:type="spellEnd"/>
      <w:r w:rsidRPr="007B3655">
        <w:rPr>
          <w:i/>
          <w:iCs/>
          <w:sz w:val="24"/>
          <w:szCs w:val="24"/>
          <w:lang w:val="en-US"/>
        </w:rPr>
        <w:t xml:space="preserve"> ONE, </w:t>
      </w:r>
      <w:r w:rsidRPr="007B3655">
        <w:rPr>
          <w:sz w:val="24"/>
          <w:szCs w:val="24"/>
          <w:lang w:val="en-US"/>
        </w:rPr>
        <w:t>17(8), e0272730.</w:t>
      </w:r>
      <w:r w:rsidR="00815EAE" w:rsidRPr="007B3655">
        <w:rPr>
          <w:sz w:val="24"/>
          <w:szCs w:val="24"/>
          <w:lang w:val="en-US"/>
        </w:rPr>
        <w:t xml:space="preserve"> </w:t>
      </w:r>
      <w:hyperlink r:id="rId18" w:history="1">
        <w:r w:rsidR="00815EAE" w:rsidRPr="007B3655">
          <w:rPr>
            <w:rStyle w:val="Hyperlink"/>
            <w:sz w:val="24"/>
            <w:szCs w:val="24"/>
            <w:lang w:val="en-US"/>
          </w:rPr>
          <w:t>https://doi.org/10.1371/journal.pone.0272730</w:t>
        </w:r>
      </w:hyperlink>
    </w:p>
    <w:p w14:paraId="469D0E54" w14:textId="77777777" w:rsidR="00815EAE" w:rsidRPr="007B3655" w:rsidRDefault="00815EAE" w:rsidP="00815EAE">
      <w:pPr>
        <w:pStyle w:val="008-References"/>
        <w:ind w:left="0" w:firstLine="0"/>
        <w:rPr>
          <w:sz w:val="24"/>
          <w:szCs w:val="24"/>
          <w:lang w:val="en-US"/>
        </w:rPr>
      </w:pPr>
    </w:p>
    <w:p w14:paraId="6981C984" w14:textId="514E5EF0" w:rsidR="00DF5FC8" w:rsidRPr="007B3655" w:rsidRDefault="00DF5FC8" w:rsidP="00815EAE">
      <w:pPr>
        <w:pStyle w:val="008-References"/>
        <w:ind w:left="0" w:firstLine="0"/>
        <w:rPr>
          <w:rStyle w:val="Hyperlink"/>
          <w:color w:val="auto"/>
          <w:sz w:val="24"/>
          <w:szCs w:val="24"/>
          <w:u w:val="none"/>
          <w:lang w:val="en-US"/>
        </w:rPr>
      </w:pPr>
      <w:r w:rsidRPr="007B3655">
        <w:rPr>
          <w:sz w:val="24"/>
          <w:szCs w:val="24"/>
          <w:lang w:val="en-US"/>
        </w:rPr>
        <w:t xml:space="preserve">Simkin, M. V., &amp; </w:t>
      </w:r>
      <w:proofErr w:type="spellStart"/>
      <w:r w:rsidRPr="007B3655">
        <w:rPr>
          <w:sz w:val="24"/>
          <w:szCs w:val="24"/>
          <w:lang w:val="en-US"/>
        </w:rPr>
        <w:t>Roychowdhury</w:t>
      </w:r>
      <w:proofErr w:type="spellEnd"/>
      <w:r w:rsidRPr="007B3655">
        <w:rPr>
          <w:sz w:val="24"/>
          <w:szCs w:val="24"/>
          <w:lang w:val="en-US"/>
        </w:rPr>
        <w:t xml:space="preserve">, V. P. (2007). A mathematical theory of citing. </w:t>
      </w:r>
      <w:r w:rsidRPr="007B3655">
        <w:rPr>
          <w:i/>
          <w:iCs/>
          <w:sz w:val="24"/>
          <w:szCs w:val="24"/>
          <w:lang w:val="en-US"/>
        </w:rPr>
        <w:t>Journal of the American Society for Information Science and Technology</w:t>
      </w:r>
      <w:r w:rsidRPr="007B3655">
        <w:rPr>
          <w:sz w:val="24"/>
          <w:szCs w:val="24"/>
          <w:lang w:val="en-US"/>
        </w:rPr>
        <w:t xml:space="preserve">, 58(11), 1661-1673. </w:t>
      </w:r>
      <w:hyperlink r:id="rId19" w:history="1">
        <w:r w:rsidRPr="007B3655">
          <w:rPr>
            <w:rStyle w:val="Hyperlink"/>
            <w:sz w:val="24"/>
            <w:szCs w:val="24"/>
            <w:lang w:val="en-US"/>
          </w:rPr>
          <w:t>https://doi.org/10.1002/asi.20653</w:t>
        </w:r>
      </w:hyperlink>
      <w:r w:rsidRPr="007B3655">
        <w:rPr>
          <w:sz w:val="24"/>
          <w:szCs w:val="24"/>
          <w:lang w:val="en-US"/>
        </w:rPr>
        <w:t xml:space="preserve">  </w:t>
      </w:r>
    </w:p>
    <w:p w14:paraId="1236505F" w14:textId="77777777" w:rsidR="00815EAE" w:rsidRPr="007B3655" w:rsidRDefault="00815EAE" w:rsidP="00815EAE">
      <w:pPr>
        <w:pStyle w:val="008-References"/>
        <w:ind w:left="0" w:firstLine="0"/>
        <w:rPr>
          <w:sz w:val="24"/>
          <w:szCs w:val="24"/>
          <w:lang w:val="en-US"/>
        </w:rPr>
      </w:pPr>
    </w:p>
    <w:p w14:paraId="331CBEC5" w14:textId="123B90FF" w:rsidR="00DF5FC8" w:rsidRPr="007B3655" w:rsidRDefault="00DF5FC8" w:rsidP="00815EAE">
      <w:pPr>
        <w:pStyle w:val="008-References"/>
        <w:ind w:left="0" w:firstLine="0"/>
        <w:rPr>
          <w:sz w:val="24"/>
          <w:szCs w:val="24"/>
          <w:lang w:val="en-US"/>
        </w:rPr>
      </w:pPr>
      <w:r w:rsidRPr="007B3655">
        <w:rPr>
          <w:sz w:val="24"/>
          <w:szCs w:val="24"/>
          <w:lang w:val="en-US"/>
        </w:rPr>
        <w:t xml:space="preserve">Taylor, J. (2022). The Shady Margins of Open Access: Gray OA and Academic Social Network Sites. </w:t>
      </w:r>
      <w:r w:rsidRPr="007B3655">
        <w:rPr>
          <w:i/>
          <w:iCs/>
          <w:sz w:val="24"/>
          <w:szCs w:val="24"/>
          <w:lang w:val="en-US"/>
        </w:rPr>
        <w:t>Technical Services Quarterly,</w:t>
      </w:r>
      <w:r w:rsidRPr="007B3655">
        <w:rPr>
          <w:sz w:val="24"/>
          <w:szCs w:val="24"/>
          <w:lang w:val="en-US"/>
        </w:rPr>
        <w:t xml:space="preserve"> 39(4), 428-439. </w:t>
      </w:r>
      <w:hyperlink r:id="rId20" w:history="1">
        <w:r w:rsidRPr="007B3655">
          <w:rPr>
            <w:rStyle w:val="Hyperlink"/>
            <w:sz w:val="24"/>
            <w:szCs w:val="24"/>
            <w:lang w:val="en-US"/>
          </w:rPr>
          <w:t>https://doi.org/10.1080/07317131.2022.2125679</w:t>
        </w:r>
      </w:hyperlink>
      <w:r w:rsidRPr="007B3655">
        <w:rPr>
          <w:sz w:val="24"/>
          <w:szCs w:val="24"/>
          <w:lang w:val="en-US"/>
        </w:rPr>
        <w:t xml:space="preserve">   </w:t>
      </w:r>
    </w:p>
    <w:p w14:paraId="07A3702D" w14:textId="77777777" w:rsidR="00815EAE" w:rsidRPr="007B3655" w:rsidRDefault="00815EAE" w:rsidP="00815EAE">
      <w:pPr>
        <w:pStyle w:val="008-References"/>
        <w:ind w:left="0" w:firstLine="0"/>
        <w:rPr>
          <w:sz w:val="24"/>
          <w:szCs w:val="24"/>
          <w:lang w:val="en-US"/>
        </w:rPr>
      </w:pPr>
    </w:p>
    <w:p w14:paraId="70CF6208" w14:textId="48B5F5CC" w:rsidR="00DF5FC8" w:rsidRPr="007B3655" w:rsidRDefault="00DF5FC8" w:rsidP="00815EAE">
      <w:pPr>
        <w:pStyle w:val="008-References"/>
        <w:ind w:left="0" w:firstLine="0"/>
        <w:rPr>
          <w:sz w:val="24"/>
          <w:szCs w:val="24"/>
          <w:lang w:val="en-US"/>
        </w:rPr>
      </w:pPr>
      <w:r w:rsidRPr="007B3655">
        <w:rPr>
          <w:sz w:val="24"/>
          <w:szCs w:val="24"/>
          <w:lang w:val="en-US"/>
        </w:rPr>
        <w:t xml:space="preserve">World Bank (2022). How does the World Bank classify countries? Available at: </w:t>
      </w:r>
      <w:hyperlink r:id="rId21" w:history="1">
        <w:r w:rsidRPr="007B3655">
          <w:rPr>
            <w:rStyle w:val="Hyperlink"/>
            <w:sz w:val="24"/>
            <w:szCs w:val="24"/>
            <w:lang w:val="en-US"/>
          </w:rPr>
          <w:t>https://datahelpdesk.worldbank.org/knowledgebase/articles/378834-how-does-the-world-bank-classify-countries</w:t>
        </w:r>
      </w:hyperlink>
      <w:r w:rsidRPr="007B3655">
        <w:rPr>
          <w:sz w:val="24"/>
          <w:szCs w:val="24"/>
          <w:lang w:val="en-US"/>
        </w:rPr>
        <w:t xml:space="preserve"> </w:t>
      </w:r>
    </w:p>
    <w:p w14:paraId="44702659" w14:textId="77777777" w:rsidR="003F6DB8" w:rsidRPr="007B3655" w:rsidRDefault="003F6DB8" w:rsidP="00F92089">
      <w:pPr>
        <w:jc w:val="both"/>
        <w:rPr>
          <w:lang w:val="en-US"/>
        </w:rPr>
      </w:pPr>
    </w:p>
    <w:p w14:paraId="3A56BE33" w14:textId="77777777" w:rsidR="003F6DB8" w:rsidRDefault="003F6DB8" w:rsidP="00F92089">
      <w:pPr>
        <w:jc w:val="both"/>
      </w:pPr>
    </w:p>
    <w:p w14:paraId="13ADDDD6" w14:textId="62560F37" w:rsidR="003F6DB8" w:rsidRPr="00173EAD" w:rsidRDefault="003F6DB8" w:rsidP="003F6DB8">
      <w:pPr>
        <w:jc w:val="both"/>
      </w:pPr>
    </w:p>
    <w:sectPr w:rsidR="003F6DB8"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E90D" w14:textId="77777777" w:rsidR="002C264E" w:rsidRDefault="002C264E">
      <w:r>
        <w:separator/>
      </w:r>
    </w:p>
  </w:endnote>
  <w:endnote w:type="continuationSeparator" w:id="0">
    <w:p w14:paraId="3A8EA8D7" w14:textId="77777777" w:rsidR="002C264E" w:rsidRDefault="002C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1FC4" w14:textId="77777777" w:rsidR="002C264E" w:rsidRDefault="002C264E">
      <w:r>
        <w:separator/>
      </w:r>
    </w:p>
  </w:footnote>
  <w:footnote w:type="continuationSeparator" w:id="0">
    <w:p w14:paraId="079F50CE" w14:textId="77777777" w:rsidR="002C264E" w:rsidRDefault="002C264E">
      <w:r>
        <w:continuationSeparator/>
      </w:r>
    </w:p>
  </w:footnote>
  <w:footnote w:id="1">
    <w:p w14:paraId="2D81BAB3" w14:textId="49C883D8" w:rsidR="00F4588B" w:rsidRPr="00F4588B" w:rsidRDefault="00F4588B" w:rsidP="00F4588B">
      <w:pPr>
        <w:pStyle w:val="FootnoteText"/>
      </w:pPr>
      <w:r>
        <w:rPr>
          <w:rStyle w:val="FootnoteReference"/>
        </w:rPr>
        <w:footnoteRef/>
      </w:r>
      <w:r>
        <w:t xml:space="preserve"> </w:t>
      </w:r>
      <w:r w:rsidRPr="00F4588B">
        <w:t>An extended version of this paper has been posted</w:t>
      </w:r>
      <w:r>
        <w:t xml:space="preserve"> o</w:t>
      </w:r>
      <w:r w:rsidR="00BE7D4E">
        <w:t xml:space="preserve">n </w:t>
      </w:r>
      <w:proofErr w:type="spellStart"/>
      <w:r w:rsidR="00D64C31" w:rsidRPr="00D64C31">
        <w:t>SocArXiv</w:t>
      </w:r>
      <w:proofErr w:type="spellEnd"/>
      <w:r w:rsidR="00D64C31">
        <w:t xml:space="preserve"> </w:t>
      </w:r>
      <w:r w:rsidR="00D64C31" w:rsidRPr="00D64C31">
        <w:t>Paper</w:t>
      </w:r>
      <w:r w:rsidR="00AE3B31">
        <w:t>s</w:t>
      </w:r>
      <w:r w:rsidRPr="00F4588B">
        <w:t xml:space="preserve">: </w:t>
      </w:r>
      <w:hyperlink r:id="rId1" w:history="1">
        <w:r w:rsidRPr="002A72A6">
          <w:rPr>
            <w:rStyle w:val="Hyperlink"/>
          </w:rPr>
          <w:t>https://doi.org</w:t>
        </w:r>
        <w:r w:rsidRPr="002A72A6">
          <w:rPr>
            <w:rStyle w:val="Hyperlink"/>
          </w:rPr>
          <w:t>/</w:t>
        </w:r>
        <w:r w:rsidRPr="002A72A6">
          <w:rPr>
            <w:rStyle w:val="Hyperlink"/>
          </w:rPr>
          <w:t>10.31235/osf.io/ecgzh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331F"/>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0A3"/>
    <w:rsid w:val="000C1967"/>
    <w:rsid w:val="000C25AF"/>
    <w:rsid w:val="000D460F"/>
    <w:rsid w:val="000F6691"/>
    <w:rsid w:val="000F6A38"/>
    <w:rsid w:val="00105061"/>
    <w:rsid w:val="00105A1D"/>
    <w:rsid w:val="001138CA"/>
    <w:rsid w:val="00114C9D"/>
    <w:rsid w:val="00130BAD"/>
    <w:rsid w:val="001402B3"/>
    <w:rsid w:val="00153631"/>
    <w:rsid w:val="00157749"/>
    <w:rsid w:val="00161230"/>
    <w:rsid w:val="00173EAD"/>
    <w:rsid w:val="00175488"/>
    <w:rsid w:val="00176271"/>
    <w:rsid w:val="00186CF6"/>
    <w:rsid w:val="0019174B"/>
    <w:rsid w:val="001B124A"/>
    <w:rsid w:val="001D7CC8"/>
    <w:rsid w:val="001E33F7"/>
    <w:rsid w:val="001E568F"/>
    <w:rsid w:val="001F2E91"/>
    <w:rsid w:val="001F332D"/>
    <w:rsid w:val="001F7644"/>
    <w:rsid w:val="0020033E"/>
    <w:rsid w:val="00202745"/>
    <w:rsid w:val="0021124E"/>
    <w:rsid w:val="002127DC"/>
    <w:rsid w:val="0022290C"/>
    <w:rsid w:val="00234709"/>
    <w:rsid w:val="002570BB"/>
    <w:rsid w:val="00264C86"/>
    <w:rsid w:val="00264F48"/>
    <w:rsid w:val="002662DD"/>
    <w:rsid w:val="00276CC7"/>
    <w:rsid w:val="00276F10"/>
    <w:rsid w:val="0028410F"/>
    <w:rsid w:val="0029109C"/>
    <w:rsid w:val="00291BD4"/>
    <w:rsid w:val="0029211E"/>
    <w:rsid w:val="00293DA3"/>
    <w:rsid w:val="002943CA"/>
    <w:rsid w:val="002B1950"/>
    <w:rsid w:val="002B6E29"/>
    <w:rsid w:val="002B7AC6"/>
    <w:rsid w:val="002C0FA2"/>
    <w:rsid w:val="002C264E"/>
    <w:rsid w:val="002C342A"/>
    <w:rsid w:val="002D1B17"/>
    <w:rsid w:val="002D33F7"/>
    <w:rsid w:val="002D3BE4"/>
    <w:rsid w:val="002D710E"/>
    <w:rsid w:val="002E7904"/>
    <w:rsid w:val="002F243C"/>
    <w:rsid w:val="00304AD6"/>
    <w:rsid w:val="00310C0B"/>
    <w:rsid w:val="0031202E"/>
    <w:rsid w:val="003124AD"/>
    <w:rsid w:val="003127D0"/>
    <w:rsid w:val="00320C5D"/>
    <w:rsid w:val="00340196"/>
    <w:rsid w:val="00345E92"/>
    <w:rsid w:val="0034654D"/>
    <w:rsid w:val="00346A57"/>
    <w:rsid w:val="00351AF2"/>
    <w:rsid w:val="0035307C"/>
    <w:rsid w:val="00354D41"/>
    <w:rsid w:val="00370126"/>
    <w:rsid w:val="00371ACD"/>
    <w:rsid w:val="00374CB6"/>
    <w:rsid w:val="00383A87"/>
    <w:rsid w:val="00383D05"/>
    <w:rsid w:val="003875E1"/>
    <w:rsid w:val="00387850"/>
    <w:rsid w:val="00390253"/>
    <w:rsid w:val="003947CA"/>
    <w:rsid w:val="003960AE"/>
    <w:rsid w:val="003B6383"/>
    <w:rsid w:val="003C30AF"/>
    <w:rsid w:val="003C4345"/>
    <w:rsid w:val="003C5313"/>
    <w:rsid w:val="003C6EF5"/>
    <w:rsid w:val="003C76AF"/>
    <w:rsid w:val="003D1C80"/>
    <w:rsid w:val="003F2383"/>
    <w:rsid w:val="003F6DB8"/>
    <w:rsid w:val="00402C81"/>
    <w:rsid w:val="004057FC"/>
    <w:rsid w:val="00420106"/>
    <w:rsid w:val="00430FC6"/>
    <w:rsid w:val="00432F75"/>
    <w:rsid w:val="0043597C"/>
    <w:rsid w:val="0044073E"/>
    <w:rsid w:val="00445337"/>
    <w:rsid w:val="00445A23"/>
    <w:rsid w:val="00451AA5"/>
    <w:rsid w:val="004552F2"/>
    <w:rsid w:val="0045560F"/>
    <w:rsid w:val="004725C8"/>
    <w:rsid w:val="00475931"/>
    <w:rsid w:val="004971AB"/>
    <w:rsid w:val="004B5FAC"/>
    <w:rsid w:val="004D4532"/>
    <w:rsid w:val="004E212B"/>
    <w:rsid w:val="004E216C"/>
    <w:rsid w:val="004E56AC"/>
    <w:rsid w:val="005110DD"/>
    <w:rsid w:val="005170CD"/>
    <w:rsid w:val="005172F9"/>
    <w:rsid w:val="00517FCF"/>
    <w:rsid w:val="00522BF8"/>
    <w:rsid w:val="0053603D"/>
    <w:rsid w:val="0054026B"/>
    <w:rsid w:val="00542798"/>
    <w:rsid w:val="0054666D"/>
    <w:rsid w:val="00554E8F"/>
    <w:rsid w:val="005579E6"/>
    <w:rsid w:val="00570E3F"/>
    <w:rsid w:val="00572E3E"/>
    <w:rsid w:val="005736CB"/>
    <w:rsid w:val="0057717C"/>
    <w:rsid w:val="0058753E"/>
    <w:rsid w:val="005933CE"/>
    <w:rsid w:val="0059463D"/>
    <w:rsid w:val="00595181"/>
    <w:rsid w:val="00595AC4"/>
    <w:rsid w:val="00596F60"/>
    <w:rsid w:val="005A1BF2"/>
    <w:rsid w:val="005A6BDA"/>
    <w:rsid w:val="005B3511"/>
    <w:rsid w:val="005C3ACB"/>
    <w:rsid w:val="005C4E54"/>
    <w:rsid w:val="005C6A9C"/>
    <w:rsid w:val="005D48B2"/>
    <w:rsid w:val="005D72A0"/>
    <w:rsid w:val="005E34BB"/>
    <w:rsid w:val="005E5D82"/>
    <w:rsid w:val="00606575"/>
    <w:rsid w:val="006075F7"/>
    <w:rsid w:val="00614ED0"/>
    <w:rsid w:val="00625303"/>
    <w:rsid w:val="0063363B"/>
    <w:rsid w:val="00646543"/>
    <w:rsid w:val="00647A0B"/>
    <w:rsid w:val="006510F8"/>
    <w:rsid w:val="006513C3"/>
    <w:rsid w:val="006609A8"/>
    <w:rsid w:val="0066157A"/>
    <w:rsid w:val="00662AF1"/>
    <w:rsid w:val="00663AC3"/>
    <w:rsid w:val="006674A7"/>
    <w:rsid w:val="0067604B"/>
    <w:rsid w:val="006813D7"/>
    <w:rsid w:val="00681AAA"/>
    <w:rsid w:val="006832B1"/>
    <w:rsid w:val="00684B8B"/>
    <w:rsid w:val="0069131F"/>
    <w:rsid w:val="006A3370"/>
    <w:rsid w:val="006A7996"/>
    <w:rsid w:val="006B2565"/>
    <w:rsid w:val="006C40B1"/>
    <w:rsid w:val="006D14F4"/>
    <w:rsid w:val="006E3FD1"/>
    <w:rsid w:val="006E7E5A"/>
    <w:rsid w:val="006F43C6"/>
    <w:rsid w:val="006F487B"/>
    <w:rsid w:val="007042BB"/>
    <w:rsid w:val="007043AB"/>
    <w:rsid w:val="007053E7"/>
    <w:rsid w:val="007155F7"/>
    <w:rsid w:val="007228AC"/>
    <w:rsid w:val="0073347A"/>
    <w:rsid w:val="00737C87"/>
    <w:rsid w:val="0074177C"/>
    <w:rsid w:val="007625EF"/>
    <w:rsid w:val="00762864"/>
    <w:rsid w:val="0076587B"/>
    <w:rsid w:val="00774DEE"/>
    <w:rsid w:val="0077796D"/>
    <w:rsid w:val="00780EC7"/>
    <w:rsid w:val="0078754B"/>
    <w:rsid w:val="007A111A"/>
    <w:rsid w:val="007A42E7"/>
    <w:rsid w:val="007A59E1"/>
    <w:rsid w:val="007B0953"/>
    <w:rsid w:val="007B3655"/>
    <w:rsid w:val="007C30D8"/>
    <w:rsid w:val="007D2A59"/>
    <w:rsid w:val="007D5D0E"/>
    <w:rsid w:val="007E10E7"/>
    <w:rsid w:val="007E24E0"/>
    <w:rsid w:val="007F1C34"/>
    <w:rsid w:val="007F3BBB"/>
    <w:rsid w:val="007F57FB"/>
    <w:rsid w:val="00800369"/>
    <w:rsid w:val="00810FA5"/>
    <w:rsid w:val="00813E5C"/>
    <w:rsid w:val="00815EAE"/>
    <w:rsid w:val="008168F4"/>
    <w:rsid w:val="00823AF0"/>
    <w:rsid w:val="00835B6B"/>
    <w:rsid w:val="00842618"/>
    <w:rsid w:val="00850929"/>
    <w:rsid w:val="00852334"/>
    <w:rsid w:val="008618F8"/>
    <w:rsid w:val="00870B16"/>
    <w:rsid w:val="00891F77"/>
    <w:rsid w:val="008954D8"/>
    <w:rsid w:val="008A7716"/>
    <w:rsid w:val="008C2573"/>
    <w:rsid w:val="008C52D4"/>
    <w:rsid w:val="008C7648"/>
    <w:rsid w:val="008D093E"/>
    <w:rsid w:val="008D49E0"/>
    <w:rsid w:val="008D4FBA"/>
    <w:rsid w:val="008E3F52"/>
    <w:rsid w:val="008E5795"/>
    <w:rsid w:val="008E6E34"/>
    <w:rsid w:val="008F1E72"/>
    <w:rsid w:val="008F2C66"/>
    <w:rsid w:val="008F6633"/>
    <w:rsid w:val="008F783D"/>
    <w:rsid w:val="009130A2"/>
    <w:rsid w:val="00915294"/>
    <w:rsid w:val="00920385"/>
    <w:rsid w:val="00927ECF"/>
    <w:rsid w:val="009302E1"/>
    <w:rsid w:val="0093532C"/>
    <w:rsid w:val="00936A7C"/>
    <w:rsid w:val="009501DD"/>
    <w:rsid w:val="00953BA1"/>
    <w:rsid w:val="00960AE4"/>
    <w:rsid w:val="00962921"/>
    <w:rsid w:val="009737E3"/>
    <w:rsid w:val="00977E83"/>
    <w:rsid w:val="00994680"/>
    <w:rsid w:val="009A1E7B"/>
    <w:rsid w:val="009D026B"/>
    <w:rsid w:val="009D3E65"/>
    <w:rsid w:val="009E23BF"/>
    <w:rsid w:val="009E4B24"/>
    <w:rsid w:val="009F2359"/>
    <w:rsid w:val="00A22AC2"/>
    <w:rsid w:val="00A34EA7"/>
    <w:rsid w:val="00A40DD3"/>
    <w:rsid w:val="00A4362D"/>
    <w:rsid w:val="00A6701C"/>
    <w:rsid w:val="00A71714"/>
    <w:rsid w:val="00A96B02"/>
    <w:rsid w:val="00AA1481"/>
    <w:rsid w:val="00AB2736"/>
    <w:rsid w:val="00AC140C"/>
    <w:rsid w:val="00AC7E0B"/>
    <w:rsid w:val="00AD2309"/>
    <w:rsid w:val="00AD3532"/>
    <w:rsid w:val="00AD53B6"/>
    <w:rsid w:val="00AD6D2D"/>
    <w:rsid w:val="00AE0972"/>
    <w:rsid w:val="00AE3B31"/>
    <w:rsid w:val="00AE7776"/>
    <w:rsid w:val="00AF2859"/>
    <w:rsid w:val="00B06CDE"/>
    <w:rsid w:val="00B12ED4"/>
    <w:rsid w:val="00B152AA"/>
    <w:rsid w:val="00B16715"/>
    <w:rsid w:val="00B16E8E"/>
    <w:rsid w:val="00B223C2"/>
    <w:rsid w:val="00B35DB9"/>
    <w:rsid w:val="00B37147"/>
    <w:rsid w:val="00B40140"/>
    <w:rsid w:val="00B42E85"/>
    <w:rsid w:val="00B438CA"/>
    <w:rsid w:val="00B5494B"/>
    <w:rsid w:val="00B5776F"/>
    <w:rsid w:val="00B63DFC"/>
    <w:rsid w:val="00B71AD5"/>
    <w:rsid w:val="00B73A76"/>
    <w:rsid w:val="00B73A77"/>
    <w:rsid w:val="00B868DF"/>
    <w:rsid w:val="00B90235"/>
    <w:rsid w:val="00BA4144"/>
    <w:rsid w:val="00BA4F90"/>
    <w:rsid w:val="00BA59EF"/>
    <w:rsid w:val="00BA68EE"/>
    <w:rsid w:val="00BA6F1A"/>
    <w:rsid w:val="00BB293E"/>
    <w:rsid w:val="00BB2E42"/>
    <w:rsid w:val="00BC2363"/>
    <w:rsid w:val="00BD2667"/>
    <w:rsid w:val="00BE7D4E"/>
    <w:rsid w:val="00BF356F"/>
    <w:rsid w:val="00C0000D"/>
    <w:rsid w:val="00C0424C"/>
    <w:rsid w:val="00C06D28"/>
    <w:rsid w:val="00C101A6"/>
    <w:rsid w:val="00C20F85"/>
    <w:rsid w:val="00C213E6"/>
    <w:rsid w:val="00C2367B"/>
    <w:rsid w:val="00C33E90"/>
    <w:rsid w:val="00C3437E"/>
    <w:rsid w:val="00C4162F"/>
    <w:rsid w:val="00C437DD"/>
    <w:rsid w:val="00C54A18"/>
    <w:rsid w:val="00C573E3"/>
    <w:rsid w:val="00C6489E"/>
    <w:rsid w:val="00C64E98"/>
    <w:rsid w:val="00C70596"/>
    <w:rsid w:val="00C731E1"/>
    <w:rsid w:val="00C76479"/>
    <w:rsid w:val="00C765BD"/>
    <w:rsid w:val="00C86E38"/>
    <w:rsid w:val="00C90B76"/>
    <w:rsid w:val="00C95DB3"/>
    <w:rsid w:val="00CA1357"/>
    <w:rsid w:val="00CA37F0"/>
    <w:rsid w:val="00CA63BE"/>
    <w:rsid w:val="00CA76C7"/>
    <w:rsid w:val="00CB0C61"/>
    <w:rsid w:val="00CB15AC"/>
    <w:rsid w:val="00CB6152"/>
    <w:rsid w:val="00CB7BCF"/>
    <w:rsid w:val="00CC28DE"/>
    <w:rsid w:val="00CE3C45"/>
    <w:rsid w:val="00CE70E2"/>
    <w:rsid w:val="00CF44BA"/>
    <w:rsid w:val="00CF4FCF"/>
    <w:rsid w:val="00D00AAB"/>
    <w:rsid w:val="00D02002"/>
    <w:rsid w:val="00D03AD4"/>
    <w:rsid w:val="00D05F98"/>
    <w:rsid w:val="00D132FE"/>
    <w:rsid w:val="00D16BC6"/>
    <w:rsid w:val="00D21277"/>
    <w:rsid w:val="00D269CF"/>
    <w:rsid w:val="00D314CF"/>
    <w:rsid w:val="00D34688"/>
    <w:rsid w:val="00D50395"/>
    <w:rsid w:val="00D54C10"/>
    <w:rsid w:val="00D54E25"/>
    <w:rsid w:val="00D5520D"/>
    <w:rsid w:val="00D64C31"/>
    <w:rsid w:val="00D65F13"/>
    <w:rsid w:val="00D837D9"/>
    <w:rsid w:val="00D932E5"/>
    <w:rsid w:val="00D96243"/>
    <w:rsid w:val="00DA0EAC"/>
    <w:rsid w:val="00DB0E28"/>
    <w:rsid w:val="00DB11DC"/>
    <w:rsid w:val="00DB40B2"/>
    <w:rsid w:val="00DC105B"/>
    <w:rsid w:val="00DC6FB5"/>
    <w:rsid w:val="00DD4EE0"/>
    <w:rsid w:val="00DE0DF1"/>
    <w:rsid w:val="00DE0E40"/>
    <w:rsid w:val="00DE2478"/>
    <w:rsid w:val="00DE5BD2"/>
    <w:rsid w:val="00DF037E"/>
    <w:rsid w:val="00DF2DC3"/>
    <w:rsid w:val="00DF54C9"/>
    <w:rsid w:val="00DF5FC8"/>
    <w:rsid w:val="00E03487"/>
    <w:rsid w:val="00E077DB"/>
    <w:rsid w:val="00E11B82"/>
    <w:rsid w:val="00E1368F"/>
    <w:rsid w:val="00E15874"/>
    <w:rsid w:val="00E30589"/>
    <w:rsid w:val="00E32A1D"/>
    <w:rsid w:val="00E33403"/>
    <w:rsid w:val="00E34C97"/>
    <w:rsid w:val="00E44280"/>
    <w:rsid w:val="00E44F35"/>
    <w:rsid w:val="00E501C4"/>
    <w:rsid w:val="00E50A3D"/>
    <w:rsid w:val="00E55FBC"/>
    <w:rsid w:val="00E65DF9"/>
    <w:rsid w:val="00E74E31"/>
    <w:rsid w:val="00E7703F"/>
    <w:rsid w:val="00EA446D"/>
    <w:rsid w:val="00EA6D4C"/>
    <w:rsid w:val="00EA7E9B"/>
    <w:rsid w:val="00EB1190"/>
    <w:rsid w:val="00EB5C09"/>
    <w:rsid w:val="00EB6600"/>
    <w:rsid w:val="00EC015D"/>
    <w:rsid w:val="00EC04B8"/>
    <w:rsid w:val="00EC286B"/>
    <w:rsid w:val="00EC7804"/>
    <w:rsid w:val="00ED27EB"/>
    <w:rsid w:val="00EE4AC8"/>
    <w:rsid w:val="00EE791C"/>
    <w:rsid w:val="00EF2082"/>
    <w:rsid w:val="00EF3656"/>
    <w:rsid w:val="00F047FA"/>
    <w:rsid w:val="00F0578C"/>
    <w:rsid w:val="00F063FB"/>
    <w:rsid w:val="00F065E7"/>
    <w:rsid w:val="00F11FF9"/>
    <w:rsid w:val="00F13510"/>
    <w:rsid w:val="00F233ED"/>
    <w:rsid w:val="00F25426"/>
    <w:rsid w:val="00F2758B"/>
    <w:rsid w:val="00F37D2C"/>
    <w:rsid w:val="00F45882"/>
    <w:rsid w:val="00F4588B"/>
    <w:rsid w:val="00F463E0"/>
    <w:rsid w:val="00F729E0"/>
    <w:rsid w:val="00F73EF8"/>
    <w:rsid w:val="00F74276"/>
    <w:rsid w:val="00F776E3"/>
    <w:rsid w:val="00F834E1"/>
    <w:rsid w:val="00F8756A"/>
    <w:rsid w:val="00F909B9"/>
    <w:rsid w:val="00F92089"/>
    <w:rsid w:val="00F9326C"/>
    <w:rsid w:val="00FA08F1"/>
    <w:rsid w:val="00FA0AA4"/>
    <w:rsid w:val="00FA167D"/>
    <w:rsid w:val="00FA4F33"/>
    <w:rsid w:val="00FB2E6C"/>
    <w:rsid w:val="00FB50A5"/>
    <w:rsid w:val="00FB70E8"/>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B24"/>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customStyle="1" w:styleId="002-Authors">
    <w:name w:val="002-Authors"/>
    <w:basedOn w:val="Normal"/>
    <w:next w:val="003-Email"/>
    <w:qFormat/>
    <w:rsid w:val="001E33F7"/>
    <w:pPr>
      <w:spacing w:before="360"/>
      <w:jc w:val="center"/>
    </w:pPr>
    <w:rPr>
      <w:rFonts w:eastAsia="Calibri"/>
      <w:szCs w:val="22"/>
      <w:lang w:eastAsia="en-US"/>
    </w:rPr>
  </w:style>
  <w:style w:type="paragraph" w:customStyle="1" w:styleId="003-Email">
    <w:name w:val="003-Email"/>
    <w:basedOn w:val="Normal"/>
    <w:next w:val="Normal"/>
    <w:qFormat/>
    <w:rsid w:val="001E33F7"/>
    <w:pPr>
      <w:spacing w:before="240"/>
      <w:jc w:val="center"/>
    </w:pPr>
    <w:rPr>
      <w:rFonts w:eastAsia="Calibri"/>
      <w:i/>
      <w:sz w:val="20"/>
      <w:szCs w:val="22"/>
      <w:lang w:eastAsia="en-US"/>
    </w:rPr>
  </w:style>
  <w:style w:type="paragraph" w:customStyle="1" w:styleId="007-Caption">
    <w:name w:val="007-Caption"/>
    <w:basedOn w:val="Normal"/>
    <w:next w:val="Normal"/>
    <w:qFormat/>
    <w:rsid w:val="00FA0AA4"/>
    <w:pPr>
      <w:spacing w:before="120" w:after="120"/>
      <w:jc w:val="center"/>
    </w:pPr>
    <w:rPr>
      <w:rFonts w:eastAsia="Calibri"/>
      <w:b/>
      <w:sz w:val="20"/>
      <w:szCs w:val="22"/>
      <w:lang w:eastAsia="en-US"/>
    </w:rPr>
  </w:style>
  <w:style w:type="paragraph" w:styleId="Caption">
    <w:name w:val="caption"/>
    <w:basedOn w:val="Normal"/>
    <w:next w:val="Normal"/>
    <w:uiPriority w:val="35"/>
    <w:unhideWhenUsed/>
    <w:qFormat/>
    <w:rsid w:val="009130A2"/>
    <w:pPr>
      <w:spacing w:after="200"/>
    </w:pPr>
    <w:rPr>
      <w:rFonts w:asciiTheme="minorHAnsi" w:eastAsiaTheme="minorHAnsi" w:hAnsiTheme="minorHAnsi" w:cstheme="minorBidi"/>
      <w:i/>
      <w:iCs/>
      <w:color w:val="44546A" w:themeColor="text2"/>
      <w:sz w:val="18"/>
      <w:szCs w:val="18"/>
      <w:lang w:val="nb-NO" w:eastAsia="en-US"/>
    </w:rPr>
  </w:style>
  <w:style w:type="paragraph" w:customStyle="1" w:styleId="008-References">
    <w:name w:val="008-References"/>
    <w:basedOn w:val="Normal"/>
    <w:qFormat/>
    <w:rsid w:val="00DF5FC8"/>
    <w:pPr>
      <w:ind w:left="284" w:hanging="284"/>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doi.org/10.1371/journal.pone.0272730" TargetMode="External"/><Relationship Id="rId3" Type="http://schemas.openxmlformats.org/officeDocument/2006/relationships/customXml" Target="../customXml/item3.xml"/><Relationship Id="rId21" Type="http://schemas.openxmlformats.org/officeDocument/2006/relationships/hyperlink" Target="https://datahelpdesk.worldbank.org/knowledgebase/articles/378834-how-does-the-world-bank-classify-countries" TargetMode="External"/><Relationship Id="rId7" Type="http://schemas.openxmlformats.org/officeDocument/2006/relationships/webSettings" Target="webSettings.xml"/><Relationship Id="rId12" Type="http://schemas.openxmlformats.org/officeDocument/2006/relationships/hyperlink" Target="mailto:dag.w.aksnes@nifu.no" TargetMode="External"/><Relationship Id="rId17" Type="http://schemas.openxmlformats.org/officeDocument/2006/relationships/hyperlink" Target="https://doi.org/10.7717/peerj.4375" TargetMode="External"/><Relationship Id="rId2" Type="http://schemas.openxmlformats.org/officeDocument/2006/relationships/customXml" Target="../customXml/item2.xml"/><Relationship Id="rId16" Type="http://schemas.openxmlformats.org/officeDocument/2006/relationships/hyperlink" Target="https://www.nature.com/articles/d41586-022-00342-w" TargetMode="External"/><Relationship Id="rId20" Type="http://schemas.openxmlformats.org/officeDocument/2006/relationships/hyperlink" Target="https://doi.org/10.1080/07317131.2022.21256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drik.piro@nifu.no" TargetMode="External"/><Relationship Id="rId5" Type="http://schemas.openxmlformats.org/officeDocument/2006/relationships/styles" Target="styles.xml"/><Relationship Id="rId15" Type="http://schemas.openxmlformats.org/officeDocument/2006/relationships/hyperlink" Target="https://doi.org/10.5281/zenodo.6974640" TargetMode="External"/><Relationship Id="rId23" Type="http://schemas.openxmlformats.org/officeDocument/2006/relationships/theme" Target="theme/theme1.xml"/><Relationship Id="rId10" Type="http://schemas.openxmlformats.org/officeDocument/2006/relationships/hyperlink" Target="mailto:henrik.karlstrom@nifu.no" TargetMode="External"/><Relationship Id="rId19" Type="http://schemas.openxmlformats.org/officeDocument/2006/relationships/hyperlink" Target="https://doi.org/10.1002/asi.206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3402/gha.v1i0.1865"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1235/osf.io/ecgz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2.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191</TotalTime>
  <Pages>8</Pages>
  <Words>3025</Words>
  <Characters>18003</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20987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Dag W. Aksnes</cp:lastModifiedBy>
  <cp:revision>124</cp:revision>
  <cp:lastPrinted>2005-03-14T08:40:00Z</cp:lastPrinted>
  <dcterms:created xsi:type="dcterms:W3CDTF">2023-04-19T12:59:00Z</dcterms:created>
  <dcterms:modified xsi:type="dcterms:W3CDTF">2023-04-20T09:15:00Z</dcterms:modified>
</cp:coreProperties>
</file>