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C4A7" w14:textId="33AA7D2D" w:rsidR="00725B89" w:rsidRDefault="00725B89">
      <w:pPr>
        <w:pStyle w:val="Heading1"/>
        <w:jc w:val="center"/>
      </w:pPr>
      <w:r>
        <w:t xml:space="preserve">Gold Open Access output and expenditures </w:t>
      </w:r>
      <w:r w:rsidR="00EC1441">
        <w:t xml:space="preserve">in the United States </w:t>
      </w:r>
      <w:r w:rsidR="00906160">
        <w:t xml:space="preserve">in the past decade  </w:t>
      </w:r>
    </w:p>
    <w:p w14:paraId="2E90F533" w14:textId="77777777" w:rsidR="00AD05F2" w:rsidRPr="00105325" w:rsidRDefault="00AD05F2" w:rsidP="00105325">
      <w:pPr>
        <w:jc w:val="center"/>
        <w:rPr>
          <w:lang w:val="en-GB" w:eastAsia="sv-SE"/>
        </w:rPr>
      </w:pPr>
    </w:p>
    <w:p w14:paraId="44EF8254" w14:textId="17B1F388" w:rsidR="000A59BB" w:rsidRPr="00AE515F" w:rsidRDefault="00DE37AB" w:rsidP="000A59BB">
      <w:pPr>
        <w:jc w:val="center"/>
        <w:rPr>
          <w:rFonts w:ascii="Times New Roman" w:hAnsi="Times New Roman" w:cs="Times New Roman"/>
          <w:lang w:val="nl-NL"/>
        </w:rPr>
      </w:pPr>
      <w:r w:rsidRPr="00DE37AB">
        <w:rPr>
          <w:rFonts w:ascii="Times New Roman" w:hAnsi="Times New Roman" w:cs="Times New Roman"/>
        </w:rPr>
        <w:tab/>
      </w:r>
      <w:r w:rsidR="00105325" w:rsidRPr="00AE515F">
        <w:rPr>
          <w:rFonts w:ascii="Times New Roman" w:hAnsi="Times New Roman" w:cs="Times New Roman"/>
          <w:lang w:val="nl-NL"/>
        </w:rPr>
        <w:t>Gali Halevi</w:t>
      </w:r>
      <w:r w:rsidR="000A59BB" w:rsidRPr="00AE515F">
        <w:rPr>
          <w:rFonts w:ascii="Times New Roman" w:hAnsi="Times New Roman" w:cs="Times New Roman"/>
          <w:vertAlign w:val="superscript"/>
          <w:lang w:val="nl-NL"/>
        </w:rPr>
        <w:t>*</w:t>
      </w:r>
      <w:r w:rsidR="000A59BB" w:rsidRPr="00AE515F">
        <w:rPr>
          <w:rFonts w:ascii="Times New Roman" w:hAnsi="Times New Roman" w:cs="Times New Roman"/>
          <w:lang w:val="nl-NL"/>
        </w:rPr>
        <w:t xml:space="preserve">, </w:t>
      </w:r>
      <w:r w:rsidR="00105325" w:rsidRPr="00AE515F">
        <w:rPr>
          <w:rFonts w:ascii="Times New Roman" w:hAnsi="Times New Roman" w:cs="Times New Roman"/>
          <w:lang w:val="nl-NL"/>
        </w:rPr>
        <w:t>Thed van Leeuwen</w:t>
      </w:r>
      <w:r w:rsidR="000A59BB" w:rsidRPr="00AE515F">
        <w:rPr>
          <w:rFonts w:ascii="Times New Roman" w:hAnsi="Times New Roman" w:cs="Times New Roman"/>
          <w:vertAlign w:val="superscript"/>
          <w:lang w:val="nl-NL"/>
        </w:rPr>
        <w:t>**</w:t>
      </w:r>
      <w:r w:rsidR="000A59BB" w:rsidRPr="00AE515F">
        <w:rPr>
          <w:rFonts w:ascii="Times New Roman" w:hAnsi="Times New Roman" w:cs="Times New Roman"/>
          <w:lang w:val="nl-NL"/>
        </w:rPr>
        <w:t xml:space="preserve"> </w:t>
      </w:r>
      <w:r w:rsidR="00105325" w:rsidRPr="00AE515F">
        <w:rPr>
          <w:rFonts w:ascii="Times New Roman" w:hAnsi="Times New Roman" w:cs="Times New Roman"/>
          <w:lang w:val="nl-NL"/>
        </w:rPr>
        <w:t>Nemanja Milićević,</w:t>
      </w:r>
      <w:r w:rsidR="00105325" w:rsidRPr="00AE515F">
        <w:rPr>
          <w:rFonts w:ascii="Times New Roman" w:hAnsi="Times New Roman" w:cs="Times New Roman"/>
          <w:vertAlign w:val="superscript"/>
          <w:lang w:val="nl-NL"/>
        </w:rPr>
        <w:t xml:space="preserve"> *</w:t>
      </w:r>
      <w:r w:rsidR="000A59BB" w:rsidRPr="00AE515F">
        <w:rPr>
          <w:rFonts w:ascii="Times New Roman" w:hAnsi="Times New Roman" w:cs="Times New Roman"/>
          <w:vertAlign w:val="superscript"/>
          <w:lang w:val="nl-NL"/>
        </w:rPr>
        <w:t>*</w:t>
      </w:r>
      <w:r w:rsidR="00105325" w:rsidRPr="00AE515F">
        <w:rPr>
          <w:rFonts w:ascii="Times New Roman" w:hAnsi="Times New Roman" w:cs="Times New Roman"/>
          <w:vertAlign w:val="superscript"/>
          <w:lang w:val="nl-NL"/>
        </w:rPr>
        <w:t xml:space="preserve">* </w:t>
      </w:r>
      <w:r w:rsidR="00105325" w:rsidRPr="00AE515F">
        <w:rPr>
          <w:rFonts w:ascii="Times New Roman" w:hAnsi="Times New Roman" w:cs="Times New Roman"/>
          <w:lang w:val="nl-NL"/>
        </w:rPr>
        <w:t>Ryan Fry</w:t>
      </w:r>
      <w:r w:rsidR="00105325" w:rsidRPr="00AE515F">
        <w:rPr>
          <w:rFonts w:ascii="Times New Roman" w:hAnsi="Times New Roman" w:cs="Times New Roman"/>
          <w:vertAlign w:val="superscript"/>
          <w:lang w:val="nl-NL"/>
        </w:rPr>
        <w:t>****</w:t>
      </w:r>
    </w:p>
    <w:p w14:paraId="3367A137" w14:textId="77777777" w:rsidR="000A59BB" w:rsidRPr="00AE515F" w:rsidRDefault="000A59BB" w:rsidP="000A59BB">
      <w:pPr>
        <w:jc w:val="center"/>
        <w:rPr>
          <w:rFonts w:ascii="Times New Roman" w:hAnsi="Times New Roman" w:cs="Times New Roman"/>
          <w:sz w:val="20"/>
          <w:szCs w:val="20"/>
          <w:lang w:val="nl-NL"/>
        </w:rPr>
      </w:pPr>
    </w:p>
    <w:p w14:paraId="29A08683" w14:textId="6A4AC201" w:rsidR="000A59BB" w:rsidRPr="00926019" w:rsidRDefault="000A59BB" w:rsidP="000A59BB">
      <w:pPr>
        <w:jc w:val="center"/>
        <w:rPr>
          <w:rFonts w:ascii="Times New Roman" w:hAnsi="Times New Roman" w:cs="Times New Roman"/>
          <w:sz w:val="20"/>
          <w:szCs w:val="20"/>
        </w:rPr>
      </w:pPr>
      <w:r w:rsidRPr="00926019">
        <w:rPr>
          <w:rFonts w:ascii="Times New Roman" w:hAnsi="Times New Roman" w:cs="Times New Roman"/>
          <w:sz w:val="20"/>
          <w:szCs w:val="20"/>
          <w:vertAlign w:val="superscript"/>
        </w:rPr>
        <w:t>*</w:t>
      </w:r>
      <w:r w:rsidR="00105325" w:rsidRPr="00926019">
        <w:rPr>
          <w:rFonts w:ascii="Times New Roman" w:hAnsi="Times New Roman" w:cs="Times New Roman"/>
          <w:i/>
          <w:iCs/>
          <w:sz w:val="20"/>
          <w:szCs w:val="20"/>
        </w:rPr>
        <w:t>Gali.halevi@clarivate.com</w:t>
      </w:r>
    </w:p>
    <w:p w14:paraId="6EED6EA3" w14:textId="4D3AD802" w:rsidR="000A59BB" w:rsidRPr="00926019" w:rsidRDefault="00845E07" w:rsidP="000A59BB">
      <w:pPr>
        <w:jc w:val="center"/>
        <w:rPr>
          <w:rFonts w:ascii="Times New Roman" w:hAnsi="Times New Roman" w:cs="Times New Roman"/>
          <w:sz w:val="20"/>
          <w:szCs w:val="20"/>
        </w:rPr>
      </w:pPr>
      <w:r w:rsidRPr="00845E07">
        <w:rPr>
          <w:rFonts w:ascii="Times New Roman" w:hAnsi="Times New Roman" w:cs="Times New Roman"/>
          <w:sz w:val="20"/>
          <w:szCs w:val="20"/>
        </w:rPr>
        <w:t>0000-0003-3478-8804</w:t>
      </w:r>
      <w:r w:rsidR="00926019">
        <w:rPr>
          <w:rFonts w:ascii="Times New Roman" w:hAnsi="Times New Roman" w:cs="Times New Roman"/>
          <w:sz w:val="20"/>
          <w:szCs w:val="20"/>
        </w:rPr>
        <w:br/>
        <w:t>Institute for Scientific Information, Clarivate, United States</w:t>
      </w:r>
    </w:p>
    <w:p w14:paraId="798D9CBD" w14:textId="41A675A4" w:rsidR="000A59BB" w:rsidRPr="00926019" w:rsidRDefault="000A59BB" w:rsidP="000A59BB">
      <w:pPr>
        <w:jc w:val="center"/>
        <w:rPr>
          <w:rFonts w:ascii="Times New Roman" w:hAnsi="Times New Roman" w:cs="Times New Roman"/>
          <w:sz w:val="20"/>
          <w:szCs w:val="20"/>
        </w:rPr>
      </w:pPr>
      <w:r w:rsidRPr="00926019">
        <w:rPr>
          <w:rFonts w:ascii="Times New Roman" w:hAnsi="Times New Roman" w:cs="Times New Roman"/>
          <w:sz w:val="20"/>
          <w:szCs w:val="20"/>
          <w:vertAlign w:val="superscript"/>
        </w:rPr>
        <w:t>**</w:t>
      </w:r>
      <w:r w:rsidRPr="00926019">
        <w:rPr>
          <w:rFonts w:ascii="Times New Roman" w:hAnsi="Times New Roman" w:cs="Times New Roman"/>
          <w:i/>
          <w:iCs/>
          <w:sz w:val="20"/>
          <w:szCs w:val="20"/>
        </w:rPr>
        <w:t xml:space="preserve"> </w:t>
      </w:r>
      <w:r w:rsidR="00105325" w:rsidRPr="00926019">
        <w:rPr>
          <w:rFonts w:ascii="Times New Roman" w:hAnsi="Times New Roman" w:cs="Times New Roman"/>
          <w:i/>
          <w:iCs/>
          <w:sz w:val="20"/>
          <w:szCs w:val="20"/>
        </w:rPr>
        <w:t>leeuwen@cwts.leidenuniv.nl</w:t>
      </w:r>
    </w:p>
    <w:p w14:paraId="01B260A6" w14:textId="77777777" w:rsidR="00926019" w:rsidRDefault="00926019" w:rsidP="000A59BB">
      <w:pPr>
        <w:jc w:val="center"/>
        <w:rPr>
          <w:rFonts w:ascii="Times New Roman" w:hAnsi="Times New Roman" w:cs="Times New Roman"/>
          <w:sz w:val="20"/>
          <w:szCs w:val="20"/>
        </w:rPr>
      </w:pPr>
      <w:r w:rsidRPr="00926019">
        <w:rPr>
          <w:rFonts w:ascii="Times New Roman" w:hAnsi="Times New Roman" w:cs="Times New Roman"/>
          <w:sz w:val="20"/>
          <w:szCs w:val="20"/>
        </w:rPr>
        <w:t>0000-0001-7238-6289</w:t>
      </w:r>
    </w:p>
    <w:p w14:paraId="43863010" w14:textId="4DA99EE3" w:rsidR="00926019" w:rsidRDefault="00926019" w:rsidP="000A59BB">
      <w:pPr>
        <w:jc w:val="center"/>
        <w:rPr>
          <w:rFonts w:ascii="Times New Roman" w:hAnsi="Times New Roman" w:cs="Times New Roman"/>
          <w:sz w:val="20"/>
          <w:szCs w:val="20"/>
        </w:rPr>
      </w:pPr>
      <w:r w:rsidRPr="00926019">
        <w:rPr>
          <w:rFonts w:ascii="Times New Roman" w:hAnsi="Times New Roman" w:cs="Times New Roman"/>
          <w:sz w:val="20"/>
          <w:szCs w:val="20"/>
        </w:rPr>
        <w:t>The Centre for Science and Technology Studies</w:t>
      </w:r>
      <w:r>
        <w:rPr>
          <w:rFonts w:ascii="Times New Roman" w:hAnsi="Times New Roman" w:cs="Times New Roman"/>
          <w:sz w:val="20"/>
          <w:szCs w:val="20"/>
        </w:rPr>
        <w:t xml:space="preserve">, </w:t>
      </w:r>
      <w:r w:rsidRPr="00926019">
        <w:rPr>
          <w:rFonts w:ascii="Times New Roman" w:hAnsi="Times New Roman" w:cs="Times New Roman"/>
          <w:sz w:val="20"/>
          <w:szCs w:val="20"/>
        </w:rPr>
        <w:t>Leiden University</w:t>
      </w:r>
      <w:r>
        <w:rPr>
          <w:rFonts w:ascii="Times New Roman" w:hAnsi="Times New Roman" w:cs="Times New Roman"/>
          <w:sz w:val="20"/>
          <w:szCs w:val="20"/>
        </w:rPr>
        <w:t xml:space="preserve">, </w:t>
      </w:r>
      <w:r w:rsidRPr="00926019">
        <w:rPr>
          <w:rFonts w:ascii="Times New Roman" w:hAnsi="Times New Roman" w:cs="Times New Roman"/>
          <w:sz w:val="20"/>
          <w:szCs w:val="20"/>
        </w:rPr>
        <w:t>Leiden, NL</w:t>
      </w:r>
    </w:p>
    <w:p w14:paraId="5FA37C85" w14:textId="2173B48B" w:rsidR="000A59BB" w:rsidRDefault="00105325" w:rsidP="000A59BB">
      <w:pPr>
        <w:jc w:val="center"/>
        <w:rPr>
          <w:rFonts w:ascii="Times New Roman" w:hAnsi="Times New Roman" w:cs="Times New Roman"/>
          <w:i/>
          <w:iCs/>
          <w:sz w:val="20"/>
          <w:szCs w:val="20"/>
        </w:rPr>
      </w:pPr>
      <w:r w:rsidRPr="00926019">
        <w:rPr>
          <w:rFonts w:ascii="Times New Roman" w:hAnsi="Times New Roman" w:cs="Times New Roman"/>
          <w:sz w:val="20"/>
          <w:szCs w:val="20"/>
          <w:vertAlign w:val="superscript"/>
        </w:rPr>
        <w:t>***</w:t>
      </w:r>
      <w:r w:rsidRPr="00926019">
        <w:rPr>
          <w:rFonts w:ascii="Times New Roman" w:hAnsi="Times New Roman" w:cs="Times New Roman"/>
          <w:i/>
          <w:iCs/>
          <w:sz w:val="20"/>
          <w:szCs w:val="20"/>
        </w:rPr>
        <w:t xml:space="preserve"> Nemanja.Milicevic@clarivate.com</w:t>
      </w:r>
      <w:r w:rsidR="00926019">
        <w:rPr>
          <w:rFonts w:ascii="Times New Roman" w:hAnsi="Times New Roman" w:cs="Times New Roman"/>
          <w:i/>
          <w:iCs/>
          <w:sz w:val="20"/>
          <w:szCs w:val="20"/>
        </w:rPr>
        <w:br/>
      </w:r>
      <w:r w:rsidR="00926019" w:rsidRPr="00926019">
        <w:rPr>
          <w:rFonts w:ascii="Times New Roman" w:hAnsi="Times New Roman" w:cs="Times New Roman"/>
          <w:i/>
          <w:iCs/>
          <w:sz w:val="20"/>
          <w:szCs w:val="20"/>
        </w:rPr>
        <w:t xml:space="preserve">Institute for Scientific Information, Clarivate, </w:t>
      </w:r>
      <w:r w:rsidR="00926019">
        <w:rPr>
          <w:rFonts w:ascii="Times New Roman" w:hAnsi="Times New Roman" w:cs="Times New Roman"/>
          <w:i/>
          <w:iCs/>
          <w:sz w:val="20"/>
          <w:szCs w:val="20"/>
        </w:rPr>
        <w:t>Serbia</w:t>
      </w:r>
    </w:p>
    <w:p w14:paraId="6EE204FF" w14:textId="15583EB8" w:rsidR="00B76342" w:rsidRPr="00B76342" w:rsidRDefault="00B76342" w:rsidP="000A59BB">
      <w:pPr>
        <w:jc w:val="center"/>
        <w:rPr>
          <w:rFonts w:ascii="Times New Roman" w:hAnsi="Times New Roman" w:cs="Times New Roman"/>
          <w:sz w:val="20"/>
          <w:szCs w:val="20"/>
        </w:rPr>
      </w:pPr>
      <w:r w:rsidRPr="00B76342">
        <w:rPr>
          <w:rFonts w:ascii="Times New Roman" w:hAnsi="Times New Roman" w:cs="Times New Roman"/>
          <w:sz w:val="20"/>
          <w:szCs w:val="20"/>
        </w:rPr>
        <w:t>0009-0005-9674-8842</w:t>
      </w:r>
    </w:p>
    <w:p w14:paraId="1232E2F0" w14:textId="2B94A2FB" w:rsidR="000766E1" w:rsidRPr="00926019" w:rsidRDefault="00105325" w:rsidP="00926019">
      <w:pPr>
        <w:jc w:val="center"/>
        <w:rPr>
          <w:rFonts w:ascii="Times New Roman" w:hAnsi="Times New Roman" w:cs="Times New Roman"/>
          <w:sz w:val="20"/>
          <w:szCs w:val="20"/>
        </w:rPr>
      </w:pPr>
      <w:r w:rsidRPr="00926019">
        <w:rPr>
          <w:rFonts w:ascii="Times New Roman" w:hAnsi="Times New Roman" w:cs="Times New Roman"/>
          <w:sz w:val="20"/>
          <w:szCs w:val="20"/>
        </w:rPr>
        <w:t>****ryan.fry@clarivate.com</w:t>
      </w:r>
      <w:r w:rsidR="00926019">
        <w:rPr>
          <w:rFonts w:ascii="Times New Roman" w:hAnsi="Times New Roman" w:cs="Times New Roman"/>
          <w:sz w:val="20"/>
          <w:szCs w:val="20"/>
        </w:rPr>
        <w:br/>
        <w:t>Institute for Scientific Information, Clarivate, United States</w:t>
      </w:r>
      <w:r w:rsidR="000766E1">
        <w:rPr>
          <w:rFonts w:ascii="Times New Roman" w:hAnsi="Times New Roman" w:cs="Times New Roman"/>
          <w:sz w:val="20"/>
          <w:szCs w:val="20"/>
        </w:rPr>
        <w:br/>
      </w:r>
      <w:r w:rsidR="000766E1">
        <w:rPr>
          <w:rFonts w:ascii="Times New Roman" w:hAnsi="Times New Roman" w:cs="Times New Roman"/>
          <w:sz w:val="20"/>
          <w:szCs w:val="20"/>
        </w:rPr>
        <w:br/>
      </w:r>
      <w:r w:rsidR="000766E1" w:rsidRPr="000766E1">
        <w:rPr>
          <w:rFonts w:ascii="Times New Roman" w:hAnsi="Times New Roman" w:cs="Times New Roman"/>
          <w:sz w:val="20"/>
          <w:szCs w:val="20"/>
        </w:rPr>
        <w:t>000-0002-2388-7359</w:t>
      </w:r>
    </w:p>
    <w:p w14:paraId="5842BAB1" w14:textId="73BC7AFC" w:rsidR="00105325" w:rsidRPr="00926019" w:rsidRDefault="00105325" w:rsidP="000A59BB">
      <w:pPr>
        <w:jc w:val="center"/>
        <w:rPr>
          <w:rFonts w:ascii="Times New Roman" w:hAnsi="Times New Roman" w:cs="Times New Roman"/>
          <w:sz w:val="20"/>
          <w:szCs w:val="20"/>
        </w:rPr>
      </w:pPr>
    </w:p>
    <w:p w14:paraId="1DECF0A1" w14:textId="77777777" w:rsidR="000A59BB" w:rsidRDefault="000A59BB" w:rsidP="000A59BB">
      <w:pPr>
        <w:jc w:val="center"/>
      </w:pPr>
    </w:p>
    <w:p w14:paraId="34119127" w14:textId="06ABDE05" w:rsidR="00926019" w:rsidRPr="00105325" w:rsidRDefault="00926019" w:rsidP="00926019">
      <w:pPr>
        <w:pStyle w:val="Heading2"/>
        <w:jc w:val="both"/>
      </w:pPr>
      <w:r>
        <w:t>Abstract</w:t>
      </w:r>
    </w:p>
    <w:p w14:paraId="723EF837" w14:textId="65504285" w:rsidR="00926019" w:rsidRPr="00574708" w:rsidRDefault="00926019" w:rsidP="00AE515F">
      <w:pPr>
        <w:spacing w:line="240" w:lineRule="auto"/>
        <w:jc w:val="both"/>
        <w:rPr>
          <w:rFonts w:ascii="Times New Roman" w:hAnsi="Times New Roman" w:cs="Times New Roman"/>
          <w:sz w:val="24"/>
          <w:szCs w:val="24"/>
        </w:rPr>
      </w:pPr>
      <w:r w:rsidRPr="00574708">
        <w:rPr>
          <w:rFonts w:ascii="Times New Roman" w:hAnsi="Times New Roman" w:cs="Times New Roman"/>
          <w:sz w:val="24"/>
          <w:szCs w:val="24"/>
        </w:rPr>
        <w:t xml:space="preserve">Open access publishing has quite a significant cost associated with it. Article Processing Charges (APCs) are fees charged by publishers to authors for the publication of their articles in open access journals. These fees can present a new type of “paywall” to researchers and institutions who cannot afford to pay these amounts. Considering previous studies that showed barriers to publishing open access between countries as a result of high costs, in this study, we aimed to examine whether there are differences in open access publishing, expenditure and overall participation within universities in the United States. Our analysis shows that the majority of states published between 1,000 – 7,000 Gold Open Access publications and spent up to 6million dollars in the past 10 years. However, there are some noteworthy </w:t>
      </w:r>
      <w:r w:rsidR="00730A38" w:rsidRPr="00574708">
        <w:rPr>
          <w:rFonts w:ascii="Times New Roman" w:hAnsi="Times New Roman" w:cs="Times New Roman"/>
          <w:sz w:val="24"/>
          <w:szCs w:val="24"/>
        </w:rPr>
        <w:t>outliers’</w:t>
      </w:r>
      <w:r w:rsidRPr="00574708">
        <w:rPr>
          <w:rFonts w:ascii="Times New Roman" w:hAnsi="Times New Roman" w:cs="Times New Roman"/>
          <w:sz w:val="24"/>
          <w:szCs w:val="24"/>
        </w:rPr>
        <w:t xml:space="preserve"> states that publish a high number Gold Open Access papers but pay significantly less than other states that publish a lower number of Gold Open Access papers and pay significantly more. </w:t>
      </w:r>
    </w:p>
    <w:p w14:paraId="67D404CD" w14:textId="63ABDC54" w:rsidR="00736232" w:rsidRPr="00DE37AB" w:rsidRDefault="00736232">
      <w:pPr>
        <w:rPr>
          <w:rFonts w:ascii="Times New Roman" w:hAnsi="Times New Roman" w:cs="Times New Roman"/>
        </w:rPr>
      </w:pPr>
    </w:p>
    <w:p w14:paraId="7AADA870" w14:textId="13B4555C" w:rsidR="00DE37AB" w:rsidRPr="00105325" w:rsidRDefault="00DE37AB" w:rsidP="00105325">
      <w:pPr>
        <w:pStyle w:val="Heading2"/>
        <w:jc w:val="both"/>
      </w:pPr>
      <w:r w:rsidRPr="00105325">
        <w:t>Introduction</w:t>
      </w:r>
    </w:p>
    <w:p w14:paraId="65604272" w14:textId="4538F571" w:rsidR="00AA4162" w:rsidRPr="00574708" w:rsidRDefault="00AA4162" w:rsidP="00AE515F">
      <w:pPr>
        <w:spacing w:after="0" w:line="240" w:lineRule="auto"/>
        <w:jc w:val="both"/>
        <w:rPr>
          <w:rFonts w:ascii="Times New Roman" w:eastAsia="Times New Roman" w:hAnsi="Times New Roman" w:cs="Times New Roman"/>
          <w:sz w:val="28"/>
          <w:szCs w:val="28"/>
          <w:lang w:val="en-GB" w:eastAsia="sv-SE"/>
        </w:rPr>
      </w:pPr>
      <w:r w:rsidRPr="00574708">
        <w:rPr>
          <w:rFonts w:ascii="Times New Roman" w:hAnsi="Times New Roman" w:cs="Times New Roman"/>
          <w:sz w:val="24"/>
          <w:szCs w:val="24"/>
        </w:rPr>
        <w:t xml:space="preserve">In March 2022, the Office of Science and Technology Policy (OSTP) in the United States issued a memorandum titled "Increasing Access to Federally Funded Research Results." The memorandum provides guidance to federal agencies on how to increase access to research results funded by the federal government. </w:t>
      </w:r>
      <w:r w:rsidR="002A26F2" w:rsidRPr="00574708">
        <w:rPr>
          <w:rFonts w:ascii="Times New Roman" w:hAnsi="Times New Roman" w:cs="Times New Roman"/>
          <w:sz w:val="24"/>
          <w:szCs w:val="24"/>
        </w:rPr>
        <w:fldChar w:fldCharType="begin"/>
      </w:r>
      <w:r w:rsidR="00105325" w:rsidRPr="00574708">
        <w:rPr>
          <w:rFonts w:ascii="Times New Roman" w:hAnsi="Times New Roman" w:cs="Times New Roman"/>
          <w:sz w:val="24"/>
          <w:szCs w:val="24"/>
        </w:rPr>
        <w:instrText xml:space="preserve"> ADDIN ZOTERO_ITEM CSL_CITATION {"citationID":"5eOpUA4P","properties":{"formattedCitation":"({\\i{}OSTP Issues Guidance to Make Federally Funded Research Freely Available Without Delay | OSTP}, 2022)","plainCitation":"(OSTP Issues Guidance to Make Federally Funded Research Freely Available Without Delay | OSTP, 2022)","noteIndex":0},"citationItems":[{"id":5130,"uris":["http://zotero.org/groups/2542248/items/LVRSJHB8"],"itemData":{"id":5130,"type":"webpage","abstract":"Today, the White House Office of Science and Technology Policy (OSTP) updated U.S. policy guidance to make the results of taxpayer-supported research immediately available to the American public at no cost. In a memorandum to federal departments and agencies, Dr. Alondra Nelson, the head of OSTP, delivered guidance for agencies to update their public access…","container-title":"The White House","language":"en-US","title":"OSTP Issues Guidance to Make Federally Funded Research Freely Available Without Delay | OSTP","URL":"https://www.whitehouse.gov/ostp/news-updates/2022/08/25/ostp-issues-guidance-to-make-federally-funded-research-freely-available-without-delay/","accessed":{"date-parts":[["2023",2,13]]},"issued":{"date-parts":[["2022",8,25]]}}}],"schema":"https://github.com/citation-style-language/schema/raw/master/csl-citation.json"} </w:instrText>
      </w:r>
      <w:r w:rsidR="002A26F2" w:rsidRPr="00574708">
        <w:rPr>
          <w:rFonts w:ascii="Times New Roman" w:hAnsi="Times New Roman" w:cs="Times New Roman"/>
          <w:sz w:val="24"/>
          <w:szCs w:val="24"/>
        </w:rPr>
        <w:fldChar w:fldCharType="separate"/>
      </w:r>
      <w:r w:rsidR="00105325" w:rsidRPr="00574708">
        <w:rPr>
          <w:rFonts w:ascii="Times New Roman" w:hAnsi="Times New Roman" w:cs="Times New Roman"/>
          <w:sz w:val="24"/>
          <w:szCs w:val="28"/>
        </w:rPr>
        <w:t>(</w:t>
      </w:r>
      <w:r w:rsidR="00105325" w:rsidRPr="00574708">
        <w:rPr>
          <w:rFonts w:ascii="Times New Roman" w:hAnsi="Times New Roman" w:cs="Times New Roman"/>
          <w:i/>
          <w:iCs/>
          <w:sz w:val="24"/>
          <w:szCs w:val="28"/>
        </w:rPr>
        <w:t xml:space="preserve">OSTP Issues Guidance to Make Federally Funded Research </w:t>
      </w:r>
      <w:r w:rsidR="00105325" w:rsidRPr="00574708">
        <w:rPr>
          <w:rFonts w:ascii="Times New Roman" w:hAnsi="Times New Roman" w:cs="Times New Roman"/>
          <w:i/>
          <w:iCs/>
          <w:sz w:val="24"/>
          <w:szCs w:val="28"/>
        </w:rPr>
        <w:lastRenderedPageBreak/>
        <w:t>Freely Available Without Delay | OSTP</w:t>
      </w:r>
      <w:r w:rsidR="00105325" w:rsidRPr="00574708">
        <w:rPr>
          <w:rFonts w:ascii="Times New Roman" w:hAnsi="Times New Roman" w:cs="Times New Roman"/>
          <w:sz w:val="24"/>
          <w:szCs w:val="28"/>
        </w:rPr>
        <w:t>, 2022)</w:t>
      </w:r>
      <w:r w:rsidR="002A26F2" w:rsidRPr="00574708">
        <w:rPr>
          <w:rFonts w:ascii="Times New Roman" w:hAnsi="Times New Roman" w:cs="Times New Roman"/>
          <w:sz w:val="24"/>
          <w:szCs w:val="24"/>
        </w:rPr>
        <w:fldChar w:fldCharType="end"/>
      </w:r>
      <w:r w:rsidR="00477EE0" w:rsidRPr="00574708">
        <w:rPr>
          <w:rFonts w:ascii="Times New Roman" w:hAnsi="Times New Roman" w:cs="Times New Roman"/>
          <w:sz w:val="24"/>
          <w:szCs w:val="24"/>
        </w:rPr>
        <w:t xml:space="preserve">. </w:t>
      </w:r>
      <w:r w:rsidRPr="00574708">
        <w:rPr>
          <w:rFonts w:ascii="Times New Roman" w:hAnsi="Times New Roman" w:cs="Times New Roman"/>
          <w:sz w:val="24"/>
          <w:szCs w:val="24"/>
        </w:rPr>
        <w:t>The guidance requires that federally funded research articles and data be made openly accessible to the public upon publication, without embargo or delay. Overall, the guidance emphasizes the importance of open access to federally funded research, both for advancing scientific progress and for the public good.</w:t>
      </w:r>
    </w:p>
    <w:p w14:paraId="27519647" w14:textId="236A39FD" w:rsidR="00644FE8" w:rsidRPr="00574708" w:rsidRDefault="006F47DE" w:rsidP="00AE515F">
      <w:pPr>
        <w:spacing w:after="0" w:line="240" w:lineRule="auto"/>
        <w:jc w:val="both"/>
        <w:rPr>
          <w:rFonts w:ascii="Times New Roman" w:hAnsi="Times New Roman" w:cs="Times New Roman"/>
          <w:sz w:val="24"/>
          <w:szCs w:val="24"/>
        </w:rPr>
      </w:pPr>
      <w:r w:rsidRPr="00574708">
        <w:rPr>
          <w:rFonts w:ascii="Times New Roman" w:hAnsi="Times New Roman" w:cs="Times New Roman"/>
          <w:sz w:val="24"/>
          <w:szCs w:val="24"/>
        </w:rPr>
        <w:t>Yet, as many in the research community are aware</w:t>
      </w:r>
      <w:r w:rsidR="00623978" w:rsidRPr="00574708">
        <w:rPr>
          <w:rFonts w:ascii="Times New Roman" w:hAnsi="Times New Roman" w:cs="Times New Roman"/>
          <w:sz w:val="24"/>
          <w:szCs w:val="24"/>
        </w:rPr>
        <w:t xml:space="preserve">, open access publishing has quite a significant cost associated with it. </w:t>
      </w:r>
      <w:r w:rsidR="0044646D" w:rsidRPr="00574708">
        <w:rPr>
          <w:rFonts w:ascii="Times New Roman" w:hAnsi="Times New Roman" w:cs="Times New Roman"/>
          <w:sz w:val="24"/>
          <w:szCs w:val="24"/>
        </w:rPr>
        <w:t xml:space="preserve">Article Processing Charges (APCs) are fees charged by publishers to authors for the publication of their articles in open access journals. These fees can vary widely depending on the publisher, the journal, and the discipline, but they typically range from a few hundred to a few thousand dollars per article. </w:t>
      </w:r>
      <w:r w:rsidR="00BC29B8" w:rsidRPr="00574708">
        <w:rPr>
          <w:rFonts w:ascii="Times New Roman" w:hAnsi="Times New Roman" w:cs="Times New Roman"/>
          <w:sz w:val="24"/>
          <w:szCs w:val="24"/>
        </w:rPr>
        <w:t xml:space="preserve">Author's attitudes towards Article Processing Charges (APCs) reveals mixed opinions. Some authors view APCs as a necessary cost to make their research open access and increase its visibility and impact. For example, a study by Björk et al. (2010) found that authors who had published in open access journals were more likely to view APCs positively and see them to reach a wider audience. However, other authors are critical of APCs, particularly those from </w:t>
      </w:r>
      <w:r w:rsidR="004B140B">
        <w:rPr>
          <w:rFonts w:ascii="Times New Roman" w:hAnsi="Times New Roman" w:cs="Times New Roman"/>
          <w:sz w:val="24"/>
          <w:szCs w:val="24"/>
        </w:rPr>
        <w:t xml:space="preserve">low-middle income countries </w:t>
      </w:r>
      <w:r w:rsidR="00BC29B8" w:rsidRPr="00574708">
        <w:rPr>
          <w:rFonts w:ascii="Times New Roman" w:hAnsi="Times New Roman" w:cs="Times New Roman"/>
          <w:sz w:val="24"/>
          <w:szCs w:val="24"/>
        </w:rPr>
        <w:t xml:space="preserve">who may not have access to funding to cover the costs. A study by Solís-Lemus and Aguado-López (2018) found that authors from Latin America perceived APCs as a significant barrier to publishing in open access journals. Similarly, a study by Zhang et al. (2021) found that researchers from low- and middle-income countries were more likely to perceive APCs as a financial burden and were less likely to publish in open access journals as a result. Some authors have also raised concerns about the transparency and fairness of APC pricing. A study by Spezi et al. (2017) found that authors were more likely to perceive APCs as reasonable if they believed that the fees reflected the actual cost of publishing, and if there were policies in place to reduce or waive APCs for authors from </w:t>
      </w:r>
      <w:r w:rsidR="00926019" w:rsidRPr="00574708">
        <w:rPr>
          <w:rFonts w:ascii="Times New Roman" w:hAnsi="Times New Roman" w:cs="Times New Roman"/>
          <w:sz w:val="24"/>
          <w:szCs w:val="24"/>
        </w:rPr>
        <w:t>low- &amp; middle-income countries</w:t>
      </w:r>
      <w:r w:rsidR="00BC29B8" w:rsidRPr="00574708">
        <w:rPr>
          <w:rFonts w:ascii="Times New Roman" w:hAnsi="Times New Roman" w:cs="Times New Roman"/>
          <w:sz w:val="24"/>
          <w:szCs w:val="24"/>
        </w:rPr>
        <w:t>. Therefore, t</w:t>
      </w:r>
      <w:r w:rsidR="00FE2FD7" w:rsidRPr="00574708">
        <w:rPr>
          <w:rFonts w:ascii="Times New Roman" w:hAnsi="Times New Roman" w:cs="Times New Roman"/>
          <w:sz w:val="24"/>
          <w:szCs w:val="24"/>
        </w:rPr>
        <w:t xml:space="preserve">he costs of APCs which can reach thousands of dollars per article, present a new type of “paywall” to researchers </w:t>
      </w:r>
      <w:r w:rsidR="00B1619D" w:rsidRPr="00574708">
        <w:rPr>
          <w:rFonts w:ascii="Times New Roman" w:hAnsi="Times New Roman" w:cs="Times New Roman"/>
          <w:sz w:val="24"/>
          <w:szCs w:val="24"/>
        </w:rPr>
        <w:t>and institutions who cannot afford to</w:t>
      </w:r>
      <w:r w:rsidR="00FD5060" w:rsidRPr="00574708">
        <w:rPr>
          <w:rFonts w:ascii="Times New Roman" w:hAnsi="Times New Roman" w:cs="Times New Roman"/>
          <w:sz w:val="24"/>
          <w:szCs w:val="24"/>
        </w:rPr>
        <w:t xml:space="preserve"> pay these amounts. This is especially true for </w:t>
      </w:r>
      <w:r w:rsidR="008A1FB5" w:rsidRPr="00574708">
        <w:rPr>
          <w:rFonts w:ascii="Times New Roman" w:hAnsi="Times New Roman" w:cs="Times New Roman"/>
          <w:sz w:val="24"/>
          <w:szCs w:val="24"/>
        </w:rPr>
        <w:t>low-middle income</w:t>
      </w:r>
      <w:r w:rsidR="00FD5060" w:rsidRPr="00574708">
        <w:rPr>
          <w:rFonts w:ascii="Times New Roman" w:hAnsi="Times New Roman" w:cs="Times New Roman"/>
          <w:sz w:val="24"/>
          <w:szCs w:val="24"/>
        </w:rPr>
        <w:t xml:space="preserve"> c</w:t>
      </w:r>
      <w:r w:rsidR="00466198" w:rsidRPr="00574708">
        <w:rPr>
          <w:rFonts w:ascii="Times New Roman" w:hAnsi="Times New Roman" w:cs="Times New Roman"/>
          <w:sz w:val="24"/>
          <w:szCs w:val="24"/>
        </w:rPr>
        <w:t xml:space="preserve">ountries where the costs of APCs can sometimes represent the equivalent of </w:t>
      </w:r>
      <w:r w:rsidR="00923BA1" w:rsidRPr="00574708">
        <w:rPr>
          <w:rFonts w:ascii="Times New Roman" w:hAnsi="Times New Roman" w:cs="Times New Roman"/>
          <w:sz w:val="24"/>
          <w:szCs w:val="24"/>
        </w:rPr>
        <w:t xml:space="preserve">an annual salary of a researcher </w:t>
      </w:r>
      <w:r w:rsidR="00A26120" w:rsidRPr="00574708">
        <w:rPr>
          <w:rFonts w:ascii="Times New Roman" w:hAnsi="Times New Roman" w:cs="Times New Roman"/>
          <w:sz w:val="24"/>
          <w:szCs w:val="24"/>
        </w:rPr>
        <w:fldChar w:fldCharType="begin"/>
      </w:r>
      <w:r w:rsidR="00105325" w:rsidRPr="00574708">
        <w:rPr>
          <w:rFonts w:ascii="Times New Roman" w:hAnsi="Times New Roman" w:cs="Times New Roman"/>
          <w:sz w:val="24"/>
          <w:szCs w:val="24"/>
        </w:rPr>
        <w:instrText xml:space="preserve"> ADDIN ZOTERO_ITEM CSL_CITATION {"citationID":"5JigDJxU","properties":{"formattedCitation":"(Font\\uc0\\u250{}rbel &amp; Vizentin-Bugoni, 2020)","plainCitation":"(Fontúrbel &amp; Vizentin-Bugoni, 2020)","noteIndex":0},"citationItems":[{"id":5141,"uris":["http://zotero.org/groups/2542248/items/KWB52AGA"],"itemData":{"id":5141,"type":"article-journal","container-title":"The Bulletin of the Ecological Society of America","DOI":"10.1002/bes2.1791","journalAbbreviation":"The Bulletin of the Ecological Society of America","source":"ResearchGate","title":"A Paywall Coming Down, Another Being Erected: Open Access Article Processing Charges (APC) may Prevent Some Researchers from Publishing in Leading Journals","title-short":"A Paywall Coming Down, Another Being Erected","volume":"102","author":[{"family":"Fontúrbel","given":"Francisco"},{"family":"Vizentin-Bugoni","given":"Jeferson"}],"issued":{"date-parts":[["2020",10,8]]}}}],"schema":"https://github.com/citation-style-language/schema/raw/master/csl-citation.json"} </w:instrText>
      </w:r>
      <w:r w:rsidR="00A26120" w:rsidRPr="00574708">
        <w:rPr>
          <w:rFonts w:ascii="Times New Roman" w:hAnsi="Times New Roman" w:cs="Times New Roman"/>
          <w:sz w:val="24"/>
          <w:szCs w:val="24"/>
        </w:rPr>
        <w:fldChar w:fldCharType="separate"/>
      </w:r>
      <w:r w:rsidR="00105325" w:rsidRPr="00574708">
        <w:rPr>
          <w:rFonts w:ascii="Times New Roman" w:hAnsi="Times New Roman" w:cs="Times New Roman"/>
          <w:sz w:val="24"/>
          <w:szCs w:val="28"/>
        </w:rPr>
        <w:t>(Fontúrbel &amp; Vizentin-Bugoni, 2020)</w:t>
      </w:r>
      <w:r w:rsidR="00A26120" w:rsidRPr="00574708">
        <w:rPr>
          <w:rFonts w:ascii="Times New Roman" w:hAnsi="Times New Roman" w:cs="Times New Roman"/>
          <w:sz w:val="24"/>
          <w:szCs w:val="24"/>
        </w:rPr>
        <w:fldChar w:fldCharType="end"/>
      </w:r>
      <w:r w:rsidR="00F130E4" w:rsidRPr="00574708">
        <w:rPr>
          <w:rFonts w:ascii="Times New Roman" w:hAnsi="Times New Roman" w:cs="Times New Roman"/>
          <w:sz w:val="24"/>
          <w:szCs w:val="24"/>
        </w:rPr>
        <w:t xml:space="preserve">. </w:t>
      </w:r>
      <w:r w:rsidR="00BC29B8" w:rsidRPr="00574708">
        <w:rPr>
          <w:rFonts w:ascii="Times New Roman" w:hAnsi="Times New Roman" w:cs="Times New Roman"/>
          <w:sz w:val="24"/>
          <w:szCs w:val="24"/>
        </w:rPr>
        <w:t xml:space="preserve">As a result, there is a growing body of literature that examines the increase in APCs costs and the exorbitant amounts charged by legitimate publishers </w:t>
      </w:r>
      <w:r w:rsidR="00BC29B8" w:rsidRPr="00574708">
        <w:rPr>
          <w:rFonts w:ascii="Times New Roman" w:hAnsi="Times New Roman" w:cs="Times New Roman"/>
          <w:sz w:val="24"/>
          <w:szCs w:val="24"/>
        </w:rPr>
        <w:fldChar w:fldCharType="begin"/>
      </w:r>
      <w:r w:rsidR="00105325" w:rsidRPr="00574708">
        <w:rPr>
          <w:rFonts w:ascii="Times New Roman" w:hAnsi="Times New Roman" w:cs="Times New Roman"/>
          <w:sz w:val="24"/>
          <w:szCs w:val="24"/>
        </w:rPr>
        <w:instrText xml:space="preserve"> ADDIN ZOTERO_ITEM CSL_CITATION {"citationID":"oxrEoSiL","properties":{"formattedCitation":"(Brasil Varandas Pinto &amp; van Leeuwen, 2022; Gorelick &amp; Li, 2021; Krauskopf, 2021; Lov\\uc0\\u233{}n, 2019)","plainCitation":"(Brasil Varandas Pinto &amp; van Leeuwen, 2022; Gorelick &amp; Li, 2021; Krauskopf, 2021; Lovén, 2019)","noteIndex":0},"citationItems":[{"id":5149,"uris":["http://zotero.org/groups/2542248/items/5H8PH4L8"],"itemData":{"id":5149,"type":"article-journal","note":"publisher: Zenodo","source":"Google Scholar","title":"The unseen costs of article processing charges: the different realities of Brazil and the Netherlands","title-short":"The unseen costs of article processing charges","author":[{"family":"Brasil Varandas Pinto","given":"A."},{"family":"Leeuwen","given":"T.","non-dropping-particle":"van"}],"issued":{"date-parts":[["2022"]]}}},{"id":5144,"uris":["http://zotero.org/groups/2542248/items/N54YL7WK"],"itemData":{"id":5144,"type":"article-journal","container-title":"MIT Science Policy Review","source":"Google Scholar","title":"Reducing open access publication costs for biomedical researchers in the USA","volume":"2","author":[{"family":"Gorelick","given":"D."},{"family":"Li","given":"Ye"}],"issued":{"date-parts":[["2021"]]}}},{"id":5143,"uris":["http://zotero.org/groups/2542248/items/ULM8WULE"],"itemData":{"id":5143,"type":"article-journal","container-title":"Learned Publishing","issue":"4","note":"publisher: Wiley Online Library","page":"637–646","source":"Google Scholar","title":"Article processing charge expenditure in Chile: The current situation","title-short":"Article processing charge expenditure in Chile","volume":"34","author":[{"family":"Krauskopf","given":"Erwin"}],"issued":{"date-parts":[["2021"]]}}},{"id":5145,"uris":["http://zotero.org/groups/2542248/items/N74Z56GY"],"itemData":{"id":5145,"type":"article-journal","container-title":"Insights","issue":"1","note":"publisher: UKSG in association with Ubiquity Press","source":"Google Scholar","title":"Monitoring open access publishing costs at Stockholm University","volume":"32","author":[{"family":"Lovén","given":"Lisa"}],"issued":{"date-parts":[["2019"]]}}}],"schema":"https://github.com/citation-style-language/schema/raw/master/csl-citation.json"} </w:instrText>
      </w:r>
      <w:r w:rsidR="00BC29B8" w:rsidRPr="00574708">
        <w:rPr>
          <w:rFonts w:ascii="Times New Roman" w:hAnsi="Times New Roman" w:cs="Times New Roman"/>
          <w:sz w:val="24"/>
          <w:szCs w:val="24"/>
        </w:rPr>
        <w:fldChar w:fldCharType="separate"/>
      </w:r>
      <w:r w:rsidR="00105325" w:rsidRPr="00574708">
        <w:rPr>
          <w:rFonts w:ascii="Times New Roman" w:hAnsi="Times New Roman" w:cs="Times New Roman"/>
          <w:sz w:val="24"/>
          <w:szCs w:val="28"/>
        </w:rPr>
        <w:t>(Brasil Varandas Pinto &amp; van Leeuwen, 2022; Gorelick &amp; Li, 2021; Krauskopf, 2021; Lovén, 2019)</w:t>
      </w:r>
      <w:r w:rsidR="00BC29B8" w:rsidRPr="00574708">
        <w:rPr>
          <w:rFonts w:ascii="Times New Roman" w:hAnsi="Times New Roman" w:cs="Times New Roman"/>
          <w:sz w:val="24"/>
          <w:szCs w:val="24"/>
        </w:rPr>
        <w:fldChar w:fldCharType="end"/>
      </w:r>
      <w:r w:rsidR="00BC29B8" w:rsidRPr="00574708">
        <w:rPr>
          <w:rFonts w:ascii="Times New Roman" w:hAnsi="Times New Roman" w:cs="Times New Roman"/>
          <w:sz w:val="24"/>
          <w:szCs w:val="24"/>
        </w:rPr>
        <w:t xml:space="preserve">. </w:t>
      </w:r>
    </w:p>
    <w:p w14:paraId="07279A26" w14:textId="77777777" w:rsidR="008747A9" w:rsidRDefault="008747A9" w:rsidP="008747A9">
      <w:pPr>
        <w:spacing w:after="0" w:line="240" w:lineRule="auto"/>
        <w:jc w:val="both"/>
        <w:rPr>
          <w:rFonts w:ascii="Times New Roman" w:hAnsi="Times New Roman" w:cs="Times New Roman"/>
          <w:u w:val="single"/>
        </w:rPr>
      </w:pPr>
    </w:p>
    <w:p w14:paraId="1F8009BD" w14:textId="7A659D54" w:rsidR="00641A2D" w:rsidRPr="00105325" w:rsidRDefault="00641A2D" w:rsidP="00105325">
      <w:pPr>
        <w:pStyle w:val="Heading2"/>
        <w:jc w:val="both"/>
      </w:pPr>
      <w:r w:rsidRPr="00105325">
        <w:t>Focus on the Unites States</w:t>
      </w:r>
    </w:p>
    <w:p w14:paraId="4FCD2217" w14:textId="155146CD" w:rsidR="00B76F1F" w:rsidRPr="00574708" w:rsidRDefault="000255BD" w:rsidP="00AE515F">
      <w:pPr>
        <w:spacing w:after="0" w:line="240" w:lineRule="auto"/>
        <w:jc w:val="both"/>
        <w:rPr>
          <w:rFonts w:ascii="Times New Roman" w:hAnsi="Times New Roman" w:cs="Times New Roman"/>
          <w:sz w:val="24"/>
          <w:szCs w:val="24"/>
        </w:rPr>
      </w:pPr>
      <w:r w:rsidRPr="00574708">
        <w:rPr>
          <w:rFonts w:ascii="Times New Roman" w:hAnsi="Times New Roman" w:cs="Times New Roman"/>
          <w:sz w:val="24"/>
          <w:szCs w:val="24"/>
        </w:rPr>
        <w:t>Opinions among authors in the United States about Article Processing Charges (APCs) are mixed</w:t>
      </w:r>
      <w:r w:rsidR="00F7051B" w:rsidRPr="00574708">
        <w:rPr>
          <w:rFonts w:ascii="Times New Roman" w:hAnsi="Times New Roman" w:cs="Times New Roman"/>
          <w:sz w:val="24"/>
          <w:szCs w:val="24"/>
        </w:rPr>
        <w:t xml:space="preserve"> (Tenopir, et.al, 2019;</w:t>
      </w:r>
      <w:r w:rsidR="00551522" w:rsidRPr="00574708">
        <w:rPr>
          <w:sz w:val="24"/>
          <w:szCs w:val="24"/>
        </w:rPr>
        <w:t xml:space="preserve"> </w:t>
      </w:r>
      <w:r w:rsidR="00551522" w:rsidRPr="00574708">
        <w:rPr>
          <w:rFonts w:ascii="Times New Roman" w:hAnsi="Times New Roman" w:cs="Times New Roman"/>
          <w:sz w:val="24"/>
          <w:szCs w:val="24"/>
        </w:rPr>
        <w:t>Swauger, S., &amp; Dunn, A. G., 2019;</w:t>
      </w:r>
      <w:r w:rsidR="00C3269E" w:rsidRPr="00574708">
        <w:rPr>
          <w:sz w:val="24"/>
          <w:szCs w:val="24"/>
        </w:rPr>
        <w:t xml:space="preserve"> </w:t>
      </w:r>
      <w:r w:rsidR="00C3269E" w:rsidRPr="00574708">
        <w:rPr>
          <w:rFonts w:ascii="Times New Roman" w:hAnsi="Times New Roman" w:cs="Times New Roman"/>
          <w:sz w:val="24"/>
          <w:szCs w:val="24"/>
        </w:rPr>
        <w:t>Park, J., &amp; Qin, J.</w:t>
      </w:r>
      <w:r w:rsidR="00641A2D" w:rsidRPr="00574708">
        <w:rPr>
          <w:rFonts w:ascii="Times New Roman" w:hAnsi="Times New Roman" w:cs="Times New Roman"/>
          <w:sz w:val="24"/>
          <w:szCs w:val="24"/>
        </w:rPr>
        <w:t xml:space="preserve">, </w:t>
      </w:r>
      <w:r w:rsidR="00C3269E" w:rsidRPr="00574708">
        <w:rPr>
          <w:rFonts w:ascii="Times New Roman" w:hAnsi="Times New Roman" w:cs="Times New Roman"/>
          <w:sz w:val="24"/>
          <w:szCs w:val="24"/>
        </w:rPr>
        <w:t>2020)</w:t>
      </w:r>
      <w:r w:rsidRPr="00574708">
        <w:rPr>
          <w:rFonts w:ascii="Times New Roman" w:hAnsi="Times New Roman" w:cs="Times New Roman"/>
          <w:sz w:val="24"/>
          <w:szCs w:val="24"/>
        </w:rPr>
        <w:t>. On one hand, some authors see APCs as a necessary cost for open access publishing and believe that the benefits of increased visibility and impact of their research justify the expense. On the other hand, other authors are critical of APCs, arguing that they create financial barriers to publishing and can lead to a situation where only the wealthiest institutions and researchers are able to publish in high-impact open access journals. Some authors have also raised concerns about the transparency of APC pricing and have called for greater accountability and oversight from publishers to ensure that fees are reasonable and reflect the actual cost of publishing. Overall, there is a growing recognition among authors, funders, and institutions of the need to develop more equitable and sustainable models for open access publishing that take into account the diverse needs and perspectives of researchers around the world.</w:t>
      </w:r>
      <w:r w:rsidR="008747A9" w:rsidRPr="00574708">
        <w:rPr>
          <w:rFonts w:ascii="Times New Roman" w:hAnsi="Times New Roman" w:cs="Times New Roman"/>
          <w:sz w:val="24"/>
          <w:szCs w:val="24"/>
        </w:rPr>
        <w:t xml:space="preserve"> </w:t>
      </w:r>
      <w:r w:rsidR="00B76F1F" w:rsidRPr="00574708">
        <w:rPr>
          <w:rFonts w:ascii="Times New Roman" w:hAnsi="Times New Roman" w:cs="Times New Roman"/>
          <w:sz w:val="24"/>
          <w:szCs w:val="24"/>
        </w:rPr>
        <w:t xml:space="preserve">Considering previous studies that showed barriers to publishing open access between countries as a result of high costs, in this study, we aimed to examine whether there are differences in open access publishing, expenditure and </w:t>
      </w:r>
      <w:r w:rsidR="00656C1B" w:rsidRPr="00574708">
        <w:rPr>
          <w:rFonts w:ascii="Times New Roman" w:hAnsi="Times New Roman" w:cs="Times New Roman"/>
          <w:sz w:val="24"/>
          <w:szCs w:val="24"/>
        </w:rPr>
        <w:t xml:space="preserve">overall </w:t>
      </w:r>
      <w:r w:rsidR="00B76F1F" w:rsidRPr="00574708">
        <w:rPr>
          <w:rFonts w:ascii="Times New Roman" w:hAnsi="Times New Roman" w:cs="Times New Roman"/>
          <w:sz w:val="24"/>
          <w:szCs w:val="24"/>
        </w:rPr>
        <w:t>participation within universities in the United States.</w:t>
      </w:r>
      <w:r w:rsidR="00656C1B" w:rsidRPr="00574708">
        <w:rPr>
          <w:rFonts w:ascii="Times New Roman" w:hAnsi="Times New Roman" w:cs="Times New Roman"/>
          <w:sz w:val="24"/>
          <w:szCs w:val="24"/>
        </w:rPr>
        <w:t xml:space="preserve"> </w:t>
      </w:r>
    </w:p>
    <w:p w14:paraId="73788DFD" w14:textId="77777777" w:rsidR="00644FE8" w:rsidRPr="00105325" w:rsidRDefault="00644FE8" w:rsidP="00105325">
      <w:pPr>
        <w:spacing w:after="0" w:line="240" w:lineRule="auto"/>
        <w:jc w:val="both"/>
        <w:rPr>
          <w:rFonts w:ascii="Times New Roman" w:eastAsia="Times New Roman" w:hAnsi="Times New Roman" w:cs="Times New Roman"/>
          <w:sz w:val="24"/>
          <w:szCs w:val="24"/>
          <w:lang w:val="en-GB" w:eastAsia="sv-SE"/>
        </w:rPr>
      </w:pPr>
    </w:p>
    <w:p w14:paraId="63FC47D1" w14:textId="20E595EA" w:rsidR="003E5B38" w:rsidRPr="00105325" w:rsidRDefault="007150CA" w:rsidP="00105325">
      <w:pPr>
        <w:pStyle w:val="Heading2"/>
        <w:jc w:val="both"/>
      </w:pPr>
      <w:r w:rsidRPr="00105325">
        <w:lastRenderedPageBreak/>
        <w:t>Methodology</w:t>
      </w:r>
    </w:p>
    <w:p w14:paraId="179D0E45" w14:textId="003D3CFC" w:rsidR="005A402D" w:rsidRPr="00574708" w:rsidRDefault="009A0465" w:rsidP="00AE515F">
      <w:pPr>
        <w:spacing w:after="0" w:line="240" w:lineRule="auto"/>
        <w:jc w:val="both"/>
        <w:rPr>
          <w:rFonts w:ascii="Times New Roman" w:hAnsi="Times New Roman" w:cs="Times New Roman"/>
          <w:sz w:val="24"/>
          <w:szCs w:val="24"/>
        </w:rPr>
      </w:pPr>
      <w:r w:rsidRPr="00574708">
        <w:rPr>
          <w:rFonts w:ascii="Times New Roman" w:hAnsi="Times New Roman" w:cs="Times New Roman"/>
          <w:sz w:val="24"/>
          <w:szCs w:val="24"/>
        </w:rPr>
        <w:t>In order to capture the output of Gold Open access publications from United States institutions, we retrieved all the papers index</w:t>
      </w:r>
      <w:r w:rsidR="00735F54">
        <w:rPr>
          <w:rFonts w:ascii="Times New Roman" w:hAnsi="Times New Roman" w:cs="Times New Roman"/>
          <w:sz w:val="24"/>
          <w:szCs w:val="24"/>
        </w:rPr>
        <w:t>ed</w:t>
      </w:r>
      <w:r w:rsidRPr="00574708">
        <w:rPr>
          <w:rFonts w:ascii="Times New Roman" w:hAnsi="Times New Roman" w:cs="Times New Roman"/>
          <w:sz w:val="24"/>
          <w:szCs w:val="24"/>
        </w:rPr>
        <w:t xml:space="preserve"> in</w:t>
      </w:r>
      <w:r w:rsidR="005360A3" w:rsidRPr="00574708">
        <w:rPr>
          <w:rFonts w:ascii="Times New Roman" w:hAnsi="Times New Roman" w:cs="Times New Roman"/>
          <w:sz w:val="24"/>
          <w:szCs w:val="24"/>
        </w:rPr>
        <w:t xml:space="preserve"> 5,176 journal</w:t>
      </w:r>
      <w:r w:rsidR="007C3B3B" w:rsidRPr="00574708">
        <w:rPr>
          <w:rFonts w:ascii="Times New Roman" w:hAnsi="Times New Roman" w:cs="Times New Roman"/>
          <w:sz w:val="24"/>
          <w:szCs w:val="24"/>
        </w:rPr>
        <w:t xml:space="preserve">s </w:t>
      </w:r>
      <w:r w:rsidR="00FE4406" w:rsidRPr="00574708">
        <w:rPr>
          <w:rFonts w:ascii="Times New Roman" w:hAnsi="Times New Roman" w:cs="Times New Roman"/>
          <w:sz w:val="24"/>
          <w:szCs w:val="24"/>
        </w:rPr>
        <w:t>in Directory</w:t>
      </w:r>
      <w:r w:rsidR="005360A3" w:rsidRPr="00574708">
        <w:rPr>
          <w:rFonts w:ascii="Times New Roman" w:hAnsi="Times New Roman" w:cs="Times New Roman"/>
          <w:sz w:val="24"/>
          <w:szCs w:val="24"/>
        </w:rPr>
        <w:t xml:space="preserve"> of Open Access Journals (DOAJ)</w:t>
      </w:r>
      <w:r w:rsidR="007C3B3B" w:rsidRPr="00574708">
        <w:rPr>
          <w:rFonts w:ascii="Times New Roman" w:hAnsi="Times New Roman" w:cs="Times New Roman"/>
          <w:sz w:val="24"/>
          <w:szCs w:val="24"/>
        </w:rPr>
        <w:t xml:space="preserve">. </w:t>
      </w:r>
      <w:r w:rsidR="00FE4406" w:rsidRPr="00574708">
        <w:rPr>
          <w:rFonts w:ascii="Times New Roman" w:hAnsi="Times New Roman" w:cs="Times New Roman"/>
          <w:sz w:val="24"/>
          <w:szCs w:val="24"/>
        </w:rPr>
        <w:t xml:space="preserve">The DOAJ </w:t>
      </w:r>
      <w:r w:rsidR="001B636C" w:rsidRPr="00574708">
        <w:rPr>
          <w:rFonts w:ascii="Times New Roman" w:hAnsi="Times New Roman" w:cs="Times New Roman"/>
          <w:sz w:val="24"/>
          <w:szCs w:val="24"/>
        </w:rPr>
        <w:t xml:space="preserve">includes APCs costs for Gold Open Access publications. Limiting the </w:t>
      </w:r>
      <w:r w:rsidR="007C3B3B" w:rsidRPr="00574708">
        <w:rPr>
          <w:rFonts w:ascii="Times New Roman" w:hAnsi="Times New Roman" w:cs="Times New Roman"/>
          <w:sz w:val="24"/>
          <w:szCs w:val="24"/>
        </w:rPr>
        <w:t>date range to 2010-2022 papers</w:t>
      </w:r>
      <w:r w:rsidR="001B636C" w:rsidRPr="00574708">
        <w:rPr>
          <w:rFonts w:ascii="Times New Roman" w:hAnsi="Times New Roman" w:cs="Times New Roman"/>
          <w:sz w:val="24"/>
          <w:szCs w:val="24"/>
        </w:rPr>
        <w:t xml:space="preserve"> we were able to </w:t>
      </w:r>
      <w:r w:rsidR="00EA704E" w:rsidRPr="00574708">
        <w:rPr>
          <w:rFonts w:ascii="Times New Roman" w:hAnsi="Times New Roman" w:cs="Times New Roman"/>
          <w:sz w:val="24"/>
          <w:szCs w:val="24"/>
        </w:rPr>
        <w:t xml:space="preserve">identify </w:t>
      </w:r>
      <w:r w:rsidR="00304C34" w:rsidRPr="00574708">
        <w:rPr>
          <w:rFonts w:ascii="Times New Roman" w:hAnsi="Times New Roman" w:cs="Times New Roman"/>
          <w:sz w:val="24"/>
          <w:szCs w:val="24"/>
        </w:rPr>
        <w:t>842,927 USA papers with APC</w:t>
      </w:r>
      <w:r w:rsidR="00EA704E" w:rsidRPr="00574708">
        <w:rPr>
          <w:rFonts w:ascii="Times New Roman" w:hAnsi="Times New Roman" w:cs="Times New Roman"/>
          <w:sz w:val="24"/>
          <w:szCs w:val="24"/>
        </w:rPr>
        <w:t xml:space="preserve">s data, out of which </w:t>
      </w:r>
      <w:r w:rsidR="00304C34" w:rsidRPr="00574708">
        <w:rPr>
          <w:rFonts w:ascii="Times New Roman" w:hAnsi="Times New Roman" w:cs="Times New Roman"/>
          <w:sz w:val="24"/>
          <w:szCs w:val="24"/>
        </w:rPr>
        <w:t xml:space="preserve">548,571 papers had USA </w:t>
      </w:r>
      <w:r w:rsidR="00EA704E" w:rsidRPr="00574708">
        <w:rPr>
          <w:rFonts w:ascii="Times New Roman" w:hAnsi="Times New Roman" w:cs="Times New Roman"/>
          <w:sz w:val="24"/>
          <w:szCs w:val="24"/>
        </w:rPr>
        <w:t xml:space="preserve">affiliation </w:t>
      </w:r>
      <w:r w:rsidR="00304C34" w:rsidRPr="00574708">
        <w:rPr>
          <w:rFonts w:ascii="Times New Roman" w:hAnsi="Times New Roman" w:cs="Times New Roman"/>
          <w:sz w:val="24"/>
          <w:szCs w:val="24"/>
        </w:rPr>
        <w:t>address.</w:t>
      </w:r>
      <w:r w:rsidR="007C0ECF" w:rsidRPr="00574708">
        <w:rPr>
          <w:rFonts w:ascii="Times New Roman" w:hAnsi="Times New Roman" w:cs="Times New Roman"/>
          <w:sz w:val="24"/>
          <w:szCs w:val="24"/>
        </w:rPr>
        <w:t xml:space="preserve"> </w:t>
      </w:r>
      <w:r w:rsidR="00181042" w:rsidRPr="00181042">
        <w:rPr>
          <w:rFonts w:ascii="Times New Roman" w:hAnsi="Times New Roman" w:cs="Times New Roman"/>
          <w:sz w:val="24"/>
          <w:szCs w:val="24"/>
        </w:rPr>
        <w:t>The second step was to convert all currencies to USD using the</w:t>
      </w:r>
      <w:r w:rsidR="00BB6482">
        <w:rPr>
          <w:rFonts w:ascii="Times New Roman" w:hAnsi="Times New Roman" w:cs="Times New Roman"/>
          <w:sz w:val="24"/>
          <w:szCs w:val="24"/>
        </w:rPr>
        <w:t xml:space="preserve"> </w:t>
      </w:r>
      <w:r w:rsidR="00181042" w:rsidRPr="00181042">
        <w:rPr>
          <w:rFonts w:ascii="Times New Roman" w:hAnsi="Times New Roman" w:cs="Times New Roman"/>
          <w:sz w:val="24"/>
          <w:szCs w:val="24"/>
        </w:rPr>
        <w:t>https://www.xe.com/currencyconverter/ website as an online currency converter on July 14, 2022</w:t>
      </w:r>
      <w:r w:rsidR="00181042">
        <w:rPr>
          <w:rFonts w:ascii="Times New Roman" w:hAnsi="Times New Roman" w:cs="Times New Roman"/>
          <w:sz w:val="24"/>
          <w:szCs w:val="24"/>
        </w:rPr>
        <w:t xml:space="preserve">. </w:t>
      </w:r>
      <w:r w:rsidR="00C23BB2" w:rsidRPr="00574708">
        <w:rPr>
          <w:rFonts w:ascii="Times New Roman" w:hAnsi="Times New Roman" w:cs="Times New Roman"/>
          <w:sz w:val="24"/>
          <w:szCs w:val="24"/>
        </w:rPr>
        <w:t xml:space="preserve">We unified all of the institutions’ names and aggregated them to their corresponding USA states. We then calculated APC expenditure for each institution based on the APCs calculated for 2010-2022. </w:t>
      </w:r>
      <w:r w:rsidR="00F550DB" w:rsidRPr="00574708">
        <w:rPr>
          <w:rFonts w:ascii="Times New Roman" w:hAnsi="Times New Roman" w:cs="Times New Roman"/>
          <w:sz w:val="24"/>
          <w:szCs w:val="24"/>
        </w:rPr>
        <w:t xml:space="preserve">In order to </w:t>
      </w:r>
      <w:r w:rsidR="00A66AC2" w:rsidRPr="00574708">
        <w:rPr>
          <w:rFonts w:ascii="Times New Roman" w:hAnsi="Times New Roman" w:cs="Times New Roman"/>
          <w:sz w:val="24"/>
          <w:szCs w:val="24"/>
        </w:rPr>
        <w:t>capture the actual costs of</w:t>
      </w:r>
      <w:r w:rsidR="00D33828" w:rsidRPr="00574708">
        <w:rPr>
          <w:rFonts w:ascii="Times New Roman" w:hAnsi="Times New Roman" w:cs="Times New Roman"/>
          <w:sz w:val="24"/>
          <w:szCs w:val="24"/>
        </w:rPr>
        <w:t xml:space="preserve"> APCs in each state, it was important to adjust the expenditure to Purchasing </w:t>
      </w:r>
      <w:r w:rsidR="0020673E" w:rsidRPr="00574708">
        <w:rPr>
          <w:rFonts w:ascii="Times New Roman" w:hAnsi="Times New Roman" w:cs="Times New Roman"/>
          <w:sz w:val="24"/>
          <w:szCs w:val="24"/>
        </w:rPr>
        <w:t xml:space="preserve">Power Parity </w:t>
      </w:r>
      <w:r w:rsidR="00843707" w:rsidRPr="00574708">
        <w:rPr>
          <w:rFonts w:ascii="Times New Roman" w:hAnsi="Times New Roman" w:cs="Times New Roman"/>
          <w:sz w:val="24"/>
          <w:szCs w:val="24"/>
        </w:rPr>
        <w:t>rate</w:t>
      </w:r>
      <w:r w:rsidR="00AF1293">
        <w:rPr>
          <w:rFonts w:ascii="Times New Roman" w:hAnsi="Times New Roman" w:cs="Times New Roman"/>
          <w:sz w:val="24"/>
          <w:szCs w:val="24"/>
        </w:rPr>
        <w:t>s</w:t>
      </w:r>
      <w:r w:rsidR="00843707" w:rsidRPr="00574708">
        <w:rPr>
          <w:rFonts w:ascii="Times New Roman" w:hAnsi="Times New Roman" w:cs="Times New Roman"/>
          <w:sz w:val="24"/>
          <w:szCs w:val="24"/>
        </w:rPr>
        <w:t xml:space="preserve"> (PPP). </w:t>
      </w:r>
      <w:r w:rsidR="004731FB" w:rsidRPr="00574708">
        <w:rPr>
          <w:rFonts w:ascii="Times New Roman" w:hAnsi="Times New Roman" w:cs="Times New Roman"/>
          <w:sz w:val="24"/>
          <w:szCs w:val="24"/>
        </w:rPr>
        <w:t xml:space="preserve">PPP rates are exchange rates that take into consideration the relative purchasing power of different currencies </w:t>
      </w:r>
      <w:r w:rsidR="00B35C45" w:rsidRPr="00574708">
        <w:rPr>
          <w:rFonts w:ascii="Times New Roman" w:hAnsi="Times New Roman" w:cs="Times New Roman"/>
          <w:sz w:val="24"/>
          <w:szCs w:val="24"/>
        </w:rPr>
        <w:t xml:space="preserve">and are used to compare the economic performance and standard of living of different countries. In our case, we used PPP rates to </w:t>
      </w:r>
      <w:r w:rsidR="00446312" w:rsidRPr="00574708">
        <w:rPr>
          <w:rFonts w:ascii="Times New Roman" w:hAnsi="Times New Roman" w:cs="Times New Roman"/>
          <w:sz w:val="24"/>
          <w:szCs w:val="24"/>
        </w:rPr>
        <w:t xml:space="preserve">regulate the purchasing power in the various states since the cost of living </w:t>
      </w:r>
      <w:r w:rsidR="00B906BD" w:rsidRPr="00574708">
        <w:rPr>
          <w:rFonts w:ascii="Times New Roman" w:hAnsi="Times New Roman" w:cs="Times New Roman"/>
          <w:sz w:val="24"/>
          <w:szCs w:val="24"/>
        </w:rPr>
        <w:t xml:space="preserve">is not homogeneous across the Unites States. </w:t>
      </w:r>
      <w:r w:rsidR="00304C34" w:rsidRPr="00574708">
        <w:rPr>
          <w:rFonts w:ascii="Times New Roman" w:hAnsi="Times New Roman" w:cs="Times New Roman"/>
          <w:sz w:val="24"/>
          <w:szCs w:val="24"/>
        </w:rPr>
        <w:t>For example: if the relative value of $100 in some state is $117, the costs of that institution are multiplied by a factor of 1.17</w:t>
      </w:r>
      <w:r w:rsidR="0040234E" w:rsidRPr="00574708">
        <w:rPr>
          <w:rFonts w:ascii="Times New Roman" w:hAnsi="Times New Roman" w:cs="Times New Roman"/>
          <w:sz w:val="24"/>
          <w:szCs w:val="24"/>
        </w:rPr>
        <w:t xml:space="preserve"> in order to get an actual costs of APCs per state. </w:t>
      </w:r>
      <w:r w:rsidR="005A402D" w:rsidRPr="00574708">
        <w:rPr>
          <w:rFonts w:ascii="Times New Roman" w:hAnsi="Times New Roman" w:cs="Times New Roman"/>
          <w:sz w:val="24"/>
          <w:szCs w:val="24"/>
        </w:rPr>
        <w:t>Finally, we retrieved the US News &amp; World Report ranking data for 2021</w:t>
      </w:r>
      <w:r w:rsidR="00E54BB0" w:rsidRPr="00574708">
        <w:rPr>
          <w:rFonts w:ascii="Times New Roman" w:hAnsi="Times New Roman" w:cs="Times New Roman"/>
          <w:sz w:val="24"/>
          <w:szCs w:val="24"/>
        </w:rPr>
        <w:t xml:space="preserve"> for USA institutions. This allowed us to</w:t>
      </w:r>
      <w:r w:rsidR="009F35F4" w:rsidRPr="00574708">
        <w:rPr>
          <w:rFonts w:ascii="Times New Roman" w:hAnsi="Times New Roman" w:cs="Times New Roman"/>
          <w:sz w:val="24"/>
          <w:szCs w:val="24"/>
        </w:rPr>
        <w:t xml:space="preserve"> draw correlations between university rankings, research power and Gold </w:t>
      </w:r>
      <w:r w:rsidR="00906160" w:rsidRPr="00574708">
        <w:rPr>
          <w:rFonts w:ascii="Times New Roman" w:hAnsi="Times New Roman" w:cs="Times New Roman"/>
          <w:sz w:val="24"/>
          <w:szCs w:val="24"/>
        </w:rPr>
        <w:t xml:space="preserve">Open </w:t>
      </w:r>
      <w:r w:rsidR="009F35F4" w:rsidRPr="00574708">
        <w:rPr>
          <w:rFonts w:ascii="Times New Roman" w:hAnsi="Times New Roman" w:cs="Times New Roman"/>
          <w:sz w:val="24"/>
          <w:szCs w:val="24"/>
        </w:rPr>
        <w:t>Access publishing and their corresponding APCs expenditures</w:t>
      </w:r>
      <w:r w:rsidR="000766E1">
        <w:rPr>
          <w:rFonts w:ascii="Times New Roman" w:hAnsi="Times New Roman" w:cs="Times New Roman"/>
          <w:sz w:val="24"/>
          <w:szCs w:val="24"/>
        </w:rPr>
        <w:t>.</w:t>
      </w:r>
    </w:p>
    <w:p w14:paraId="7638E8E7" w14:textId="3AB8A8E1" w:rsidR="009F35F4" w:rsidRDefault="009F35F4" w:rsidP="00CC313F">
      <w:pPr>
        <w:spacing w:line="360" w:lineRule="auto"/>
        <w:rPr>
          <w:rFonts w:ascii="Times New Roman" w:hAnsi="Times New Roman" w:cs="Times New Roman"/>
          <w:u w:val="single"/>
        </w:rPr>
      </w:pPr>
    </w:p>
    <w:p w14:paraId="560E2654" w14:textId="67C6C1E6" w:rsidR="00BC33A7" w:rsidRPr="00105325" w:rsidRDefault="00BC33A7" w:rsidP="00105325">
      <w:pPr>
        <w:pStyle w:val="Heading2"/>
        <w:jc w:val="both"/>
      </w:pPr>
      <w:r w:rsidRPr="00105325">
        <w:t>Research Powe</w:t>
      </w:r>
      <w:r w:rsidR="005A402D" w:rsidRPr="00105325">
        <w:t xml:space="preserve">r and APCs Expenditure </w:t>
      </w:r>
    </w:p>
    <w:p w14:paraId="7BCA9FE4" w14:textId="77777777" w:rsidR="0026312D" w:rsidRPr="00574708" w:rsidRDefault="00CC313F" w:rsidP="00105325">
      <w:pPr>
        <w:spacing w:after="0" w:line="240" w:lineRule="auto"/>
        <w:jc w:val="both"/>
        <w:rPr>
          <w:rFonts w:ascii="Times New Roman" w:hAnsi="Times New Roman" w:cs="Times New Roman"/>
          <w:sz w:val="24"/>
          <w:szCs w:val="24"/>
        </w:rPr>
      </w:pPr>
      <w:r w:rsidRPr="00574708">
        <w:rPr>
          <w:rFonts w:ascii="Times New Roman" w:hAnsi="Times New Roman" w:cs="Times New Roman"/>
          <w:sz w:val="24"/>
          <w:szCs w:val="24"/>
        </w:rPr>
        <w:t xml:space="preserve">US News &amp; World Report calculates "research power" using a formula that considers both the total research expenditures of an institution and the number of research doctorate degrees awarded. The formula is designed to provide a measure of the research productivity of an institution relative to its size. The formula used by US News &amp; World Report to calculate research power: </w:t>
      </w:r>
    </w:p>
    <w:p w14:paraId="0972E2E1" w14:textId="77777777" w:rsidR="0026312D" w:rsidRPr="00574708" w:rsidRDefault="0026312D" w:rsidP="00CC313F">
      <w:pPr>
        <w:spacing w:line="360" w:lineRule="auto"/>
        <w:rPr>
          <w:rFonts w:ascii="Times New Roman" w:hAnsi="Times New Roman" w:cs="Times New Roman"/>
          <w:sz w:val="18"/>
          <w:szCs w:val="18"/>
        </w:rPr>
      </w:pPr>
    </w:p>
    <w:p w14:paraId="1CB0DA20" w14:textId="45AC5C2F" w:rsidR="00CC313F" w:rsidRPr="00574708" w:rsidRDefault="00CC313F" w:rsidP="00105325">
      <w:pPr>
        <w:spacing w:line="360" w:lineRule="auto"/>
        <w:jc w:val="center"/>
        <w:rPr>
          <w:rFonts w:ascii="Times New Roman" w:hAnsi="Times New Roman" w:cs="Times New Roman"/>
          <w:i/>
          <w:iCs/>
          <w:sz w:val="24"/>
          <w:szCs w:val="24"/>
        </w:rPr>
      </w:pPr>
      <w:r w:rsidRPr="00574708">
        <w:rPr>
          <w:rFonts w:ascii="Times New Roman" w:hAnsi="Times New Roman" w:cs="Times New Roman"/>
          <w:i/>
          <w:iCs/>
          <w:sz w:val="24"/>
          <w:szCs w:val="24"/>
        </w:rPr>
        <w:t>Research Power = (Total Research Expenditures / Number of PhDs Awarded)</w:t>
      </w:r>
    </w:p>
    <w:p w14:paraId="101E41BF" w14:textId="11205D9E" w:rsidR="00C97EE4" w:rsidRPr="00574708" w:rsidRDefault="00CC313F" w:rsidP="00105325">
      <w:pPr>
        <w:spacing w:after="0" w:line="240" w:lineRule="auto"/>
        <w:jc w:val="both"/>
        <w:rPr>
          <w:rFonts w:ascii="Times New Roman" w:hAnsi="Times New Roman" w:cs="Times New Roman"/>
          <w:sz w:val="24"/>
          <w:szCs w:val="24"/>
        </w:rPr>
      </w:pPr>
      <w:r w:rsidRPr="00574708">
        <w:rPr>
          <w:rFonts w:ascii="Times New Roman" w:hAnsi="Times New Roman" w:cs="Times New Roman"/>
          <w:sz w:val="24"/>
          <w:szCs w:val="24"/>
        </w:rPr>
        <w:t xml:space="preserve">The total research expenditures are typically provided by the National Science Foundation (NSF) and include all research and development expenditures for science and engineering, as well as other research fields, such as social sciences and humanities. The number of PhDs awarded is typically provided by the National Center for Education Statistics (NCES) and includes all research doctorate degrees awarded in a given year. US News &amp; World Report calculates research power rankings for each institution based on this formula, and then ranks institutions accordingly. </w:t>
      </w:r>
      <w:r w:rsidR="00C97EE4" w:rsidRPr="00574708">
        <w:rPr>
          <w:rFonts w:ascii="Times New Roman" w:hAnsi="Times New Roman" w:cs="Times New Roman"/>
          <w:sz w:val="24"/>
          <w:szCs w:val="24"/>
        </w:rPr>
        <w:t xml:space="preserve">Figure one shows </w:t>
      </w:r>
      <w:r w:rsidR="00E45588" w:rsidRPr="00574708">
        <w:rPr>
          <w:rFonts w:ascii="Times New Roman" w:hAnsi="Times New Roman" w:cs="Times New Roman"/>
          <w:sz w:val="24"/>
          <w:szCs w:val="24"/>
        </w:rPr>
        <w:t xml:space="preserve">the correlation between </w:t>
      </w:r>
      <w:r w:rsidR="00AB52B5" w:rsidRPr="00574708">
        <w:rPr>
          <w:rFonts w:ascii="Times New Roman" w:hAnsi="Times New Roman" w:cs="Times New Roman"/>
          <w:sz w:val="24"/>
          <w:szCs w:val="24"/>
        </w:rPr>
        <w:t xml:space="preserve">the top 50 universities by their research power and their </w:t>
      </w:r>
      <w:r w:rsidR="00ED762D" w:rsidRPr="00574708">
        <w:rPr>
          <w:rFonts w:ascii="Times New Roman" w:hAnsi="Times New Roman" w:cs="Times New Roman"/>
          <w:sz w:val="24"/>
          <w:szCs w:val="24"/>
        </w:rPr>
        <w:t>corresponding APCs expenditures</w:t>
      </w:r>
      <w:r w:rsidR="00BD60B3" w:rsidRPr="00574708">
        <w:rPr>
          <w:rFonts w:ascii="Times New Roman" w:hAnsi="Times New Roman" w:cs="Times New Roman"/>
          <w:sz w:val="24"/>
          <w:szCs w:val="24"/>
        </w:rPr>
        <w:t xml:space="preserve">. </w:t>
      </w:r>
      <w:r w:rsidR="00A25EB9" w:rsidRPr="00574708">
        <w:rPr>
          <w:rFonts w:ascii="Times New Roman" w:hAnsi="Times New Roman" w:cs="Times New Roman"/>
          <w:sz w:val="24"/>
          <w:szCs w:val="24"/>
        </w:rPr>
        <w:t xml:space="preserve">As can be seen from the figure below, </w:t>
      </w:r>
      <w:r w:rsidR="00DC119B" w:rsidRPr="00574708">
        <w:rPr>
          <w:rFonts w:ascii="Times New Roman" w:hAnsi="Times New Roman" w:cs="Times New Roman"/>
          <w:sz w:val="24"/>
          <w:szCs w:val="24"/>
        </w:rPr>
        <w:t>the general trend points to</w:t>
      </w:r>
      <w:r w:rsidR="00795A21" w:rsidRPr="00574708">
        <w:rPr>
          <w:rFonts w:ascii="Times New Roman" w:hAnsi="Times New Roman" w:cs="Times New Roman"/>
          <w:sz w:val="24"/>
          <w:szCs w:val="24"/>
        </w:rPr>
        <w:t xml:space="preserve"> a correlation between a</w:t>
      </w:r>
      <w:r w:rsidR="00AF3295" w:rsidRPr="00574708">
        <w:rPr>
          <w:rFonts w:ascii="Times New Roman" w:hAnsi="Times New Roman" w:cs="Times New Roman"/>
          <w:sz w:val="24"/>
          <w:szCs w:val="24"/>
        </w:rPr>
        <w:t xml:space="preserve"> higher the rank in research power </w:t>
      </w:r>
      <w:r w:rsidR="00795A21" w:rsidRPr="00574708">
        <w:rPr>
          <w:rFonts w:ascii="Times New Roman" w:hAnsi="Times New Roman" w:cs="Times New Roman"/>
          <w:sz w:val="24"/>
          <w:szCs w:val="24"/>
        </w:rPr>
        <w:t>and a</w:t>
      </w:r>
      <w:r w:rsidR="00AF3295" w:rsidRPr="00574708">
        <w:rPr>
          <w:rFonts w:ascii="Times New Roman" w:hAnsi="Times New Roman" w:cs="Times New Roman"/>
          <w:sz w:val="24"/>
          <w:szCs w:val="24"/>
        </w:rPr>
        <w:t xml:space="preserve"> </w:t>
      </w:r>
      <w:r w:rsidR="00DF0784" w:rsidRPr="00574708">
        <w:rPr>
          <w:rFonts w:ascii="Times New Roman" w:hAnsi="Times New Roman" w:cs="Times New Roman"/>
          <w:sz w:val="24"/>
          <w:szCs w:val="24"/>
        </w:rPr>
        <w:t xml:space="preserve">higher APCs related expenditures. </w:t>
      </w:r>
      <w:r w:rsidR="001C14B9" w:rsidRPr="00574708">
        <w:rPr>
          <w:rFonts w:ascii="Times New Roman" w:hAnsi="Times New Roman" w:cs="Times New Roman"/>
          <w:sz w:val="24"/>
          <w:szCs w:val="24"/>
        </w:rPr>
        <w:t>There are</w:t>
      </w:r>
      <w:r w:rsidR="00795A21" w:rsidRPr="00574708">
        <w:rPr>
          <w:rFonts w:ascii="Times New Roman" w:hAnsi="Times New Roman" w:cs="Times New Roman"/>
          <w:sz w:val="24"/>
          <w:szCs w:val="24"/>
        </w:rPr>
        <w:t xml:space="preserve"> some ou</w:t>
      </w:r>
      <w:r w:rsidR="00EE659C" w:rsidRPr="00574708">
        <w:rPr>
          <w:rFonts w:ascii="Times New Roman" w:hAnsi="Times New Roman" w:cs="Times New Roman"/>
          <w:sz w:val="24"/>
          <w:szCs w:val="24"/>
        </w:rPr>
        <w:t xml:space="preserve">tliers to notice, among which is the “University of Washington Seattle” </w:t>
      </w:r>
      <w:r w:rsidR="00831AAE" w:rsidRPr="00574708">
        <w:rPr>
          <w:rFonts w:ascii="Times New Roman" w:hAnsi="Times New Roman" w:cs="Times New Roman"/>
          <w:sz w:val="24"/>
          <w:szCs w:val="24"/>
        </w:rPr>
        <w:t xml:space="preserve">which is ranked 7 in research power in the USA and </w:t>
      </w:r>
      <w:r w:rsidR="000B5795" w:rsidRPr="00574708">
        <w:rPr>
          <w:rFonts w:ascii="Times New Roman" w:hAnsi="Times New Roman" w:cs="Times New Roman"/>
          <w:sz w:val="24"/>
          <w:szCs w:val="24"/>
        </w:rPr>
        <w:t xml:space="preserve">spent the most noticeable amount of over 24million dollars over 10 years </w:t>
      </w:r>
      <w:r w:rsidR="00831AAE" w:rsidRPr="00574708">
        <w:rPr>
          <w:rFonts w:ascii="Times New Roman" w:hAnsi="Times New Roman" w:cs="Times New Roman"/>
          <w:sz w:val="24"/>
          <w:szCs w:val="24"/>
        </w:rPr>
        <w:t>which is significantly more than</w:t>
      </w:r>
      <w:r w:rsidR="008D6D84" w:rsidRPr="00574708">
        <w:rPr>
          <w:rFonts w:ascii="Times New Roman" w:hAnsi="Times New Roman" w:cs="Times New Roman"/>
          <w:sz w:val="24"/>
          <w:szCs w:val="24"/>
        </w:rPr>
        <w:t xml:space="preserve"> Harvard University which is ranked 1</w:t>
      </w:r>
      <w:r w:rsidR="008D6D84" w:rsidRPr="00574708">
        <w:rPr>
          <w:rFonts w:ascii="Times New Roman" w:hAnsi="Times New Roman" w:cs="Times New Roman"/>
          <w:sz w:val="24"/>
          <w:szCs w:val="24"/>
          <w:vertAlign w:val="superscript"/>
        </w:rPr>
        <w:t>st</w:t>
      </w:r>
      <w:r w:rsidR="008D6D84" w:rsidRPr="00574708">
        <w:rPr>
          <w:rFonts w:ascii="Times New Roman" w:hAnsi="Times New Roman" w:cs="Times New Roman"/>
          <w:sz w:val="24"/>
          <w:szCs w:val="24"/>
        </w:rPr>
        <w:t xml:space="preserve"> with approximately 14million dollars, Stanford which is ranked 2</w:t>
      </w:r>
      <w:r w:rsidR="008D6D84" w:rsidRPr="00574708">
        <w:rPr>
          <w:rFonts w:ascii="Times New Roman" w:hAnsi="Times New Roman" w:cs="Times New Roman"/>
          <w:sz w:val="24"/>
          <w:szCs w:val="24"/>
          <w:vertAlign w:val="superscript"/>
        </w:rPr>
        <w:t>nd</w:t>
      </w:r>
      <w:r w:rsidR="008D6D84" w:rsidRPr="00574708">
        <w:rPr>
          <w:rFonts w:ascii="Times New Roman" w:hAnsi="Times New Roman" w:cs="Times New Roman"/>
          <w:sz w:val="24"/>
          <w:szCs w:val="24"/>
        </w:rPr>
        <w:t xml:space="preserve"> with approximately 16million </w:t>
      </w:r>
      <w:r w:rsidR="00017BB7" w:rsidRPr="00574708">
        <w:rPr>
          <w:rFonts w:ascii="Times New Roman" w:hAnsi="Times New Roman" w:cs="Times New Roman"/>
          <w:sz w:val="24"/>
          <w:szCs w:val="24"/>
        </w:rPr>
        <w:t>dollars and Johns Hopkins University ranked 3</w:t>
      </w:r>
      <w:r w:rsidR="00017BB7" w:rsidRPr="00574708">
        <w:rPr>
          <w:rFonts w:ascii="Times New Roman" w:hAnsi="Times New Roman" w:cs="Times New Roman"/>
          <w:sz w:val="24"/>
          <w:szCs w:val="24"/>
          <w:vertAlign w:val="superscript"/>
        </w:rPr>
        <w:t>rd</w:t>
      </w:r>
      <w:r w:rsidR="00017BB7" w:rsidRPr="00574708">
        <w:rPr>
          <w:rFonts w:ascii="Times New Roman" w:hAnsi="Times New Roman" w:cs="Times New Roman"/>
          <w:sz w:val="24"/>
          <w:szCs w:val="24"/>
        </w:rPr>
        <w:t xml:space="preserve"> with close to 20million dollars expenditure</w:t>
      </w:r>
      <w:r w:rsidR="002B39F0" w:rsidRPr="00574708">
        <w:rPr>
          <w:rFonts w:ascii="Times New Roman" w:hAnsi="Times New Roman" w:cs="Times New Roman"/>
          <w:sz w:val="24"/>
          <w:szCs w:val="24"/>
        </w:rPr>
        <w:t>. At the lower end of the research power rankings, although still at the top 50, are University of Minnesota Twin Cities and University of North Carolin</w:t>
      </w:r>
      <w:r w:rsidR="004166A7" w:rsidRPr="00574708">
        <w:rPr>
          <w:rFonts w:ascii="Times New Roman" w:hAnsi="Times New Roman" w:cs="Times New Roman"/>
          <w:sz w:val="24"/>
          <w:szCs w:val="24"/>
        </w:rPr>
        <w:t>a</w:t>
      </w:r>
      <w:r w:rsidR="002B39F0" w:rsidRPr="00574708">
        <w:rPr>
          <w:rFonts w:ascii="Times New Roman" w:hAnsi="Times New Roman" w:cs="Times New Roman"/>
          <w:sz w:val="24"/>
          <w:szCs w:val="24"/>
        </w:rPr>
        <w:t xml:space="preserve"> Chap</w:t>
      </w:r>
      <w:r w:rsidR="004166A7" w:rsidRPr="00574708">
        <w:rPr>
          <w:rFonts w:ascii="Times New Roman" w:hAnsi="Times New Roman" w:cs="Times New Roman"/>
          <w:sz w:val="24"/>
          <w:szCs w:val="24"/>
        </w:rPr>
        <w:t>el</w:t>
      </w:r>
      <w:r w:rsidR="002B39F0" w:rsidRPr="00574708">
        <w:rPr>
          <w:rFonts w:ascii="Times New Roman" w:hAnsi="Times New Roman" w:cs="Times New Roman"/>
          <w:sz w:val="24"/>
          <w:szCs w:val="24"/>
        </w:rPr>
        <w:t xml:space="preserve"> Hill that </w:t>
      </w:r>
      <w:r w:rsidR="00F44360" w:rsidRPr="00574708">
        <w:rPr>
          <w:rFonts w:ascii="Times New Roman" w:hAnsi="Times New Roman" w:cs="Times New Roman"/>
          <w:sz w:val="24"/>
          <w:szCs w:val="24"/>
        </w:rPr>
        <w:t xml:space="preserve">spent less than 2million dollars in APCs in the past 10 years. </w:t>
      </w:r>
    </w:p>
    <w:p w14:paraId="2D5F311D" w14:textId="3AE41039" w:rsidR="00644FE8" w:rsidRPr="00574708" w:rsidRDefault="00F44360" w:rsidP="00105325">
      <w:pPr>
        <w:spacing w:after="0" w:line="240" w:lineRule="auto"/>
        <w:jc w:val="both"/>
        <w:rPr>
          <w:rFonts w:ascii="Times New Roman" w:hAnsi="Times New Roman" w:cs="Times New Roman"/>
          <w:sz w:val="24"/>
          <w:szCs w:val="24"/>
        </w:rPr>
      </w:pPr>
      <w:r w:rsidRPr="00574708">
        <w:rPr>
          <w:rFonts w:ascii="Times New Roman" w:hAnsi="Times New Roman" w:cs="Times New Roman"/>
          <w:sz w:val="24"/>
          <w:szCs w:val="24"/>
        </w:rPr>
        <w:lastRenderedPageBreak/>
        <w:t>These could be explained by the strong open access polic</w:t>
      </w:r>
      <w:r w:rsidR="00390F3E" w:rsidRPr="00574708">
        <w:rPr>
          <w:rFonts w:ascii="Times New Roman" w:hAnsi="Times New Roman" w:cs="Times New Roman"/>
          <w:sz w:val="24"/>
          <w:szCs w:val="24"/>
        </w:rPr>
        <w:t>ies</w:t>
      </w:r>
      <w:r w:rsidR="003115D0" w:rsidRPr="00574708">
        <w:rPr>
          <w:rFonts w:ascii="Times New Roman" w:hAnsi="Times New Roman" w:cs="Times New Roman"/>
          <w:sz w:val="24"/>
          <w:szCs w:val="24"/>
        </w:rPr>
        <w:t xml:space="preserve"> in these institutions.</w:t>
      </w:r>
      <w:r w:rsidR="00C2094E" w:rsidRPr="00574708">
        <w:rPr>
          <w:rFonts w:ascii="Times New Roman" w:hAnsi="Times New Roman" w:cs="Times New Roman"/>
          <w:sz w:val="24"/>
          <w:szCs w:val="24"/>
        </w:rPr>
        <w:t xml:space="preserve"> </w:t>
      </w:r>
    </w:p>
    <w:p w14:paraId="5A4F2C87" w14:textId="2A6C1E5F" w:rsidR="001F1B5F" w:rsidRPr="00574708" w:rsidRDefault="001F1B5F" w:rsidP="00105325">
      <w:pPr>
        <w:spacing w:after="0" w:line="240" w:lineRule="auto"/>
        <w:jc w:val="both"/>
        <w:rPr>
          <w:rFonts w:ascii="Times New Roman" w:hAnsi="Times New Roman" w:cs="Times New Roman"/>
          <w:sz w:val="24"/>
          <w:szCs w:val="24"/>
        </w:rPr>
      </w:pPr>
    </w:p>
    <w:p w14:paraId="10D5E87F" w14:textId="1231E622" w:rsidR="001F1B5F" w:rsidRDefault="001F1B5F" w:rsidP="00105325">
      <w:pPr>
        <w:spacing w:after="0" w:line="240" w:lineRule="auto"/>
        <w:jc w:val="both"/>
        <w:rPr>
          <w:rFonts w:ascii="Times New Roman" w:hAnsi="Times New Roman" w:cs="Times New Roman"/>
          <w:sz w:val="24"/>
          <w:szCs w:val="24"/>
        </w:rPr>
      </w:pPr>
    </w:p>
    <w:p w14:paraId="1F56636C" w14:textId="77777777" w:rsidR="00BB6482" w:rsidRPr="00574708" w:rsidRDefault="00BB6482" w:rsidP="00105325">
      <w:pPr>
        <w:spacing w:after="0" w:line="240" w:lineRule="auto"/>
        <w:jc w:val="both"/>
        <w:rPr>
          <w:rFonts w:ascii="Times New Roman" w:hAnsi="Times New Roman" w:cs="Times New Roman"/>
          <w:sz w:val="24"/>
          <w:szCs w:val="24"/>
        </w:rPr>
      </w:pPr>
    </w:p>
    <w:p w14:paraId="3B7BC0DC" w14:textId="77777777" w:rsidR="00644FE8" w:rsidRPr="00BC135F" w:rsidRDefault="00644FE8" w:rsidP="00644FE8">
      <w:pPr>
        <w:spacing w:line="360" w:lineRule="auto"/>
        <w:jc w:val="center"/>
        <w:rPr>
          <w:rFonts w:ascii="Times New Roman" w:eastAsia="Times New Roman" w:hAnsi="Times New Roman" w:cs="Times New Roman"/>
          <w:sz w:val="24"/>
          <w:szCs w:val="24"/>
          <w:lang w:val="en-GB" w:eastAsia="sv-SE"/>
        </w:rPr>
      </w:pPr>
      <w:r w:rsidRPr="00BC135F">
        <w:rPr>
          <w:rFonts w:ascii="Times New Roman" w:eastAsia="Times New Roman" w:hAnsi="Times New Roman" w:cs="Times New Roman"/>
          <w:sz w:val="24"/>
          <w:szCs w:val="24"/>
          <w:lang w:val="en-GB" w:eastAsia="sv-SE"/>
        </w:rPr>
        <w:t>Figure 1: Research Power and APCs Expenditures</w:t>
      </w:r>
    </w:p>
    <w:p w14:paraId="28482DCD" w14:textId="698F4682" w:rsidR="00644FE8" w:rsidRDefault="00502FBE" w:rsidP="00644FE8">
      <w:pPr>
        <w:spacing w:line="360" w:lineRule="auto"/>
        <w:jc w:val="center"/>
        <w:rPr>
          <w:rFonts w:ascii="Times New Roman" w:eastAsia="Times New Roman" w:hAnsi="Times New Roman" w:cs="Times New Roman"/>
          <w:sz w:val="24"/>
          <w:szCs w:val="24"/>
          <w:lang w:val="en-GB" w:eastAsia="sv-SE"/>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6798832" wp14:editId="38ADC666">
                <wp:simplePos x="0" y="0"/>
                <wp:positionH relativeFrom="column">
                  <wp:posOffset>4603750</wp:posOffset>
                </wp:positionH>
                <wp:positionV relativeFrom="paragraph">
                  <wp:posOffset>1873250</wp:posOffset>
                </wp:positionV>
                <wp:extent cx="1295400" cy="463550"/>
                <wp:effectExtent l="0" t="0" r="19050" b="12700"/>
                <wp:wrapNone/>
                <wp:docPr id="17" name="Oval 17"/>
                <wp:cNvGraphicFramePr/>
                <a:graphic xmlns:a="http://schemas.openxmlformats.org/drawingml/2006/main">
                  <a:graphicData uri="http://schemas.microsoft.com/office/word/2010/wordprocessingShape">
                    <wps:wsp>
                      <wps:cNvSpPr/>
                      <wps:spPr>
                        <a:xfrm>
                          <a:off x="0" y="0"/>
                          <a:ext cx="1295400" cy="463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EC488E" id="Oval 17" o:spid="_x0000_s1026" style="position:absolute;margin-left:362.5pt;margin-top:147.5pt;width:102pt;height:3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" filled="f" strokecolor="#1f3763 [1604]" strokeweight="1pt">
                <v:stroke joinstyle="miter"/>
              </v:oval>
            </w:pict>
          </mc:Fallback>
        </mc:AlternateContent>
      </w:r>
      <w:r w:rsidR="006B5C8E">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62EF8540" wp14:editId="5C4FFFF4">
                <wp:simplePos x="0" y="0"/>
                <wp:positionH relativeFrom="column">
                  <wp:posOffset>463550</wp:posOffset>
                </wp:positionH>
                <wp:positionV relativeFrom="paragraph">
                  <wp:posOffset>44450</wp:posOffset>
                </wp:positionV>
                <wp:extent cx="1295400" cy="463550"/>
                <wp:effectExtent l="0" t="0" r="19050" b="12700"/>
                <wp:wrapNone/>
                <wp:docPr id="3" name="Oval 3"/>
                <wp:cNvGraphicFramePr/>
                <a:graphic xmlns:a="http://schemas.openxmlformats.org/drawingml/2006/main">
                  <a:graphicData uri="http://schemas.microsoft.com/office/word/2010/wordprocessingShape">
                    <wps:wsp>
                      <wps:cNvSpPr/>
                      <wps:spPr>
                        <a:xfrm>
                          <a:off x="0" y="0"/>
                          <a:ext cx="1295400" cy="463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7B1FBD" id="Oval 3" o:spid="_x0000_s1026" style="position:absolute;margin-left:36.5pt;margin-top:3.5pt;width:102pt;height:36.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" filled="f" strokecolor="#1f3763 [1604]" strokeweight="1pt">
                <v:stroke joinstyle="miter"/>
              </v:oval>
            </w:pict>
          </mc:Fallback>
        </mc:AlternateContent>
      </w:r>
      <w:r w:rsidR="00AE4112">
        <w:rPr>
          <w:rFonts w:ascii="Times New Roman" w:hAnsi="Times New Roman" w:cs="Times New Roman"/>
          <w:noProof/>
        </w:rPr>
        <w:drawing>
          <wp:inline distT="0" distB="0" distL="0" distR="0" wp14:anchorId="330297A2" wp14:editId="20DF555C">
            <wp:extent cx="5943600" cy="3198495"/>
            <wp:effectExtent l="0" t="0" r="0" b="1905"/>
            <wp:docPr id="2" name="Picture 2" descr="Scatte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tter char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98495"/>
                    </a:xfrm>
                    <a:prstGeom prst="rect">
                      <a:avLst/>
                    </a:prstGeom>
                  </pic:spPr>
                </pic:pic>
              </a:graphicData>
            </a:graphic>
          </wp:inline>
        </w:drawing>
      </w:r>
      <w:r w:rsidR="00EB13F7">
        <w:rPr>
          <w:rFonts w:ascii="Times New Roman" w:hAnsi="Times New Roman" w:cs="Times New Roman"/>
        </w:rPr>
        <w:br/>
      </w:r>
    </w:p>
    <w:p w14:paraId="605C00E1" w14:textId="1A682460" w:rsidR="003E5B38" w:rsidRPr="00105325" w:rsidRDefault="00E16B32" w:rsidP="00105325">
      <w:pPr>
        <w:pStyle w:val="Heading2"/>
        <w:jc w:val="both"/>
      </w:pPr>
      <w:r w:rsidRPr="00105325">
        <w:t>Participation in Gold Open access</w:t>
      </w:r>
    </w:p>
    <w:p w14:paraId="4E66AB60" w14:textId="77777777" w:rsidR="00BD7B11" w:rsidRPr="00574708" w:rsidRDefault="00F27806" w:rsidP="00105325">
      <w:pPr>
        <w:spacing w:after="0" w:line="240" w:lineRule="auto"/>
        <w:jc w:val="both"/>
        <w:rPr>
          <w:rFonts w:ascii="Times New Roman" w:hAnsi="Times New Roman" w:cs="Times New Roman"/>
          <w:sz w:val="24"/>
          <w:szCs w:val="24"/>
        </w:rPr>
      </w:pPr>
      <w:r w:rsidRPr="00574708">
        <w:rPr>
          <w:rFonts w:ascii="Times New Roman" w:hAnsi="Times New Roman" w:cs="Times New Roman"/>
          <w:sz w:val="24"/>
          <w:szCs w:val="24"/>
        </w:rPr>
        <w:t>According to the September 2021</w:t>
      </w:r>
      <w:r w:rsidR="00F54D1B" w:rsidRPr="00574708">
        <w:rPr>
          <w:rFonts w:ascii="Times New Roman" w:hAnsi="Times New Roman" w:cs="Times New Roman"/>
          <w:sz w:val="24"/>
          <w:szCs w:val="24"/>
        </w:rPr>
        <w:t xml:space="preserve"> data from the National Science Foundation Center for Science and Engineering Statistics</w:t>
      </w:r>
      <w:r w:rsidR="000564F1" w:rsidRPr="00574708">
        <w:rPr>
          <w:rFonts w:ascii="Times New Roman" w:hAnsi="Times New Roman" w:cs="Times New Roman"/>
          <w:sz w:val="24"/>
          <w:szCs w:val="24"/>
        </w:rPr>
        <w:t xml:space="preserve"> (https://ncses.nsf.gov/indicators/data)</w:t>
      </w:r>
      <w:r w:rsidRPr="00574708">
        <w:rPr>
          <w:rFonts w:ascii="Times New Roman" w:hAnsi="Times New Roman" w:cs="Times New Roman"/>
          <w:sz w:val="24"/>
          <w:szCs w:val="24"/>
        </w:rPr>
        <w:t>, the following table shows the proportion of researchers (defined as individuals engaged in research and development activities, including those working in science and engineering occupations) to population by state</w:t>
      </w:r>
      <w:r w:rsidR="00490A6E" w:rsidRPr="00574708">
        <w:rPr>
          <w:rFonts w:ascii="Times New Roman" w:hAnsi="Times New Roman" w:cs="Times New Roman"/>
          <w:sz w:val="24"/>
          <w:szCs w:val="24"/>
        </w:rPr>
        <w:t>:</w:t>
      </w:r>
      <w:r w:rsidR="00644FE8" w:rsidRPr="00574708">
        <w:rPr>
          <w:rFonts w:ascii="Times New Roman" w:eastAsia="Times New Roman" w:hAnsi="Times New Roman" w:cs="Times New Roman"/>
          <w:sz w:val="28"/>
          <w:szCs w:val="28"/>
          <w:lang w:val="en-GB" w:eastAsia="sv-SE"/>
        </w:rPr>
        <w:t xml:space="preserve"> </w:t>
      </w:r>
    </w:p>
    <w:p w14:paraId="71E6E097" w14:textId="77777777" w:rsidR="00BD7B11" w:rsidRDefault="00BD7B11" w:rsidP="00644FE8">
      <w:pPr>
        <w:spacing w:after="0" w:line="240" w:lineRule="auto"/>
        <w:jc w:val="center"/>
        <w:rPr>
          <w:rFonts w:ascii="Times New Roman" w:eastAsia="Times New Roman" w:hAnsi="Times New Roman" w:cs="Times New Roman"/>
          <w:sz w:val="24"/>
          <w:szCs w:val="24"/>
          <w:lang w:val="en-GB" w:eastAsia="sv-SE"/>
        </w:rPr>
      </w:pPr>
    </w:p>
    <w:p w14:paraId="3429C308" w14:textId="53C97052" w:rsidR="00644FE8" w:rsidRPr="00BC135F" w:rsidRDefault="00644FE8" w:rsidP="00644FE8">
      <w:pPr>
        <w:spacing w:after="0" w:line="240" w:lineRule="auto"/>
        <w:jc w:val="center"/>
        <w:rPr>
          <w:rFonts w:ascii="Times New Roman" w:eastAsia="Times New Roman" w:hAnsi="Times New Roman" w:cs="Times New Roman"/>
          <w:sz w:val="24"/>
          <w:szCs w:val="24"/>
          <w:lang w:val="en-GB" w:eastAsia="sv-SE"/>
        </w:rPr>
      </w:pPr>
      <w:r w:rsidRPr="00BC135F">
        <w:rPr>
          <w:rFonts w:ascii="Times New Roman" w:eastAsia="Times New Roman" w:hAnsi="Times New Roman" w:cs="Times New Roman"/>
          <w:sz w:val="24"/>
          <w:szCs w:val="24"/>
          <w:lang w:val="en-GB" w:eastAsia="sv-SE"/>
        </w:rPr>
        <w:t>Table 1: Researchers per 1,000 Population per state. Source NSF data</w:t>
      </w:r>
    </w:p>
    <w:p w14:paraId="2E6932E2" w14:textId="33B63EB5" w:rsidR="00C4632A" w:rsidRDefault="00C4632A" w:rsidP="00105325">
      <w:pPr>
        <w:spacing w:after="0" w:line="240" w:lineRule="auto"/>
        <w:jc w:val="both"/>
        <w:rPr>
          <w:rFonts w:ascii="Times New Roman" w:hAnsi="Times New Roman" w:cs="Times New Roman"/>
        </w:rPr>
      </w:pPr>
    </w:p>
    <w:tbl>
      <w:tblPr>
        <w:tblW w:w="5000" w:type="pct"/>
        <w:tblLook w:val="04A0" w:firstRow="1" w:lastRow="0" w:firstColumn="1" w:lastColumn="0" w:noHBand="0" w:noVBand="1"/>
      </w:tblPr>
      <w:tblGrid>
        <w:gridCol w:w="956"/>
        <w:gridCol w:w="1052"/>
        <w:gridCol w:w="894"/>
        <w:gridCol w:w="1052"/>
        <w:gridCol w:w="733"/>
        <w:gridCol w:w="1052"/>
        <w:gridCol w:w="725"/>
        <w:gridCol w:w="1052"/>
        <w:gridCol w:w="782"/>
        <w:gridCol w:w="1052"/>
      </w:tblGrid>
      <w:tr w:rsidR="00373ADE" w:rsidRPr="00C4632A" w14:paraId="37A8AE81" w14:textId="77777777" w:rsidTr="00373ADE">
        <w:trPr>
          <w:trHeight w:val="500"/>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14:paraId="71B8693B" w14:textId="77777777" w:rsidR="00C4632A" w:rsidRPr="00C4632A" w:rsidRDefault="00C4632A" w:rsidP="00C4632A">
            <w:pPr>
              <w:spacing w:after="0" w:line="240" w:lineRule="auto"/>
              <w:rPr>
                <w:rFonts w:ascii="Times New Roman" w:eastAsia="Times New Roman" w:hAnsi="Times New Roman" w:cs="Times New Roman"/>
                <w:b/>
                <w:bCs/>
                <w:color w:val="000000"/>
                <w:sz w:val="16"/>
                <w:szCs w:val="16"/>
              </w:rPr>
            </w:pPr>
            <w:r w:rsidRPr="00C4632A">
              <w:rPr>
                <w:rFonts w:ascii="Times New Roman" w:eastAsia="Times New Roman" w:hAnsi="Times New Roman" w:cs="Times New Roman"/>
                <w:b/>
                <w:bCs/>
                <w:color w:val="000000"/>
                <w:sz w:val="16"/>
                <w:szCs w:val="16"/>
              </w:rPr>
              <w:t>State</w:t>
            </w:r>
          </w:p>
        </w:tc>
        <w:tc>
          <w:tcPr>
            <w:tcW w:w="516" w:type="pct"/>
            <w:tcBorders>
              <w:top w:val="single" w:sz="4" w:space="0" w:color="auto"/>
              <w:left w:val="nil"/>
              <w:bottom w:val="single" w:sz="4" w:space="0" w:color="auto"/>
              <w:right w:val="single" w:sz="4" w:space="0" w:color="auto"/>
            </w:tcBorders>
            <w:shd w:val="clear" w:color="auto" w:fill="auto"/>
            <w:hideMark/>
          </w:tcPr>
          <w:p w14:paraId="4AA9F00C" w14:textId="77777777" w:rsidR="00C4632A" w:rsidRPr="00C4632A" w:rsidRDefault="00C4632A" w:rsidP="00C4632A">
            <w:pPr>
              <w:spacing w:after="0" w:line="240" w:lineRule="auto"/>
              <w:rPr>
                <w:rFonts w:ascii="Times New Roman" w:eastAsia="Times New Roman" w:hAnsi="Times New Roman" w:cs="Times New Roman"/>
                <w:b/>
                <w:bCs/>
                <w:color w:val="000000"/>
                <w:sz w:val="16"/>
                <w:szCs w:val="16"/>
              </w:rPr>
            </w:pPr>
            <w:bookmarkStart w:id="0" w:name="_Hlk132479267"/>
            <w:r w:rsidRPr="00C4632A">
              <w:rPr>
                <w:rFonts w:ascii="Times New Roman" w:eastAsia="Times New Roman" w:hAnsi="Times New Roman" w:cs="Times New Roman"/>
                <w:b/>
                <w:bCs/>
                <w:color w:val="000000"/>
                <w:sz w:val="16"/>
                <w:szCs w:val="16"/>
              </w:rPr>
              <w:t>Researchers per 1,000 Population</w:t>
            </w:r>
            <w:bookmarkEnd w:id="0"/>
          </w:p>
        </w:tc>
        <w:tc>
          <w:tcPr>
            <w:tcW w:w="525" w:type="pct"/>
            <w:tcBorders>
              <w:top w:val="single" w:sz="4" w:space="0" w:color="auto"/>
              <w:left w:val="nil"/>
              <w:bottom w:val="single" w:sz="4" w:space="0" w:color="auto"/>
              <w:right w:val="single" w:sz="4" w:space="0" w:color="auto"/>
            </w:tcBorders>
            <w:shd w:val="clear" w:color="auto" w:fill="auto"/>
            <w:hideMark/>
          </w:tcPr>
          <w:p w14:paraId="746AE0AF" w14:textId="77777777" w:rsidR="00C4632A" w:rsidRPr="00C4632A" w:rsidRDefault="00C4632A" w:rsidP="00C4632A">
            <w:pPr>
              <w:spacing w:after="0" w:line="240" w:lineRule="auto"/>
              <w:rPr>
                <w:rFonts w:ascii="Times New Roman" w:eastAsia="Times New Roman" w:hAnsi="Times New Roman" w:cs="Times New Roman"/>
                <w:b/>
                <w:bCs/>
                <w:color w:val="000000"/>
                <w:sz w:val="16"/>
                <w:szCs w:val="16"/>
              </w:rPr>
            </w:pPr>
            <w:r w:rsidRPr="00C4632A">
              <w:rPr>
                <w:rFonts w:ascii="Times New Roman" w:eastAsia="Times New Roman" w:hAnsi="Times New Roman" w:cs="Times New Roman"/>
                <w:b/>
                <w:bCs/>
                <w:color w:val="000000"/>
                <w:sz w:val="16"/>
                <w:szCs w:val="16"/>
              </w:rPr>
              <w:t>State</w:t>
            </w:r>
          </w:p>
        </w:tc>
        <w:tc>
          <w:tcPr>
            <w:tcW w:w="516" w:type="pct"/>
            <w:tcBorders>
              <w:top w:val="single" w:sz="4" w:space="0" w:color="auto"/>
              <w:left w:val="nil"/>
              <w:bottom w:val="single" w:sz="4" w:space="0" w:color="auto"/>
              <w:right w:val="single" w:sz="4" w:space="0" w:color="auto"/>
            </w:tcBorders>
            <w:shd w:val="clear" w:color="auto" w:fill="auto"/>
            <w:hideMark/>
          </w:tcPr>
          <w:p w14:paraId="433AA218" w14:textId="77777777" w:rsidR="00C4632A" w:rsidRPr="00C4632A" w:rsidRDefault="00C4632A" w:rsidP="00C4632A">
            <w:pPr>
              <w:spacing w:after="0" w:line="240" w:lineRule="auto"/>
              <w:rPr>
                <w:rFonts w:ascii="Times New Roman" w:eastAsia="Times New Roman" w:hAnsi="Times New Roman" w:cs="Times New Roman"/>
                <w:b/>
                <w:bCs/>
                <w:color w:val="000000"/>
                <w:sz w:val="16"/>
                <w:szCs w:val="16"/>
              </w:rPr>
            </w:pPr>
            <w:r w:rsidRPr="00C4632A">
              <w:rPr>
                <w:rFonts w:ascii="Times New Roman" w:eastAsia="Times New Roman" w:hAnsi="Times New Roman" w:cs="Times New Roman"/>
                <w:b/>
                <w:bCs/>
                <w:color w:val="000000"/>
                <w:sz w:val="16"/>
                <w:szCs w:val="16"/>
              </w:rPr>
              <w:t>Researchers per 1,000 Population</w:t>
            </w:r>
          </w:p>
        </w:tc>
        <w:tc>
          <w:tcPr>
            <w:tcW w:w="439" w:type="pct"/>
            <w:tcBorders>
              <w:top w:val="single" w:sz="4" w:space="0" w:color="auto"/>
              <w:left w:val="nil"/>
              <w:bottom w:val="single" w:sz="4" w:space="0" w:color="auto"/>
              <w:right w:val="single" w:sz="4" w:space="0" w:color="auto"/>
            </w:tcBorders>
            <w:shd w:val="clear" w:color="auto" w:fill="auto"/>
            <w:hideMark/>
          </w:tcPr>
          <w:p w14:paraId="3B694AC3" w14:textId="77777777" w:rsidR="00C4632A" w:rsidRPr="00C4632A" w:rsidRDefault="00C4632A" w:rsidP="00C4632A">
            <w:pPr>
              <w:spacing w:after="0" w:line="240" w:lineRule="auto"/>
              <w:rPr>
                <w:rFonts w:ascii="Times New Roman" w:eastAsia="Times New Roman" w:hAnsi="Times New Roman" w:cs="Times New Roman"/>
                <w:b/>
                <w:bCs/>
                <w:color w:val="000000"/>
                <w:sz w:val="16"/>
                <w:szCs w:val="16"/>
              </w:rPr>
            </w:pPr>
            <w:r w:rsidRPr="00C4632A">
              <w:rPr>
                <w:rFonts w:ascii="Times New Roman" w:eastAsia="Times New Roman" w:hAnsi="Times New Roman" w:cs="Times New Roman"/>
                <w:b/>
                <w:bCs/>
                <w:color w:val="000000"/>
                <w:sz w:val="16"/>
                <w:szCs w:val="16"/>
              </w:rPr>
              <w:t>State</w:t>
            </w:r>
          </w:p>
        </w:tc>
        <w:tc>
          <w:tcPr>
            <w:tcW w:w="516" w:type="pct"/>
            <w:tcBorders>
              <w:top w:val="single" w:sz="4" w:space="0" w:color="auto"/>
              <w:left w:val="nil"/>
              <w:bottom w:val="single" w:sz="4" w:space="0" w:color="auto"/>
              <w:right w:val="single" w:sz="4" w:space="0" w:color="auto"/>
            </w:tcBorders>
            <w:shd w:val="clear" w:color="auto" w:fill="auto"/>
            <w:hideMark/>
          </w:tcPr>
          <w:p w14:paraId="5165DEB9" w14:textId="77777777" w:rsidR="00C4632A" w:rsidRPr="00C4632A" w:rsidRDefault="00C4632A" w:rsidP="00C4632A">
            <w:pPr>
              <w:spacing w:after="0" w:line="240" w:lineRule="auto"/>
              <w:rPr>
                <w:rFonts w:ascii="Times New Roman" w:eastAsia="Times New Roman" w:hAnsi="Times New Roman" w:cs="Times New Roman"/>
                <w:b/>
                <w:bCs/>
                <w:color w:val="000000"/>
                <w:sz w:val="16"/>
                <w:szCs w:val="16"/>
              </w:rPr>
            </w:pPr>
            <w:r w:rsidRPr="00C4632A">
              <w:rPr>
                <w:rFonts w:ascii="Times New Roman" w:eastAsia="Times New Roman" w:hAnsi="Times New Roman" w:cs="Times New Roman"/>
                <w:b/>
                <w:bCs/>
                <w:color w:val="000000"/>
                <w:sz w:val="16"/>
                <w:szCs w:val="16"/>
              </w:rPr>
              <w:t>Researchers per 1,000 Population</w:t>
            </w:r>
          </w:p>
        </w:tc>
        <w:tc>
          <w:tcPr>
            <w:tcW w:w="435" w:type="pct"/>
            <w:tcBorders>
              <w:top w:val="single" w:sz="4" w:space="0" w:color="auto"/>
              <w:left w:val="nil"/>
              <w:bottom w:val="single" w:sz="4" w:space="0" w:color="auto"/>
              <w:right w:val="single" w:sz="4" w:space="0" w:color="auto"/>
            </w:tcBorders>
            <w:shd w:val="clear" w:color="auto" w:fill="auto"/>
            <w:hideMark/>
          </w:tcPr>
          <w:p w14:paraId="4C1E4EC6" w14:textId="77777777" w:rsidR="00C4632A" w:rsidRPr="00C4632A" w:rsidRDefault="00C4632A" w:rsidP="00C4632A">
            <w:pPr>
              <w:spacing w:after="0" w:line="240" w:lineRule="auto"/>
              <w:rPr>
                <w:rFonts w:ascii="Times New Roman" w:eastAsia="Times New Roman" w:hAnsi="Times New Roman" w:cs="Times New Roman"/>
                <w:b/>
                <w:bCs/>
                <w:color w:val="000000"/>
                <w:sz w:val="16"/>
                <w:szCs w:val="16"/>
              </w:rPr>
            </w:pPr>
            <w:r w:rsidRPr="00C4632A">
              <w:rPr>
                <w:rFonts w:ascii="Times New Roman" w:eastAsia="Times New Roman" w:hAnsi="Times New Roman" w:cs="Times New Roman"/>
                <w:b/>
                <w:bCs/>
                <w:color w:val="000000"/>
                <w:sz w:val="16"/>
                <w:szCs w:val="16"/>
              </w:rPr>
              <w:t>State</w:t>
            </w:r>
          </w:p>
        </w:tc>
        <w:tc>
          <w:tcPr>
            <w:tcW w:w="516" w:type="pct"/>
            <w:tcBorders>
              <w:top w:val="single" w:sz="4" w:space="0" w:color="auto"/>
              <w:left w:val="nil"/>
              <w:bottom w:val="single" w:sz="4" w:space="0" w:color="auto"/>
              <w:right w:val="single" w:sz="4" w:space="0" w:color="auto"/>
            </w:tcBorders>
            <w:shd w:val="clear" w:color="auto" w:fill="auto"/>
            <w:hideMark/>
          </w:tcPr>
          <w:p w14:paraId="41C0ED87" w14:textId="77777777" w:rsidR="00C4632A" w:rsidRPr="00C4632A" w:rsidRDefault="00C4632A" w:rsidP="00C4632A">
            <w:pPr>
              <w:spacing w:after="0" w:line="240" w:lineRule="auto"/>
              <w:rPr>
                <w:rFonts w:ascii="Times New Roman" w:eastAsia="Times New Roman" w:hAnsi="Times New Roman" w:cs="Times New Roman"/>
                <w:b/>
                <w:bCs/>
                <w:color w:val="000000"/>
                <w:sz w:val="16"/>
                <w:szCs w:val="16"/>
              </w:rPr>
            </w:pPr>
            <w:r w:rsidRPr="00C4632A">
              <w:rPr>
                <w:rFonts w:ascii="Times New Roman" w:eastAsia="Times New Roman" w:hAnsi="Times New Roman" w:cs="Times New Roman"/>
                <w:b/>
                <w:bCs/>
                <w:color w:val="000000"/>
                <w:sz w:val="16"/>
                <w:szCs w:val="16"/>
              </w:rPr>
              <w:t>Researchers per 1,000 Population</w:t>
            </w:r>
          </w:p>
        </w:tc>
        <w:tc>
          <w:tcPr>
            <w:tcW w:w="465" w:type="pct"/>
            <w:tcBorders>
              <w:top w:val="single" w:sz="4" w:space="0" w:color="auto"/>
              <w:left w:val="nil"/>
              <w:bottom w:val="single" w:sz="4" w:space="0" w:color="auto"/>
              <w:right w:val="single" w:sz="4" w:space="0" w:color="auto"/>
            </w:tcBorders>
            <w:shd w:val="clear" w:color="auto" w:fill="auto"/>
            <w:hideMark/>
          </w:tcPr>
          <w:p w14:paraId="21652797" w14:textId="77777777" w:rsidR="00C4632A" w:rsidRPr="00C4632A" w:rsidRDefault="00C4632A" w:rsidP="00C4632A">
            <w:pPr>
              <w:spacing w:after="0" w:line="240" w:lineRule="auto"/>
              <w:rPr>
                <w:rFonts w:ascii="Times New Roman" w:eastAsia="Times New Roman" w:hAnsi="Times New Roman" w:cs="Times New Roman"/>
                <w:b/>
                <w:bCs/>
                <w:color w:val="000000"/>
                <w:sz w:val="16"/>
                <w:szCs w:val="16"/>
              </w:rPr>
            </w:pPr>
            <w:r w:rsidRPr="00C4632A">
              <w:rPr>
                <w:rFonts w:ascii="Times New Roman" w:eastAsia="Times New Roman" w:hAnsi="Times New Roman" w:cs="Times New Roman"/>
                <w:b/>
                <w:bCs/>
                <w:color w:val="000000"/>
                <w:sz w:val="16"/>
                <w:szCs w:val="16"/>
              </w:rPr>
              <w:t>State</w:t>
            </w:r>
          </w:p>
        </w:tc>
        <w:tc>
          <w:tcPr>
            <w:tcW w:w="516" w:type="pct"/>
            <w:tcBorders>
              <w:top w:val="single" w:sz="4" w:space="0" w:color="auto"/>
              <w:left w:val="nil"/>
              <w:bottom w:val="single" w:sz="4" w:space="0" w:color="auto"/>
              <w:right w:val="single" w:sz="4" w:space="0" w:color="auto"/>
            </w:tcBorders>
            <w:shd w:val="clear" w:color="auto" w:fill="auto"/>
            <w:hideMark/>
          </w:tcPr>
          <w:p w14:paraId="40AC93A3" w14:textId="77777777" w:rsidR="00C4632A" w:rsidRPr="00C4632A" w:rsidRDefault="00C4632A" w:rsidP="00C4632A">
            <w:pPr>
              <w:spacing w:after="0" w:line="240" w:lineRule="auto"/>
              <w:rPr>
                <w:rFonts w:ascii="Times New Roman" w:eastAsia="Times New Roman" w:hAnsi="Times New Roman" w:cs="Times New Roman"/>
                <w:b/>
                <w:bCs/>
                <w:color w:val="000000"/>
                <w:sz w:val="16"/>
                <w:szCs w:val="16"/>
              </w:rPr>
            </w:pPr>
            <w:r w:rsidRPr="00C4632A">
              <w:rPr>
                <w:rFonts w:ascii="Times New Roman" w:eastAsia="Times New Roman" w:hAnsi="Times New Roman" w:cs="Times New Roman"/>
                <w:b/>
                <w:bCs/>
                <w:color w:val="000000"/>
                <w:sz w:val="16"/>
                <w:szCs w:val="16"/>
              </w:rPr>
              <w:t>Researchers per 1,000 Population</w:t>
            </w:r>
          </w:p>
        </w:tc>
      </w:tr>
      <w:tr w:rsidR="00373ADE" w:rsidRPr="00490A6E" w14:paraId="3A19F72B" w14:textId="77777777" w:rsidTr="00373ADE">
        <w:trPr>
          <w:trHeight w:val="290"/>
        </w:trPr>
        <w:tc>
          <w:tcPr>
            <w:tcW w:w="559" w:type="pct"/>
            <w:tcBorders>
              <w:top w:val="nil"/>
              <w:left w:val="single" w:sz="4" w:space="0" w:color="auto"/>
              <w:bottom w:val="single" w:sz="4" w:space="0" w:color="auto"/>
              <w:right w:val="single" w:sz="4" w:space="0" w:color="auto"/>
            </w:tcBorders>
            <w:shd w:val="clear" w:color="auto" w:fill="auto"/>
            <w:hideMark/>
          </w:tcPr>
          <w:p w14:paraId="5D3B5FFB"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District of Columbia</w:t>
            </w:r>
          </w:p>
        </w:tc>
        <w:tc>
          <w:tcPr>
            <w:tcW w:w="516" w:type="pct"/>
            <w:tcBorders>
              <w:top w:val="nil"/>
              <w:left w:val="nil"/>
              <w:bottom w:val="single" w:sz="4" w:space="0" w:color="auto"/>
              <w:right w:val="single" w:sz="4" w:space="0" w:color="auto"/>
            </w:tcBorders>
            <w:shd w:val="clear" w:color="auto" w:fill="auto"/>
            <w:hideMark/>
          </w:tcPr>
          <w:p w14:paraId="49DE0736"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19</w:t>
            </w:r>
          </w:p>
        </w:tc>
        <w:tc>
          <w:tcPr>
            <w:tcW w:w="525" w:type="pct"/>
            <w:tcBorders>
              <w:top w:val="nil"/>
              <w:left w:val="nil"/>
              <w:bottom w:val="single" w:sz="4" w:space="0" w:color="auto"/>
              <w:right w:val="single" w:sz="4" w:space="0" w:color="auto"/>
            </w:tcBorders>
            <w:shd w:val="clear" w:color="auto" w:fill="auto"/>
            <w:hideMark/>
          </w:tcPr>
          <w:p w14:paraId="65C77317"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Virginia</w:t>
            </w:r>
          </w:p>
        </w:tc>
        <w:tc>
          <w:tcPr>
            <w:tcW w:w="516" w:type="pct"/>
            <w:tcBorders>
              <w:top w:val="nil"/>
              <w:left w:val="nil"/>
              <w:bottom w:val="single" w:sz="4" w:space="0" w:color="auto"/>
              <w:right w:val="single" w:sz="4" w:space="0" w:color="auto"/>
            </w:tcBorders>
            <w:shd w:val="clear" w:color="auto" w:fill="auto"/>
            <w:hideMark/>
          </w:tcPr>
          <w:p w14:paraId="2F971658"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7.7</w:t>
            </w:r>
          </w:p>
        </w:tc>
        <w:tc>
          <w:tcPr>
            <w:tcW w:w="439" w:type="pct"/>
            <w:tcBorders>
              <w:top w:val="nil"/>
              <w:left w:val="nil"/>
              <w:bottom w:val="single" w:sz="4" w:space="0" w:color="auto"/>
              <w:right w:val="single" w:sz="4" w:space="0" w:color="auto"/>
            </w:tcBorders>
            <w:shd w:val="clear" w:color="auto" w:fill="auto"/>
            <w:hideMark/>
          </w:tcPr>
          <w:p w14:paraId="5240F167"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Utah</w:t>
            </w:r>
          </w:p>
        </w:tc>
        <w:tc>
          <w:tcPr>
            <w:tcW w:w="516" w:type="pct"/>
            <w:tcBorders>
              <w:top w:val="nil"/>
              <w:left w:val="nil"/>
              <w:bottom w:val="single" w:sz="4" w:space="0" w:color="auto"/>
              <w:right w:val="single" w:sz="4" w:space="0" w:color="auto"/>
            </w:tcBorders>
            <w:shd w:val="clear" w:color="auto" w:fill="auto"/>
            <w:hideMark/>
          </w:tcPr>
          <w:p w14:paraId="2079E88B"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6.5</w:t>
            </w:r>
          </w:p>
        </w:tc>
        <w:tc>
          <w:tcPr>
            <w:tcW w:w="435" w:type="pct"/>
            <w:tcBorders>
              <w:top w:val="nil"/>
              <w:left w:val="nil"/>
              <w:bottom w:val="single" w:sz="4" w:space="0" w:color="auto"/>
              <w:right w:val="single" w:sz="4" w:space="0" w:color="auto"/>
            </w:tcBorders>
            <w:shd w:val="clear" w:color="auto" w:fill="auto"/>
            <w:hideMark/>
          </w:tcPr>
          <w:p w14:paraId="7FDAD417"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Ohio</w:t>
            </w:r>
          </w:p>
        </w:tc>
        <w:tc>
          <w:tcPr>
            <w:tcW w:w="516" w:type="pct"/>
            <w:tcBorders>
              <w:top w:val="nil"/>
              <w:left w:val="nil"/>
              <w:bottom w:val="single" w:sz="4" w:space="0" w:color="auto"/>
              <w:right w:val="single" w:sz="4" w:space="0" w:color="auto"/>
            </w:tcBorders>
            <w:shd w:val="clear" w:color="auto" w:fill="auto"/>
            <w:hideMark/>
          </w:tcPr>
          <w:p w14:paraId="09076E05"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5.5</w:t>
            </w:r>
          </w:p>
        </w:tc>
        <w:tc>
          <w:tcPr>
            <w:tcW w:w="465" w:type="pct"/>
            <w:tcBorders>
              <w:top w:val="nil"/>
              <w:left w:val="nil"/>
              <w:bottom w:val="single" w:sz="4" w:space="0" w:color="auto"/>
              <w:right w:val="single" w:sz="4" w:space="0" w:color="auto"/>
            </w:tcBorders>
            <w:shd w:val="clear" w:color="auto" w:fill="auto"/>
            <w:hideMark/>
          </w:tcPr>
          <w:p w14:paraId="7D146C70"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Mississippi</w:t>
            </w:r>
          </w:p>
        </w:tc>
        <w:tc>
          <w:tcPr>
            <w:tcW w:w="516" w:type="pct"/>
            <w:tcBorders>
              <w:top w:val="nil"/>
              <w:left w:val="nil"/>
              <w:bottom w:val="single" w:sz="4" w:space="0" w:color="auto"/>
              <w:right w:val="single" w:sz="4" w:space="0" w:color="auto"/>
            </w:tcBorders>
            <w:shd w:val="clear" w:color="auto" w:fill="auto"/>
            <w:hideMark/>
          </w:tcPr>
          <w:p w14:paraId="1390EE7D"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3.6</w:t>
            </w:r>
          </w:p>
        </w:tc>
      </w:tr>
      <w:tr w:rsidR="00373ADE" w:rsidRPr="00490A6E" w14:paraId="2241C491" w14:textId="77777777" w:rsidTr="00373ADE">
        <w:trPr>
          <w:trHeight w:val="290"/>
        </w:trPr>
        <w:tc>
          <w:tcPr>
            <w:tcW w:w="559" w:type="pct"/>
            <w:tcBorders>
              <w:top w:val="nil"/>
              <w:left w:val="single" w:sz="4" w:space="0" w:color="auto"/>
              <w:bottom w:val="single" w:sz="4" w:space="0" w:color="auto"/>
              <w:right w:val="single" w:sz="4" w:space="0" w:color="auto"/>
            </w:tcBorders>
            <w:shd w:val="clear" w:color="auto" w:fill="auto"/>
            <w:hideMark/>
          </w:tcPr>
          <w:p w14:paraId="112C0A96"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Massachusetts</w:t>
            </w:r>
          </w:p>
        </w:tc>
        <w:tc>
          <w:tcPr>
            <w:tcW w:w="516" w:type="pct"/>
            <w:tcBorders>
              <w:top w:val="nil"/>
              <w:left w:val="nil"/>
              <w:bottom w:val="single" w:sz="4" w:space="0" w:color="auto"/>
              <w:right w:val="single" w:sz="4" w:space="0" w:color="auto"/>
            </w:tcBorders>
            <w:shd w:val="clear" w:color="auto" w:fill="auto"/>
            <w:hideMark/>
          </w:tcPr>
          <w:p w14:paraId="619EC76D"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12.8</w:t>
            </w:r>
          </w:p>
        </w:tc>
        <w:tc>
          <w:tcPr>
            <w:tcW w:w="525" w:type="pct"/>
            <w:tcBorders>
              <w:top w:val="nil"/>
              <w:left w:val="nil"/>
              <w:bottom w:val="single" w:sz="4" w:space="0" w:color="auto"/>
              <w:right w:val="single" w:sz="4" w:space="0" w:color="auto"/>
            </w:tcBorders>
            <w:shd w:val="clear" w:color="auto" w:fill="auto"/>
            <w:hideMark/>
          </w:tcPr>
          <w:p w14:paraId="23557D83"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Rhode Island</w:t>
            </w:r>
          </w:p>
        </w:tc>
        <w:tc>
          <w:tcPr>
            <w:tcW w:w="516" w:type="pct"/>
            <w:tcBorders>
              <w:top w:val="nil"/>
              <w:left w:val="nil"/>
              <w:bottom w:val="single" w:sz="4" w:space="0" w:color="auto"/>
              <w:right w:val="single" w:sz="4" w:space="0" w:color="auto"/>
            </w:tcBorders>
            <w:shd w:val="clear" w:color="auto" w:fill="auto"/>
            <w:hideMark/>
          </w:tcPr>
          <w:p w14:paraId="21BCC70F"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7.6</w:t>
            </w:r>
          </w:p>
        </w:tc>
        <w:tc>
          <w:tcPr>
            <w:tcW w:w="439" w:type="pct"/>
            <w:tcBorders>
              <w:top w:val="nil"/>
              <w:left w:val="nil"/>
              <w:bottom w:val="single" w:sz="4" w:space="0" w:color="auto"/>
              <w:right w:val="single" w:sz="4" w:space="0" w:color="auto"/>
            </w:tcBorders>
            <w:shd w:val="clear" w:color="auto" w:fill="auto"/>
            <w:hideMark/>
          </w:tcPr>
          <w:p w14:paraId="622D5454"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Michigan</w:t>
            </w:r>
          </w:p>
        </w:tc>
        <w:tc>
          <w:tcPr>
            <w:tcW w:w="516" w:type="pct"/>
            <w:tcBorders>
              <w:top w:val="nil"/>
              <w:left w:val="nil"/>
              <w:bottom w:val="single" w:sz="4" w:space="0" w:color="auto"/>
              <w:right w:val="single" w:sz="4" w:space="0" w:color="auto"/>
            </w:tcBorders>
            <w:shd w:val="clear" w:color="auto" w:fill="auto"/>
            <w:hideMark/>
          </w:tcPr>
          <w:p w14:paraId="0008F81B"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6.4</w:t>
            </w:r>
          </w:p>
        </w:tc>
        <w:tc>
          <w:tcPr>
            <w:tcW w:w="435" w:type="pct"/>
            <w:tcBorders>
              <w:top w:val="nil"/>
              <w:left w:val="nil"/>
              <w:bottom w:val="single" w:sz="4" w:space="0" w:color="auto"/>
              <w:right w:val="single" w:sz="4" w:space="0" w:color="auto"/>
            </w:tcBorders>
            <w:shd w:val="clear" w:color="auto" w:fill="auto"/>
            <w:hideMark/>
          </w:tcPr>
          <w:p w14:paraId="7322D243"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Florida</w:t>
            </w:r>
          </w:p>
        </w:tc>
        <w:tc>
          <w:tcPr>
            <w:tcW w:w="516" w:type="pct"/>
            <w:tcBorders>
              <w:top w:val="nil"/>
              <w:left w:val="nil"/>
              <w:bottom w:val="single" w:sz="4" w:space="0" w:color="auto"/>
              <w:right w:val="single" w:sz="4" w:space="0" w:color="auto"/>
            </w:tcBorders>
            <w:shd w:val="clear" w:color="auto" w:fill="auto"/>
            <w:hideMark/>
          </w:tcPr>
          <w:p w14:paraId="19E945DC"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5.2</w:t>
            </w:r>
          </w:p>
        </w:tc>
        <w:tc>
          <w:tcPr>
            <w:tcW w:w="465" w:type="pct"/>
            <w:tcBorders>
              <w:top w:val="nil"/>
              <w:left w:val="nil"/>
              <w:bottom w:val="single" w:sz="4" w:space="0" w:color="auto"/>
              <w:right w:val="single" w:sz="4" w:space="0" w:color="auto"/>
            </w:tcBorders>
            <w:shd w:val="clear" w:color="auto" w:fill="auto"/>
            <w:hideMark/>
          </w:tcPr>
          <w:p w14:paraId="2529D13B"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West Virginia</w:t>
            </w:r>
          </w:p>
        </w:tc>
        <w:tc>
          <w:tcPr>
            <w:tcW w:w="516" w:type="pct"/>
            <w:tcBorders>
              <w:top w:val="nil"/>
              <w:left w:val="nil"/>
              <w:bottom w:val="single" w:sz="4" w:space="0" w:color="auto"/>
              <w:right w:val="single" w:sz="4" w:space="0" w:color="auto"/>
            </w:tcBorders>
            <w:shd w:val="clear" w:color="auto" w:fill="auto"/>
            <w:hideMark/>
          </w:tcPr>
          <w:p w14:paraId="504C82C6"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3.3</w:t>
            </w:r>
          </w:p>
        </w:tc>
      </w:tr>
      <w:tr w:rsidR="00373ADE" w:rsidRPr="00490A6E" w14:paraId="3FADEE49" w14:textId="77777777" w:rsidTr="00373ADE">
        <w:trPr>
          <w:trHeight w:val="290"/>
        </w:trPr>
        <w:tc>
          <w:tcPr>
            <w:tcW w:w="559" w:type="pct"/>
            <w:tcBorders>
              <w:top w:val="nil"/>
              <w:left w:val="single" w:sz="4" w:space="0" w:color="auto"/>
              <w:bottom w:val="single" w:sz="4" w:space="0" w:color="auto"/>
              <w:right w:val="single" w:sz="4" w:space="0" w:color="auto"/>
            </w:tcBorders>
            <w:shd w:val="clear" w:color="auto" w:fill="auto"/>
            <w:hideMark/>
          </w:tcPr>
          <w:p w14:paraId="501EB1F6"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Delaware</w:t>
            </w:r>
          </w:p>
        </w:tc>
        <w:tc>
          <w:tcPr>
            <w:tcW w:w="516" w:type="pct"/>
            <w:tcBorders>
              <w:top w:val="nil"/>
              <w:left w:val="nil"/>
              <w:bottom w:val="single" w:sz="4" w:space="0" w:color="auto"/>
              <w:right w:val="single" w:sz="4" w:space="0" w:color="auto"/>
            </w:tcBorders>
            <w:shd w:val="clear" w:color="auto" w:fill="auto"/>
            <w:hideMark/>
          </w:tcPr>
          <w:p w14:paraId="449E088D"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11.9</w:t>
            </w:r>
          </w:p>
        </w:tc>
        <w:tc>
          <w:tcPr>
            <w:tcW w:w="525" w:type="pct"/>
            <w:tcBorders>
              <w:top w:val="nil"/>
              <w:left w:val="nil"/>
              <w:bottom w:val="single" w:sz="4" w:space="0" w:color="auto"/>
              <w:right w:val="single" w:sz="4" w:space="0" w:color="auto"/>
            </w:tcBorders>
            <w:shd w:val="clear" w:color="auto" w:fill="auto"/>
            <w:hideMark/>
          </w:tcPr>
          <w:p w14:paraId="7DBAEF6C"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New York</w:t>
            </w:r>
          </w:p>
        </w:tc>
        <w:tc>
          <w:tcPr>
            <w:tcW w:w="516" w:type="pct"/>
            <w:tcBorders>
              <w:top w:val="nil"/>
              <w:left w:val="nil"/>
              <w:bottom w:val="single" w:sz="4" w:space="0" w:color="auto"/>
              <w:right w:val="single" w:sz="4" w:space="0" w:color="auto"/>
            </w:tcBorders>
            <w:shd w:val="clear" w:color="auto" w:fill="auto"/>
            <w:hideMark/>
          </w:tcPr>
          <w:p w14:paraId="077FF926"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7.5</w:t>
            </w:r>
          </w:p>
        </w:tc>
        <w:tc>
          <w:tcPr>
            <w:tcW w:w="439" w:type="pct"/>
            <w:tcBorders>
              <w:top w:val="nil"/>
              <w:left w:val="nil"/>
              <w:bottom w:val="single" w:sz="4" w:space="0" w:color="auto"/>
              <w:right w:val="single" w:sz="4" w:space="0" w:color="auto"/>
            </w:tcBorders>
            <w:shd w:val="clear" w:color="auto" w:fill="auto"/>
            <w:hideMark/>
          </w:tcPr>
          <w:p w14:paraId="5385E478"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North Carolina</w:t>
            </w:r>
          </w:p>
        </w:tc>
        <w:tc>
          <w:tcPr>
            <w:tcW w:w="516" w:type="pct"/>
            <w:tcBorders>
              <w:top w:val="nil"/>
              <w:left w:val="nil"/>
              <w:bottom w:val="single" w:sz="4" w:space="0" w:color="auto"/>
              <w:right w:val="single" w:sz="4" w:space="0" w:color="auto"/>
            </w:tcBorders>
            <w:shd w:val="clear" w:color="auto" w:fill="auto"/>
            <w:hideMark/>
          </w:tcPr>
          <w:p w14:paraId="529ABC3D"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6.4</w:t>
            </w:r>
          </w:p>
        </w:tc>
        <w:tc>
          <w:tcPr>
            <w:tcW w:w="435" w:type="pct"/>
            <w:tcBorders>
              <w:top w:val="nil"/>
              <w:left w:val="nil"/>
              <w:bottom w:val="single" w:sz="4" w:space="0" w:color="auto"/>
              <w:right w:val="single" w:sz="4" w:space="0" w:color="auto"/>
            </w:tcBorders>
            <w:shd w:val="clear" w:color="auto" w:fill="auto"/>
            <w:hideMark/>
          </w:tcPr>
          <w:p w14:paraId="1534588A"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Missouri</w:t>
            </w:r>
          </w:p>
        </w:tc>
        <w:tc>
          <w:tcPr>
            <w:tcW w:w="516" w:type="pct"/>
            <w:tcBorders>
              <w:top w:val="nil"/>
              <w:left w:val="nil"/>
              <w:bottom w:val="single" w:sz="4" w:space="0" w:color="auto"/>
              <w:right w:val="single" w:sz="4" w:space="0" w:color="auto"/>
            </w:tcBorders>
            <w:shd w:val="clear" w:color="auto" w:fill="auto"/>
            <w:hideMark/>
          </w:tcPr>
          <w:p w14:paraId="14355A96"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5.1</w:t>
            </w:r>
          </w:p>
        </w:tc>
        <w:tc>
          <w:tcPr>
            <w:tcW w:w="465" w:type="pct"/>
            <w:tcBorders>
              <w:top w:val="nil"/>
              <w:left w:val="nil"/>
              <w:bottom w:val="single" w:sz="4" w:space="0" w:color="auto"/>
              <w:right w:val="single" w:sz="4" w:space="0" w:color="auto"/>
            </w:tcBorders>
            <w:shd w:val="clear" w:color="auto" w:fill="auto"/>
            <w:hideMark/>
          </w:tcPr>
          <w:p w14:paraId="5DE0E5A9"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New Mexico</w:t>
            </w:r>
          </w:p>
        </w:tc>
        <w:tc>
          <w:tcPr>
            <w:tcW w:w="516" w:type="pct"/>
            <w:tcBorders>
              <w:top w:val="nil"/>
              <w:left w:val="nil"/>
              <w:bottom w:val="single" w:sz="4" w:space="0" w:color="auto"/>
              <w:right w:val="single" w:sz="4" w:space="0" w:color="auto"/>
            </w:tcBorders>
            <w:shd w:val="clear" w:color="auto" w:fill="auto"/>
            <w:hideMark/>
          </w:tcPr>
          <w:p w14:paraId="17D774F1"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3</w:t>
            </w:r>
          </w:p>
        </w:tc>
      </w:tr>
      <w:tr w:rsidR="00373ADE" w:rsidRPr="00490A6E" w14:paraId="5D376D06" w14:textId="77777777" w:rsidTr="00373ADE">
        <w:trPr>
          <w:trHeight w:val="290"/>
        </w:trPr>
        <w:tc>
          <w:tcPr>
            <w:tcW w:w="559" w:type="pct"/>
            <w:tcBorders>
              <w:top w:val="nil"/>
              <w:left w:val="single" w:sz="4" w:space="0" w:color="auto"/>
              <w:bottom w:val="single" w:sz="4" w:space="0" w:color="auto"/>
              <w:right w:val="single" w:sz="4" w:space="0" w:color="auto"/>
            </w:tcBorders>
            <w:shd w:val="clear" w:color="auto" w:fill="auto"/>
            <w:hideMark/>
          </w:tcPr>
          <w:p w14:paraId="0E9B2ADC"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Maryland</w:t>
            </w:r>
          </w:p>
        </w:tc>
        <w:tc>
          <w:tcPr>
            <w:tcW w:w="516" w:type="pct"/>
            <w:tcBorders>
              <w:top w:val="nil"/>
              <w:left w:val="nil"/>
              <w:bottom w:val="single" w:sz="4" w:space="0" w:color="auto"/>
              <w:right w:val="single" w:sz="4" w:space="0" w:color="auto"/>
            </w:tcBorders>
            <w:shd w:val="clear" w:color="auto" w:fill="auto"/>
            <w:hideMark/>
          </w:tcPr>
          <w:p w14:paraId="71C7E035"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10.3</w:t>
            </w:r>
          </w:p>
        </w:tc>
        <w:tc>
          <w:tcPr>
            <w:tcW w:w="525" w:type="pct"/>
            <w:tcBorders>
              <w:top w:val="nil"/>
              <w:left w:val="nil"/>
              <w:bottom w:val="single" w:sz="4" w:space="0" w:color="auto"/>
              <w:right w:val="single" w:sz="4" w:space="0" w:color="auto"/>
            </w:tcBorders>
            <w:shd w:val="clear" w:color="auto" w:fill="auto"/>
            <w:hideMark/>
          </w:tcPr>
          <w:p w14:paraId="1BF14A7E"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Oregon</w:t>
            </w:r>
          </w:p>
        </w:tc>
        <w:tc>
          <w:tcPr>
            <w:tcW w:w="516" w:type="pct"/>
            <w:tcBorders>
              <w:top w:val="nil"/>
              <w:left w:val="nil"/>
              <w:bottom w:val="single" w:sz="4" w:space="0" w:color="auto"/>
              <w:right w:val="single" w:sz="4" w:space="0" w:color="auto"/>
            </w:tcBorders>
            <w:shd w:val="clear" w:color="auto" w:fill="auto"/>
            <w:hideMark/>
          </w:tcPr>
          <w:p w14:paraId="12C3735B"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7.1</w:t>
            </w:r>
          </w:p>
        </w:tc>
        <w:tc>
          <w:tcPr>
            <w:tcW w:w="439" w:type="pct"/>
            <w:tcBorders>
              <w:top w:val="nil"/>
              <w:left w:val="nil"/>
              <w:bottom w:val="single" w:sz="4" w:space="0" w:color="auto"/>
              <w:right w:val="single" w:sz="4" w:space="0" w:color="auto"/>
            </w:tcBorders>
            <w:shd w:val="clear" w:color="auto" w:fill="auto"/>
            <w:hideMark/>
          </w:tcPr>
          <w:p w14:paraId="6F2D2AA5"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Wisconsin</w:t>
            </w:r>
          </w:p>
        </w:tc>
        <w:tc>
          <w:tcPr>
            <w:tcW w:w="516" w:type="pct"/>
            <w:tcBorders>
              <w:top w:val="nil"/>
              <w:left w:val="nil"/>
              <w:bottom w:val="single" w:sz="4" w:space="0" w:color="auto"/>
              <w:right w:val="single" w:sz="4" w:space="0" w:color="auto"/>
            </w:tcBorders>
            <w:shd w:val="clear" w:color="auto" w:fill="auto"/>
            <w:hideMark/>
          </w:tcPr>
          <w:p w14:paraId="32C9EBCF"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6.3</w:t>
            </w:r>
          </w:p>
        </w:tc>
        <w:tc>
          <w:tcPr>
            <w:tcW w:w="435" w:type="pct"/>
            <w:tcBorders>
              <w:top w:val="nil"/>
              <w:left w:val="nil"/>
              <w:bottom w:val="single" w:sz="4" w:space="0" w:color="auto"/>
              <w:right w:val="single" w:sz="4" w:space="0" w:color="auto"/>
            </w:tcBorders>
            <w:shd w:val="clear" w:color="auto" w:fill="auto"/>
            <w:hideMark/>
          </w:tcPr>
          <w:p w14:paraId="07684563"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Tennessee</w:t>
            </w:r>
          </w:p>
        </w:tc>
        <w:tc>
          <w:tcPr>
            <w:tcW w:w="516" w:type="pct"/>
            <w:tcBorders>
              <w:top w:val="nil"/>
              <w:left w:val="nil"/>
              <w:bottom w:val="single" w:sz="4" w:space="0" w:color="auto"/>
              <w:right w:val="single" w:sz="4" w:space="0" w:color="auto"/>
            </w:tcBorders>
            <w:shd w:val="clear" w:color="auto" w:fill="auto"/>
            <w:hideMark/>
          </w:tcPr>
          <w:p w14:paraId="463A8AA1"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5.1</w:t>
            </w:r>
          </w:p>
        </w:tc>
        <w:tc>
          <w:tcPr>
            <w:tcW w:w="465" w:type="pct"/>
            <w:tcBorders>
              <w:top w:val="nil"/>
              <w:left w:val="nil"/>
              <w:bottom w:val="single" w:sz="4" w:space="0" w:color="auto"/>
              <w:right w:val="single" w:sz="4" w:space="0" w:color="auto"/>
            </w:tcBorders>
            <w:shd w:val="clear" w:color="auto" w:fill="auto"/>
            <w:hideMark/>
          </w:tcPr>
          <w:p w14:paraId="4EE52E03"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Idaho</w:t>
            </w:r>
          </w:p>
        </w:tc>
        <w:tc>
          <w:tcPr>
            <w:tcW w:w="516" w:type="pct"/>
            <w:tcBorders>
              <w:top w:val="nil"/>
              <w:left w:val="nil"/>
              <w:bottom w:val="single" w:sz="4" w:space="0" w:color="auto"/>
              <w:right w:val="single" w:sz="4" w:space="0" w:color="auto"/>
            </w:tcBorders>
            <w:shd w:val="clear" w:color="auto" w:fill="auto"/>
            <w:hideMark/>
          </w:tcPr>
          <w:p w14:paraId="4922F5AB"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2.8</w:t>
            </w:r>
          </w:p>
        </w:tc>
      </w:tr>
      <w:tr w:rsidR="00373ADE" w:rsidRPr="00490A6E" w14:paraId="2415A60D" w14:textId="77777777" w:rsidTr="00373ADE">
        <w:trPr>
          <w:trHeight w:val="290"/>
        </w:trPr>
        <w:tc>
          <w:tcPr>
            <w:tcW w:w="559" w:type="pct"/>
            <w:tcBorders>
              <w:top w:val="nil"/>
              <w:left w:val="single" w:sz="4" w:space="0" w:color="auto"/>
              <w:bottom w:val="single" w:sz="4" w:space="0" w:color="auto"/>
              <w:right w:val="single" w:sz="4" w:space="0" w:color="auto"/>
            </w:tcBorders>
            <w:shd w:val="clear" w:color="auto" w:fill="auto"/>
            <w:hideMark/>
          </w:tcPr>
          <w:p w14:paraId="325E5918"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Colorado</w:t>
            </w:r>
          </w:p>
        </w:tc>
        <w:tc>
          <w:tcPr>
            <w:tcW w:w="516" w:type="pct"/>
            <w:tcBorders>
              <w:top w:val="nil"/>
              <w:left w:val="nil"/>
              <w:bottom w:val="single" w:sz="4" w:space="0" w:color="auto"/>
              <w:right w:val="single" w:sz="4" w:space="0" w:color="auto"/>
            </w:tcBorders>
            <w:shd w:val="clear" w:color="auto" w:fill="auto"/>
            <w:hideMark/>
          </w:tcPr>
          <w:p w14:paraId="688CC65B"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9.7</w:t>
            </w:r>
          </w:p>
        </w:tc>
        <w:tc>
          <w:tcPr>
            <w:tcW w:w="525" w:type="pct"/>
            <w:tcBorders>
              <w:top w:val="nil"/>
              <w:left w:val="nil"/>
              <w:bottom w:val="single" w:sz="4" w:space="0" w:color="auto"/>
              <w:right w:val="single" w:sz="4" w:space="0" w:color="auto"/>
            </w:tcBorders>
            <w:shd w:val="clear" w:color="auto" w:fill="auto"/>
            <w:hideMark/>
          </w:tcPr>
          <w:p w14:paraId="7BA28CB0"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Vermont</w:t>
            </w:r>
          </w:p>
        </w:tc>
        <w:tc>
          <w:tcPr>
            <w:tcW w:w="516" w:type="pct"/>
            <w:tcBorders>
              <w:top w:val="nil"/>
              <w:left w:val="nil"/>
              <w:bottom w:val="single" w:sz="4" w:space="0" w:color="auto"/>
              <w:right w:val="single" w:sz="4" w:space="0" w:color="auto"/>
            </w:tcBorders>
            <w:shd w:val="clear" w:color="auto" w:fill="auto"/>
            <w:hideMark/>
          </w:tcPr>
          <w:p w14:paraId="25FC30E7"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7.1</w:t>
            </w:r>
          </w:p>
        </w:tc>
        <w:tc>
          <w:tcPr>
            <w:tcW w:w="439" w:type="pct"/>
            <w:tcBorders>
              <w:top w:val="nil"/>
              <w:left w:val="nil"/>
              <w:bottom w:val="single" w:sz="4" w:space="0" w:color="auto"/>
              <w:right w:val="single" w:sz="4" w:space="0" w:color="auto"/>
            </w:tcBorders>
            <w:shd w:val="clear" w:color="auto" w:fill="auto"/>
            <w:hideMark/>
          </w:tcPr>
          <w:p w14:paraId="56ECD639"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Texas</w:t>
            </w:r>
          </w:p>
        </w:tc>
        <w:tc>
          <w:tcPr>
            <w:tcW w:w="516" w:type="pct"/>
            <w:tcBorders>
              <w:top w:val="nil"/>
              <w:left w:val="nil"/>
              <w:bottom w:val="single" w:sz="4" w:space="0" w:color="auto"/>
              <w:right w:val="single" w:sz="4" w:space="0" w:color="auto"/>
            </w:tcBorders>
            <w:shd w:val="clear" w:color="auto" w:fill="auto"/>
            <w:hideMark/>
          </w:tcPr>
          <w:p w14:paraId="56E32D69"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6</w:t>
            </w:r>
          </w:p>
        </w:tc>
        <w:tc>
          <w:tcPr>
            <w:tcW w:w="435" w:type="pct"/>
            <w:tcBorders>
              <w:top w:val="nil"/>
              <w:left w:val="nil"/>
              <w:bottom w:val="single" w:sz="4" w:space="0" w:color="auto"/>
              <w:right w:val="single" w:sz="4" w:space="0" w:color="auto"/>
            </w:tcBorders>
            <w:shd w:val="clear" w:color="auto" w:fill="auto"/>
            <w:hideMark/>
          </w:tcPr>
          <w:p w14:paraId="6451F3C7"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Kentucky</w:t>
            </w:r>
          </w:p>
        </w:tc>
        <w:tc>
          <w:tcPr>
            <w:tcW w:w="516" w:type="pct"/>
            <w:tcBorders>
              <w:top w:val="nil"/>
              <w:left w:val="nil"/>
              <w:bottom w:val="single" w:sz="4" w:space="0" w:color="auto"/>
              <w:right w:val="single" w:sz="4" w:space="0" w:color="auto"/>
            </w:tcBorders>
            <w:shd w:val="clear" w:color="auto" w:fill="auto"/>
            <w:hideMark/>
          </w:tcPr>
          <w:p w14:paraId="370202F1"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4.6</w:t>
            </w:r>
          </w:p>
        </w:tc>
        <w:tc>
          <w:tcPr>
            <w:tcW w:w="465" w:type="pct"/>
            <w:tcBorders>
              <w:top w:val="nil"/>
              <w:left w:val="nil"/>
              <w:bottom w:val="single" w:sz="4" w:space="0" w:color="auto"/>
              <w:right w:val="single" w:sz="4" w:space="0" w:color="auto"/>
            </w:tcBorders>
            <w:shd w:val="clear" w:color="auto" w:fill="auto"/>
            <w:hideMark/>
          </w:tcPr>
          <w:p w14:paraId="6337B5BC"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Montana</w:t>
            </w:r>
          </w:p>
        </w:tc>
        <w:tc>
          <w:tcPr>
            <w:tcW w:w="516" w:type="pct"/>
            <w:tcBorders>
              <w:top w:val="nil"/>
              <w:left w:val="nil"/>
              <w:bottom w:val="single" w:sz="4" w:space="0" w:color="auto"/>
              <w:right w:val="single" w:sz="4" w:space="0" w:color="auto"/>
            </w:tcBorders>
            <w:shd w:val="clear" w:color="auto" w:fill="auto"/>
            <w:hideMark/>
          </w:tcPr>
          <w:p w14:paraId="6B43D37F"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2.7</w:t>
            </w:r>
          </w:p>
        </w:tc>
      </w:tr>
      <w:tr w:rsidR="00373ADE" w:rsidRPr="00490A6E" w14:paraId="6C160121" w14:textId="77777777" w:rsidTr="00373ADE">
        <w:trPr>
          <w:trHeight w:val="290"/>
        </w:trPr>
        <w:tc>
          <w:tcPr>
            <w:tcW w:w="559" w:type="pct"/>
            <w:tcBorders>
              <w:top w:val="nil"/>
              <w:left w:val="single" w:sz="4" w:space="0" w:color="auto"/>
              <w:bottom w:val="single" w:sz="4" w:space="0" w:color="auto"/>
              <w:right w:val="single" w:sz="4" w:space="0" w:color="auto"/>
            </w:tcBorders>
            <w:shd w:val="clear" w:color="auto" w:fill="auto"/>
            <w:hideMark/>
          </w:tcPr>
          <w:p w14:paraId="6D8FFE63"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California</w:t>
            </w:r>
          </w:p>
        </w:tc>
        <w:tc>
          <w:tcPr>
            <w:tcW w:w="516" w:type="pct"/>
            <w:tcBorders>
              <w:top w:val="nil"/>
              <w:left w:val="nil"/>
              <w:bottom w:val="single" w:sz="4" w:space="0" w:color="auto"/>
              <w:right w:val="single" w:sz="4" w:space="0" w:color="auto"/>
            </w:tcBorders>
            <w:shd w:val="clear" w:color="auto" w:fill="auto"/>
            <w:hideMark/>
          </w:tcPr>
          <w:p w14:paraId="481F089C"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9.1</w:t>
            </w:r>
          </w:p>
        </w:tc>
        <w:tc>
          <w:tcPr>
            <w:tcW w:w="525" w:type="pct"/>
            <w:tcBorders>
              <w:top w:val="nil"/>
              <w:left w:val="nil"/>
              <w:bottom w:val="single" w:sz="4" w:space="0" w:color="auto"/>
              <w:right w:val="single" w:sz="4" w:space="0" w:color="auto"/>
            </w:tcBorders>
            <w:shd w:val="clear" w:color="auto" w:fill="auto"/>
            <w:hideMark/>
          </w:tcPr>
          <w:p w14:paraId="699A3132"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Minnesota</w:t>
            </w:r>
          </w:p>
        </w:tc>
        <w:tc>
          <w:tcPr>
            <w:tcW w:w="516" w:type="pct"/>
            <w:tcBorders>
              <w:top w:val="nil"/>
              <w:left w:val="nil"/>
              <w:bottom w:val="single" w:sz="4" w:space="0" w:color="auto"/>
              <w:right w:val="single" w:sz="4" w:space="0" w:color="auto"/>
            </w:tcBorders>
            <w:shd w:val="clear" w:color="auto" w:fill="auto"/>
            <w:hideMark/>
          </w:tcPr>
          <w:p w14:paraId="5B5E33EA"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7</w:t>
            </w:r>
          </w:p>
        </w:tc>
        <w:tc>
          <w:tcPr>
            <w:tcW w:w="439" w:type="pct"/>
            <w:tcBorders>
              <w:top w:val="nil"/>
              <w:left w:val="nil"/>
              <w:bottom w:val="single" w:sz="4" w:space="0" w:color="auto"/>
              <w:right w:val="single" w:sz="4" w:space="0" w:color="auto"/>
            </w:tcBorders>
            <w:shd w:val="clear" w:color="auto" w:fill="auto"/>
            <w:hideMark/>
          </w:tcPr>
          <w:p w14:paraId="47FA6F4D"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Iowa</w:t>
            </w:r>
          </w:p>
        </w:tc>
        <w:tc>
          <w:tcPr>
            <w:tcW w:w="516" w:type="pct"/>
            <w:tcBorders>
              <w:top w:val="nil"/>
              <w:left w:val="nil"/>
              <w:bottom w:val="single" w:sz="4" w:space="0" w:color="auto"/>
              <w:right w:val="single" w:sz="4" w:space="0" w:color="auto"/>
            </w:tcBorders>
            <w:shd w:val="clear" w:color="auto" w:fill="auto"/>
            <w:hideMark/>
          </w:tcPr>
          <w:p w14:paraId="6D8CA7E6"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5.8</w:t>
            </w:r>
          </w:p>
        </w:tc>
        <w:tc>
          <w:tcPr>
            <w:tcW w:w="435" w:type="pct"/>
            <w:tcBorders>
              <w:top w:val="nil"/>
              <w:left w:val="nil"/>
              <w:bottom w:val="single" w:sz="4" w:space="0" w:color="auto"/>
              <w:right w:val="single" w:sz="4" w:space="0" w:color="auto"/>
            </w:tcBorders>
            <w:shd w:val="clear" w:color="auto" w:fill="auto"/>
            <w:hideMark/>
          </w:tcPr>
          <w:p w14:paraId="481214F8"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Nevada</w:t>
            </w:r>
          </w:p>
        </w:tc>
        <w:tc>
          <w:tcPr>
            <w:tcW w:w="516" w:type="pct"/>
            <w:tcBorders>
              <w:top w:val="nil"/>
              <w:left w:val="nil"/>
              <w:bottom w:val="single" w:sz="4" w:space="0" w:color="auto"/>
              <w:right w:val="single" w:sz="4" w:space="0" w:color="auto"/>
            </w:tcBorders>
            <w:shd w:val="clear" w:color="auto" w:fill="auto"/>
            <w:hideMark/>
          </w:tcPr>
          <w:p w14:paraId="78BB5604"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4.4</w:t>
            </w:r>
          </w:p>
        </w:tc>
        <w:tc>
          <w:tcPr>
            <w:tcW w:w="465" w:type="pct"/>
            <w:tcBorders>
              <w:top w:val="nil"/>
              <w:left w:val="nil"/>
              <w:bottom w:val="single" w:sz="4" w:space="0" w:color="auto"/>
              <w:right w:val="single" w:sz="4" w:space="0" w:color="auto"/>
            </w:tcBorders>
            <w:shd w:val="clear" w:color="auto" w:fill="auto"/>
            <w:hideMark/>
          </w:tcPr>
          <w:p w14:paraId="45DFD52F"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South Dakota</w:t>
            </w:r>
          </w:p>
        </w:tc>
        <w:tc>
          <w:tcPr>
            <w:tcW w:w="516" w:type="pct"/>
            <w:tcBorders>
              <w:top w:val="nil"/>
              <w:left w:val="nil"/>
              <w:bottom w:val="single" w:sz="4" w:space="0" w:color="auto"/>
              <w:right w:val="single" w:sz="4" w:space="0" w:color="auto"/>
            </w:tcBorders>
            <w:shd w:val="clear" w:color="auto" w:fill="auto"/>
            <w:hideMark/>
          </w:tcPr>
          <w:p w14:paraId="37023E1F"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2.4</w:t>
            </w:r>
          </w:p>
        </w:tc>
      </w:tr>
      <w:tr w:rsidR="00373ADE" w:rsidRPr="00490A6E" w14:paraId="210FFEA9" w14:textId="77777777" w:rsidTr="00373ADE">
        <w:trPr>
          <w:trHeight w:val="290"/>
        </w:trPr>
        <w:tc>
          <w:tcPr>
            <w:tcW w:w="559" w:type="pct"/>
            <w:tcBorders>
              <w:top w:val="nil"/>
              <w:left w:val="single" w:sz="4" w:space="0" w:color="auto"/>
              <w:bottom w:val="single" w:sz="4" w:space="0" w:color="auto"/>
              <w:right w:val="single" w:sz="4" w:space="0" w:color="auto"/>
            </w:tcBorders>
            <w:shd w:val="clear" w:color="auto" w:fill="auto"/>
            <w:hideMark/>
          </w:tcPr>
          <w:p w14:paraId="23362EF9"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Connecticut</w:t>
            </w:r>
          </w:p>
        </w:tc>
        <w:tc>
          <w:tcPr>
            <w:tcW w:w="516" w:type="pct"/>
            <w:tcBorders>
              <w:top w:val="nil"/>
              <w:left w:val="nil"/>
              <w:bottom w:val="single" w:sz="4" w:space="0" w:color="auto"/>
              <w:right w:val="single" w:sz="4" w:space="0" w:color="auto"/>
            </w:tcBorders>
            <w:shd w:val="clear" w:color="auto" w:fill="auto"/>
            <w:hideMark/>
          </w:tcPr>
          <w:p w14:paraId="70B4D428"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8.8</w:t>
            </w:r>
          </w:p>
        </w:tc>
        <w:tc>
          <w:tcPr>
            <w:tcW w:w="525" w:type="pct"/>
            <w:tcBorders>
              <w:top w:val="nil"/>
              <w:left w:val="nil"/>
              <w:bottom w:val="single" w:sz="4" w:space="0" w:color="auto"/>
              <w:right w:val="single" w:sz="4" w:space="0" w:color="auto"/>
            </w:tcBorders>
            <w:shd w:val="clear" w:color="auto" w:fill="auto"/>
            <w:hideMark/>
          </w:tcPr>
          <w:p w14:paraId="643BEA3B"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Illinois</w:t>
            </w:r>
          </w:p>
        </w:tc>
        <w:tc>
          <w:tcPr>
            <w:tcW w:w="516" w:type="pct"/>
            <w:tcBorders>
              <w:top w:val="nil"/>
              <w:left w:val="nil"/>
              <w:bottom w:val="single" w:sz="4" w:space="0" w:color="auto"/>
              <w:right w:val="single" w:sz="4" w:space="0" w:color="auto"/>
            </w:tcBorders>
            <w:shd w:val="clear" w:color="auto" w:fill="auto"/>
            <w:hideMark/>
          </w:tcPr>
          <w:p w14:paraId="6995C242"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6.9</w:t>
            </w:r>
          </w:p>
        </w:tc>
        <w:tc>
          <w:tcPr>
            <w:tcW w:w="439" w:type="pct"/>
            <w:tcBorders>
              <w:top w:val="nil"/>
              <w:left w:val="nil"/>
              <w:bottom w:val="single" w:sz="4" w:space="0" w:color="auto"/>
              <w:right w:val="single" w:sz="4" w:space="0" w:color="auto"/>
            </w:tcBorders>
            <w:shd w:val="clear" w:color="auto" w:fill="auto"/>
            <w:hideMark/>
          </w:tcPr>
          <w:p w14:paraId="314A3C3D"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Kansas</w:t>
            </w:r>
          </w:p>
        </w:tc>
        <w:tc>
          <w:tcPr>
            <w:tcW w:w="516" w:type="pct"/>
            <w:tcBorders>
              <w:top w:val="nil"/>
              <w:left w:val="nil"/>
              <w:bottom w:val="single" w:sz="4" w:space="0" w:color="auto"/>
              <w:right w:val="single" w:sz="4" w:space="0" w:color="auto"/>
            </w:tcBorders>
            <w:shd w:val="clear" w:color="auto" w:fill="auto"/>
            <w:hideMark/>
          </w:tcPr>
          <w:p w14:paraId="07F5B6F9"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5.6</w:t>
            </w:r>
          </w:p>
        </w:tc>
        <w:tc>
          <w:tcPr>
            <w:tcW w:w="435" w:type="pct"/>
            <w:tcBorders>
              <w:top w:val="nil"/>
              <w:left w:val="nil"/>
              <w:bottom w:val="single" w:sz="4" w:space="0" w:color="auto"/>
              <w:right w:val="single" w:sz="4" w:space="0" w:color="auto"/>
            </w:tcBorders>
            <w:shd w:val="clear" w:color="auto" w:fill="auto"/>
            <w:hideMark/>
          </w:tcPr>
          <w:p w14:paraId="78791484"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Arkansas</w:t>
            </w:r>
          </w:p>
        </w:tc>
        <w:tc>
          <w:tcPr>
            <w:tcW w:w="516" w:type="pct"/>
            <w:tcBorders>
              <w:top w:val="nil"/>
              <w:left w:val="nil"/>
              <w:bottom w:val="single" w:sz="4" w:space="0" w:color="auto"/>
              <w:right w:val="single" w:sz="4" w:space="0" w:color="auto"/>
            </w:tcBorders>
            <w:shd w:val="clear" w:color="auto" w:fill="auto"/>
            <w:hideMark/>
          </w:tcPr>
          <w:p w14:paraId="581516A5"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4.2</w:t>
            </w:r>
          </w:p>
        </w:tc>
        <w:tc>
          <w:tcPr>
            <w:tcW w:w="465" w:type="pct"/>
            <w:tcBorders>
              <w:top w:val="nil"/>
              <w:left w:val="nil"/>
              <w:bottom w:val="single" w:sz="4" w:space="0" w:color="auto"/>
              <w:right w:val="single" w:sz="4" w:space="0" w:color="auto"/>
            </w:tcBorders>
            <w:shd w:val="clear" w:color="auto" w:fill="auto"/>
            <w:hideMark/>
          </w:tcPr>
          <w:p w14:paraId="3C129A2C"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North Dakota</w:t>
            </w:r>
          </w:p>
        </w:tc>
        <w:tc>
          <w:tcPr>
            <w:tcW w:w="516" w:type="pct"/>
            <w:tcBorders>
              <w:top w:val="nil"/>
              <w:left w:val="nil"/>
              <w:bottom w:val="single" w:sz="4" w:space="0" w:color="auto"/>
              <w:right w:val="single" w:sz="4" w:space="0" w:color="auto"/>
            </w:tcBorders>
            <w:shd w:val="clear" w:color="auto" w:fill="auto"/>
            <w:hideMark/>
          </w:tcPr>
          <w:p w14:paraId="30B168D8"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2.1</w:t>
            </w:r>
          </w:p>
        </w:tc>
      </w:tr>
      <w:tr w:rsidR="00373ADE" w:rsidRPr="00490A6E" w14:paraId="485884CA" w14:textId="77777777" w:rsidTr="00373ADE">
        <w:trPr>
          <w:trHeight w:val="290"/>
        </w:trPr>
        <w:tc>
          <w:tcPr>
            <w:tcW w:w="559" w:type="pct"/>
            <w:tcBorders>
              <w:top w:val="nil"/>
              <w:left w:val="single" w:sz="4" w:space="0" w:color="auto"/>
              <w:bottom w:val="single" w:sz="4" w:space="0" w:color="auto"/>
              <w:right w:val="single" w:sz="4" w:space="0" w:color="auto"/>
            </w:tcBorders>
            <w:shd w:val="clear" w:color="auto" w:fill="auto"/>
            <w:hideMark/>
          </w:tcPr>
          <w:p w14:paraId="7DA96B36"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Washington</w:t>
            </w:r>
          </w:p>
        </w:tc>
        <w:tc>
          <w:tcPr>
            <w:tcW w:w="516" w:type="pct"/>
            <w:tcBorders>
              <w:top w:val="nil"/>
              <w:left w:val="nil"/>
              <w:bottom w:val="single" w:sz="4" w:space="0" w:color="auto"/>
              <w:right w:val="single" w:sz="4" w:space="0" w:color="auto"/>
            </w:tcBorders>
            <w:shd w:val="clear" w:color="auto" w:fill="auto"/>
            <w:hideMark/>
          </w:tcPr>
          <w:p w14:paraId="6783044E"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8.3</w:t>
            </w:r>
          </w:p>
        </w:tc>
        <w:tc>
          <w:tcPr>
            <w:tcW w:w="525" w:type="pct"/>
            <w:tcBorders>
              <w:top w:val="nil"/>
              <w:left w:val="nil"/>
              <w:bottom w:val="single" w:sz="4" w:space="0" w:color="auto"/>
              <w:right w:val="single" w:sz="4" w:space="0" w:color="auto"/>
            </w:tcBorders>
            <w:shd w:val="clear" w:color="auto" w:fill="auto"/>
            <w:hideMark/>
          </w:tcPr>
          <w:p w14:paraId="284910C2"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Pennsylvania</w:t>
            </w:r>
          </w:p>
        </w:tc>
        <w:tc>
          <w:tcPr>
            <w:tcW w:w="516" w:type="pct"/>
            <w:tcBorders>
              <w:top w:val="nil"/>
              <w:left w:val="nil"/>
              <w:bottom w:val="single" w:sz="4" w:space="0" w:color="auto"/>
              <w:right w:val="single" w:sz="4" w:space="0" w:color="auto"/>
            </w:tcBorders>
            <w:shd w:val="clear" w:color="auto" w:fill="auto"/>
            <w:hideMark/>
          </w:tcPr>
          <w:p w14:paraId="1614B5F3"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6.8</w:t>
            </w:r>
          </w:p>
        </w:tc>
        <w:tc>
          <w:tcPr>
            <w:tcW w:w="439" w:type="pct"/>
            <w:tcBorders>
              <w:top w:val="nil"/>
              <w:left w:val="nil"/>
              <w:bottom w:val="single" w:sz="4" w:space="0" w:color="auto"/>
              <w:right w:val="single" w:sz="4" w:space="0" w:color="auto"/>
            </w:tcBorders>
            <w:shd w:val="clear" w:color="auto" w:fill="auto"/>
            <w:hideMark/>
          </w:tcPr>
          <w:p w14:paraId="3394EC17"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Nebraska</w:t>
            </w:r>
          </w:p>
        </w:tc>
        <w:tc>
          <w:tcPr>
            <w:tcW w:w="516" w:type="pct"/>
            <w:tcBorders>
              <w:top w:val="nil"/>
              <w:left w:val="nil"/>
              <w:bottom w:val="single" w:sz="4" w:space="0" w:color="auto"/>
              <w:right w:val="single" w:sz="4" w:space="0" w:color="auto"/>
            </w:tcBorders>
            <w:shd w:val="clear" w:color="auto" w:fill="auto"/>
            <w:hideMark/>
          </w:tcPr>
          <w:p w14:paraId="73320CC3"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5.6</w:t>
            </w:r>
          </w:p>
        </w:tc>
        <w:tc>
          <w:tcPr>
            <w:tcW w:w="435" w:type="pct"/>
            <w:tcBorders>
              <w:top w:val="nil"/>
              <w:left w:val="nil"/>
              <w:bottom w:val="single" w:sz="4" w:space="0" w:color="auto"/>
              <w:right w:val="single" w:sz="4" w:space="0" w:color="auto"/>
            </w:tcBorders>
            <w:shd w:val="clear" w:color="auto" w:fill="auto"/>
            <w:hideMark/>
          </w:tcPr>
          <w:p w14:paraId="62208FF2"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Oklahoma</w:t>
            </w:r>
          </w:p>
        </w:tc>
        <w:tc>
          <w:tcPr>
            <w:tcW w:w="516" w:type="pct"/>
            <w:tcBorders>
              <w:top w:val="nil"/>
              <w:left w:val="nil"/>
              <w:bottom w:val="single" w:sz="4" w:space="0" w:color="auto"/>
              <w:right w:val="single" w:sz="4" w:space="0" w:color="auto"/>
            </w:tcBorders>
            <w:shd w:val="clear" w:color="auto" w:fill="auto"/>
            <w:hideMark/>
          </w:tcPr>
          <w:p w14:paraId="163F218A"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4.2</w:t>
            </w:r>
          </w:p>
        </w:tc>
        <w:tc>
          <w:tcPr>
            <w:tcW w:w="465" w:type="pct"/>
            <w:tcBorders>
              <w:top w:val="nil"/>
              <w:left w:val="nil"/>
              <w:bottom w:val="single" w:sz="4" w:space="0" w:color="auto"/>
              <w:right w:val="single" w:sz="4" w:space="0" w:color="auto"/>
            </w:tcBorders>
            <w:shd w:val="clear" w:color="auto" w:fill="auto"/>
            <w:hideMark/>
          </w:tcPr>
          <w:p w14:paraId="0EF670D2"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Wyoming</w:t>
            </w:r>
          </w:p>
        </w:tc>
        <w:tc>
          <w:tcPr>
            <w:tcW w:w="516" w:type="pct"/>
            <w:tcBorders>
              <w:top w:val="nil"/>
              <w:left w:val="nil"/>
              <w:bottom w:val="single" w:sz="4" w:space="0" w:color="auto"/>
              <w:right w:val="single" w:sz="4" w:space="0" w:color="auto"/>
            </w:tcBorders>
            <w:shd w:val="clear" w:color="auto" w:fill="auto"/>
            <w:hideMark/>
          </w:tcPr>
          <w:p w14:paraId="1F52D8EB"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2</w:t>
            </w:r>
          </w:p>
        </w:tc>
      </w:tr>
      <w:tr w:rsidR="00373ADE" w:rsidRPr="00490A6E" w14:paraId="025DCC71" w14:textId="77777777" w:rsidTr="00373ADE">
        <w:trPr>
          <w:trHeight w:val="290"/>
        </w:trPr>
        <w:tc>
          <w:tcPr>
            <w:tcW w:w="559" w:type="pct"/>
            <w:tcBorders>
              <w:top w:val="nil"/>
              <w:left w:val="single" w:sz="4" w:space="0" w:color="auto"/>
              <w:bottom w:val="single" w:sz="4" w:space="0" w:color="auto"/>
              <w:right w:val="single" w:sz="4" w:space="0" w:color="auto"/>
            </w:tcBorders>
            <w:shd w:val="clear" w:color="auto" w:fill="auto"/>
            <w:hideMark/>
          </w:tcPr>
          <w:p w14:paraId="06EB15EC"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New Hampshire</w:t>
            </w:r>
          </w:p>
        </w:tc>
        <w:tc>
          <w:tcPr>
            <w:tcW w:w="516" w:type="pct"/>
            <w:tcBorders>
              <w:top w:val="nil"/>
              <w:left w:val="nil"/>
              <w:bottom w:val="single" w:sz="4" w:space="0" w:color="auto"/>
              <w:right w:val="single" w:sz="4" w:space="0" w:color="auto"/>
            </w:tcBorders>
            <w:shd w:val="clear" w:color="auto" w:fill="auto"/>
            <w:hideMark/>
          </w:tcPr>
          <w:p w14:paraId="03B4BEBA"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7.9</w:t>
            </w:r>
          </w:p>
        </w:tc>
        <w:tc>
          <w:tcPr>
            <w:tcW w:w="525" w:type="pct"/>
            <w:tcBorders>
              <w:top w:val="nil"/>
              <w:left w:val="nil"/>
              <w:bottom w:val="single" w:sz="4" w:space="0" w:color="auto"/>
              <w:right w:val="single" w:sz="4" w:space="0" w:color="auto"/>
            </w:tcBorders>
            <w:shd w:val="clear" w:color="auto" w:fill="auto"/>
            <w:hideMark/>
          </w:tcPr>
          <w:p w14:paraId="48059DB1"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Arizona</w:t>
            </w:r>
          </w:p>
        </w:tc>
        <w:tc>
          <w:tcPr>
            <w:tcW w:w="516" w:type="pct"/>
            <w:tcBorders>
              <w:top w:val="nil"/>
              <w:left w:val="nil"/>
              <w:bottom w:val="single" w:sz="4" w:space="0" w:color="auto"/>
              <w:right w:val="single" w:sz="4" w:space="0" w:color="auto"/>
            </w:tcBorders>
            <w:shd w:val="clear" w:color="auto" w:fill="auto"/>
            <w:hideMark/>
          </w:tcPr>
          <w:p w14:paraId="1A7F6B04"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6.5</w:t>
            </w:r>
          </w:p>
        </w:tc>
        <w:tc>
          <w:tcPr>
            <w:tcW w:w="439" w:type="pct"/>
            <w:tcBorders>
              <w:top w:val="nil"/>
              <w:left w:val="nil"/>
              <w:bottom w:val="single" w:sz="4" w:space="0" w:color="auto"/>
              <w:right w:val="single" w:sz="4" w:space="0" w:color="auto"/>
            </w:tcBorders>
            <w:shd w:val="clear" w:color="auto" w:fill="auto"/>
            <w:hideMark/>
          </w:tcPr>
          <w:p w14:paraId="25393885"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South Carolina</w:t>
            </w:r>
          </w:p>
        </w:tc>
        <w:tc>
          <w:tcPr>
            <w:tcW w:w="516" w:type="pct"/>
            <w:tcBorders>
              <w:top w:val="nil"/>
              <w:left w:val="nil"/>
              <w:bottom w:val="single" w:sz="4" w:space="0" w:color="auto"/>
              <w:right w:val="single" w:sz="4" w:space="0" w:color="auto"/>
            </w:tcBorders>
            <w:shd w:val="clear" w:color="auto" w:fill="auto"/>
            <w:hideMark/>
          </w:tcPr>
          <w:p w14:paraId="1F3A0569"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5.6</w:t>
            </w:r>
          </w:p>
        </w:tc>
        <w:tc>
          <w:tcPr>
            <w:tcW w:w="435" w:type="pct"/>
            <w:tcBorders>
              <w:top w:val="nil"/>
              <w:left w:val="nil"/>
              <w:bottom w:val="single" w:sz="4" w:space="0" w:color="auto"/>
              <w:right w:val="single" w:sz="4" w:space="0" w:color="auto"/>
            </w:tcBorders>
            <w:shd w:val="clear" w:color="auto" w:fill="auto"/>
            <w:hideMark/>
          </w:tcPr>
          <w:p w14:paraId="0FEE3E60"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Louisiana</w:t>
            </w:r>
          </w:p>
        </w:tc>
        <w:tc>
          <w:tcPr>
            <w:tcW w:w="516" w:type="pct"/>
            <w:tcBorders>
              <w:top w:val="nil"/>
              <w:left w:val="nil"/>
              <w:bottom w:val="single" w:sz="4" w:space="0" w:color="auto"/>
              <w:right w:val="single" w:sz="4" w:space="0" w:color="auto"/>
            </w:tcBorders>
            <w:shd w:val="clear" w:color="auto" w:fill="auto"/>
            <w:hideMark/>
          </w:tcPr>
          <w:p w14:paraId="41DBA950"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3.9</w:t>
            </w:r>
          </w:p>
        </w:tc>
        <w:tc>
          <w:tcPr>
            <w:tcW w:w="465" w:type="pct"/>
            <w:tcBorders>
              <w:top w:val="nil"/>
              <w:left w:val="nil"/>
              <w:bottom w:val="single" w:sz="4" w:space="0" w:color="auto"/>
              <w:right w:val="single" w:sz="4" w:space="0" w:color="auto"/>
            </w:tcBorders>
            <w:shd w:val="clear" w:color="auto" w:fill="auto"/>
            <w:noWrap/>
            <w:hideMark/>
          </w:tcPr>
          <w:p w14:paraId="22FB43FF"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 </w:t>
            </w:r>
          </w:p>
        </w:tc>
        <w:tc>
          <w:tcPr>
            <w:tcW w:w="516" w:type="pct"/>
            <w:tcBorders>
              <w:top w:val="nil"/>
              <w:left w:val="nil"/>
              <w:bottom w:val="single" w:sz="4" w:space="0" w:color="auto"/>
              <w:right w:val="single" w:sz="4" w:space="0" w:color="auto"/>
            </w:tcBorders>
            <w:shd w:val="clear" w:color="auto" w:fill="auto"/>
            <w:noWrap/>
            <w:hideMark/>
          </w:tcPr>
          <w:p w14:paraId="1C6C50A0"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 </w:t>
            </w:r>
          </w:p>
        </w:tc>
      </w:tr>
      <w:tr w:rsidR="00373ADE" w:rsidRPr="00490A6E" w14:paraId="1DACBB75" w14:textId="77777777" w:rsidTr="00373ADE">
        <w:trPr>
          <w:trHeight w:val="290"/>
        </w:trPr>
        <w:tc>
          <w:tcPr>
            <w:tcW w:w="559" w:type="pct"/>
            <w:tcBorders>
              <w:top w:val="nil"/>
              <w:left w:val="single" w:sz="4" w:space="0" w:color="auto"/>
              <w:bottom w:val="single" w:sz="4" w:space="0" w:color="auto"/>
              <w:right w:val="single" w:sz="4" w:space="0" w:color="auto"/>
            </w:tcBorders>
            <w:shd w:val="clear" w:color="auto" w:fill="auto"/>
            <w:hideMark/>
          </w:tcPr>
          <w:p w14:paraId="6378B502"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lastRenderedPageBreak/>
              <w:t>New Jersey</w:t>
            </w:r>
          </w:p>
        </w:tc>
        <w:tc>
          <w:tcPr>
            <w:tcW w:w="516" w:type="pct"/>
            <w:tcBorders>
              <w:top w:val="nil"/>
              <w:left w:val="nil"/>
              <w:bottom w:val="single" w:sz="4" w:space="0" w:color="auto"/>
              <w:right w:val="single" w:sz="4" w:space="0" w:color="auto"/>
            </w:tcBorders>
            <w:shd w:val="clear" w:color="auto" w:fill="auto"/>
            <w:hideMark/>
          </w:tcPr>
          <w:p w14:paraId="28C50325"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7.8</w:t>
            </w:r>
          </w:p>
        </w:tc>
        <w:tc>
          <w:tcPr>
            <w:tcW w:w="525" w:type="pct"/>
            <w:tcBorders>
              <w:top w:val="nil"/>
              <w:left w:val="nil"/>
              <w:bottom w:val="single" w:sz="4" w:space="0" w:color="auto"/>
              <w:right w:val="single" w:sz="4" w:space="0" w:color="auto"/>
            </w:tcBorders>
            <w:shd w:val="clear" w:color="auto" w:fill="auto"/>
            <w:hideMark/>
          </w:tcPr>
          <w:p w14:paraId="29165EC3"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Georgia</w:t>
            </w:r>
          </w:p>
        </w:tc>
        <w:tc>
          <w:tcPr>
            <w:tcW w:w="516" w:type="pct"/>
            <w:tcBorders>
              <w:top w:val="nil"/>
              <w:left w:val="nil"/>
              <w:bottom w:val="single" w:sz="4" w:space="0" w:color="auto"/>
              <w:right w:val="single" w:sz="4" w:space="0" w:color="auto"/>
            </w:tcBorders>
            <w:shd w:val="clear" w:color="auto" w:fill="auto"/>
            <w:hideMark/>
          </w:tcPr>
          <w:p w14:paraId="5A3E1AC8"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6.5</w:t>
            </w:r>
          </w:p>
        </w:tc>
        <w:tc>
          <w:tcPr>
            <w:tcW w:w="439" w:type="pct"/>
            <w:tcBorders>
              <w:top w:val="nil"/>
              <w:left w:val="nil"/>
              <w:bottom w:val="single" w:sz="4" w:space="0" w:color="auto"/>
              <w:right w:val="single" w:sz="4" w:space="0" w:color="auto"/>
            </w:tcBorders>
            <w:shd w:val="clear" w:color="auto" w:fill="auto"/>
            <w:hideMark/>
          </w:tcPr>
          <w:p w14:paraId="1B96507D"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Indiana</w:t>
            </w:r>
          </w:p>
        </w:tc>
        <w:tc>
          <w:tcPr>
            <w:tcW w:w="516" w:type="pct"/>
            <w:tcBorders>
              <w:top w:val="nil"/>
              <w:left w:val="nil"/>
              <w:bottom w:val="single" w:sz="4" w:space="0" w:color="auto"/>
              <w:right w:val="single" w:sz="4" w:space="0" w:color="auto"/>
            </w:tcBorders>
            <w:shd w:val="clear" w:color="auto" w:fill="auto"/>
            <w:hideMark/>
          </w:tcPr>
          <w:p w14:paraId="709A791D"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5.5</w:t>
            </w:r>
          </w:p>
        </w:tc>
        <w:tc>
          <w:tcPr>
            <w:tcW w:w="435" w:type="pct"/>
            <w:tcBorders>
              <w:top w:val="nil"/>
              <w:left w:val="nil"/>
              <w:bottom w:val="single" w:sz="4" w:space="0" w:color="auto"/>
              <w:right w:val="single" w:sz="4" w:space="0" w:color="auto"/>
            </w:tcBorders>
            <w:shd w:val="clear" w:color="auto" w:fill="auto"/>
            <w:hideMark/>
          </w:tcPr>
          <w:p w14:paraId="71254618"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Alabama</w:t>
            </w:r>
          </w:p>
        </w:tc>
        <w:tc>
          <w:tcPr>
            <w:tcW w:w="516" w:type="pct"/>
            <w:tcBorders>
              <w:top w:val="nil"/>
              <w:left w:val="nil"/>
              <w:bottom w:val="single" w:sz="4" w:space="0" w:color="auto"/>
              <w:right w:val="single" w:sz="4" w:space="0" w:color="auto"/>
            </w:tcBorders>
            <w:shd w:val="clear" w:color="auto" w:fill="auto"/>
            <w:hideMark/>
          </w:tcPr>
          <w:p w14:paraId="3DFEEA99"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3.8</w:t>
            </w:r>
          </w:p>
        </w:tc>
        <w:tc>
          <w:tcPr>
            <w:tcW w:w="465" w:type="pct"/>
            <w:tcBorders>
              <w:top w:val="nil"/>
              <w:left w:val="nil"/>
              <w:bottom w:val="single" w:sz="4" w:space="0" w:color="auto"/>
              <w:right w:val="single" w:sz="4" w:space="0" w:color="auto"/>
            </w:tcBorders>
            <w:shd w:val="clear" w:color="auto" w:fill="auto"/>
            <w:noWrap/>
            <w:hideMark/>
          </w:tcPr>
          <w:p w14:paraId="777ACE5D"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 </w:t>
            </w:r>
          </w:p>
        </w:tc>
        <w:tc>
          <w:tcPr>
            <w:tcW w:w="516" w:type="pct"/>
            <w:tcBorders>
              <w:top w:val="nil"/>
              <w:left w:val="nil"/>
              <w:bottom w:val="single" w:sz="4" w:space="0" w:color="auto"/>
              <w:right w:val="single" w:sz="4" w:space="0" w:color="auto"/>
            </w:tcBorders>
            <w:shd w:val="clear" w:color="auto" w:fill="auto"/>
            <w:noWrap/>
            <w:hideMark/>
          </w:tcPr>
          <w:p w14:paraId="3D4BBD5F" w14:textId="77777777" w:rsidR="00C4632A" w:rsidRPr="00C4632A" w:rsidRDefault="00C4632A" w:rsidP="00C4632A">
            <w:pPr>
              <w:spacing w:after="0" w:line="240" w:lineRule="auto"/>
              <w:rPr>
                <w:rFonts w:ascii="Times New Roman" w:eastAsia="Times New Roman" w:hAnsi="Times New Roman" w:cs="Times New Roman"/>
                <w:color w:val="000000"/>
                <w:sz w:val="12"/>
                <w:szCs w:val="12"/>
              </w:rPr>
            </w:pPr>
            <w:r w:rsidRPr="00C4632A">
              <w:rPr>
                <w:rFonts w:ascii="Times New Roman" w:eastAsia="Times New Roman" w:hAnsi="Times New Roman" w:cs="Times New Roman"/>
                <w:color w:val="000000"/>
                <w:sz w:val="12"/>
                <w:szCs w:val="12"/>
              </w:rPr>
              <w:t> </w:t>
            </w:r>
          </w:p>
        </w:tc>
      </w:tr>
    </w:tbl>
    <w:p w14:paraId="17112258" w14:textId="77777777" w:rsidR="00644FE8" w:rsidRDefault="00644FE8" w:rsidP="003E5B38">
      <w:pPr>
        <w:spacing w:line="360" w:lineRule="auto"/>
        <w:rPr>
          <w:rFonts w:ascii="Times New Roman" w:hAnsi="Times New Roman" w:cs="Times New Roman"/>
        </w:rPr>
      </w:pPr>
    </w:p>
    <w:p w14:paraId="44CAD2DE" w14:textId="194D38B2" w:rsidR="00070CF4" w:rsidRPr="00574708" w:rsidRDefault="00070CF4" w:rsidP="00BD7B11">
      <w:pPr>
        <w:spacing w:after="0" w:line="240" w:lineRule="auto"/>
        <w:jc w:val="both"/>
        <w:rPr>
          <w:rFonts w:ascii="Times New Roman" w:hAnsi="Times New Roman" w:cs="Times New Roman"/>
          <w:sz w:val="24"/>
          <w:szCs w:val="24"/>
        </w:rPr>
      </w:pPr>
      <w:r w:rsidRPr="00574708">
        <w:rPr>
          <w:rFonts w:ascii="Times New Roman" w:hAnsi="Times New Roman" w:cs="Times New Roman"/>
          <w:sz w:val="24"/>
          <w:szCs w:val="24"/>
        </w:rPr>
        <w:t xml:space="preserve">Our data indicates that there is </w:t>
      </w:r>
      <w:r w:rsidR="007374CC" w:rsidRPr="00574708">
        <w:rPr>
          <w:rFonts w:ascii="Times New Roman" w:hAnsi="Times New Roman" w:cs="Times New Roman"/>
          <w:sz w:val="24"/>
          <w:szCs w:val="24"/>
        </w:rPr>
        <w:t>some</w:t>
      </w:r>
      <w:r w:rsidRPr="00574708">
        <w:rPr>
          <w:rFonts w:ascii="Times New Roman" w:hAnsi="Times New Roman" w:cs="Times New Roman"/>
          <w:sz w:val="24"/>
          <w:szCs w:val="24"/>
        </w:rPr>
        <w:t xml:space="preserve"> correlation between the proportion of </w:t>
      </w:r>
      <w:r w:rsidR="007374CC" w:rsidRPr="00574708">
        <w:rPr>
          <w:rFonts w:ascii="Times New Roman" w:hAnsi="Times New Roman" w:cs="Times New Roman"/>
          <w:sz w:val="24"/>
          <w:szCs w:val="24"/>
        </w:rPr>
        <w:t xml:space="preserve">researchers per 1,000 population and the </w:t>
      </w:r>
      <w:r w:rsidR="001243E8" w:rsidRPr="00574708">
        <w:rPr>
          <w:rFonts w:ascii="Times New Roman" w:hAnsi="Times New Roman" w:cs="Times New Roman"/>
          <w:sz w:val="24"/>
          <w:szCs w:val="24"/>
        </w:rPr>
        <w:t xml:space="preserve">numbers of open access papers published in that state (see figure 2). There are some distinct outliers </w:t>
      </w:r>
      <w:r w:rsidR="00490D29" w:rsidRPr="00574708">
        <w:rPr>
          <w:rFonts w:ascii="Times New Roman" w:hAnsi="Times New Roman" w:cs="Times New Roman"/>
          <w:sz w:val="24"/>
          <w:szCs w:val="24"/>
        </w:rPr>
        <w:t>including Ohio, Texas, New York, and California. While having lower researchers per 1,000 population</w:t>
      </w:r>
      <w:r w:rsidR="00F754F2" w:rsidRPr="00574708">
        <w:rPr>
          <w:rFonts w:ascii="Times New Roman" w:hAnsi="Times New Roman" w:cs="Times New Roman"/>
          <w:sz w:val="24"/>
          <w:szCs w:val="24"/>
        </w:rPr>
        <w:t xml:space="preserve">, these states publish a relatively high number of Gold Open </w:t>
      </w:r>
      <w:r w:rsidR="00C03E21" w:rsidRPr="00574708">
        <w:rPr>
          <w:rFonts w:ascii="Times New Roman" w:hAnsi="Times New Roman" w:cs="Times New Roman"/>
          <w:sz w:val="24"/>
          <w:szCs w:val="24"/>
        </w:rPr>
        <w:t>Access</w:t>
      </w:r>
      <w:r w:rsidR="00F754F2" w:rsidRPr="00574708">
        <w:rPr>
          <w:rFonts w:ascii="Times New Roman" w:hAnsi="Times New Roman" w:cs="Times New Roman"/>
          <w:sz w:val="24"/>
          <w:szCs w:val="24"/>
        </w:rPr>
        <w:t xml:space="preserve"> papers</w:t>
      </w:r>
      <w:r w:rsidR="00FB12D7" w:rsidRPr="00574708">
        <w:rPr>
          <w:rFonts w:ascii="Times New Roman" w:hAnsi="Times New Roman" w:cs="Times New Roman"/>
          <w:sz w:val="24"/>
          <w:szCs w:val="24"/>
        </w:rPr>
        <w:t xml:space="preserve">. This is especially true for </w:t>
      </w:r>
      <w:r w:rsidR="00F754F2" w:rsidRPr="00574708">
        <w:rPr>
          <w:rFonts w:ascii="Times New Roman" w:hAnsi="Times New Roman" w:cs="Times New Roman"/>
          <w:sz w:val="24"/>
          <w:szCs w:val="24"/>
        </w:rPr>
        <w:t>New York with the highest number of papers and</w:t>
      </w:r>
      <w:r w:rsidR="00C03E21" w:rsidRPr="00574708">
        <w:rPr>
          <w:rFonts w:ascii="Times New Roman" w:hAnsi="Times New Roman" w:cs="Times New Roman"/>
          <w:sz w:val="24"/>
          <w:szCs w:val="24"/>
        </w:rPr>
        <w:t xml:space="preserve"> California with a range of 8-10 researchers per 1,000 population and over 14K papers. </w:t>
      </w:r>
      <w:r w:rsidR="00C37C8A" w:rsidRPr="00574708">
        <w:rPr>
          <w:rFonts w:ascii="Times New Roman" w:hAnsi="Times New Roman" w:cs="Times New Roman"/>
          <w:sz w:val="24"/>
          <w:szCs w:val="24"/>
        </w:rPr>
        <w:t xml:space="preserve"> States such is Washington DC</w:t>
      </w:r>
      <w:r w:rsidR="005A7010" w:rsidRPr="00574708">
        <w:rPr>
          <w:rFonts w:ascii="Times New Roman" w:hAnsi="Times New Roman" w:cs="Times New Roman"/>
          <w:sz w:val="24"/>
          <w:szCs w:val="24"/>
        </w:rPr>
        <w:t>, Delaware and Massachusetts have higher proportion of researchers to p</w:t>
      </w:r>
      <w:r w:rsidR="00FD69E0" w:rsidRPr="00574708">
        <w:rPr>
          <w:rFonts w:ascii="Times New Roman" w:hAnsi="Times New Roman" w:cs="Times New Roman"/>
          <w:sz w:val="24"/>
          <w:szCs w:val="24"/>
        </w:rPr>
        <w:t xml:space="preserve">opulation </w:t>
      </w:r>
      <w:r w:rsidR="00FB12D7" w:rsidRPr="00574708">
        <w:rPr>
          <w:rFonts w:ascii="Times New Roman" w:hAnsi="Times New Roman" w:cs="Times New Roman"/>
          <w:sz w:val="24"/>
          <w:szCs w:val="24"/>
        </w:rPr>
        <w:t>but do not</w:t>
      </w:r>
      <w:r w:rsidR="00FD69E0" w:rsidRPr="00574708">
        <w:rPr>
          <w:rFonts w:ascii="Times New Roman" w:hAnsi="Times New Roman" w:cs="Times New Roman"/>
          <w:sz w:val="24"/>
          <w:szCs w:val="24"/>
        </w:rPr>
        <w:t xml:space="preserve"> publish more OA papers than </w:t>
      </w:r>
      <w:r w:rsidR="00502FBE" w:rsidRPr="00574708">
        <w:rPr>
          <w:rFonts w:ascii="Times New Roman" w:hAnsi="Times New Roman" w:cs="Times New Roman"/>
          <w:sz w:val="24"/>
          <w:szCs w:val="24"/>
        </w:rPr>
        <w:t>other state</w:t>
      </w:r>
      <w:r w:rsidR="00FB12D7" w:rsidRPr="00574708">
        <w:rPr>
          <w:rFonts w:ascii="Times New Roman" w:hAnsi="Times New Roman" w:cs="Times New Roman"/>
          <w:sz w:val="24"/>
          <w:szCs w:val="24"/>
        </w:rPr>
        <w:t>s</w:t>
      </w:r>
      <w:r w:rsidR="00502FBE" w:rsidRPr="00574708">
        <w:rPr>
          <w:rFonts w:ascii="Times New Roman" w:hAnsi="Times New Roman" w:cs="Times New Roman"/>
          <w:sz w:val="24"/>
          <w:szCs w:val="24"/>
        </w:rPr>
        <w:t>.</w:t>
      </w:r>
    </w:p>
    <w:p w14:paraId="4284D0DE" w14:textId="5030DB22" w:rsidR="00BD7B11" w:rsidRDefault="00BD7B11" w:rsidP="00BD7B11">
      <w:pPr>
        <w:spacing w:after="0" w:line="240" w:lineRule="auto"/>
        <w:jc w:val="both"/>
        <w:rPr>
          <w:rFonts w:ascii="Times New Roman" w:hAnsi="Times New Roman" w:cs="Times New Roman"/>
          <w:sz w:val="24"/>
          <w:szCs w:val="24"/>
        </w:rPr>
      </w:pPr>
    </w:p>
    <w:p w14:paraId="7D538A54" w14:textId="77777777" w:rsidR="00BB6482" w:rsidRPr="00574708" w:rsidRDefault="00BB6482" w:rsidP="00BD7B11">
      <w:pPr>
        <w:spacing w:after="0" w:line="240" w:lineRule="auto"/>
        <w:jc w:val="both"/>
        <w:rPr>
          <w:rFonts w:ascii="Times New Roman" w:hAnsi="Times New Roman" w:cs="Times New Roman"/>
          <w:sz w:val="24"/>
          <w:szCs w:val="24"/>
        </w:rPr>
      </w:pPr>
    </w:p>
    <w:p w14:paraId="569D9FBA" w14:textId="77777777" w:rsidR="00BD7B11" w:rsidRPr="00D06C8A" w:rsidRDefault="00BD7B11" w:rsidP="00BD7B11">
      <w:pPr>
        <w:spacing w:line="240" w:lineRule="auto"/>
        <w:jc w:val="center"/>
        <w:rPr>
          <w:rFonts w:ascii="Times New Roman" w:hAnsi="Times New Roman" w:cs="Times New Roman"/>
          <w:sz w:val="24"/>
          <w:szCs w:val="24"/>
        </w:rPr>
      </w:pPr>
      <w:r w:rsidRPr="00D06C8A">
        <w:rPr>
          <w:rFonts w:ascii="Times New Roman" w:hAnsi="Times New Roman" w:cs="Times New Roman"/>
          <w:sz w:val="24"/>
          <w:szCs w:val="24"/>
        </w:rPr>
        <w:t>Figure 2: Researchers per 1,000 population and number of Gold open access papers per state</w:t>
      </w:r>
    </w:p>
    <w:p w14:paraId="3FD169C6" w14:textId="76948915" w:rsidR="00070CF4" w:rsidRDefault="00BD7B11" w:rsidP="003E5B38">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2096" behindDoc="1" locked="0" layoutInCell="1" allowOverlap="1" wp14:anchorId="574DCD99" wp14:editId="3B5BE06B">
            <wp:simplePos x="0" y="0"/>
            <wp:positionH relativeFrom="margin">
              <wp:align>center</wp:align>
            </wp:positionH>
            <wp:positionV relativeFrom="paragraph">
              <wp:posOffset>25400</wp:posOffset>
            </wp:positionV>
            <wp:extent cx="4914900" cy="3111500"/>
            <wp:effectExtent l="19050" t="19050" r="19050" b="12700"/>
            <wp:wrapTight wrapText="bothSides">
              <wp:wrapPolygon edited="0">
                <wp:start x="-84" y="-132"/>
                <wp:lineTo x="-84" y="21556"/>
                <wp:lineTo x="21600" y="21556"/>
                <wp:lineTo x="21600" y="-132"/>
                <wp:lineTo x="-84" y="-13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4900" cy="3111500"/>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r w:rsidR="00502FBE">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0542149C" wp14:editId="149BBFCD">
                <wp:simplePos x="0" y="0"/>
                <wp:positionH relativeFrom="column">
                  <wp:posOffset>844550</wp:posOffset>
                </wp:positionH>
                <wp:positionV relativeFrom="paragraph">
                  <wp:posOffset>90805</wp:posOffset>
                </wp:positionV>
                <wp:extent cx="1739900" cy="12001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739900" cy="1200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169F6" id="Rectangle 9" o:spid="_x0000_s1026" style="position:absolute;margin-left:66.5pt;margin-top:7.15pt;width:137pt;height:9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" filled="f" strokecolor="#1f3763 [1604]" strokeweight="1pt"/>
            </w:pict>
          </mc:Fallback>
        </mc:AlternateContent>
      </w:r>
    </w:p>
    <w:p w14:paraId="52F39D42" w14:textId="77777777" w:rsidR="00070CF4" w:rsidRDefault="00070CF4" w:rsidP="003E5B38">
      <w:pPr>
        <w:spacing w:line="360" w:lineRule="auto"/>
        <w:rPr>
          <w:rFonts w:ascii="Times New Roman" w:hAnsi="Times New Roman" w:cs="Times New Roman"/>
        </w:rPr>
      </w:pPr>
    </w:p>
    <w:p w14:paraId="717853EC" w14:textId="77777777" w:rsidR="00070CF4" w:rsidRDefault="00070CF4" w:rsidP="003E5B38">
      <w:pPr>
        <w:spacing w:line="360" w:lineRule="auto"/>
        <w:rPr>
          <w:rFonts w:ascii="Times New Roman" w:hAnsi="Times New Roman" w:cs="Times New Roman"/>
        </w:rPr>
      </w:pPr>
    </w:p>
    <w:p w14:paraId="02DDC21D" w14:textId="3EFF87AA" w:rsidR="00070CF4" w:rsidRDefault="00502FBE" w:rsidP="003E5B38">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6C0458AD" wp14:editId="51E1F948">
                <wp:simplePos x="0" y="0"/>
                <wp:positionH relativeFrom="column">
                  <wp:posOffset>3327400</wp:posOffset>
                </wp:positionH>
                <wp:positionV relativeFrom="paragraph">
                  <wp:posOffset>345440</wp:posOffset>
                </wp:positionV>
                <wp:extent cx="1974850" cy="10033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974850" cy="1003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31A48" id="Rectangle 16" o:spid="_x0000_s1026" style="position:absolute;margin-left:262pt;margin-top:27.2pt;width:155.5pt;height:7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" filled="f" strokecolor="#1f3763 [1604]" strokeweight="1pt"/>
            </w:pict>
          </mc:Fallback>
        </mc:AlternateContent>
      </w:r>
    </w:p>
    <w:p w14:paraId="2B4D3612" w14:textId="77777777" w:rsidR="00070CF4" w:rsidRDefault="00070CF4" w:rsidP="003E5B38">
      <w:pPr>
        <w:spacing w:line="360" w:lineRule="auto"/>
        <w:rPr>
          <w:rFonts w:ascii="Times New Roman" w:hAnsi="Times New Roman" w:cs="Times New Roman"/>
        </w:rPr>
      </w:pPr>
    </w:p>
    <w:p w14:paraId="0888229B" w14:textId="77777777" w:rsidR="00070CF4" w:rsidRDefault="00070CF4" w:rsidP="003E5B38">
      <w:pPr>
        <w:spacing w:line="360" w:lineRule="auto"/>
        <w:rPr>
          <w:rFonts w:ascii="Times New Roman" w:hAnsi="Times New Roman" w:cs="Times New Roman"/>
        </w:rPr>
      </w:pPr>
    </w:p>
    <w:p w14:paraId="5CBF0E92" w14:textId="77777777" w:rsidR="00070CF4" w:rsidRDefault="00070CF4" w:rsidP="003E5B38">
      <w:pPr>
        <w:spacing w:line="360" w:lineRule="auto"/>
        <w:rPr>
          <w:rFonts w:ascii="Times New Roman" w:hAnsi="Times New Roman" w:cs="Times New Roman"/>
        </w:rPr>
      </w:pPr>
    </w:p>
    <w:p w14:paraId="739CECEB" w14:textId="77777777" w:rsidR="00070CF4" w:rsidRDefault="00070CF4" w:rsidP="003E5B38">
      <w:pPr>
        <w:spacing w:line="360" w:lineRule="auto"/>
        <w:rPr>
          <w:rFonts w:ascii="Times New Roman" w:hAnsi="Times New Roman" w:cs="Times New Roman"/>
        </w:rPr>
      </w:pPr>
    </w:p>
    <w:p w14:paraId="5875DDD2" w14:textId="77777777" w:rsidR="00070CF4" w:rsidRDefault="00070CF4" w:rsidP="009F34F2">
      <w:pPr>
        <w:spacing w:line="240" w:lineRule="auto"/>
        <w:rPr>
          <w:rFonts w:ascii="Times New Roman" w:hAnsi="Times New Roman" w:cs="Times New Roman"/>
        </w:rPr>
      </w:pPr>
    </w:p>
    <w:p w14:paraId="197DC180" w14:textId="77777777" w:rsidR="00492FA2" w:rsidRDefault="00492FA2" w:rsidP="009F34F2">
      <w:pPr>
        <w:spacing w:line="240" w:lineRule="auto"/>
        <w:rPr>
          <w:rFonts w:ascii="Times New Roman" w:hAnsi="Times New Roman" w:cs="Times New Roman"/>
        </w:rPr>
      </w:pPr>
      <w:r>
        <w:rPr>
          <w:rFonts w:ascii="Times New Roman" w:hAnsi="Times New Roman" w:cs="Times New Roman"/>
        </w:rPr>
        <w:br/>
      </w:r>
    </w:p>
    <w:p w14:paraId="61505C09" w14:textId="77777777" w:rsidR="00BD7B11" w:rsidRDefault="00BD7B11" w:rsidP="003E5B38">
      <w:pPr>
        <w:spacing w:line="360" w:lineRule="auto"/>
        <w:rPr>
          <w:rFonts w:ascii="Times New Roman" w:hAnsi="Times New Roman" w:cs="Times New Roman"/>
          <w:sz w:val="20"/>
          <w:szCs w:val="20"/>
        </w:rPr>
      </w:pPr>
    </w:p>
    <w:p w14:paraId="771A4D01" w14:textId="43698F2E" w:rsidR="00502FBE" w:rsidRPr="00574708" w:rsidRDefault="00502FBE" w:rsidP="00105325">
      <w:pPr>
        <w:spacing w:after="0" w:line="240" w:lineRule="auto"/>
        <w:jc w:val="both"/>
        <w:rPr>
          <w:rFonts w:ascii="Times New Roman" w:hAnsi="Times New Roman" w:cs="Times New Roman"/>
          <w:sz w:val="24"/>
          <w:szCs w:val="24"/>
        </w:rPr>
      </w:pPr>
      <w:r w:rsidRPr="00574708">
        <w:rPr>
          <w:rFonts w:ascii="Times New Roman" w:hAnsi="Times New Roman" w:cs="Times New Roman"/>
          <w:sz w:val="24"/>
          <w:szCs w:val="24"/>
        </w:rPr>
        <w:t xml:space="preserve">However, when examining the relationships between the proportion of researchers to the population and overall costs of APCs by state we see that most states are clustered around the </w:t>
      </w:r>
      <w:r w:rsidR="00E41AF9">
        <w:rPr>
          <w:rFonts w:ascii="Times New Roman" w:hAnsi="Times New Roman" w:cs="Times New Roman"/>
          <w:sz w:val="24"/>
          <w:szCs w:val="24"/>
        </w:rPr>
        <w:t>3</w:t>
      </w:r>
      <w:r w:rsidRPr="00574708">
        <w:rPr>
          <w:rFonts w:ascii="Times New Roman" w:hAnsi="Times New Roman" w:cs="Times New Roman"/>
          <w:sz w:val="24"/>
          <w:szCs w:val="24"/>
        </w:rPr>
        <w:t>million dollars mark with clear exceptions of Minnesota, Maryland, and Washington state which higher expenditure on APCs regardless of a lower percentage of researchers per population</w:t>
      </w:r>
      <w:r w:rsidR="009F34F2" w:rsidRPr="00574708">
        <w:rPr>
          <w:rFonts w:ascii="Times New Roman" w:hAnsi="Times New Roman" w:cs="Times New Roman"/>
          <w:sz w:val="24"/>
          <w:szCs w:val="24"/>
        </w:rPr>
        <w:t xml:space="preserve"> (see figure 3)</w:t>
      </w:r>
      <w:r w:rsidRPr="00574708">
        <w:rPr>
          <w:rFonts w:ascii="Times New Roman" w:hAnsi="Times New Roman" w:cs="Times New Roman"/>
          <w:sz w:val="24"/>
          <w:szCs w:val="24"/>
        </w:rPr>
        <w:t>.</w:t>
      </w:r>
    </w:p>
    <w:p w14:paraId="579C330C" w14:textId="5AEEE39C" w:rsidR="00AC0E84" w:rsidRDefault="00AC0E84" w:rsidP="003E5B38">
      <w:pPr>
        <w:spacing w:line="360" w:lineRule="auto"/>
        <w:rPr>
          <w:rFonts w:ascii="Times New Roman" w:hAnsi="Times New Roman" w:cs="Times New Roman"/>
          <w:sz w:val="24"/>
          <w:szCs w:val="24"/>
        </w:rPr>
      </w:pPr>
    </w:p>
    <w:p w14:paraId="199EB256" w14:textId="08EEB6B3" w:rsidR="000D368F" w:rsidRDefault="000D368F" w:rsidP="003E5B38">
      <w:pPr>
        <w:spacing w:line="360" w:lineRule="auto"/>
        <w:rPr>
          <w:rFonts w:ascii="Times New Roman" w:hAnsi="Times New Roman" w:cs="Times New Roman"/>
          <w:sz w:val="24"/>
          <w:szCs w:val="24"/>
        </w:rPr>
      </w:pPr>
    </w:p>
    <w:p w14:paraId="48E3A002" w14:textId="5F7E424B" w:rsidR="00BB6482" w:rsidRDefault="00BB6482" w:rsidP="003E5B38">
      <w:pPr>
        <w:spacing w:line="360" w:lineRule="auto"/>
        <w:rPr>
          <w:rFonts w:ascii="Times New Roman" w:hAnsi="Times New Roman" w:cs="Times New Roman"/>
          <w:sz w:val="24"/>
          <w:szCs w:val="24"/>
        </w:rPr>
      </w:pPr>
    </w:p>
    <w:p w14:paraId="09C221B9" w14:textId="77777777" w:rsidR="00BB6482" w:rsidRPr="00574708" w:rsidRDefault="00BB6482" w:rsidP="003E5B38">
      <w:pPr>
        <w:spacing w:line="360" w:lineRule="auto"/>
        <w:rPr>
          <w:rFonts w:ascii="Times New Roman" w:hAnsi="Times New Roman" w:cs="Times New Roman"/>
          <w:sz w:val="24"/>
          <w:szCs w:val="24"/>
        </w:rPr>
      </w:pPr>
    </w:p>
    <w:p w14:paraId="7D7ABD0F" w14:textId="68B3DDA3" w:rsidR="00D06C8A" w:rsidRDefault="00D06C8A" w:rsidP="003E5B38">
      <w:pPr>
        <w:spacing w:line="360" w:lineRule="auto"/>
        <w:rPr>
          <w:rFonts w:ascii="Times New Roman" w:hAnsi="Times New Roman" w:cs="Times New Roman"/>
        </w:rPr>
      </w:pPr>
    </w:p>
    <w:p w14:paraId="14D5B9F5" w14:textId="77777777" w:rsidR="00BD7B11" w:rsidRPr="00574708" w:rsidRDefault="00BD7B11" w:rsidP="00BD7B11">
      <w:pPr>
        <w:spacing w:line="240" w:lineRule="auto"/>
        <w:jc w:val="center"/>
        <w:rPr>
          <w:rFonts w:ascii="Times New Roman" w:hAnsi="Times New Roman" w:cs="Times New Roman"/>
          <w:sz w:val="24"/>
          <w:szCs w:val="24"/>
        </w:rPr>
      </w:pPr>
      <w:r w:rsidRPr="00574708">
        <w:rPr>
          <w:rFonts w:ascii="Times New Roman" w:hAnsi="Times New Roman" w:cs="Times New Roman"/>
          <w:sz w:val="24"/>
          <w:szCs w:val="24"/>
        </w:rPr>
        <w:t>Figure 3: Researchers per 1,000 population and overall costs of Gold OA APCs</w:t>
      </w:r>
    </w:p>
    <w:p w14:paraId="32776DFB" w14:textId="179D457F" w:rsidR="00502FBE" w:rsidRDefault="000E6800" w:rsidP="003E5B38">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77FC6C6" wp14:editId="097D4BA7">
                <wp:simplePos x="0" y="0"/>
                <wp:positionH relativeFrom="column">
                  <wp:posOffset>2216150</wp:posOffset>
                </wp:positionH>
                <wp:positionV relativeFrom="paragraph">
                  <wp:posOffset>76200</wp:posOffset>
                </wp:positionV>
                <wp:extent cx="1365250" cy="170180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1365250" cy="1701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1B714" id="Rectangle 20" o:spid="_x0000_s1026" style="position:absolute;margin-left:174.5pt;margin-top:6pt;width:107.5pt;height:1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" filled="f" strokecolor="#1f3763 [1604]" strokeweight="1pt"/>
            </w:pict>
          </mc:Fallback>
        </mc:AlternateContent>
      </w:r>
      <w:r w:rsidR="00502FBE">
        <w:rPr>
          <w:rFonts w:ascii="Times New Roman" w:hAnsi="Times New Roman" w:cs="Times New Roman"/>
          <w:noProof/>
        </w:rPr>
        <w:drawing>
          <wp:anchor distT="0" distB="0" distL="114300" distR="114300" simplePos="0" relativeHeight="251660288" behindDoc="1" locked="0" layoutInCell="1" allowOverlap="1" wp14:anchorId="17790784" wp14:editId="02BDC4F1">
            <wp:simplePos x="0" y="0"/>
            <wp:positionH relativeFrom="margin">
              <wp:align>center</wp:align>
            </wp:positionH>
            <wp:positionV relativeFrom="paragraph">
              <wp:posOffset>42545</wp:posOffset>
            </wp:positionV>
            <wp:extent cx="5099050" cy="3226435"/>
            <wp:effectExtent l="19050" t="19050" r="25400" b="12065"/>
            <wp:wrapTight wrapText="bothSides">
              <wp:wrapPolygon edited="0">
                <wp:start x="-81" y="-128"/>
                <wp:lineTo x="-81" y="21553"/>
                <wp:lineTo x="21627" y="21553"/>
                <wp:lineTo x="21627" y="-128"/>
                <wp:lineTo x="-81" y="-12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0" cy="3226435"/>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p>
    <w:p w14:paraId="1664BDB6" w14:textId="62E9D55B" w:rsidR="00502FBE" w:rsidRDefault="00502FBE" w:rsidP="003E5B38">
      <w:pPr>
        <w:spacing w:line="360" w:lineRule="auto"/>
        <w:rPr>
          <w:rFonts w:ascii="Times New Roman" w:hAnsi="Times New Roman" w:cs="Times New Roman"/>
        </w:rPr>
      </w:pPr>
    </w:p>
    <w:p w14:paraId="60124973" w14:textId="77777777" w:rsidR="00502FBE" w:rsidRDefault="00502FBE" w:rsidP="003E5B38">
      <w:pPr>
        <w:spacing w:line="360" w:lineRule="auto"/>
        <w:rPr>
          <w:rFonts w:ascii="Times New Roman" w:hAnsi="Times New Roman" w:cs="Times New Roman"/>
        </w:rPr>
      </w:pPr>
    </w:p>
    <w:p w14:paraId="26EA42E9" w14:textId="77777777" w:rsidR="00502FBE" w:rsidRDefault="00502FBE" w:rsidP="003E5B38">
      <w:pPr>
        <w:spacing w:line="360" w:lineRule="auto"/>
        <w:rPr>
          <w:rFonts w:ascii="Times New Roman" w:hAnsi="Times New Roman" w:cs="Times New Roman"/>
        </w:rPr>
      </w:pPr>
    </w:p>
    <w:p w14:paraId="4EE3879E" w14:textId="77777777" w:rsidR="00502FBE" w:rsidRDefault="00502FBE" w:rsidP="003E5B38">
      <w:pPr>
        <w:spacing w:line="360" w:lineRule="auto"/>
        <w:rPr>
          <w:rFonts w:ascii="Times New Roman" w:hAnsi="Times New Roman" w:cs="Times New Roman"/>
        </w:rPr>
      </w:pPr>
    </w:p>
    <w:p w14:paraId="099DA9DA" w14:textId="77777777" w:rsidR="00502FBE" w:rsidRDefault="00502FBE" w:rsidP="003E5B38">
      <w:pPr>
        <w:spacing w:line="360" w:lineRule="auto"/>
        <w:rPr>
          <w:rFonts w:ascii="Times New Roman" w:hAnsi="Times New Roman" w:cs="Times New Roman"/>
        </w:rPr>
      </w:pPr>
    </w:p>
    <w:p w14:paraId="3E920143" w14:textId="77777777" w:rsidR="00502FBE" w:rsidRDefault="00502FBE" w:rsidP="003E5B38">
      <w:pPr>
        <w:spacing w:line="360" w:lineRule="auto"/>
        <w:rPr>
          <w:rFonts w:ascii="Times New Roman" w:hAnsi="Times New Roman" w:cs="Times New Roman"/>
        </w:rPr>
      </w:pPr>
    </w:p>
    <w:p w14:paraId="02C49D0A" w14:textId="77777777" w:rsidR="00502FBE" w:rsidRDefault="00502FBE" w:rsidP="009F34F2">
      <w:pPr>
        <w:spacing w:line="240" w:lineRule="auto"/>
        <w:jc w:val="center"/>
        <w:rPr>
          <w:rFonts w:ascii="Times New Roman" w:hAnsi="Times New Roman" w:cs="Times New Roman"/>
        </w:rPr>
      </w:pPr>
    </w:p>
    <w:p w14:paraId="03A9349C" w14:textId="77777777" w:rsidR="00502FBE" w:rsidRDefault="00502FBE" w:rsidP="009F34F2">
      <w:pPr>
        <w:spacing w:line="240" w:lineRule="auto"/>
        <w:jc w:val="center"/>
        <w:rPr>
          <w:rFonts w:ascii="Times New Roman" w:hAnsi="Times New Roman" w:cs="Times New Roman"/>
        </w:rPr>
      </w:pPr>
    </w:p>
    <w:p w14:paraId="6BB98093" w14:textId="5D307618" w:rsidR="00502FBE" w:rsidRDefault="009F34F2" w:rsidP="009F34F2">
      <w:pPr>
        <w:spacing w:line="240" w:lineRule="auto"/>
        <w:jc w:val="center"/>
        <w:rPr>
          <w:rFonts w:ascii="Times New Roman" w:hAnsi="Times New Roman" w:cs="Times New Roman"/>
        </w:rPr>
      </w:pPr>
      <w:r>
        <w:rPr>
          <w:rFonts w:ascii="Times New Roman" w:hAnsi="Times New Roman" w:cs="Times New Roman"/>
        </w:rPr>
        <w:br/>
      </w:r>
    </w:p>
    <w:p w14:paraId="526D929D" w14:textId="77777777" w:rsidR="00906160" w:rsidRDefault="00906160" w:rsidP="003E5B38">
      <w:pPr>
        <w:spacing w:line="360" w:lineRule="auto"/>
        <w:rPr>
          <w:rFonts w:ascii="Times New Roman" w:hAnsi="Times New Roman" w:cs="Times New Roman"/>
        </w:rPr>
      </w:pPr>
    </w:p>
    <w:p w14:paraId="4438C522" w14:textId="29E1BF73" w:rsidR="00BB6482" w:rsidRDefault="00F2406F" w:rsidP="001D4820">
      <w:pPr>
        <w:spacing w:after="0" w:line="240" w:lineRule="auto"/>
        <w:rPr>
          <w:rFonts w:ascii="Times New Roman" w:hAnsi="Times New Roman" w:cs="Times New Roman"/>
          <w:sz w:val="24"/>
          <w:szCs w:val="24"/>
        </w:rPr>
      </w:pPr>
      <w:r w:rsidRPr="001D4820">
        <w:rPr>
          <w:rFonts w:ascii="Times New Roman" w:hAnsi="Times New Roman" w:cs="Times New Roman"/>
          <w:sz w:val="24"/>
          <w:szCs w:val="24"/>
        </w:rPr>
        <w:t>When examining the costs of APCs per state b</w:t>
      </w:r>
      <w:r w:rsidR="00A372CD" w:rsidRPr="001D4820">
        <w:rPr>
          <w:rFonts w:ascii="Times New Roman" w:hAnsi="Times New Roman" w:cs="Times New Roman"/>
          <w:sz w:val="24"/>
          <w:szCs w:val="24"/>
        </w:rPr>
        <w:t xml:space="preserve">y the number of publications we see different trends. Figure 3 shows that Washington, </w:t>
      </w:r>
      <w:r w:rsidR="00281FEF" w:rsidRPr="001D4820">
        <w:rPr>
          <w:rFonts w:ascii="Times New Roman" w:hAnsi="Times New Roman" w:cs="Times New Roman"/>
          <w:sz w:val="24"/>
          <w:szCs w:val="24"/>
        </w:rPr>
        <w:t>Maryland,</w:t>
      </w:r>
      <w:r w:rsidR="00A372CD" w:rsidRPr="001D4820">
        <w:rPr>
          <w:rFonts w:ascii="Times New Roman" w:hAnsi="Times New Roman" w:cs="Times New Roman"/>
          <w:sz w:val="24"/>
          <w:szCs w:val="24"/>
        </w:rPr>
        <w:t xml:space="preserve"> and Minnesota are at</w:t>
      </w:r>
      <w:r w:rsidR="00D1651B" w:rsidRPr="001D4820">
        <w:rPr>
          <w:rFonts w:ascii="Times New Roman" w:hAnsi="Times New Roman" w:cs="Times New Roman"/>
          <w:sz w:val="24"/>
          <w:szCs w:val="24"/>
        </w:rPr>
        <w:t xml:space="preserve"> the top expenditures on APCs</w:t>
      </w:r>
      <w:r w:rsidR="004C05F6" w:rsidRPr="001D4820">
        <w:rPr>
          <w:rFonts w:ascii="Times New Roman" w:hAnsi="Times New Roman" w:cs="Times New Roman"/>
          <w:sz w:val="24"/>
          <w:szCs w:val="24"/>
        </w:rPr>
        <w:t xml:space="preserve">, ranging from10 to over 23 million dollars. </w:t>
      </w:r>
      <w:r w:rsidR="00281FEF" w:rsidRPr="001D4820">
        <w:rPr>
          <w:rFonts w:ascii="Times New Roman" w:hAnsi="Times New Roman" w:cs="Times New Roman"/>
          <w:sz w:val="24"/>
          <w:szCs w:val="24"/>
        </w:rPr>
        <w:t xml:space="preserve">Yet, the number of gold OA papers these states publish, did not exceed 3K over the past 10 years. Ohio, Texas, California and New York should be noted again here as states that publish exceedingly high number of gold OA </w:t>
      </w:r>
      <w:r w:rsidR="009F34F2" w:rsidRPr="001D4820">
        <w:rPr>
          <w:rFonts w:ascii="Times New Roman" w:hAnsi="Times New Roman" w:cs="Times New Roman"/>
          <w:sz w:val="24"/>
          <w:szCs w:val="24"/>
        </w:rPr>
        <w:t>papers,</w:t>
      </w:r>
      <w:r w:rsidR="00281FEF" w:rsidRPr="001D4820">
        <w:rPr>
          <w:rFonts w:ascii="Times New Roman" w:hAnsi="Times New Roman" w:cs="Times New Roman"/>
          <w:sz w:val="24"/>
          <w:szCs w:val="24"/>
        </w:rPr>
        <w:t xml:space="preserve"> but</w:t>
      </w:r>
      <w:r w:rsidR="00F933DF" w:rsidRPr="001D4820">
        <w:rPr>
          <w:rFonts w:ascii="Times New Roman" w:hAnsi="Times New Roman" w:cs="Times New Roman"/>
          <w:sz w:val="24"/>
          <w:szCs w:val="24"/>
        </w:rPr>
        <w:t xml:space="preserve"> their expenditures are relatively lower</w:t>
      </w:r>
      <w:r w:rsidR="009F34F2" w:rsidRPr="001D4820">
        <w:rPr>
          <w:rFonts w:ascii="Times New Roman" w:hAnsi="Times New Roman" w:cs="Times New Roman"/>
          <w:sz w:val="24"/>
          <w:szCs w:val="24"/>
        </w:rPr>
        <w:t xml:space="preserve"> (see figure 4)</w:t>
      </w:r>
      <w:r w:rsidR="00F933DF" w:rsidRPr="001D4820">
        <w:rPr>
          <w:rFonts w:ascii="Times New Roman" w:hAnsi="Times New Roman" w:cs="Times New Roman"/>
          <w:sz w:val="24"/>
          <w:szCs w:val="24"/>
        </w:rPr>
        <w:t>.</w:t>
      </w:r>
      <w:r w:rsidR="00442C32" w:rsidRPr="001D4820">
        <w:rPr>
          <w:rFonts w:ascii="Times New Roman" w:hAnsi="Times New Roman" w:cs="Times New Roman"/>
          <w:sz w:val="24"/>
          <w:szCs w:val="24"/>
        </w:rPr>
        <w:br/>
      </w:r>
    </w:p>
    <w:p w14:paraId="547A5D7E" w14:textId="77777777" w:rsidR="00BB6482" w:rsidRDefault="00BB6482">
      <w:pPr>
        <w:rPr>
          <w:rFonts w:ascii="Times New Roman" w:hAnsi="Times New Roman" w:cs="Times New Roman"/>
          <w:sz w:val="24"/>
          <w:szCs w:val="24"/>
        </w:rPr>
      </w:pPr>
      <w:r>
        <w:rPr>
          <w:rFonts w:ascii="Times New Roman" w:hAnsi="Times New Roman" w:cs="Times New Roman"/>
          <w:sz w:val="24"/>
          <w:szCs w:val="24"/>
        </w:rPr>
        <w:br w:type="page"/>
      </w:r>
    </w:p>
    <w:p w14:paraId="23E6EE57" w14:textId="77777777" w:rsidR="00442C32" w:rsidRPr="00442C32" w:rsidRDefault="00442C32" w:rsidP="00442C32">
      <w:pPr>
        <w:spacing w:line="240" w:lineRule="auto"/>
        <w:jc w:val="center"/>
        <w:rPr>
          <w:rFonts w:ascii="Times New Roman" w:hAnsi="Times New Roman" w:cs="Times New Roman"/>
          <w:sz w:val="24"/>
          <w:szCs w:val="24"/>
        </w:rPr>
      </w:pPr>
      <w:r w:rsidRPr="00442C32">
        <w:rPr>
          <w:rFonts w:ascii="Times New Roman" w:hAnsi="Times New Roman" w:cs="Times New Roman"/>
          <w:sz w:val="24"/>
          <w:szCs w:val="24"/>
        </w:rPr>
        <w:lastRenderedPageBreak/>
        <w:t xml:space="preserve">Figure 4: Costs of Gold Open Access APCs and number of papers per state </w:t>
      </w:r>
    </w:p>
    <w:p w14:paraId="0E9DF3EF" w14:textId="77946DF3" w:rsidR="00070CF4" w:rsidRDefault="00070CF4" w:rsidP="00442C32">
      <w:pPr>
        <w:spacing w:after="0" w:line="240" w:lineRule="auto"/>
        <w:rPr>
          <w:rFonts w:ascii="Times New Roman" w:hAnsi="Times New Roman" w:cs="Times New Roman"/>
        </w:rPr>
      </w:pPr>
    </w:p>
    <w:p w14:paraId="44E3A77F" w14:textId="14D4CC45" w:rsidR="004C05F6" w:rsidRDefault="003E1F03" w:rsidP="009F34F2">
      <w:pPr>
        <w:spacing w:line="240" w:lineRule="auto"/>
        <w:jc w:val="center"/>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68D8239" wp14:editId="41AD63D7">
                <wp:simplePos x="0" y="0"/>
                <wp:positionH relativeFrom="column">
                  <wp:posOffset>3460750</wp:posOffset>
                </wp:positionH>
                <wp:positionV relativeFrom="paragraph">
                  <wp:posOffset>1840865</wp:posOffset>
                </wp:positionV>
                <wp:extent cx="1841500" cy="93345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1841500"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915998" id="Rectangle 19" o:spid="_x0000_s1026" style="position:absolute;margin-left:272.5pt;margin-top:144.95pt;width:145pt;height:7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" filled="f" strokecolor="#1f3763 [1604]" strokeweight="1pt"/>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31E4E62" wp14:editId="6F13911C">
                <wp:simplePos x="0" y="0"/>
                <wp:positionH relativeFrom="column">
                  <wp:posOffset>971550</wp:posOffset>
                </wp:positionH>
                <wp:positionV relativeFrom="paragraph">
                  <wp:posOffset>62865</wp:posOffset>
                </wp:positionV>
                <wp:extent cx="1003300" cy="15367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003300" cy="153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DD6CD" id="Rectangle 18" o:spid="_x0000_s1026" style="position:absolute;margin-left:76.5pt;margin-top:4.95pt;width:79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" filled="f" strokecolor="#1f3763 [1604]" strokeweight="1pt"/>
            </w:pict>
          </mc:Fallback>
        </mc:AlternateContent>
      </w:r>
      <w:r w:rsidR="00AB4C5C">
        <w:rPr>
          <w:rFonts w:ascii="Times New Roman" w:hAnsi="Times New Roman" w:cs="Times New Roman"/>
          <w:noProof/>
        </w:rPr>
        <w:drawing>
          <wp:inline distT="0" distB="0" distL="0" distR="0" wp14:anchorId="0D16C45E" wp14:editId="1FF10362">
            <wp:extent cx="4863882" cy="3078899"/>
            <wp:effectExtent l="19050" t="19050" r="13335"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4863882" cy="3078899"/>
                    </a:xfrm>
                    <a:prstGeom prst="rect">
                      <a:avLst/>
                    </a:prstGeom>
                    <a:ln>
                      <a:solidFill>
                        <a:srgbClr val="FF0000"/>
                      </a:solidFill>
                    </a:ln>
                  </pic:spPr>
                </pic:pic>
              </a:graphicData>
            </a:graphic>
          </wp:inline>
        </w:drawing>
      </w:r>
      <w:r w:rsidR="009F34F2">
        <w:rPr>
          <w:rFonts w:ascii="Times New Roman" w:hAnsi="Times New Roman" w:cs="Times New Roman"/>
        </w:rPr>
        <w:br/>
      </w:r>
    </w:p>
    <w:p w14:paraId="366282CD" w14:textId="77777777" w:rsidR="00BD7B11" w:rsidRPr="009F34F2" w:rsidRDefault="00BD7B11" w:rsidP="00105325">
      <w:pPr>
        <w:spacing w:line="240" w:lineRule="auto"/>
        <w:rPr>
          <w:rFonts w:ascii="Times New Roman" w:hAnsi="Times New Roman" w:cs="Times New Roman"/>
          <w:sz w:val="20"/>
          <w:szCs w:val="20"/>
        </w:rPr>
      </w:pPr>
    </w:p>
    <w:p w14:paraId="3463FA30" w14:textId="5705BF56" w:rsidR="005C5515" w:rsidRPr="00105325" w:rsidRDefault="005C5515" w:rsidP="00105325">
      <w:pPr>
        <w:pStyle w:val="Heading2"/>
        <w:jc w:val="both"/>
      </w:pPr>
      <w:r w:rsidRPr="00105325">
        <w:t xml:space="preserve">Discussion </w:t>
      </w:r>
    </w:p>
    <w:p w14:paraId="18B00879" w14:textId="1921C295" w:rsidR="004B1944" w:rsidRPr="001D4820" w:rsidRDefault="00AD1CBB" w:rsidP="00AE515F">
      <w:pPr>
        <w:spacing w:after="0" w:line="240" w:lineRule="auto"/>
        <w:jc w:val="both"/>
        <w:rPr>
          <w:rFonts w:ascii="Times New Roman" w:hAnsi="Times New Roman" w:cs="Times New Roman"/>
          <w:sz w:val="24"/>
          <w:szCs w:val="24"/>
        </w:rPr>
      </w:pPr>
      <w:r w:rsidRPr="001D4820">
        <w:rPr>
          <w:rFonts w:ascii="Times New Roman" w:hAnsi="Times New Roman" w:cs="Times New Roman"/>
          <w:sz w:val="24"/>
          <w:szCs w:val="24"/>
        </w:rPr>
        <w:t>The United States Gold OA output and expenditures</w:t>
      </w:r>
      <w:r w:rsidR="008327E1" w:rsidRPr="001D4820">
        <w:rPr>
          <w:rFonts w:ascii="Times New Roman" w:hAnsi="Times New Roman" w:cs="Times New Roman"/>
          <w:sz w:val="24"/>
          <w:szCs w:val="24"/>
        </w:rPr>
        <w:t xml:space="preserve"> demonstrate slightly different patterns than those seen in the global stage. </w:t>
      </w:r>
      <w:r w:rsidR="00CC111E" w:rsidRPr="001D4820">
        <w:rPr>
          <w:rFonts w:ascii="Times New Roman" w:hAnsi="Times New Roman" w:cs="Times New Roman"/>
          <w:sz w:val="24"/>
          <w:szCs w:val="24"/>
        </w:rPr>
        <w:t>While the number of Gold Open Access papers keeps growing and with it, the total amount of money spent</w:t>
      </w:r>
      <w:r w:rsidR="00100584" w:rsidRPr="001D4820">
        <w:rPr>
          <w:rFonts w:ascii="Times New Roman" w:hAnsi="Times New Roman" w:cs="Times New Roman"/>
          <w:sz w:val="24"/>
          <w:szCs w:val="24"/>
        </w:rPr>
        <w:t xml:space="preserve">, our data shows that most states </w:t>
      </w:r>
      <w:r w:rsidR="004B363D" w:rsidRPr="001D4820">
        <w:rPr>
          <w:rFonts w:ascii="Times New Roman" w:hAnsi="Times New Roman" w:cs="Times New Roman"/>
          <w:sz w:val="24"/>
          <w:szCs w:val="24"/>
        </w:rPr>
        <w:t>spent</w:t>
      </w:r>
      <w:r w:rsidR="007F7481" w:rsidRPr="001D4820">
        <w:rPr>
          <w:rFonts w:ascii="Times New Roman" w:hAnsi="Times New Roman" w:cs="Times New Roman"/>
          <w:sz w:val="24"/>
          <w:szCs w:val="24"/>
        </w:rPr>
        <w:t xml:space="preserve"> </w:t>
      </w:r>
      <w:r w:rsidR="004B363D" w:rsidRPr="001D4820">
        <w:rPr>
          <w:rFonts w:ascii="Times New Roman" w:hAnsi="Times New Roman" w:cs="Times New Roman"/>
          <w:sz w:val="24"/>
          <w:szCs w:val="24"/>
        </w:rPr>
        <w:t>between 1-6million dollars for Gold Open access papers</w:t>
      </w:r>
      <w:r w:rsidR="005D3B51" w:rsidRPr="001D4820">
        <w:rPr>
          <w:rFonts w:ascii="Times New Roman" w:hAnsi="Times New Roman" w:cs="Times New Roman"/>
          <w:sz w:val="24"/>
          <w:szCs w:val="24"/>
        </w:rPr>
        <w:t xml:space="preserve"> and published between 1-7</w:t>
      </w:r>
      <w:r w:rsidR="00E84224" w:rsidRPr="001D4820">
        <w:rPr>
          <w:rFonts w:ascii="Times New Roman" w:hAnsi="Times New Roman" w:cs="Times New Roman"/>
          <w:sz w:val="24"/>
          <w:szCs w:val="24"/>
        </w:rPr>
        <w:t xml:space="preserve"> </w:t>
      </w:r>
      <w:r w:rsidR="005D3B51" w:rsidRPr="001D4820">
        <w:rPr>
          <w:rFonts w:ascii="Times New Roman" w:hAnsi="Times New Roman" w:cs="Times New Roman"/>
          <w:sz w:val="24"/>
          <w:szCs w:val="24"/>
        </w:rPr>
        <w:t xml:space="preserve">thousand papers in this time period. This means that the average cost per paper was approximately </w:t>
      </w:r>
      <w:r w:rsidR="00EB608F" w:rsidRPr="001D4820">
        <w:rPr>
          <w:rFonts w:ascii="Times New Roman" w:hAnsi="Times New Roman" w:cs="Times New Roman"/>
          <w:sz w:val="24"/>
          <w:szCs w:val="24"/>
        </w:rPr>
        <w:t>$1,000 more or less.</w:t>
      </w:r>
      <w:r w:rsidR="00BB374D" w:rsidRPr="001D4820">
        <w:rPr>
          <w:rFonts w:ascii="Times New Roman" w:hAnsi="Times New Roman" w:cs="Times New Roman"/>
          <w:sz w:val="24"/>
          <w:szCs w:val="24"/>
        </w:rPr>
        <w:t xml:space="preserve"> </w:t>
      </w:r>
      <w:r w:rsidR="00EB608F" w:rsidRPr="001D4820">
        <w:rPr>
          <w:rFonts w:ascii="Times New Roman" w:hAnsi="Times New Roman" w:cs="Times New Roman"/>
          <w:sz w:val="24"/>
          <w:szCs w:val="24"/>
        </w:rPr>
        <w:t xml:space="preserve">There are a few states that are exceptions to this trend. Washington, </w:t>
      </w:r>
      <w:r w:rsidR="00C13C12" w:rsidRPr="001D4820">
        <w:rPr>
          <w:rFonts w:ascii="Times New Roman" w:hAnsi="Times New Roman" w:cs="Times New Roman"/>
          <w:sz w:val="24"/>
          <w:szCs w:val="24"/>
        </w:rPr>
        <w:t>Minnesota,</w:t>
      </w:r>
      <w:r w:rsidR="00EB608F" w:rsidRPr="001D4820">
        <w:rPr>
          <w:rFonts w:ascii="Times New Roman" w:hAnsi="Times New Roman" w:cs="Times New Roman"/>
          <w:sz w:val="24"/>
          <w:szCs w:val="24"/>
        </w:rPr>
        <w:t xml:space="preserve"> and Maryland publish</w:t>
      </w:r>
      <w:r w:rsidR="0080194B" w:rsidRPr="001D4820">
        <w:rPr>
          <w:rFonts w:ascii="Times New Roman" w:hAnsi="Times New Roman" w:cs="Times New Roman"/>
          <w:sz w:val="24"/>
          <w:szCs w:val="24"/>
        </w:rPr>
        <w:t xml:space="preserve">ed relatively low number of Gold Open Access papers compared to other states but have paid the highest rates for these publications which in some cases exceeds the overall national expenditure. On the other hand, states such as New York and Ohio </w:t>
      </w:r>
      <w:r w:rsidR="004B1944" w:rsidRPr="001D4820">
        <w:rPr>
          <w:rFonts w:ascii="Times New Roman" w:hAnsi="Times New Roman" w:cs="Times New Roman"/>
          <w:sz w:val="24"/>
          <w:szCs w:val="24"/>
        </w:rPr>
        <w:t>publish much more Gold Open access papers but are able to keep their expenditures very low. This is particularly true for New York which has the highest number of Gold Open access papers and the lowest rates. Other states to notice are California and Texas with relatively high number of papers published and lower expenditures.</w:t>
      </w:r>
      <w:r w:rsidR="00CD2CA5">
        <w:rPr>
          <w:rFonts w:ascii="Times New Roman" w:hAnsi="Times New Roman" w:cs="Times New Roman"/>
          <w:sz w:val="24"/>
          <w:szCs w:val="24"/>
        </w:rPr>
        <w:t xml:space="preserve"> </w:t>
      </w:r>
      <w:r w:rsidR="0055498F" w:rsidRPr="001D4820">
        <w:rPr>
          <w:rFonts w:ascii="Times New Roman" w:hAnsi="Times New Roman" w:cs="Times New Roman"/>
          <w:sz w:val="24"/>
          <w:szCs w:val="24"/>
        </w:rPr>
        <w:t>Interestingly when we examine the ratio of researchers per 1,000 population and its effect on Gold Open Access papers publications an</w:t>
      </w:r>
      <w:r w:rsidR="00C13C12" w:rsidRPr="001D4820">
        <w:rPr>
          <w:rFonts w:ascii="Times New Roman" w:hAnsi="Times New Roman" w:cs="Times New Roman"/>
          <w:sz w:val="24"/>
          <w:szCs w:val="24"/>
        </w:rPr>
        <w:t xml:space="preserve">d costs, the picture is quite complex. On the one hand </w:t>
      </w:r>
      <w:r w:rsidR="007E157C" w:rsidRPr="001D4820">
        <w:rPr>
          <w:rFonts w:ascii="Times New Roman" w:hAnsi="Times New Roman" w:cs="Times New Roman"/>
          <w:sz w:val="24"/>
          <w:szCs w:val="24"/>
        </w:rPr>
        <w:t>s</w:t>
      </w:r>
      <w:r w:rsidR="00FB12D7" w:rsidRPr="001D4820">
        <w:rPr>
          <w:rFonts w:ascii="Times New Roman" w:hAnsi="Times New Roman" w:cs="Times New Roman"/>
          <w:sz w:val="24"/>
          <w:szCs w:val="24"/>
        </w:rPr>
        <w:t xml:space="preserve">tates such </w:t>
      </w:r>
      <w:r w:rsidR="00E84224" w:rsidRPr="001D4820">
        <w:rPr>
          <w:rFonts w:ascii="Times New Roman" w:hAnsi="Times New Roman" w:cs="Times New Roman"/>
          <w:sz w:val="24"/>
          <w:szCs w:val="24"/>
        </w:rPr>
        <w:t>a</w:t>
      </w:r>
      <w:r w:rsidR="00FB12D7" w:rsidRPr="001D4820">
        <w:rPr>
          <w:rFonts w:ascii="Times New Roman" w:hAnsi="Times New Roman" w:cs="Times New Roman"/>
          <w:sz w:val="24"/>
          <w:szCs w:val="24"/>
        </w:rPr>
        <w:t xml:space="preserve">s Washington DC, Delaware and Massachusetts have higher proportion of researchers to population but do not publish more OA papers than other states and therefore have lower expenditures while Ohio, Texas, New York, and California. While having lower </w:t>
      </w:r>
      <w:r w:rsidR="00E84224" w:rsidRPr="001D4820">
        <w:rPr>
          <w:rFonts w:ascii="Times New Roman" w:hAnsi="Times New Roman" w:cs="Times New Roman"/>
          <w:sz w:val="24"/>
          <w:szCs w:val="24"/>
        </w:rPr>
        <w:t xml:space="preserve">numbers of </w:t>
      </w:r>
      <w:r w:rsidR="00FB12D7" w:rsidRPr="001D4820">
        <w:rPr>
          <w:rFonts w:ascii="Times New Roman" w:hAnsi="Times New Roman" w:cs="Times New Roman"/>
          <w:sz w:val="24"/>
          <w:szCs w:val="24"/>
        </w:rPr>
        <w:t>researchers per 1,000 population, these states publish a relatively high number of Gold Open Access pap</w:t>
      </w:r>
      <w:r w:rsidR="00FD3BCF" w:rsidRPr="001D4820">
        <w:rPr>
          <w:rFonts w:ascii="Times New Roman" w:hAnsi="Times New Roman" w:cs="Times New Roman"/>
          <w:sz w:val="24"/>
          <w:szCs w:val="24"/>
        </w:rPr>
        <w:t>ers but pay much less in APCs than other states.</w:t>
      </w:r>
    </w:p>
    <w:p w14:paraId="0DA63649" w14:textId="71707F82" w:rsidR="001D095B" w:rsidRPr="001D4820" w:rsidRDefault="00A90FE1" w:rsidP="00AE515F">
      <w:pPr>
        <w:spacing w:after="0" w:line="240" w:lineRule="auto"/>
        <w:jc w:val="both"/>
        <w:rPr>
          <w:rFonts w:ascii="Times New Roman" w:hAnsi="Times New Roman" w:cs="Times New Roman"/>
          <w:sz w:val="24"/>
          <w:szCs w:val="24"/>
        </w:rPr>
      </w:pPr>
      <w:r w:rsidRPr="001D4820">
        <w:rPr>
          <w:rFonts w:ascii="Times New Roman" w:hAnsi="Times New Roman" w:cs="Times New Roman"/>
          <w:sz w:val="24"/>
          <w:szCs w:val="24"/>
        </w:rPr>
        <w:t xml:space="preserve">It is difficult to </w:t>
      </w:r>
      <w:r w:rsidR="00E84224" w:rsidRPr="001D4820">
        <w:rPr>
          <w:rFonts w:ascii="Times New Roman" w:hAnsi="Times New Roman" w:cs="Times New Roman"/>
          <w:sz w:val="24"/>
          <w:szCs w:val="24"/>
        </w:rPr>
        <w:t xml:space="preserve">understand </w:t>
      </w:r>
      <w:r w:rsidRPr="001D4820">
        <w:rPr>
          <w:rFonts w:ascii="Times New Roman" w:hAnsi="Times New Roman" w:cs="Times New Roman"/>
          <w:sz w:val="24"/>
          <w:szCs w:val="24"/>
        </w:rPr>
        <w:t xml:space="preserve">why </w:t>
      </w:r>
      <w:r w:rsidR="00514F13" w:rsidRPr="001D4820">
        <w:rPr>
          <w:rFonts w:ascii="Times New Roman" w:hAnsi="Times New Roman" w:cs="Times New Roman"/>
          <w:sz w:val="24"/>
          <w:szCs w:val="24"/>
        </w:rPr>
        <w:t xml:space="preserve">Washington, Maryland and Minnesota spend a significantly higher amount of </w:t>
      </w:r>
      <w:r w:rsidR="004B3AD2" w:rsidRPr="001D4820">
        <w:rPr>
          <w:rFonts w:ascii="Times New Roman" w:hAnsi="Times New Roman" w:cs="Times New Roman"/>
          <w:sz w:val="24"/>
          <w:szCs w:val="24"/>
        </w:rPr>
        <w:t xml:space="preserve">money of APCs even though their output overall is average. It is also difficult to </w:t>
      </w:r>
      <w:r w:rsidR="00E84224" w:rsidRPr="001D4820">
        <w:rPr>
          <w:rFonts w:ascii="Times New Roman" w:hAnsi="Times New Roman" w:cs="Times New Roman"/>
          <w:sz w:val="24"/>
          <w:szCs w:val="24"/>
        </w:rPr>
        <w:t xml:space="preserve">understand </w:t>
      </w:r>
      <w:r w:rsidR="004B3AD2" w:rsidRPr="001D4820">
        <w:rPr>
          <w:rFonts w:ascii="Times New Roman" w:hAnsi="Times New Roman" w:cs="Times New Roman"/>
          <w:sz w:val="24"/>
          <w:szCs w:val="24"/>
        </w:rPr>
        <w:t xml:space="preserve">why states like New York, Ohio, </w:t>
      </w:r>
      <w:r w:rsidR="00EB6EAD" w:rsidRPr="001D4820">
        <w:rPr>
          <w:rFonts w:ascii="Times New Roman" w:hAnsi="Times New Roman" w:cs="Times New Roman"/>
          <w:sz w:val="24"/>
          <w:szCs w:val="24"/>
        </w:rPr>
        <w:t>California,</w:t>
      </w:r>
      <w:r w:rsidR="004B3AD2" w:rsidRPr="001D4820">
        <w:rPr>
          <w:rFonts w:ascii="Times New Roman" w:hAnsi="Times New Roman" w:cs="Times New Roman"/>
          <w:sz w:val="24"/>
          <w:szCs w:val="24"/>
        </w:rPr>
        <w:t xml:space="preserve"> and Texas publish much more Gold Open </w:t>
      </w:r>
      <w:r w:rsidR="004B3AD2" w:rsidRPr="001D4820">
        <w:rPr>
          <w:rFonts w:ascii="Times New Roman" w:hAnsi="Times New Roman" w:cs="Times New Roman"/>
          <w:sz w:val="24"/>
          <w:szCs w:val="24"/>
        </w:rPr>
        <w:lastRenderedPageBreak/>
        <w:t xml:space="preserve">Access papers but pay the least in APCs. </w:t>
      </w:r>
      <w:r w:rsidR="006300AE" w:rsidRPr="001D4820">
        <w:rPr>
          <w:rFonts w:ascii="Times New Roman" w:hAnsi="Times New Roman" w:cs="Times New Roman"/>
          <w:sz w:val="24"/>
          <w:szCs w:val="24"/>
        </w:rPr>
        <w:t xml:space="preserve">This could </w:t>
      </w:r>
      <w:r w:rsidR="00105325" w:rsidRPr="001D4820">
        <w:rPr>
          <w:rFonts w:ascii="Times New Roman" w:hAnsi="Times New Roman" w:cs="Times New Roman"/>
          <w:sz w:val="24"/>
          <w:szCs w:val="24"/>
        </w:rPr>
        <w:t>be</w:t>
      </w:r>
      <w:r w:rsidR="006300AE" w:rsidRPr="001D4820">
        <w:rPr>
          <w:rFonts w:ascii="Times New Roman" w:hAnsi="Times New Roman" w:cs="Times New Roman"/>
          <w:sz w:val="24"/>
          <w:szCs w:val="24"/>
        </w:rPr>
        <w:t xml:space="preserve"> a result of better negotiation and purchasing powe</w:t>
      </w:r>
      <w:r w:rsidR="003D27D2" w:rsidRPr="001D4820">
        <w:rPr>
          <w:rFonts w:ascii="Times New Roman" w:hAnsi="Times New Roman" w:cs="Times New Roman"/>
          <w:sz w:val="24"/>
          <w:szCs w:val="24"/>
        </w:rPr>
        <w:t>r</w:t>
      </w:r>
      <w:r w:rsidR="001D095B" w:rsidRPr="001D4820">
        <w:rPr>
          <w:rFonts w:ascii="Times New Roman" w:hAnsi="Times New Roman" w:cs="Times New Roman"/>
          <w:sz w:val="24"/>
          <w:szCs w:val="24"/>
        </w:rPr>
        <w:t xml:space="preserve">, </w:t>
      </w:r>
      <w:r w:rsidR="003D27D2" w:rsidRPr="001D4820">
        <w:rPr>
          <w:rFonts w:ascii="Times New Roman" w:hAnsi="Times New Roman" w:cs="Times New Roman"/>
          <w:sz w:val="24"/>
          <w:szCs w:val="24"/>
        </w:rPr>
        <w:t>sheer amount of output</w:t>
      </w:r>
      <w:r w:rsidR="001D095B" w:rsidRPr="001D4820">
        <w:rPr>
          <w:rFonts w:ascii="Times New Roman" w:hAnsi="Times New Roman" w:cs="Times New Roman"/>
          <w:sz w:val="24"/>
          <w:szCs w:val="24"/>
        </w:rPr>
        <w:t>,</w:t>
      </w:r>
      <w:r w:rsidR="002545F1" w:rsidRPr="001D4820">
        <w:rPr>
          <w:rFonts w:ascii="Times New Roman" w:hAnsi="Times New Roman" w:cs="Times New Roman"/>
          <w:sz w:val="24"/>
          <w:szCs w:val="24"/>
        </w:rPr>
        <w:t xml:space="preserve"> and funding</w:t>
      </w:r>
      <w:r w:rsidR="003D27D2" w:rsidRPr="001D4820">
        <w:rPr>
          <w:rFonts w:ascii="Times New Roman" w:hAnsi="Times New Roman" w:cs="Times New Roman"/>
          <w:sz w:val="24"/>
          <w:szCs w:val="24"/>
        </w:rPr>
        <w:t xml:space="preserve">. </w:t>
      </w:r>
      <w:r w:rsidR="001D095B" w:rsidRPr="001D4820">
        <w:rPr>
          <w:rFonts w:ascii="Times New Roman" w:hAnsi="Times New Roman" w:cs="Times New Roman"/>
          <w:sz w:val="24"/>
          <w:szCs w:val="24"/>
        </w:rPr>
        <w:t>Some states may have a higher concentration of institutions that have negotiated deals with publishers to provide discounts or waivers on APCs. These deals could be based on factors such as the volume of articles published or the overall institutional budget for publishing.</w:t>
      </w:r>
      <w:r w:rsidR="002545F1" w:rsidRPr="001D4820">
        <w:rPr>
          <w:rFonts w:ascii="Times New Roman" w:hAnsi="Times New Roman" w:cs="Times New Roman"/>
          <w:sz w:val="24"/>
          <w:szCs w:val="24"/>
        </w:rPr>
        <w:t xml:space="preserve"> S</w:t>
      </w:r>
      <w:r w:rsidR="001D095B" w:rsidRPr="001D4820">
        <w:rPr>
          <w:rFonts w:ascii="Times New Roman" w:hAnsi="Times New Roman" w:cs="Times New Roman"/>
          <w:sz w:val="24"/>
          <w:szCs w:val="24"/>
        </w:rPr>
        <w:t>ome states may have a higher number of researchers who receive funding from organizations that provide grants to cover the cost</w:t>
      </w:r>
      <w:r w:rsidR="00E84224" w:rsidRPr="001D4820">
        <w:rPr>
          <w:rFonts w:ascii="Times New Roman" w:hAnsi="Times New Roman" w:cs="Times New Roman"/>
          <w:sz w:val="24"/>
          <w:szCs w:val="24"/>
        </w:rPr>
        <w:t>s</w:t>
      </w:r>
      <w:r w:rsidR="001D095B" w:rsidRPr="001D4820">
        <w:rPr>
          <w:rFonts w:ascii="Times New Roman" w:hAnsi="Times New Roman" w:cs="Times New Roman"/>
          <w:sz w:val="24"/>
          <w:szCs w:val="24"/>
        </w:rPr>
        <w:t xml:space="preserve"> of APCs.</w:t>
      </w:r>
      <w:r w:rsidR="009F34F2" w:rsidRPr="001D4820">
        <w:rPr>
          <w:rFonts w:ascii="Times New Roman" w:hAnsi="Times New Roman" w:cs="Times New Roman"/>
          <w:sz w:val="24"/>
          <w:szCs w:val="24"/>
        </w:rPr>
        <w:t xml:space="preserve"> </w:t>
      </w:r>
    </w:p>
    <w:p w14:paraId="597B524F" w14:textId="77777777" w:rsidR="00BD7B11" w:rsidRPr="001D4820" w:rsidRDefault="00BD7B11" w:rsidP="001D095B">
      <w:pPr>
        <w:spacing w:line="360" w:lineRule="auto"/>
        <w:rPr>
          <w:rFonts w:ascii="Times New Roman" w:hAnsi="Times New Roman" w:cs="Times New Roman"/>
          <w:sz w:val="24"/>
          <w:szCs w:val="24"/>
          <w:u w:val="single"/>
        </w:rPr>
      </w:pPr>
    </w:p>
    <w:p w14:paraId="3C7D4538" w14:textId="7C40B561" w:rsidR="001D095B" w:rsidRPr="00574708" w:rsidRDefault="009F34F2" w:rsidP="00105325">
      <w:pPr>
        <w:pStyle w:val="Heading2"/>
        <w:jc w:val="both"/>
      </w:pPr>
      <w:r w:rsidRPr="00574708">
        <w:t xml:space="preserve">Conclusions </w:t>
      </w:r>
    </w:p>
    <w:p w14:paraId="2B6FC8D0" w14:textId="04833462" w:rsidR="00503806" w:rsidRPr="001D4820" w:rsidRDefault="001F4A95" w:rsidP="00AE515F">
      <w:pPr>
        <w:spacing w:after="0" w:line="240" w:lineRule="auto"/>
        <w:jc w:val="both"/>
        <w:rPr>
          <w:rFonts w:ascii="Times New Roman" w:hAnsi="Times New Roman" w:cs="Times New Roman"/>
          <w:sz w:val="24"/>
          <w:szCs w:val="24"/>
        </w:rPr>
      </w:pPr>
      <w:r w:rsidRPr="001D4820">
        <w:rPr>
          <w:rFonts w:ascii="Times New Roman" w:hAnsi="Times New Roman" w:cs="Times New Roman"/>
          <w:sz w:val="24"/>
          <w:szCs w:val="24"/>
        </w:rPr>
        <w:t>In this study we demonstrated some of the main differences in Gold Open Access publications and expenditures across various states and institutions in the United States</w:t>
      </w:r>
      <w:r w:rsidR="00B306FD" w:rsidRPr="001D4820">
        <w:rPr>
          <w:rFonts w:ascii="Times New Roman" w:hAnsi="Times New Roman" w:cs="Times New Roman"/>
          <w:sz w:val="24"/>
          <w:szCs w:val="24"/>
        </w:rPr>
        <w:t xml:space="preserve">. Our data shows that the majority of states </w:t>
      </w:r>
      <w:r w:rsidR="0086749E" w:rsidRPr="001D4820">
        <w:rPr>
          <w:rFonts w:ascii="Times New Roman" w:hAnsi="Times New Roman" w:cs="Times New Roman"/>
          <w:sz w:val="24"/>
          <w:szCs w:val="24"/>
        </w:rPr>
        <w:t xml:space="preserve">published </w:t>
      </w:r>
      <w:r w:rsidR="00CA2E7A" w:rsidRPr="001D4820">
        <w:rPr>
          <w:rFonts w:ascii="Times New Roman" w:hAnsi="Times New Roman" w:cs="Times New Roman"/>
          <w:sz w:val="24"/>
          <w:szCs w:val="24"/>
        </w:rPr>
        <w:t xml:space="preserve">between 1,000 – 7,000 Gold Open Access publications and spent up to 6million dollars in the past 10 years. However, there are some noteworthy outliers such as </w:t>
      </w:r>
      <w:r w:rsidR="006C2581" w:rsidRPr="001D4820">
        <w:rPr>
          <w:rFonts w:ascii="Times New Roman" w:hAnsi="Times New Roman" w:cs="Times New Roman"/>
          <w:sz w:val="24"/>
          <w:szCs w:val="24"/>
        </w:rPr>
        <w:t xml:space="preserve">Washington, Minnesota and Maryland with relatively low number of publications and high expenditures </w:t>
      </w:r>
      <w:r w:rsidR="00EB24A7" w:rsidRPr="001D4820">
        <w:rPr>
          <w:rFonts w:ascii="Times New Roman" w:hAnsi="Times New Roman" w:cs="Times New Roman"/>
          <w:sz w:val="24"/>
          <w:szCs w:val="24"/>
        </w:rPr>
        <w:t xml:space="preserve">while states such as California, Ohio and especially New York which published relatively high number of Gold Open Access papers with relatively low costs comparatively. </w:t>
      </w:r>
    </w:p>
    <w:p w14:paraId="315BCCC3" w14:textId="187DF5BC" w:rsidR="00EB24A7" w:rsidRPr="001D4820" w:rsidRDefault="003D11EE" w:rsidP="00AE515F">
      <w:pPr>
        <w:spacing w:after="0" w:line="240" w:lineRule="auto"/>
        <w:jc w:val="both"/>
        <w:rPr>
          <w:rFonts w:ascii="Times New Roman" w:hAnsi="Times New Roman" w:cs="Times New Roman"/>
          <w:sz w:val="24"/>
          <w:szCs w:val="24"/>
        </w:rPr>
      </w:pPr>
      <w:r w:rsidRPr="001D4820">
        <w:rPr>
          <w:rFonts w:ascii="Times New Roman" w:hAnsi="Times New Roman" w:cs="Times New Roman"/>
          <w:sz w:val="24"/>
          <w:szCs w:val="24"/>
        </w:rPr>
        <w:t>These differences could be the result of several factors. For example, s</w:t>
      </w:r>
      <w:r w:rsidR="00EB24A7" w:rsidRPr="001D4820">
        <w:rPr>
          <w:rFonts w:ascii="Times New Roman" w:hAnsi="Times New Roman" w:cs="Times New Roman"/>
          <w:sz w:val="24"/>
          <w:szCs w:val="24"/>
        </w:rPr>
        <w:t xml:space="preserve">ome institutions have robust open access policies and initiatives in place, while others may have limited or no policies at all. Some of the factors that contribute to these differences </w:t>
      </w:r>
      <w:r w:rsidR="00725B89" w:rsidRPr="001D4820">
        <w:rPr>
          <w:rFonts w:ascii="Times New Roman" w:hAnsi="Times New Roman" w:cs="Times New Roman"/>
          <w:sz w:val="24"/>
          <w:szCs w:val="24"/>
        </w:rPr>
        <w:t xml:space="preserve">could also </w:t>
      </w:r>
      <w:r w:rsidR="00EB24A7" w:rsidRPr="001D4820">
        <w:rPr>
          <w:rFonts w:ascii="Times New Roman" w:hAnsi="Times New Roman" w:cs="Times New Roman"/>
          <w:sz w:val="24"/>
          <w:szCs w:val="24"/>
        </w:rPr>
        <w:t>include:</w:t>
      </w:r>
    </w:p>
    <w:p w14:paraId="29CB20F8" w14:textId="77777777" w:rsidR="00EB24A7" w:rsidRPr="001D4820" w:rsidRDefault="00EB24A7" w:rsidP="00AE515F">
      <w:pPr>
        <w:pStyle w:val="ListParagraph"/>
        <w:numPr>
          <w:ilvl w:val="0"/>
          <w:numId w:val="4"/>
        </w:numPr>
        <w:spacing w:after="0" w:line="240" w:lineRule="auto"/>
        <w:jc w:val="both"/>
        <w:rPr>
          <w:rFonts w:ascii="Times New Roman" w:hAnsi="Times New Roman" w:cs="Times New Roman"/>
          <w:sz w:val="24"/>
          <w:szCs w:val="24"/>
        </w:rPr>
      </w:pPr>
      <w:r w:rsidRPr="001D4820">
        <w:rPr>
          <w:rFonts w:ascii="Times New Roman" w:hAnsi="Times New Roman" w:cs="Times New Roman"/>
          <w:sz w:val="24"/>
          <w:szCs w:val="24"/>
        </w:rPr>
        <w:t>Funding: Institutions that receive more funding may be able to invest more resources into open access publishing initiatives.</w:t>
      </w:r>
    </w:p>
    <w:p w14:paraId="70BC928C" w14:textId="77777777" w:rsidR="00EB24A7" w:rsidRPr="001D4820" w:rsidRDefault="00EB24A7" w:rsidP="00AE515F">
      <w:pPr>
        <w:pStyle w:val="ListParagraph"/>
        <w:numPr>
          <w:ilvl w:val="0"/>
          <w:numId w:val="4"/>
        </w:numPr>
        <w:spacing w:after="0" w:line="240" w:lineRule="auto"/>
        <w:jc w:val="both"/>
        <w:rPr>
          <w:rFonts w:ascii="Times New Roman" w:hAnsi="Times New Roman" w:cs="Times New Roman"/>
          <w:sz w:val="24"/>
          <w:szCs w:val="24"/>
        </w:rPr>
      </w:pPr>
      <w:r w:rsidRPr="001D4820">
        <w:rPr>
          <w:rFonts w:ascii="Times New Roman" w:hAnsi="Times New Roman" w:cs="Times New Roman"/>
          <w:sz w:val="24"/>
          <w:szCs w:val="24"/>
        </w:rPr>
        <w:t>Research output: Institutions with larger research output may have greater incentive to promote open access publishing in order to increase visibility and impact of their research.</w:t>
      </w:r>
    </w:p>
    <w:p w14:paraId="0D4EF781" w14:textId="77777777" w:rsidR="00EB24A7" w:rsidRPr="001D4820" w:rsidRDefault="00EB24A7" w:rsidP="00AE515F">
      <w:pPr>
        <w:pStyle w:val="ListParagraph"/>
        <w:numPr>
          <w:ilvl w:val="0"/>
          <w:numId w:val="4"/>
        </w:numPr>
        <w:spacing w:after="0" w:line="240" w:lineRule="auto"/>
        <w:jc w:val="both"/>
        <w:rPr>
          <w:rFonts w:ascii="Times New Roman" w:hAnsi="Times New Roman" w:cs="Times New Roman"/>
          <w:sz w:val="24"/>
          <w:szCs w:val="24"/>
        </w:rPr>
      </w:pPr>
      <w:r w:rsidRPr="001D4820">
        <w:rPr>
          <w:rFonts w:ascii="Times New Roman" w:hAnsi="Times New Roman" w:cs="Times New Roman"/>
          <w:sz w:val="24"/>
          <w:szCs w:val="24"/>
        </w:rPr>
        <w:t>Institutional culture: Some institutions may have a strong culture of openness and collaboration, while others may be more conservative and risk-averse.</w:t>
      </w:r>
    </w:p>
    <w:p w14:paraId="2979C00B" w14:textId="77777777" w:rsidR="00EB24A7" w:rsidRPr="001D4820" w:rsidRDefault="00EB24A7" w:rsidP="00AE515F">
      <w:pPr>
        <w:pStyle w:val="ListParagraph"/>
        <w:numPr>
          <w:ilvl w:val="0"/>
          <w:numId w:val="4"/>
        </w:numPr>
        <w:spacing w:after="0" w:line="240" w:lineRule="auto"/>
        <w:jc w:val="both"/>
        <w:rPr>
          <w:rFonts w:ascii="Times New Roman" w:hAnsi="Times New Roman" w:cs="Times New Roman"/>
          <w:sz w:val="24"/>
          <w:szCs w:val="24"/>
        </w:rPr>
      </w:pPr>
      <w:r w:rsidRPr="001D4820">
        <w:rPr>
          <w:rFonts w:ascii="Times New Roman" w:hAnsi="Times New Roman" w:cs="Times New Roman"/>
          <w:sz w:val="24"/>
          <w:szCs w:val="24"/>
        </w:rPr>
        <w:t>Institutional structure: The structure of an institution can also impact its approach to open access publishing. For example, a university with a medical school may prioritize open access publishing in biomedical research, while a liberal arts college may focus on open access in humanities and social sciences.</w:t>
      </w:r>
    </w:p>
    <w:p w14:paraId="3EC937F8" w14:textId="77777777" w:rsidR="00EB24A7" w:rsidRPr="001D4820" w:rsidRDefault="00EB24A7" w:rsidP="00AE515F">
      <w:pPr>
        <w:pStyle w:val="ListParagraph"/>
        <w:numPr>
          <w:ilvl w:val="0"/>
          <w:numId w:val="4"/>
        </w:numPr>
        <w:spacing w:after="0" w:line="240" w:lineRule="auto"/>
        <w:jc w:val="both"/>
        <w:rPr>
          <w:rFonts w:ascii="Times New Roman" w:hAnsi="Times New Roman" w:cs="Times New Roman"/>
          <w:sz w:val="24"/>
          <w:szCs w:val="24"/>
        </w:rPr>
      </w:pPr>
      <w:r w:rsidRPr="001D4820">
        <w:rPr>
          <w:rFonts w:ascii="Times New Roman" w:hAnsi="Times New Roman" w:cs="Times New Roman"/>
          <w:sz w:val="24"/>
          <w:szCs w:val="24"/>
        </w:rPr>
        <w:t>Faculty attitudes: The attitudes of faculty members can also influence an institution's approach to open access publishing. Some faculty members may be enthusiastic about open access, while others may be more skeptical or resistant to change.</w:t>
      </w:r>
    </w:p>
    <w:p w14:paraId="387D4641" w14:textId="77777777" w:rsidR="00EB24A7" w:rsidRDefault="00EB24A7" w:rsidP="00AE515F">
      <w:pPr>
        <w:spacing w:line="360" w:lineRule="auto"/>
        <w:jc w:val="both"/>
        <w:rPr>
          <w:rFonts w:ascii="Times New Roman" w:hAnsi="Times New Roman" w:cs="Times New Roman"/>
        </w:rPr>
      </w:pPr>
    </w:p>
    <w:p w14:paraId="3CC3D822" w14:textId="77777777" w:rsidR="00641A2D" w:rsidRPr="00CD2CA5" w:rsidRDefault="00641A2D" w:rsidP="00105325">
      <w:pPr>
        <w:pStyle w:val="Heading2"/>
        <w:jc w:val="both"/>
      </w:pPr>
      <w:r w:rsidRPr="00CD2CA5">
        <w:t>References</w:t>
      </w:r>
    </w:p>
    <w:p w14:paraId="1FDA81BE" w14:textId="0E7BC1BB" w:rsidR="00641A2D" w:rsidRPr="00105325" w:rsidRDefault="00641A2D" w:rsidP="00AE515F">
      <w:pPr>
        <w:spacing w:line="240" w:lineRule="auto"/>
        <w:jc w:val="both"/>
        <w:rPr>
          <w:rFonts w:ascii="Times New Roman" w:hAnsi="Times New Roman" w:cs="Times New Roman"/>
          <w:sz w:val="24"/>
          <w:szCs w:val="24"/>
        </w:rPr>
      </w:pPr>
      <w:r w:rsidRPr="00105325">
        <w:rPr>
          <w:rFonts w:ascii="Times New Roman" w:hAnsi="Times New Roman" w:cs="Times New Roman"/>
          <w:sz w:val="24"/>
          <w:szCs w:val="24"/>
        </w:rPr>
        <w:t>Beall, J. (2011). Predatory publishers are corrupting open access. Nature, 489(7415), 179. doi: 10.1038/489179a</w:t>
      </w:r>
    </w:p>
    <w:p w14:paraId="56BDDB36" w14:textId="77777777" w:rsidR="00641A2D" w:rsidRPr="00105325" w:rsidRDefault="00641A2D" w:rsidP="00AE515F">
      <w:pPr>
        <w:spacing w:line="240" w:lineRule="auto"/>
        <w:jc w:val="both"/>
        <w:rPr>
          <w:rFonts w:ascii="Times New Roman" w:hAnsi="Times New Roman" w:cs="Times New Roman"/>
          <w:sz w:val="24"/>
          <w:szCs w:val="24"/>
        </w:rPr>
      </w:pPr>
      <w:r w:rsidRPr="00105325">
        <w:rPr>
          <w:rFonts w:ascii="Times New Roman" w:hAnsi="Times New Roman" w:cs="Times New Roman"/>
          <w:sz w:val="24"/>
          <w:szCs w:val="24"/>
        </w:rPr>
        <w:t>Björk, B. C., Welling, P., Laakso, M., Majlender, P., Hedlund, T., &amp; Guðnason, G. (2010). Open access to the scientific journal literature: Situation 2009. PLoS ONE, 5(6), e11273. https://doi.org/10.1371/journal.pone.0011273</w:t>
      </w:r>
    </w:p>
    <w:p w14:paraId="704FFA2F" w14:textId="77777777" w:rsidR="00C844CA" w:rsidRPr="00C844CA" w:rsidRDefault="006E127D" w:rsidP="00AE515F">
      <w:pPr>
        <w:pStyle w:val="Bibliography"/>
        <w:jc w:val="both"/>
        <w:rPr>
          <w:rFonts w:ascii="Times New Roman" w:hAnsi="Times New Roman" w:cs="Times New Roman"/>
          <w:sz w:val="24"/>
        </w:rPr>
      </w:pPr>
      <w:r w:rsidRPr="00105325">
        <w:fldChar w:fldCharType="begin"/>
      </w:r>
      <w:r w:rsidR="00C844CA">
        <w:rPr>
          <w:lang w:val="es-ES"/>
        </w:rPr>
        <w:instrText xml:space="preserve"> ADDIN ZOTERO_BIBL {"uncited":[],"omitted":[],"custom":[]} CSL_BIBLIOGRAPHY </w:instrText>
      </w:r>
      <w:r w:rsidRPr="00105325">
        <w:fldChar w:fldCharType="separate"/>
      </w:r>
      <w:r w:rsidR="00C844CA" w:rsidRPr="00AE515F">
        <w:rPr>
          <w:rFonts w:ascii="Times New Roman" w:hAnsi="Times New Roman" w:cs="Times New Roman"/>
          <w:sz w:val="24"/>
          <w:lang w:val="es-ES"/>
        </w:rPr>
        <w:t xml:space="preserve">Brasil Varandas Pinto, A., &amp; van Leeuwen, T. (2022). </w:t>
      </w:r>
      <w:r w:rsidR="00C844CA" w:rsidRPr="00C844CA">
        <w:rPr>
          <w:rFonts w:ascii="Times New Roman" w:hAnsi="Times New Roman" w:cs="Times New Roman"/>
          <w:i/>
          <w:iCs/>
          <w:sz w:val="24"/>
        </w:rPr>
        <w:t>The unseen costs of article processing charges: The different realities of Brazil and the Netherlands</w:t>
      </w:r>
      <w:r w:rsidR="00C844CA" w:rsidRPr="00C844CA">
        <w:rPr>
          <w:rFonts w:ascii="Times New Roman" w:hAnsi="Times New Roman" w:cs="Times New Roman"/>
          <w:sz w:val="24"/>
        </w:rPr>
        <w:t>.</w:t>
      </w:r>
    </w:p>
    <w:p w14:paraId="473DC227" w14:textId="77777777" w:rsidR="00C844CA" w:rsidRPr="00C844CA" w:rsidRDefault="00C844CA" w:rsidP="00AE515F">
      <w:pPr>
        <w:pStyle w:val="Bibliography"/>
        <w:jc w:val="both"/>
        <w:rPr>
          <w:rFonts w:ascii="Times New Roman" w:hAnsi="Times New Roman" w:cs="Times New Roman"/>
          <w:sz w:val="24"/>
        </w:rPr>
      </w:pPr>
      <w:r w:rsidRPr="00AE515F">
        <w:rPr>
          <w:rFonts w:ascii="Times New Roman" w:hAnsi="Times New Roman" w:cs="Times New Roman"/>
          <w:sz w:val="24"/>
          <w:lang w:val="de-DE"/>
        </w:rPr>
        <w:t xml:space="preserve">Fontúrbel, F., &amp; Vizentin-Bugoni, J. (2020). </w:t>
      </w:r>
      <w:r w:rsidRPr="00C844CA">
        <w:rPr>
          <w:rFonts w:ascii="Times New Roman" w:hAnsi="Times New Roman" w:cs="Times New Roman"/>
          <w:sz w:val="24"/>
        </w:rPr>
        <w:t xml:space="preserve">A Paywall Coming Down, Another Being Erected: Open Access Article Processing Charges (APC) may Prevent Some Researchers from Publishing </w:t>
      </w:r>
      <w:r w:rsidRPr="00C844CA">
        <w:rPr>
          <w:rFonts w:ascii="Times New Roman" w:hAnsi="Times New Roman" w:cs="Times New Roman"/>
          <w:sz w:val="24"/>
        </w:rPr>
        <w:lastRenderedPageBreak/>
        <w:t xml:space="preserve">in Leading Journals. </w:t>
      </w:r>
      <w:r w:rsidRPr="00C844CA">
        <w:rPr>
          <w:rFonts w:ascii="Times New Roman" w:hAnsi="Times New Roman" w:cs="Times New Roman"/>
          <w:i/>
          <w:iCs/>
          <w:sz w:val="24"/>
        </w:rPr>
        <w:t>The Bulletin of the Ecological Society of America</w:t>
      </w:r>
      <w:r w:rsidRPr="00C844CA">
        <w:rPr>
          <w:rFonts w:ascii="Times New Roman" w:hAnsi="Times New Roman" w:cs="Times New Roman"/>
          <w:sz w:val="24"/>
        </w:rPr>
        <w:t xml:space="preserve">, </w:t>
      </w:r>
      <w:r w:rsidRPr="00C844CA">
        <w:rPr>
          <w:rFonts w:ascii="Times New Roman" w:hAnsi="Times New Roman" w:cs="Times New Roman"/>
          <w:i/>
          <w:iCs/>
          <w:sz w:val="24"/>
        </w:rPr>
        <w:t>102</w:t>
      </w:r>
      <w:r w:rsidRPr="00C844CA">
        <w:rPr>
          <w:rFonts w:ascii="Times New Roman" w:hAnsi="Times New Roman" w:cs="Times New Roman"/>
          <w:sz w:val="24"/>
        </w:rPr>
        <w:t>. https://doi.org/10.1002/bes2.1791</w:t>
      </w:r>
    </w:p>
    <w:p w14:paraId="274E2D5C" w14:textId="77777777" w:rsidR="00C844CA" w:rsidRPr="00C844CA" w:rsidRDefault="00C844CA" w:rsidP="00AE515F">
      <w:pPr>
        <w:pStyle w:val="Bibliography"/>
        <w:jc w:val="both"/>
        <w:rPr>
          <w:rFonts w:ascii="Times New Roman" w:hAnsi="Times New Roman" w:cs="Times New Roman"/>
          <w:sz w:val="24"/>
        </w:rPr>
      </w:pPr>
      <w:r w:rsidRPr="00C844CA">
        <w:rPr>
          <w:rFonts w:ascii="Times New Roman" w:hAnsi="Times New Roman" w:cs="Times New Roman"/>
          <w:sz w:val="24"/>
        </w:rPr>
        <w:t xml:space="preserve">Gorelick, D., &amp; Li, Y. (2021). Reducing open access publication costs for biomedical researchers in the USA. </w:t>
      </w:r>
      <w:r w:rsidRPr="00C844CA">
        <w:rPr>
          <w:rFonts w:ascii="Times New Roman" w:hAnsi="Times New Roman" w:cs="Times New Roman"/>
          <w:i/>
          <w:iCs/>
          <w:sz w:val="24"/>
        </w:rPr>
        <w:t>MIT Science Policy Review</w:t>
      </w:r>
      <w:r w:rsidRPr="00C844CA">
        <w:rPr>
          <w:rFonts w:ascii="Times New Roman" w:hAnsi="Times New Roman" w:cs="Times New Roman"/>
          <w:sz w:val="24"/>
        </w:rPr>
        <w:t xml:space="preserve">, </w:t>
      </w:r>
      <w:r w:rsidRPr="00C844CA">
        <w:rPr>
          <w:rFonts w:ascii="Times New Roman" w:hAnsi="Times New Roman" w:cs="Times New Roman"/>
          <w:i/>
          <w:iCs/>
          <w:sz w:val="24"/>
        </w:rPr>
        <w:t>2</w:t>
      </w:r>
      <w:r w:rsidRPr="00C844CA">
        <w:rPr>
          <w:rFonts w:ascii="Times New Roman" w:hAnsi="Times New Roman" w:cs="Times New Roman"/>
          <w:sz w:val="24"/>
        </w:rPr>
        <w:t>.</w:t>
      </w:r>
    </w:p>
    <w:p w14:paraId="7D2ED811" w14:textId="77777777" w:rsidR="00C844CA" w:rsidRPr="00C844CA" w:rsidRDefault="00C844CA" w:rsidP="00AE515F">
      <w:pPr>
        <w:pStyle w:val="Bibliography"/>
        <w:jc w:val="both"/>
        <w:rPr>
          <w:rFonts w:ascii="Times New Roman" w:hAnsi="Times New Roman" w:cs="Times New Roman"/>
          <w:sz w:val="24"/>
        </w:rPr>
      </w:pPr>
      <w:r w:rsidRPr="00C844CA">
        <w:rPr>
          <w:rFonts w:ascii="Times New Roman" w:hAnsi="Times New Roman" w:cs="Times New Roman"/>
          <w:sz w:val="24"/>
        </w:rPr>
        <w:t xml:space="preserve">Krauskopf, E. (2021). Article processing charge expenditure in Chile: The current situation. </w:t>
      </w:r>
      <w:r w:rsidRPr="00C844CA">
        <w:rPr>
          <w:rFonts w:ascii="Times New Roman" w:hAnsi="Times New Roman" w:cs="Times New Roman"/>
          <w:i/>
          <w:iCs/>
          <w:sz w:val="24"/>
        </w:rPr>
        <w:t>Learned Publishing</w:t>
      </w:r>
      <w:r w:rsidRPr="00C844CA">
        <w:rPr>
          <w:rFonts w:ascii="Times New Roman" w:hAnsi="Times New Roman" w:cs="Times New Roman"/>
          <w:sz w:val="24"/>
        </w:rPr>
        <w:t xml:space="preserve">, </w:t>
      </w:r>
      <w:r w:rsidRPr="00C844CA">
        <w:rPr>
          <w:rFonts w:ascii="Times New Roman" w:hAnsi="Times New Roman" w:cs="Times New Roman"/>
          <w:i/>
          <w:iCs/>
          <w:sz w:val="24"/>
        </w:rPr>
        <w:t>34</w:t>
      </w:r>
      <w:r w:rsidRPr="00C844CA">
        <w:rPr>
          <w:rFonts w:ascii="Times New Roman" w:hAnsi="Times New Roman" w:cs="Times New Roman"/>
          <w:sz w:val="24"/>
        </w:rPr>
        <w:t>(4), 637–646.</w:t>
      </w:r>
    </w:p>
    <w:p w14:paraId="0924067B" w14:textId="77777777" w:rsidR="00C844CA" w:rsidRPr="00C844CA" w:rsidRDefault="00C844CA" w:rsidP="00AE515F">
      <w:pPr>
        <w:pStyle w:val="Bibliography"/>
        <w:jc w:val="both"/>
        <w:rPr>
          <w:rFonts w:ascii="Times New Roman" w:hAnsi="Times New Roman" w:cs="Times New Roman"/>
          <w:sz w:val="24"/>
        </w:rPr>
      </w:pPr>
      <w:r w:rsidRPr="00C844CA">
        <w:rPr>
          <w:rFonts w:ascii="Times New Roman" w:hAnsi="Times New Roman" w:cs="Times New Roman"/>
          <w:sz w:val="24"/>
        </w:rPr>
        <w:t xml:space="preserve">Lovén, L. (2019). Monitoring open access publishing costs at Stockholm University. </w:t>
      </w:r>
      <w:r w:rsidRPr="00C844CA">
        <w:rPr>
          <w:rFonts w:ascii="Times New Roman" w:hAnsi="Times New Roman" w:cs="Times New Roman"/>
          <w:i/>
          <w:iCs/>
          <w:sz w:val="24"/>
        </w:rPr>
        <w:t>Insights</w:t>
      </w:r>
      <w:r w:rsidRPr="00C844CA">
        <w:rPr>
          <w:rFonts w:ascii="Times New Roman" w:hAnsi="Times New Roman" w:cs="Times New Roman"/>
          <w:sz w:val="24"/>
        </w:rPr>
        <w:t xml:space="preserve">, </w:t>
      </w:r>
      <w:r w:rsidRPr="00C844CA">
        <w:rPr>
          <w:rFonts w:ascii="Times New Roman" w:hAnsi="Times New Roman" w:cs="Times New Roman"/>
          <w:i/>
          <w:iCs/>
          <w:sz w:val="24"/>
        </w:rPr>
        <w:t>32</w:t>
      </w:r>
      <w:r w:rsidRPr="00C844CA">
        <w:rPr>
          <w:rFonts w:ascii="Times New Roman" w:hAnsi="Times New Roman" w:cs="Times New Roman"/>
          <w:sz w:val="24"/>
        </w:rPr>
        <w:t>(1).</w:t>
      </w:r>
    </w:p>
    <w:p w14:paraId="46194B5D" w14:textId="77777777" w:rsidR="00C844CA" w:rsidRPr="00C844CA" w:rsidRDefault="00C844CA" w:rsidP="00AE515F">
      <w:pPr>
        <w:pStyle w:val="Bibliography"/>
        <w:jc w:val="both"/>
        <w:rPr>
          <w:rFonts w:ascii="Times New Roman" w:hAnsi="Times New Roman" w:cs="Times New Roman"/>
          <w:sz w:val="24"/>
        </w:rPr>
      </w:pPr>
      <w:r w:rsidRPr="00C844CA">
        <w:rPr>
          <w:rFonts w:ascii="Times New Roman" w:hAnsi="Times New Roman" w:cs="Times New Roman"/>
          <w:i/>
          <w:iCs/>
          <w:sz w:val="24"/>
        </w:rPr>
        <w:t>OSTP Issues Guidance to Make Federally Funded Research Freely Available Without Delay | OSTP</w:t>
      </w:r>
      <w:r w:rsidRPr="00C844CA">
        <w:rPr>
          <w:rFonts w:ascii="Times New Roman" w:hAnsi="Times New Roman" w:cs="Times New Roman"/>
          <w:sz w:val="24"/>
        </w:rPr>
        <w:t>. (2022, August 25). The White House. https://www.whitehouse.gov/ostp/news-updates/2022/08/25/ostp-issues-guidance-to-make-federally-funded-research-freely-available-without-delay/</w:t>
      </w:r>
    </w:p>
    <w:p w14:paraId="4EE96271" w14:textId="19DF4911" w:rsidR="00B54484" w:rsidRPr="00105325" w:rsidRDefault="006E127D" w:rsidP="00AE515F">
      <w:pPr>
        <w:pStyle w:val="Bibliography"/>
        <w:spacing w:line="240" w:lineRule="auto"/>
        <w:jc w:val="both"/>
        <w:rPr>
          <w:rFonts w:ascii="Times New Roman" w:hAnsi="Times New Roman" w:cs="Times New Roman"/>
          <w:sz w:val="24"/>
          <w:szCs w:val="24"/>
        </w:rPr>
      </w:pPr>
      <w:r w:rsidRPr="00105325">
        <w:rPr>
          <w:rFonts w:ascii="Times New Roman" w:hAnsi="Times New Roman" w:cs="Times New Roman"/>
          <w:sz w:val="24"/>
          <w:szCs w:val="24"/>
        </w:rPr>
        <w:fldChar w:fldCharType="end"/>
      </w:r>
      <w:r w:rsidR="00B54484" w:rsidRPr="00105325">
        <w:rPr>
          <w:rFonts w:ascii="Times New Roman" w:hAnsi="Times New Roman" w:cs="Times New Roman"/>
          <w:sz w:val="24"/>
          <w:szCs w:val="24"/>
        </w:rPr>
        <w:t>Zhang, X., Sun, S., &amp; Xia, J. (2021). Investigating the attitudes of researchers towards open access publishing in low- and middle-income countries. Learned Publishing, 34(1), 49-59. https://doi.org/10.1002/leap.1334</w:t>
      </w:r>
    </w:p>
    <w:sectPr w:rsidR="00B54484" w:rsidRPr="0010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w:altName w:val="Nunito"/>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00F7C"/>
    <w:multiLevelType w:val="hybridMultilevel"/>
    <w:tmpl w:val="472CC8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6E6001B"/>
    <w:multiLevelType w:val="hybridMultilevel"/>
    <w:tmpl w:val="E5208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0BC648C"/>
    <w:multiLevelType w:val="multilevel"/>
    <w:tmpl w:val="5AAC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345A92"/>
    <w:multiLevelType w:val="hybridMultilevel"/>
    <w:tmpl w:val="2E84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919220">
    <w:abstractNumId w:val="2"/>
  </w:num>
  <w:num w:numId="2" w16cid:durableId="167867492">
    <w:abstractNumId w:val="0"/>
  </w:num>
  <w:num w:numId="3" w16cid:durableId="1822581068">
    <w:abstractNumId w:val="1"/>
  </w:num>
  <w:num w:numId="4" w16cid:durableId="408818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AB"/>
    <w:rsid w:val="00002C51"/>
    <w:rsid w:val="0000393E"/>
    <w:rsid w:val="00007FAA"/>
    <w:rsid w:val="00017BB7"/>
    <w:rsid w:val="000218B7"/>
    <w:rsid w:val="000255BD"/>
    <w:rsid w:val="00031026"/>
    <w:rsid w:val="00054193"/>
    <w:rsid w:val="000564F1"/>
    <w:rsid w:val="00057454"/>
    <w:rsid w:val="00070CF4"/>
    <w:rsid w:val="000766E1"/>
    <w:rsid w:val="000A59BB"/>
    <w:rsid w:val="000B0984"/>
    <w:rsid w:val="000B5795"/>
    <w:rsid w:val="000C0B35"/>
    <w:rsid w:val="000C1C02"/>
    <w:rsid w:val="000D32BC"/>
    <w:rsid w:val="000D368F"/>
    <w:rsid w:val="000E6800"/>
    <w:rsid w:val="000E7318"/>
    <w:rsid w:val="00100584"/>
    <w:rsid w:val="00105325"/>
    <w:rsid w:val="001060B8"/>
    <w:rsid w:val="001160E7"/>
    <w:rsid w:val="001243E8"/>
    <w:rsid w:val="00126532"/>
    <w:rsid w:val="00135F17"/>
    <w:rsid w:val="001432B7"/>
    <w:rsid w:val="00153FCE"/>
    <w:rsid w:val="001770E3"/>
    <w:rsid w:val="001778AF"/>
    <w:rsid w:val="00181042"/>
    <w:rsid w:val="00186783"/>
    <w:rsid w:val="001B35F3"/>
    <w:rsid w:val="001B636C"/>
    <w:rsid w:val="001C14B9"/>
    <w:rsid w:val="001C247E"/>
    <w:rsid w:val="001D095B"/>
    <w:rsid w:val="001D4820"/>
    <w:rsid w:val="001E6BFF"/>
    <w:rsid w:val="001F0C9F"/>
    <w:rsid w:val="001F1B5F"/>
    <w:rsid w:val="001F3DAB"/>
    <w:rsid w:val="001F4A95"/>
    <w:rsid w:val="00203835"/>
    <w:rsid w:val="0020673E"/>
    <w:rsid w:val="00212119"/>
    <w:rsid w:val="00224A02"/>
    <w:rsid w:val="00252DDE"/>
    <w:rsid w:val="002545F1"/>
    <w:rsid w:val="0026312D"/>
    <w:rsid w:val="00263308"/>
    <w:rsid w:val="002650E9"/>
    <w:rsid w:val="00274C37"/>
    <w:rsid w:val="00281FEF"/>
    <w:rsid w:val="0028661E"/>
    <w:rsid w:val="002955EC"/>
    <w:rsid w:val="002A26F2"/>
    <w:rsid w:val="002B39F0"/>
    <w:rsid w:val="002B636F"/>
    <w:rsid w:val="002D32E6"/>
    <w:rsid w:val="002D74CF"/>
    <w:rsid w:val="002E69B0"/>
    <w:rsid w:val="00304C34"/>
    <w:rsid w:val="003115D0"/>
    <w:rsid w:val="003116FD"/>
    <w:rsid w:val="00327450"/>
    <w:rsid w:val="003322A6"/>
    <w:rsid w:val="00342B97"/>
    <w:rsid w:val="00353ACF"/>
    <w:rsid w:val="00373ADE"/>
    <w:rsid w:val="00383CBD"/>
    <w:rsid w:val="00390F3E"/>
    <w:rsid w:val="003A5D7C"/>
    <w:rsid w:val="003D01CA"/>
    <w:rsid w:val="003D11EE"/>
    <w:rsid w:val="003D27D2"/>
    <w:rsid w:val="003D55F0"/>
    <w:rsid w:val="003D69A4"/>
    <w:rsid w:val="003E1F03"/>
    <w:rsid w:val="003E5B38"/>
    <w:rsid w:val="003F1F0E"/>
    <w:rsid w:val="003F22F3"/>
    <w:rsid w:val="00401086"/>
    <w:rsid w:val="0040234E"/>
    <w:rsid w:val="004166A7"/>
    <w:rsid w:val="004212C8"/>
    <w:rsid w:val="00433091"/>
    <w:rsid w:val="00437B90"/>
    <w:rsid w:val="00442C32"/>
    <w:rsid w:val="00446312"/>
    <w:rsid w:val="0044646D"/>
    <w:rsid w:val="004635F4"/>
    <w:rsid w:val="00465456"/>
    <w:rsid w:val="00466198"/>
    <w:rsid w:val="004700A7"/>
    <w:rsid w:val="004731FB"/>
    <w:rsid w:val="00477EE0"/>
    <w:rsid w:val="00490A6E"/>
    <w:rsid w:val="00490D29"/>
    <w:rsid w:val="00492FA2"/>
    <w:rsid w:val="004A08D6"/>
    <w:rsid w:val="004B140B"/>
    <w:rsid w:val="004B1944"/>
    <w:rsid w:val="004B21DD"/>
    <w:rsid w:val="004B363D"/>
    <w:rsid w:val="004B3AD2"/>
    <w:rsid w:val="004B4502"/>
    <w:rsid w:val="004C05F6"/>
    <w:rsid w:val="004E3E06"/>
    <w:rsid w:val="00502FBE"/>
    <w:rsid w:val="00503806"/>
    <w:rsid w:val="00514F13"/>
    <w:rsid w:val="00521CB5"/>
    <w:rsid w:val="005360A3"/>
    <w:rsid w:val="00551522"/>
    <w:rsid w:val="0055498F"/>
    <w:rsid w:val="00574708"/>
    <w:rsid w:val="00585F1A"/>
    <w:rsid w:val="005A402D"/>
    <w:rsid w:val="005A7010"/>
    <w:rsid w:val="005A7C7E"/>
    <w:rsid w:val="005B5DF2"/>
    <w:rsid w:val="005C0D63"/>
    <w:rsid w:val="005C3F6B"/>
    <w:rsid w:val="005C5515"/>
    <w:rsid w:val="005D3B51"/>
    <w:rsid w:val="005E231E"/>
    <w:rsid w:val="005F3363"/>
    <w:rsid w:val="00606E9A"/>
    <w:rsid w:val="00623978"/>
    <w:rsid w:val="006300AE"/>
    <w:rsid w:val="00641A2D"/>
    <w:rsid w:val="00644FE8"/>
    <w:rsid w:val="00647C6B"/>
    <w:rsid w:val="00656C1B"/>
    <w:rsid w:val="00673EEC"/>
    <w:rsid w:val="006818C6"/>
    <w:rsid w:val="006B2CA9"/>
    <w:rsid w:val="006B55C0"/>
    <w:rsid w:val="006B5C8E"/>
    <w:rsid w:val="006C2581"/>
    <w:rsid w:val="006E127D"/>
    <w:rsid w:val="006F3435"/>
    <w:rsid w:val="006F47DE"/>
    <w:rsid w:val="006F4E10"/>
    <w:rsid w:val="006F71FF"/>
    <w:rsid w:val="00705BB7"/>
    <w:rsid w:val="007150CA"/>
    <w:rsid w:val="00725B89"/>
    <w:rsid w:val="007302CA"/>
    <w:rsid w:val="00730A38"/>
    <w:rsid w:val="00735F54"/>
    <w:rsid w:val="00736232"/>
    <w:rsid w:val="007374CC"/>
    <w:rsid w:val="00742AAF"/>
    <w:rsid w:val="007515B6"/>
    <w:rsid w:val="007524EE"/>
    <w:rsid w:val="00752B9F"/>
    <w:rsid w:val="00784141"/>
    <w:rsid w:val="00795A21"/>
    <w:rsid w:val="00796603"/>
    <w:rsid w:val="007A18D5"/>
    <w:rsid w:val="007B6FB0"/>
    <w:rsid w:val="007C0AB6"/>
    <w:rsid w:val="007C0ECF"/>
    <w:rsid w:val="007C3B3B"/>
    <w:rsid w:val="007C561E"/>
    <w:rsid w:val="007E157C"/>
    <w:rsid w:val="007F0CC6"/>
    <w:rsid w:val="007F1227"/>
    <w:rsid w:val="007F4AE1"/>
    <w:rsid w:val="007F7481"/>
    <w:rsid w:val="0080194B"/>
    <w:rsid w:val="008162FE"/>
    <w:rsid w:val="00830835"/>
    <w:rsid w:val="00831AAE"/>
    <w:rsid w:val="008327E1"/>
    <w:rsid w:val="00843707"/>
    <w:rsid w:val="00845E07"/>
    <w:rsid w:val="00851A55"/>
    <w:rsid w:val="0086749E"/>
    <w:rsid w:val="008723BD"/>
    <w:rsid w:val="008747A9"/>
    <w:rsid w:val="00881A1F"/>
    <w:rsid w:val="00882D7C"/>
    <w:rsid w:val="00882E99"/>
    <w:rsid w:val="008904B7"/>
    <w:rsid w:val="00892309"/>
    <w:rsid w:val="00894FC6"/>
    <w:rsid w:val="008A1FB5"/>
    <w:rsid w:val="008A5988"/>
    <w:rsid w:val="008A7E19"/>
    <w:rsid w:val="008B13FD"/>
    <w:rsid w:val="008B1EE0"/>
    <w:rsid w:val="008D2704"/>
    <w:rsid w:val="008D5B50"/>
    <w:rsid w:val="008D6D84"/>
    <w:rsid w:val="008E27C2"/>
    <w:rsid w:val="008F2337"/>
    <w:rsid w:val="00906160"/>
    <w:rsid w:val="009149B4"/>
    <w:rsid w:val="00915D2B"/>
    <w:rsid w:val="00916287"/>
    <w:rsid w:val="00923BA1"/>
    <w:rsid w:val="00926019"/>
    <w:rsid w:val="0095386E"/>
    <w:rsid w:val="00961835"/>
    <w:rsid w:val="00966CB0"/>
    <w:rsid w:val="009A0465"/>
    <w:rsid w:val="009E1BF9"/>
    <w:rsid w:val="009F34F2"/>
    <w:rsid w:val="009F35F4"/>
    <w:rsid w:val="00A154AA"/>
    <w:rsid w:val="00A25EB9"/>
    <w:rsid w:val="00A26120"/>
    <w:rsid w:val="00A372CD"/>
    <w:rsid w:val="00A41415"/>
    <w:rsid w:val="00A42ED5"/>
    <w:rsid w:val="00A45803"/>
    <w:rsid w:val="00A60440"/>
    <w:rsid w:val="00A623E8"/>
    <w:rsid w:val="00A66AC2"/>
    <w:rsid w:val="00A74996"/>
    <w:rsid w:val="00A90FE1"/>
    <w:rsid w:val="00A91DF3"/>
    <w:rsid w:val="00A9352F"/>
    <w:rsid w:val="00AA29E9"/>
    <w:rsid w:val="00AA4162"/>
    <w:rsid w:val="00AA6A14"/>
    <w:rsid w:val="00AB4C5C"/>
    <w:rsid w:val="00AB52B5"/>
    <w:rsid w:val="00AB6AAC"/>
    <w:rsid w:val="00AC0E84"/>
    <w:rsid w:val="00AC2591"/>
    <w:rsid w:val="00AD05F2"/>
    <w:rsid w:val="00AD1CBB"/>
    <w:rsid w:val="00AE246B"/>
    <w:rsid w:val="00AE4112"/>
    <w:rsid w:val="00AE515F"/>
    <w:rsid w:val="00AF1293"/>
    <w:rsid w:val="00AF3295"/>
    <w:rsid w:val="00B023E4"/>
    <w:rsid w:val="00B1619D"/>
    <w:rsid w:val="00B20B24"/>
    <w:rsid w:val="00B22B5C"/>
    <w:rsid w:val="00B306FD"/>
    <w:rsid w:val="00B35C45"/>
    <w:rsid w:val="00B54484"/>
    <w:rsid w:val="00B62E22"/>
    <w:rsid w:val="00B76342"/>
    <w:rsid w:val="00B76F1F"/>
    <w:rsid w:val="00B906BD"/>
    <w:rsid w:val="00B9261A"/>
    <w:rsid w:val="00B92EC6"/>
    <w:rsid w:val="00BA0C84"/>
    <w:rsid w:val="00BB253F"/>
    <w:rsid w:val="00BB374D"/>
    <w:rsid w:val="00BB6482"/>
    <w:rsid w:val="00BC29B8"/>
    <w:rsid w:val="00BC33A7"/>
    <w:rsid w:val="00BC7749"/>
    <w:rsid w:val="00BD26E7"/>
    <w:rsid w:val="00BD60B3"/>
    <w:rsid w:val="00BD7B11"/>
    <w:rsid w:val="00BE0BFA"/>
    <w:rsid w:val="00BF2645"/>
    <w:rsid w:val="00C03E21"/>
    <w:rsid w:val="00C05D66"/>
    <w:rsid w:val="00C13C12"/>
    <w:rsid w:val="00C13E6B"/>
    <w:rsid w:val="00C14576"/>
    <w:rsid w:val="00C2094E"/>
    <w:rsid w:val="00C23BB2"/>
    <w:rsid w:val="00C25F51"/>
    <w:rsid w:val="00C3269E"/>
    <w:rsid w:val="00C37C8A"/>
    <w:rsid w:val="00C4632A"/>
    <w:rsid w:val="00C5702F"/>
    <w:rsid w:val="00C60C80"/>
    <w:rsid w:val="00C6138C"/>
    <w:rsid w:val="00C63542"/>
    <w:rsid w:val="00C77525"/>
    <w:rsid w:val="00C844CA"/>
    <w:rsid w:val="00C930E4"/>
    <w:rsid w:val="00C976EA"/>
    <w:rsid w:val="00C97B3B"/>
    <w:rsid w:val="00C97EE4"/>
    <w:rsid w:val="00CA2E7A"/>
    <w:rsid w:val="00CC101E"/>
    <w:rsid w:val="00CC111E"/>
    <w:rsid w:val="00CC12C2"/>
    <w:rsid w:val="00CC313F"/>
    <w:rsid w:val="00CD2CA5"/>
    <w:rsid w:val="00CE322F"/>
    <w:rsid w:val="00CE5717"/>
    <w:rsid w:val="00CE6AD7"/>
    <w:rsid w:val="00CE7BA3"/>
    <w:rsid w:val="00CF1BE5"/>
    <w:rsid w:val="00CF4C2C"/>
    <w:rsid w:val="00D06C8A"/>
    <w:rsid w:val="00D15517"/>
    <w:rsid w:val="00D1651B"/>
    <w:rsid w:val="00D17C61"/>
    <w:rsid w:val="00D33828"/>
    <w:rsid w:val="00D42466"/>
    <w:rsid w:val="00D424DF"/>
    <w:rsid w:val="00D43711"/>
    <w:rsid w:val="00D57044"/>
    <w:rsid w:val="00D64773"/>
    <w:rsid w:val="00D6615B"/>
    <w:rsid w:val="00D94D1D"/>
    <w:rsid w:val="00DC119B"/>
    <w:rsid w:val="00DD27A3"/>
    <w:rsid w:val="00DE37AB"/>
    <w:rsid w:val="00DF0784"/>
    <w:rsid w:val="00DF7DC8"/>
    <w:rsid w:val="00E04D31"/>
    <w:rsid w:val="00E16B32"/>
    <w:rsid w:val="00E21D9A"/>
    <w:rsid w:val="00E24C98"/>
    <w:rsid w:val="00E41AF9"/>
    <w:rsid w:val="00E45588"/>
    <w:rsid w:val="00E53201"/>
    <w:rsid w:val="00E54BB0"/>
    <w:rsid w:val="00E72B77"/>
    <w:rsid w:val="00E77526"/>
    <w:rsid w:val="00E84224"/>
    <w:rsid w:val="00E85089"/>
    <w:rsid w:val="00E94558"/>
    <w:rsid w:val="00E97EF6"/>
    <w:rsid w:val="00EA1987"/>
    <w:rsid w:val="00EA25C4"/>
    <w:rsid w:val="00EA704E"/>
    <w:rsid w:val="00EB13F7"/>
    <w:rsid w:val="00EB24A7"/>
    <w:rsid w:val="00EB608F"/>
    <w:rsid w:val="00EB6EAD"/>
    <w:rsid w:val="00EC1441"/>
    <w:rsid w:val="00EC7C77"/>
    <w:rsid w:val="00ED762D"/>
    <w:rsid w:val="00EE4229"/>
    <w:rsid w:val="00EE659C"/>
    <w:rsid w:val="00F11BEB"/>
    <w:rsid w:val="00F12EAA"/>
    <w:rsid w:val="00F130E4"/>
    <w:rsid w:val="00F2406F"/>
    <w:rsid w:val="00F24F22"/>
    <w:rsid w:val="00F25CB8"/>
    <w:rsid w:val="00F27806"/>
    <w:rsid w:val="00F376F0"/>
    <w:rsid w:val="00F44360"/>
    <w:rsid w:val="00F45387"/>
    <w:rsid w:val="00F54D1B"/>
    <w:rsid w:val="00F550DB"/>
    <w:rsid w:val="00F66D0A"/>
    <w:rsid w:val="00F671A1"/>
    <w:rsid w:val="00F7051B"/>
    <w:rsid w:val="00F729E1"/>
    <w:rsid w:val="00F74F70"/>
    <w:rsid w:val="00F754F2"/>
    <w:rsid w:val="00F933DF"/>
    <w:rsid w:val="00F95B48"/>
    <w:rsid w:val="00FA7FB6"/>
    <w:rsid w:val="00FB12D7"/>
    <w:rsid w:val="00FD3BCF"/>
    <w:rsid w:val="00FD5060"/>
    <w:rsid w:val="00FD69E0"/>
    <w:rsid w:val="00FE2FD7"/>
    <w:rsid w:val="00FE4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5A12"/>
  <w15:docId w15:val="{119ACCCB-52A1-441E-A85B-233E3B12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B5C"/>
  </w:style>
  <w:style w:type="paragraph" w:styleId="Heading1">
    <w:name w:val="heading 1"/>
    <w:basedOn w:val="Normal"/>
    <w:next w:val="Normal"/>
    <w:link w:val="Heading1Char"/>
    <w:uiPriority w:val="99"/>
    <w:qFormat/>
    <w:rsid w:val="000A59BB"/>
    <w:pPr>
      <w:keepNext/>
      <w:spacing w:after="0" w:line="240" w:lineRule="auto"/>
      <w:outlineLvl w:val="0"/>
    </w:pPr>
    <w:rPr>
      <w:rFonts w:ascii="Times New Roman" w:eastAsia="Times New Roman" w:hAnsi="Times New Roman" w:cs="Times New Roman"/>
      <w:sz w:val="36"/>
      <w:szCs w:val="36"/>
      <w:lang w:val="en-GB" w:eastAsia="sv-SE"/>
    </w:rPr>
  </w:style>
  <w:style w:type="paragraph" w:styleId="Heading2">
    <w:name w:val="heading 2"/>
    <w:basedOn w:val="Normal"/>
    <w:next w:val="Normal"/>
    <w:link w:val="Heading2Char"/>
    <w:uiPriority w:val="99"/>
    <w:qFormat/>
    <w:rsid w:val="000A59BB"/>
    <w:pPr>
      <w:keepNext/>
      <w:spacing w:after="0" w:line="240" w:lineRule="auto"/>
      <w:outlineLvl w:val="1"/>
    </w:pPr>
    <w:rPr>
      <w:rFonts w:ascii="Times New Roman" w:eastAsia="Times New Roman" w:hAnsi="Times New Roman" w:cs="Times New Roman"/>
      <w:b/>
      <w:bCs/>
      <w:sz w:val="24"/>
      <w:szCs w:val="24"/>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729E1"/>
  </w:style>
  <w:style w:type="character" w:styleId="Hyperlink">
    <w:name w:val="Hyperlink"/>
    <w:basedOn w:val="DefaultParagraphFont"/>
    <w:uiPriority w:val="99"/>
    <w:unhideWhenUsed/>
    <w:rsid w:val="00C3269E"/>
    <w:rPr>
      <w:color w:val="0563C1" w:themeColor="hyperlink"/>
      <w:u w:val="single"/>
    </w:rPr>
  </w:style>
  <w:style w:type="character" w:styleId="UnresolvedMention">
    <w:name w:val="Unresolved Mention"/>
    <w:basedOn w:val="DefaultParagraphFont"/>
    <w:uiPriority w:val="99"/>
    <w:semiHidden/>
    <w:unhideWhenUsed/>
    <w:rsid w:val="00C3269E"/>
    <w:rPr>
      <w:color w:val="605E5C"/>
      <w:shd w:val="clear" w:color="auto" w:fill="E1DFDD"/>
    </w:rPr>
  </w:style>
  <w:style w:type="paragraph" w:styleId="ListParagraph">
    <w:name w:val="List Paragraph"/>
    <w:basedOn w:val="Normal"/>
    <w:uiPriority w:val="34"/>
    <w:qFormat/>
    <w:rsid w:val="003E5B38"/>
    <w:pPr>
      <w:ind w:left="720"/>
      <w:contextualSpacing/>
    </w:pPr>
  </w:style>
  <w:style w:type="table" w:styleId="TableGrid">
    <w:name w:val="Table Grid"/>
    <w:basedOn w:val="TableNormal"/>
    <w:uiPriority w:val="39"/>
    <w:rsid w:val="009E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9E9"/>
    <w:rPr>
      <w:sz w:val="16"/>
      <w:szCs w:val="16"/>
    </w:rPr>
  </w:style>
  <w:style w:type="paragraph" w:styleId="CommentText">
    <w:name w:val="annotation text"/>
    <w:basedOn w:val="Normal"/>
    <w:link w:val="CommentTextChar"/>
    <w:uiPriority w:val="99"/>
    <w:unhideWhenUsed/>
    <w:rsid w:val="00AA29E9"/>
    <w:pPr>
      <w:spacing w:line="240" w:lineRule="auto"/>
    </w:pPr>
    <w:rPr>
      <w:sz w:val="20"/>
      <w:szCs w:val="20"/>
    </w:rPr>
  </w:style>
  <w:style w:type="character" w:customStyle="1" w:styleId="CommentTextChar">
    <w:name w:val="Comment Text Char"/>
    <w:basedOn w:val="DefaultParagraphFont"/>
    <w:link w:val="CommentText"/>
    <w:uiPriority w:val="99"/>
    <w:rsid w:val="00AA29E9"/>
    <w:rPr>
      <w:sz w:val="20"/>
      <w:szCs w:val="20"/>
    </w:rPr>
  </w:style>
  <w:style w:type="paragraph" w:styleId="CommentSubject">
    <w:name w:val="annotation subject"/>
    <w:basedOn w:val="CommentText"/>
    <w:next w:val="CommentText"/>
    <w:link w:val="CommentSubjectChar"/>
    <w:uiPriority w:val="99"/>
    <w:semiHidden/>
    <w:unhideWhenUsed/>
    <w:rsid w:val="00AA29E9"/>
    <w:rPr>
      <w:b/>
      <w:bCs/>
    </w:rPr>
  </w:style>
  <w:style w:type="character" w:customStyle="1" w:styleId="CommentSubjectChar">
    <w:name w:val="Comment Subject Char"/>
    <w:basedOn w:val="CommentTextChar"/>
    <w:link w:val="CommentSubject"/>
    <w:uiPriority w:val="99"/>
    <w:semiHidden/>
    <w:rsid w:val="00AA29E9"/>
    <w:rPr>
      <w:b/>
      <w:bCs/>
      <w:sz w:val="20"/>
      <w:szCs w:val="20"/>
    </w:rPr>
  </w:style>
  <w:style w:type="paragraph" w:styleId="BalloonText">
    <w:name w:val="Balloon Text"/>
    <w:basedOn w:val="Normal"/>
    <w:link w:val="BalloonTextChar"/>
    <w:uiPriority w:val="99"/>
    <w:semiHidden/>
    <w:unhideWhenUsed/>
    <w:rsid w:val="00AA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E9"/>
    <w:rPr>
      <w:rFonts w:ascii="Segoe UI" w:hAnsi="Segoe UI" w:cs="Segoe UI"/>
      <w:sz w:val="18"/>
      <w:szCs w:val="18"/>
    </w:rPr>
  </w:style>
  <w:style w:type="character" w:customStyle="1" w:styleId="Heading2Char">
    <w:name w:val="Heading 2 Char"/>
    <w:basedOn w:val="DefaultParagraphFont"/>
    <w:link w:val="Heading2"/>
    <w:uiPriority w:val="99"/>
    <w:rsid w:val="000A59BB"/>
    <w:rPr>
      <w:rFonts w:ascii="Times New Roman" w:eastAsia="Times New Roman" w:hAnsi="Times New Roman" w:cs="Times New Roman"/>
      <w:b/>
      <w:bCs/>
      <w:sz w:val="24"/>
      <w:szCs w:val="24"/>
      <w:lang w:val="en-GB" w:eastAsia="sv-SE"/>
    </w:rPr>
  </w:style>
  <w:style w:type="character" w:customStyle="1" w:styleId="Heading1Char">
    <w:name w:val="Heading 1 Char"/>
    <w:basedOn w:val="DefaultParagraphFont"/>
    <w:link w:val="Heading1"/>
    <w:uiPriority w:val="99"/>
    <w:rsid w:val="000A59BB"/>
    <w:rPr>
      <w:rFonts w:ascii="Times New Roman" w:eastAsia="Times New Roman" w:hAnsi="Times New Roman" w:cs="Times New Roman"/>
      <w:sz w:val="36"/>
      <w:szCs w:val="36"/>
      <w:lang w:val="en-GB" w:eastAsia="sv-SE"/>
    </w:rPr>
  </w:style>
  <w:style w:type="paragraph" w:styleId="Revision">
    <w:name w:val="Revision"/>
    <w:hidden/>
    <w:uiPriority w:val="99"/>
    <w:semiHidden/>
    <w:rsid w:val="00105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872">
      <w:bodyDiv w:val="1"/>
      <w:marLeft w:val="0"/>
      <w:marRight w:val="0"/>
      <w:marTop w:val="0"/>
      <w:marBottom w:val="0"/>
      <w:divBdr>
        <w:top w:val="none" w:sz="0" w:space="0" w:color="auto"/>
        <w:left w:val="none" w:sz="0" w:space="0" w:color="auto"/>
        <w:bottom w:val="none" w:sz="0" w:space="0" w:color="auto"/>
        <w:right w:val="none" w:sz="0" w:space="0" w:color="auto"/>
      </w:divBdr>
    </w:div>
    <w:div w:id="753281224">
      <w:bodyDiv w:val="1"/>
      <w:marLeft w:val="0"/>
      <w:marRight w:val="0"/>
      <w:marTop w:val="0"/>
      <w:marBottom w:val="0"/>
      <w:divBdr>
        <w:top w:val="none" w:sz="0" w:space="0" w:color="auto"/>
        <w:left w:val="none" w:sz="0" w:space="0" w:color="auto"/>
        <w:bottom w:val="none" w:sz="0" w:space="0" w:color="auto"/>
        <w:right w:val="none" w:sz="0" w:space="0" w:color="auto"/>
      </w:divBdr>
    </w:div>
    <w:div w:id="1480416369">
      <w:bodyDiv w:val="1"/>
      <w:marLeft w:val="0"/>
      <w:marRight w:val="0"/>
      <w:marTop w:val="0"/>
      <w:marBottom w:val="0"/>
      <w:divBdr>
        <w:top w:val="none" w:sz="0" w:space="0" w:color="auto"/>
        <w:left w:val="none" w:sz="0" w:space="0" w:color="auto"/>
        <w:bottom w:val="none" w:sz="0" w:space="0" w:color="auto"/>
        <w:right w:val="none" w:sz="0" w:space="0" w:color="auto"/>
      </w:divBdr>
    </w:div>
    <w:div w:id="178107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Nunito"/>
        <a:ea typeface=""/>
        <a:cs typeface=""/>
      </a:majorFont>
      <a:minorFont>
        <a:latin typeface="Nuni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06FB-1D7B-4469-8B82-998CA6C6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3621</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 Halevi</dc:creator>
  <cp:keywords/>
  <dc:description/>
  <cp:lastModifiedBy>Gali Halevi</cp:lastModifiedBy>
  <cp:revision>4</cp:revision>
  <dcterms:created xsi:type="dcterms:W3CDTF">2023-04-20T08:06:00Z</dcterms:created>
  <dcterms:modified xsi:type="dcterms:W3CDTF">2023-04-20T09:43:00Z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id="HmiP1vKq"/&gt;&lt;style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