
<file path=[Content_Types].xml><?xml version="1.0" encoding="utf-8"?>
<Types xmlns="http://schemas.openxmlformats.org/package/2006/content-types">
  <Default Extension="emf" ContentType="image/x-emf"/>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7.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3A8523C0" w:rsidR="00AD6D2D" w:rsidRPr="00542798" w:rsidRDefault="00A81CFD" w:rsidP="00542798">
      <w:pPr>
        <w:pStyle w:val="berschrift1"/>
        <w:jc w:val="center"/>
      </w:pPr>
      <w:r>
        <w:t>The Field-Specificity of Open Data Practices</w:t>
      </w:r>
    </w:p>
    <w:p w14:paraId="1448DA63" w14:textId="77777777" w:rsidR="00AD6D2D" w:rsidRPr="00AD6D2D" w:rsidRDefault="00AD6D2D" w:rsidP="00542798">
      <w:pPr>
        <w:jc w:val="center"/>
      </w:pPr>
    </w:p>
    <w:p w14:paraId="49EED032" w14:textId="58646057" w:rsidR="00AD6D2D" w:rsidRPr="00AD6D2D" w:rsidRDefault="00A81CFD" w:rsidP="00542798">
      <w:pPr>
        <w:jc w:val="center"/>
      </w:pPr>
      <w:r>
        <w:t>Velden, Theresa</w:t>
      </w:r>
      <w:r w:rsidR="00AD6D2D" w:rsidRPr="00AD6D2D">
        <w:rPr>
          <w:vertAlign w:val="superscript"/>
        </w:rPr>
        <w:t>*</w:t>
      </w:r>
      <w:r w:rsidR="00AB6EAD">
        <w:t xml:space="preserve"> &amp;</w:t>
      </w:r>
      <w:r w:rsidR="00AD6D2D" w:rsidRPr="00AD6D2D">
        <w:t xml:space="preserve"> </w:t>
      </w:r>
      <w:r w:rsidR="00B94FD6">
        <w:t>Tcypina, Anastasiia</w:t>
      </w:r>
      <w:r w:rsidR="00AD6D2D" w:rsidRPr="00AD6D2D">
        <w:rPr>
          <w:vertAlign w:val="superscript"/>
        </w:rPr>
        <w:t>**</w:t>
      </w:r>
      <w:r w:rsidR="00AD6D2D" w:rsidRPr="00AD6D2D">
        <w:t xml:space="preserve"> </w:t>
      </w:r>
    </w:p>
    <w:p w14:paraId="69B5EBE6" w14:textId="77777777" w:rsidR="00AD6D2D" w:rsidRPr="00AD6D2D" w:rsidRDefault="00AD6D2D" w:rsidP="00542798">
      <w:pPr>
        <w:jc w:val="center"/>
        <w:rPr>
          <w:sz w:val="20"/>
          <w:szCs w:val="20"/>
        </w:rPr>
      </w:pPr>
    </w:p>
    <w:p w14:paraId="7900CBB6" w14:textId="2E940BD7" w:rsidR="00F03FDC" w:rsidRPr="00AD6D2D" w:rsidRDefault="00AD6D2D" w:rsidP="00F03FDC">
      <w:pPr>
        <w:jc w:val="center"/>
        <w:rPr>
          <w:sz w:val="20"/>
          <w:szCs w:val="20"/>
        </w:rPr>
      </w:pPr>
      <w:r w:rsidRPr="00AD6D2D">
        <w:rPr>
          <w:sz w:val="20"/>
          <w:szCs w:val="20"/>
          <w:vertAlign w:val="superscript"/>
        </w:rPr>
        <w:t>*</w:t>
      </w:r>
      <w:r w:rsidR="00B90527">
        <w:rPr>
          <w:i/>
          <w:iCs/>
          <w:sz w:val="20"/>
          <w:szCs w:val="20"/>
        </w:rPr>
        <w:t>velden@dzhw.eu</w:t>
      </w:r>
      <w:r w:rsidR="00F03FDC">
        <w:rPr>
          <w:i/>
          <w:iCs/>
          <w:sz w:val="20"/>
          <w:szCs w:val="20"/>
        </w:rPr>
        <w:t xml:space="preserve">, </w:t>
      </w:r>
      <w:r w:rsidR="00F03FDC" w:rsidRPr="00AD6D2D">
        <w:rPr>
          <w:sz w:val="20"/>
          <w:szCs w:val="20"/>
          <w:vertAlign w:val="superscript"/>
        </w:rPr>
        <w:t>**</w:t>
      </w:r>
      <w:r w:rsidR="00F03FDC" w:rsidRPr="00AD6D2D">
        <w:rPr>
          <w:i/>
          <w:iCs/>
          <w:sz w:val="20"/>
          <w:szCs w:val="20"/>
        </w:rPr>
        <w:t xml:space="preserve"> </w:t>
      </w:r>
      <w:r w:rsidR="00F03FDC">
        <w:rPr>
          <w:i/>
          <w:iCs/>
          <w:sz w:val="20"/>
          <w:szCs w:val="20"/>
        </w:rPr>
        <w:t>tcypina</w:t>
      </w:r>
      <w:r w:rsidR="00F03FDC" w:rsidRPr="00AD6D2D">
        <w:rPr>
          <w:i/>
          <w:iCs/>
          <w:sz w:val="20"/>
          <w:szCs w:val="20"/>
        </w:rPr>
        <w:t>@</w:t>
      </w:r>
      <w:r w:rsidR="00F03FDC">
        <w:rPr>
          <w:i/>
          <w:iCs/>
          <w:sz w:val="20"/>
          <w:szCs w:val="20"/>
        </w:rPr>
        <w:t>dzhw.eu</w:t>
      </w:r>
    </w:p>
    <w:p w14:paraId="2E4117DF" w14:textId="77777777" w:rsidR="00B90859" w:rsidRDefault="00B90859" w:rsidP="00542798">
      <w:pPr>
        <w:jc w:val="center"/>
        <w:rPr>
          <w:sz w:val="20"/>
          <w:szCs w:val="20"/>
        </w:rPr>
      </w:pPr>
    </w:p>
    <w:p w14:paraId="744ED62A" w14:textId="01121876" w:rsidR="00AD6D2D" w:rsidRPr="00AD6D2D" w:rsidRDefault="00B90527" w:rsidP="00542798">
      <w:pPr>
        <w:jc w:val="center"/>
        <w:rPr>
          <w:sz w:val="20"/>
          <w:szCs w:val="20"/>
        </w:rPr>
      </w:pPr>
      <w:r>
        <w:rPr>
          <w:sz w:val="20"/>
          <w:szCs w:val="20"/>
        </w:rPr>
        <w:t xml:space="preserve">Department for </w:t>
      </w:r>
      <w:r w:rsidRPr="00B90527">
        <w:rPr>
          <w:sz w:val="20"/>
          <w:szCs w:val="20"/>
        </w:rPr>
        <w:t>Research System and Science Dynamics</w:t>
      </w:r>
      <w:r w:rsidR="00AD6D2D" w:rsidRPr="00AD6D2D">
        <w:rPr>
          <w:sz w:val="20"/>
          <w:szCs w:val="20"/>
        </w:rPr>
        <w:t xml:space="preserve">, </w:t>
      </w:r>
      <w:r>
        <w:rPr>
          <w:sz w:val="20"/>
          <w:szCs w:val="20"/>
        </w:rPr>
        <w:t>DZHW, Germany</w:t>
      </w:r>
    </w:p>
    <w:p w14:paraId="18EAD8F9" w14:textId="77777777" w:rsidR="008168F4" w:rsidRPr="00D96243" w:rsidRDefault="008168F4" w:rsidP="00F03FDC"/>
    <w:p w14:paraId="3E4B0D14" w14:textId="77777777" w:rsidR="00B94FD6" w:rsidRDefault="00B94FD6" w:rsidP="00F01925"/>
    <w:p w14:paraId="5FB558FA" w14:textId="0F892E7F" w:rsidR="00CB15AC" w:rsidRPr="00CB15AC" w:rsidRDefault="003A343F" w:rsidP="00DE3565">
      <w:pPr>
        <w:jc w:val="both"/>
        <w:rPr>
          <w:sz w:val="20"/>
          <w:szCs w:val="20"/>
        </w:rPr>
      </w:pPr>
      <w:r w:rsidRPr="003A343F">
        <w:rPr>
          <w:b/>
          <w:bCs/>
          <w:sz w:val="20"/>
          <w:szCs w:val="20"/>
        </w:rPr>
        <w:t>Abstract:</w:t>
      </w:r>
      <w:r>
        <w:rPr>
          <w:sz w:val="20"/>
          <w:szCs w:val="20"/>
        </w:rPr>
        <w:t xml:space="preserve"> </w:t>
      </w:r>
      <w:r w:rsidR="001E36E4">
        <w:rPr>
          <w:sz w:val="20"/>
          <w:szCs w:val="20"/>
        </w:rPr>
        <w:t>Increasingly, r</w:t>
      </w:r>
      <w:r w:rsidR="004D2CDE">
        <w:rPr>
          <w:sz w:val="20"/>
          <w:szCs w:val="20"/>
        </w:rPr>
        <w:t>esearchers are expected to make their research data openly available</w:t>
      </w:r>
      <w:r w:rsidR="008A3080">
        <w:rPr>
          <w:sz w:val="20"/>
          <w:szCs w:val="20"/>
        </w:rPr>
        <w:t xml:space="preserve">. </w:t>
      </w:r>
      <w:r w:rsidR="004D2CDE">
        <w:rPr>
          <w:sz w:val="20"/>
          <w:szCs w:val="20"/>
        </w:rPr>
        <w:t xml:space="preserve">However, scientific fields differ in their </w:t>
      </w:r>
      <w:r w:rsidR="00081AEB">
        <w:rPr>
          <w:sz w:val="20"/>
          <w:szCs w:val="20"/>
        </w:rPr>
        <w:t>research</w:t>
      </w:r>
      <w:r w:rsidR="004D2CDE">
        <w:rPr>
          <w:sz w:val="20"/>
          <w:szCs w:val="20"/>
        </w:rPr>
        <w:t xml:space="preserve"> practices</w:t>
      </w:r>
      <w:r w:rsidR="0025504A">
        <w:rPr>
          <w:sz w:val="20"/>
          <w:szCs w:val="20"/>
        </w:rPr>
        <w:t xml:space="preserve"> and norms </w:t>
      </w:r>
      <w:r w:rsidR="008A3080">
        <w:rPr>
          <w:sz w:val="20"/>
          <w:szCs w:val="20"/>
        </w:rPr>
        <w:t>for</w:t>
      </w:r>
      <w:r w:rsidR="004D2CDE">
        <w:rPr>
          <w:sz w:val="20"/>
          <w:szCs w:val="20"/>
        </w:rPr>
        <w:t xml:space="preserve"> sharing research data</w:t>
      </w:r>
      <w:r w:rsidR="0025504A">
        <w:rPr>
          <w:sz w:val="20"/>
          <w:szCs w:val="20"/>
        </w:rPr>
        <w:t xml:space="preserve"> publicly</w:t>
      </w:r>
      <w:r w:rsidR="004D2CDE">
        <w:rPr>
          <w:sz w:val="20"/>
          <w:szCs w:val="20"/>
        </w:rPr>
        <w:t xml:space="preserve">. </w:t>
      </w:r>
      <w:r w:rsidR="00302E3B">
        <w:rPr>
          <w:sz w:val="20"/>
          <w:szCs w:val="20"/>
        </w:rPr>
        <w:t>W</w:t>
      </w:r>
      <w:r w:rsidR="008A3080" w:rsidRPr="00306947">
        <w:rPr>
          <w:sz w:val="20"/>
          <w:szCs w:val="20"/>
        </w:rPr>
        <w:t>e</w:t>
      </w:r>
      <w:r w:rsidR="008A3080">
        <w:rPr>
          <w:sz w:val="20"/>
          <w:szCs w:val="20"/>
        </w:rPr>
        <w:t xml:space="preserve"> provide</w:t>
      </w:r>
      <w:r w:rsidR="004D2CDE">
        <w:rPr>
          <w:sz w:val="20"/>
          <w:szCs w:val="20"/>
        </w:rPr>
        <w:t xml:space="preserve"> </w:t>
      </w:r>
      <w:r w:rsidR="00793033">
        <w:rPr>
          <w:sz w:val="20"/>
          <w:szCs w:val="20"/>
        </w:rPr>
        <w:t xml:space="preserve">quantitative </w:t>
      </w:r>
      <w:r w:rsidR="002D49A0">
        <w:rPr>
          <w:sz w:val="20"/>
          <w:szCs w:val="20"/>
        </w:rPr>
        <w:t>evidence</w:t>
      </w:r>
      <w:r w:rsidR="004D2CDE">
        <w:rPr>
          <w:sz w:val="20"/>
          <w:szCs w:val="20"/>
        </w:rPr>
        <w:t xml:space="preserve"> of differences in data practices and the public sharing of research data </w:t>
      </w:r>
      <w:r w:rsidR="003F6176">
        <w:rPr>
          <w:sz w:val="20"/>
          <w:szCs w:val="20"/>
        </w:rPr>
        <w:t>at a gr</w:t>
      </w:r>
      <w:r w:rsidR="00BA1F80">
        <w:rPr>
          <w:sz w:val="20"/>
          <w:szCs w:val="20"/>
        </w:rPr>
        <w:t xml:space="preserve">anularity of field-specificity </w:t>
      </w:r>
      <w:r w:rsidR="003F6176">
        <w:rPr>
          <w:sz w:val="20"/>
          <w:szCs w:val="20"/>
        </w:rPr>
        <w:t>that is rarely reported in open data surveys</w:t>
      </w:r>
      <w:r w:rsidR="008A3080">
        <w:rPr>
          <w:sz w:val="20"/>
          <w:szCs w:val="20"/>
        </w:rPr>
        <w:t xml:space="preserve">. </w:t>
      </w:r>
      <w:r w:rsidR="00302E3B">
        <w:rPr>
          <w:sz w:val="20"/>
          <w:szCs w:val="20"/>
        </w:rPr>
        <w:t>Based on a survey of 8,822</w:t>
      </w:r>
      <w:r w:rsidR="00302E3B" w:rsidRPr="00302E3B">
        <w:rPr>
          <w:sz w:val="20"/>
          <w:szCs w:val="20"/>
        </w:rPr>
        <w:t xml:space="preserve"> </w:t>
      </w:r>
      <w:r w:rsidR="00302E3B" w:rsidRPr="00306947">
        <w:rPr>
          <w:sz w:val="20"/>
          <w:szCs w:val="20"/>
        </w:rPr>
        <w:t xml:space="preserve">researchers at German Universities, </w:t>
      </w:r>
      <w:r w:rsidR="004A0782">
        <w:rPr>
          <w:sz w:val="20"/>
          <w:szCs w:val="20"/>
        </w:rPr>
        <w:t>we find</w:t>
      </w:r>
      <w:r w:rsidR="006E51AD">
        <w:rPr>
          <w:sz w:val="20"/>
          <w:szCs w:val="20"/>
        </w:rPr>
        <w:t xml:space="preserve"> considerable variation</w:t>
      </w:r>
      <w:r w:rsidR="002806AF">
        <w:rPr>
          <w:sz w:val="20"/>
          <w:szCs w:val="20"/>
        </w:rPr>
        <w:t>,</w:t>
      </w:r>
      <w:r w:rsidR="006E51AD">
        <w:rPr>
          <w:sz w:val="20"/>
          <w:szCs w:val="20"/>
        </w:rPr>
        <w:t xml:space="preserve"> </w:t>
      </w:r>
      <w:r w:rsidR="002806AF">
        <w:rPr>
          <w:sz w:val="20"/>
          <w:szCs w:val="20"/>
        </w:rPr>
        <w:t xml:space="preserve">within and across disciplines, </w:t>
      </w:r>
      <w:r w:rsidR="001E36E4">
        <w:rPr>
          <w:sz w:val="20"/>
          <w:szCs w:val="20"/>
        </w:rPr>
        <w:t xml:space="preserve">of data practices </w:t>
      </w:r>
      <w:r w:rsidR="00FC4DE3">
        <w:rPr>
          <w:sz w:val="20"/>
          <w:szCs w:val="20"/>
        </w:rPr>
        <w:t>and rates of open data sharing</w:t>
      </w:r>
      <w:r w:rsidR="00857CB0">
        <w:rPr>
          <w:sz w:val="20"/>
          <w:szCs w:val="20"/>
        </w:rPr>
        <w:t>.</w:t>
      </w:r>
      <w:r w:rsidR="00A67E4A">
        <w:rPr>
          <w:sz w:val="20"/>
          <w:szCs w:val="20"/>
        </w:rPr>
        <w:t xml:space="preserve"> </w:t>
      </w:r>
      <w:r w:rsidR="0025504A">
        <w:rPr>
          <w:sz w:val="20"/>
          <w:szCs w:val="20"/>
        </w:rPr>
        <w:t xml:space="preserve">For experimentally oriented </w:t>
      </w:r>
      <w:r w:rsidR="005E3EE6">
        <w:rPr>
          <w:sz w:val="20"/>
          <w:szCs w:val="20"/>
        </w:rPr>
        <w:t>subject area</w:t>
      </w:r>
      <w:r w:rsidR="0025504A">
        <w:rPr>
          <w:sz w:val="20"/>
          <w:szCs w:val="20"/>
        </w:rPr>
        <w:t>s we</w:t>
      </w:r>
      <w:r w:rsidR="00DE3565">
        <w:rPr>
          <w:sz w:val="20"/>
          <w:szCs w:val="20"/>
        </w:rPr>
        <w:t xml:space="preserve"> further </w:t>
      </w:r>
      <w:r w:rsidR="0025504A">
        <w:rPr>
          <w:sz w:val="20"/>
          <w:szCs w:val="20"/>
        </w:rPr>
        <w:t>observe a</w:t>
      </w:r>
      <w:r w:rsidR="00081AEB">
        <w:rPr>
          <w:sz w:val="20"/>
          <w:szCs w:val="20"/>
        </w:rPr>
        <w:t xml:space="preserve"> </w:t>
      </w:r>
      <w:r w:rsidR="00FC4DE3">
        <w:rPr>
          <w:sz w:val="20"/>
          <w:szCs w:val="20"/>
        </w:rPr>
        <w:t xml:space="preserve">relationship between </w:t>
      </w:r>
      <w:r w:rsidR="003E1389">
        <w:rPr>
          <w:sz w:val="20"/>
          <w:szCs w:val="20"/>
        </w:rPr>
        <w:t>data self-sufficiency</w:t>
      </w:r>
      <w:r w:rsidR="0025504A">
        <w:rPr>
          <w:sz w:val="20"/>
          <w:szCs w:val="20"/>
        </w:rPr>
        <w:t xml:space="preserve"> and public data sharing which likely reflects </w:t>
      </w:r>
      <w:r w:rsidR="002806AF">
        <w:rPr>
          <w:sz w:val="20"/>
          <w:szCs w:val="20"/>
        </w:rPr>
        <w:t>a</w:t>
      </w:r>
      <w:r w:rsidR="0025504A">
        <w:rPr>
          <w:sz w:val="20"/>
          <w:szCs w:val="20"/>
        </w:rPr>
        <w:t xml:space="preserve"> link between </w:t>
      </w:r>
      <w:r w:rsidR="004A0782">
        <w:rPr>
          <w:sz w:val="20"/>
          <w:szCs w:val="20"/>
        </w:rPr>
        <w:t xml:space="preserve">data sharing and the epistemic specificity of data. </w:t>
      </w:r>
      <w:r w:rsidR="0025504A">
        <w:rPr>
          <w:sz w:val="20"/>
          <w:szCs w:val="20"/>
        </w:rPr>
        <w:t xml:space="preserve">Our findings underline </w:t>
      </w:r>
      <w:r w:rsidR="00DE3565">
        <w:rPr>
          <w:sz w:val="20"/>
          <w:szCs w:val="20"/>
        </w:rPr>
        <w:t xml:space="preserve">that </w:t>
      </w:r>
      <w:r w:rsidR="002806AF">
        <w:rPr>
          <w:sz w:val="20"/>
          <w:szCs w:val="20"/>
        </w:rPr>
        <w:t xml:space="preserve">in order </w:t>
      </w:r>
      <w:r w:rsidR="00DE3565">
        <w:rPr>
          <w:sz w:val="20"/>
          <w:szCs w:val="20"/>
        </w:rPr>
        <w:t xml:space="preserve">to </w:t>
      </w:r>
      <w:r w:rsidR="00040E55">
        <w:rPr>
          <w:sz w:val="20"/>
          <w:szCs w:val="20"/>
        </w:rPr>
        <w:t xml:space="preserve">quantitively </w:t>
      </w:r>
      <w:r w:rsidR="002806AF">
        <w:rPr>
          <w:sz w:val="20"/>
          <w:szCs w:val="20"/>
        </w:rPr>
        <w:t>assess and evaluate</w:t>
      </w:r>
      <w:r w:rsidR="00DE3565">
        <w:rPr>
          <w:sz w:val="20"/>
          <w:szCs w:val="20"/>
        </w:rPr>
        <w:t xml:space="preserve"> </w:t>
      </w:r>
      <w:r w:rsidR="009616A6">
        <w:rPr>
          <w:sz w:val="20"/>
          <w:szCs w:val="20"/>
        </w:rPr>
        <w:t>rates of public data sharing</w:t>
      </w:r>
      <w:r w:rsidR="00DE3565">
        <w:rPr>
          <w:sz w:val="20"/>
          <w:szCs w:val="20"/>
        </w:rPr>
        <w:t xml:space="preserve">, a better understanding of the embedding of </w:t>
      </w:r>
      <w:r w:rsidR="00BA2E6A">
        <w:rPr>
          <w:sz w:val="20"/>
          <w:szCs w:val="20"/>
        </w:rPr>
        <w:t>public data sharing</w:t>
      </w:r>
      <w:r w:rsidR="00DE3565">
        <w:rPr>
          <w:sz w:val="20"/>
          <w:szCs w:val="20"/>
        </w:rPr>
        <w:t xml:space="preserve"> into field-specific research practices is needed. </w:t>
      </w:r>
    </w:p>
    <w:p w14:paraId="26F746EB" w14:textId="77777777" w:rsidR="00CB15AC" w:rsidRPr="00D96243" w:rsidRDefault="00CB15AC" w:rsidP="00CB15AC">
      <w:pPr>
        <w:jc w:val="both"/>
      </w:pPr>
    </w:p>
    <w:p w14:paraId="02C61035" w14:textId="77777777" w:rsidR="008168F4" w:rsidRPr="00D96243" w:rsidRDefault="000C25AF">
      <w:pPr>
        <w:pStyle w:val="berschrift2"/>
        <w:jc w:val="both"/>
      </w:pPr>
      <w:r w:rsidRPr="00D96243">
        <w:t xml:space="preserve">1. </w:t>
      </w:r>
      <w:r w:rsidR="008168F4" w:rsidRPr="00D96243">
        <w:t>Introduction</w:t>
      </w:r>
    </w:p>
    <w:p w14:paraId="58D4814C" w14:textId="77777777" w:rsidR="00E03487" w:rsidRDefault="00E03487">
      <w:pPr>
        <w:jc w:val="both"/>
        <w:rPr>
          <w:iCs/>
        </w:rPr>
      </w:pPr>
    </w:p>
    <w:p w14:paraId="2D8E44B0" w14:textId="2EF0DC33" w:rsidR="00673D47" w:rsidRDefault="004A0782" w:rsidP="004A0782">
      <w:pPr>
        <w:jc w:val="both"/>
        <w:rPr>
          <w:iCs/>
          <w:lang w:val="en-US"/>
        </w:rPr>
      </w:pPr>
      <w:r>
        <w:rPr>
          <w:iCs/>
          <w:lang w:val="en-US"/>
        </w:rPr>
        <w:t>The public sharing of research data is not a new phenomen</w:t>
      </w:r>
      <w:r w:rsidR="00415838">
        <w:rPr>
          <w:iCs/>
          <w:lang w:val="en-US"/>
        </w:rPr>
        <w:t>on.</w:t>
      </w:r>
      <w:r>
        <w:rPr>
          <w:iCs/>
          <w:lang w:val="en-US"/>
        </w:rPr>
        <w:t xml:space="preserve"> </w:t>
      </w:r>
      <w:r w:rsidR="00415838">
        <w:rPr>
          <w:iCs/>
          <w:lang w:val="en-US"/>
        </w:rPr>
        <w:t>For example, star catalogues have been</w:t>
      </w:r>
      <w:r>
        <w:rPr>
          <w:iCs/>
          <w:lang w:val="en-US"/>
        </w:rPr>
        <w:t xml:space="preserve"> </w:t>
      </w:r>
      <w:r w:rsidR="00E23341">
        <w:rPr>
          <w:iCs/>
          <w:lang w:val="en-US"/>
        </w:rPr>
        <w:t>publicly shar</w:t>
      </w:r>
      <w:r>
        <w:rPr>
          <w:iCs/>
          <w:lang w:val="en-US"/>
        </w:rPr>
        <w:t>ed by astronomers since ancient times</w:t>
      </w:r>
      <w:r w:rsidR="00415838">
        <w:rPr>
          <w:iCs/>
          <w:lang w:val="en-US"/>
        </w:rPr>
        <w:t xml:space="preserve">, enabling </w:t>
      </w:r>
      <w:r w:rsidR="000B34D5">
        <w:rPr>
          <w:iCs/>
          <w:lang w:val="en-US"/>
        </w:rPr>
        <w:t xml:space="preserve">scientific </w:t>
      </w:r>
      <w:r w:rsidR="009F549C">
        <w:rPr>
          <w:iCs/>
          <w:lang w:val="en-US"/>
        </w:rPr>
        <w:t xml:space="preserve">discoveries, such as the </w:t>
      </w:r>
      <w:r w:rsidR="00A40613">
        <w:rPr>
          <w:iCs/>
          <w:lang w:val="en-US"/>
        </w:rPr>
        <w:t xml:space="preserve">discovery of the </w:t>
      </w:r>
      <w:r w:rsidR="009F549C">
        <w:rPr>
          <w:iCs/>
          <w:lang w:val="en-US"/>
        </w:rPr>
        <w:t xml:space="preserve">precession of the </w:t>
      </w:r>
      <w:proofErr w:type="spellStart"/>
      <w:r w:rsidR="009F549C">
        <w:rPr>
          <w:iCs/>
          <w:lang w:val="en-US"/>
        </w:rPr>
        <w:t>epinox</w:t>
      </w:r>
      <w:proofErr w:type="spellEnd"/>
      <w:r w:rsidR="009F549C">
        <w:rPr>
          <w:iCs/>
          <w:lang w:val="en-US"/>
        </w:rPr>
        <w:t xml:space="preserve"> </w:t>
      </w:r>
      <w:r w:rsidR="00BB2691">
        <w:rPr>
          <w:iCs/>
          <w:lang w:val="en-US"/>
        </w:rPr>
        <w:t xml:space="preserve">by </w:t>
      </w:r>
      <w:proofErr w:type="spellStart"/>
      <w:r w:rsidR="00673D47">
        <w:rPr>
          <w:iCs/>
          <w:lang w:val="en-US"/>
        </w:rPr>
        <w:t>Hipparch</w:t>
      </w:r>
      <w:proofErr w:type="spellEnd"/>
      <w:r w:rsidR="00673D47">
        <w:rPr>
          <w:iCs/>
          <w:lang w:val="en-US"/>
        </w:rPr>
        <w:t xml:space="preserve"> in the </w:t>
      </w:r>
      <w:r w:rsidR="009F549C">
        <w:rPr>
          <w:iCs/>
          <w:lang w:val="en-US"/>
        </w:rPr>
        <w:t>2</w:t>
      </w:r>
      <w:r w:rsidR="009F549C" w:rsidRPr="009F549C">
        <w:rPr>
          <w:iCs/>
          <w:vertAlign w:val="superscript"/>
          <w:lang w:val="en-US"/>
        </w:rPr>
        <w:t>nd</w:t>
      </w:r>
      <w:r w:rsidR="009F549C">
        <w:rPr>
          <w:iCs/>
          <w:lang w:val="en-US"/>
        </w:rPr>
        <w:t xml:space="preserve"> </w:t>
      </w:r>
      <w:r w:rsidR="00673D47">
        <w:rPr>
          <w:iCs/>
          <w:lang w:val="en-US"/>
        </w:rPr>
        <w:t xml:space="preserve">century </w:t>
      </w:r>
      <w:r w:rsidR="009F549C">
        <w:rPr>
          <w:iCs/>
          <w:lang w:val="en-US"/>
        </w:rPr>
        <w:t>B</w:t>
      </w:r>
      <w:r w:rsidR="00673D47">
        <w:rPr>
          <w:iCs/>
          <w:lang w:val="en-US"/>
        </w:rPr>
        <w:t>.</w:t>
      </w:r>
      <w:r w:rsidR="009F549C">
        <w:rPr>
          <w:iCs/>
          <w:lang w:val="en-US"/>
        </w:rPr>
        <w:t>C.</w:t>
      </w:r>
      <w:r w:rsidR="00673D47">
        <w:rPr>
          <w:iCs/>
          <w:lang w:val="en-US"/>
        </w:rPr>
        <w:t xml:space="preserve"> </w:t>
      </w:r>
      <w:r w:rsidR="000B34D5">
        <w:rPr>
          <w:iCs/>
          <w:lang w:val="en-US"/>
        </w:rPr>
        <w:t>(</w:t>
      </w:r>
      <w:r w:rsidR="00BB2691">
        <w:rPr>
          <w:iCs/>
          <w:lang w:val="en-US"/>
        </w:rPr>
        <w:t>Goldstein &amp; Bowen 1991</w:t>
      </w:r>
      <w:r w:rsidR="000B34D5">
        <w:rPr>
          <w:iCs/>
          <w:lang w:val="en-US"/>
        </w:rPr>
        <w:t>)</w:t>
      </w:r>
      <w:r>
        <w:rPr>
          <w:iCs/>
          <w:lang w:val="en-US"/>
        </w:rPr>
        <w:t>. With di</w:t>
      </w:r>
      <w:r w:rsidR="00415838">
        <w:rPr>
          <w:iCs/>
          <w:lang w:val="en-US"/>
        </w:rPr>
        <w:t>g</w:t>
      </w:r>
      <w:r>
        <w:rPr>
          <w:iCs/>
          <w:lang w:val="en-US"/>
        </w:rPr>
        <w:t>itization</w:t>
      </w:r>
      <w:r w:rsidR="00415838">
        <w:rPr>
          <w:iCs/>
          <w:lang w:val="en-US"/>
        </w:rPr>
        <w:t xml:space="preserve"> </w:t>
      </w:r>
      <w:r>
        <w:rPr>
          <w:iCs/>
          <w:lang w:val="en-US"/>
        </w:rPr>
        <w:t>and the advance of the Intern</w:t>
      </w:r>
      <w:r w:rsidR="00415838">
        <w:rPr>
          <w:iCs/>
          <w:lang w:val="en-US"/>
        </w:rPr>
        <w:t>e</w:t>
      </w:r>
      <w:r>
        <w:rPr>
          <w:iCs/>
          <w:lang w:val="en-US"/>
        </w:rPr>
        <w:t xml:space="preserve">t, </w:t>
      </w:r>
      <w:r w:rsidR="00415838">
        <w:rPr>
          <w:iCs/>
          <w:lang w:val="en-US"/>
        </w:rPr>
        <w:t>the technical capabilities to make research data widely available have vastly increased</w:t>
      </w:r>
      <w:r w:rsidR="00BB2691">
        <w:rPr>
          <w:iCs/>
          <w:lang w:val="en-US"/>
        </w:rPr>
        <w:t xml:space="preserve">, </w:t>
      </w:r>
      <w:r w:rsidR="00040E55">
        <w:rPr>
          <w:iCs/>
          <w:lang w:val="en-US"/>
        </w:rPr>
        <w:t>triggering a movement to make</w:t>
      </w:r>
      <w:r w:rsidR="008357D4">
        <w:rPr>
          <w:iCs/>
          <w:lang w:val="en-US"/>
        </w:rPr>
        <w:t xml:space="preserve"> </w:t>
      </w:r>
      <w:r w:rsidR="00A40613">
        <w:rPr>
          <w:iCs/>
          <w:lang w:val="en-US"/>
        </w:rPr>
        <w:t>the public sharing of research data</w:t>
      </w:r>
      <w:r w:rsidR="008357D4">
        <w:t xml:space="preserve"> </w:t>
      </w:r>
      <w:r w:rsidR="00040E55">
        <w:t>a new standard for publicly funded research</w:t>
      </w:r>
      <w:r w:rsidR="00415838">
        <w:t xml:space="preserve"> </w:t>
      </w:r>
      <w:r w:rsidR="00DB158E">
        <w:t>(</w:t>
      </w:r>
      <w:proofErr w:type="spellStart"/>
      <w:r w:rsidR="00415838">
        <w:t>Kroes</w:t>
      </w:r>
      <w:proofErr w:type="spellEnd"/>
      <w:r w:rsidR="00415838">
        <w:t xml:space="preserve">, 2012; </w:t>
      </w:r>
      <w:proofErr w:type="spellStart"/>
      <w:r w:rsidR="00415838">
        <w:t>Holdren</w:t>
      </w:r>
      <w:proofErr w:type="spellEnd"/>
      <w:r w:rsidR="00415838">
        <w:t xml:space="preserve"> 2013; OECD 2015; CNRS 2016; </w:t>
      </w:r>
      <w:proofErr w:type="spellStart"/>
      <w:r w:rsidR="00415838">
        <w:t>Wellcome</w:t>
      </w:r>
      <w:proofErr w:type="spellEnd"/>
      <w:r w:rsidR="00415838">
        <w:t xml:space="preserve"> 2017, Commission Recommendation (EU) 2018, G6 2021)</w:t>
      </w:r>
      <w:r w:rsidR="005E3EE6">
        <w:rPr>
          <w:iCs/>
        </w:rPr>
        <w:t>.</w:t>
      </w:r>
      <w:r w:rsidR="005E3EE6">
        <w:rPr>
          <w:iCs/>
          <w:lang w:val="en-US"/>
        </w:rPr>
        <w:t xml:space="preserve"> </w:t>
      </w:r>
    </w:p>
    <w:p w14:paraId="50834299" w14:textId="77777777" w:rsidR="00673D47" w:rsidRDefault="00673D47" w:rsidP="004A0782">
      <w:pPr>
        <w:jc w:val="both"/>
        <w:rPr>
          <w:iCs/>
          <w:lang w:val="en-US"/>
        </w:rPr>
      </w:pPr>
    </w:p>
    <w:p w14:paraId="549B73B1" w14:textId="25AF2A2C" w:rsidR="00E23341" w:rsidRDefault="008357D4" w:rsidP="004A0782">
      <w:pPr>
        <w:jc w:val="both"/>
        <w:rPr>
          <w:iCs/>
          <w:lang w:val="en-US"/>
        </w:rPr>
      </w:pPr>
      <w:r>
        <w:rPr>
          <w:iCs/>
          <w:lang w:val="en-US"/>
        </w:rPr>
        <w:t xml:space="preserve">To inform research policy and other stakeholders about the state of public data sharing, </w:t>
      </w:r>
      <w:r w:rsidR="005E3EE6">
        <w:rPr>
          <w:iCs/>
          <w:lang w:val="en-US"/>
        </w:rPr>
        <w:t>a growing number of survey studies has sought to quantify th</w:t>
      </w:r>
      <w:r w:rsidR="00BB2691">
        <w:rPr>
          <w:iCs/>
          <w:lang w:val="en-US"/>
        </w:rPr>
        <w:t xml:space="preserve">e extent to which researchers embrace </w:t>
      </w:r>
      <w:r w:rsidR="00E23341">
        <w:rPr>
          <w:iCs/>
          <w:lang w:val="en-US"/>
        </w:rPr>
        <w:t xml:space="preserve">the idea of public </w:t>
      </w:r>
      <w:r w:rsidR="00811B80">
        <w:rPr>
          <w:iCs/>
          <w:lang w:val="en-US"/>
        </w:rPr>
        <w:t>sharing and</w:t>
      </w:r>
      <w:r w:rsidR="00E23341">
        <w:rPr>
          <w:iCs/>
          <w:lang w:val="en-US"/>
        </w:rPr>
        <w:t xml:space="preserve"> </w:t>
      </w:r>
      <w:r w:rsidR="00BB2691">
        <w:rPr>
          <w:iCs/>
          <w:lang w:val="en-US"/>
        </w:rPr>
        <w:t>follow suit in their practices</w:t>
      </w:r>
      <w:r w:rsidR="00F97305">
        <w:rPr>
          <w:iCs/>
          <w:lang w:val="en-US"/>
        </w:rPr>
        <w:t xml:space="preserve">. </w:t>
      </w:r>
      <w:r w:rsidR="009E7522">
        <w:rPr>
          <w:iCs/>
          <w:lang w:val="en-US"/>
        </w:rPr>
        <w:t>However, the c</w:t>
      </w:r>
      <w:r w:rsidR="00B82D1C">
        <w:rPr>
          <w:iCs/>
          <w:lang w:val="en-US"/>
        </w:rPr>
        <w:t>overage in term</w:t>
      </w:r>
      <w:r w:rsidR="00E23341">
        <w:rPr>
          <w:iCs/>
          <w:lang w:val="en-US"/>
        </w:rPr>
        <w:t>s</w:t>
      </w:r>
      <w:r w:rsidR="00B82D1C">
        <w:rPr>
          <w:iCs/>
          <w:lang w:val="en-US"/>
        </w:rPr>
        <w:t xml:space="preserve"> of disciplines</w:t>
      </w:r>
      <w:r w:rsidR="00E23341">
        <w:rPr>
          <w:iCs/>
          <w:lang w:val="en-US"/>
        </w:rPr>
        <w:t xml:space="preserve"> and countries as well as</w:t>
      </w:r>
      <w:r w:rsidR="00B82D1C">
        <w:rPr>
          <w:iCs/>
          <w:lang w:val="en-US"/>
        </w:rPr>
        <w:t xml:space="preserve"> </w:t>
      </w:r>
      <w:r w:rsidR="00E23341">
        <w:rPr>
          <w:iCs/>
          <w:lang w:val="en-US"/>
        </w:rPr>
        <w:t xml:space="preserve">sample sizes differ widely between </w:t>
      </w:r>
      <w:r w:rsidR="00F8419B">
        <w:rPr>
          <w:iCs/>
          <w:lang w:val="en-US"/>
        </w:rPr>
        <w:t>these survey studies</w:t>
      </w:r>
      <w:r w:rsidR="00E23341">
        <w:rPr>
          <w:iCs/>
          <w:lang w:val="en-US"/>
        </w:rPr>
        <w:t xml:space="preserve">, as do the ways in which the phenomenon of sharing </w:t>
      </w:r>
      <w:r w:rsidR="00F8419B">
        <w:rPr>
          <w:iCs/>
          <w:lang w:val="en-US"/>
        </w:rPr>
        <w:t xml:space="preserve">research data </w:t>
      </w:r>
      <w:r w:rsidR="00E23341">
        <w:rPr>
          <w:iCs/>
          <w:lang w:val="en-US"/>
        </w:rPr>
        <w:t xml:space="preserve">is operationalized. </w:t>
      </w:r>
      <w:r w:rsidR="00F97305">
        <w:rPr>
          <w:iCs/>
          <w:lang w:val="en-US"/>
        </w:rPr>
        <w:t>Consequently</w:t>
      </w:r>
      <w:r w:rsidR="00481F17">
        <w:rPr>
          <w:iCs/>
          <w:lang w:val="en-US"/>
        </w:rPr>
        <w:t xml:space="preserve">, the empirical evidence about </w:t>
      </w:r>
      <w:r>
        <w:rPr>
          <w:iCs/>
          <w:lang w:val="en-US"/>
        </w:rPr>
        <w:t>different forms o</w:t>
      </w:r>
      <w:r w:rsidR="00481F17">
        <w:rPr>
          <w:iCs/>
          <w:lang w:val="en-US"/>
        </w:rPr>
        <w:t xml:space="preserve">f sharing, </w:t>
      </w:r>
      <w:r>
        <w:rPr>
          <w:iCs/>
          <w:lang w:val="en-US"/>
        </w:rPr>
        <w:t>across</w:t>
      </w:r>
      <w:r w:rsidR="00481F17">
        <w:rPr>
          <w:iCs/>
          <w:lang w:val="en-US"/>
        </w:rPr>
        <w:t xml:space="preserve"> disciplinary or (inter)national context</w:t>
      </w:r>
      <w:r>
        <w:rPr>
          <w:iCs/>
          <w:lang w:val="en-US"/>
        </w:rPr>
        <w:t>s,</w:t>
      </w:r>
      <w:r w:rsidR="00481F17">
        <w:rPr>
          <w:iCs/>
          <w:lang w:val="en-US"/>
        </w:rPr>
        <w:t xml:space="preserve"> is still sketchy. Some </w:t>
      </w:r>
      <w:r w:rsidR="009E7522">
        <w:rPr>
          <w:iCs/>
          <w:lang w:val="en-US"/>
        </w:rPr>
        <w:t>general</w:t>
      </w:r>
      <w:r w:rsidR="00481F17">
        <w:rPr>
          <w:iCs/>
          <w:lang w:val="en-US"/>
        </w:rPr>
        <w:t xml:space="preserve"> </w:t>
      </w:r>
      <w:r>
        <w:rPr>
          <w:iCs/>
          <w:lang w:val="en-US"/>
        </w:rPr>
        <w:t>trends</w:t>
      </w:r>
      <w:r w:rsidR="00481F17">
        <w:rPr>
          <w:iCs/>
          <w:lang w:val="en-US"/>
        </w:rPr>
        <w:t xml:space="preserve"> </w:t>
      </w:r>
      <w:r w:rsidR="00BA2E6A">
        <w:rPr>
          <w:iCs/>
          <w:lang w:val="en-US"/>
        </w:rPr>
        <w:t>a</w:t>
      </w:r>
      <w:r w:rsidR="00481F17">
        <w:rPr>
          <w:iCs/>
          <w:lang w:val="en-US"/>
        </w:rPr>
        <w:t>bout the state of data sharing</w:t>
      </w:r>
      <w:r w:rsidR="00BA2E6A">
        <w:rPr>
          <w:iCs/>
          <w:lang w:val="en-US"/>
        </w:rPr>
        <w:t>, however,</w:t>
      </w:r>
      <w:r w:rsidR="00E3367F">
        <w:rPr>
          <w:iCs/>
          <w:lang w:val="en-US"/>
        </w:rPr>
        <w:t xml:space="preserve"> </w:t>
      </w:r>
      <w:r w:rsidR="00481F17">
        <w:rPr>
          <w:iCs/>
          <w:lang w:val="en-US"/>
        </w:rPr>
        <w:t>seem fairly well supported: that there exists a gap between support for the idea of public data sharing, and actual practice</w:t>
      </w:r>
      <w:r w:rsidR="00BA2E6A">
        <w:rPr>
          <w:iCs/>
          <w:lang w:val="en-US"/>
        </w:rPr>
        <w:t xml:space="preserve"> (</w:t>
      </w:r>
      <w:r w:rsidR="00E3367F">
        <w:t xml:space="preserve">e.g. </w:t>
      </w:r>
      <w:r w:rsidR="00F97305">
        <w:t xml:space="preserve">Ambrasat &amp; Heger 2020, </w:t>
      </w:r>
      <w:r w:rsidR="00E3367F">
        <w:t xml:space="preserve">Zhu 2020, </w:t>
      </w:r>
      <w:proofErr w:type="spellStart"/>
      <w:r w:rsidR="00E3367F">
        <w:t>Tenopir</w:t>
      </w:r>
      <w:proofErr w:type="spellEnd"/>
      <w:r w:rsidR="00E3367F">
        <w:t xml:space="preserve"> 2020, Nicholas et al. 2020, </w:t>
      </w:r>
      <w:proofErr w:type="spellStart"/>
      <w:r w:rsidR="00E3367F">
        <w:t>Fecher</w:t>
      </w:r>
      <w:proofErr w:type="spellEnd"/>
      <w:r w:rsidR="00E3367F">
        <w:t xml:space="preserve"> 2017)</w:t>
      </w:r>
      <w:r w:rsidR="00481F17">
        <w:rPr>
          <w:iCs/>
          <w:lang w:val="en-US"/>
        </w:rPr>
        <w:t xml:space="preserve">, and that a number of hindrances exist that </w:t>
      </w:r>
      <w:r w:rsidR="00F8419B">
        <w:rPr>
          <w:iCs/>
          <w:lang w:val="en-US"/>
        </w:rPr>
        <w:t>either</w:t>
      </w:r>
      <w:r w:rsidR="00543D08">
        <w:rPr>
          <w:iCs/>
          <w:lang w:val="en-US"/>
        </w:rPr>
        <w:t xml:space="preserve"> delay or </w:t>
      </w:r>
      <w:r w:rsidR="00F8419B">
        <w:rPr>
          <w:iCs/>
          <w:lang w:val="en-US"/>
        </w:rPr>
        <w:t xml:space="preserve">entirely </w:t>
      </w:r>
      <w:r w:rsidR="00543D08">
        <w:rPr>
          <w:iCs/>
          <w:lang w:val="en-US"/>
        </w:rPr>
        <w:t>prevent the public sharing of data, such as the effort involved in preparing data for sharing, the sensitivity of data,</w:t>
      </w:r>
      <w:r w:rsidR="00BA2E6A">
        <w:rPr>
          <w:iCs/>
          <w:lang w:val="en-US"/>
        </w:rPr>
        <w:t xml:space="preserve"> or </w:t>
      </w:r>
      <w:r w:rsidR="00543D08">
        <w:rPr>
          <w:iCs/>
          <w:lang w:val="en-US"/>
        </w:rPr>
        <w:t xml:space="preserve">concerns </w:t>
      </w:r>
      <w:r w:rsidR="00BA2E6A">
        <w:rPr>
          <w:iCs/>
          <w:lang w:val="en-US"/>
        </w:rPr>
        <w:t xml:space="preserve">about a lack of control over the (re)use of the data </w:t>
      </w:r>
      <w:r w:rsidR="00F8419B">
        <w:rPr>
          <w:iCs/>
          <w:lang w:val="en-US"/>
        </w:rPr>
        <w:t xml:space="preserve">by others </w:t>
      </w:r>
      <w:r w:rsidR="00BA2E6A">
        <w:rPr>
          <w:iCs/>
          <w:lang w:val="en-US"/>
        </w:rPr>
        <w:t>(</w:t>
      </w:r>
      <w:r w:rsidR="00E3367F">
        <w:t xml:space="preserve">see e.g. </w:t>
      </w:r>
      <w:r w:rsidR="00F97305">
        <w:t xml:space="preserve">Campbell et al. 2002, </w:t>
      </w:r>
      <w:proofErr w:type="spellStart"/>
      <w:r w:rsidR="00E3367F">
        <w:t>Tenopir</w:t>
      </w:r>
      <w:proofErr w:type="spellEnd"/>
      <w:r w:rsidR="00E3367F">
        <w:t xml:space="preserve"> 2011, 2015, 2020, Zhu 2020, Nicholas et al. 2020, Aleixandre-</w:t>
      </w:r>
      <w:proofErr w:type="spellStart"/>
      <w:r w:rsidR="00E3367F">
        <w:t>Benavent</w:t>
      </w:r>
      <w:proofErr w:type="spellEnd"/>
      <w:r w:rsidR="00E3367F">
        <w:t xml:space="preserve"> 2020</w:t>
      </w:r>
      <w:r w:rsidR="00BA2E6A">
        <w:rPr>
          <w:iCs/>
          <w:lang w:val="en-US"/>
        </w:rPr>
        <w:t xml:space="preserve">). </w:t>
      </w:r>
    </w:p>
    <w:p w14:paraId="6694CCAF" w14:textId="77777777" w:rsidR="00E23341" w:rsidRDefault="00E23341" w:rsidP="004A0782">
      <w:pPr>
        <w:jc w:val="both"/>
        <w:rPr>
          <w:iCs/>
          <w:lang w:val="en-US"/>
        </w:rPr>
      </w:pPr>
    </w:p>
    <w:p w14:paraId="3792ADB2" w14:textId="2BA27C31" w:rsidR="0003300B" w:rsidRDefault="00040E55" w:rsidP="004A0782">
      <w:pPr>
        <w:jc w:val="both"/>
        <w:rPr>
          <w:iCs/>
          <w:lang w:val="en-US"/>
        </w:rPr>
      </w:pPr>
      <w:r>
        <w:rPr>
          <w:iCs/>
          <w:lang w:val="en-US"/>
        </w:rPr>
        <w:t>The</w:t>
      </w:r>
      <w:r w:rsidR="00E23341">
        <w:rPr>
          <w:iCs/>
          <w:lang w:val="en-US"/>
        </w:rPr>
        <w:t xml:space="preserve"> degree to which sharing practices differ between disciplines and research fields</w:t>
      </w:r>
      <w:r>
        <w:rPr>
          <w:iCs/>
          <w:lang w:val="en-US"/>
        </w:rPr>
        <w:t>, however, have received only scant attention</w:t>
      </w:r>
      <w:r w:rsidR="00E23341">
        <w:rPr>
          <w:iCs/>
          <w:lang w:val="en-US"/>
        </w:rPr>
        <w:t>. Whereas most sur</w:t>
      </w:r>
      <w:r w:rsidR="00481F17">
        <w:rPr>
          <w:iCs/>
          <w:lang w:val="en-US"/>
        </w:rPr>
        <w:t>v</w:t>
      </w:r>
      <w:r w:rsidR="00E23341">
        <w:rPr>
          <w:iCs/>
          <w:lang w:val="en-US"/>
        </w:rPr>
        <w:t>eys apply some sort</w:t>
      </w:r>
      <w:r w:rsidR="00BA2E6A">
        <w:rPr>
          <w:iCs/>
          <w:lang w:val="en-US"/>
        </w:rPr>
        <w:t xml:space="preserve"> of field classification</w:t>
      </w:r>
      <w:r w:rsidR="00E23341">
        <w:rPr>
          <w:iCs/>
          <w:lang w:val="en-US"/>
        </w:rPr>
        <w:t xml:space="preserve">, </w:t>
      </w:r>
      <w:r w:rsidR="009A4408">
        <w:rPr>
          <w:iCs/>
          <w:lang w:val="en-US"/>
        </w:rPr>
        <w:t>most</w:t>
      </w:r>
      <w:r w:rsidR="00E23341">
        <w:rPr>
          <w:iCs/>
          <w:lang w:val="en-US"/>
        </w:rPr>
        <w:t xml:space="preserve"> </w:t>
      </w:r>
      <w:r w:rsidR="00A5653C">
        <w:rPr>
          <w:iCs/>
          <w:lang w:val="en-US"/>
        </w:rPr>
        <w:t xml:space="preserve">multidisciplinary surveys </w:t>
      </w:r>
      <w:r w:rsidR="00E23341">
        <w:rPr>
          <w:iCs/>
          <w:lang w:val="en-US"/>
        </w:rPr>
        <w:t xml:space="preserve">use </w:t>
      </w:r>
      <w:r w:rsidR="00A5653C">
        <w:rPr>
          <w:iCs/>
          <w:lang w:val="en-US"/>
        </w:rPr>
        <w:t xml:space="preserve">rather coarse </w:t>
      </w:r>
      <w:r w:rsidR="00A5653C" w:rsidRPr="00D4488E">
        <w:rPr>
          <w:iCs/>
          <w:lang w:val="en-US"/>
        </w:rPr>
        <w:t xml:space="preserve">classifications </w:t>
      </w:r>
      <w:r w:rsidR="009E7522" w:rsidRPr="00D4488E">
        <w:rPr>
          <w:iCs/>
          <w:lang w:val="en-US"/>
        </w:rPr>
        <w:t>(</w:t>
      </w:r>
      <w:r w:rsidR="00D4488E">
        <w:rPr>
          <w:iCs/>
          <w:lang w:val="en-US"/>
        </w:rPr>
        <w:t xml:space="preserve">e.g. </w:t>
      </w:r>
      <w:proofErr w:type="spellStart"/>
      <w:r w:rsidR="004428F7" w:rsidRPr="00D4488E">
        <w:rPr>
          <w:iCs/>
          <w:lang w:val="en-US"/>
        </w:rPr>
        <w:t>Goodey</w:t>
      </w:r>
      <w:proofErr w:type="spellEnd"/>
      <w:r w:rsidR="004428F7" w:rsidRPr="00D4488E">
        <w:rPr>
          <w:iCs/>
          <w:lang w:val="en-US"/>
        </w:rPr>
        <w:t xml:space="preserve"> 2022, </w:t>
      </w:r>
      <w:r w:rsidR="00807934" w:rsidRPr="00D4488E">
        <w:rPr>
          <w:iCs/>
          <w:lang w:val="en-US"/>
        </w:rPr>
        <w:t xml:space="preserve">Stuart et al. 2018, </w:t>
      </w:r>
      <w:proofErr w:type="spellStart"/>
      <w:r w:rsidR="00D4488E">
        <w:rPr>
          <w:iCs/>
          <w:lang w:val="en-US"/>
        </w:rPr>
        <w:t>Fecher</w:t>
      </w:r>
      <w:proofErr w:type="spellEnd"/>
      <w:r w:rsidR="00D4488E">
        <w:rPr>
          <w:iCs/>
          <w:lang w:val="en-US"/>
        </w:rPr>
        <w:t xml:space="preserve"> et al. 2017</w:t>
      </w:r>
      <w:r w:rsidR="009E7522" w:rsidRPr="00D4488E">
        <w:rPr>
          <w:iCs/>
          <w:lang w:val="en-US"/>
        </w:rPr>
        <w:t>)</w:t>
      </w:r>
      <w:r w:rsidR="009E7522">
        <w:rPr>
          <w:iCs/>
          <w:lang w:val="en-US"/>
        </w:rPr>
        <w:t xml:space="preserve"> </w:t>
      </w:r>
      <w:r w:rsidR="009C3320">
        <w:rPr>
          <w:iCs/>
          <w:lang w:val="en-US"/>
        </w:rPr>
        <w:t xml:space="preserve">or </w:t>
      </w:r>
      <w:r w:rsidR="00A5653C">
        <w:rPr>
          <w:iCs/>
          <w:lang w:val="en-US"/>
        </w:rPr>
        <w:t xml:space="preserve">use </w:t>
      </w:r>
      <w:r w:rsidR="00E23341">
        <w:rPr>
          <w:iCs/>
          <w:lang w:val="en-US"/>
        </w:rPr>
        <w:t xml:space="preserve">this information </w:t>
      </w:r>
      <w:r w:rsidR="009A4408">
        <w:rPr>
          <w:iCs/>
          <w:lang w:val="en-US"/>
        </w:rPr>
        <w:t>merely to describe</w:t>
      </w:r>
      <w:r w:rsidR="00E23341">
        <w:rPr>
          <w:iCs/>
          <w:lang w:val="en-US"/>
        </w:rPr>
        <w:t xml:space="preserve"> the overall composition of</w:t>
      </w:r>
      <w:r w:rsidR="00BA2E6A">
        <w:rPr>
          <w:iCs/>
          <w:lang w:val="en-US"/>
        </w:rPr>
        <w:t xml:space="preserve"> their sample</w:t>
      </w:r>
      <w:r w:rsidR="009C736C">
        <w:rPr>
          <w:iCs/>
          <w:lang w:val="en-US"/>
        </w:rPr>
        <w:t xml:space="preserve"> rather than a systematic analysis of field differences </w:t>
      </w:r>
      <w:r w:rsidR="00BA2E6A">
        <w:rPr>
          <w:iCs/>
          <w:lang w:val="en-US"/>
        </w:rPr>
        <w:t xml:space="preserve">(e.g. </w:t>
      </w:r>
      <w:r w:rsidR="004C02F6">
        <w:rPr>
          <w:iCs/>
          <w:lang w:val="en-US"/>
        </w:rPr>
        <w:t>Aleixandre-</w:t>
      </w:r>
      <w:proofErr w:type="spellStart"/>
      <w:r w:rsidR="004C02F6">
        <w:rPr>
          <w:iCs/>
          <w:lang w:val="en-US"/>
        </w:rPr>
        <w:t>Benavent</w:t>
      </w:r>
      <w:proofErr w:type="spellEnd"/>
      <w:r w:rsidR="004C02F6">
        <w:rPr>
          <w:iCs/>
          <w:lang w:val="en-US"/>
        </w:rPr>
        <w:t xml:space="preserve"> et al. 2020; Choi &amp; Lee 2020</w:t>
      </w:r>
      <w:r w:rsidR="00BA2E6A">
        <w:rPr>
          <w:iCs/>
          <w:lang w:val="en-US"/>
        </w:rPr>
        <w:t>).</w:t>
      </w:r>
      <w:r w:rsidR="00E23341">
        <w:rPr>
          <w:iCs/>
          <w:lang w:val="en-US"/>
        </w:rPr>
        <w:t xml:space="preserve"> </w:t>
      </w:r>
      <w:r w:rsidR="00481F17">
        <w:rPr>
          <w:iCs/>
          <w:lang w:val="en-US"/>
        </w:rPr>
        <w:t>A rare ex</w:t>
      </w:r>
      <w:r w:rsidR="00BA2E6A">
        <w:rPr>
          <w:iCs/>
          <w:lang w:val="en-US"/>
        </w:rPr>
        <w:t>c</w:t>
      </w:r>
      <w:r w:rsidR="00481F17">
        <w:rPr>
          <w:iCs/>
          <w:lang w:val="en-US"/>
        </w:rPr>
        <w:t>e</w:t>
      </w:r>
      <w:r w:rsidR="00BA2E6A">
        <w:rPr>
          <w:iCs/>
          <w:lang w:val="en-US"/>
        </w:rPr>
        <w:t>p</w:t>
      </w:r>
      <w:r w:rsidR="00481F17">
        <w:rPr>
          <w:iCs/>
          <w:lang w:val="en-US"/>
        </w:rPr>
        <w:t xml:space="preserve">tion are the studies by </w:t>
      </w:r>
      <w:proofErr w:type="spellStart"/>
      <w:r w:rsidR="00BA2E6A">
        <w:rPr>
          <w:iCs/>
          <w:lang w:val="en-US"/>
        </w:rPr>
        <w:t>Thursby</w:t>
      </w:r>
      <w:proofErr w:type="spellEnd"/>
      <w:r w:rsidR="00BA2E6A">
        <w:rPr>
          <w:iCs/>
          <w:lang w:val="en-US"/>
        </w:rPr>
        <w:t xml:space="preserve"> et al.</w:t>
      </w:r>
      <w:r w:rsidR="0020211C">
        <w:rPr>
          <w:iCs/>
          <w:lang w:val="en-US"/>
        </w:rPr>
        <w:t xml:space="preserve"> </w:t>
      </w:r>
      <w:r w:rsidR="0030475F">
        <w:rPr>
          <w:iCs/>
          <w:lang w:val="en-US"/>
        </w:rPr>
        <w:t>(</w:t>
      </w:r>
      <w:r w:rsidR="0020211C">
        <w:rPr>
          <w:iCs/>
          <w:lang w:val="en-US"/>
        </w:rPr>
        <w:t>2018</w:t>
      </w:r>
      <w:r w:rsidR="0030475F">
        <w:rPr>
          <w:iCs/>
          <w:lang w:val="en-US"/>
        </w:rPr>
        <w:t>)</w:t>
      </w:r>
      <w:r w:rsidR="00BA2E6A">
        <w:rPr>
          <w:iCs/>
          <w:lang w:val="en-US"/>
        </w:rPr>
        <w:t xml:space="preserve"> </w:t>
      </w:r>
      <w:r w:rsidR="0020211C">
        <w:rPr>
          <w:iCs/>
          <w:lang w:val="en-US"/>
        </w:rPr>
        <w:t>on pre-publication disclosure of results</w:t>
      </w:r>
      <w:r w:rsidR="00F8419B">
        <w:rPr>
          <w:iCs/>
          <w:lang w:val="en-US"/>
        </w:rPr>
        <w:t>,</w:t>
      </w:r>
      <w:r w:rsidR="0020211C">
        <w:rPr>
          <w:iCs/>
          <w:lang w:val="en-US"/>
        </w:rPr>
        <w:t xml:space="preserve"> </w:t>
      </w:r>
      <w:r w:rsidR="00BA2E6A">
        <w:rPr>
          <w:iCs/>
          <w:lang w:val="en-US"/>
        </w:rPr>
        <w:t>and Kim &amp; Stanton</w:t>
      </w:r>
      <w:r w:rsidR="0020211C">
        <w:rPr>
          <w:iCs/>
          <w:lang w:val="en-US"/>
        </w:rPr>
        <w:t xml:space="preserve"> </w:t>
      </w:r>
      <w:r w:rsidR="0030475F">
        <w:rPr>
          <w:iCs/>
          <w:lang w:val="en-US"/>
        </w:rPr>
        <w:t>(</w:t>
      </w:r>
      <w:r w:rsidR="0020211C">
        <w:rPr>
          <w:iCs/>
          <w:lang w:val="en-US"/>
        </w:rPr>
        <w:t>2012</w:t>
      </w:r>
      <w:r w:rsidR="0030475F">
        <w:rPr>
          <w:iCs/>
          <w:lang w:val="en-US"/>
        </w:rPr>
        <w:t>)</w:t>
      </w:r>
      <w:r w:rsidR="0020211C">
        <w:rPr>
          <w:iCs/>
          <w:lang w:val="en-US"/>
        </w:rPr>
        <w:t xml:space="preserve"> on </w:t>
      </w:r>
      <w:r w:rsidR="0020211C">
        <w:rPr>
          <w:iCs/>
          <w:lang w:val="en-US"/>
        </w:rPr>
        <w:lastRenderedPageBreak/>
        <w:t>public sharing of research data u</w:t>
      </w:r>
      <w:r w:rsidR="00CD4632">
        <w:rPr>
          <w:iCs/>
          <w:lang w:val="en-US"/>
        </w:rPr>
        <w:t xml:space="preserve">pon publication of results. </w:t>
      </w:r>
      <w:r w:rsidR="000E45D9">
        <w:rPr>
          <w:iCs/>
          <w:lang w:val="en-US"/>
        </w:rPr>
        <w:t>Their statistical analysis confirms the existence of field differences in rates of sharing, and b</w:t>
      </w:r>
      <w:r w:rsidR="00CD4632">
        <w:rPr>
          <w:iCs/>
          <w:lang w:val="en-US"/>
        </w:rPr>
        <w:t xml:space="preserve">oth studies agree </w:t>
      </w:r>
      <w:r w:rsidR="005A156C">
        <w:rPr>
          <w:iCs/>
          <w:lang w:val="en-US"/>
        </w:rPr>
        <w:t xml:space="preserve">that the </w:t>
      </w:r>
      <w:r>
        <w:rPr>
          <w:iCs/>
          <w:lang w:val="en-US"/>
        </w:rPr>
        <w:t>strength</w:t>
      </w:r>
      <w:r w:rsidR="005A156C">
        <w:rPr>
          <w:iCs/>
          <w:lang w:val="en-US"/>
        </w:rPr>
        <w:t xml:space="preserve"> of sharing-supporting norms in a field correlate</w:t>
      </w:r>
      <w:r w:rsidR="00CD4632">
        <w:rPr>
          <w:iCs/>
          <w:lang w:val="en-US"/>
        </w:rPr>
        <w:t>s</w:t>
      </w:r>
      <w:r w:rsidR="005A156C">
        <w:rPr>
          <w:iCs/>
          <w:lang w:val="en-US"/>
        </w:rPr>
        <w:t xml:space="preserve"> with the reported sharing</w:t>
      </w:r>
      <w:r w:rsidR="00CD4632">
        <w:rPr>
          <w:iCs/>
          <w:lang w:val="en-US"/>
        </w:rPr>
        <w:t xml:space="preserve">. </w:t>
      </w:r>
      <w:r w:rsidR="00393E95">
        <w:rPr>
          <w:iCs/>
          <w:lang w:val="en-US"/>
        </w:rPr>
        <w:t>However, n</w:t>
      </w:r>
      <w:r w:rsidR="00F8419B">
        <w:rPr>
          <w:iCs/>
          <w:lang w:val="en-US"/>
        </w:rPr>
        <w:t>either study examines</w:t>
      </w:r>
      <w:r w:rsidR="00CD4632">
        <w:rPr>
          <w:iCs/>
          <w:lang w:val="en-US"/>
        </w:rPr>
        <w:t xml:space="preserve"> the underlying reasons why </w:t>
      </w:r>
      <w:r w:rsidR="00F8419B">
        <w:rPr>
          <w:iCs/>
          <w:lang w:val="en-US"/>
        </w:rPr>
        <w:t xml:space="preserve">sharing supporting norms </w:t>
      </w:r>
      <w:r w:rsidR="00F97305">
        <w:rPr>
          <w:iCs/>
          <w:lang w:val="en-US"/>
        </w:rPr>
        <w:t xml:space="preserve">emerge more strongly </w:t>
      </w:r>
      <w:r w:rsidR="00393E95">
        <w:rPr>
          <w:iCs/>
          <w:lang w:val="en-US"/>
        </w:rPr>
        <w:t xml:space="preserve">in some fields </w:t>
      </w:r>
      <w:r w:rsidR="00F97305">
        <w:rPr>
          <w:iCs/>
          <w:lang w:val="en-US"/>
        </w:rPr>
        <w:t>than in others</w:t>
      </w:r>
      <w:r w:rsidR="0003300B">
        <w:rPr>
          <w:iCs/>
          <w:lang w:val="en-US"/>
        </w:rPr>
        <w:t>.</w:t>
      </w:r>
      <w:r w:rsidR="00882409">
        <w:rPr>
          <w:iCs/>
          <w:lang w:val="en-US"/>
        </w:rPr>
        <w:t xml:space="preserve"> </w:t>
      </w:r>
    </w:p>
    <w:p w14:paraId="536B3EBE" w14:textId="77777777" w:rsidR="0003300B" w:rsidRDefault="0003300B" w:rsidP="004A0782">
      <w:pPr>
        <w:jc w:val="both"/>
        <w:rPr>
          <w:iCs/>
          <w:lang w:val="en-US"/>
        </w:rPr>
      </w:pPr>
    </w:p>
    <w:p w14:paraId="78CBB80F" w14:textId="2DF87C10" w:rsidR="00C72C6D" w:rsidRDefault="003E34BA" w:rsidP="000818C5">
      <w:pPr>
        <w:jc w:val="both"/>
        <w:rPr>
          <w:iCs/>
          <w:lang w:val="en-US"/>
        </w:rPr>
      </w:pPr>
      <w:r>
        <w:rPr>
          <w:iCs/>
          <w:lang w:val="en-US"/>
        </w:rPr>
        <w:t>One</w:t>
      </w:r>
      <w:r w:rsidR="000818C5" w:rsidRPr="000818C5">
        <w:rPr>
          <w:iCs/>
          <w:lang w:val="en-US"/>
        </w:rPr>
        <w:t xml:space="preserve"> hypothesis is that field-specific norms of sharing are the result of field</w:t>
      </w:r>
      <w:r w:rsidR="000818C5">
        <w:rPr>
          <w:iCs/>
          <w:lang w:val="en-US"/>
        </w:rPr>
        <w:t xml:space="preserve"> specific </w:t>
      </w:r>
      <w:r w:rsidR="000818C5" w:rsidRPr="000818C5">
        <w:rPr>
          <w:iCs/>
          <w:lang w:val="en-US"/>
        </w:rPr>
        <w:t>epistemic practices (Steinhardt et al. 202</w:t>
      </w:r>
      <w:r w:rsidR="00CB158E">
        <w:rPr>
          <w:iCs/>
          <w:lang w:val="en-US"/>
        </w:rPr>
        <w:t>2</w:t>
      </w:r>
      <w:r w:rsidR="000818C5" w:rsidRPr="000818C5">
        <w:rPr>
          <w:iCs/>
          <w:lang w:val="en-US"/>
        </w:rPr>
        <w:t xml:space="preserve">, </w:t>
      </w:r>
      <w:proofErr w:type="spellStart"/>
      <w:r w:rsidR="000818C5" w:rsidRPr="000818C5">
        <w:rPr>
          <w:iCs/>
          <w:lang w:val="en-US"/>
        </w:rPr>
        <w:t>Thursby</w:t>
      </w:r>
      <w:proofErr w:type="spellEnd"/>
      <w:r w:rsidR="000818C5" w:rsidRPr="000818C5">
        <w:rPr>
          <w:iCs/>
          <w:lang w:val="en-US"/>
        </w:rPr>
        <w:t xml:space="preserve"> et al. 2018, </w:t>
      </w:r>
      <w:r w:rsidR="000818C5">
        <w:rPr>
          <w:iCs/>
          <w:lang w:val="en-US"/>
        </w:rPr>
        <w:t xml:space="preserve">Velden 2013), i.e. the specific </w:t>
      </w:r>
      <w:r w:rsidR="000818C5" w:rsidRPr="000818C5">
        <w:rPr>
          <w:iCs/>
          <w:lang w:val="en-US"/>
        </w:rPr>
        <w:t>way of how kn</w:t>
      </w:r>
      <w:r w:rsidR="000818C5">
        <w:rPr>
          <w:iCs/>
          <w:lang w:val="en-US"/>
        </w:rPr>
        <w:t xml:space="preserve">owledge is produced in a field: </w:t>
      </w:r>
      <w:r w:rsidR="000818C5" w:rsidRPr="000818C5">
        <w:rPr>
          <w:iCs/>
          <w:lang w:val="en-US"/>
        </w:rPr>
        <w:t>the empirical object</w:t>
      </w:r>
      <w:r w:rsidR="000818C5">
        <w:rPr>
          <w:iCs/>
          <w:lang w:val="en-US"/>
        </w:rPr>
        <w:t xml:space="preserve">s that are studied, the methods </w:t>
      </w:r>
      <w:r w:rsidR="000818C5" w:rsidRPr="000818C5">
        <w:rPr>
          <w:iCs/>
          <w:lang w:val="en-US"/>
        </w:rPr>
        <w:t>used, and the theories developed, which in turn influence data prac</w:t>
      </w:r>
      <w:r w:rsidR="000818C5">
        <w:rPr>
          <w:iCs/>
          <w:lang w:val="en-US"/>
        </w:rPr>
        <w:t>tices – the type of data and how they are produced and used</w:t>
      </w:r>
      <w:r w:rsidR="00B40752">
        <w:rPr>
          <w:iCs/>
          <w:lang w:val="en-US"/>
        </w:rPr>
        <w:t xml:space="preserve"> </w:t>
      </w:r>
      <w:r w:rsidR="000818C5" w:rsidRPr="000818C5">
        <w:rPr>
          <w:iCs/>
          <w:lang w:val="en-US"/>
        </w:rPr>
        <w:t>(</w:t>
      </w:r>
      <w:proofErr w:type="spellStart"/>
      <w:r w:rsidR="000818C5" w:rsidRPr="000818C5">
        <w:rPr>
          <w:iCs/>
          <w:lang w:val="en-US"/>
        </w:rPr>
        <w:t>Borgman</w:t>
      </w:r>
      <w:proofErr w:type="spellEnd"/>
      <w:r w:rsidR="000818C5" w:rsidRPr="000818C5">
        <w:rPr>
          <w:iCs/>
          <w:lang w:val="en-US"/>
        </w:rPr>
        <w:t xml:space="preserve"> 2012).</w:t>
      </w:r>
      <w:r w:rsidR="000818C5">
        <w:rPr>
          <w:iCs/>
          <w:lang w:val="en-US"/>
        </w:rPr>
        <w:t xml:space="preserve"> </w:t>
      </w:r>
      <w:r w:rsidR="00393E95">
        <w:rPr>
          <w:iCs/>
          <w:lang w:val="en-US"/>
        </w:rPr>
        <w:t xml:space="preserve">To further explore the field-specificity of public data sharing and how it </w:t>
      </w:r>
      <w:r w:rsidR="00AB709F">
        <w:rPr>
          <w:iCs/>
          <w:lang w:val="en-US"/>
        </w:rPr>
        <w:t>is</w:t>
      </w:r>
      <w:r w:rsidR="00393E95">
        <w:rPr>
          <w:iCs/>
          <w:lang w:val="en-US"/>
        </w:rPr>
        <w:t xml:space="preserve"> linked to the underlying </w:t>
      </w:r>
      <w:r w:rsidR="009A16B7">
        <w:rPr>
          <w:iCs/>
          <w:lang w:val="en-US"/>
        </w:rPr>
        <w:t>research p</w:t>
      </w:r>
      <w:r w:rsidR="00393E95">
        <w:rPr>
          <w:iCs/>
          <w:lang w:val="en-US"/>
        </w:rPr>
        <w:t>ractices</w:t>
      </w:r>
      <w:r w:rsidR="009A16B7">
        <w:rPr>
          <w:iCs/>
          <w:lang w:val="en-US"/>
        </w:rPr>
        <w:t xml:space="preserve"> in a field</w:t>
      </w:r>
      <w:r w:rsidR="000818C5">
        <w:rPr>
          <w:iCs/>
          <w:lang w:val="en-US"/>
        </w:rPr>
        <w:t>,</w:t>
      </w:r>
      <w:r w:rsidR="00393E95">
        <w:rPr>
          <w:iCs/>
          <w:lang w:val="en-US"/>
        </w:rPr>
        <w:t xml:space="preserve"> </w:t>
      </w:r>
      <w:r w:rsidR="00A83BD0">
        <w:rPr>
          <w:iCs/>
          <w:lang w:val="en-US"/>
        </w:rPr>
        <w:t xml:space="preserve">we </w:t>
      </w:r>
      <w:r w:rsidR="00040E55">
        <w:rPr>
          <w:iCs/>
          <w:lang w:val="en-US"/>
        </w:rPr>
        <w:t>examine</w:t>
      </w:r>
      <w:r w:rsidR="00A83BD0">
        <w:rPr>
          <w:iCs/>
          <w:lang w:val="en-US"/>
        </w:rPr>
        <w:t xml:space="preserve"> the </w:t>
      </w:r>
      <w:r w:rsidR="00040E55">
        <w:rPr>
          <w:iCs/>
          <w:lang w:val="en-US"/>
        </w:rPr>
        <w:t>data</w:t>
      </w:r>
      <w:r w:rsidR="00393E95">
        <w:rPr>
          <w:iCs/>
          <w:lang w:val="en-US"/>
        </w:rPr>
        <w:t xml:space="preserve"> provided by the</w:t>
      </w:r>
      <w:r w:rsidR="00A83BD0">
        <w:rPr>
          <w:iCs/>
          <w:lang w:val="en-US"/>
        </w:rPr>
        <w:t xml:space="preserve"> </w:t>
      </w:r>
      <w:r w:rsidR="000818C5" w:rsidRPr="009C736C">
        <w:rPr>
          <w:i/>
          <w:iCs/>
        </w:rPr>
        <w:t xml:space="preserve">DZHW </w:t>
      </w:r>
      <w:r w:rsidR="000818C5">
        <w:rPr>
          <w:i/>
          <w:iCs/>
        </w:rPr>
        <w:t>Science</w:t>
      </w:r>
      <w:r w:rsidR="000818C5" w:rsidRPr="009C736C">
        <w:rPr>
          <w:i/>
          <w:iCs/>
        </w:rPr>
        <w:t xml:space="preserve"> Survey </w:t>
      </w:r>
      <w:r w:rsidR="000818C5" w:rsidRPr="005E7DEB">
        <w:t>(</w:t>
      </w:r>
      <w:proofErr w:type="spellStart"/>
      <w:r w:rsidR="000818C5" w:rsidRPr="005E7DEB">
        <w:t>WiBef</w:t>
      </w:r>
      <w:proofErr w:type="spellEnd"/>
      <w:r w:rsidR="000818C5" w:rsidRPr="005E7DEB">
        <w:t>),</w:t>
      </w:r>
      <w:r w:rsidR="000818C5">
        <w:rPr>
          <w:i/>
          <w:iCs/>
        </w:rPr>
        <w:t xml:space="preserve"> </w:t>
      </w:r>
      <w:r w:rsidR="00A83BD0">
        <w:rPr>
          <w:iCs/>
          <w:lang w:val="en-US"/>
        </w:rPr>
        <w:t xml:space="preserve">a large survey </w:t>
      </w:r>
      <w:r w:rsidR="00393E95">
        <w:rPr>
          <w:iCs/>
          <w:lang w:val="en-US"/>
        </w:rPr>
        <w:t>o</w:t>
      </w:r>
      <w:r w:rsidR="00236EDF">
        <w:rPr>
          <w:iCs/>
          <w:lang w:val="en-US"/>
        </w:rPr>
        <w:t>f over 8,</w:t>
      </w:r>
      <w:r w:rsidR="00393E95">
        <w:rPr>
          <w:iCs/>
          <w:lang w:val="en-US"/>
        </w:rPr>
        <w:t>000 researchers at German universities. It</w:t>
      </w:r>
      <w:r w:rsidR="00C72C6D">
        <w:rPr>
          <w:iCs/>
          <w:lang w:val="en-US"/>
        </w:rPr>
        <w:t xml:space="preserve"> offers data on data practices and data sharing at a </w:t>
      </w:r>
      <w:r w:rsidR="009A16B7">
        <w:rPr>
          <w:iCs/>
          <w:lang w:val="en-US"/>
        </w:rPr>
        <w:t>much finer resolution</w:t>
      </w:r>
      <w:r w:rsidR="00C72C6D">
        <w:rPr>
          <w:iCs/>
          <w:lang w:val="en-US"/>
        </w:rPr>
        <w:t xml:space="preserve"> than most multidisciplinary open data surveys provide</w:t>
      </w:r>
      <w:r w:rsidR="00F97305">
        <w:rPr>
          <w:iCs/>
          <w:lang w:val="en-US"/>
        </w:rPr>
        <w:t>,</w:t>
      </w:r>
      <w:r w:rsidR="009A16B7">
        <w:rPr>
          <w:iCs/>
          <w:lang w:val="en-US"/>
        </w:rPr>
        <w:t xml:space="preserve"> </w:t>
      </w:r>
      <w:r w:rsidR="0076355A">
        <w:rPr>
          <w:iCs/>
          <w:lang w:val="en-US"/>
        </w:rPr>
        <w:t>bring</w:t>
      </w:r>
      <w:r w:rsidR="009A16B7">
        <w:rPr>
          <w:iCs/>
          <w:lang w:val="en-US"/>
        </w:rPr>
        <w:t>ing</w:t>
      </w:r>
      <w:r w:rsidR="0076355A">
        <w:rPr>
          <w:iCs/>
          <w:lang w:val="en-US"/>
        </w:rPr>
        <w:t xml:space="preserve"> us closer to the level</w:t>
      </w:r>
      <w:r w:rsidR="009A16B7">
        <w:rPr>
          <w:iCs/>
          <w:lang w:val="en-US"/>
        </w:rPr>
        <w:t xml:space="preserve"> of analysis</w:t>
      </w:r>
      <w:r w:rsidR="0076355A">
        <w:rPr>
          <w:iCs/>
          <w:lang w:val="en-US"/>
        </w:rPr>
        <w:t xml:space="preserve"> required for </w:t>
      </w:r>
      <w:r w:rsidR="009A16B7">
        <w:rPr>
          <w:iCs/>
          <w:lang w:val="en-US"/>
        </w:rPr>
        <w:t xml:space="preserve">investigating links between </w:t>
      </w:r>
      <w:r w:rsidR="00040E55">
        <w:rPr>
          <w:iCs/>
          <w:lang w:val="en-US"/>
        </w:rPr>
        <w:t>epistemic</w:t>
      </w:r>
      <w:r w:rsidR="0076355A">
        <w:rPr>
          <w:iCs/>
          <w:lang w:val="en-US"/>
        </w:rPr>
        <w:t xml:space="preserve"> practices</w:t>
      </w:r>
      <w:r w:rsidR="009A16B7">
        <w:rPr>
          <w:iCs/>
          <w:lang w:val="en-US"/>
        </w:rPr>
        <w:t xml:space="preserve"> and data sharing</w:t>
      </w:r>
      <w:r w:rsidR="0076355A">
        <w:rPr>
          <w:iCs/>
          <w:lang w:val="en-US"/>
        </w:rPr>
        <w:t xml:space="preserve">. </w:t>
      </w:r>
    </w:p>
    <w:p w14:paraId="4E3F5E78" w14:textId="77777777" w:rsidR="00015449" w:rsidRPr="004C02F6" w:rsidRDefault="00015449">
      <w:pPr>
        <w:jc w:val="both"/>
        <w:rPr>
          <w:lang w:val="en-US"/>
        </w:rPr>
      </w:pPr>
    </w:p>
    <w:p w14:paraId="7974EF73" w14:textId="344A781F" w:rsidR="008168F4" w:rsidRDefault="000C25AF">
      <w:pPr>
        <w:pStyle w:val="berschrift2"/>
        <w:jc w:val="both"/>
      </w:pPr>
      <w:r>
        <w:t xml:space="preserve">2. </w:t>
      </w:r>
      <w:r w:rsidR="00015449">
        <w:t>Data and Methods</w:t>
      </w:r>
    </w:p>
    <w:p w14:paraId="19AB395C" w14:textId="77777777" w:rsidR="009C736C" w:rsidRDefault="009C736C" w:rsidP="009C736C">
      <w:pPr>
        <w:pStyle w:val="berschrift3"/>
        <w:jc w:val="both"/>
        <w:rPr>
          <w:i w:val="0"/>
          <w:iCs w:val="0"/>
        </w:rPr>
      </w:pPr>
      <w:bookmarkStart w:id="0" w:name="_Hlk130823985"/>
    </w:p>
    <w:bookmarkEnd w:id="0"/>
    <w:p w14:paraId="333B0FDC" w14:textId="316A7476" w:rsidR="00804458" w:rsidRDefault="00804458" w:rsidP="00804458">
      <w:pPr>
        <w:pStyle w:val="berschrift3"/>
        <w:jc w:val="both"/>
      </w:pPr>
      <w:r>
        <w:t xml:space="preserve">2.1. The data source </w:t>
      </w:r>
    </w:p>
    <w:p w14:paraId="38ABD5EF" w14:textId="77777777" w:rsidR="00804458" w:rsidRDefault="00804458" w:rsidP="00164199">
      <w:pPr>
        <w:pStyle w:val="berschrift3"/>
        <w:jc w:val="both"/>
        <w:rPr>
          <w:i w:val="0"/>
          <w:iCs w:val="0"/>
        </w:rPr>
      </w:pPr>
    </w:p>
    <w:p w14:paraId="54D713C3" w14:textId="0DA05D12" w:rsidR="00CC6FA8" w:rsidRDefault="009C736C" w:rsidP="00164199">
      <w:pPr>
        <w:pStyle w:val="berschrift3"/>
        <w:jc w:val="both"/>
        <w:rPr>
          <w:i w:val="0"/>
          <w:iCs w:val="0"/>
        </w:rPr>
      </w:pPr>
      <w:r w:rsidRPr="009C736C">
        <w:rPr>
          <w:i w:val="0"/>
          <w:iCs w:val="0"/>
        </w:rPr>
        <w:t>The</w:t>
      </w:r>
      <w:r w:rsidR="000818C5">
        <w:rPr>
          <w:i w:val="0"/>
          <w:iCs w:val="0"/>
        </w:rPr>
        <w:t xml:space="preserve"> data we use is from </w:t>
      </w:r>
      <w:proofErr w:type="spellStart"/>
      <w:r w:rsidR="000818C5">
        <w:rPr>
          <w:i w:val="0"/>
          <w:iCs w:val="0"/>
        </w:rPr>
        <w:t>WiBef</w:t>
      </w:r>
      <w:proofErr w:type="spellEnd"/>
      <w:r w:rsidR="000818C5">
        <w:rPr>
          <w:i w:val="0"/>
          <w:iCs w:val="0"/>
        </w:rPr>
        <w:t>, a rep</w:t>
      </w:r>
      <w:r w:rsidRPr="009C736C">
        <w:rPr>
          <w:i w:val="0"/>
          <w:iCs w:val="0"/>
        </w:rPr>
        <w:t>resentative tri-annua</w:t>
      </w:r>
      <w:r w:rsidR="00236EDF">
        <w:rPr>
          <w:i w:val="0"/>
          <w:iCs w:val="0"/>
        </w:rPr>
        <w:t>l trend study about the German Science S</w:t>
      </w:r>
      <w:r w:rsidRPr="009C736C">
        <w:rPr>
          <w:i w:val="0"/>
          <w:iCs w:val="0"/>
        </w:rPr>
        <w:t>ystem</w:t>
      </w:r>
      <w:r w:rsidR="00236EDF">
        <w:rPr>
          <w:i w:val="0"/>
          <w:iCs w:val="0"/>
        </w:rPr>
        <w:t xml:space="preserve"> covering a variety of topics</w:t>
      </w:r>
      <w:r w:rsidRPr="009C736C">
        <w:rPr>
          <w:i w:val="0"/>
          <w:iCs w:val="0"/>
        </w:rPr>
        <w:t xml:space="preserve">. </w:t>
      </w:r>
      <w:r w:rsidR="00236EDF">
        <w:rPr>
          <w:i w:val="0"/>
          <w:iCs w:val="0"/>
        </w:rPr>
        <w:t>The</w:t>
      </w:r>
      <w:r w:rsidRPr="009C736C">
        <w:rPr>
          <w:i w:val="0"/>
          <w:iCs w:val="0"/>
        </w:rPr>
        <w:t xml:space="preserve"> </w:t>
      </w:r>
      <w:r w:rsidR="00CA374A">
        <w:rPr>
          <w:i w:val="0"/>
          <w:iCs w:val="0"/>
        </w:rPr>
        <w:t>data collection was conducted</w:t>
      </w:r>
      <w:r w:rsidR="00236EDF">
        <w:rPr>
          <w:i w:val="0"/>
          <w:iCs w:val="0"/>
        </w:rPr>
        <w:t xml:space="preserve"> </w:t>
      </w:r>
      <w:r w:rsidRPr="009C736C">
        <w:rPr>
          <w:i w:val="0"/>
          <w:iCs w:val="0"/>
        </w:rPr>
        <w:t xml:space="preserve">between </w:t>
      </w:r>
      <w:r w:rsidR="00236EDF">
        <w:rPr>
          <w:i w:val="0"/>
          <w:iCs w:val="0"/>
        </w:rPr>
        <w:t xml:space="preserve">November 2019 and February 2020. </w:t>
      </w:r>
      <w:r w:rsidR="00841D2F" w:rsidRPr="00804458">
        <w:rPr>
          <w:i w:val="0"/>
          <w:iCs w:val="0"/>
          <w:color w:val="000000" w:themeColor="text1"/>
        </w:rPr>
        <w:t>The questionnaire was sent to a total 60</w:t>
      </w:r>
      <w:r w:rsidR="00236EDF">
        <w:rPr>
          <w:i w:val="0"/>
          <w:iCs w:val="0"/>
          <w:color w:val="000000" w:themeColor="text1"/>
        </w:rPr>
        <w:t>,</w:t>
      </w:r>
      <w:r w:rsidR="00841D2F" w:rsidRPr="00804458">
        <w:rPr>
          <w:i w:val="0"/>
          <w:iCs w:val="0"/>
          <w:color w:val="000000" w:themeColor="text1"/>
        </w:rPr>
        <w:t xml:space="preserve">002 </w:t>
      </w:r>
      <w:r w:rsidR="00236EDF">
        <w:rPr>
          <w:i w:val="0"/>
          <w:iCs w:val="0"/>
          <w:color w:val="000000" w:themeColor="text1"/>
        </w:rPr>
        <w:t>researcher fro</w:t>
      </w:r>
      <w:r w:rsidR="00FE1A12" w:rsidRPr="00804458">
        <w:rPr>
          <w:i w:val="0"/>
          <w:iCs w:val="0"/>
          <w:color w:val="000000" w:themeColor="text1"/>
        </w:rPr>
        <w:t>m German universities,</w:t>
      </w:r>
      <w:r w:rsidR="00841D2F" w:rsidRPr="00804458">
        <w:rPr>
          <w:i w:val="0"/>
          <w:iCs w:val="0"/>
          <w:color w:val="000000" w:themeColor="text1"/>
        </w:rPr>
        <w:t xml:space="preserve"> 52</w:t>
      </w:r>
      <w:r w:rsidR="003E34BA">
        <w:rPr>
          <w:i w:val="0"/>
          <w:iCs w:val="0"/>
          <w:color w:val="000000" w:themeColor="text1"/>
        </w:rPr>
        <w:t>,</w:t>
      </w:r>
      <w:r w:rsidR="00841D2F" w:rsidRPr="00804458">
        <w:rPr>
          <w:i w:val="0"/>
          <w:iCs w:val="0"/>
          <w:color w:val="000000" w:themeColor="text1"/>
        </w:rPr>
        <w:t>769 of the emails were delivered. The 8</w:t>
      </w:r>
      <w:r w:rsidR="00236EDF">
        <w:rPr>
          <w:i w:val="0"/>
          <w:iCs w:val="0"/>
          <w:color w:val="000000" w:themeColor="text1"/>
        </w:rPr>
        <w:t>,</w:t>
      </w:r>
      <w:r w:rsidR="00841D2F" w:rsidRPr="00804458">
        <w:rPr>
          <w:i w:val="0"/>
          <w:iCs w:val="0"/>
          <w:color w:val="000000" w:themeColor="text1"/>
        </w:rPr>
        <w:t xml:space="preserve">822 </w:t>
      </w:r>
      <w:r w:rsidR="00FE1A12" w:rsidRPr="00804458">
        <w:rPr>
          <w:i w:val="0"/>
          <w:iCs w:val="0"/>
          <w:color w:val="000000" w:themeColor="text1"/>
        </w:rPr>
        <w:t xml:space="preserve">received </w:t>
      </w:r>
      <w:r w:rsidR="00841D2F" w:rsidRPr="00804458">
        <w:rPr>
          <w:i w:val="0"/>
          <w:iCs w:val="0"/>
          <w:color w:val="000000" w:themeColor="text1"/>
        </w:rPr>
        <w:t xml:space="preserve">valid responses represented a </w:t>
      </w:r>
      <w:r w:rsidR="00636A9F">
        <w:rPr>
          <w:i w:val="0"/>
          <w:iCs w:val="0"/>
          <w:color w:val="000000" w:themeColor="text1"/>
        </w:rPr>
        <w:t>16.72</w:t>
      </w:r>
      <w:r w:rsidR="00841D2F" w:rsidRPr="00804458">
        <w:rPr>
          <w:i w:val="0"/>
          <w:iCs w:val="0"/>
          <w:color w:val="000000" w:themeColor="text1"/>
        </w:rPr>
        <w:t>% response rate.</w:t>
      </w:r>
      <w:r w:rsidR="00164199" w:rsidRPr="00804458">
        <w:rPr>
          <w:i w:val="0"/>
          <w:iCs w:val="0"/>
          <w:color w:val="000000" w:themeColor="text1"/>
        </w:rPr>
        <w:t xml:space="preserve"> </w:t>
      </w:r>
      <w:r w:rsidR="00164199">
        <w:rPr>
          <w:i w:val="0"/>
          <w:iCs w:val="0"/>
        </w:rPr>
        <w:t>F</w:t>
      </w:r>
      <w:r w:rsidR="00164199" w:rsidRPr="009C736C">
        <w:rPr>
          <w:i w:val="0"/>
          <w:iCs w:val="0"/>
        </w:rPr>
        <w:t>or more details about the</w:t>
      </w:r>
      <w:r w:rsidR="00164199">
        <w:rPr>
          <w:i w:val="0"/>
          <w:iCs w:val="0"/>
        </w:rPr>
        <w:t xml:space="preserve"> overall</w:t>
      </w:r>
      <w:r w:rsidR="00164199" w:rsidRPr="009C736C">
        <w:rPr>
          <w:i w:val="0"/>
          <w:iCs w:val="0"/>
        </w:rPr>
        <w:t xml:space="preserve"> survey design see Ambrasat et al. </w:t>
      </w:r>
      <w:r w:rsidR="00E106C0">
        <w:rPr>
          <w:i w:val="0"/>
          <w:iCs w:val="0"/>
        </w:rPr>
        <w:t>(</w:t>
      </w:r>
      <w:r w:rsidR="00164199" w:rsidRPr="009C736C">
        <w:rPr>
          <w:i w:val="0"/>
          <w:iCs w:val="0"/>
        </w:rPr>
        <w:t>2020).</w:t>
      </w:r>
    </w:p>
    <w:p w14:paraId="1D64C6AB" w14:textId="3E26530E" w:rsidR="00E106C0" w:rsidRDefault="00E106C0" w:rsidP="00E106C0"/>
    <w:p w14:paraId="1373CE4E" w14:textId="291B3245" w:rsidR="00E30398" w:rsidRPr="00F92CA1" w:rsidRDefault="00E106C0" w:rsidP="00F92CA1">
      <w:r w:rsidRPr="00FC4326">
        <w:t>In this study we evaluate the information collected through a survey instrument that asked a set of question</w:t>
      </w:r>
      <w:r w:rsidR="002221F2" w:rsidRPr="00FC4326">
        <w:t xml:space="preserve">s about the role that </w:t>
      </w:r>
      <w:r w:rsidRPr="00FC4326">
        <w:t>research data play</w:t>
      </w:r>
      <w:r w:rsidR="002221F2" w:rsidRPr="00FC4326">
        <w:t>s</w:t>
      </w:r>
      <w:r w:rsidRPr="00FC4326">
        <w:t xml:space="preserve"> in a respondent’s research practice</w:t>
      </w:r>
      <w:r w:rsidR="004662E6">
        <w:t>, which included a question about the public sharing of research data</w:t>
      </w:r>
      <w:r w:rsidRPr="00FC4326">
        <w:t>.</w:t>
      </w:r>
    </w:p>
    <w:p w14:paraId="70F0322A" w14:textId="77777777" w:rsidR="00C724FF" w:rsidRDefault="00C724FF">
      <w:pPr>
        <w:jc w:val="both"/>
      </w:pPr>
    </w:p>
    <w:p w14:paraId="47755EA6" w14:textId="03710699" w:rsidR="00C724FF" w:rsidRDefault="00C724FF" w:rsidP="00C724FF">
      <w:pPr>
        <w:pStyle w:val="berschrift3"/>
        <w:jc w:val="both"/>
      </w:pPr>
      <w:r>
        <w:t xml:space="preserve">2.2. </w:t>
      </w:r>
      <w:r w:rsidRPr="00C724FF">
        <w:t xml:space="preserve">Survey </w:t>
      </w:r>
      <w:r>
        <w:t>instruments</w:t>
      </w:r>
    </w:p>
    <w:p w14:paraId="563B89C4" w14:textId="77777777" w:rsidR="003444ED" w:rsidRDefault="003444ED">
      <w:pPr>
        <w:jc w:val="both"/>
      </w:pPr>
    </w:p>
    <w:p w14:paraId="3D4D7840" w14:textId="67BDBF69" w:rsidR="00807934" w:rsidRDefault="00236EDF" w:rsidP="00807934">
      <w:pPr>
        <w:jc w:val="both"/>
        <w:rPr>
          <w:color w:val="BFBFBF" w:themeColor="background1" w:themeShade="BF"/>
        </w:rPr>
      </w:pPr>
      <w:r>
        <w:t>Information about</w:t>
      </w:r>
      <w:r w:rsidR="00804458">
        <w:t xml:space="preserve"> the</w:t>
      </w:r>
      <w:r w:rsidR="00BF4B34">
        <w:t xml:space="preserve"> </w:t>
      </w:r>
      <w:r w:rsidR="00BF4B34" w:rsidRPr="00FF5E39">
        <w:rPr>
          <w:i/>
          <w:iCs/>
        </w:rPr>
        <w:t>field</w:t>
      </w:r>
      <w:r w:rsidR="00FF5E39">
        <w:rPr>
          <w:i/>
          <w:iCs/>
        </w:rPr>
        <w:t xml:space="preserve"> </w:t>
      </w:r>
      <w:r w:rsidR="00804458">
        <w:rPr>
          <w:i/>
          <w:iCs/>
        </w:rPr>
        <w:t>affiliation</w:t>
      </w:r>
      <w:r w:rsidR="00BF4B34">
        <w:t xml:space="preserve"> </w:t>
      </w:r>
      <w:r w:rsidR="00804458">
        <w:t xml:space="preserve">of researchers </w:t>
      </w:r>
      <w:r>
        <w:t xml:space="preserve">was collected </w:t>
      </w:r>
      <w:r w:rsidR="00A472F0">
        <w:t>using</w:t>
      </w:r>
      <w:r w:rsidR="00BF4B34">
        <w:t xml:space="preserve"> a two-level clas</w:t>
      </w:r>
      <w:r w:rsidR="005E3EE6">
        <w:t xml:space="preserve">sification </w:t>
      </w:r>
      <w:r w:rsidR="00A472F0">
        <w:t xml:space="preserve">covering humanities &amp; social sciences, engineering, life sciences, and physical sciences. The questionnaire offered respondents </w:t>
      </w:r>
      <w:r w:rsidR="005E3EE6">
        <w:t>10</w:t>
      </w:r>
      <w:r w:rsidR="00BF4B34">
        <w:t xml:space="preserve"> disciplines</w:t>
      </w:r>
      <w:r w:rsidR="00A472F0">
        <w:t xml:space="preserve"> to choose from, and within each discipline,</w:t>
      </w:r>
      <w:r w:rsidR="00BF4B34">
        <w:t xml:space="preserve"> one to eight </w:t>
      </w:r>
      <w:r w:rsidR="00A472F0">
        <w:t xml:space="preserve">different </w:t>
      </w:r>
      <w:r w:rsidR="005E3EE6">
        <w:t>subject area</w:t>
      </w:r>
      <w:r w:rsidR="00BF4B34">
        <w:t>s</w:t>
      </w:r>
      <w:r w:rsidR="00A472F0">
        <w:t>, such that in total</w:t>
      </w:r>
      <w:r w:rsidR="004662E6">
        <w:t xml:space="preserve"> </w:t>
      </w:r>
      <w:r w:rsidR="00BF4B34">
        <w:t xml:space="preserve">39 </w:t>
      </w:r>
      <w:r w:rsidR="005E3EE6">
        <w:t>subject area</w:t>
      </w:r>
      <w:r w:rsidR="00BF4B34">
        <w:t>s</w:t>
      </w:r>
      <w:r w:rsidR="00A472F0">
        <w:t xml:space="preserve"> are distinguished</w:t>
      </w:r>
      <w:r w:rsidR="00BF4B34">
        <w:t xml:space="preserve">. </w:t>
      </w:r>
      <w:r w:rsidR="00804458">
        <w:t xml:space="preserve">This </w:t>
      </w:r>
      <w:r w:rsidR="00A472F0">
        <w:t xml:space="preserve">relatively </w:t>
      </w:r>
      <w:r w:rsidR="004662E6">
        <w:t>fine-grained c</w:t>
      </w:r>
      <w:r w:rsidR="000F40F3">
        <w:t>lassification</w:t>
      </w:r>
      <w:r w:rsidR="00804458">
        <w:t xml:space="preserve"> </w:t>
      </w:r>
      <w:r w:rsidR="000F40F3">
        <w:t xml:space="preserve">is </w:t>
      </w:r>
      <w:r w:rsidR="003B3241">
        <w:t>largely based on</w:t>
      </w:r>
      <w:r w:rsidR="000F40F3">
        <w:t xml:space="preserve"> the </w:t>
      </w:r>
      <w:r w:rsidR="00E61C84">
        <w:t xml:space="preserve">field </w:t>
      </w:r>
      <w:r w:rsidR="000F40F3">
        <w:t xml:space="preserve">classification used </w:t>
      </w:r>
      <w:r w:rsidR="00FB6CBB">
        <w:t xml:space="preserve">in 2016-2019 </w:t>
      </w:r>
      <w:r w:rsidR="000F40F3">
        <w:t>by the German Research</w:t>
      </w:r>
      <w:r w:rsidR="00FB6CBB">
        <w:t xml:space="preserve"> </w:t>
      </w:r>
      <w:r w:rsidR="000F40F3">
        <w:t>Foundation (DFG)</w:t>
      </w:r>
      <w:r w:rsidR="003B3241">
        <w:t>, with some small modif</w:t>
      </w:r>
      <w:r w:rsidR="004662E6">
        <w:t xml:space="preserve">ications. The </w:t>
      </w:r>
      <w:r>
        <w:t xml:space="preserve">subject areas correspond to review committees in the DFG grant review system </w:t>
      </w:r>
      <w:r w:rsidR="00FB6CBB">
        <w:t xml:space="preserve">(so </w:t>
      </w:r>
      <w:r w:rsidR="00483C8E">
        <w:t>called ‘</w:t>
      </w:r>
      <w:proofErr w:type="spellStart"/>
      <w:r w:rsidR="00483C8E">
        <w:t>Fachkollegien</w:t>
      </w:r>
      <w:proofErr w:type="spellEnd"/>
      <w:r w:rsidR="00483C8E">
        <w:t xml:space="preserve">’). </w:t>
      </w:r>
    </w:p>
    <w:p w14:paraId="4AF36256" w14:textId="77777777" w:rsidR="007332B1" w:rsidRDefault="007332B1" w:rsidP="007332B1">
      <w:pPr>
        <w:jc w:val="both"/>
      </w:pPr>
    </w:p>
    <w:p w14:paraId="7610574E" w14:textId="77777777" w:rsidR="007332B1" w:rsidRDefault="007332B1" w:rsidP="007332B1">
      <w:pPr>
        <w:jc w:val="both"/>
      </w:pPr>
      <w:r>
        <w:t xml:space="preserve">In the following analysis we will distinguish </w:t>
      </w:r>
      <w:r w:rsidRPr="006714DF">
        <w:rPr>
          <w:i/>
          <w:iCs/>
        </w:rPr>
        <w:t>data practices</w:t>
      </w:r>
      <w:r>
        <w:t xml:space="preserve"> with regard to the role that data play in the practice of research, namely whether researchers produce data themselves (alone or in a team), use data from third parties in their research, or do not work with data at all. </w:t>
      </w:r>
    </w:p>
    <w:p w14:paraId="6BF231E9" w14:textId="77777777" w:rsidR="007332B1" w:rsidRDefault="007332B1" w:rsidP="007332B1">
      <w:pPr>
        <w:jc w:val="both"/>
      </w:pPr>
    </w:p>
    <w:p w14:paraId="61926F87" w14:textId="3835ADD4" w:rsidR="00F01925" w:rsidRDefault="00F01925" w:rsidP="00F01925">
      <w:pPr>
        <w:jc w:val="center"/>
      </w:pPr>
    </w:p>
    <w:p w14:paraId="7E5A7A66" w14:textId="77777777" w:rsidR="009023DE" w:rsidRDefault="009023DE" w:rsidP="00F01925">
      <w:pPr>
        <w:jc w:val="center"/>
      </w:pPr>
    </w:p>
    <w:p w14:paraId="16948B35" w14:textId="77777777" w:rsidR="00F01925" w:rsidRDefault="00F01925" w:rsidP="007332B1"/>
    <w:p w14:paraId="36FC3B60" w14:textId="41DC41AF" w:rsidR="00E67160" w:rsidRPr="009023DE" w:rsidRDefault="00712AE7" w:rsidP="009023DE">
      <w:pPr>
        <w:jc w:val="center"/>
        <w:rPr>
          <w:color w:val="000000" w:themeColor="text1"/>
        </w:rPr>
      </w:pPr>
      <w:r>
        <w:lastRenderedPageBreak/>
        <w:t xml:space="preserve">Table </w:t>
      </w:r>
      <w:r w:rsidR="00D25ED1">
        <w:t>1</w:t>
      </w:r>
      <w:r>
        <w:t>. Sample sizes by discipline and by sub</w:t>
      </w:r>
      <w:r w:rsidR="00306947">
        <w:t>ject area</w:t>
      </w:r>
      <w:r w:rsidRPr="00306947">
        <w:t>.</w:t>
      </w:r>
    </w:p>
    <w:p w14:paraId="1D4845FC" w14:textId="76A80EBC" w:rsidR="00E67160" w:rsidRDefault="009023DE">
      <w:r w:rsidRPr="000405AE">
        <w:rPr>
          <w:noProof/>
        </w:rPr>
        <w:drawing>
          <wp:anchor distT="0" distB="0" distL="114300" distR="114300" simplePos="0" relativeHeight="251662336" behindDoc="0" locked="0" layoutInCell="1" allowOverlap="1" wp14:anchorId="00A9EE43" wp14:editId="36122579">
            <wp:simplePos x="0" y="0"/>
            <wp:positionH relativeFrom="column">
              <wp:posOffset>734405</wp:posOffset>
            </wp:positionH>
            <wp:positionV relativeFrom="paragraph">
              <wp:posOffset>193560</wp:posOffset>
            </wp:positionV>
            <wp:extent cx="4729019" cy="8520948"/>
            <wp:effectExtent l="0" t="0" r="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9019" cy="85209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0A9B5" w14:textId="77777777" w:rsidR="007332B1" w:rsidRDefault="007332B1" w:rsidP="007332B1">
      <w:pPr>
        <w:jc w:val="both"/>
      </w:pPr>
      <w:r>
        <w:lastRenderedPageBreak/>
        <w:t xml:space="preserve">The </w:t>
      </w:r>
      <w:r w:rsidRPr="008B6914">
        <w:rPr>
          <w:i/>
          <w:iCs/>
        </w:rPr>
        <w:t xml:space="preserve">rate of sharing research </w:t>
      </w:r>
      <w:r w:rsidRPr="00681342">
        <w:rPr>
          <w:i/>
          <w:iCs/>
        </w:rPr>
        <w:t>data</w:t>
      </w:r>
      <w:r w:rsidRPr="00681342">
        <w:rPr>
          <w:i/>
        </w:rPr>
        <w:t xml:space="preserve"> publicly</w:t>
      </w:r>
      <w:r>
        <w:t xml:space="preserve"> is determined by the proportion of respondents in a subject area who affirm that they make research data that they collect or produce ‘publicly available to other scientists, regularly or occasionally.’ </w:t>
      </w:r>
    </w:p>
    <w:p w14:paraId="51D18B64" w14:textId="77777777" w:rsidR="00F92CA1" w:rsidRDefault="00F92CA1" w:rsidP="00F92CA1">
      <w:pPr>
        <w:jc w:val="both"/>
      </w:pPr>
    </w:p>
    <w:p w14:paraId="6EDD5CA8" w14:textId="5D64DA28" w:rsidR="00F92CA1" w:rsidRDefault="00F92CA1" w:rsidP="00F92CA1">
      <w:pPr>
        <w:pStyle w:val="berschrift3"/>
        <w:jc w:val="both"/>
      </w:pPr>
      <w:r>
        <w:t>2.3. Realized field-specific sample size</w:t>
      </w:r>
      <w:r w:rsidR="00B90859">
        <w:t>s</w:t>
      </w:r>
      <w:r>
        <w:t xml:space="preserve"> </w:t>
      </w:r>
    </w:p>
    <w:p w14:paraId="3D38975C" w14:textId="77777777" w:rsidR="00F92CA1" w:rsidRDefault="00F92CA1" w:rsidP="00F92CA1">
      <w:pPr>
        <w:jc w:val="both"/>
      </w:pPr>
    </w:p>
    <w:p w14:paraId="3F1387DA" w14:textId="3EA445E6" w:rsidR="00F92CA1" w:rsidRDefault="00F92CA1" w:rsidP="00F92CA1">
      <w:pPr>
        <w:jc w:val="both"/>
        <w:rPr>
          <w:color w:val="000000" w:themeColor="text1"/>
        </w:rPr>
      </w:pPr>
      <w:r w:rsidRPr="004604E8">
        <w:rPr>
          <w:rStyle w:val="cf01"/>
          <w:rFonts w:ascii="Times New Roman" w:hAnsi="Times New Roman" w:cs="Times New Roman"/>
          <w:sz w:val="24"/>
          <w:szCs w:val="24"/>
        </w:rPr>
        <w:t xml:space="preserve">Different from surveys that work with convenience or snow-ball samples, the stratified, random sample </w:t>
      </w:r>
      <w:r>
        <w:rPr>
          <w:rStyle w:val="cf01"/>
          <w:rFonts w:ascii="Times New Roman" w:hAnsi="Times New Roman" w:cs="Times New Roman"/>
          <w:sz w:val="24"/>
          <w:szCs w:val="24"/>
        </w:rPr>
        <w:t xml:space="preserve">of the </w:t>
      </w:r>
      <w:proofErr w:type="spellStart"/>
      <w:r>
        <w:rPr>
          <w:rStyle w:val="cf01"/>
          <w:rFonts w:ascii="Times New Roman" w:hAnsi="Times New Roman" w:cs="Times New Roman"/>
          <w:sz w:val="24"/>
          <w:szCs w:val="24"/>
        </w:rPr>
        <w:t>WiBef</w:t>
      </w:r>
      <w:proofErr w:type="spellEnd"/>
      <w:r>
        <w:rPr>
          <w:rStyle w:val="cf01"/>
          <w:rFonts w:ascii="Times New Roman" w:hAnsi="Times New Roman" w:cs="Times New Roman"/>
          <w:sz w:val="24"/>
          <w:szCs w:val="24"/>
        </w:rPr>
        <w:t xml:space="preserve"> </w:t>
      </w:r>
      <w:r w:rsidRPr="004604E8">
        <w:rPr>
          <w:rStyle w:val="cf01"/>
          <w:rFonts w:ascii="Times New Roman" w:hAnsi="Times New Roman" w:cs="Times New Roman"/>
          <w:sz w:val="24"/>
          <w:szCs w:val="24"/>
        </w:rPr>
        <w:t>can be considered representative of researchers at German Universities</w:t>
      </w:r>
      <w:r w:rsidR="00E61C84">
        <w:rPr>
          <w:rStyle w:val="cf01"/>
          <w:rFonts w:ascii="Times New Roman" w:hAnsi="Times New Roman" w:cs="Times New Roman"/>
          <w:sz w:val="24"/>
          <w:szCs w:val="24"/>
        </w:rPr>
        <w:t xml:space="preserve">. </w:t>
      </w:r>
      <w:r w:rsidR="00E61C84">
        <w:rPr>
          <w:color w:val="000000" w:themeColor="text1"/>
        </w:rPr>
        <w:t>A</w:t>
      </w:r>
      <w:r>
        <w:rPr>
          <w:color w:val="000000" w:themeColor="text1"/>
        </w:rPr>
        <w:t xml:space="preserve">n overview over the </w:t>
      </w:r>
      <w:r w:rsidR="00E61C84">
        <w:rPr>
          <w:color w:val="000000" w:themeColor="text1"/>
        </w:rPr>
        <w:t xml:space="preserve">achieved </w:t>
      </w:r>
      <w:r>
        <w:rPr>
          <w:color w:val="000000" w:themeColor="text1"/>
        </w:rPr>
        <w:t>sample sizes of the different disciplines and subject areas</w:t>
      </w:r>
      <w:r w:rsidR="00E61C84">
        <w:rPr>
          <w:color w:val="000000" w:themeColor="text1"/>
        </w:rPr>
        <w:t xml:space="preserve"> is given in </w:t>
      </w:r>
      <w:r w:rsidR="005E7DEB">
        <w:rPr>
          <w:color w:val="000000" w:themeColor="text1"/>
        </w:rPr>
        <w:t>T</w:t>
      </w:r>
      <w:r w:rsidR="00E61C84">
        <w:rPr>
          <w:color w:val="000000" w:themeColor="text1"/>
        </w:rPr>
        <w:t>able 1</w:t>
      </w:r>
      <w:r>
        <w:rPr>
          <w:color w:val="000000" w:themeColor="text1"/>
        </w:rPr>
        <w:t>.</w:t>
      </w:r>
    </w:p>
    <w:p w14:paraId="121BD0BD" w14:textId="77777777" w:rsidR="00C45A49" w:rsidRDefault="00C45A49" w:rsidP="00C45A49">
      <w:pPr>
        <w:jc w:val="both"/>
      </w:pPr>
    </w:p>
    <w:p w14:paraId="543718C0" w14:textId="7A903C71" w:rsidR="00C45A49" w:rsidRPr="00E106C0" w:rsidRDefault="00C45A49" w:rsidP="00C45A49">
      <w:pPr>
        <w:jc w:val="both"/>
        <w:rPr>
          <w:color w:val="000000" w:themeColor="text1"/>
        </w:rPr>
      </w:pPr>
      <w:r>
        <w:t xml:space="preserve">Due to the stratification of the sample by level of seniority and the variance of response rates by level of seniority, we apply a weighting scheme that adjusts observed proportions by respective weights in order to increase the representativeness of results for the targeted population (see Ambrasat et al. 2020). </w:t>
      </w:r>
      <w:r w:rsidRPr="00E106C0">
        <w:rPr>
          <w:color w:val="000000" w:themeColor="text1"/>
        </w:rPr>
        <w:t xml:space="preserve">The data structure regarding level of seniority before and after weighting is shown in Table </w:t>
      </w:r>
      <w:r>
        <w:rPr>
          <w:color w:val="000000" w:themeColor="text1"/>
        </w:rPr>
        <w:t>2</w:t>
      </w:r>
      <w:r w:rsidRPr="00E106C0">
        <w:rPr>
          <w:color w:val="000000" w:themeColor="text1"/>
        </w:rPr>
        <w:t>.</w:t>
      </w:r>
      <w:r>
        <w:rPr>
          <w:color w:val="000000" w:themeColor="text1"/>
        </w:rPr>
        <w:t xml:space="preserve"> All results reported in the results section are calculated after </w:t>
      </w:r>
      <w:r w:rsidR="00D25ED1">
        <w:rPr>
          <w:color w:val="000000" w:themeColor="text1"/>
        </w:rPr>
        <w:t>weighting of the data</w:t>
      </w:r>
      <w:r>
        <w:rPr>
          <w:color w:val="000000" w:themeColor="text1"/>
        </w:rPr>
        <w:t>.</w:t>
      </w:r>
    </w:p>
    <w:p w14:paraId="60BD5C9C" w14:textId="77777777" w:rsidR="00C45A49" w:rsidRDefault="00C45A49" w:rsidP="00C45A49">
      <w:pPr>
        <w:jc w:val="both"/>
        <w:rPr>
          <w:color w:val="FF0000"/>
        </w:rPr>
      </w:pPr>
    </w:p>
    <w:p w14:paraId="5B96A4DC" w14:textId="1CBCFC3D" w:rsidR="00C45A49" w:rsidRDefault="00B90859" w:rsidP="00F92CA1">
      <w:pPr>
        <w:jc w:val="center"/>
        <w:rPr>
          <w:color w:val="000000" w:themeColor="text1"/>
        </w:rPr>
      </w:pPr>
      <w:r w:rsidRPr="00B90859">
        <w:rPr>
          <w:noProof/>
        </w:rPr>
        <w:drawing>
          <wp:anchor distT="0" distB="0" distL="114300" distR="114300" simplePos="0" relativeHeight="251665408" behindDoc="0" locked="0" layoutInCell="1" allowOverlap="1" wp14:anchorId="63DD987E" wp14:editId="19257074">
            <wp:simplePos x="0" y="0"/>
            <wp:positionH relativeFrom="margin">
              <wp:align>center</wp:align>
            </wp:positionH>
            <wp:positionV relativeFrom="paragraph">
              <wp:posOffset>276629</wp:posOffset>
            </wp:positionV>
            <wp:extent cx="4786630" cy="1108075"/>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663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A49" w:rsidRPr="00D25ED1">
        <w:rPr>
          <w:color w:val="000000" w:themeColor="text1"/>
        </w:rPr>
        <w:t>Table 2</w:t>
      </w:r>
      <w:r w:rsidR="00D25ED1">
        <w:rPr>
          <w:color w:val="000000" w:themeColor="text1"/>
        </w:rPr>
        <w:t>: Weighting Factors</w:t>
      </w:r>
    </w:p>
    <w:p w14:paraId="3D63DF6D" w14:textId="1AE6A10C" w:rsidR="00D25ED1" w:rsidRPr="00D25ED1" w:rsidRDefault="00D25ED1" w:rsidP="00B90859">
      <w:pPr>
        <w:ind w:left="3912"/>
        <w:jc w:val="both"/>
        <w:rPr>
          <w:color w:val="000000" w:themeColor="text1"/>
        </w:rPr>
      </w:pPr>
    </w:p>
    <w:p w14:paraId="3D3F841B" w14:textId="0A13DC8C" w:rsidR="00C45A49" w:rsidRDefault="00C45A49" w:rsidP="008C0D34">
      <w:pPr>
        <w:jc w:val="center"/>
      </w:pPr>
    </w:p>
    <w:p w14:paraId="70C25FFE" w14:textId="77777777" w:rsidR="00B90859" w:rsidRDefault="00B90859">
      <w:pPr>
        <w:pStyle w:val="berschrift2"/>
        <w:jc w:val="both"/>
      </w:pPr>
    </w:p>
    <w:p w14:paraId="40047A3F" w14:textId="672E2806" w:rsidR="008168F4" w:rsidRDefault="000C25AF">
      <w:pPr>
        <w:pStyle w:val="berschrift2"/>
        <w:jc w:val="both"/>
      </w:pPr>
      <w:r>
        <w:t xml:space="preserve">3. </w:t>
      </w:r>
      <w:r w:rsidR="00015449">
        <w:t>Results</w:t>
      </w:r>
    </w:p>
    <w:p w14:paraId="2E430BE2" w14:textId="77777777" w:rsidR="00C724FF" w:rsidRDefault="00C724FF">
      <w:pPr>
        <w:jc w:val="both"/>
      </w:pPr>
    </w:p>
    <w:p w14:paraId="6F0F86D6" w14:textId="3C35F6A2" w:rsidR="00571856" w:rsidRDefault="00CA67EB" w:rsidP="00E61C84">
      <w:pPr>
        <w:pStyle w:val="berschrift3"/>
        <w:jc w:val="both"/>
      </w:pPr>
      <w:r>
        <w:t xml:space="preserve">3.1. </w:t>
      </w:r>
      <w:r w:rsidR="00E61C84">
        <w:t xml:space="preserve">Variation in </w:t>
      </w:r>
      <w:r w:rsidR="00F01925">
        <w:t>d</w:t>
      </w:r>
      <w:r>
        <w:t xml:space="preserve">ata </w:t>
      </w:r>
      <w:r w:rsidR="00F01925">
        <w:t>p</w:t>
      </w:r>
      <w:r>
        <w:t xml:space="preserve">ractices </w:t>
      </w:r>
    </w:p>
    <w:p w14:paraId="03B5F1FC" w14:textId="77777777" w:rsidR="00E61C84" w:rsidRPr="00E61C84" w:rsidRDefault="00E61C84" w:rsidP="00E61C84"/>
    <w:p w14:paraId="393329A7" w14:textId="4E50BA03" w:rsidR="009C3AC8" w:rsidRDefault="00E55DFE" w:rsidP="00CA67EB">
      <w:pPr>
        <w:jc w:val="both"/>
      </w:pPr>
      <w:r>
        <w:t>F</w:t>
      </w:r>
      <w:r w:rsidR="00206CB0">
        <w:t>igure 1</w:t>
      </w:r>
      <w:r w:rsidR="00F92CA1">
        <w:t xml:space="preserve"> compares</w:t>
      </w:r>
      <w:r>
        <w:t xml:space="preserve"> data practices</w:t>
      </w:r>
      <w:r w:rsidR="00F92CA1">
        <w:t xml:space="preserve"> </w:t>
      </w:r>
      <w:r w:rsidR="00E61C84">
        <w:t xml:space="preserve">between </w:t>
      </w:r>
      <w:r w:rsidR="00A54F8C">
        <w:t>H</w:t>
      </w:r>
      <w:r w:rsidR="00E61C84">
        <w:t xml:space="preserve">umanities &amp; </w:t>
      </w:r>
      <w:r w:rsidR="00A54F8C">
        <w:t>S</w:t>
      </w:r>
      <w:r w:rsidR="00E61C84">
        <w:t xml:space="preserve">ocial </w:t>
      </w:r>
      <w:r w:rsidR="00A54F8C">
        <w:t>S</w:t>
      </w:r>
      <w:r w:rsidR="00E61C84">
        <w:t xml:space="preserve">ciences, </w:t>
      </w:r>
      <w:r w:rsidR="00A54F8C">
        <w:t>E</w:t>
      </w:r>
      <w:r w:rsidR="00E61C84">
        <w:t xml:space="preserve">ngineering, </w:t>
      </w:r>
      <w:r w:rsidR="00A54F8C">
        <w:t>L</w:t>
      </w:r>
      <w:r w:rsidR="00E61C84">
        <w:t xml:space="preserve">ife </w:t>
      </w:r>
      <w:r w:rsidR="00A54F8C">
        <w:t>S</w:t>
      </w:r>
      <w:r w:rsidR="00E61C84">
        <w:t xml:space="preserve">ciences, and </w:t>
      </w:r>
      <w:r w:rsidR="00A54F8C">
        <w:t>Natural S</w:t>
      </w:r>
      <w:r w:rsidR="00E61C84">
        <w:t>ciences</w:t>
      </w:r>
      <w:r w:rsidR="00571856">
        <w:t xml:space="preserve">. </w:t>
      </w:r>
      <w:r w:rsidR="009C3AC8">
        <w:t xml:space="preserve">It shows that in </w:t>
      </w:r>
      <w:r w:rsidR="00A54F8C">
        <w:t>each broad</w:t>
      </w:r>
      <w:r w:rsidR="00901FD3">
        <w:t xml:space="preserve"> </w:t>
      </w:r>
      <w:r w:rsidR="009C3AC8">
        <w:t xml:space="preserve">disciplinary </w:t>
      </w:r>
      <w:r w:rsidR="00901FD3">
        <w:t xml:space="preserve">grouping </w:t>
      </w:r>
      <w:r w:rsidR="009C3AC8">
        <w:t>a large majority, over 75% of researchers, work with data.</w:t>
      </w:r>
      <w:r w:rsidR="00901FD3">
        <w:t xml:space="preserve"> </w:t>
      </w:r>
      <w:r w:rsidR="00BD065E">
        <w:t>We see that t</w:t>
      </w:r>
      <w:r w:rsidR="00571856">
        <w:t xml:space="preserve">he Life Sciences are </w:t>
      </w:r>
      <w:r w:rsidR="00E22BB2">
        <w:t>highly</w:t>
      </w:r>
      <w:r w:rsidR="00571856">
        <w:t xml:space="preserve"> empirically oriented</w:t>
      </w:r>
      <w:r w:rsidR="00093DAA">
        <w:t xml:space="preserve">: </w:t>
      </w:r>
      <w:r w:rsidR="00571856">
        <w:t xml:space="preserve">only </w:t>
      </w:r>
      <w:r w:rsidR="00A1501B">
        <w:t xml:space="preserve">2% of </w:t>
      </w:r>
      <w:r w:rsidR="00571856">
        <w:t xml:space="preserve">researchers do not </w:t>
      </w:r>
      <w:r w:rsidR="00E22BB2">
        <w:t>work with data</w:t>
      </w:r>
      <w:r w:rsidR="00901FD3">
        <w:t xml:space="preserve">. </w:t>
      </w:r>
      <w:r w:rsidR="00BD065E">
        <w:t>Next are</w:t>
      </w:r>
      <w:r w:rsidR="00901FD3">
        <w:t xml:space="preserve"> Engineering and the</w:t>
      </w:r>
      <w:r w:rsidR="00A1501B">
        <w:t xml:space="preserve"> Natural Sciences, </w:t>
      </w:r>
      <w:r w:rsidR="00901FD3">
        <w:t xml:space="preserve">with </w:t>
      </w:r>
      <w:r w:rsidR="00AC1FFD" w:rsidRPr="009D7E45">
        <w:rPr>
          <w:color w:val="000000" w:themeColor="text1"/>
        </w:rPr>
        <w:t>11</w:t>
      </w:r>
      <w:r w:rsidR="00901FD3" w:rsidRPr="009D7E45">
        <w:rPr>
          <w:color w:val="000000" w:themeColor="text1"/>
        </w:rPr>
        <w:t>%</w:t>
      </w:r>
      <w:r w:rsidR="00093DAA">
        <w:rPr>
          <w:color w:val="000000" w:themeColor="text1"/>
        </w:rPr>
        <w:t xml:space="preserve">, respectively </w:t>
      </w:r>
      <w:r w:rsidR="009D7E45">
        <w:rPr>
          <w:color w:val="000000" w:themeColor="text1"/>
        </w:rPr>
        <w:t>14</w:t>
      </w:r>
      <w:r w:rsidR="00901FD3" w:rsidRPr="009D7E45">
        <w:rPr>
          <w:color w:val="000000" w:themeColor="text1"/>
        </w:rPr>
        <w:t xml:space="preserve">% </w:t>
      </w:r>
      <w:r w:rsidR="00901FD3">
        <w:t xml:space="preserve">of researchers </w:t>
      </w:r>
      <w:r w:rsidR="00E22BB2">
        <w:t>saying that they do not work with data</w:t>
      </w:r>
      <w:r w:rsidR="00901FD3">
        <w:t xml:space="preserve">. </w:t>
      </w:r>
      <w:r w:rsidR="00571856">
        <w:t xml:space="preserve">The </w:t>
      </w:r>
      <w:r w:rsidR="00E22BB2">
        <w:t>highest</w:t>
      </w:r>
      <w:r w:rsidR="00571856">
        <w:t xml:space="preserve"> proportion </w:t>
      </w:r>
      <w:r w:rsidR="00E22BB2">
        <w:t xml:space="preserve">of researchers who </w:t>
      </w:r>
      <w:r w:rsidR="00E61C84">
        <w:t>do</w:t>
      </w:r>
      <w:r w:rsidR="00E22BB2">
        <w:t xml:space="preserve"> not work with research data </w:t>
      </w:r>
      <w:r w:rsidR="00571856">
        <w:t xml:space="preserve">is </w:t>
      </w:r>
      <w:r w:rsidR="00E61C84">
        <w:t>reported</w:t>
      </w:r>
      <w:r w:rsidR="00571856">
        <w:t xml:space="preserve"> for Humanities and Social Science</w:t>
      </w:r>
      <w:r w:rsidR="00A1501B">
        <w:t xml:space="preserve"> (approx. 20%)</w:t>
      </w:r>
      <w:r w:rsidR="00571856">
        <w:t xml:space="preserve">. </w:t>
      </w:r>
    </w:p>
    <w:p w14:paraId="77FE9873" w14:textId="7D2B78B2" w:rsidR="007332B1" w:rsidRDefault="007332B1" w:rsidP="00CA67EB">
      <w:pPr>
        <w:jc w:val="both"/>
      </w:pPr>
    </w:p>
    <w:p w14:paraId="4431BAE0" w14:textId="77777777" w:rsidR="007332B1" w:rsidRDefault="007332B1" w:rsidP="007332B1">
      <w:pPr>
        <w:jc w:val="both"/>
      </w:pPr>
      <w:r>
        <w:t xml:space="preserve">Moving to a more fine-grained resolution, at the level of subject areas (figure 2), we find stark differences in data practices, even within the same discipline. </w:t>
      </w:r>
    </w:p>
    <w:p w14:paraId="42DB07EE" w14:textId="77777777" w:rsidR="007332B1" w:rsidRDefault="007332B1" w:rsidP="007332B1">
      <w:pPr>
        <w:jc w:val="both"/>
      </w:pPr>
    </w:p>
    <w:p w14:paraId="67CC0628" w14:textId="4F2D7DD0" w:rsidR="007332B1" w:rsidRDefault="00BD065E" w:rsidP="007332B1">
      <w:pPr>
        <w:jc w:val="both"/>
      </w:pPr>
      <w:r>
        <w:t>We can now identify d</w:t>
      </w:r>
      <w:r w:rsidR="007332B1">
        <w:t xml:space="preserve">istinctively </w:t>
      </w:r>
      <w:r w:rsidR="007332B1" w:rsidRPr="0001239D">
        <w:rPr>
          <w:b/>
          <w:bCs/>
        </w:rPr>
        <w:t xml:space="preserve">‘data distant’ </w:t>
      </w:r>
      <w:r w:rsidR="007332B1">
        <w:t xml:space="preserve">fields, such as </w:t>
      </w:r>
      <w:r w:rsidR="00AE45F0">
        <w:t>Philosophy, Literary Studies, Theology, Mathematics, and Jurisprudence</w:t>
      </w:r>
      <w:r w:rsidR="007332B1">
        <w:t xml:space="preserve">, where </w:t>
      </w:r>
      <w:r>
        <w:t>most</w:t>
      </w:r>
      <w:r w:rsidR="007332B1">
        <w:t xml:space="preserve"> researchers do not work with data. At the other end of the </w:t>
      </w:r>
      <w:r>
        <w:t>spectrum,</w:t>
      </w:r>
      <w:r w:rsidR="007332B1">
        <w:t xml:space="preserve"> we have strongly empirically oriented subject areas, such as </w:t>
      </w:r>
      <w:r w:rsidR="00AE45F0">
        <w:t>Agriculture, Polymer Science, Zoology, Biochemistry (Biology), and Psychology,</w:t>
      </w:r>
      <w:r w:rsidR="007332B1">
        <w:t xml:space="preserve"> where almost </w:t>
      </w:r>
      <w:r w:rsidR="007332B1" w:rsidRPr="00B94FD6">
        <w:t>everyone (&gt;99%) reports</w:t>
      </w:r>
      <w:r w:rsidR="007332B1">
        <w:t xml:space="preserve"> to be working with research data. </w:t>
      </w:r>
    </w:p>
    <w:p w14:paraId="219516BD" w14:textId="4D5C8FA2" w:rsidR="003A0C80" w:rsidRDefault="003A0C80" w:rsidP="007332B1">
      <w:pPr>
        <w:jc w:val="both"/>
      </w:pPr>
    </w:p>
    <w:p w14:paraId="72FF22E6" w14:textId="40EAC4B8" w:rsidR="003A0C80" w:rsidRDefault="003A0C80" w:rsidP="007332B1">
      <w:pPr>
        <w:jc w:val="both"/>
      </w:pPr>
    </w:p>
    <w:p w14:paraId="0989A7BB" w14:textId="77777777" w:rsidR="003A0C80" w:rsidRDefault="003A0C80" w:rsidP="007332B1">
      <w:pPr>
        <w:jc w:val="both"/>
      </w:pPr>
    </w:p>
    <w:p w14:paraId="2252E90D" w14:textId="155A2627" w:rsidR="003A0C80" w:rsidRDefault="00EB0BDE" w:rsidP="003A0C80">
      <w:pPr>
        <w:jc w:val="center"/>
        <w:rPr>
          <w:noProof/>
        </w:rPr>
      </w:pPr>
      <w:r>
        <w:t>Figure 1: Data Practices by High-Level Disciplinary Grouping</w:t>
      </w:r>
    </w:p>
    <w:p w14:paraId="6CDC77C3" w14:textId="692E53A3" w:rsidR="00A76AC4" w:rsidRDefault="003A0C80" w:rsidP="009C3AC8">
      <w:pPr>
        <w:jc w:val="center"/>
      </w:pPr>
      <w:r>
        <w:rPr>
          <w:noProof/>
        </w:rPr>
        <w:drawing>
          <wp:anchor distT="0" distB="0" distL="114300" distR="114300" simplePos="0" relativeHeight="251663360" behindDoc="0" locked="0" layoutInCell="1" allowOverlap="1" wp14:anchorId="636944A0" wp14:editId="6C83BF98">
            <wp:simplePos x="0" y="0"/>
            <wp:positionH relativeFrom="column">
              <wp:posOffset>-13681</wp:posOffset>
            </wp:positionH>
            <wp:positionV relativeFrom="paragraph">
              <wp:posOffset>227100</wp:posOffset>
            </wp:positionV>
            <wp:extent cx="5760085" cy="3429000"/>
            <wp:effectExtent l="0" t="0" r="0" b="0"/>
            <wp:wrapTopAndBottom/>
            <wp:docPr id="13" name="Grafik 13"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iagramm enthält.&#10;&#10;Automatisch generierte Beschreibung"/>
                    <pic:cNvPicPr/>
                  </pic:nvPicPr>
                  <pic:blipFill>
                    <a:blip r:embed="rId12"/>
                    <a:stretch>
                      <a:fillRect/>
                    </a:stretch>
                  </pic:blipFill>
                  <pic:spPr>
                    <a:xfrm>
                      <a:off x="0" y="0"/>
                      <a:ext cx="5760085" cy="3429000"/>
                    </a:xfrm>
                    <a:prstGeom prst="rect">
                      <a:avLst/>
                    </a:prstGeom>
                  </pic:spPr>
                </pic:pic>
              </a:graphicData>
            </a:graphic>
          </wp:anchor>
        </w:drawing>
      </w:r>
    </w:p>
    <w:p w14:paraId="1F989EEB" w14:textId="3D044DED" w:rsidR="009C3AC8" w:rsidRDefault="009C3AC8" w:rsidP="009C3AC8"/>
    <w:p w14:paraId="0B893020" w14:textId="20EE7DA6" w:rsidR="00792423" w:rsidRDefault="00F85BBD" w:rsidP="00F85BBD">
      <w:pPr>
        <w:jc w:val="both"/>
      </w:pPr>
      <w:r>
        <w:t>Among empirical</w:t>
      </w:r>
      <w:r w:rsidR="00A96D61">
        <w:t xml:space="preserve">ly oriented </w:t>
      </w:r>
      <w:r>
        <w:t>s</w:t>
      </w:r>
      <w:r w:rsidR="00A96D61">
        <w:t>ubject areas</w:t>
      </w:r>
      <w:r>
        <w:t xml:space="preserve"> where a large majority of researchers work with data, we find differences </w:t>
      </w:r>
      <w:r w:rsidR="00BD065E">
        <w:t>regarding</w:t>
      </w:r>
      <w:r>
        <w:t xml:space="preserve"> whether data from third parties are used, or whether researchers rely exclusively on data they produce themselves. </w:t>
      </w:r>
    </w:p>
    <w:p w14:paraId="30B18704" w14:textId="1EE82044" w:rsidR="00792423" w:rsidRDefault="00792423" w:rsidP="00F85BBD">
      <w:pPr>
        <w:jc w:val="both"/>
      </w:pPr>
    </w:p>
    <w:p w14:paraId="0FF85E05" w14:textId="29B890EE" w:rsidR="00B127E3" w:rsidRDefault="00BD6CE3" w:rsidP="00B127E3">
      <w:pPr>
        <w:jc w:val="both"/>
      </w:pPr>
      <w:r>
        <w:t xml:space="preserve">If we </w:t>
      </w:r>
      <w:r w:rsidR="00E42043">
        <w:t>label researchers who work</w:t>
      </w:r>
      <w:r>
        <w:t xml:space="preserve"> exclusively with their own data (i.e. produce data and do not work with data from third parties) as </w:t>
      </w:r>
      <w:r w:rsidRPr="00BD6CE3">
        <w:rPr>
          <w:b/>
          <w:bCs/>
        </w:rPr>
        <w:t xml:space="preserve">‘data </w:t>
      </w:r>
      <w:r w:rsidR="003F66E1">
        <w:rPr>
          <w:b/>
          <w:bCs/>
        </w:rPr>
        <w:t>self-</w:t>
      </w:r>
      <w:r w:rsidRPr="00BD6CE3">
        <w:rPr>
          <w:b/>
          <w:bCs/>
        </w:rPr>
        <w:t>sufficient’</w:t>
      </w:r>
      <w:r w:rsidR="00E61C84">
        <w:t xml:space="preserve">, </w:t>
      </w:r>
      <w:r>
        <w:t xml:space="preserve">we </w:t>
      </w:r>
      <w:r w:rsidR="00E61C84">
        <w:t xml:space="preserve">find in most disciplines </w:t>
      </w:r>
      <w:r>
        <w:t>subject areas w</w:t>
      </w:r>
      <w:r w:rsidR="00E61C84">
        <w:t>here a majority of researchers is</w:t>
      </w:r>
      <w:r>
        <w:t xml:space="preserve"> data </w:t>
      </w:r>
      <w:r w:rsidR="003F66E1">
        <w:t>self-</w:t>
      </w:r>
      <w:r>
        <w:t>sufficie</w:t>
      </w:r>
      <w:r w:rsidR="00E61C84">
        <w:t>nt</w:t>
      </w:r>
      <w:r w:rsidR="00792423">
        <w:t xml:space="preserve">: in </w:t>
      </w:r>
      <w:r w:rsidR="00A54F8C">
        <w:t>H</w:t>
      </w:r>
      <w:r w:rsidR="0001239D">
        <w:t xml:space="preserve">umanities </w:t>
      </w:r>
      <w:r w:rsidR="007219BF">
        <w:t xml:space="preserve">(Social And Cultural Anthropology), </w:t>
      </w:r>
      <w:r w:rsidR="00A54F8C">
        <w:t>S</w:t>
      </w:r>
      <w:r w:rsidR="0001239D">
        <w:t xml:space="preserve">ocial </w:t>
      </w:r>
      <w:r w:rsidR="007219BF">
        <w:t xml:space="preserve">and </w:t>
      </w:r>
      <w:r w:rsidR="00A54F8C">
        <w:t>B</w:t>
      </w:r>
      <w:r w:rsidR="0001239D">
        <w:t>ehavio</w:t>
      </w:r>
      <w:r w:rsidR="00A96D61">
        <w:t>u</w:t>
      </w:r>
      <w:r w:rsidR="0001239D">
        <w:t xml:space="preserve">ral </w:t>
      </w:r>
      <w:r w:rsidR="00A54F8C">
        <w:t>S</w:t>
      </w:r>
      <w:r w:rsidR="0001239D">
        <w:t xml:space="preserve">ciences </w:t>
      </w:r>
      <w:r w:rsidR="007219BF">
        <w:t xml:space="preserve">(Psychology, Educational Sciences), </w:t>
      </w:r>
      <w:r w:rsidR="00A54F8C">
        <w:rPr>
          <w:color w:val="000000" w:themeColor="text1"/>
        </w:rPr>
        <w:t>E</w:t>
      </w:r>
      <w:r w:rsidR="00792423" w:rsidRPr="00532D14">
        <w:rPr>
          <w:color w:val="000000" w:themeColor="text1"/>
        </w:rPr>
        <w:t xml:space="preserve">ngineering </w:t>
      </w:r>
      <w:r w:rsidR="007219BF" w:rsidRPr="00532D14">
        <w:rPr>
          <w:color w:val="000000" w:themeColor="text1"/>
        </w:rPr>
        <w:t>(</w:t>
      </w:r>
      <w:r w:rsidR="007219BF">
        <w:rPr>
          <w:color w:val="000000" w:themeColor="text1"/>
        </w:rPr>
        <w:t>e</w:t>
      </w:r>
      <w:r w:rsidR="007219BF" w:rsidRPr="00532D14">
        <w:rPr>
          <w:color w:val="000000" w:themeColor="text1"/>
        </w:rPr>
        <w:t>.</w:t>
      </w:r>
      <w:r w:rsidR="007219BF">
        <w:rPr>
          <w:color w:val="000000" w:themeColor="text1"/>
        </w:rPr>
        <w:t>g</w:t>
      </w:r>
      <w:r w:rsidR="007219BF" w:rsidRPr="00532D14">
        <w:rPr>
          <w:color w:val="000000" w:themeColor="text1"/>
        </w:rPr>
        <w:t xml:space="preserve">. Materials Science </w:t>
      </w:r>
      <w:r w:rsidR="007219BF">
        <w:rPr>
          <w:color w:val="000000" w:themeColor="text1"/>
        </w:rPr>
        <w:t>&amp;</w:t>
      </w:r>
      <w:r w:rsidR="007219BF" w:rsidRPr="00532D14">
        <w:rPr>
          <w:color w:val="000000" w:themeColor="text1"/>
        </w:rPr>
        <w:t xml:space="preserve"> Materials Engineering), </w:t>
      </w:r>
      <w:r w:rsidR="00A54F8C">
        <w:rPr>
          <w:color w:val="000000" w:themeColor="text1"/>
        </w:rPr>
        <w:t>M</w:t>
      </w:r>
      <w:r w:rsidR="00792423" w:rsidRPr="00532D14">
        <w:rPr>
          <w:color w:val="000000" w:themeColor="text1"/>
        </w:rPr>
        <w:t>edicine</w:t>
      </w:r>
      <w:r w:rsidR="00BE7FC9" w:rsidRPr="00532D14">
        <w:rPr>
          <w:color w:val="000000" w:themeColor="text1"/>
        </w:rPr>
        <w:t xml:space="preserve"> </w:t>
      </w:r>
      <w:r w:rsidR="007219BF" w:rsidRPr="00532D14">
        <w:rPr>
          <w:color w:val="000000" w:themeColor="text1"/>
        </w:rPr>
        <w:t xml:space="preserve">(Veterinary Medicine), </w:t>
      </w:r>
      <w:r w:rsidR="00A54F8C">
        <w:rPr>
          <w:color w:val="000000" w:themeColor="text1"/>
        </w:rPr>
        <w:t>B</w:t>
      </w:r>
      <w:r w:rsidR="00792423" w:rsidRPr="00532D14">
        <w:rPr>
          <w:color w:val="000000" w:themeColor="text1"/>
        </w:rPr>
        <w:t xml:space="preserve">iology </w:t>
      </w:r>
      <w:r w:rsidR="007219BF" w:rsidRPr="00532D14">
        <w:rPr>
          <w:color w:val="000000" w:themeColor="text1"/>
        </w:rPr>
        <w:t>(</w:t>
      </w:r>
      <w:r w:rsidR="00BD065E">
        <w:rPr>
          <w:color w:val="000000" w:themeColor="text1"/>
        </w:rPr>
        <w:t>e</w:t>
      </w:r>
      <w:r w:rsidR="007219BF">
        <w:rPr>
          <w:color w:val="000000" w:themeColor="text1"/>
        </w:rPr>
        <w:t xml:space="preserve">.g. </w:t>
      </w:r>
      <w:r w:rsidR="007219BF" w:rsidRPr="00532D14">
        <w:rPr>
          <w:color w:val="000000" w:themeColor="text1"/>
        </w:rPr>
        <w:t xml:space="preserve">Biochemistry, Microbiology, Virology &amp; Immunology), </w:t>
      </w:r>
      <w:r w:rsidR="00A54F8C">
        <w:rPr>
          <w:color w:val="000000" w:themeColor="text1"/>
        </w:rPr>
        <w:t>C</w:t>
      </w:r>
      <w:r w:rsidR="00792423" w:rsidRPr="00532D14">
        <w:rPr>
          <w:color w:val="000000" w:themeColor="text1"/>
        </w:rPr>
        <w:t xml:space="preserve">hemistry </w:t>
      </w:r>
      <w:r w:rsidR="007219BF" w:rsidRPr="00532D14">
        <w:rPr>
          <w:color w:val="000000" w:themeColor="text1"/>
        </w:rPr>
        <w:t xml:space="preserve">(All Subject Areas), </w:t>
      </w:r>
      <w:r w:rsidR="00BD065E">
        <w:rPr>
          <w:color w:val="000000" w:themeColor="text1"/>
        </w:rPr>
        <w:t>a</w:t>
      </w:r>
      <w:r w:rsidR="007219BF" w:rsidRPr="00532D14">
        <w:rPr>
          <w:color w:val="000000" w:themeColor="text1"/>
        </w:rPr>
        <w:t xml:space="preserve">nd </w:t>
      </w:r>
      <w:r w:rsidR="00A54F8C">
        <w:rPr>
          <w:color w:val="000000" w:themeColor="text1"/>
        </w:rPr>
        <w:t>P</w:t>
      </w:r>
      <w:r w:rsidR="00792423" w:rsidRPr="00532D14">
        <w:rPr>
          <w:color w:val="000000" w:themeColor="text1"/>
        </w:rPr>
        <w:t xml:space="preserve">hysics </w:t>
      </w:r>
      <w:r w:rsidR="007219BF" w:rsidRPr="00532D14">
        <w:rPr>
          <w:color w:val="000000" w:themeColor="text1"/>
        </w:rPr>
        <w:t>(</w:t>
      </w:r>
      <w:r w:rsidR="00BD065E">
        <w:rPr>
          <w:color w:val="000000" w:themeColor="text1"/>
        </w:rPr>
        <w:t>e</w:t>
      </w:r>
      <w:r w:rsidR="007219BF" w:rsidRPr="00532D14">
        <w:rPr>
          <w:color w:val="000000" w:themeColor="text1"/>
        </w:rPr>
        <w:t>.</w:t>
      </w:r>
      <w:r w:rsidR="00BD065E">
        <w:rPr>
          <w:color w:val="000000" w:themeColor="text1"/>
        </w:rPr>
        <w:t>g</w:t>
      </w:r>
      <w:r w:rsidR="007219BF" w:rsidRPr="00532D14">
        <w:rPr>
          <w:color w:val="000000" w:themeColor="text1"/>
        </w:rPr>
        <w:t>. Condensed Matter Physics).</w:t>
      </w:r>
      <w:r w:rsidR="007219BF" w:rsidRPr="00801414">
        <w:t xml:space="preserve"> </w:t>
      </w:r>
    </w:p>
    <w:p w14:paraId="7ADE7C99" w14:textId="77777777" w:rsidR="00B127E3" w:rsidRDefault="00B127E3" w:rsidP="00B127E3">
      <w:pPr>
        <w:jc w:val="both"/>
      </w:pPr>
    </w:p>
    <w:p w14:paraId="33562F57" w14:textId="4167DA10" w:rsidR="00807934" w:rsidRDefault="00807934" w:rsidP="00807934">
      <w:pPr>
        <w:jc w:val="both"/>
      </w:pPr>
      <w:r>
        <w:t xml:space="preserve">In other subject areas the majority of researchers are </w:t>
      </w:r>
      <w:r w:rsidRPr="00471CC1">
        <w:rPr>
          <w:b/>
          <w:bCs/>
        </w:rPr>
        <w:t>‘data combiners’</w:t>
      </w:r>
      <w:r w:rsidRPr="002D21CB">
        <w:rPr>
          <w:rStyle w:val="Funotenzeichen"/>
          <w:bCs/>
        </w:rPr>
        <w:footnoteReference w:id="1"/>
      </w:r>
      <w:r>
        <w:t xml:space="preserve">, i.e. researchers who produce data themselves and use data provided by third parties. This is the case </w:t>
      </w:r>
      <w:r w:rsidR="00BD065E">
        <w:t>in</w:t>
      </w:r>
      <w:r>
        <w:t xml:space="preserve"> </w:t>
      </w:r>
      <w:r w:rsidR="00BD065E">
        <w:t>Geosciences, Agricultural, Forestry &amp; Veterinary M</w:t>
      </w:r>
      <w:r w:rsidR="00BD065E" w:rsidRPr="00532D14">
        <w:t>edicine</w:t>
      </w:r>
      <w:r w:rsidR="00BD065E">
        <w:t>, and Astronomy &amp; Astrophysics.</w:t>
      </w:r>
    </w:p>
    <w:p w14:paraId="79D77489" w14:textId="77777777" w:rsidR="007332B1" w:rsidRDefault="007332B1" w:rsidP="007332B1">
      <w:pPr>
        <w:jc w:val="both"/>
      </w:pPr>
    </w:p>
    <w:p w14:paraId="0478F859" w14:textId="5E2EC610" w:rsidR="003A0C80" w:rsidRDefault="007332B1" w:rsidP="007332B1">
      <w:pPr>
        <w:jc w:val="both"/>
      </w:pPr>
      <w:r>
        <w:t>Further, we note that some of the empirically oriented subject areas have a comparatively large fraction of researchers (</w:t>
      </w:r>
      <w:r w:rsidRPr="00532D14">
        <w:t>15-25%)</w:t>
      </w:r>
      <w:r>
        <w:t xml:space="preserve"> who we may refer to as </w:t>
      </w:r>
      <w:r w:rsidRPr="00471CC1">
        <w:rPr>
          <w:b/>
          <w:bCs/>
        </w:rPr>
        <w:t>‘data consumers’</w:t>
      </w:r>
      <w:r>
        <w:t xml:space="preserve"> because they do not produce data themselves, but instead exclusively rely on data provided by third parties (</w:t>
      </w:r>
      <w:r w:rsidR="00BD065E">
        <w:t>A</w:t>
      </w:r>
      <w:r>
        <w:t xml:space="preserve">stronomy &amp; </w:t>
      </w:r>
      <w:r w:rsidR="00BD065E">
        <w:t>A</w:t>
      </w:r>
      <w:r>
        <w:t xml:space="preserve">strophysics, </w:t>
      </w:r>
      <w:r w:rsidR="00BD065E">
        <w:t>P</w:t>
      </w:r>
      <w:r>
        <w:t xml:space="preserve">articles, </w:t>
      </w:r>
      <w:r w:rsidR="00BD065E">
        <w:t>N</w:t>
      </w:r>
      <w:r>
        <w:t xml:space="preserve">uclei &amp; </w:t>
      </w:r>
      <w:r w:rsidR="00BD065E">
        <w:t>F</w:t>
      </w:r>
      <w:r w:rsidRPr="00532D14">
        <w:t>ields</w:t>
      </w:r>
      <w:r>
        <w:t xml:space="preserve">, and </w:t>
      </w:r>
      <w:r w:rsidR="00BD065E">
        <w:t>E</w:t>
      </w:r>
      <w:r>
        <w:t xml:space="preserve">conomics). </w:t>
      </w:r>
    </w:p>
    <w:p w14:paraId="2162AC29" w14:textId="77777777" w:rsidR="00BD065E" w:rsidRDefault="00BD065E" w:rsidP="007332B1">
      <w:pPr>
        <w:jc w:val="both"/>
      </w:pPr>
    </w:p>
    <w:p w14:paraId="2D965684" w14:textId="7B81D094" w:rsidR="003A0C80" w:rsidRDefault="003A0C80" w:rsidP="003A0C80">
      <w:pPr>
        <w:jc w:val="center"/>
      </w:pPr>
      <w:r>
        <w:t>Figure 2: Data Practices at Subject Area Level</w:t>
      </w:r>
    </w:p>
    <w:p w14:paraId="33055AA2" w14:textId="7E292BFA" w:rsidR="00801414" w:rsidRDefault="003A0C80" w:rsidP="00801414">
      <w:pPr>
        <w:jc w:val="both"/>
      </w:pPr>
      <w:r>
        <w:rPr>
          <w:noProof/>
        </w:rPr>
        <w:drawing>
          <wp:anchor distT="0" distB="0" distL="114300" distR="114300" simplePos="0" relativeHeight="251664384" behindDoc="0" locked="0" layoutInCell="1" allowOverlap="1" wp14:anchorId="064B113F" wp14:editId="13C58B8F">
            <wp:simplePos x="0" y="0"/>
            <wp:positionH relativeFrom="column">
              <wp:posOffset>-881380</wp:posOffset>
            </wp:positionH>
            <wp:positionV relativeFrom="paragraph">
              <wp:posOffset>2176780</wp:posOffset>
            </wp:positionV>
            <wp:extent cx="8309610" cy="4304665"/>
            <wp:effectExtent l="2222" t="0" r="0" b="0"/>
            <wp:wrapTopAndBottom/>
            <wp:docPr id="14" name="Grafik 1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iagramm enthält.&#10;&#10;Automatisch generierte Beschreibung"/>
                    <pic:cNvPicPr/>
                  </pic:nvPicPr>
                  <pic:blipFill>
                    <a:blip r:embed="rId13"/>
                    <a:stretch>
                      <a:fillRect/>
                    </a:stretch>
                  </pic:blipFill>
                  <pic:spPr>
                    <a:xfrm rot="5400000">
                      <a:off x="0" y="0"/>
                      <a:ext cx="8309610" cy="4304665"/>
                    </a:xfrm>
                    <a:prstGeom prst="rect">
                      <a:avLst/>
                    </a:prstGeom>
                  </pic:spPr>
                </pic:pic>
              </a:graphicData>
            </a:graphic>
            <wp14:sizeRelH relativeFrom="margin">
              <wp14:pctWidth>0</wp14:pctWidth>
            </wp14:sizeRelH>
            <wp14:sizeRelV relativeFrom="margin">
              <wp14:pctHeight>0</wp14:pctHeight>
            </wp14:sizeRelV>
          </wp:anchor>
        </w:drawing>
      </w:r>
    </w:p>
    <w:p w14:paraId="43396DF3" w14:textId="32965094" w:rsidR="00807934" w:rsidRPr="00AC24F4" w:rsidRDefault="00807934" w:rsidP="00807934">
      <w:pPr>
        <w:jc w:val="both"/>
        <w:rPr>
          <w:i/>
        </w:rPr>
      </w:pPr>
      <w:r w:rsidRPr="00AC24F4">
        <w:rPr>
          <w:i/>
        </w:rPr>
        <w:t xml:space="preserve">3.2 Variation in </w:t>
      </w:r>
      <w:r w:rsidR="00F01925">
        <w:rPr>
          <w:i/>
        </w:rPr>
        <w:t>public</w:t>
      </w:r>
      <w:r w:rsidRPr="00AC24F4">
        <w:rPr>
          <w:i/>
        </w:rPr>
        <w:t xml:space="preserve"> </w:t>
      </w:r>
      <w:r w:rsidR="00F01925">
        <w:rPr>
          <w:i/>
        </w:rPr>
        <w:t>d</w:t>
      </w:r>
      <w:r w:rsidRPr="00AC24F4">
        <w:rPr>
          <w:i/>
        </w:rPr>
        <w:t xml:space="preserve">ata </w:t>
      </w:r>
      <w:r w:rsidR="00F01925">
        <w:rPr>
          <w:i/>
        </w:rPr>
        <w:t>s</w:t>
      </w:r>
      <w:r>
        <w:rPr>
          <w:i/>
        </w:rPr>
        <w:t xml:space="preserve">haring </w:t>
      </w:r>
    </w:p>
    <w:p w14:paraId="0D3BD241" w14:textId="77777777" w:rsidR="00807934" w:rsidRDefault="00807934" w:rsidP="00807934">
      <w:pPr>
        <w:jc w:val="both"/>
      </w:pPr>
    </w:p>
    <w:p w14:paraId="4CEB2D0A" w14:textId="60695BC1" w:rsidR="00773261" w:rsidRDefault="00BD065E" w:rsidP="00AA59F2">
      <w:pPr>
        <w:jc w:val="both"/>
      </w:pPr>
      <w:r>
        <w:t>To</w:t>
      </w:r>
      <w:r w:rsidR="00807934">
        <w:t xml:space="preserve"> probe the connection between research practices and the public sharing of research data, we select four disciplines: </w:t>
      </w:r>
      <w:r>
        <w:t>Biology, Chemistry, Physics, and Social &amp; Behavioural</w:t>
      </w:r>
      <w:r w:rsidRPr="007332B1">
        <w:t xml:space="preserve"> </w:t>
      </w:r>
      <w:r>
        <w:t>Sciences</w:t>
      </w:r>
      <w:r w:rsidR="007332B1">
        <w:rPr>
          <w:rStyle w:val="Funotenzeichen"/>
        </w:rPr>
        <w:footnoteReference w:id="2"/>
      </w:r>
      <w:r w:rsidR="007332B1">
        <w:t xml:space="preserve"> for closer examination where</w:t>
      </w:r>
      <w:r w:rsidR="007332B1" w:rsidRPr="00E11D80">
        <w:t xml:space="preserve"> </w:t>
      </w:r>
      <w:r>
        <w:t>most</w:t>
      </w:r>
      <w:r w:rsidR="007332B1">
        <w:t xml:space="preserve"> researchers produce data and hence face the question of whether to publicly share this data or not. </w:t>
      </w:r>
    </w:p>
    <w:p w14:paraId="1B6235A1" w14:textId="21B02287" w:rsidR="007332B1" w:rsidRDefault="007332B1" w:rsidP="00AA59F2">
      <w:pPr>
        <w:jc w:val="both"/>
      </w:pPr>
    </w:p>
    <w:p w14:paraId="6080E385" w14:textId="7AE73F66" w:rsidR="007332B1" w:rsidRDefault="007332B1" w:rsidP="007332B1">
      <w:r>
        <w:t xml:space="preserve">Table 3 and figure 3 show the rates of public data sharing for the subject areas in the selected disciplines. They reveal considerable variation across and within disciplines. The rates of public data sharing range from 70% in </w:t>
      </w:r>
      <w:r w:rsidR="00BD065E">
        <w:t>A</w:t>
      </w:r>
      <w:r>
        <w:t xml:space="preserve">stronomy &amp; </w:t>
      </w:r>
      <w:r w:rsidR="00BD065E">
        <w:t>A</w:t>
      </w:r>
      <w:r>
        <w:t xml:space="preserve">strophysics at the high end to 19% in </w:t>
      </w:r>
      <w:r w:rsidR="00BD065E">
        <w:t>E</w:t>
      </w:r>
      <w:r>
        <w:t xml:space="preserve">conomics at the low end. The within discipline variation between subject areas is highest in </w:t>
      </w:r>
      <w:r w:rsidR="00BD065E">
        <w:t>P</w:t>
      </w:r>
      <w:r>
        <w:t xml:space="preserve">hysics and </w:t>
      </w:r>
      <w:r w:rsidR="00BD065E">
        <w:t>S</w:t>
      </w:r>
      <w:r>
        <w:t xml:space="preserve">ocial </w:t>
      </w:r>
      <w:r w:rsidR="00BD065E">
        <w:t>S</w:t>
      </w:r>
      <w:r>
        <w:t xml:space="preserve">ciences, and lower in </w:t>
      </w:r>
      <w:r w:rsidR="00BD065E">
        <w:t>C</w:t>
      </w:r>
      <w:r>
        <w:t xml:space="preserve">hemistry and </w:t>
      </w:r>
      <w:r w:rsidR="00BD065E">
        <w:t>B</w:t>
      </w:r>
      <w:r>
        <w:t xml:space="preserve">iology. </w:t>
      </w:r>
    </w:p>
    <w:p w14:paraId="45D0E9B0" w14:textId="345365A1" w:rsidR="00807934" w:rsidRDefault="00807934" w:rsidP="00807934">
      <w:pPr>
        <w:jc w:val="both"/>
      </w:pPr>
    </w:p>
    <w:p w14:paraId="2A3688F0" w14:textId="068FA7C9" w:rsidR="00773261" w:rsidRDefault="007332B1" w:rsidP="00773261">
      <w:pPr>
        <w:jc w:val="center"/>
      </w:pPr>
      <w:r w:rsidRPr="00681342">
        <w:rPr>
          <w:noProof/>
          <w:lang w:val="de-DE" w:eastAsia="de-DE"/>
        </w:rPr>
        <w:drawing>
          <wp:anchor distT="0" distB="0" distL="114300" distR="114300" simplePos="0" relativeHeight="251660288" behindDoc="0" locked="0" layoutInCell="1" allowOverlap="1" wp14:anchorId="2959738B" wp14:editId="50248E47">
            <wp:simplePos x="0" y="0"/>
            <wp:positionH relativeFrom="margin">
              <wp:align>center</wp:align>
            </wp:positionH>
            <wp:positionV relativeFrom="paragraph">
              <wp:posOffset>217704</wp:posOffset>
            </wp:positionV>
            <wp:extent cx="5055235" cy="5779770"/>
            <wp:effectExtent l="0" t="0" r="0" b="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5235" cy="577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261">
        <w:t xml:space="preserve">Table 3. Rates of public sharing by subject area. </w:t>
      </w:r>
    </w:p>
    <w:p w14:paraId="1E949072" w14:textId="31578B81" w:rsidR="00681342" w:rsidRDefault="00681342" w:rsidP="00681342"/>
    <w:p w14:paraId="74305CC8" w14:textId="5EE4172A" w:rsidR="00773261" w:rsidRDefault="00773261" w:rsidP="007332B1">
      <w:pPr>
        <w:keepNext/>
        <w:jc w:val="center"/>
      </w:pPr>
      <w:r>
        <w:t>Figure 3: Proportion of researchers who occasionally or regularly share research data publicly that they have produced (themselves or in a team)</w:t>
      </w:r>
    </w:p>
    <w:p w14:paraId="3CD6EA85" w14:textId="0C6326D8" w:rsidR="00773261" w:rsidRDefault="00034869" w:rsidP="00681342">
      <w:r>
        <w:rPr>
          <w:noProof/>
        </w:rPr>
        <w:drawing>
          <wp:inline distT="0" distB="0" distL="0" distR="0" wp14:anchorId="52D5F2D3" wp14:editId="5D7CF32D">
            <wp:extent cx="5354053" cy="7836003"/>
            <wp:effectExtent l="0" t="0" r="0" b="0"/>
            <wp:docPr id="6" name="Grafik 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iagramm enthält.&#10;&#10;Automatisch generierte Beschreibung"/>
                    <pic:cNvPicPr/>
                  </pic:nvPicPr>
                  <pic:blipFill>
                    <a:blip r:embed="rId15"/>
                    <a:stretch>
                      <a:fillRect/>
                    </a:stretch>
                  </pic:blipFill>
                  <pic:spPr>
                    <a:xfrm>
                      <a:off x="0" y="0"/>
                      <a:ext cx="5390533" cy="7889393"/>
                    </a:xfrm>
                    <a:prstGeom prst="rect">
                      <a:avLst/>
                    </a:prstGeom>
                  </pic:spPr>
                </pic:pic>
              </a:graphicData>
            </a:graphic>
          </wp:inline>
        </w:drawing>
      </w:r>
    </w:p>
    <w:p w14:paraId="5DBBF925" w14:textId="450417B0" w:rsidR="00681342" w:rsidRDefault="00681342" w:rsidP="00034869">
      <w:pPr>
        <w:jc w:val="center"/>
      </w:pPr>
    </w:p>
    <w:p w14:paraId="5A9CEB97" w14:textId="641C0519" w:rsidR="00C0458C" w:rsidRDefault="00C0458C" w:rsidP="002B0467">
      <w:pPr>
        <w:jc w:val="center"/>
      </w:pPr>
    </w:p>
    <w:p w14:paraId="0219DA0A" w14:textId="77777777" w:rsidR="007332B1" w:rsidRDefault="007332B1" w:rsidP="007332B1"/>
    <w:p w14:paraId="7A8075F8" w14:textId="10185D10" w:rsidR="00773261" w:rsidRPr="00371742" w:rsidRDefault="00773261" w:rsidP="00773261">
      <w:pPr>
        <w:jc w:val="both"/>
        <w:rPr>
          <w:iCs/>
        </w:rPr>
      </w:pPr>
      <w:r>
        <w:t xml:space="preserve">However, </w:t>
      </w:r>
      <w:r>
        <w:rPr>
          <w:iCs/>
        </w:rPr>
        <w:t xml:space="preserve">the disciplinary affiliation of subject areas tells only part of the story of their epistemic practices. To learn more about the dependency of rates of public sharing on epistemic practices, we juxtapose in </w:t>
      </w:r>
      <w:r w:rsidRPr="00673F81">
        <w:rPr>
          <w:iCs/>
        </w:rPr>
        <w:t>figure 4</w:t>
      </w:r>
      <w:r>
        <w:rPr>
          <w:iCs/>
        </w:rPr>
        <w:t xml:space="preserve"> the public data sharing rate among data producing scientists in a subject area with the rate of data self-sufficiency among them</w:t>
      </w:r>
      <w:r w:rsidR="00BD065E">
        <w:rPr>
          <w:iCs/>
        </w:rPr>
        <w:t xml:space="preserve">. </w:t>
      </w:r>
      <w:r>
        <w:rPr>
          <w:iCs/>
        </w:rPr>
        <w:t>Data self-sufficiency may serve – in first approximation – as indicative of an experimental research orientation. Research that is experimentally oriented generates data under controlled conditions to address a specific research question. Such data are epistemically highly specific, produced by the researchers themselves in custom made experimental set-ups, rather than obtained from a third party (</w:t>
      </w:r>
      <w:proofErr w:type="spellStart"/>
      <w:r>
        <w:rPr>
          <w:iCs/>
        </w:rPr>
        <w:t>Borgman</w:t>
      </w:r>
      <w:proofErr w:type="spellEnd"/>
      <w:r>
        <w:rPr>
          <w:iCs/>
        </w:rPr>
        <w:t xml:space="preserve"> 2012). </w:t>
      </w:r>
    </w:p>
    <w:p w14:paraId="2D3A9D5C" w14:textId="77777777" w:rsidR="00773261" w:rsidRDefault="00773261" w:rsidP="00773261">
      <w:pPr>
        <w:keepNext/>
      </w:pPr>
    </w:p>
    <w:p w14:paraId="590B6600" w14:textId="135D6C71" w:rsidR="00673F81" w:rsidRDefault="00773261" w:rsidP="00371742">
      <w:pPr>
        <w:jc w:val="both"/>
        <w:rPr>
          <w:iCs/>
        </w:rPr>
      </w:pPr>
      <w:r>
        <w:rPr>
          <w:iCs/>
        </w:rPr>
        <w:t>In figure 4 we can identify a large group of subject areas (</w:t>
      </w:r>
      <w:r>
        <w:rPr>
          <w:b/>
          <w:bCs/>
          <w:iCs/>
        </w:rPr>
        <w:t>G</w:t>
      </w:r>
      <w:r w:rsidRPr="007B5AD7">
        <w:rPr>
          <w:b/>
          <w:bCs/>
          <w:iCs/>
        </w:rPr>
        <w:t>roup I</w:t>
      </w:r>
      <w:r>
        <w:rPr>
          <w:iCs/>
        </w:rPr>
        <w:t>) that displays a linear association between rate of data self-sufficiency and rate of public sharing. Then there is a second group of six subject areas that are outliers in so far as that they deviate in one or the other way from group 1 (</w:t>
      </w:r>
      <w:r>
        <w:rPr>
          <w:b/>
          <w:bCs/>
          <w:iCs/>
        </w:rPr>
        <w:t>G</w:t>
      </w:r>
      <w:r w:rsidRPr="007B5AD7">
        <w:rPr>
          <w:b/>
          <w:bCs/>
          <w:iCs/>
        </w:rPr>
        <w:t>roup II</w:t>
      </w:r>
      <w:r>
        <w:rPr>
          <w:b/>
          <w:bCs/>
          <w:iCs/>
        </w:rPr>
        <w:t>: subject areas 03, 04, 12, 17, 19, 20)</w:t>
      </w:r>
      <w:r>
        <w:rPr>
          <w:iCs/>
        </w:rPr>
        <w:t>.</w:t>
      </w:r>
    </w:p>
    <w:p w14:paraId="0872C599" w14:textId="36132BB1" w:rsidR="007332B1" w:rsidRDefault="007332B1" w:rsidP="00371742">
      <w:pPr>
        <w:jc w:val="both"/>
        <w:rPr>
          <w:iCs/>
        </w:rPr>
      </w:pPr>
    </w:p>
    <w:p w14:paraId="187FE61E" w14:textId="7DABC4F1" w:rsidR="007332B1" w:rsidRDefault="007332B1" w:rsidP="00371742">
      <w:pPr>
        <w:jc w:val="both"/>
        <w:rPr>
          <w:iCs/>
        </w:rPr>
      </w:pPr>
    </w:p>
    <w:p w14:paraId="6367BCB2" w14:textId="55FB2E78" w:rsidR="00D50129" w:rsidRDefault="00D25ED1" w:rsidP="007332B1">
      <w:pPr>
        <w:rPr>
          <w:iCs/>
        </w:rPr>
      </w:pPr>
      <w:r>
        <w:t xml:space="preserve">Figure 4: </w:t>
      </w:r>
      <w:r w:rsidR="00673F81">
        <w:t>Rate of d</w:t>
      </w:r>
      <w:r>
        <w:t xml:space="preserve">ata self-sufficiency versus </w:t>
      </w:r>
      <w:r w:rsidR="00860996">
        <w:t>rate of public sharing among</w:t>
      </w:r>
      <w:r w:rsidR="00673F81">
        <w:t xml:space="preserve"> data producers</w:t>
      </w:r>
    </w:p>
    <w:p w14:paraId="3B747C88" w14:textId="7C667FD8" w:rsidR="00A21329" w:rsidRDefault="007332B1" w:rsidP="00A21329">
      <w:pPr>
        <w:jc w:val="both"/>
        <w:rPr>
          <w:iCs/>
        </w:rPr>
      </w:pPr>
      <w:r>
        <w:rPr>
          <w:b/>
          <w:noProof/>
          <w:color w:val="000000"/>
        </w:rPr>
        <w:drawing>
          <wp:inline distT="0" distB="0" distL="0" distR="0" wp14:anchorId="03438892" wp14:editId="5B3C569A">
            <wp:extent cx="5569528" cy="5871613"/>
            <wp:effectExtent l="0" t="0" r="0" b="0"/>
            <wp:docPr id="7" name="Grafik 7"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iagramm enthält.&#10;&#10;Automatisch generierte Beschreibung"/>
                    <pic:cNvPicPr/>
                  </pic:nvPicPr>
                  <pic:blipFill>
                    <a:blip r:embed="rId16"/>
                    <a:stretch>
                      <a:fillRect/>
                    </a:stretch>
                  </pic:blipFill>
                  <pic:spPr>
                    <a:xfrm>
                      <a:off x="0" y="0"/>
                      <a:ext cx="5584148" cy="5887025"/>
                    </a:xfrm>
                    <a:prstGeom prst="rect">
                      <a:avLst/>
                    </a:prstGeom>
                  </pic:spPr>
                </pic:pic>
              </a:graphicData>
            </a:graphic>
          </wp:inline>
        </w:drawing>
      </w:r>
    </w:p>
    <w:p w14:paraId="353D795A" w14:textId="4F13A15E" w:rsidR="00860996" w:rsidRPr="00371742" w:rsidRDefault="00710FA5" w:rsidP="00F03FDC">
      <w:pPr>
        <w:jc w:val="both"/>
        <w:rPr>
          <w:iCs/>
        </w:rPr>
      </w:pPr>
      <w:r w:rsidRPr="007B5AD7">
        <w:rPr>
          <w:b/>
          <w:bCs/>
          <w:iCs/>
        </w:rPr>
        <w:t>Observation</w:t>
      </w:r>
      <w:r w:rsidR="007B5AD7" w:rsidRPr="007B5AD7">
        <w:rPr>
          <w:b/>
          <w:bCs/>
          <w:iCs/>
        </w:rPr>
        <w:t>s</w:t>
      </w:r>
      <w:r w:rsidRPr="007B5AD7">
        <w:rPr>
          <w:b/>
          <w:bCs/>
          <w:iCs/>
        </w:rPr>
        <w:t xml:space="preserve"> </w:t>
      </w:r>
      <w:r w:rsidR="007B5AD7" w:rsidRPr="007B5AD7">
        <w:rPr>
          <w:b/>
          <w:bCs/>
          <w:iCs/>
        </w:rPr>
        <w:t xml:space="preserve">regarding Group </w:t>
      </w:r>
      <w:r w:rsidR="00A21329" w:rsidRPr="007B5AD7">
        <w:rPr>
          <w:b/>
          <w:bCs/>
          <w:iCs/>
        </w:rPr>
        <w:t>I</w:t>
      </w:r>
      <w:r w:rsidR="00EA7D9F">
        <w:rPr>
          <w:b/>
          <w:bCs/>
          <w:iCs/>
        </w:rPr>
        <w:t xml:space="preserve"> (linear trend)</w:t>
      </w:r>
      <w:r w:rsidR="00A21329">
        <w:rPr>
          <w:iCs/>
        </w:rPr>
        <w:t xml:space="preserve">: </w:t>
      </w:r>
      <w:r w:rsidR="00B2135D">
        <w:rPr>
          <w:iCs/>
        </w:rPr>
        <w:t>All subject areas in this group have a pronounced rate of data self-sufficiency (&gt; 50%), suggesting a high relevancy of</w:t>
      </w:r>
      <w:r w:rsidR="00A21329">
        <w:rPr>
          <w:iCs/>
        </w:rPr>
        <w:t xml:space="preserve"> experimental methods.</w:t>
      </w:r>
      <w:r w:rsidR="002D51B7">
        <w:rPr>
          <w:iCs/>
        </w:rPr>
        <w:t xml:space="preserve"> </w:t>
      </w:r>
      <w:r w:rsidR="00B2135D">
        <w:rPr>
          <w:iCs/>
        </w:rPr>
        <w:t>We</w:t>
      </w:r>
      <w:r w:rsidR="002D51B7">
        <w:rPr>
          <w:iCs/>
        </w:rPr>
        <w:t xml:space="preserve"> observe a linear trend</w:t>
      </w:r>
      <w:r w:rsidR="00C63499">
        <w:rPr>
          <w:iCs/>
        </w:rPr>
        <w:t xml:space="preserve"> for this group</w:t>
      </w:r>
      <w:r w:rsidR="002D51B7">
        <w:rPr>
          <w:iCs/>
        </w:rPr>
        <w:t>: the more data self-sufficient, the lower the rate of public sharing of research data.</w:t>
      </w:r>
      <w:r w:rsidR="00B56FAE">
        <w:rPr>
          <w:iCs/>
        </w:rPr>
        <w:t xml:space="preserve"> </w:t>
      </w:r>
      <w:r w:rsidR="007B5AD7">
        <w:rPr>
          <w:iCs/>
        </w:rPr>
        <w:t>Th</w:t>
      </w:r>
      <w:r w:rsidR="00F03FDC">
        <w:rPr>
          <w:iCs/>
        </w:rPr>
        <w:t>r</w:t>
      </w:r>
      <w:r w:rsidR="007B5AD7">
        <w:rPr>
          <w:iCs/>
        </w:rPr>
        <w:t>e</w:t>
      </w:r>
      <w:r w:rsidR="00F03FDC">
        <w:rPr>
          <w:iCs/>
        </w:rPr>
        <w:t>e</w:t>
      </w:r>
      <w:r w:rsidR="007B5AD7">
        <w:rPr>
          <w:iCs/>
        </w:rPr>
        <w:t xml:space="preserve"> </w:t>
      </w:r>
      <w:r w:rsidR="005E3EE6">
        <w:rPr>
          <w:iCs/>
        </w:rPr>
        <w:t>subject area</w:t>
      </w:r>
      <w:r w:rsidR="00371742">
        <w:rPr>
          <w:iCs/>
        </w:rPr>
        <w:t xml:space="preserve">s </w:t>
      </w:r>
      <w:r w:rsidR="00F03FDC">
        <w:rPr>
          <w:iCs/>
        </w:rPr>
        <w:t xml:space="preserve">in </w:t>
      </w:r>
      <w:r w:rsidR="001A2180">
        <w:rPr>
          <w:iCs/>
        </w:rPr>
        <w:t>P</w:t>
      </w:r>
      <w:r w:rsidR="00F03FDC">
        <w:rPr>
          <w:iCs/>
        </w:rPr>
        <w:t>hysics</w:t>
      </w:r>
      <w:r w:rsidR="00AA59F2">
        <w:rPr>
          <w:iCs/>
        </w:rPr>
        <w:t xml:space="preserve"> </w:t>
      </w:r>
      <w:r w:rsidR="007B5AD7">
        <w:rPr>
          <w:iCs/>
        </w:rPr>
        <w:t>occupy the low end of this spectrum, with high data self-sufficiency</w:t>
      </w:r>
      <w:r w:rsidR="00C63499">
        <w:rPr>
          <w:iCs/>
        </w:rPr>
        <w:t>, and public data sharing below 4</w:t>
      </w:r>
      <w:r w:rsidR="007B5AD7">
        <w:rPr>
          <w:iCs/>
        </w:rPr>
        <w:t xml:space="preserve">0%. At the upper end of the spectrum, we find </w:t>
      </w:r>
      <w:r w:rsidR="005E3EE6">
        <w:rPr>
          <w:iCs/>
        </w:rPr>
        <w:t>subject area</w:t>
      </w:r>
      <w:r w:rsidR="007B5AD7">
        <w:rPr>
          <w:iCs/>
        </w:rPr>
        <w:t>s with higher rates of public sharing, and lower rates of dat</w:t>
      </w:r>
      <w:r w:rsidR="00371742">
        <w:rPr>
          <w:iCs/>
        </w:rPr>
        <w:t>a self-sufficiency</w:t>
      </w:r>
      <w:r w:rsidR="00AA59F2">
        <w:rPr>
          <w:iCs/>
        </w:rPr>
        <w:t>. Among them are</w:t>
      </w:r>
      <w:r w:rsidR="00371742">
        <w:rPr>
          <w:iCs/>
        </w:rPr>
        <w:t xml:space="preserve"> subject areas</w:t>
      </w:r>
      <w:r w:rsidR="00AA59F2">
        <w:rPr>
          <w:iCs/>
        </w:rPr>
        <w:t xml:space="preserve"> such as Molecular C</w:t>
      </w:r>
      <w:r w:rsidR="00AA59F2" w:rsidRPr="00FA6432">
        <w:rPr>
          <w:iCs/>
        </w:rPr>
        <w:t>hemistry, a</w:t>
      </w:r>
      <w:r w:rsidR="00AA59F2">
        <w:rPr>
          <w:iCs/>
        </w:rPr>
        <w:t>nd B</w:t>
      </w:r>
      <w:r w:rsidR="00AA59F2" w:rsidRPr="00FA6432">
        <w:rPr>
          <w:color w:val="000000"/>
        </w:rPr>
        <w:t xml:space="preserve">asic Biological </w:t>
      </w:r>
      <w:r w:rsidR="009C38F6">
        <w:rPr>
          <w:color w:val="000000"/>
        </w:rPr>
        <w:t>&amp;</w:t>
      </w:r>
      <w:r w:rsidR="00AA59F2" w:rsidRPr="00FA6432">
        <w:rPr>
          <w:color w:val="000000"/>
        </w:rPr>
        <w:t xml:space="preserve"> Medical Research</w:t>
      </w:r>
      <w:r w:rsidR="00AA59F2">
        <w:rPr>
          <w:color w:val="000000"/>
        </w:rPr>
        <w:t xml:space="preserve">, </w:t>
      </w:r>
      <w:r w:rsidR="009C38F6">
        <w:rPr>
          <w:color w:val="000000"/>
        </w:rPr>
        <w:t>which</w:t>
      </w:r>
      <w:r w:rsidR="00AA59F2">
        <w:rPr>
          <w:iCs/>
        </w:rPr>
        <w:t xml:space="preserve"> </w:t>
      </w:r>
      <w:r w:rsidR="007B5AD7">
        <w:rPr>
          <w:iCs/>
        </w:rPr>
        <w:t>produce (and use) data such as genetic sequences and molecular structures</w:t>
      </w:r>
      <w:r w:rsidR="00AA59F2">
        <w:rPr>
          <w:iCs/>
        </w:rPr>
        <w:t>, which</w:t>
      </w:r>
      <w:r w:rsidR="007B5AD7">
        <w:rPr>
          <w:iCs/>
        </w:rPr>
        <w:t xml:space="preserve"> are stored and made available in global databases</w:t>
      </w:r>
      <w:r w:rsidR="00371742">
        <w:rPr>
          <w:iCs/>
        </w:rPr>
        <w:t xml:space="preserve">. </w:t>
      </w:r>
      <w:r w:rsidR="00371742" w:rsidRPr="00371742">
        <w:rPr>
          <w:iCs/>
        </w:rPr>
        <w:t xml:space="preserve">Whereas experimental data from custom made experiments often is scientifically exploited after its original </w:t>
      </w:r>
      <w:r w:rsidR="009C38F6" w:rsidRPr="00371742">
        <w:rPr>
          <w:iCs/>
        </w:rPr>
        <w:t>analysis and</w:t>
      </w:r>
      <w:r w:rsidR="00371742" w:rsidRPr="00371742">
        <w:rPr>
          <w:iCs/>
        </w:rPr>
        <w:t xml:space="preserve"> considered of limited re-use value (</w:t>
      </w:r>
      <w:proofErr w:type="spellStart"/>
      <w:r w:rsidR="00371742" w:rsidRPr="00371742">
        <w:rPr>
          <w:iCs/>
        </w:rPr>
        <w:t>Akmon</w:t>
      </w:r>
      <w:proofErr w:type="spellEnd"/>
      <w:r w:rsidR="00371742" w:rsidRPr="00371742">
        <w:rPr>
          <w:iCs/>
        </w:rPr>
        <w:t xml:space="preserve"> 2014), molecular structures and genetic sequences are </w:t>
      </w:r>
      <w:r w:rsidR="007B5AD7" w:rsidRPr="00371742">
        <w:rPr>
          <w:iCs/>
        </w:rPr>
        <w:t xml:space="preserve">forms </w:t>
      </w:r>
      <w:r w:rsidR="00D13295" w:rsidRPr="00371742">
        <w:rPr>
          <w:iCs/>
        </w:rPr>
        <w:t>of</w:t>
      </w:r>
      <w:r w:rsidR="007B5AD7" w:rsidRPr="00371742">
        <w:rPr>
          <w:iCs/>
        </w:rPr>
        <w:t xml:space="preserve"> data that </w:t>
      </w:r>
      <w:r w:rsidR="00D13295" w:rsidRPr="00371742">
        <w:rPr>
          <w:iCs/>
        </w:rPr>
        <w:t xml:space="preserve">are highly standardized and </w:t>
      </w:r>
      <w:r w:rsidR="007B5AD7" w:rsidRPr="00371742">
        <w:rPr>
          <w:iCs/>
        </w:rPr>
        <w:t>have great re-use value for scientific research</w:t>
      </w:r>
      <w:r w:rsidR="00BD58BF">
        <w:rPr>
          <w:iCs/>
        </w:rPr>
        <w:t xml:space="preserve"> (</w:t>
      </w:r>
      <w:proofErr w:type="spellStart"/>
      <w:r w:rsidR="00BD58BF" w:rsidRPr="00371742">
        <w:rPr>
          <w:iCs/>
        </w:rPr>
        <w:t>Borgman</w:t>
      </w:r>
      <w:proofErr w:type="spellEnd"/>
      <w:r w:rsidR="00BD58BF" w:rsidRPr="00371742">
        <w:rPr>
          <w:iCs/>
        </w:rPr>
        <w:t xml:space="preserve"> 2012</w:t>
      </w:r>
      <w:r w:rsidR="00BD58BF">
        <w:rPr>
          <w:iCs/>
        </w:rPr>
        <w:t>)</w:t>
      </w:r>
      <w:r w:rsidR="007B5AD7" w:rsidRPr="00371742">
        <w:rPr>
          <w:iCs/>
        </w:rPr>
        <w:t xml:space="preserve">. </w:t>
      </w:r>
      <w:r w:rsidR="00BD58BF">
        <w:rPr>
          <w:iCs/>
        </w:rPr>
        <w:t>T</w:t>
      </w:r>
      <w:r w:rsidR="007B5AD7" w:rsidRPr="00371742">
        <w:rPr>
          <w:iCs/>
        </w:rPr>
        <w:t>he lower rate of self-sufficiency along with the higher</w:t>
      </w:r>
      <w:r w:rsidR="007B5AD7">
        <w:rPr>
          <w:iCs/>
        </w:rPr>
        <w:t xml:space="preserve"> rate of public sharing could be </w:t>
      </w:r>
      <w:r w:rsidR="00BD58BF">
        <w:rPr>
          <w:iCs/>
        </w:rPr>
        <w:t xml:space="preserve">indicative of a mutual interdependency of researchers in these subject areas </w:t>
      </w:r>
      <w:r w:rsidR="009C38F6">
        <w:rPr>
          <w:iCs/>
        </w:rPr>
        <w:t>regarding</w:t>
      </w:r>
      <w:r w:rsidR="00BD58BF">
        <w:rPr>
          <w:iCs/>
        </w:rPr>
        <w:t xml:space="preserve"> data </w:t>
      </w:r>
      <w:r w:rsidR="00AA59F2">
        <w:rPr>
          <w:iCs/>
        </w:rPr>
        <w:t xml:space="preserve">they </w:t>
      </w:r>
      <w:r w:rsidR="00BD58BF">
        <w:rPr>
          <w:iCs/>
        </w:rPr>
        <w:t>produc</w:t>
      </w:r>
      <w:r w:rsidR="00AA59F2">
        <w:rPr>
          <w:iCs/>
        </w:rPr>
        <w:t>e</w:t>
      </w:r>
      <w:r w:rsidR="00BD58BF">
        <w:rPr>
          <w:iCs/>
        </w:rPr>
        <w:t xml:space="preserve"> and use. </w:t>
      </w:r>
    </w:p>
    <w:p w14:paraId="08612839" w14:textId="77777777" w:rsidR="00FA6432" w:rsidRDefault="00FA6432">
      <w:pPr>
        <w:jc w:val="both"/>
        <w:rPr>
          <w:iCs/>
        </w:rPr>
      </w:pPr>
    </w:p>
    <w:p w14:paraId="1589FA49" w14:textId="2676950E" w:rsidR="00CB2072" w:rsidRDefault="00710FA5" w:rsidP="00CB2072">
      <w:pPr>
        <w:jc w:val="both"/>
        <w:rPr>
          <w:color w:val="000000"/>
        </w:rPr>
      </w:pPr>
      <w:r w:rsidRPr="00213722">
        <w:rPr>
          <w:b/>
          <w:bCs/>
          <w:iCs/>
        </w:rPr>
        <w:t>Observation</w:t>
      </w:r>
      <w:r w:rsidR="00371742">
        <w:rPr>
          <w:b/>
          <w:bCs/>
          <w:iCs/>
        </w:rPr>
        <w:t>s</w:t>
      </w:r>
      <w:r w:rsidRPr="00213722">
        <w:rPr>
          <w:b/>
          <w:bCs/>
          <w:iCs/>
        </w:rPr>
        <w:t xml:space="preserve"> </w:t>
      </w:r>
      <w:r w:rsidR="006C5083">
        <w:rPr>
          <w:b/>
          <w:bCs/>
          <w:iCs/>
        </w:rPr>
        <w:t>reg</w:t>
      </w:r>
      <w:r w:rsidR="00213722" w:rsidRPr="00213722">
        <w:rPr>
          <w:b/>
          <w:bCs/>
          <w:iCs/>
        </w:rPr>
        <w:t>a</w:t>
      </w:r>
      <w:r w:rsidR="006C5083">
        <w:rPr>
          <w:b/>
          <w:bCs/>
          <w:iCs/>
        </w:rPr>
        <w:t>r</w:t>
      </w:r>
      <w:r w:rsidR="00213722" w:rsidRPr="00213722">
        <w:rPr>
          <w:b/>
          <w:bCs/>
          <w:iCs/>
        </w:rPr>
        <w:t xml:space="preserve">ding Group </w:t>
      </w:r>
      <w:r w:rsidR="00246DEE" w:rsidRPr="00213722">
        <w:rPr>
          <w:b/>
          <w:bCs/>
          <w:iCs/>
        </w:rPr>
        <w:t>II</w:t>
      </w:r>
      <w:r w:rsidR="00EA7D9F">
        <w:rPr>
          <w:b/>
          <w:bCs/>
          <w:iCs/>
        </w:rPr>
        <w:t xml:space="preserve"> (</w:t>
      </w:r>
      <w:r w:rsidR="00371742">
        <w:rPr>
          <w:b/>
          <w:bCs/>
          <w:iCs/>
        </w:rPr>
        <w:t>‘</w:t>
      </w:r>
      <w:r w:rsidR="00EA7D9F">
        <w:rPr>
          <w:b/>
          <w:bCs/>
          <w:iCs/>
        </w:rPr>
        <w:t>outliers</w:t>
      </w:r>
      <w:r w:rsidR="00371742">
        <w:rPr>
          <w:b/>
          <w:bCs/>
          <w:iCs/>
        </w:rPr>
        <w:t>’</w:t>
      </w:r>
      <w:r w:rsidR="00EA7D9F">
        <w:rPr>
          <w:b/>
          <w:bCs/>
          <w:iCs/>
        </w:rPr>
        <w:t>)</w:t>
      </w:r>
      <w:r w:rsidR="00246DEE" w:rsidRPr="00213722">
        <w:rPr>
          <w:b/>
          <w:bCs/>
          <w:iCs/>
        </w:rPr>
        <w:t>:</w:t>
      </w:r>
      <w:r w:rsidR="00246DEE">
        <w:rPr>
          <w:iCs/>
        </w:rPr>
        <w:t xml:space="preserve"> </w:t>
      </w:r>
      <w:r w:rsidR="00D84A0C">
        <w:rPr>
          <w:iCs/>
        </w:rPr>
        <w:t>Th</w:t>
      </w:r>
      <w:r w:rsidR="00213722">
        <w:rPr>
          <w:iCs/>
        </w:rPr>
        <w:t>is</w:t>
      </w:r>
      <w:r w:rsidR="00D84A0C">
        <w:rPr>
          <w:iCs/>
        </w:rPr>
        <w:t xml:space="preserve"> group of </w:t>
      </w:r>
      <w:r w:rsidR="005E3EE6">
        <w:rPr>
          <w:iCs/>
        </w:rPr>
        <w:t>subject area</w:t>
      </w:r>
      <w:r w:rsidR="00246DEE">
        <w:rPr>
          <w:iCs/>
        </w:rPr>
        <w:t xml:space="preserve">s </w:t>
      </w:r>
      <w:r w:rsidR="00D84A0C">
        <w:rPr>
          <w:iCs/>
        </w:rPr>
        <w:t>shows a</w:t>
      </w:r>
      <w:r w:rsidR="004D5654">
        <w:rPr>
          <w:iCs/>
        </w:rPr>
        <w:t xml:space="preserve"> </w:t>
      </w:r>
      <w:r w:rsidR="009C38F6">
        <w:rPr>
          <w:iCs/>
        </w:rPr>
        <w:t>disparate</w:t>
      </w:r>
      <w:r w:rsidR="00D84A0C">
        <w:rPr>
          <w:iCs/>
        </w:rPr>
        <w:t xml:space="preserve"> pattern</w:t>
      </w:r>
      <w:r w:rsidR="004D5654">
        <w:rPr>
          <w:iCs/>
        </w:rPr>
        <w:t xml:space="preserve">. </w:t>
      </w:r>
      <w:r w:rsidR="00AF5EC5">
        <w:rPr>
          <w:iCs/>
        </w:rPr>
        <w:t>We</w:t>
      </w:r>
      <w:r w:rsidR="00246DEE">
        <w:rPr>
          <w:iCs/>
        </w:rPr>
        <w:t xml:space="preserve"> can distinguish two subgroups</w:t>
      </w:r>
      <w:r w:rsidR="00AF5EC5">
        <w:rPr>
          <w:iCs/>
        </w:rPr>
        <w:t>:</w:t>
      </w:r>
      <w:r w:rsidR="00DF36CF">
        <w:rPr>
          <w:iCs/>
        </w:rPr>
        <w:t xml:space="preserve"> </w:t>
      </w:r>
      <w:r w:rsidR="00CB2072">
        <w:rPr>
          <w:iCs/>
        </w:rPr>
        <w:t>three</w:t>
      </w:r>
      <w:r w:rsidR="00F86010">
        <w:rPr>
          <w:iCs/>
        </w:rPr>
        <w:t xml:space="preserve"> </w:t>
      </w:r>
      <w:r w:rsidR="009C38F6">
        <w:rPr>
          <w:iCs/>
        </w:rPr>
        <w:t>N</w:t>
      </w:r>
      <w:r w:rsidR="00F86010">
        <w:rPr>
          <w:iCs/>
        </w:rPr>
        <w:t xml:space="preserve">atural </w:t>
      </w:r>
      <w:r w:rsidR="009C38F6">
        <w:rPr>
          <w:iCs/>
        </w:rPr>
        <w:t>S</w:t>
      </w:r>
      <w:r w:rsidR="00F86010">
        <w:rPr>
          <w:iCs/>
        </w:rPr>
        <w:t xml:space="preserve">cience </w:t>
      </w:r>
      <w:r w:rsidR="005E3EE6">
        <w:rPr>
          <w:iCs/>
        </w:rPr>
        <w:t>subject area</w:t>
      </w:r>
      <w:r w:rsidR="00246DEE">
        <w:rPr>
          <w:iCs/>
        </w:rPr>
        <w:t xml:space="preserve">s with </w:t>
      </w:r>
      <w:r w:rsidR="009C38F6">
        <w:rPr>
          <w:iCs/>
        </w:rPr>
        <w:t>an extremely high</w:t>
      </w:r>
      <w:r w:rsidR="00246DEE">
        <w:rPr>
          <w:iCs/>
        </w:rPr>
        <w:t xml:space="preserve"> </w:t>
      </w:r>
      <w:r w:rsidR="00246DEE" w:rsidRPr="00DF36CF">
        <w:rPr>
          <w:iCs/>
        </w:rPr>
        <w:t>rate of pub</w:t>
      </w:r>
      <w:r w:rsidR="00DF36CF" w:rsidRPr="00DF36CF">
        <w:rPr>
          <w:iCs/>
        </w:rPr>
        <w:t>l</w:t>
      </w:r>
      <w:r w:rsidR="00246DEE" w:rsidRPr="00DF36CF">
        <w:rPr>
          <w:iCs/>
        </w:rPr>
        <w:t>ic data sharing</w:t>
      </w:r>
      <w:r w:rsidR="00213722">
        <w:rPr>
          <w:iCs/>
        </w:rPr>
        <w:t xml:space="preserve"> </w:t>
      </w:r>
      <w:r w:rsidR="00CB2072">
        <w:rPr>
          <w:iCs/>
        </w:rPr>
        <w:t>&gt;= 65%</w:t>
      </w:r>
      <w:r w:rsidR="00213722">
        <w:rPr>
          <w:iCs/>
        </w:rPr>
        <w:t>)</w:t>
      </w:r>
      <w:r w:rsidR="00AA59F2">
        <w:rPr>
          <w:iCs/>
        </w:rPr>
        <w:t xml:space="preserve">. </w:t>
      </w:r>
      <w:r w:rsidR="00F86010">
        <w:rPr>
          <w:color w:val="000000"/>
        </w:rPr>
        <w:t xml:space="preserve">The second subgroup consists of </w:t>
      </w:r>
      <w:r w:rsidR="00CB2072">
        <w:rPr>
          <w:color w:val="000000"/>
        </w:rPr>
        <w:t>three</w:t>
      </w:r>
      <w:r w:rsidR="00F86010" w:rsidRPr="00DF36CF">
        <w:rPr>
          <w:color w:val="000000"/>
        </w:rPr>
        <w:t xml:space="preserve"> </w:t>
      </w:r>
      <w:r w:rsidR="005E3EE6">
        <w:rPr>
          <w:color w:val="000000"/>
        </w:rPr>
        <w:t>subject area</w:t>
      </w:r>
      <w:r w:rsidR="00F86010" w:rsidRPr="00DF36CF">
        <w:rPr>
          <w:color w:val="000000"/>
        </w:rPr>
        <w:t xml:space="preserve">s </w:t>
      </w:r>
      <w:r w:rsidR="00AA59F2">
        <w:rPr>
          <w:color w:val="000000"/>
        </w:rPr>
        <w:t xml:space="preserve">in the </w:t>
      </w:r>
      <w:r w:rsidR="009C38F6">
        <w:rPr>
          <w:color w:val="000000"/>
        </w:rPr>
        <w:t>B</w:t>
      </w:r>
      <w:r w:rsidR="00AA59F2">
        <w:rPr>
          <w:color w:val="000000"/>
        </w:rPr>
        <w:t xml:space="preserve">ehavioural </w:t>
      </w:r>
      <w:r w:rsidR="009C38F6">
        <w:rPr>
          <w:color w:val="000000"/>
        </w:rPr>
        <w:t>&amp; S</w:t>
      </w:r>
      <w:r w:rsidR="00AA59F2">
        <w:rPr>
          <w:color w:val="000000"/>
        </w:rPr>
        <w:t>ocial sciences that expose</w:t>
      </w:r>
      <w:r w:rsidR="00F86010" w:rsidRPr="00DF36CF">
        <w:rPr>
          <w:color w:val="000000"/>
        </w:rPr>
        <w:t xml:space="preserve"> a </w:t>
      </w:r>
      <w:r w:rsidR="002A0AFE">
        <w:rPr>
          <w:color w:val="000000"/>
        </w:rPr>
        <w:t>low</w:t>
      </w:r>
      <w:r w:rsidR="00CB2072">
        <w:rPr>
          <w:color w:val="000000"/>
        </w:rPr>
        <w:t xml:space="preserve"> </w:t>
      </w:r>
      <w:r w:rsidR="00F86010" w:rsidRPr="00DF36CF">
        <w:rPr>
          <w:color w:val="000000"/>
        </w:rPr>
        <w:t xml:space="preserve">rate of public data sharing </w:t>
      </w:r>
      <w:r w:rsidR="00213722">
        <w:rPr>
          <w:color w:val="000000"/>
        </w:rPr>
        <w:t>(&lt;</w:t>
      </w:r>
      <w:r w:rsidR="00CB2072">
        <w:rPr>
          <w:color w:val="000000"/>
        </w:rPr>
        <w:t xml:space="preserve"> 35</w:t>
      </w:r>
      <w:r w:rsidR="00F86010" w:rsidRPr="00DF36CF">
        <w:rPr>
          <w:color w:val="000000"/>
        </w:rPr>
        <w:t>%</w:t>
      </w:r>
      <w:r w:rsidR="00213722">
        <w:rPr>
          <w:color w:val="000000"/>
        </w:rPr>
        <w:t>)</w:t>
      </w:r>
      <w:r w:rsidR="00AA59F2">
        <w:rPr>
          <w:color w:val="000000"/>
        </w:rPr>
        <w:t>.</w:t>
      </w:r>
    </w:p>
    <w:p w14:paraId="547B862B" w14:textId="33C78B96" w:rsidR="00F86010" w:rsidRPr="00371742" w:rsidRDefault="00F86010" w:rsidP="00DF36CF">
      <w:pPr>
        <w:jc w:val="both"/>
        <w:rPr>
          <w:iCs/>
        </w:rPr>
      </w:pPr>
    </w:p>
    <w:p w14:paraId="4112E470" w14:textId="0FF25ED6" w:rsidR="0012636C" w:rsidRDefault="00653C1A" w:rsidP="00DF36CF">
      <w:pPr>
        <w:jc w:val="both"/>
        <w:rPr>
          <w:color w:val="000000"/>
        </w:rPr>
      </w:pPr>
      <w:r w:rsidRPr="009A2CA7">
        <w:rPr>
          <w:color w:val="000000"/>
        </w:rPr>
        <w:t>Among t</w:t>
      </w:r>
      <w:r w:rsidR="00CB2072" w:rsidRPr="009A2CA7">
        <w:rPr>
          <w:color w:val="000000"/>
        </w:rPr>
        <w:t>he three</w:t>
      </w:r>
      <w:r w:rsidR="00EF13C9" w:rsidRPr="009A2CA7">
        <w:rPr>
          <w:color w:val="000000"/>
        </w:rPr>
        <w:t xml:space="preserve"> </w:t>
      </w:r>
      <w:r w:rsidR="00F86010" w:rsidRPr="009A2CA7">
        <w:rPr>
          <w:color w:val="000000"/>
        </w:rPr>
        <w:t xml:space="preserve">natural science </w:t>
      </w:r>
      <w:r w:rsidR="005E3EE6" w:rsidRPr="009A2CA7">
        <w:rPr>
          <w:color w:val="000000"/>
        </w:rPr>
        <w:t>subject area</w:t>
      </w:r>
      <w:r w:rsidR="00EF13C9" w:rsidRPr="009A2CA7">
        <w:rPr>
          <w:color w:val="000000"/>
        </w:rPr>
        <w:t>s</w:t>
      </w:r>
      <w:r>
        <w:rPr>
          <w:color w:val="000000"/>
        </w:rPr>
        <w:t xml:space="preserve">, </w:t>
      </w:r>
      <w:r w:rsidR="00B254C6">
        <w:rPr>
          <w:color w:val="000000"/>
        </w:rPr>
        <w:t xml:space="preserve">Astronomy </w:t>
      </w:r>
      <w:r w:rsidR="009C38F6">
        <w:rPr>
          <w:color w:val="000000"/>
        </w:rPr>
        <w:t>&amp;</w:t>
      </w:r>
      <w:r w:rsidR="00B254C6">
        <w:rPr>
          <w:color w:val="000000"/>
        </w:rPr>
        <w:t xml:space="preserve"> A</w:t>
      </w:r>
      <w:r>
        <w:rPr>
          <w:color w:val="000000"/>
        </w:rPr>
        <w:t>strophysics</w:t>
      </w:r>
      <w:r w:rsidR="00F86010">
        <w:rPr>
          <w:color w:val="000000"/>
        </w:rPr>
        <w:t xml:space="preserve"> </w:t>
      </w:r>
      <w:r>
        <w:rPr>
          <w:color w:val="000000"/>
        </w:rPr>
        <w:t>is set apart by an extremely low rate of data self-sufficiency</w:t>
      </w:r>
      <w:r w:rsidR="00F86010">
        <w:rPr>
          <w:color w:val="000000"/>
        </w:rPr>
        <w:t xml:space="preserve">. </w:t>
      </w:r>
      <w:r>
        <w:rPr>
          <w:color w:val="000000"/>
        </w:rPr>
        <w:t>It</w:t>
      </w:r>
      <w:r w:rsidR="00B21C48">
        <w:rPr>
          <w:color w:val="000000"/>
        </w:rPr>
        <w:t xml:space="preserve"> is a distinctively observational field, </w:t>
      </w:r>
      <w:r w:rsidR="002A0AFE">
        <w:rPr>
          <w:color w:val="000000"/>
        </w:rPr>
        <w:t xml:space="preserve">unified by a </w:t>
      </w:r>
      <w:r w:rsidR="007C6862">
        <w:rPr>
          <w:color w:val="000000"/>
        </w:rPr>
        <w:t>common</w:t>
      </w:r>
      <w:r w:rsidR="002A0AFE">
        <w:rPr>
          <w:color w:val="000000"/>
        </w:rPr>
        <w:t xml:space="preserve"> </w:t>
      </w:r>
      <w:r w:rsidR="007C6862">
        <w:rPr>
          <w:color w:val="000000"/>
        </w:rPr>
        <w:t>type</w:t>
      </w:r>
      <w:r w:rsidR="002A0AFE">
        <w:rPr>
          <w:color w:val="000000"/>
        </w:rPr>
        <w:t xml:space="preserve"> </w:t>
      </w:r>
      <w:r w:rsidR="0045401D">
        <w:rPr>
          <w:color w:val="000000"/>
        </w:rPr>
        <w:t xml:space="preserve">of </w:t>
      </w:r>
      <w:r w:rsidR="002A0AFE">
        <w:rPr>
          <w:color w:val="000000"/>
        </w:rPr>
        <w:t xml:space="preserve">empirical </w:t>
      </w:r>
      <w:r w:rsidR="0045401D">
        <w:rPr>
          <w:color w:val="000000"/>
        </w:rPr>
        <w:t xml:space="preserve">data: </w:t>
      </w:r>
      <w:r w:rsidR="00B21C48">
        <w:rPr>
          <w:color w:val="000000"/>
        </w:rPr>
        <w:t xml:space="preserve">electromagnetic radiation reaching </w:t>
      </w:r>
      <w:r w:rsidR="0045401D">
        <w:rPr>
          <w:color w:val="000000"/>
        </w:rPr>
        <w:t>Earth</w:t>
      </w:r>
      <w:r w:rsidR="002A0AFE">
        <w:rPr>
          <w:color w:val="000000"/>
        </w:rPr>
        <w:t xml:space="preserve"> from the sky</w:t>
      </w:r>
      <w:r w:rsidR="00B21C48">
        <w:rPr>
          <w:color w:val="000000"/>
        </w:rPr>
        <w:t xml:space="preserve">. Combining digital observational data from </w:t>
      </w:r>
      <w:r w:rsidR="009C38F6">
        <w:rPr>
          <w:color w:val="000000"/>
        </w:rPr>
        <w:t>various sources</w:t>
      </w:r>
      <w:r w:rsidR="00B21C48">
        <w:rPr>
          <w:color w:val="000000"/>
        </w:rPr>
        <w:t xml:space="preserve"> is </w:t>
      </w:r>
      <w:r w:rsidR="009C38F6">
        <w:rPr>
          <w:color w:val="000000"/>
        </w:rPr>
        <w:t>a frequent practice</w:t>
      </w:r>
      <w:r w:rsidR="00B21C48">
        <w:rPr>
          <w:color w:val="000000"/>
        </w:rPr>
        <w:t xml:space="preserve"> (</w:t>
      </w:r>
      <w:r w:rsidR="008B27B7">
        <w:rPr>
          <w:color w:val="000000"/>
        </w:rPr>
        <w:t xml:space="preserve">Genova 2018, </w:t>
      </w:r>
      <w:proofErr w:type="spellStart"/>
      <w:r w:rsidR="00B21C48">
        <w:rPr>
          <w:color w:val="000000"/>
        </w:rPr>
        <w:t>Hoeppe</w:t>
      </w:r>
      <w:proofErr w:type="spellEnd"/>
      <w:r w:rsidR="00B21C48">
        <w:rPr>
          <w:color w:val="000000"/>
        </w:rPr>
        <w:t xml:space="preserve"> </w:t>
      </w:r>
      <w:r w:rsidR="0045401D">
        <w:rPr>
          <w:color w:val="000000"/>
        </w:rPr>
        <w:t>2014</w:t>
      </w:r>
      <w:r w:rsidR="00B21C48">
        <w:rPr>
          <w:color w:val="000000"/>
        </w:rPr>
        <w:t>)</w:t>
      </w:r>
      <w:r w:rsidR="0012636C">
        <w:rPr>
          <w:color w:val="000000"/>
        </w:rPr>
        <w:t xml:space="preserve">, which </w:t>
      </w:r>
      <w:r w:rsidR="002C25DE">
        <w:rPr>
          <w:color w:val="000000"/>
        </w:rPr>
        <w:t>would align with</w:t>
      </w:r>
      <w:r w:rsidR="0012636C">
        <w:rPr>
          <w:color w:val="000000"/>
        </w:rPr>
        <w:t xml:space="preserve"> the low rate of data self-sufficiency</w:t>
      </w:r>
      <w:r w:rsidR="002C25DE">
        <w:rPr>
          <w:color w:val="000000"/>
        </w:rPr>
        <w:t xml:space="preserve"> reported here</w:t>
      </w:r>
      <w:r w:rsidR="00B21C48">
        <w:rPr>
          <w:color w:val="000000"/>
        </w:rPr>
        <w:t xml:space="preserve">. </w:t>
      </w:r>
      <w:r w:rsidR="007C6862">
        <w:rPr>
          <w:color w:val="000000"/>
        </w:rPr>
        <w:t xml:space="preserve">In Plant Sciences </w:t>
      </w:r>
      <w:r w:rsidR="0045401D">
        <w:rPr>
          <w:color w:val="000000"/>
        </w:rPr>
        <w:t>a great</w:t>
      </w:r>
      <w:r w:rsidR="005A1914">
        <w:rPr>
          <w:color w:val="000000"/>
        </w:rPr>
        <w:t xml:space="preserve"> </w:t>
      </w:r>
      <w:r w:rsidR="00023896">
        <w:rPr>
          <w:color w:val="000000"/>
        </w:rPr>
        <w:t>diversity of sources of empirical data</w:t>
      </w:r>
      <w:r w:rsidR="00F86010">
        <w:rPr>
          <w:color w:val="000000"/>
        </w:rPr>
        <w:t xml:space="preserve"> </w:t>
      </w:r>
      <w:r w:rsidR="00023896">
        <w:rPr>
          <w:color w:val="000000"/>
        </w:rPr>
        <w:t>exist</w:t>
      </w:r>
      <w:r w:rsidR="00AA59F2">
        <w:rPr>
          <w:color w:val="000000"/>
        </w:rPr>
        <w:t>s</w:t>
      </w:r>
      <w:r w:rsidR="005A1914">
        <w:rPr>
          <w:color w:val="000000"/>
        </w:rPr>
        <w:t xml:space="preserve">, </w:t>
      </w:r>
      <w:r w:rsidR="0045401D">
        <w:rPr>
          <w:color w:val="000000"/>
        </w:rPr>
        <w:t>such as</w:t>
      </w:r>
      <w:r w:rsidR="005A1914">
        <w:rPr>
          <w:color w:val="000000"/>
        </w:rPr>
        <w:t xml:space="preserve"> </w:t>
      </w:r>
      <w:r w:rsidR="00F86010">
        <w:rPr>
          <w:color w:val="000000"/>
        </w:rPr>
        <w:t xml:space="preserve">genetic analyses, </w:t>
      </w:r>
      <w:r w:rsidR="00101F35">
        <w:rPr>
          <w:color w:val="000000"/>
        </w:rPr>
        <w:t xml:space="preserve">lab based or field-based </w:t>
      </w:r>
      <w:r w:rsidR="00F86010">
        <w:rPr>
          <w:color w:val="000000"/>
        </w:rPr>
        <w:t>experiments</w:t>
      </w:r>
      <w:r w:rsidR="00101F35">
        <w:rPr>
          <w:color w:val="000000"/>
        </w:rPr>
        <w:t>,</w:t>
      </w:r>
      <w:r w:rsidR="0045401D">
        <w:rPr>
          <w:color w:val="000000"/>
        </w:rPr>
        <w:t xml:space="preserve"> and</w:t>
      </w:r>
      <w:r w:rsidR="005A1914">
        <w:rPr>
          <w:color w:val="000000"/>
        </w:rPr>
        <w:t xml:space="preserve"> observational fieldwork. </w:t>
      </w:r>
      <w:r w:rsidR="00AA59F2">
        <w:rPr>
          <w:color w:val="000000"/>
        </w:rPr>
        <w:t>T</w:t>
      </w:r>
      <w:r w:rsidR="005A1914">
        <w:rPr>
          <w:color w:val="000000"/>
        </w:rPr>
        <w:t xml:space="preserve">he data self-sufficiency </w:t>
      </w:r>
      <w:r w:rsidR="00BD58BF">
        <w:rPr>
          <w:color w:val="000000"/>
        </w:rPr>
        <w:t>and the</w:t>
      </w:r>
      <w:r w:rsidR="005A1914">
        <w:rPr>
          <w:color w:val="000000"/>
        </w:rPr>
        <w:t xml:space="preserve"> </w:t>
      </w:r>
      <w:r w:rsidR="00F86010">
        <w:rPr>
          <w:color w:val="000000"/>
        </w:rPr>
        <w:t xml:space="preserve">rate of public data sharing reported </w:t>
      </w:r>
      <w:r w:rsidR="0045401D">
        <w:rPr>
          <w:color w:val="000000"/>
        </w:rPr>
        <w:t xml:space="preserve">for this </w:t>
      </w:r>
      <w:r w:rsidR="005E3EE6">
        <w:rPr>
          <w:color w:val="000000"/>
        </w:rPr>
        <w:t>subject area</w:t>
      </w:r>
      <w:r w:rsidR="00F86010">
        <w:rPr>
          <w:color w:val="000000"/>
        </w:rPr>
        <w:t xml:space="preserve"> </w:t>
      </w:r>
      <w:r w:rsidR="0012636C">
        <w:rPr>
          <w:color w:val="000000"/>
        </w:rPr>
        <w:t>likely</w:t>
      </w:r>
      <w:r w:rsidR="0045401D">
        <w:rPr>
          <w:color w:val="000000"/>
        </w:rPr>
        <w:t xml:space="preserve"> </w:t>
      </w:r>
      <w:r w:rsidR="00F86010">
        <w:rPr>
          <w:color w:val="000000"/>
        </w:rPr>
        <w:t>represent</w:t>
      </w:r>
      <w:r w:rsidR="0012636C">
        <w:rPr>
          <w:color w:val="000000"/>
        </w:rPr>
        <w:t xml:space="preserve"> an aggregate </w:t>
      </w:r>
      <w:r w:rsidR="00101F35">
        <w:rPr>
          <w:color w:val="000000"/>
        </w:rPr>
        <w:t>that conflates</w:t>
      </w:r>
      <w:r w:rsidR="0012636C">
        <w:rPr>
          <w:color w:val="000000"/>
        </w:rPr>
        <w:t xml:space="preserve"> a </w:t>
      </w:r>
      <w:r w:rsidR="00F86010">
        <w:rPr>
          <w:color w:val="000000"/>
        </w:rPr>
        <w:t>wide range of epistemic practices and types of data shared.</w:t>
      </w:r>
      <w:r w:rsidR="005A1914">
        <w:rPr>
          <w:color w:val="000000"/>
        </w:rPr>
        <w:t xml:space="preserve"> </w:t>
      </w:r>
      <w:r w:rsidR="00023896">
        <w:rPr>
          <w:color w:val="000000"/>
        </w:rPr>
        <w:t xml:space="preserve">Finally, </w:t>
      </w:r>
      <w:r w:rsidR="007C6862">
        <w:rPr>
          <w:color w:val="000000"/>
        </w:rPr>
        <w:t xml:space="preserve">Microbiology, Virology &amp; Immunology </w:t>
      </w:r>
      <w:r w:rsidR="00023896">
        <w:rPr>
          <w:color w:val="000000"/>
        </w:rPr>
        <w:t xml:space="preserve">combines a </w:t>
      </w:r>
      <w:r w:rsidR="009C38F6">
        <w:rPr>
          <w:color w:val="000000"/>
        </w:rPr>
        <w:t>relatively high</w:t>
      </w:r>
      <w:r w:rsidR="00023896">
        <w:rPr>
          <w:color w:val="000000"/>
        </w:rPr>
        <w:t xml:space="preserve"> rate of data self-sufficiency of &gt;</w:t>
      </w:r>
      <w:r w:rsidR="007C6862">
        <w:rPr>
          <w:color w:val="000000"/>
        </w:rPr>
        <w:t xml:space="preserve"> 60%</w:t>
      </w:r>
      <w:r w:rsidR="0012636C">
        <w:rPr>
          <w:color w:val="000000"/>
        </w:rPr>
        <w:t xml:space="preserve"> with a high rate of public data sharing</w:t>
      </w:r>
      <w:r w:rsidR="00023896">
        <w:rPr>
          <w:color w:val="000000"/>
        </w:rPr>
        <w:t>. This</w:t>
      </w:r>
      <w:r w:rsidR="0012636C">
        <w:rPr>
          <w:color w:val="000000"/>
        </w:rPr>
        <w:t xml:space="preserve"> suggests a</w:t>
      </w:r>
      <w:r w:rsidR="000D654D">
        <w:rPr>
          <w:color w:val="000000"/>
        </w:rPr>
        <w:t xml:space="preserve"> proliferation of research data, possibly</w:t>
      </w:r>
      <w:r w:rsidR="0012636C">
        <w:rPr>
          <w:color w:val="000000"/>
        </w:rPr>
        <w:t xml:space="preserve"> through</w:t>
      </w:r>
      <w:r w:rsidR="000D654D">
        <w:rPr>
          <w:color w:val="000000"/>
        </w:rPr>
        <w:t xml:space="preserve"> high-throughput genome sequencing (Connor et al. 2016, Loman &amp; </w:t>
      </w:r>
      <w:proofErr w:type="spellStart"/>
      <w:r w:rsidR="000D654D">
        <w:rPr>
          <w:color w:val="000000"/>
        </w:rPr>
        <w:t>Pallen</w:t>
      </w:r>
      <w:proofErr w:type="spellEnd"/>
      <w:r w:rsidR="000D654D">
        <w:rPr>
          <w:color w:val="000000"/>
        </w:rPr>
        <w:t xml:space="preserve"> 2015)</w:t>
      </w:r>
      <w:r w:rsidR="00023896">
        <w:rPr>
          <w:color w:val="000000"/>
        </w:rPr>
        <w:t xml:space="preserve">, and could be indicative of </w:t>
      </w:r>
      <w:r w:rsidR="000D654D">
        <w:rPr>
          <w:color w:val="000000"/>
        </w:rPr>
        <w:t xml:space="preserve">a division of work </w:t>
      </w:r>
      <w:r w:rsidR="009A2CA7">
        <w:rPr>
          <w:color w:val="000000"/>
        </w:rPr>
        <w:t xml:space="preserve">in this subject area </w:t>
      </w:r>
      <w:r w:rsidR="00023896">
        <w:rPr>
          <w:color w:val="000000"/>
        </w:rPr>
        <w:t xml:space="preserve">in that a </w:t>
      </w:r>
      <w:r w:rsidR="000D654D">
        <w:rPr>
          <w:color w:val="000000"/>
        </w:rPr>
        <w:t>section of researche</w:t>
      </w:r>
      <w:r w:rsidR="009A2CA7">
        <w:rPr>
          <w:color w:val="000000"/>
        </w:rPr>
        <w:t xml:space="preserve">rs is primarily engaged in the </w:t>
      </w:r>
      <w:r w:rsidR="000D654D">
        <w:rPr>
          <w:color w:val="000000"/>
        </w:rPr>
        <w:t>production</w:t>
      </w:r>
      <w:r w:rsidR="009A2CA7">
        <w:rPr>
          <w:color w:val="000000"/>
        </w:rPr>
        <w:t xml:space="preserve"> of research data</w:t>
      </w:r>
      <w:r w:rsidR="00C10C2D">
        <w:rPr>
          <w:color w:val="000000"/>
        </w:rPr>
        <w:t>, without the use of third party data,</w:t>
      </w:r>
      <w:r w:rsidR="009A2CA7">
        <w:rPr>
          <w:color w:val="000000"/>
        </w:rPr>
        <w:t xml:space="preserve"> </w:t>
      </w:r>
      <w:r w:rsidR="00C10C2D">
        <w:rPr>
          <w:color w:val="000000"/>
        </w:rPr>
        <w:t>which</w:t>
      </w:r>
      <w:r w:rsidR="009A2CA7">
        <w:rPr>
          <w:color w:val="000000"/>
        </w:rPr>
        <w:t xml:space="preserve"> is </w:t>
      </w:r>
      <w:r w:rsidR="00023896">
        <w:rPr>
          <w:color w:val="000000"/>
        </w:rPr>
        <w:t xml:space="preserve">then </w:t>
      </w:r>
      <w:r w:rsidR="009A2CA7">
        <w:rPr>
          <w:color w:val="000000"/>
        </w:rPr>
        <w:t>publicly shared and re-used by others</w:t>
      </w:r>
      <w:r w:rsidR="000D654D">
        <w:rPr>
          <w:color w:val="000000"/>
        </w:rPr>
        <w:t xml:space="preserve">. </w:t>
      </w:r>
    </w:p>
    <w:p w14:paraId="5513BC00" w14:textId="77777777" w:rsidR="009A2CA7" w:rsidRDefault="009A2CA7" w:rsidP="00DF36CF">
      <w:pPr>
        <w:jc w:val="both"/>
        <w:rPr>
          <w:color w:val="000000"/>
        </w:rPr>
      </w:pPr>
    </w:p>
    <w:p w14:paraId="162D69B4" w14:textId="1078DE1D" w:rsidR="00A21329" w:rsidRPr="00E10360" w:rsidRDefault="002C25DE">
      <w:pPr>
        <w:jc w:val="both"/>
        <w:rPr>
          <w:iCs/>
        </w:rPr>
      </w:pPr>
      <w:r>
        <w:rPr>
          <w:color w:val="000000"/>
        </w:rPr>
        <w:t xml:space="preserve">The three </w:t>
      </w:r>
      <w:r w:rsidR="009C38F6">
        <w:rPr>
          <w:color w:val="000000"/>
        </w:rPr>
        <w:t>S</w:t>
      </w:r>
      <w:r>
        <w:rPr>
          <w:color w:val="000000"/>
        </w:rPr>
        <w:t xml:space="preserve">ocial &amp; </w:t>
      </w:r>
      <w:r w:rsidR="009C38F6">
        <w:rPr>
          <w:color w:val="000000"/>
        </w:rPr>
        <w:t>B</w:t>
      </w:r>
      <w:r>
        <w:rPr>
          <w:color w:val="000000"/>
        </w:rPr>
        <w:t xml:space="preserve">ehavioural </w:t>
      </w:r>
      <w:r w:rsidR="009C38F6">
        <w:rPr>
          <w:color w:val="000000"/>
        </w:rPr>
        <w:t>S</w:t>
      </w:r>
      <w:r>
        <w:rPr>
          <w:color w:val="000000"/>
        </w:rPr>
        <w:t>cience subject areas in group II</w:t>
      </w:r>
      <w:r w:rsidR="00AA59F2">
        <w:rPr>
          <w:color w:val="000000"/>
        </w:rPr>
        <w:t>, by contrast,</w:t>
      </w:r>
      <w:r>
        <w:rPr>
          <w:color w:val="000000"/>
        </w:rPr>
        <w:t xml:space="preserve"> are characterized by a </w:t>
      </w:r>
      <w:r w:rsidRPr="00E10360">
        <w:rPr>
          <w:color w:val="000000"/>
        </w:rPr>
        <w:t>low</w:t>
      </w:r>
      <w:r>
        <w:rPr>
          <w:color w:val="000000"/>
        </w:rPr>
        <w:t xml:space="preserve"> rate of public sharing, below 35%</w:t>
      </w:r>
      <w:r w:rsidR="00E10360">
        <w:rPr>
          <w:color w:val="000000"/>
        </w:rPr>
        <w:t xml:space="preserve">. </w:t>
      </w:r>
      <w:r w:rsidR="00CB2072" w:rsidRPr="00E10360">
        <w:rPr>
          <w:iCs/>
        </w:rPr>
        <w:t xml:space="preserve">The subject area </w:t>
      </w:r>
      <w:r w:rsidR="001D4DE2" w:rsidRPr="00E10360">
        <w:rPr>
          <w:iCs/>
        </w:rPr>
        <w:t xml:space="preserve">of </w:t>
      </w:r>
      <w:r w:rsidR="00CB2072" w:rsidRPr="00E10360">
        <w:rPr>
          <w:iCs/>
        </w:rPr>
        <w:t>Educational Sciences</w:t>
      </w:r>
      <w:r w:rsidR="001D4DE2" w:rsidRPr="00E10360">
        <w:rPr>
          <w:iCs/>
        </w:rPr>
        <w:t xml:space="preserve"> is an interesting case </w:t>
      </w:r>
      <w:r w:rsidR="009C38F6">
        <w:rPr>
          <w:iCs/>
        </w:rPr>
        <w:t>because</w:t>
      </w:r>
      <w:r w:rsidR="001D4DE2" w:rsidRPr="00E10360">
        <w:rPr>
          <w:iCs/>
        </w:rPr>
        <w:t xml:space="preserve"> it is</w:t>
      </w:r>
      <w:r w:rsidR="00CB2072" w:rsidRPr="00E10360">
        <w:rPr>
          <w:iCs/>
        </w:rPr>
        <w:t xml:space="preserve"> characterized by a higher level of data self-sufficiency,</w:t>
      </w:r>
      <w:r>
        <w:rPr>
          <w:iCs/>
        </w:rPr>
        <w:t xml:space="preserve"> above 60%,</w:t>
      </w:r>
      <w:r w:rsidR="00CB2072" w:rsidRPr="00E10360">
        <w:rPr>
          <w:iCs/>
        </w:rPr>
        <w:t xml:space="preserve"> </w:t>
      </w:r>
      <w:r w:rsidR="001D4DE2" w:rsidRPr="00E10360">
        <w:rPr>
          <w:iCs/>
        </w:rPr>
        <w:t xml:space="preserve">than the other two </w:t>
      </w:r>
      <w:r w:rsidR="00E10360" w:rsidRPr="00E10360">
        <w:rPr>
          <w:iCs/>
        </w:rPr>
        <w:t xml:space="preserve">subject areas in this subgroup, </w:t>
      </w:r>
      <w:r w:rsidR="00E10360" w:rsidRPr="00E10360">
        <w:rPr>
          <w:color w:val="000000"/>
        </w:rPr>
        <w:t>Social Sciences and Economics</w:t>
      </w:r>
      <w:r>
        <w:rPr>
          <w:color w:val="000000"/>
        </w:rPr>
        <w:t>. In these</w:t>
      </w:r>
      <w:r w:rsidR="00BD58BF">
        <w:rPr>
          <w:color w:val="000000"/>
        </w:rPr>
        <w:t xml:space="preserve"> latter </w:t>
      </w:r>
      <w:r>
        <w:rPr>
          <w:color w:val="000000"/>
        </w:rPr>
        <w:t xml:space="preserve">two </w:t>
      </w:r>
      <w:r w:rsidR="00BD58BF">
        <w:rPr>
          <w:color w:val="000000"/>
        </w:rPr>
        <w:t xml:space="preserve">subject areas </w:t>
      </w:r>
      <w:r w:rsidR="009C38F6">
        <w:rPr>
          <w:color w:val="000000"/>
        </w:rPr>
        <w:t>most</w:t>
      </w:r>
      <w:r w:rsidR="0045401D">
        <w:rPr>
          <w:color w:val="000000"/>
        </w:rPr>
        <w:t xml:space="preserve"> </w:t>
      </w:r>
      <w:r w:rsidR="00BD58BF">
        <w:rPr>
          <w:color w:val="000000"/>
        </w:rPr>
        <w:t>data producers</w:t>
      </w:r>
      <w:r>
        <w:rPr>
          <w:color w:val="000000"/>
        </w:rPr>
        <w:t xml:space="preserve"> also use </w:t>
      </w:r>
      <w:r w:rsidR="0045401D">
        <w:rPr>
          <w:color w:val="000000"/>
        </w:rPr>
        <w:t>data provided by third parties</w:t>
      </w:r>
      <w:r w:rsidR="00B666EE">
        <w:rPr>
          <w:color w:val="000000"/>
        </w:rPr>
        <w:t>. Major sources of data used in these fields are social and economic statistical data provided by state authorities</w:t>
      </w:r>
      <w:r w:rsidR="00EC76C7">
        <w:rPr>
          <w:color w:val="000000"/>
        </w:rPr>
        <w:t xml:space="preserve"> or large-scale survey projects</w:t>
      </w:r>
      <w:r w:rsidR="00E531FD">
        <w:rPr>
          <w:color w:val="000000"/>
        </w:rPr>
        <w:t xml:space="preserve"> </w:t>
      </w:r>
      <w:r w:rsidR="00B666EE">
        <w:rPr>
          <w:color w:val="000000"/>
        </w:rPr>
        <w:t>(</w:t>
      </w:r>
      <w:r w:rsidR="006A3A07" w:rsidRPr="006A3A07">
        <w:rPr>
          <w:color w:val="000000"/>
        </w:rPr>
        <w:t>Hessel et al. 20</w:t>
      </w:r>
      <w:r w:rsidR="006A3A07">
        <w:rPr>
          <w:color w:val="000000"/>
        </w:rPr>
        <w:t>1</w:t>
      </w:r>
      <w:r w:rsidR="006A3A07" w:rsidRPr="006A3A07">
        <w:rPr>
          <w:color w:val="000000"/>
        </w:rPr>
        <w:t>9</w:t>
      </w:r>
      <w:r w:rsidR="00B26D90">
        <w:rPr>
          <w:color w:val="000000"/>
        </w:rPr>
        <w:t xml:space="preserve">; </w:t>
      </w:r>
      <w:proofErr w:type="spellStart"/>
      <w:r w:rsidR="00B26D90">
        <w:rPr>
          <w:color w:val="000000"/>
        </w:rPr>
        <w:t>Einav</w:t>
      </w:r>
      <w:proofErr w:type="spellEnd"/>
      <w:r w:rsidR="00B26D90">
        <w:rPr>
          <w:color w:val="000000"/>
        </w:rPr>
        <w:t xml:space="preserve"> &amp; Levin 2014</w:t>
      </w:r>
      <w:r w:rsidR="00B666EE" w:rsidRPr="006A3A07">
        <w:rPr>
          <w:color w:val="000000"/>
        </w:rPr>
        <w:t>)</w:t>
      </w:r>
      <w:r w:rsidR="00EC76C7">
        <w:rPr>
          <w:color w:val="000000"/>
        </w:rPr>
        <w:t>.</w:t>
      </w:r>
      <w:r w:rsidR="006F6CD1">
        <w:rPr>
          <w:color w:val="000000"/>
        </w:rPr>
        <w:t xml:space="preserve"> In</w:t>
      </w:r>
      <w:r w:rsidR="00F03FDC">
        <w:rPr>
          <w:color w:val="000000"/>
        </w:rPr>
        <w:t xml:space="preserve"> the</w:t>
      </w:r>
      <w:r w:rsidR="006F6CD1">
        <w:rPr>
          <w:color w:val="000000"/>
        </w:rPr>
        <w:t xml:space="preserve"> </w:t>
      </w:r>
      <w:r w:rsidR="009C38F6">
        <w:rPr>
          <w:color w:val="000000"/>
        </w:rPr>
        <w:t>subject area of S</w:t>
      </w:r>
      <w:r w:rsidR="006F6CD1">
        <w:rPr>
          <w:color w:val="000000"/>
        </w:rPr>
        <w:t xml:space="preserve">ocial </w:t>
      </w:r>
      <w:r w:rsidR="009C38F6">
        <w:rPr>
          <w:color w:val="000000"/>
        </w:rPr>
        <w:t>S</w:t>
      </w:r>
      <w:r w:rsidR="006F6CD1">
        <w:rPr>
          <w:color w:val="000000"/>
        </w:rPr>
        <w:t>ciences, the sharing of survey data is rather institutionalized, with institutions collecting and making survey data available under a range of access conditions, including public sharing. This applies mostly to quan</w:t>
      </w:r>
      <w:r w:rsidR="00EC76C7">
        <w:rPr>
          <w:color w:val="000000"/>
        </w:rPr>
        <w:t xml:space="preserve">titative data however, as the </w:t>
      </w:r>
      <w:r w:rsidR="006F6CD1">
        <w:rPr>
          <w:color w:val="000000"/>
        </w:rPr>
        <w:t xml:space="preserve">public sharing of qualitative data </w:t>
      </w:r>
      <w:r w:rsidR="009C38F6">
        <w:rPr>
          <w:color w:val="000000"/>
        </w:rPr>
        <w:t>through publicly accessible repositories is only</w:t>
      </w:r>
      <w:r w:rsidR="006F6CD1">
        <w:rPr>
          <w:color w:val="000000"/>
        </w:rPr>
        <w:t xml:space="preserve"> in its infancy</w:t>
      </w:r>
      <w:r w:rsidR="00E10360">
        <w:rPr>
          <w:color w:val="000000"/>
        </w:rPr>
        <w:t xml:space="preserve">. </w:t>
      </w:r>
      <w:r w:rsidR="00772F16">
        <w:rPr>
          <w:color w:val="000000"/>
        </w:rPr>
        <w:t>Notably,</w:t>
      </w:r>
      <w:r w:rsidR="006F6CD1">
        <w:rPr>
          <w:color w:val="000000"/>
        </w:rPr>
        <w:t xml:space="preserve"> researchers in </w:t>
      </w:r>
      <w:r w:rsidR="009C38F6">
        <w:rPr>
          <w:color w:val="000000"/>
        </w:rPr>
        <w:t>E</w:t>
      </w:r>
      <w:r w:rsidR="006F6CD1">
        <w:rPr>
          <w:color w:val="000000"/>
        </w:rPr>
        <w:t xml:space="preserve">conomics who produce data report a lower rate of public sharing </w:t>
      </w:r>
      <w:r w:rsidR="00772F16">
        <w:rPr>
          <w:color w:val="000000"/>
        </w:rPr>
        <w:t xml:space="preserve">compared to </w:t>
      </w:r>
      <w:r w:rsidR="009C38F6">
        <w:rPr>
          <w:color w:val="000000"/>
        </w:rPr>
        <w:t>S</w:t>
      </w:r>
      <w:r w:rsidR="00772F16">
        <w:rPr>
          <w:color w:val="000000"/>
        </w:rPr>
        <w:t xml:space="preserve">ocial </w:t>
      </w:r>
      <w:r w:rsidR="009C38F6">
        <w:rPr>
          <w:color w:val="000000"/>
        </w:rPr>
        <w:t>S</w:t>
      </w:r>
      <w:r w:rsidR="00772F16">
        <w:rPr>
          <w:color w:val="000000"/>
        </w:rPr>
        <w:t xml:space="preserve">ciences which may have to do with an increasing role of private sector data that is acquired </w:t>
      </w:r>
      <w:r w:rsidR="003D0C00">
        <w:rPr>
          <w:color w:val="000000"/>
        </w:rPr>
        <w:t xml:space="preserve">for research </w:t>
      </w:r>
      <w:r w:rsidR="00772F16">
        <w:rPr>
          <w:color w:val="000000"/>
        </w:rPr>
        <w:t xml:space="preserve">through data sharing agreements that limit </w:t>
      </w:r>
      <w:r w:rsidR="00772F16" w:rsidRPr="00C662CD">
        <w:rPr>
          <w:color w:val="000000"/>
        </w:rPr>
        <w:t>distribution</w:t>
      </w:r>
      <w:r w:rsidR="00237F4C" w:rsidRPr="00C662CD">
        <w:rPr>
          <w:color w:val="000000"/>
        </w:rPr>
        <w:t xml:space="preserve"> (</w:t>
      </w:r>
      <w:proofErr w:type="spellStart"/>
      <w:r w:rsidR="00772F16" w:rsidRPr="00C662CD">
        <w:rPr>
          <w:color w:val="000000"/>
        </w:rPr>
        <w:t>Einav</w:t>
      </w:r>
      <w:proofErr w:type="spellEnd"/>
      <w:r w:rsidR="00772F16" w:rsidRPr="00C662CD">
        <w:rPr>
          <w:color w:val="000000"/>
        </w:rPr>
        <w:t xml:space="preserve"> &amp; Levin 2014</w:t>
      </w:r>
      <w:r w:rsidR="00237F4C" w:rsidRPr="00C662CD">
        <w:rPr>
          <w:color w:val="000000"/>
        </w:rPr>
        <w:t>)</w:t>
      </w:r>
      <w:r w:rsidR="006F6CD1" w:rsidRPr="00C662CD">
        <w:rPr>
          <w:color w:val="000000"/>
        </w:rPr>
        <w:t>.</w:t>
      </w:r>
    </w:p>
    <w:p w14:paraId="25F264CD" w14:textId="77777777" w:rsidR="00A21329" w:rsidRDefault="00A21329">
      <w:pPr>
        <w:jc w:val="both"/>
      </w:pPr>
    </w:p>
    <w:p w14:paraId="775C24D6" w14:textId="3E06C425" w:rsidR="008168F4" w:rsidRDefault="000C25AF" w:rsidP="0029211E">
      <w:pPr>
        <w:pStyle w:val="berschrift2"/>
        <w:jc w:val="both"/>
      </w:pPr>
      <w:r>
        <w:t xml:space="preserve">4. </w:t>
      </w:r>
      <w:r w:rsidR="00015449">
        <w:t>Discussion</w:t>
      </w:r>
      <w:r w:rsidR="00EB4209">
        <w:t xml:space="preserve"> </w:t>
      </w:r>
    </w:p>
    <w:p w14:paraId="24FE2007" w14:textId="77777777" w:rsidR="008E3F52" w:rsidRDefault="008E3F52" w:rsidP="0029211E">
      <w:pPr>
        <w:keepNext/>
      </w:pPr>
    </w:p>
    <w:p w14:paraId="76E11ED2" w14:textId="1034AA71" w:rsidR="00EB4209" w:rsidRDefault="00E10360" w:rsidP="003B2567">
      <w:pPr>
        <w:jc w:val="both"/>
      </w:pPr>
      <w:r>
        <w:t>Our</w:t>
      </w:r>
      <w:r w:rsidR="00EB4209">
        <w:t xml:space="preserve"> analysis shows strong variation of data practices and rates of public sharing at the </w:t>
      </w:r>
      <w:r w:rsidR="005E3EE6">
        <w:t>subject area</w:t>
      </w:r>
      <w:r w:rsidR="00EB4209">
        <w:t xml:space="preserve"> level, across and within disciplines. The observed association between public data sharing rates an</w:t>
      </w:r>
      <w:r w:rsidR="00D475A9">
        <w:t xml:space="preserve">d data-self-sufficiency </w:t>
      </w:r>
      <w:r>
        <w:t>suggests</w:t>
      </w:r>
      <w:r w:rsidR="00EB4209">
        <w:t xml:space="preserve"> the relevance of epistemic practices such as e</w:t>
      </w:r>
      <w:r w:rsidR="00D475A9">
        <w:t xml:space="preserve">xperimental orientation, </w:t>
      </w:r>
      <w:r w:rsidR="00EB4209">
        <w:t>the specificity of data produced</w:t>
      </w:r>
      <w:r w:rsidR="00D475A9">
        <w:t xml:space="preserve">, and the need to combine data from </w:t>
      </w:r>
      <w:r w:rsidR="003D0C00">
        <w:t>diverse sources</w:t>
      </w:r>
      <w:r w:rsidR="00A51F15">
        <w:t>,</w:t>
      </w:r>
      <w:r w:rsidR="00EB4209">
        <w:t xml:space="preserve"> for explaining rates of public data sharing. </w:t>
      </w:r>
    </w:p>
    <w:p w14:paraId="0698130D" w14:textId="77777777" w:rsidR="00D475A9" w:rsidRDefault="00D475A9" w:rsidP="003B2567">
      <w:pPr>
        <w:jc w:val="both"/>
      </w:pPr>
    </w:p>
    <w:p w14:paraId="1A327F72" w14:textId="58EE8871" w:rsidR="006F45E4" w:rsidRDefault="00655DCB" w:rsidP="006933EC">
      <w:pPr>
        <w:jc w:val="both"/>
      </w:pPr>
      <w:r>
        <w:t xml:space="preserve">This study is only a starting point for quantifying differences in data sharing between research fields. </w:t>
      </w:r>
      <w:r w:rsidR="003D0C00">
        <w:t>R</w:t>
      </w:r>
      <w:r w:rsidR="00E531FD">
        <w:t xml:space="preserve">esearch is </w:t>
      </w:r>
      <w:r w:rsidR="000B7D85">
        <w:t>highly</w:t>
      </w:r>
      <w:r w:rsidR="00E531FD">
        <w:t xml:space="preserve"> diverse in its epistemic practices, </w:t>
      </w:r>
      <w:r w:rsidR="00811B80">
        <w:t>and what constitutes data, how these data can be made available and (re)used, differs widely (Steinhardt et al. 202</w:t>
      </w:r>
      <w:r w:rsidR="00CB158E">
        <w:t>2</w:t>
      </w:r>
      <w:r w:rsidR="00811B80">
        <w:t xml:space="preserve">, Leonelli &amp; </w:t>
      </w:r>
      <w:proofErr w:type="spellStart"/>
      <w:r w:rsidR="00811B80">
        <w:t>Tempini</w:t>
      </w:r>
      <w:proofErr w:type="spellEnd"/>
      <w:r w:rsidR="00811B80">
        <w:t xml:space="preserve"> 2020,</w:t>
      </w:r>
      <w:r w:rsidR="00811B80" w:rsidRPr="00FD3A69">
        <w:t xml:space="preserve"> </w:t>
      </w:r>
      <w:proofErr w:type="spellStart"/>
      <w:r w:rsidR="00811B80">
        <w:t>Kurata</w:t>
      </w:r>
      <w:proofErr w:type="spellEnd"/>
      <w:r w:rsidR="00811B80">
        <w:t xml:space="preserve"> et al. 2017,</w:t>
      </w:r>
      <w:r w:rsidR="00811B80" w:rsidRPr="00DA66CD">
        <w:t xml:space="preserve"> </w:t>
      </w:r>
      <w:proofErr w:type="spellStart"/>
      <w:r w:rsidR="00811B80">
        <w:t>Borgman</w:t>
      </w:r>
      <w:proofErr w:type="spellEnd"/>
      <w:r w:rsidR="00811B80">
        <w:t xml:space="preserve"> 2012). U</w:t>
      </w:r>
      <w:r w:rsidR="00E531FD">
        <w:t>nderlying this diversity is a variety of different ‘data economies’ – social systems of research data production and use</w:t>
      </w:r>
      <w:r w:rsidR="006933EC">
        <w:t xml:space="preserve"> that </w:t>
      </w:r>
      <w:r w:rsidR="003D0C00">
        <w:t>get</w:t>
      </w:r>
      <w:r w:rsidR="00FD3A69">
        <w:t xml:space="preserve"> supported by different </w:t>
      </w:r>
      <w:r w:rsidR="00811B80">
        <w:t>forms of exchange and accompanying</w:t>
      </w:r>
      <w:r w:rsidR="006933EC">
        <w:t xml:space="preserve"> norms f</w:t>
      </w:r>
      <w:r w:rsidR="00811B80">
        <w:t>or</w:t>
      </w:r>
      <w:r w:rsidR="006933EC">
        <w:t xml:space="preserve"> data sharing</w:t>
      </w:r>
      <w:r w:rsidR="00E531FD">
        <w:t xml:space="preserve">. </w:t>
      </w:r>
      <w:r w:rsidR="00A51F15">
        <w:t>Therefore, to evaluate and compare rates of public sharing we need to consider the underlying epistemic practices</w:t>
      </w:r>
      <w:r w:rsidR="006933EC">
        <w:t>, which</w:t>
      </w:r>
      <w:r w:rsidR="00A51F15">
        <w:t xml:space="preserve"> are insufficiently operationalized by the discipline classifications systems used in most open data surveys</w:t>
      </w:r>
      <w:r w:rsidR="00B90527">
        <w:t xml:space="preserve"> (Gläser 2018)</w:t>
      </w:r>
      <w:r w:rsidR="00A51F15">
        <w:t xml:space="preserve">. Even a field classification at the level of granularity used here, is bound to conflate different methods of data production and different types of data that come along with rather different opportunities and limitations for re-use. </w:t>
      </w:r>
    </w:p>
    <w:p w14:paraId="6BE127F0" w14:textId="77777777" w:rsidR="00D931C0" w:rsidRDefault="00D931C0">
      <w:pPr>
        <w:pStyle w:val="berschrift2"/>
        <w:jc w:val="both"/>
      </w:pPr>
    </w:p>
    <w:p w14:paraId="7A526CA6" w14:textId="1814AA97" w:rsidR="008168F4" w:rsidRDefault="00B42E85">
      <w:pPr>
        <w:pStyle w:val="berschrift2"/>
        <w:jc w:val="both"/>
      </w:pPr>
      <w:r>
        <w:t xml:space="preserve">5. </w:t>
      </w:r>
      <w:r w:rsidR="00015449">
        <w:t>Conclusions</w:t>
      </w:r>
    </w:p>
    <w:p w14:paraId="5AF6F455" w14:textId="4F084B6D" w:rsidR="00292F3E" w:rsidRDefault="00292F3E">
      <w:pPr>
        <w:jc w:val="both"/>
      </w:pPr>
    </w:p>
    <w:p w14:paraId="473A07F7" w14:textId="2BA5ED3B" w:rsidR="00F01925" w:rsidRPr="0033670D" w:rsidRDefault="00251601">
      <w:pPr>
        <w:jc w:val="both"/>
        <w:rPr>
          <w:b/>
          <w:bCs/>
        </w:rPr>
      </w:pPr>
      <w:r>
        <w:t xml:space="preserve">A field-comparative </w:t>
      </w:r>
      <w:r w:rsidR="00700B9E">
        <w:t xml:space="preserve">analysis of survey data collected from researchers at German Universities </w:t>
      </w:r>
      <w:r>
        <w:t xml:space="preserve">in 2019/2020 </w:t>
      </w:r>
      <w:r w:rsidR="00700B9E">
        <w:t>shows variation of</w:t>
      </w:r>
      <w:r w:rsidR="00EB4209">
        <w:t xml:space="preserve"> data practices and rates of public sharing of research data across and within disciplines. </w:t>
      </w:r>
      <w:r w:rsidR="00206E6E">
        <w:t xml:space="preserve">Among empirically oriented </w:t>
      </w:r>
      <w:r w:rsidR="00700B9E">
        <w:t>sciences</w:t>
      </w:r>
      <w:r w:rsidR="00206E6E">
        <w:t>, w</w:t>
      </w:r>
      <w:r w:rsidR="00EB4209">
        <w:t xml:space="preserve">e find </w:t>
      </w:r>
      <w:r w:rsidR="00206E6E">
        <w:t>a larg</w:t>
      </w:r>
      <w:r w:rsidR="00483C8E">
        <w:t>e group of subject areas with an</w:t>
      </w:r>
      <w:r w:rsidR="00206E6E">
        <w:t xml:space="preserve"> association</w:t>
      </w:r>
      <w:r w:rsidR="00EB4209">
        <w:t xml:space="preserve"> between data self-sufficiency and rates of public data sharing. </w:t>
      </w:r>
      <w:r w:rsidR="00206E6E">
        <w:t xml:space="preserve">The </w:t>
      </w:r>
      <w:r w:rsidR="0033670D">
        <w:t>variation of sharing rates and its interdependency with epistemic practices suggests</w:t>
      </w:r>
      <w:r w:rsidR="00206E6E">
        <w:t xml:space="preserve"> </w:t>
      </w:r>
      <w:r w:rsidR="00483C8E">
        <w:t xml:space="preserve">that to collect </w:t>
      </w:r>
      <w:r w:rsidR="00AB709F">
        <w:t xml:space="preserve">meaningful data for comparative </w:t>
      </w:r>
      <w:r w:rsidR="00483C8E">
        <w:t xml:space="preserve">and evaluative </w:t>
      </w:r>
      <w:r w:rsidR="00811B80">
        <w:t>assessments of the state of open data,</w:t>
      </w:r>
      <w:r w:rsidR="00483C8E">
        <w:t xml:space="preserve"> we</w:t>
      </w:r>
      <w:r w:rsidR="00DB2900">
        <w:t xml:space="preserve"> need to </w:t>
      </w:r>
      <w:r w:rsidR="00B90527">
        <w:t>go beyond mere field classifications</w:t>
      </w:r>
      <w:r w:rsidR="00C36469">
        <w:t xml:space="preserve"> </w:t>
      </w:r>
      <w:r w:rsidR="00B90527">
        <w:t xml:space="preserve">and develop more sophisticated instruments to capture relevant dimensions of epistemic practices and </w:t>
      </w:r>
      <w:r w:rsidR="00497B94">
        <w:t xml:space="preserve">the data economies </w:t>
      </w:r>
      <w:r w:rsidR="00811B80">
        <w:t>that support them</w:t>
      </w:r>
      <w:r w:rsidR="00483C8E">
        <w:t>.</w:t>
      </w:r>
    </w:p>
    <w:p w14:paraId="6195A356" w14:textId="77777777" w:rsidR="00015449" w:rsidRDefault="00015449">
      <w:pPr>
        <w:jc w:val="both"/>
        <w:rPr>
          <w:b/>
          <w:bCs/>
        </w:rPr>
      </w:pPr>
    </w:p>
    <w:p w14:paraId="126B4A1A" w14:textId="77777777" w:rsidR="0033670D" w:rsidRDefault="0033670D">
      <w:pPr>
        <w:jc w:val="both"/>
        <w:rPr>
          <w:b/>
          <w:bCs/>
        </w:rPr>
      </w:pPr>
    </w:p>
    <w:p w14:paraId="55E269E1" w14:textId="77777777" w:rsidR="00302CA7" w:rsidRDefault="00302CA7">
      <w:pPr>
        <w:jc w:val="both"/>
        <w:rPr>
          <w:b/>
          <w:bCs/>
        </w:rPr>
      </w:pPr>
    </w:p>
    <w:p w14:paraId="54DF7AC7" w14:textId="77777777" w:rsidR="00302CA7" w:rsidRDefault="00302CA7">
      <w:pPr>
        <w:jc w:val="both"/>
        <w:rPr>
          <w:b/>
          <w:bCs/>
        </w:rPr>
      </w:pPr>
    </w:p>
    <w:p w14:paraId="76C862D4" w14:textId="77777777" w:rsidR="00302CA7" w:rsidRDefault="00302CA7">
      <w:pPr>
        <w:jc w:val="both"/>
        <w:rPr>
          <w:b/>
          <w:bCs/>
        </w:rPr>
      </w:pPr>
    </w:p>
    <w:p w14:paraId="7173B705" w14:textId="77777777" w:rsidR="00302CA7" w:rsidRDefault="00302CA7">
      <w:pPr>
        <w:jc w:val="both"/>
        <w:rPr>
          <w:b/>
          <w:bCs/>
        </w:rPr>
      </w:pPr>
    </w:p>
    <w:p w14:paraId="7047E5B3" w14:textId="0084606C" w:rsidR="007A59E1" w:rsidRPr="007A59E1" w:rsidRDefault="007A59E1">
      <w:pPr>
        <w:jc w:val="both"/>
        <w:rPr>
          <w:b/>
          <w:bCs/>
        </w:rPr>
      </w:pPr>
      <w:r>
        <w:rPr>
          <w:b/>
          <w:bCs/>
        </w:rPr>
        <w:t>O</w:t>
      </w:r>
      <w:r w:rsidRPr="007A59E1">
        <w:rPr>
          <w:b/>
          <w:bCs/>
        </w:rPr>
        <w:t>pen science practices</w:t>
      </w:r>
    </w:p>
    <w:p w14:paraId="69D646C7" w14:textId="091CFF23" w:rsidR="007524BE" w:rsidRPr="00FC1DEF" w:rsidRDefault="00015449">
      <w:pPr>
        <w:jc w:val="both"/>
        <w:rPr>
          <w:lang w:val="en-US"/>
        </w:rPr>
      </w:pPr>
      <w:r>
        <w:t xml:space="preserve">The survey instrument </w:t>
      </w:r>
      <w:r w:rsidR="00040E55">
        <w:t xml:space="preserve">of the </w:t>
      </w:r>
      <w:r w:rsidR="00BE21F7">
        <w:t xml:space="preserve">DZHW </w:t>
      </w:r>
      <w:proofErr w:type="spellStart"/>
      <w:r w:rsidR="00040E55">
        <w:t>WiBef</w:t>
      </w:r>
      <w:proofErr w:type="spellEnd"/>
      <w:r w:rsidR="00040E55">
        <w:t xml:space="preserve"> survey </w:t>
      </w:r>
      <w:r w:rsidR="00FC1DEF">
        <w:t>can be downloaded from</w:t>
      </w:r>
      <w:r w:rsidR="007524BE">
        <w:t>:</w:t>
      </w:r>
      <w:r w:rsidR="00FC1DEF">
        <w:t xml:space="preserve"> </w:t>
      </w:r>
      <w:hyperlink r:id="rId17" w:history="1">
        <w:r w:rsidR="00FC1DEF" w:rsidRPr="00B27297">
          <w:rPr>
            <w:rStyle w:val="Hyperlink"/>
            <w:shd w:val="clear" w:color="auto" w:fill="FFFFFF"/>
            <w:lang w:val="en-US"/>
          </w:rPr>
          <w:t>https://doi.org/10.21249/DZHW:scs2019:2.0.0</w:t>
        </w:r>
      </w:hyperlink>
      <w:r w:rsidR="004A6CDA">
        <w:rPr>
          <w:color w:val="000000"/>
          <w:shd w:val="clear" w:color="auto" w:fill="FFFFFF"/>
          <w:lang w:val="en-US"/>
        </w:rPr>
        <w:t>.</w:t>
      </w:r>
      <w:r w:rsidR="00FC1DEF">
        <w:rPr>
          <w:lang w:val="en-US"/>
        </w:rPr>
        <w:t xml:space="preserve"> </w:t>
      </w:r>
      <w:r w:rsidR="00302CA7">
        <w:rPr>
          <w:lang w:val="en-US"/>
        </w:rPr>
        <w:t>This way the way the survey data has been generated is more transparent. Further a method report is available that gives detailed insight in how the survey was designed and conducted</w:t>
      </w:r>
      <w:r w:rsidR="00BE21F7">
        <w:rPr>
          <w:lang w:val="en-US"/>
        </w:rPr>
        <w:t xml:space="preserve"> (Ambrasat et al. 2020)</w:t>
      </w:r>
      <w:r w:rsidR="00302CA7">
        <w:rPr>
          <w:lang w:val="en-US"/>
        </w:rPr>
        <w:t xml:space="preserve">. </w:t>
      </w:r>
      <w:r w:rsidR="007524BE">
        <w:t xml:space="preserve">The </w:t>
      </w:r>
      <w:r w:rsidR="00302CA7">
        <w:t xml:space="preserve">actual </w:t>
      </w:r>
      <w:r w:rsidR="007524BE">
        <w:t xml:space="preserve">survey data </w:t>
      </w:r>
      <w:r w:rsidR="00302CA7">
        <w:t>itself is also</w:t>
      </w:r>
      <w:r w:rsidR="007524BE">
        <w:t xml:space="preserve"> available </w:t>
      </w:r>
      <w:r w:rsidR="00302CA7">
        <w:t xml:space="preserve">for further research, via </w:t>
      </w:r>
      <w:r w:rsidR="007524BE">
        <w:t xml:space="preserve">the </w:t>
      </w:r>
      <w:r w:rsidR="002E4AB8">
        <w:rPr>
          <w:color w:val="000000"/>
          <w:shd w:val="clear" w:color="auto" w:fill="FFFFFF"/>
          <w:lang w:val="en-US"/>
        </w:rPr>
        <w:t>FDZ-DZHW data repo</w:t>
      </w:r>
      <w:r w:rsidR="007524BE" w:rsidRPr="007524BE">
        <w:rPr>
          <w:color w:val="000000"/>
          <w:shd w:val="clear" w:color="auto" w:fill="FFFFFF"/>
          <w:lang w:val="en-US"/>
        </w:rPr>
        <w:t>sitory</w:t>
      </w:r>
      <w:r w:rsidR="00302CA7">
        <w:rPr>
          <w:color w:val="000000"/>
          <w:shd w:val="clear" w:color="auto" w:fill="FFFFFF"/>
          <w:lang w:val="en-US"/>
        </w:rPr>
        <w:t>. It</w:t>
      </w:r>
      <w:r w:rsidR="007524BE" w:rsidRPr="007524BE">
        <w:rPr>
          <w:color w:val="000000"/>
          <w:shd w:val="clear" w:color="auto" w:fill="FFFFFF"/>
          <w:lang w:val="en-US"/>
        </w:rPr>
        <w:t xml:space="preserve"> and can be accessed</w:t>
      </w:r>
      <w:r w:rsidR="002E4AB8">
        <w:rPr>
          <w:color w:val="000000"/>
          <w:shd w:val="clear" w:color="auto" w:fill="FFFFFF"/>
          <w:lang w:val="en-US"/>
        </w:rPr>
        <w:t xml:space="preserve"> upon application</w:t>
      </w:r>
      <w:r w:rsidR="007524BE" w:rsidRPr="007524BE">
        <w:rPr>
          <w:color w:val="000000"/>
          <w:shd w:val="clear" w:color="auto" w:fill="FFFFFF"/>
          <w:lang w:val="en-US"/>
        </w:rPr>
        <w:t xml:space="preserve"> </w:t>
      </w:r>
      <w:r w:rsidR="00040E55">
        <w:rPr>
          <w:color w:val="000000"/>
          <w:shd w:val="clear" w:color="auto" w:fill="FFFFFF"/>
          <w:lang w:val="en-US"/>
        </w:rPr>
        <w:t xml:space="preserve">for analysis </w:t>
      </w:r>
      <w:r w:rsidR="007524BE" w:rsidRPr="007524BE">
        <w:rPr>
          <w:color w:val="000000"/>
          <w:shd w:val="clear" w:color="auto" w:fill="FFFFFF"/>
          <w:lang w:val="en-US"/>
        </w:rPr>
        <w:t xml:space="preserve">via remote </w:t>
      </w:r>
      <w:r w:rsidR="00FC1DEF">
        <w:rPr>
          <w:color w:val="000000"/>
          <w:shd w:val="clear" w:color="auto" w:fill="FFFFFF"/>
          <w:lang w:val="en-US"/>
        </w:rPr>
        <w:t>desktop free of charge</w:t>
      </w:r>
      <w:r w:rsidR="00AB709F">
        <w:rPr>
          <w:color w:val="000000"/>
          <w:shd w:val="clear" w:color="auto" w:fill="FFFFFF"/>
          <w:lang w:val="en-US"/>
        </w:rPr>
        <w:t xml:space="preserve"> </w:t>
      </w:r>
      <w:r w:rsidR="00AB709F">
        <w:t>(see Ambrasat, et al. 2022)</w:t>
      </w:r>
      <w:r w:rsidR="00FC1DEF">
        <w:rPr>
          <w:color w:val="000000"/>
          <w:shd w:val="clear" w:color="auto" w:fill="FFFFFF"/>
          <w:lang w:val="en-US"/>
        </w:rPr>
        <w:t>.</w:t>
      </w:r>
      <w:r w:rsidR="00302CA7">
        <w:rPr>
          <w:color w:val="000000"/>
          <w:shd w:val="clear" w:color="auto" w:fill="FFFFFF"/>
          <w:lang w:val="en-US"/>
        </w:rPr>
        <w:t xml:space="preserve"> The limitation of being restricted to analysis via a remote desktop is deemed necessary by the creators of the survey to protect the anonymity of the survey participants who shared extensive and detailed information in the survey. </w:t>
      </w:r>
      <w:r w:rsidR="00FC1DEF">
        <w:rPr>
          <w:color w:val="000000"/>
          <w:shd w:val="clear" w:color="auto" w:fill="FFFFFF"/>
          <w:lang w:val="en-US"/>
        </w:rPr>
        <w:t xml:space="preserve"> </w:t>
      </w:r>
    </w:p>
    <w:p w14:paraId="7FCC3150" w14:textId="77777777" w:rsidR="007524BE" w:rsidRPr="00FC1DEF" w:rsidRDefault="007524BE">
      <w:pPr>
        <w:jc w:val="both"/>
        <w:rPr>
          <w:b/>
          <w:bCs/>
          <w:lang w:val="en-US"/>
        </w:rPr>
      </w:pPr>
    </w:p>
    <w:p w14:paraId="097AE613" w14:textId="156F1C5C" w:rsidR="00370126" w:rsidRPr="00930A5E" w:rsidRDefault="00370126">
      <w:pPr>
        <w:jc w:val="both"/>
        <w:rPr>
          <w:b/>
          <w:bCs/>
          <w:lang w:val="de-DE"/>
        </w:rPr>
      </w:pPr>
      <w:proofErr w:type="spellStart"/>
      <w:r w:rsidRPr="00930A5E">
        <w:rPr>
          <w:b/>
          <w:bCs/>
          <w:lang w:val="de-DE"/>
        </w:rPr>
        <w:t>Acknowledgments</w:t>
      </w:r>
      <w:proofErr w:type="spellEnd"/>
    </w:p>
    <w:p w14:paraId="629FB350" w14:textId="354D6277" w:rsidR="00370126" w:rsidRPr="002E4AB8" w:rsidRDefault="002E4AB8">
      <w:pPr>
        <w:jc w:val="both"/>
        <w:rPr>
          <w:lang w:val="en-US"/>
        </w:rPr>
      </w:pPr>
      <w:r w:rsidRPr="002E4AB8">
        <w:rPr>
          <w:lang w:val="en-US"/>
        </w:rPr>
        <w:t xml:space="preserve">We are indebted to the 2019/20 </w:t>
      </w:r>
      <w:proofErr w:type="spellStart"/>
      <w:r w:rsidRPr="002E4AB8">
        <w:rPr>
          <w:lang w:val="en-US"/>
        </w:rPr>
        <w:t>WiBef</w:t>
      </w:r>
      <w:proofErr w:type="spellEnd"/>
      <w:r w:rsidRPr="002E4AB8">
        <w:rPr>
          <w:lang w:val="en-US"/>
        </w:rPr>
        <w:t xml:space="preserve"> team</w:t>
      </w:r>
      <w:r w:rsidR="00C36469">
        <w:rPr>
          <w:lang w:val="en-US"/>
        </w:rPr>
        <w:t>, Jens Ambrasat and Christoph Heger,</w:t>
      </w:r>
      <w:r w:rsidRPr="002E4AB8">
        <w:rPr>
          <w:lang w:val="en-US"/>
        </w:rPr>
        <w:t xml:space="preserve"> </w:t>
      </w:r>
      <w:r w:rsidR="00D4488E">
        <w:rPr>
          <w:lang w:val="en-US"/>
        </w:rPr>
        <w:t>for sharing the data from the core questionnaire that provided the basis for the field-comparative analysis</w:t>
      </w:r>
      <w:r>
        <w:rPr>
          <w:lang w:val="en-US"/>
        </w:rPr>
        <w:t xml:space="preserve"> in this study. </w:t>
      </w:r>
      <w:r w:rsidR="00015449" w:rsidRPr="002E4AB8">
        <w:rPr>
          <w:lang w:val="en-US"/>
        </w:rPr>
        <w:t xml:space="preserve"> </w:t>
      </w:r>
      <w:r>
        <w:rPr>
          <w:lang w:val="en-US"/>
        </w:rPr>
        <w:t xml:space="preserve">We thank </w:t>
      </w:r>
      <w:r w:rsidR="00015449" w:rsidRPr="002E4AB8">
        <w:rPr>
          <w:lang w:val="en-US"/>
        </w:rPr>
        <w:t>Nathalie Schwichtenberg</w:t>
      </w:r>
      <w:r>
        <w:rPr>
          <w:lang w:val="en-US"/>
        </w:rPr>
        <w:t xml:space="preserve"> for thoughtful feedback in various stages of the instrument design and data analysis.</w:t>
      </w:r>
      <w:r w:rsidR="00C70E1D" w:rsidRPr="002E4AB8">
        <w:rPr>
          <w:lang w:val="en-US"/>
        </w:rPr>
        <w:t xml:space="preserve"> </w:t>
      </w:r>
      <w:r w:rsidRPr="002E4AB8">
        <w:rPr>
          <w:lang w:val="en-US"/>
        </w:rPr>
        <w:t xml:space="preserve">We thank </w:t>
      </w:r>
      <w:r>
        <w:rPr>
          <w:lang w:val="en-US"/>
        </w:rPr>
        <w:t>Laura Mages, who supported us</w:t>
      </w:r>
      <w:r w:rsidR="00A709EF">
        <w:rPr>
          <w:lang w:val="en-US"/>
        </w:rPr>
        <w:t xml:space="preserve"> as a student assistant</w:t>
      </w:r>
      <w:r>
        <w:rPr>
          <w:lang w:val="en-US"/>
        </w:rPr>
        <w:t xml:space="preserve"> in the initial</w:t>
      </w:r>
      <w:r w:rsidR="00A709EF">
        <w:rPr>
          <w:lang w:val="en-US"/>
        </w:rPr>
        <w:t>,</w:t>
      </w:r>
      <w:r>
        <w:rPr>
          <w:lang w:val="en-US"/>
        </w:rPr>
        <w:t xml:space="preserve"> exploratory analysis of the </w:t>
      </w:r>
      <w:r w:rsidR="00A709EF">
        <w:rPr>
          <w:lang w:val="en-US"/>
        </w:rPr>
        <w:t xml:space="preserve">survey </w:t>
      </w:r>
      <w:r>
        <w:rPr>
          <w:lang w:val="en-US"/>
        </w:rPr>
        <w:t>data</w:t>
      </w:r>
      <w:r w:rsidR="00015449" w:rsidRPr="002E4AB8">
        <w:rPr>
          <w:lang w:val="en-US"/>
        </w:rPr>
        <w:t>.</w:t>
      </w:r>
    </w:p>
    <w:p w14:paraId="5403BE7E" w14:textId="77777777" w:rsidR="004E212B" w:rsidRPr="002E4AB8" w:rsidRDefault="004E212B">
      <w:pPr>
        <w:jc w:val="both"/>
        <w:rPr>
          <w:lang w:val="en-US"/>
        </w:rPr>
      </w:pPr>
    </w:p>
    <w:p w14:paraId="06B77644" w14:textId="2EFE03AB" w:rsidR="00370126" w:rsidRPr="007C30D8" w:rsidRDefault="00370126">
      <w:pPr>
        <w:jc w:val="both"/>
        <w:rPr>
          <w:b/>
          <w:bCs/>
        </w:rPr>
      </w:pPr>
      <w:r w:rsidRPr="007C30D8">
        <w:rPr>
          <w:b/>
          <w:bCs/>
        </w:rPr>
        <w:t>Author contributions</w:t>
      </w:r>
    </w:p>
    <w:p w14:paraId="29A69FD5" w14:textId="142A73A2" w:rsidR="0031202E" w:rsidRDefault="00FC1DEF" w:rsidP="00FC1DEF">
      <w:pPr>
        <w:jc w:val="both"/>
      </w:pPr>
      <w:r>
        <w:t>Theresa V</w:t>
      </w:r>
      <w:r w:rsidR="002E4AB8">
        <w:t xml:space="preserve">elden </w:t>
      </w:r>
      <w:r>
        <w:t>conceptualized the paper, participated in the formal data analysis, and in the writing of the paper. Anastasiia Tcypina has participated in the formal data analysis,</w:t>
      </w:r>
      <w:r w:rsidR="002E4AB8">
        <w:t xml:space="preserve"> prepared the visualization of results,</w:t>
      </w:r>
      <w:r>
        <w:t xml:space="preserve"> and </w:t>
      </w:r>
      <w:r w:rsidR="002E4AB8">
        <w:t xml:space="preserve">participated </w:t>
      </w:r>
      <w:r>
        <w:t xml:space="preserve">in the writing of the paper. </w:t>
      </w:r>
    </w:p>
    <w:p w14:paraId="72CF43D2" w14:textId="77777777" w:rsidR="00015449" w:rsidRDefault="00015449" w:rsidP="00015449">
      <w:pPr>
        <w:jc w:val="both"/>
      </w:pPr>
    </w:p>
    <w:p w14:paraId="6126D7F1" w14:textId="7481AD7B" w:rsidR="00370126" w:rsidRPr="007C30D8" w:rsidRDefault="00370126">
      <w:pPr>
        <w:jc w:val="both"/>
        <w:rPr>
          <w:b/>
          <w:bCs/>
        </w:rPr>
      </w:pPr>
      <w:r w:rsidRPr="007C30D8">
        <w:rPr>
          <w:b/>
          <w:bCs/>
        </w:rPr>
        <w:t>Competing interests</w:t>
      </w:r>
    </w:p>
    <w:p w14:paraId="2DE94869" w14:textId="283559A8" w:rsidR="00370126" w:rsidRDefault="00015449">
      <w:pPr>
        <w:jc w:val="both"/>
      </w:pPr>
      <w:r>
        <w:t>No competing interests.</w:t>
      </w:r>
    </w:p>
    <w:p w14:paraId="6597B0C5" w14:textId="77777777" w:rsidR="007C30D8" w:rsidRDefault="007C30D8">
      <w:pPr>
        <w:jc w:val="both"/>
      </w:pPr>
    </w:p>
    <w:p w14:paraId="6915C807" w14:textId="77777777" w:rsidR="00DF037E" w:rsidRDefault="00DF037E">
      <w:pPr>
        <w:jc w:val="both"/>
      </w:pPr>
    </w:p>
    <w:p w14:paraId="153897FF" w14:textId="77777777" w:rsidR="008168F4" w:rsidRDefault="008168F4">
      <w:pPr>
        <w:jc w:val="both"/>
        <w:rPr>
          <w:b/>
          <w:bCs/>
        </w:rPr>
      </w:pPr>
      <w:r>
        <w:rPr>
          <w:b/>
          <w:bCs/>
        </w:rPr>
        <w:t>References</w:t>
      </w:r>
    </w:p>
    <w:p w14:paraId="563FDDBB" w14:textId="77777777" w:rsidR="00015449" w:rsidRDefault="00015449" w:rsidP="00B868DF">
      <w:pPr>
        <w:jc w:val="both"/>
        <w:rPr>
          <w:color w:val="4472C4" w:themeColor="accent1"/>
        </w:rPr>
      </w:pPr>
    </w:p>
    <w:p w14:paraId="12978E55" w14:textId="3AF5E137" w:rsidR="0082248B" w:rsidRDefault="0082248B" w:rsidP="00B868DF">
      <w:pPr>
        <w:jc w:val="both"/>
        <w:rPr>
          <w:color w:val="000000" w:themeColor="text1"/>
        </w:rPr>
      </w:pPr>
      <w:proofErr w:type="spellStart"/>
      <w:r w:rsidRPr="0082248B">
        <w:rPr>
          <w:color w:val="000000" w:themeColor="text1"/>
        </w:rPr>
        <w:t>Akmon</w:t>
      </w:r>
      <w:proofErr w:type="spellEnd"/>
      <w:r w:rsidRPr="0082248B">
        <w:rPr>
          <w:color w:val="000000" w:themeColor="text1"/>
        </w:rPr>
        <w:t>, D. R. (2014). </w:t>
      </w:r>
      <w:r w:rsidRPr="0082248B">
        <w:rPr>
          <w:i/>
          <w:iCs/>
          <w:color w:val="000000" w:themeColor="text1"/>
        </w:rPr>
        <w:t>The role of conceptions of value in data practices: A multi-case study of three small teams of ecological scientists</w:t>
      </w:r>
      <w:r w:rsidRPr="0082248B">
        <w:rPr>
          <w:color w:val="000000" w:themeColor="text1"/>
        </w:rPr>
        <w:t> (Doctoral dissertation, University of Michigan).</w:t>
      </w:r>
    </w:p>
    <w:p w14:paraId="514BBA5C" w14:textId="77777777" w:rsidR="008B27B7" w:rsidRDefault="008B27B7" w:rsidP="00B868DF">
      <w:pPr>
        <w:jc w:val="both"/>
        <w:rPr>
          <w:color w:val="000000" w:themeColor="text1"/>
        </w:rPr>
      </w:pPr>
    </w:p>
    <w:p w14:paraId="53B5B736" w14:textId="281FB3E0" w:rsidR="00F921A1" w:rsidRDefault="00F921A1" w:rsidP="00FD3A69">
      <w:pPr>
        <w:rPr>
          <w:lang w:val="de-DE"/>
        </w:rPr>
      </w:pPr>
      <w:r w:rsidRPr="00F921A1">
        <w:t>Aleixandre-</w:t>
      </w:r>
      <w:proofErr w:type="spellStart"/>
      <w:r w:rsidRPr="00F921A1">
        <w:t>Benavent</w:t>
      </w:r>
      <w:proofErr w:type="spellEnd"/>
      <w:r w:rsidRPr="00F921A1">
        <w:t xml:space="preserve">, R., Vidal-Infer, A., Alonso-Arroyo, A., </w:t>
      </w:r>
      <w:proofErr w:type="spellStart"/>
      <w:r w:rsidRPr="00F921A1">
        <w:t>Peset</w:t>
      </w:r>
      <w:proofErr w:type="spellEnd"/>
      <w:r w:rsidRPr="00F921A1">
        <w:t xml:space="preserve">, F., &amp; Ferrer </w:t>
      </w:r>
      <w:proofErr w:type="spellStart"/>
      <w:r w:rsidRPr="00F921A1">
        <w:t>Sapena</w:t>
      </w:r>
      <w:proofErr w:type="spellEnd"/>
      <w:r w:rsidRPr="00F921A1">
        <w:t>, A. (2020). Research data sharing in Spain: Exploring determinants, practices, and perceptions. </w:t>
      </w:r>
      <w:r w:rsidRPr="00F921A1">
        <w:rPr>
          <w:i/>
          <w:iCs/>
        </w:rPr>
        <w:t>Data</w:t>
      </w:r>
      <w:r w:rsidRPr="00F921A1">
        <w:t>, </w:t>
      </w:r>
      <w:r w:rsidRPr="00F921A1">
        <w:rPr>
          <w:i/>
          <w:iCs/>
        </w:rPr>
        <w:t>5</w:t>
      </w:r>
      <w:r w:rsidRPr="00F921A1">
        <w:t>(2), 29.</w:t>
      </w:r>
    </w:p>
    <w:p w14:paraId="77B4FCC5" w14:textId="77777777" w:rsidR="00F921A1" w:rsidRDefault="00F921A1" w:rsidP="00FD3A69">
      <w:pPr>
        <w:rPr>
          <w:lang w:val="de-DE"/>
        </w:rPr>
      </w:pPr>
    </w:p>
    <w:p w14:paraId="758E4C30" w14:textId="6738FAFC" w:rsidR="00FD3A69" w:rsidRDefault="00FD3A69" w:rsidP="00FD3A69">
      <w:pPr>
        <w:rPr>
          <w:lang w:val="de-DE"/>
        </w:rPr>
      </w:pPr>
      <w:r w:rsidRPr="00B6246C">
        <w:rPr>
          <w:lang w:val="de-DE"/>
        </w:rPr>
        <w:t xml:space="preserve">Ambrasat, J., Heger, C., &amp; Rucker, A. (2020) Wissenschaftsbefragung 2019/20 - Methoden und Fragebogen. </w:t>
      </w:r>
      <w:r w:rsidRPr="00FD3A69">
        <w:rPr>
          <w:lang w:val="de-DE"/>
        </w:rPr>
        <w:t>DZHW Methodenbericht, Hannover: DZHW.</w:t>
      </w:r>
      <w:r w:rsidR="00BE21F7">
        <w:rPr>
          <w:lang w:val="de-DE"/>
        </w:rPr>
        <w:t xml:space="preserve"> Online at: </w:t>
      </w:r>
      <w:hyperlink r:id="rId18" w:history="1">
        <w:r w:rsidR="00BE21F7" w:rsidRPr="00A67326">
          <w:rPr>
            <w:rStyle w:val="Hyperlink"/>
            <w:lang w:val="de-DE"/>
          </w:rPr>
          <w:t>https://www.wb.dzhw.eu/downloads/WiBef_Methodenbericht2019-20.pdf</w:t>
        </w:r>
      </w:hyperlink>
    </w:p>
    <w:p w14:paraId="6F0DCF10" w14:textId="77777777" w:rsidR="00FD3A69" w:rsidRDefault="00FD3A69" w:rsidP="00FD3A69">
      <w:pPr>
        <w:rPr>
          <w:lang w:val="de-DE"/>
        </w:rPr>
      </w:pPr>
    </w:p>
    <w:p w14:paraId="21AC99A0" w14:textId="0918B262" w:rsidR="00FD3A69" w:rsidRPr="00FD3A69" w:rsidRDefault="00FD3A69" w:rsidP="00FD3A69">
      <w:pPr>
        <w:rPr>
          <w:lang w:val="en-US"/>
        </w:rPr>
      </w:pPr>
      <w:r w:rsidRPr="005D6AB8">
        <w:rPr>
          <w:lang w:val="de-DE"/>
        </w:rPr>
        <w:t xml:space="preserve">Ambrasat, J., &amp; Heger, C. (2020). Barometer für die Wissenschaft. Ergebnisse der Wissenschaftsbefragung 2019/20. </w:t>
      </w:r>
      <w:r w:rsidRPr="005308D8">
        <w:rPr>
          <w:lang w:val="en-US"/>
        </w:rPr>
        <w:t>Berlin: DZHW.</w:t>
      </w:r>
    </w:p>
    <w:p w14:paraId="2CFD345B" w14:textId="77777777" w:rsidR="000405AE" w:rsidRDefault="000405AE" w:rsidP="00B868DF">
      <w:pPr>
        <w:jc w:val="both"/>
        <w:rPr>
          <w:color w:val="000000"/>
          <w:shd w:val="clear" w:color="auto" w:fill="FFFFFF"/>
          <w:lang w:val="de-DE"/>
        </w:rPr>
      </w:pPr>
    </w:p>
    <w:p w14:paraId="77E419B2" w14:textId="4160788B" w:rsidR="00FC1DEF" w:rsidRDefault="00FC1DEF" w:rsidP="00B868DF">
      <w:pPr>
        <w:jc w:val="both"/>
        <w:rPr>
          <w:color w:val="000000"/>
          <w:shd w:val="clear" w:color="auto" w:fill="FFFFFF"/>
          <w:lang w:val="de-DE"/>
        </w:rPr>
      </w:pPr>
      <w:r w:rsidRPr="00FC1DEF">
        <w:rPr>
          <w:color w:val="000000"/>
          <w:shd w:val="clear" w:color="auto" w:fill="FFFFFF"/>
          <w:lang w:val="de-DE"/>
        </w:rPr>
        <w:t xml:space="preserve">Ambrasat, J., Heger, C., Fabian, G. &amp; Rucker, A. (2022). </w:t>
      </w:r>
      <w:r w:rsidRPr="007524BE">
        <w:rPr>
          <w:color w:val="000000"/>
          <w:shd w:val="clear" w:color="auto" w:fill="FFFFFF"/>
          <w:lang w:val="de-DE"/>
        </w:rPr>
        <w:t xml:space="preserve">DZHW-Wissenschaftsbefragung 2019. Datenerhebung: 2019/2020. Version: 2.0.0. Datenpaketzugangsweg: Remote-Desktop-SUF. Hannover: FDZ-DZHW. </w:t>
      </w:r>
      <w:proofErr w:type="spellStart"/>
      <w:r w:rsidRPr="007524BE">
        <w:rPr>
          <w:color w:val="000000"/>
          <w:shd w:val="clear" w:color="auto" w:fill="FFFFFF"/>
          <w:lang w:val="de-DE"/>
        </w:rPr>
        <w:t>Datenkuratierung</w:t>
      </w:r>
      <w:proofErr w:type="spellEnd"/>
      <w:r w:rsidRPr="007524BE">
        <w:rPr>
          <w:color w:val="000000"/>
          <w:shd w:val="clear" w:color="auto" w:fill="FFFFFF"/>
          <w:lang w:val="de-DE"/>
        </w:rPr>
        <w:t xml:space="preserve">: Weber, A., Daniel, A. &amp; Schmidtchen, H. </w:t>
      </w:r>
      <w:hyperlink r:id="rId19" w:history="1">
        <w:r w:rsidR="00AB709F" w:rsidRPr="00B27297">
          <w:rPr>
            <w:rStyle w:val="Hyperlink"/>
            <w:shd w:val="clear" w:color="auto" w:fill="FFFFFF"/>
            <w:lang w:val="de-DE"/>
          </w:rPr>
          <w:t>https://doi.org/10.21249/DZHW:scs2019:2.0.0</w:t>
        </w:r>
      </w:hyperlink>
    </w:p>
    <w:p w14:paraId="6D4FACF8" w14:textId="77777777" w:rsidR="00F1719F" w:rsidRDefault="00F1719F" w:rsidP="00B868DF">
      <w:pPr>
        <w:jc w:val="both"/>
        <w:rPr>
          <w:color w:val="000000" w:themeColor="text1"/>
        </w:rPr>
      </w:pPr>
    </w:p>
    <w:p w14:paraId="4168CF35" w14:textId="7CF20FA8" w:rsidR="0082248B" w:rsidRDefault="0082248B" w:rsidP="00B868DF">
      <w:pPr>
        <w:jc w:val="both"/>
        <w:rPr>
          <w:color w:val="000000" w:themeColor="text1"/>
        </w:rPr>
      </w:pPr>
      <w:proofErr w:type="spellStart"/>
      <w:r w:rsidRPr="0082248B">
        <w:rPr>
          <w:color w:val="000000" w:themeColor="text1"/>
        </w:rPr>
        <w:t>Borgman</w:t>
      </w:r>
      <w:proofErr w:type="spellEnd"/>
      <w:r w:rsidRPr="0082248B">
        <w:rPr>
          <w:color w:val="000000" w:themeColor="text1"/>
        </w:rPr>
        <w:t>, C. L. (2012). The conundrum of sharing research data. </w:t>
      </w:r>
      <w:r w:rsidRPr="0082248B">
        <w:rPr>
          <w:i/>
          <w:iCs/>
          <w:color w:val="000000" w:themeColor="text1"/>
        </w:rPr>
        <w:t>Journal of the American Society for Information Science and Technology</w:t>
      </w:r>
      <w:r w:rsidRPr="0082248B">
        <w:rPr>
          <w:color w:val="000000" w:themeColor="text1"/>
        </w:rPr>
        <w:t>, </w:t>
      </w:r>
      <w:r w:rsidRPr="0082248B">
        <w:rPr>
          <w:i/>
          <w:iCs/>
          <w:color w:val="000000" w:themeColor="text1"/>
        </w:rPr>
        <w:t>63</w:t>
      </w:r>
      <w:r w:rsidRPr="0082248B">
        <w:rPr>
          <w:color w:val="000000" w:themeColor="text1"/>
        </w:rPr>
        <w:t>(6), 1059-1078.</w:t>
      </w:r>
    </w:p>
    <w:p w14:paraId="41E3B188" w14:textId="77777777" w:rsidR="000B34D5" w:rsidRDefault="000B34D5" w:rsidP="00B868DF">
      <w:pPr>
        <w:jc w:val="both"/>
        <w:rPr>
          <w:color w:val="000000" w:themeColor="text1"/>
        </w:rPr>
      </w:pPr>
    </w:p>
    <w:p w14:paraId="3CA5F60F" w14:textId="6EE336CC" w:rsidR="00F921A1" w:rsidRDefault="00F921A1" w:rsidP="00206E6E">
      <w:pPr>
        <w:jc w:val="both"/>
        <w:rPr>
          <w:color w:val="000000" w:themeColor="text1"/>
        </w:rPr>
      </w:pPr>
      <w:r w:rsidRPr="00F921A1">
        <w:rPr>
          <w:color w:val="000000" w:themeColor="text1"/>
        </w:rPr>
        <w:t xml:space="preserve">Campbell, E. G., </w:t>
      </w:r>
      <w:proofErr w:type="spellStart"/>
      <w:r w:rsidRPr="00F921A1">
        <w:rPr>
          <w:color w:val="000000" w:themeColor="text1"/>
        </w:rPr>
        <w:t>Clarridge</w:t>
      </w:r>
      <w:proofErr w:type="spellEnd"/>
      <w:r w:rsidRPr="00F921A1">
        <w:rPr>
          <w:color w:val="000000" w:themeColor="text1"/>
        </w:rPr>
        <w:t xml:space="preserve">, B. R., Gokhale, M., </w:t>
      </w:r>
      <w:proofErr w:type="spellStart"/>
      <w:r w:rsidRPr="00F921A1">
        <w:rPr>
          <w:color w:val="000000" w:themeColor="text1"/>
        </w:rPr>
        <w:t>Birenbaum</w:t>
      </w:r>
      <w:proofErr w:type="spellEnd"/>
      <w:r w:rsidRPr="00F921A1">
        <w:rPr>
          <w:color w:val="000000" w:themeColor="text1"/>
        </w:rPr>
        <w:t xml:space="preserve">, L., </w:t>
      </w:r>
      <w:proofErr w:type="spellStart"/>
      <w:r w:rsidRPr="00F921A1">
        <w:rPr>
          <w:color w:val="000000" w:themeColor="text1"/>
        </w:rPr>
        <w:t>Hilgartner</w:t>
      </w:r>
      <w:proofErr w:type="spellEnd"/>
      <w:r w:rsidRPr="00F921A1">
        <w:rPr>
          <w:color w:val="000000" w:themeColor="text1"/>
        </w:rPr>
        <w:t>, S., Holtzman, N. A., &amp; Blumenthal, D. (2002). Data withholding in academic genetics: evidence from a national survey. </w:t>
      </w:r>
      <w:proofErr w:type="spellStart"/>
      <w:r w:rsidRPr="00F921A1">
        <w:rPr>
          <w:i/>
          <w:iCs/>
          <w:color w:val="000000" w:themeColor="text1"/>
        </w:rPr>
        <w:t>jama</w:t>
      </w:r>
      <w:proofErr w:type="spellEnd"/>
      <w:r w:rsidRPr="00F921A1">
        <w:rPr>
          <w:color w:val="000000" w:themeColor="text1"/>
        </w:rPr>
        <w:t>, </w:t>
      </w:r>
      <w:r w:rsidRPr="00F921A1">
        <w:rPr>
          <w:i/>
          <w:iCs/>
          <w:color w:val="000000" w:themeColor="text1"/>
        </w:rPr>
        <w:t>287</w:t>
      </w:r>
      <w:r w:rsidRPr="00F921A1">
        <w:rPr>
          <w:color w:val="000000" w:themeColor="text1"/>
        </w:rPr>
        <w:t>(4), 473-480.</w:t>
      </w:r>
    </w:p>
    <w:p w14:paraId="5E2A4D0D" w14:textId="77777777" w:rsidR="00F921A1" w:rsidRDefault="00F921A1" w:rsidP="00206E6E">
      <w:pPr>
        <w:jc w:val="both"/>
        <w:rPr>
          <w:color w:val="000000" w:themeColor="text1"/>
        </w:rPr>
      </w:pPr>
    </w:p>
    <w:p w14:paraId="3097036B" w14:textId="45DD8453" w:rsidR="00206E6E" w:rsidRPr="00930A5E" w:rsidRDefault="00206E6E" w:rsidP="00206E6E">
      <w:pPr>
        <w:jc w:val="both"/>
        <w:rPr>
          <w:color w:val="000000" w:themeColor="text1"/>
          <w:lang w:val="en-US"/>
        </w:rPr>
      </w:pPr>
      <w:r w:rsidRPr="00206E6E">
        <w:rPr>
          <w:color w:val="000000" w:themeColor="text1"/>
        </w:rPr>
        <w:t xml:space="preserve">Choi, M. S., &amp; Lee, S. (2020). Research data management status of science and technology research Institutes in Korea. </w:t>
      </w:r>
      <w:r w:rsidRPr="00930A5E">
        <w:rPr>
          <w:i/>
          <w:iCs/>
          <w:color w:val="000000" w:themeColor="text1"/>
          <w:lang w:val="en-US"/>
        </w:rPr>
        <w:t xml:space="preserve">Data Science Journal, 19(1). </w:t>
      </w:r>
    </w:p>
    <w:p w14:paraId="72D8381E" w14:textId="77777777" w:rsidR="00206E6E" w:rsidRDefault="00206E6E" w:rsidP="00BD2DAE">
      <w:pPr>
        <w:jc w:val="both"/>
        <w:rPr>
          <w:color w:val="000000" w:themeColor="text1"/>
          <w:lang w:val="en-US"/>
        </w:rPr>
      </w:pPr>
    </w:p>
    <w:p w14:paraId="0CFE394E" w14:textId="77777777" w:rsidR="00FD3A69" w:rsidRDefault="00FD3A69" w:rsidP="00FD3A69">
      <w:pPr>
        <w:rPr>
          <w:lang w:val="en-US"/>
        </w:rPr>
      </w:pPr>
      <w:r w:rsidRPr="00284F06">
        <w:rPr>
          <w:lang w:val="en-US"/>
        </w:rPr>
        <w:t xml:space="preserve">CNRS - Scientific and Technical Information Department. 2016. </w:t>
      </w:r>
      <w:r w:rsidRPr="00284F06">
        <w:rPr>
          <w:i/>
          <w:iCs/>
          <w:lang w:val="en-US"/>
        </w:rPr>
        <w:t>White Paper — Open Science in a Digital Republic</w:t>
      </w:r>
      <w:r w:rsidRPr="00284F06">
        <w:rPr>
          <w:lang w:val="en-US"/>
        </w:rPr>
        <w:t xml:space="preserve">. </w:t>
      </w:r>
      <w:proofErr w:type="spellStart"/>
      <w:r w:rsidRPr="00284F06">
        <w:rPr>
          <w:lang w:val="en-US"/>
        </w:rPr>
        <w:t>Laboratoire</w:t>
      </w:r>
      <w:proofErr w:type="spellEnd"/>
      <w:r w:rsidRPr="00284F06">
        <w:rPr>
          <w:lang w:val="en-US"/>
        </w:rPr>
        <w:t xml:space="preserve"> </w:t>
      </w:r>
      <w:proofErr w:type="spellStart"/>
      <w:r w:rsidRPr="00284F06">
        <w:rPr>
          <w:lang w:val="en-US"/>
        </w:rPr>
        <w:t>d’idées</w:t>
      </w:r>
      <w:proofErr w:type="spellEnd"/>
      <w:r w:rsidRPr="00284F06">
        <w:rPr>
          <w:lang w:val="en-US"/>
        </w:rPr>
        <w:t xml:space="preserve">. Marseille: </w:t>
      </w:r>
      <w:proofErr w:type="spellStart"/>
      <w:r w:rsidRPr="00284F06">
        <w:rPr>
          <w:lang w:val="en-US"/>
        </w:rPr>
        <w:t>OpenEdition</w:t>
      </w:r>
      <w:proofErr w:type="spellEnd"/>
      <w:r w:rsidRPr="00284F06">
        <w:rPr>
          <w:lang w:val="en-US"/>
        </w:rPr>
        <w:t xml:space="preserve"> Press.</w:t>
      </w:r>
    </w:p>
    <w:p w14:paraId="0FE92E18" w14:textId="77777777" w:rsidR="00FD3A69" w:rsidRDefault="00FD3A69" w:rsidP="00FD3A69">
      <w:pPr>
        <w:rPr>
          <w:bCs/>
          <w:lang w:val="en-US"/>
        </w:rPr>
      </w:pPr>
    </w:p>
    <w:p w14:paraId="7F9A1081" w14:textId="77777777" w:rsidR="00FD3A69" w:rsidRPr="00284F06" w:rsidRDefault="00FD3A69" w:rsidP="00FD3A69">
      <w:pPr>
        <w:rPr>
          <w:lang w:val="en-US"/>
        </w:rPr>
      </w:pPr>
      <w:r w:rsidRPr="00284F06">
        <w:rPr>
          <w:bCs/>
          <w:lang w:val="en-US"/>
        </w:rPr>
        <w:t>Commission Recommendation (EU)</w:t>
      </w:r>
      <w:r w:rsidRPr="00284F06">
        <w:rPr>
          <w:lang w:val="en-US"/>
        </w:rPr>
        <w:t xml:space="preserve"> 2018/790 of 25 April 2018 on Access to and Preservation of Scientific Information, C/2018/2375’.</w:t>
      </w:r>
      <w:r w:rsidRPr="00284F06">
        <w:rPr>
          <w:bCs/>
          <w:lang w:val="en-US"/>
        </w:rPr>
        <w:t xml:space="preserve"> https://eur-lex.europa.eu/eli/reco/2018/790/oj </w:t>
      </w:r>
      <w:r w:rsidRPr="00284F06">
        <w:rPr>
          <w:lang w:val="en-US"/>
        </w:rPr>
        <w:t>Accessed 2 December 2021.</w:t>
      </w:r>
    </w:p>
    <w:p w14:paraId="4B2E47D4" w14:textId="77777777" w:rsidR="003D0C00" w:rsidRDefault="003D0C00" w:rsidP="00AE4EFB"/>
    <w:p w14:paraId="3E289851" w14:textId="4F7B6068" w:rsidR="00AE4EFB" w:rsidRDefault="00AE4EFB" w:rsidP="00AE4EFB">
      <w:pPr>
        <w:rPr>
          <w:lang w:val="de-DE" w:eastAsia="de-DE"/>
        </w:rPr>
      </w:pPr>
      <w:r>
        <w:t xml:space="preserve">Connor TR, Loman NJ, Thompson S, Smith A, Southgate J, </w:t>
      </w:r>
      <w:proofErr w:type="spellStart"/>
      <w:r>
        <w:t>Poplawski</w:t>
      </w:r>
      <w:proofErr w:type="spellEnd"/>
      <w:r>
        <w:t xml:space="preserve"> R, Bull MJ, Richardson E, Ismail M, Thompson SE, Kitchen C, Guest M, Bakke M, Sheppard SK, &amp; </w:t>
      </w:r>
      <w:proofErr w:type="spellStart"/>
      <w:r>
        <w:t>Pallen</w:t>
      </w:r>
      <w:proofErr w:type="spellEnd"/>
      <w:r>
        <w:t xml:space="preserve"> MJ. (2016). CLIMB (the Cloud Infrastructure for Microbial Bioinformatics): an online resource for the medical microbiology community. </w:t>
      </w:r>
      <w:r>
        <w:rPr>
          <w:i/>
          <w:iCs/>
        </w:rPr>
        <w:t>Microbial genomics</w:t>
      </w:r>
      <w:r>
        <w:t xml:space="preserve">, </w:t>
      </w:r>
      <w:r>
        <w:rPr>
          <w:i/>
          <w:iCs/>
        </w:rPr>
        <w:t>2</w:t>
      </w:r>
      <w:r>
        <w:t>(9).</w:t>
      </w:r>
    </w:p>
    <w:p w14:paraId="50F08518" w14:textId="77777777" w:rsidR="00AE4EFB" w:rsidRDefault="00AE4EFB" w:rsidP="00BD2DAE">
      <w:pPr>
        <w:jc w:val="both"/>
        <w:rPr>
          <w:color w:val="000000" w:themeColor="text1"/>
          <w:lang w:val="en-US"/>
        </w:rPr>
      </w:pPr>
    </w:p>
    <w:p w14:paraId="5742B91B" w14:textId="25E217FC" w:rsidR="00BD2DAE" w:rsidRPr="008076E8" w:rsidRDefault="00BD2DAE" w:rsidP="00BD2DAE">
      <w:pPr>
        <w:jc w:val="both"/>
        <w:rPr>
          <w:color w:val="000000" w:themeColor="text1"/>
          <w:lang w:val="en-US"/>
        </w:rPr>
      </w:pPr>
      <w:proofErr w:type="spellStart"/>
      <w:r w:rsidRPr="008076E8">
        <w:rPr>
          <w:color w:val="000000" w:themeColor="text1"/>
          <w:lang w:val="en-US"/>
        </w:rPr>
        <w:t>Einav</w:t>
      </w:r>
      <w:proofErr w:type="spellEnd"/>
      <w:r w:rsidRPr="008076E8">
        <w:rPr>
          <w:color w:val="000000" w:themeColor="text1"/>
          <w:lang w:val="en-US"/>
        </w:rPr>
        <w:t>, L., and J. Levin. 2014. Economics in the age of big data. Science</w:t>
      </w:r>
      <w:r w:rsidR="000A7EB8">
        <w:rPr>
          <w:color w:val="000000" w:themeColor="text1"/>
          <w:lang w:val="en-US"/>
        </w:rPr>
        <w:t xml:space="preserve"> </w:t>
      </w:r>
      <w:r w:rsidRPr="008076E8">
        <w:rPr>
          <w:color w:val="000000" w:themeColor="text1"/>
          <w:lang w:val="en-US"/>
        </w:rPr>
        <w:t xml:space="preserve">346 (6210): 1243089. </w:t>
      </w:r>
    </w:p>
    <w:p w14:paraId="79872989" w14:textId="77777777" w:rsidR="00BD2DAE" w:rsidRDefault="00BD2DAE" w:rsidP="00B868DF">
      <w:pPr>
        <w:jc w:val="both"/>
        <w:rPr>
          <w:color w:val="000000" w:themeColor="text1"/>
        </w:rPr>
      </w:pPr>
    </w:p>
    <w:p w14:paraId="57AB0826" w14:textId="77777777" w:rsidR="00FD3A69" w:rsidRDefault="00FD3A69" w:rsidP="00FD3A69">
      <w:proofErr w:type="spellStart"/>
      <w:r w:rsidRPr="00441663">
        <w:t>Fecher</w:t>
      </w:r>
      <w:proofErr w:type="spellEnd"/>
      <w:r w:rsidRPr="00441663">
        <w:t xml:space="preserve">, B., </w:t>
      </w:r>
      <w:proofErr w:type="spellStart"/>
      <w:r w:rsidRPr="00441663">
        <w:t>Friesike</w:t>
      </w:r>
      <w:proofErr w:type="spellEnd"/>
      <w:r w:rsidRPr="00441663">
        <w:t>, S., Hebing, M. </w:t>
      </w:r>
      <w:r w:rsidRPr="00441663">
        <w:rPr>
          <w:i/>
          <w:iCs/>
        </w:rPr>
        <w:t>et al.</w:t>
      </w:r>
      <w:r w:rsidRPr="00441663">
        <w:t> A reputation economy: how individual reward considerations trump systemic arguments for open access to data. </w:t>
      </w:r>
      <w:r w:rsidRPr="00441663">
        <w:rPr>
          <w:i/>
          <w:iCs/>
        </w:rPr>
        <w:t xml:space="preserve">Palgrave </w:t>
      </w:r>
      <w:proofErr w:type="spellStart"/>
      <w:r w:rsidRPr="00441663">
        <w:rPr>
          <w:i/>
          <w:iCs/>
        </w:rPr>
        <w:t>Commun</w:t>
      </w:r>
      <w:proofErr w:type="spellEnd"/>
      <w:r w:rsidRPr="00441663">
        <w:t> </w:t>
      </w:r>
      <w:r w:rsidRPr="00441663">
        <w:rPr>
          <w:b/>
          <w:bCs/>
        </w:rPr>
        <w:t>3, </w:t>
      </w:r>
      <w:r w:rsidRPr="00441663">
        <w:t xml:space="preserve">17051 (2017). </w:t>
      </w:r>
      <w:hyperlink r:id="rId20" w:history="1">
        <w:r w:rsidRPr="00AD0661">
          <w:rPr>
            <w:rStyle w:val="Hyperlink"/>
          </w:rPr>
          <w:t>https://doi.org/10.1057/palcomms.2017.51</w:t>
        </w:r>
      </w:hyperlink>
    </w:p>
    <w:p w14:paraId="54F50AC5" w14:textId="77777777" w:rsidR="00FD3A69" w:rsidRDefault="00FD3A69" w:rsidP="00B868DF">
      <w:pPr>
        <w:jc w:val="both"/>
        <w:rPr>
          <w:color w:val="000000" w:themeColor="text1"/>
        </w:rPr>
      </w:pPr>
    </w:p>
    <w:p w14:paraId="2A8B286B" w14:textId="77777777" w:rsidR="000A7EB8" w:rsidRDefault="000A7EB8" w:rsidP="000A7EB8">
      <w:pPr>
        <w:pStyle w:val="Textkrper2"/>
        <w:rPr>
          <w:lang w:val="en-US"/>
        </w:rPr>
      </w:pPr>
      <w:r>
        <w:t xml:space="preserve">G6 statement on Open Science Brussels, December 2021. Online at: </w:t>
      </w:r>
    </w:p>
    <w:p w14:paraId="379A5030" w14:textId="77777777" w:rsidR="000A7EB8" w:rsidRPr="00173EAD" w:rsidRDefault="000A7EB8" w:rsidP="000A7EB8">
      <w:pPr>
        <w:jc w:val="both"/>
      </w:pPr>
      <w:r w:rsidRPr="000E40BF">
        <w:t>https://os.helmholtz.de/fileadmin/user_upload/os.helmholtz.de/Dokumente/G6_statement_on_Open_Science.pdf</w:t>
      </w:r>
    </w:p>
    <w:p w14:paraId="7842823C" w14:textId="77777777" w:rsidR="000A7EB8" w:rsidRDefault="000A7EB8" w:rsidP="00B868DF">
      <w:pPr>
        <w:jc w:val="both"/>
        <w:rPr>
          <w:color w:val="000000" w:themeColor="text1"/>
        </w:rPr>
      </w:pPr>
    </w:p>
    <w:p w14:paraId="365C3E01" w14:textId="4FAEA1EF" w:rsidR="008B27B7" w:rsidRDefault="008B27B7" w:rsidP="00B868DF">
      <w:pPr>
        <w:jc w:val="both"/>
        <w:rPr>
          <w:color w:val="000000" w:themeColor="text1"/>
        </w:rPr>
      </w:pPr>
      <w:r w:rsidRPr="008B27B7">
        <w:rPr>
          <w:color w:val="000000" w:themeColor="text1"/>
        </w:rPr>
        <w:t>Genova, F. (2018). Data as a research infrastructure CDS, the Virtual Observatory, astronomy, and beyond. In </w:t>
      </w:r>
      <w:r w:rsidRPr="008B27B7">
        <w:rPr>
          <w:i/>
          <w:iCs/>
          <w:color w:val="000000" w:themeColor="text1"/>
        </w:rPr>
        <w:t>EPJ Web of Conferences</w:t>
      </w:r>
      <w:r w:rsidRPr="008B27B7">
        <w:rPr>
          <w:color w:val="000000" w:themeColor="text1"/>
        </w:rPr>
        <w:t> (Vol. 186, p. 01001). EDP Sciences.</w:t>
      </w:r>
    </w:p>
    <w:p w14:paraId="3C922C89" w14:textId="4EC36361" w:rsidR="0061328F" w:rsidRDefault="0061328F" w:rsidP="00B868DF">
      <w:pPr>
        <w:jc w:val="both"/>
        <w:rPr>
          <w:color w:val="000000" w:themeColor="text1"/>
        </w:rPr>
      </w:pPr>
    </w:p>
    <w:p w14:paraId="39A77802" w14:textId="77518CDC" w:rsidR="00B90527" w:rsidRDefault="00B90527" w:rsidP="000050D2">
      <w:pPr>
        <w:jc w:val="both"/>
        <w:rPr>
          <w:color w:val="000000" w:themeColor="text1"/>
          <w:lang w:val="en-US"/>
        </w:rPr>
      </w:pPr>
      <w:r w:rsidRPr="00B90527">
        <w:rPr>
          <w:color w:val="000000" w:themeColor="text1"/>
        </w:rPr>
        <w:t>Gläser, J. (2018, September). Accounting for field-specific research practices in surveys.</w:t>
      </w:r>
      <w:r w:rsidRPr="00B90527">
        <w:rPr>
          <w:color w:val="000000" w:themeColor="text1"/>
        </w:rPr>
        <w:br/>
        <w:t>In STI 2018 Conference Proceedings (pp. 1364-1370). Centre for Science and Technology</w:t>
      </w:r>
      <w:r w:rsidRPr="00B90527">
        <w:rPr>
          <w:color w:val="000000" w:themeColor="text1"/>
        </w:rPr>
        <w:br/>
        <w:t>Studies (CWTS).</w:t>
      </w:r>
    </w:p>
    <w:p w14:paraId="68B3BB91" w14:textId="77777777" w:rsidR="00B90527" w:rsidRDefault="00B90527" w:rsidP="000050D2">
      <w:pPr>
        <w:jc w:val="both"/>
        <w:rPr>
          <w:color w:val="000000" w:themeColor="text1"/>
          <w:lang w:val="en-US"/>
        </w:rPr>
      </w:pPr>
    </w:p>
    <w:p w14:paraId="2EC66901" w14:textId="4B7ED0C5" w:rsidR="000050D2" w:rsidRPr="00A709EF" w:rsidRDefault="000050D2" w:rsidP="00B868DF">
      <w:pPr>
        <w:jc w:val="both"/>
        <w:rPr>
          <w:color w:val="000000" w:themeColor="text1"/>
          <w:lang w:val="en-US"/>
        </w:rPr>
      </w:pPr>
      <w:r w:rsidRPr="00B90527">
        <w:rPr>
          <w:color w:val="000000" w:themeColor="text1"/>
          <w:lang w:val="de-DE"/>
        </w:rPr>
        <w:t xml:space="preserve">Goldstein, B. R., &amp; Bowen, A. C. (1991). </w:t>
      </w:r>
      <w:r w:rsidRPr="004C02F6">
        <w:rPr>
          <w:color w:val="000000" w:themeColor="text1"/>
          <w:lang w:val="en-US"/>
        </w:rPr>
        <w:t xml:space="preserve">The Introduction of Dated Observations and Precise Measurement in Greek Astronomy. </w:t>
      </w:r>
      <w:r w:rsidRPr="004C02F6">
        <w:rPr>
          <w:i/>
          <w:iCs/>
          <w:color w:val="000000" w:themeColor="text1"/>
          <w:lang w:val="en-US"/>
        </w:rPr>
        <w:t>Archive for History of Exact Sciences</w:t>
      </w:r>
      <w:r w:rsidRPr="004C02F6">
        <w:rPr>
          <w:color w:val="000000" w:themeColor="text1"/>
          <w:lang w:val="en-US"/>
        </w:rPr>
        <w:t xml:space="preserve">, </w:t>
      </w:r>
      <w:r w:rsidRPr="004C02F6">
        <w:rPr>
          <w:i/>
          <w:iCs/>
          <w:color w:val="000000" w:themeColor="text1"/>
          <w:lang w:val="en-US"/>
        </w:rPr>
        <w:t>43</w:t>
      </w:r>
      <w:r w:rsidR="00A709EF">
        <w:rPr>
          <w:color w:val="000000" w:themeColor="text1"/>
          <w:lang w:val="en-US"/>
        </w:rPr>
        <w:t>(2), 93–132.</w:t>
      </w:r>
    </w:p>
    <w:p w14:paraId="0210955D" w14:textId="77777777" w:rsidR="00BC38D5" w:rsidRDefault="00BC38D5" w:rsidP="00B868DF">
      <w:pPr>
        <w:jc w:val="both"/>
        <w:rPr>
          <w:color w:val="000000" w:themeColor="text1"/>
        </w:rPr>
      </w:pPr>
    </w:p>
    <w:p w14:paraId="513EB3A0" w14:textId="1FE0D7F0" w:rsidR="00BC38D5" w:rsidRDefault="00BC38D5" w:rsidP="00B868DF">
      <w:pPr>
        <w:jc w:val="both"/>
        <w:rPr>
          <w:color w:val="000000" w:themeColor="text1"/>
        </w:rPr>
      </w:pPr>
      <w:proofErr w:type="spellStart"/>
      <w:r w:rsidRPr="00BC38D5">
        <w:rPr>
          <w:color w:val="000000" w:themeColor="text1"/>
        </w:rPr>
        <w:t>Goodey</w:t>
      </w:r>
      <w:proofErr w:type="spellEnd"/>
      <w:r w:rsidRPr="00BC38D5">
        <w:rPr>
          <w:color w:val="000000" w:themeColor="text1"/>
        </w:rPr>
        <w:t xml:space="preserve">, G., </w:t>
      </w:r>
      <w:proofErr w:type="spellStart"/>
      <w:r w:rsidRPr="00BC38D5">
        <w:rPr>
          <w:color w:val="000000" w:themeColor="text1"/>
        </w:rPr>
        <w:t>Hahnel</w:t>
      </w:r>
      <w:proofErr w:type="spellEnd"/>
      <w:r w:rsidRPr="00BC38D5">
        <w:rPr>
          <w:color w:val="000000" w:themeColor="text1"/>
        </w:rPr>
        <w:t xml:space="preserve">, M., Zhou, Y., Jiang, L., </w:t>
      </w:r>
      <w:proofErr w:type="spellStart"/>
      <w:r w:rsidRPr="00BC38D5">
        <w:rPr>
          <w:color w:val="000000" w:themeColor="text1"/>
        </w:rPr>
        <w:t>Chandramouliswaran</w:t>
      </w:r>
      <w:proofErr w:type="spellEnd"/>
      <w:r w:rsidRPr="00BC38D5">
        <w:rPr>
          <w:color w:val="000000" w:themeColor="text1"/>
        </w:rPr>
        <w:t>, I., Hafez, A</w:t>
      </w:r>
      <w:r w:rsidRPr="00BC38D5">
        <w:t xml:space="preserve"> </w:t>
      </w:r>
      <w:r w:rsidRPr="00BC38D5">
        <w:rPr>
          <w:color w:val="000000" w:themeColor="text1"/>
        </w:rPr>
        <w:t xml:space="preserve">, Taunton Paine, Susan </w:t>
      </w:r>
      <w:proofErr w:type="spellStart"/>
      <w:r w:rsidRPr="00BC38D5">
        <w:rPr>
          <w:color w:val="000000" w:themeColor="text1"/>
        </w:rPr>
        <w:t>Gregurick</w:t>
      </w:r>
      <w:proofErr w:type="spellEnd"/>
      <w:r w:rsidRPr="00BC38D5">
        <w:rPr>
          <w:color w:val="000000" w:themeColor="text1"/>
        </w:rPr>
        <w:t>, Samuel Simango, Juan Miguel Palma Peña, Holly Murray, Matt Cannon, Rebecca Grant, Kate McKellar, Laura Day (2022). The state of open data 2022.</w:t>
      </w:r>
      <w:r>
        <w:rPr>
          <w:color w:val="000000" w:themeColor="text1"/>
        </w:rPr>
        <w:t xml:space="preserve"> Report by </w:t>
      </w:r>
      <w:r w:rsidRPr="00BC38D5">
        <w:rPr>
          <w:color w:val="000000" w:themeColor="text1"/>
        </w:rPr>
        <w:t>Digital Science, S</w:t>
      </w:r>
      <w:r>
        <w:rPr>
          <w:color w:val="000000" w:themeColor="text1"/>
        </w:rPr>
        <w:t xml:space="preserve">pringer Nature and </w:t>
      </w:r>
      <w:proofErr w:type="spellStart"/>
      <w:r>
        <w:rPr>
          <w:color w:val="000000" w:themeColor="text1"/>
        </w:rPr>
        <w:t>Figshare</w:t>
      </w:r>
      <w:proofErr w:type="spellEnd"/>
      <w:r>
        <w:rPr>
          <w:color w:val="000000" w:themeColor="text1"/>
        </w:rPr>
        <w:t xml:space="preserve">. Accessed online (on April 13,2023) at: </w:t>
      </w:r>
      <w:r w:rsidRPr="00BC38D5">
        <w:rPr>
          <w:color w:val="000000" w:themeColor="text1"/>
        </w:rPr>
        <w:t>https://apo.org.au/node/319974</w:t>
      </w:r>
      <w:r>
        <w:rPr>
          <w:color w:val="000000" w:themeColor="text1"/>
        </w:rPr>
        <w:t xml:space="preserve"> </w:t>
      </w:r>
    </w:p>
    <w:p w14:paraId="1D99152C" w14:textId="77777777" w:rsidR="00BC38D5" w:rsidRDefault="00BC38D5" w:rsidP="00B868DF">
      <w:pPr>
        <w:jc w:val="both"/>
        <w:rPr>
          <w:color w:val="000000" w:themeColor="text1"/>
        </w:rPr>
      </w:pPr>
    </w:p>
    <w:p w14:paraId="099702D5" w14:textId="73FCD41F" w:rsidR="004F7C06" w:rsidRDefault="004F7C06" w:rsidP="00B868DF">
      <w:pPr>
        <w:jc w:val="both"/>
        <w:rPr>
          <w:color w:val="000000" w:themeColor="text1"/>
        </w:rPr>
      </w:pPr>
      <w:r w:rsidRPr="004F7C06">
        <w:rPr>
          <w:color w:val="000000" w:themeColor="text1"/>
        </w:rPr>
        <w:t xml:space="preserve">Hessels, L. K., Franssen, T., Scholten, W., &amp; De </w:t>
      </w:r>
      <w:proofErr w:type="spellStart"/>
      <w:r w:rsidRPr="004F7C06">
        <w:rPr>
          <w:color w:val="000000" w:themeColor="text1"/>
        </w:rPr>
        <w:t>Rijcke</w:t>
      </w:r>
      <w:proofErr w:type="spellEnd"/>
      <w:r w:rsidRPr="004F7C06">
        <w:rPr>
          <w:color w:val="000000" w:themeColor="text1"/>
        </w:rPr>
        <w:t>, S. (2019). Variation in valuation: How research groups accumulate credibility in four epistemic cultures. </w:t>
      </w:r>
      <w:r w:rsidRPr="004F7C06">
        <w:rPr>
          <w:i/>
          <w:iCs/>
          <w:color w:val="000000" w:themeColor="text1"/>
        </w:rPr>
        <w:t>Minerva</w:t>
      </w:r>
      <w:r w:rsidRPr="004F7C06">
        <w:rPr>
          <w:color w:val="000000" w:themeColor="text1"/>
        </w:rPr>
        <w:t>, </w:t>
      </w:r>
      <w:r w:rsidRPr="004F7C06">
        <w:rPr>
          <w:i/>
          <w:iCs/>
          <w:color w:val="000000" w:themeColor="text1"/>
        </w:rPr>
        <w:t>57</w:t>
      </w:r>
      <w:r w:rsidRPr="004F7C06">
        <w:rPr>
          <w:color w:val="000000" w:themeColor="text1"/>
        </w:rPr>
        <w:t>, 127-149.</w:t>
      </w:r>
    </w:p>
    <w:p w14:paraId="1DB34648" w14:textId="77777777" w:rsidR="004F7C06" w:rsidRDefault="004F7C06" w:rsidP="00B868DF">
      <w:pPr>
        <w:jc w:val="both"/>
        <w:rPr>
          <w:color w:val="000000" w:themeColor="text1"/>
        </w:rPr>
      </w:pPr>
    </w:p>
    <w:p w14:paraId="38C85163" w14:textId="015464FF" w:rsidR="0061328F" w:rsidRDefault="0061328F" w:rsidP="00B868DF">
      <w:pPr>
        <w:jc w:val="both"/>
        <w:rPr>
          <w:color w:val="000000" w:themeColor="text1"/>
        </w:rPr>
      </w:pPr>
      <w:proofErr w:type="spellStart"/>
      <w:r w:rsidRPr="0061328F">
        <w:rPr>
          <w:color w:val="000000" w:themeColor="text1"/>
        </w:rPr>
        <w:t>Hoeppe</w:t>
      </w:r>
      <w:proofErr w:type="spellEnd"/>
      <w:r w:rsidRPr="0061328F">
        <w:rPr>
          <w:color w:val="000000" w:themeColor="text1"/>
        </w:rPr>
        <w:t>, G. (2014). Working data together: The accountability and reflexivity of digital astronomical practice. </w:t>
      </w:r>
      <w:r w:rsidRPr="0061328F">
        <w:rPr>
          <w:i/>
          <w:iCs/>
          <w:color w:val="000000" w:themeColor="text1"/>
        </w:rPr>
        <w:t>Social Studies of Science</w:t>
      </w:r>
      <w:r w:rsidRPr="0061328F">
        <w:rPr>
          <w:color w:val="000000" w:themeColor="text1"/>
        </w:rPr>
        <w:t>, </w:t>
      </w:r>
      <w:r w:rsidRPr="0061328F">
        <w:rPr>
          <w:i/>
          <w:iCs/>
          <w:color w:val="000000" w:themeColor="text1"/>
        </w:rPr>
        <w:t>44</w:t>
      </w:r>
      <w:r w:rsidRPr="0061328F">
        <w:rPr>
          <w:color w:val="000000" w:themeColor="text1"/>
        </w:rPr>
        <w:t>(2), 243-270.</w:t>
      </w:r>
    </w:p>
    <w:p w14:paraId="5280F9E9" w14:textId="77777777" w:rsidR="000D654D" w:rsidRDefault="000D654D" w:rsidP="00B868DF">
      <w:pPr>
        <w:jc w:val="both"/>
        <w:rPr>
          <w:color w:val="000000" w:themeColor="text1"/>
        </w:rPr>
      </w:pPr>
    </w:p>
    <w:p w14:paraId="23D498B4" w14:textId="77777777" w:rsidR="00FD3A69" w:rsidRPr="00284F06" w:rsidRDefault="00FD3A69" w:rsidP="00FD3A69">
      <w:pPr>
        <w:rPr>
          <w:lang w:val="en-US"/>
        </w:rPr>
      </w:pPr>
      <w:proofErr w:type="spellStart"/>
      <w:r w:rsidRPr="00284F06">
        <w:rPr>
          <w:lang w:val="en-US"/>
        </w:rPr>
        <w:t>Holdren</w:t>
      </w:r>
      <w:proofErr w:type="spellEnd"/>
      <w:r w:rsidRPr="00284F06">
        <w:rPr>
          <w:lang w:val="en-US"/>
        </w:rPr>
        <w:t>, John P. 2013. ‘Memorandum for the Heads of Executive Departments and Agencies: Increasing Access to the Results of Federally Funded Scientific Research’. Edited by Executive Office of the President and Office of Science and Technology Policy. Washington, DC.</w:t>
      </w:r>
    </w:p>
    <w:p w14:paraId="032454C4" w14:textId="77777777" w:rsidR="00FD3A69" w:rsidRDefault="00FD3A69" w:rsidP="00B868DF">
      <w:pPr>
        <w:jc w:val="both"/>
        <w:rPr>
          <w:color w:val="000000" w:themeColor="text1"/>
        </w:rPr>
      </w:pPr>
    </w:p>
    <w:p w14:paraId="7F27ADC8" w14:textId="262F3CA5" w:rsidR="00DB6A4A" w:rsidRPr="00F67DF3" w:rsidRDefault="00DB6A4A" w:rsidP="00DA66CD">
      <w:pPr>
        <w:jc w:val="both"/>
        <w:rPr>
          <w:bCs/>
          <w:color w:val="000000" w:themeColor="text1"/>
          <w:lang w:val="de-DE"/>
        </w:rPr>
      </w:pPr>
      <w:r w:rsidRPr="00DB6A4A">
        <w:rPr>
          <w:bCs/>
          <w:color w:val="000000" w:themeColor="text1"/>
          <w:lang w:val="de-DE"/>
        </w:rPr>
        <w:t xml:space="preserve">Kim, Y., &amp; Stanton, J. (2012). </w:t>
      </w:r>
      <w:proofErr w:type="spellStart"/>
      <w:r w:rsidRPr="00DB6A4A">
        <w:rPr>
          <w:bCs/>
          <w:color w:val="000000" w:themeColor="text1"/>
          <w:lang w:val="de-DE"/>
        </w:rPr>
        <w:t>Institutional</w:t>
      </w:r>
      <w:proofErr w:type="spellEnd"/>
      <w:r w:rsidRPr="00DB6A4A">
        <w:rPr>
          <w:bCs/>
          <w:color w:val="000000" w:themeColor="text1"/>
          <w:lang w:val="de-DE"/>
        </w:rPr>
        <w:t xml:space="preserve"> and Individual </w:t>
      </w:r>
      <w:proofErr w:type="spellStart"/>
      <w:r w:rsidRPr="00DB6A4A">
        <w:rPr>
          <w:bCs/>
          <w:color w:val="000000" w:themeColor="text1"/>
          <w:lang w:val="de-DE"/>
        </w:rPr>
        <w:t>Influences</w:t>
      </w:r>
      <w:proofErr w:type="spellEnd"/>
      <w:r w:rsidRPr="00DB6A4A">
        <w:rPr>
          <w:bCs/>
          <w:color w:val="000000" w:themeColor="text1"/>
          <w:lang w:val="de-DE"/>
        </w:rPr>
        <w:t xml:space="preserve"> on </w:t>
      </w:r>
      <w:proofErr w:type="spellStart"/>
      <w:r w:rsidRPr="00DB6A4A">
        <w:rPr>
          <w:bCs/>
          <w:color w:val="000000" w:themeColor="text1"/>
          <w:lang w:val="de-DE"/>
        </w:rPr>
        <w:t>Scientists</w:t>
      </w:r>
      <w:proofErr w:type="spellEnd"/>
      <w:r w:rsidRPr="00DB6A4A">
        <w:rPr>
          <w:bCs/>
          <w:color w:val="000000" w:themeColor="text1"/>
          <w:lang w:val="de-DE"/>
        </w:rPr>
        <w:t xml:space="preserve">’ Data Sharing Practices. </w:t>
      </w:r>
      <w:r w:rsidRPr="00DB6A4A">
        <w:rPr>
          <w:bCs/>
          <w:i/>
          <w:iCs/>
          <w:color w:val="000000" w:themeColor="text1"/>
          <w:lang w:val="de-DE"/>
        </w:rPr>
        <w:t xml:space="preserve">The Journal </w:t>
      </w:r>
      <w:proofErr w:type="spellStart"/>
      <w:r w:rsidRPr="00DB6A4A">
        <w:rPr>
          <w:bCs/>
          <w:i/>
          <w:iCs/>
          <w:color w:val="000000" w:themeColor="text1"/>
          <w:lang w:val="de-DE"/>
        </w:rPr>
        <w:t>of</w:t>
      </w:r>
      <w:proofErr w:type="spellEnd"/>
      <w:r w:rsidRPr="00DB6A4A">
        <w:rPr>
          <w:bCs/>
          <w:i/>
          <w:iCs/>
          <w:color w:val="000000" w:themeColor="text1"/>
          <w:lang w:val="de-DE"/>
        </w:rPr>
        <w:t xml:space="preserve"> Computational Science Education</w:t>
      </w:r>
      <w:r w:rsidRPr="00DB6A4A">
        <w:rPr>
          <w:bCs/>
          <w:color w:val="000000" w:themeColor="text1"/>
          <w:lang w:val="de-DE"/>
        </w:rPr>
        <w:t xml:space="preserve">, </w:t>
      </w:r>
      <w:r w:rsidRPr="00DB6A4A">
        <w:rPr>
          <w:bCs/>
          <w:i/>
          <w:iCs/>
          <w:color w:val="000000" w:themeColor="text1"/>
          <w:lang w:val="de-DE"/>
        </w:rPr>
        <w:t>3</w:t>
      </w:r>
      <w:r w:rsidRPr="00DB6A4A">
        <w:rPr>
          <w:bCs/>
          <w:color w:val="000000" w:themeColor="text1"/>
          <w:lang w:val="de-DE"/>
        </w:rPr>
        <w:t xml:space="preserve">(1), 47–56. </w:t>
      </w:r>
      <w:hyperlink r:id="rId21" w:history="1">
        <w:r w:rsidRPr="00DB6A4A">
          <w:rPr>
            <w:rStyle w:val="Hyperlink"/>
            <w:bCs/>
            <w:lang w:val="de-DE"/>
          </w:rPr>
          <w:t>https://doi.org/10.22369/issn.2153-4136/3/1/6</w:t>
        </w:r>
      </w:hyperlink>
    </w:p>
    <w:p w14:paraId="0C886D1F" w14:textId="77777777" w:rsidR="00DB6A4A" w:rsidRDefault="00DB6A4A" w:rsidP="00DA66CD">
      <w:pPr>
        <w:jc w:val="both"/>
        <w:rPr>
          <w:bCs/>
          <w:color w:val="000000" w:themeColor="text1"/>
          <w:lang w:val="en-US"/>
        </w:rPr>
      </w:pPr>
    </w:p>
    <w:p w14:paraId="43018F61" w14:textId="3042C4E6" w:rsidR="00DA66CD" w:rsidRPr="00DA66CD" w:rsidRDefault="00DA66CD" w:rsidP="00DA66CD">
      <w:pPr>
        <w:jc w:val="both"/>
        <w:rPr>
          <w:color w:val="000000" w:themeColor="text1"/>
          <w:lang w:val="en-US"/>
        </w:rPr>
      </w:pPr>
      <w:proofErr w:type="spellStart"/>
      <w:r w:rsidRPr="00DA66CD">
        <w:rPr>
          <w:bCs/>
          <w:color w:val="000000" w:themeColor="text1"/>
          <w:lang w:val="en-US"/>
        </w:rPr>
        <w:t>Kroes</w:t>
      </w:r>
      <w:proofErr w:type="spellEnd"/>
      <w:r w:rsidRPr="00DA66CD">
        <w:rPr>
          <w:bCs/>
          <w:color w:val="000000" w:themeColor="text1"/>
          <w:lang w:val="en-US"/>
        </w:rPr>
        <w:t>,</w:t>
      </w:r>
      <w:r w:rsidRPr="00DA66CD">
        <w:rPr>
          <w:color w:val="000000" w:themeColor="text1"/>
          <w:lang w:val="en-US"/>
        </w:rPr>
        <w:t xml:space="preserve"> </w:t>
      </w:r>
      <w:proofErr w:type="spellStart"/>
      <w:r w:rsidRPr="00DA66CD">
        <w:rPr>
          <w:color w:val="000000" w:themeColor="text1"/>
          <w:lang w:val="en-US"/>
        </w:rPr>
        <w:t>Neelie</w:t>
      </w:r>
      <w:proofErr w:type="spellEnd"/>
      <w:r w:rsidRPr="00DA66CD">
        <w:rPr>
          <w:color w:val="000000" w:themeColor="text1"/>
          <w:lang w:val="en-US"/>
        </w:rPr>
        <w:t>. 2012. ‘Scientific Data: Open Access to Research Results Will Boost Europe’s Innovation Capacity’. Press Release. European Commission. 2012. https://ec.europa.eu/commission/presscorner/detail/en/IP_12_790.</w:t>
      </w:r>
    </w:p>
    <w:p w14:paraId="2DE6449F" w14:textId="77777777" w:rsidR="00DA66CD" w:rsidRPr="00DA66CD" w:rsidRDefault="00DA66CD" w:rsidP="00DA66CD">
      <w:pPr>
        <w:jc w:val="both"/>
        <w:rPr>
          <w:color w:val="000000" w:themeColor="text1"/>
        </w:rPr>
      </w:pPr>
    </w:p>
    <w:p w14:paraId="75E34D11" w14:textId="77777777" w:rsidR="00DA66CD" w:rsidRPr="00DA66CD" w:rsidRDefault="00DA66CD" w:rsidP="00DA66CD">
      <w:pPr>
        <w:jc w:val="both"/>
        <w:rPr>
          <w:color w:val="000000" w:themeColor="text1"/>
        </w:rPr>
      </w:pPr>
      <w:proofErr w:type="spellStart"/>
      <w:r w:rsidRPr="00DA66CD">
        <w:rPr>
          <w:color w:val="000000" w:themeColor="text1"/>
        </w:rPr>
        <w:t>Kurata</w:t>
      </w:r>
      <w:proofErr w:type="spellEnd"/>
      <w:r w:rsidRPr="00DA66CD">
        <w:rPr>
          <w:color w:val="000000" w:themeColor="text1"/>
        </w:rPr>
        <w:t xml:space="preserve">, K., </w:t>
      </w:r>
      <w:proofErr w:type="spellStart"/>
      <w:r w:rsidRPr="00DA66CD">
        <w:rPr>
          <w:color w:val="000000" w:themeColor="text1"/>
        </w:rPr>
        <w:t>Matsubayashi</w:t>
      </w:r>
      <w:proofErr w:type="spellEnd"/>
      <w:r w:rsidRPr="00DA66CD">
        <w:rPr>
          <w:color w:val="000000" w:themeColor="text1"/>
        </w:rPr>
        <w:t>, M., &amp; Mine, S. (2017). Identifying the complex position of research data and data sharing among researchers in natural science. </w:t>
      </w:r>
      <w:r w:rsidRPr="00DA66CD">
        <w:rPr>
          <w:i/>
          <w:iCs/>
          <w:color w:val="000000" w:themeColor="text1"/>
        </w:rPr>
        <w:t>Sage Open</w:t>
      </w:r>
      <w:r w:rsidRPr="00DA66CD">
        <w:rPr>
          <w:color w:val="000000" w:themeColor="text1"/>
        </w:rPr>
        <w:t>, </w:t>
      </w:r>
      <w:r w:rsidRPr="00DA66CD">
        <w:rPr>
          <w:i/>
          <w:iCs/>
          <w:color w:val="000000" w:themeColor="text1"/>
        </w:rPr>
        <w:t>7</w:t>
      </w:r>
      <w:r w:rsidRPr="00DA66CD">
        <w:rPr>
          <w:color w:val="000000" w:themeColor="text1"/>
        </w:rPr>
        <w:t>(3), 2158244017717301.</w:t>
      </w:r>
    </w:p>
    <w:p w14:paraId="07F78CE3" w14:textId="77777777" w:rsidR="00DA66CD" w:rsidRDefault="00DA66CD" w:rsidP="00B868DF">
      <w:pPr>
        <w:jc w:val="both"/>
        <w:rPr>
          <w:color w:val="000000" w:themeColor="text1"/>
        </w:rPr>
      </w:pPr>
    </w:p>
    <w:p w14:paraId="6DED9FB3" w14:textId="32A9F015" w:rsidR="00023896" w:rsidRDefault="00023896" w:rsidP="00B868DF">
      <w:pPr>
        <w:jc w:val="both"/>
        <w:rPr>
          <w:color w:val="000000" w:themeColor="text1"/>
          <w:lang w:val="de-DE"/>
        </w:rPr>
      </w:pPr>
      <w:r w:rsidRPr="00023896">
        <w:rPr>
          <w:color w:val="000000" w:themeColor="text1"/>
        </w:rPr>
        <w:t xml:space="preserve">Leonelli, S., &amp; </w:t>
      </w:r>
      <w:proofErr w:type="spellStart"/>
      <w:r w:rsidRPr="00023896">
        <w:rPr>
          <w:color w:val="000000" w:themeColor="text1"/>
        </w:rPr>
        <w:t>Tempini</w:t>
      </w:r>
      <w:proofErr w:type="spellEnd"/>
      <w:r w:rsidRPr="00023896">
        <w:rPr>
          <w:color w:val="000000" w:themeColor="text1"/>
        </w:rPr>
        <w:t>, N. (2020). </w:t>
      </w:r>
      <w:r w:rsidRPr="00023896">
        <w:rPr>
          <w:i/>
          <w:iCs/>
          <w:color w:val="000000" w:themeColor="text1"/>
        </w:rPr>
        <w:t>Data journeys in the sciences</w:t>
      </w:r>
      <w:r w:rsidRPr="00023896">
        <w:rPr>
          <w:color w:val="000000" w:themeColor="text1"/>
        </w:rPr>
        <w:t> (p. 412). Springer Nature.</w:t>
      </w:r>
    </w:p>
    <w:p w14:paraId="501495C8" w14:textId="77777777" w:rsidR="00023896" w:rsidRDefault="00023896" w:rsidP="00B868DF">
      <w:pPr>
        <w:jc w:val="both"/>
        <w:rPr>
          <w:color w:val="000000" w:themeColor="text1"/>
          <w:lang w:val="de-DE"/>
        </w:rPr>
      </w:pPr>
    </w:p>
    <w:p w14:paraId="39003EEB" w14:textId="49067C01" w:rsidR="000D654D" w:rsidRPr="0082248B" w:rsidRDefault="000D654D" w:rsidP="00B868DF">
      <w:pPr>
        <w:jc w:val="both"/>
        <w:rPr>
          <w:color w:val="000000" w:themeColor="text1"/>
        </w:rPr>
      </w:pPr>
      <w:proofErr w:type="spellStart"/>
      <w:r w:rsidRPr="000D654D">
        <w:rPr>
          <w:color w:val="000000" w:themeColor="text1"/>
          <w:lang w:val="de-DE"/>
        </w:rPr>
        <w:t>Loman</w:t>
      </w:r>
      <w:proofErr w:type="spellEnd"/>
      <w:r w:rsidRPr="000D654D">
        <w:rPr>
          <w:color w:val="000000" w:themeColor="text1"/>
          <w:lang w:val="de-DE"/>
        </w:rPr>
        <w:t xml:space="preserve">, N. J., &amp; </w:t>
      </w:r>
      <w:proofErr w:type="spellStart"/>
      <w:r w:rsidRPr="000D654D">
        <w:rPr>
          <w:color w:val="000000" w:themeColor="text1"/>
          <w:lang w:val="de-DE"/>
        </w:rPr>
        <w:t>Pallen</w:t>
      </w:r>
      <w:proofErr w:type="spellEnd"/>
      <w:r w:rsidRPr="000D654D">
        <w:rPr>
          <w:color w:val="000000" w:themeColor="text1"/>
          <w:lang w:val="de-DE"/>
        </w:rPr>
        <w:t xml:space="preserve">, M. J. (2015). </w:t>
      </w:r>
      <w:r w:rsidRPr="000D654D">
        <w:rPr>
          <w:color w:val="000000" w:themeColor="text1"/>
        </w:rPr>
        <w:t>Twenty years of bacterial genome sequencing. </w:t>
      </w:r>
      <w:r w:rsidRPr="000D654D">
        <w:rPr>
          <w:i/>
          <w:iCs/>
          <w:color w:val="000000" w:themeColor="text1"/>
        </w:rPr>
        <w:t>Nature Reviews Microbiology</w:t>
      </w:r>
      <w:r w:rsidRPr="000D654D">
        <w:rPr>
          <w:color w:val="000000" w:themeColor="text1"/>
        </w:rPr>
        <w:t>, </w:t>
      </w:r>
      <w:r w:rsidRPr="000D654D">
        <w:rPr>
          <w:i/>
          <w:iCs/>
          <w:color w:val="000000" w:themeColor="text1"/>
        </w:rPr>
        <w:t>13</w:t>
      </w:r>
      <w:r w:rsidRPr="000D654D">
        <w:rPr>
          <w:color w:val="000000" w:themeColor="text1"/>
        </w:rPr>
        <w:t>(12), 787-794.</w:t>
      </w:r>
    </w:p>
    <w:p w14:paraId="4F70CA45" w14:textId="77777777" w:rsidR="00F1719F" w:rsidRDefault="00F1719F" w:rsidP="00F1719F">
      <w:pPr>
        <w:jc w:val="both"/>
        <w:rPr>
          <w:color w:val="000000" w:themeColor="text1"/>
        </w:rPr>
      </w:pPr>
    </w:p>
    <w:p w14:paraId="2CD3AFCA" w14:textId="77777777" w:rsidR="00DA66CD" w:rsidRDefault="00DA66CD" w:rsidP="00DA66CD">
      <w:pPr>
        <w:rPr>
          <w:lang w:val="en-US"/>
        </w:rPr>
      </w:pPr>
      <w:r w:rsidRPr="000040C8">
        <w:t xml:space="preserve">Nicholas, D., Jamali, H. R., Herman, E., Watkinson, A., </w:t>
      </w:r>
      <w:proofErr w:type="spellStart"/>
      <w:r w:rsidRPr="000040C8">
        <w:t>Abrizah</w:t>
      </w:r>
      <w:proofErr w:type="spellEnd"/>
      <w:r w:rsidRPr="000040C8">
        <w:t xml:space="preserve">, A., Rodríguez‐Bravo, B., ... &amp; </w:t>
      </w:r>
      <w:proofErr w:type="spellStart"/>
      <w:r w:rsidRPr="000040C8">
        <w:t>Polezhaeva</w:t>
      </w:r>
      <w:proofErr w:type="spellEnd"/>
      <w:r w:rsidRPr="000040C8">
        <w:t>, T. (2020). A global questionnaire survey of the scholarly communication attitudes and behaviours of early career researchers. </w:t>
      </w:r>
      <w:r w:rsidRPr="000040C8">
        <w:rPr>
          <w:i/>
          <w:iCs/>
        </w:rPr>
        <w:t>Learned Publishing</w:t>
      </w:r>
      <w:r w:rsidRPr="000040C8">
        <w:t>, </w:t>
      </w:r>
      <w:r w:rsidRPr="000040C8">
        <w:rPr>
          <w:i/>
          <w:iCs/>
        </w:rPr>
        <w:t>33</w:t>
      </w:r>
      <w:r w:rsidRPr="000040C8">
        <w:t>(3), 198-211.</w:t>
      </w:r>
    </w:p>
    <w:p w14:paraId="5BD8F249" w14:textId="77777777" w:rsidR="00DA66CD" w:rsidRDefault="00DA66CD" w:rsidP="00DA66CD">
      <w:pPr>
        <w:rPr>
          <w:lang w:val="en-US"/>
        </w:rPr>
      </w:pPr>
    </w:p>
    <w:p w14:paraId="0AED813F" w14:textId="028DF1AA" w:rsidR="00DA66CD" w:rsidRPr="00DA66CD" w:rsidRDefault="00DA66CD" w:rsidP="00DA66CD">
      <w:pPr>
        <w:rPr>
          <w:lang w:val="en-US"/>
        </w:rPr>
      </w:pPr>
      <w:r w:rsidRPr="00284F06">
        <w:rPr>
          <w:lang w:val="en-US"/>
        </w:rPr>
        <w:t>OECD. 2015. ‘Making Open Science a Reality’. 25. OECD Science, Technology and Industry Policy Papers. Paris: OECD Publishing. https://d</w:t>
      </w:r>
      <w:r>
        <w:rPr>
          <w:lang w:val="en-US"/>
        </w:rPr>
        <w:t>oi.org/10.1787/5jrs2f963zs1-en.</w:t>
      </w:r>
    </w:p>
    <w:p w14:paraId="613E70BC" w14:textId="3377C7D2" w:rsidR="00497AE9" w:rsidRDefault="00497AE9" w:rsidP="00F1719F">
      <w:pPr>
        <w:jc w:val="both"/>
        <w:rPr>
          <w:color w:val="000000" w:themeColor="text1"/>
        </w:rPr>
      </w:pPr>
    </w:p>
    <w:p w14:paraId="7AB2BC0A" w14:textId="77777777" w:rsidR="00CB158E" w:rsidRPr="00CB158E" w:rsidRDefault="00CB158E" w:rsidP="00CB158E">
      <w:pPr>
        <w:jc w:val="both"/>
        <w:rPr>
          <w:color w:val="000000" w:themeColor="text1"/>
          <w:lang w:val="de-DE"/>
        </w:rPr>
      </w:pPr>
      <w:r w:rsidRPr="00CB158E">
        <w:rPr>
          <w:color w:val="000000" w:themeColor="text1"/>
          <w:lang w:val="de-DE"/>
        </w:rPr>
        <w:t xml:space="preserve">Steinhardt, I., Bauer, M., Wünsche, H., &amp; Schimmler, S. (2022). The </w:t>
      </w:r>
      <w:proofErr w:type="spellStart"/>
      <w:r w:rsidRPr="00CB158E">
        <w:rPr>
          <w:color w:val="000000" w:themeColor="text1"/>
          <w:lang w:val="de-DE"/>
        </w:rPr>
        <w:t>connection</w:t>
      </w:r>
      <w:proofErr w:type="spellEnd"/>
      <w:r w:rsidRPr="00CB158E">
        <w:rPr>
          <w:color w:val="000000" w:themeColor="text1"/>
          <w:lang w:val="de-DE"/>
        </w:rPr>
        <w:t xml:space="preserve"> </w:t>
      </w:r>
      <w:proofErr w:type="spellStart"/>
      <w:r w:rsidRPr="00CB158E">
        <w:rPr>
          <w:color w:val="000000" w:themeColor="text1"/>
          <w:lang w:val="de-DE"/>
        </w:rPr>
        <w:t>of</w:t>
      </w:r>
      <w:proofErr w:type="spellEnd"/>
      <w:r w:rsidRPr="00CB158E">
        <w:rPr>
          <w:color w:val="000000" w:themeColor="text1"/>
          <w:lang w:val="de-DE"/>
        </w:rPr>
        <w:t xml:space="preserve"> open </w:t>
      </w:r>
      <w:proofErr w:type="spellStart"/>
      <w:r w:rsidRPr="00CB158E">
        <w:rPr>
          <w:color w:val="000000" w:themeColor="text1"/>
          <w:lang w:val="de-DE"/>
        </w:rPr>
        <w:t>science</w:t>
      </w:r>
      <w:proofErr w:type="spellEnd"/>
      <w:r w:rsidRPr="00CB158E">
        <w:rPr>
          <w:color w:val="000000" w:themeColor="text1"/>
          <w:lang w:val="de-DE"/>
        </w:rPr>
        <w:t xml:space="preserve"> </w:t>
      </w:r>
      <w:proofErr w:type="spellStart"/>
      <w:r w:rsidRPr="00CB158E">
        <w:rPr>
          <w:color w:val="000000" w:themeColor="text1"/>
          <w:lang w:val="de-DE"/>
        </w:rPr>
        <w:t>practices</w:t>
      </w:r>
      <w:proofErr w:type="spellEnd"/>
      <w:r w:rsidRPr="00CB158E">
        <w:rPr>
          <w:color w:val="000000" w:themeColor="text1"/>
          <w:lang w:val="de-DE"/>
        </w:rPr>
        <w:t xml:space="preserve"> and </w:t>
      </w:r>
      <w:proofErr w:type="spellStart"/>
      <w:r w:rsidRPr="00CB158E">
        <w:rPr>
          <w:color w:val="000000" w:themeColor="text1"/>
          <w:lang w:val="de-DE"/>
        </w:rPr>
        <w:t>the</w:t>
      </w:r>
      <w:proofErr w:type="spellEnd"/>
      <w:r w:rsidRPr="00CB158E">
        <w:rPr>
          <w:color w:val="000000" w:themeColor="text1"/>
          <w:lang w:val="de-DE"/>
        </w:rPr>
        <w:t xml:space="preserve"> </w:t>
      </w:r>
      <w:proofErr w:type="spellStart"/>
      <w:r w:rsidRPr="00CB158E">
        <w:rPr>
          <w:color w:val="000000" w:themeColor="text1"/>
          <w:lang w:val="de-DE"/>
        </w:rPr>
        <w:t>methodological</w:t>
      </w:r>
      <w:proofErr w:type="spellEnd"/>
      <w:r w:rsidRPr="00CB158E">
        <w:rPr>
          <w:color w:val="000000" w:themeColor="text1"/>
          <w:lang w:val="de-DE"/>
        </w:rPr>
        <w:t xml:space="preserve"> </w:t>
      </w:r>
      <w:proofErr w:type="spellStart"/>
      <w:r w:rsidRPr="00CB158E">
        <w:rPr>
          <w:color w:val="000000" w:themeColor="text1"/>
          <w:lang w:val="de-DE"/>
        </w:rPr>
        <w:t>approach</w:t>
      </w:r>
      <w:proofErr w:type="spellEnd"/>
      <w:r w:rsidRPr="00CB158E">
        <w:rPr>
          <w:color w:val="000000" w:themeColor="text1"/>
          <w:lang w:val="de-DE"/>
        </w:rPr>
        <w:t xml:space="preserve"> </w:t>
      </w:r>
      <w:proofErr w:type="spellStart"/>
      <w:r w:rsidRPr="00CB158E">
        <w:rPr>
          <w:color w:val="000000" w:themeColor="text1"/>
          <w:lang w:val="de-DE"/>
        </w:rPr>
        <w:t>of</w:t>
      </w:r>
      <w:proofErr w:type="spellEnd"/>
      <w:r w:rsidRPr="00CB158E">
        <w:rPr>
          <w:color w:val="000000" w:themeColor="text1"/>
          <w:lang w:val="de-DE"/>
        </w:rPr>
        <w:t xml:space="preserve"> </w:t>
      </w:r>
      <w:proofErr w:type="spellStart"/>
      <w:r w:rsidRPr="00CB158E">
        <w:rPr>
          <w:color w:val="000000" w:themeColor="text1"/>
          <w:lang w:val="de-DE"/>
        </w:rPr>
        <w:t>researchers</w:t>
      </w:r>
      <w:proofErr w:type="spellEnd"/>
      <w:r w:rsidRPr="00CB158E">
        <w:rPr>
          <w:color w:val="000000" w:themeColor="text1"/>
          <w:lang w:val="de-DE"/>
        </w:rPr>
        <w:t xml:space="preserve">. </w:t>
      </w:r>
      <w:r w:rsidRPr="00CB158E">
        <w:rPr>
          <w:i/>
          <w:iCs/>
          <w:color w:val="000000" w:themeColor="text1"/>
          <w:lang w:val="de-DE"/>
        </w:rPr>
        <w:t xml:space="preserve">Quality &amp; </w:t>
      </w:r>
      <w:proofErr w:type="spellStart"/>
      <w:r w:rsidRPr="00CB158E">
        <w:rPr>
          <w:i/>
          <w:iCs/>
          <w:color w:val="000000" w:themeColor="text1"/>
          <w:lang w:val="de-DE"/>
        </w:rPr>
        <w:t>Quantity</w:t>
      </w:r>
      <w:proofErr w:type="spellEnd"/>
      <w:r w:rsidRPr="00CB158E">
        <w:rPr>
          <w:color w:val="000000" w:themeColor="text1"/>
          <w:lang w:val="de-DE"/>
        </w:rPr>
        <w:t xml:space="preserve">. </w:t>
      </w:r>
      <w:hyperlink r:id="rId22" w:history="1">
        <w:r w:rsidRPr="00CB158E">
          <w:rPr>
            <w:rStyle w:val="Hyperlink"/>
            <w:lang w:val="de-DE"/>
          </w:rPr>
          <w:t>https://doi.org/10.1007/s11135-022-01524-4</w:t>
        </w:r>
      </w:hyperlink>
    </w:p>
    <w:p w14:paraId="1BCB4CCD" w14:textId="77777777" w:rsidR="00CB158E" w:rsidRDefault="00CB158E" w:rsidP="00497AE9">
      <w:pPr>
        <w:jc w:val="both"/>
        <w:rPr>
          <w:color w:val="000000" w:themeColor="text1"/>
        </w:rPr>
      </w:pPr>
    </w:p>
    <w:p w14:paraId="791B4450" w14:textId="395F65A5" w:rsidR="00807934" w:rsidRPr="00807934" w:rsidRDefault="00807934" w:rsidP="00497AE9">
      <w:pPr>
        <w:jc w:val="both"/>
        <w:rPr>
          <w:color w:val="000000" w:themeColor="text1"/>
          <w:lang w:val="en-US"/>
        </w:rPr>
      </w:pPr>
      <w:r w:rsidRPr="00807934">
        <w:rPr>
          <w:color w:val="000000" w:themeColor="text1"/>
        </w:rPr>
        <w:t xml:space="preserve">Stuart, D., Baynes, G., </w:t>
      </w:r>
      <w:proofErr w:type="spellStart"/>
      <w:r w:rsidRPr="00807934">
        <w:rPr>
          <w:color w:val="000000" w:themeColor="text1"/>
        </w:rPr>
        <w:t>Hrynaszkiewicz</w:t>
      </w:r>
      <w:proofErr w:type="spellEnd"/>
      <w:r w:rsidRPr="00807934">
        <w:rPr>
          <w:color w:val="000000" w:themeColor="text1"/>
        </w:rPr>
        <w:t xml:space="preserve">, I., Allin, K., Penny, D., </w:t>
      </w:r>
      <w:proofErr w:type="spellStart"/>
      <w:r w:rsidRPr="00807934">
        <w:rPr>
          <w:color w:val="000000" w:themeColor="text1"/>
        </w:rPr>
        <w:t>Lucraft</w:t>
      </w:r>
      <w:proofErr w:type="spellEnd"/>
      <w:r w:rsidRPr="00807934">
        <w:rPr>
          <w:color w:val="000000" w:themeColor="text1"/>
        </w:rPr>
        <w:t>, M., &amp; Astell, M. (2018). Practical challenges for researchers in data sharing.</w:t>
      </w:r>
    </w:p>
    <w:p w14:paraId="26189DA3" w14:textId="77777777" w:rsidR="00807934" w:rsidRDefault="00807934" w:rsidP="00497AE9">
      <w:pPr>
        <w:jc w:val="both"/>
        <w:rPr>
          <w:color w:val="000000" w:themeColor="text1"/>
          <w:lang w:val="en-US"/>
        </w:rPr>
      </w:pPr>
    </w:p>
    <w:p w14:paraId="67ED9B74" w14:textId="77777777" w:rsidR="000A7EB8" w:rsidRPr="00441663" w:rsidRDefault="000A7EB8" w:rsidP="000A7EB8">
      <w:pPr>
        <w:rPr>
          <w:lang w:val="en-US"/>
        </w:rPr>
      </w:pPr>
      <w:proofErr w:type="spellStart"/>
      <w:r w:rsidRPr="00441663">
        <w:rPr>
          <w:lang w:val="en-US"/>
        </w:rPr>
        <w:t>Tenopir</w:t>
      </w:r>
      <w:proofErr w:type="spellEnd"/>
      <w:r w:rsidRPr="00441663">
        <w:rPr>
          <w:lang w:val="en-US"/>
        </w:rPr>
        <w:t xml:space="preserve">, Carol, Suzie Allard, Kimberly Douglass, </w:t>
      </w:r>
      <w:proofErr w:type="spellStart"/>
      <w:r w:rsidRPr="00441663">
        <w:rPr>
          <w:lang w:val="en-US"/>
        </w:rPr>
        <w:t>Arsev</w:t>
      </w:r>
      <w:proofErr w:type="spellEnd"/>
      <w:r w:rsidRPr="00441663">
        <w:rPr>
          <w:lang w:val="en-US"/>
        </w:rPr>
        <w:t xml:space="preserve"> </w:t>
      </w:r>
      <w:proofErr w:type="spellStart"/>
      <w:r w:rsidRPr="00441663">
        <w:rPr>
          <w:lang w:val="en-US"/>
        </w:rPr>
        <w:t>Umur</w:t>
      </w:r>
      <w:proofErr w:type="spellEnd"/>
      <w:r w:rsidRPr="00441663">
        <w:rPr>
          <w:lang w:val="en-US"/>
        </w:rPr>
        <w:t xml:space="preserve"> </w:t>
      </w:r>
      <w:proofErr w:type="spellStart"/>
      <w:r w:rsidRPr="00441663">
        <w:rPr>
          <w:lang w:val="en-US"/>
        </w:rPr>
        <w:t>Aydinoglu</w:t>
      </w:r>
      <w:proofErr w:type="spellEnd"/>
      <w:r w:rsidRPr="00441663">
        <w:rPr>
          <w:lang w:val="en-US"/>
        </w:rPr>
        <w:t xml:space="preserve">, Lei Wu, Eleanor Read, Maribeth </w:t>
      </w:r>
      <w:proofErr w:type="spellStart"/>
      <w:r w:rsidRPr="00441663">
        <w:rPr>
          <w:lang w:val="en-US"/>
        </w:rPr>
        <w:t>Manoff</w:t>
      </w:r>
      <w:proofErr w:type="spellEnd"/>
      <w:r w:rsidRPr="00441663">
        <w:rPr>
          <w:lang w:val="en-US"/>
        </w:rPr>
        <w:t xml:space="preserve">, and Mike Frame. 2011. ‘Data Sharing by Scientists: Practices and Perceptions’. </w:t>
      </w:r>
      <w:r w:rsidRPr="00441663">
        <w:rPr>
          <w:i/>
          <w:iCs/>
          <w:lang w:val="en-US"/>
        </w:rPr>
        <w:t>PLOS ONE</w:t>
      </w:r>
      <w:r w:rsidRPr="00441663">
        <w:rPr>
          <w:lang w:val="en-US"/>
        </w:rPr>
        <w:t xml:space="preserve"> 6 (6): e21101. https://doi.org/10.1371/journal.pone.0021101.</w:t>
      </w:r>
    </w:p>
    <w:p w14:paraId="21719300" w14:textId="77777777" w:rsidR="000A7EB8" w:rsidRDefault="000A7EB8" w:rsidP="000A7EB8"/>
    <w:p w14:paraId="1D212305" w14:textId="77777777" w:rsidR="000A7EB8" w:rsidRPr="00924151" w:rsidRDefault="000A7EB8" w:rsidP="000A7EB8">
      <w:pPr>
        <w:rPr>
          <w:bCs/>
          <w:lang w:val="en-US"/>
        </w:rPr>
      </w:pPr>
      <w:proofErr w:type="spellStart"/>
      <w:r w:rsidRPr="00924151">
        <w:rPr>
          <w:bCs/>
          <w:lang w:val="en-US"/>
        </w:rPr>
        <w:t>Tenopir</w:t>
      </w:r>
      <w:proofErr w:type="spellEnd"/>
      <w:r w:rsidRPr="00924151">
        <w:rPr>
          <w:bCs/>
          <w:lang w:val="en-US"/>
        </w:rPr>
        <w:t xml:space="preserve">, Carol, Elizabeth D. Dalton, Suzie Allard, Mike Frame, Ivanka </w:t>
      </w:r>
      <w:proofErr w:type="spellStart"/>
      <w:r w:rsidRPr="00924151">
        <w:rPr>
          <w:bCs/>
          <w:lang w:val="en-US"/>
        </w:rPr>
        <w:t>Pjesivac</w:t>
      </w:r>
      <w:proofErr w:type="spellEnd"/>
      <w:r w:rsidRPr="00924151">
        <w:rPr>
          <w:bCs/>
          <w:lang w:val="en-US"/>
        </w:rPr>
        <w:t xml:space="preserve">, Ben Birch, Danielle Pollock, and Kristina Dorsett. 2015. ‘Changes in Data Sharing and Data Reuse Practices and Perceptions among Scientists Worldwide’. </w:t>
      </w:r>
      <w:r w:rsidRPr="00924151">
        <w:rPr>
          <w:bCs/>
          <w:i/>
          <w:iCs/>
          <w:lang w:val="en-US"/>
        </w:rPr>
        <w:t>PLOS ONE</w:t>
      </w:r>
      <w:r w:rsidRPr="00924151">
        <w:rPr>
          <w:bCs/>
          <w:lang w:val="en-US"/>
        </w:rPr>
        <w:t xml:space="preserve"> 10 (8): e0134826. https://doi.org/10.1371/journal.pone.0134826.</w:t>
      </w:r>
    </w:p>
    <w:p w14:paraId="1B493D40" w14:textId="77777777" w:rsidR="000A7EB8" w:rsidRDefault="000A7EB8" w:rsidP="000A7EB8">
      <w:pPr>
        <w:rPr>
          <w:bCs/>
        </w:rPr>
      </w:pPr>
    </w:p>
    <w:p w14:paraId="63BF9032" w14:textId="77777777" w:rsidR="000A7EB8" w:rsidRDefault="000A7EB8" w:rsidP="000A7EB8">
      <w:pPr>
        <w:rPr>
          <w:bCs/>
          <w:lang w:val="en-US"/>
        </w:rPr>
      </w:pPr>
      <w:proofErr w:type="spellStart"/>
      <w:r w:rsidRPr="000040C8">
        <w:rPr>
          <w:bCs/>
        </w:rPr>
        <w:t>Tenopir</w:t>
      </w:r>
      <w:proofErr w:type="spellEnd"/>
      <w:r w:rsidRPr="000040C8">
        <w:rPr>
          <w:bCs/>
        </w:rPr>
        <w:t xml:space="preserve">, C., Rice, N. M., Allard, S., Baird, L., </w:t>
      </w:r>
      <w:proofErr w:type="spellStart"/>
      <w:r w:rsidRPr="000040C8">
        <w:rPr>
          <w:bCs/>
        </w:rPr>
        <w:t>Borycz</w:t>
      </w:r>
      <w:proofErr w:type="spellEnd"/>
      <w:r w:rsidRPr="000040C8">
        <w:rPr>
          <w:bCs/>
        </w:rPr>
        <w:t>, J., Christian, L., ... &amp; Sandusky, R. J. (2020). Data sharing, management, use, and reuse: Practices and perceptions of scientists worldwide. </w:t>
      </w:r>
      <w:proofErr w:type="spellStart"/>
      <w:r w:rsidRPr="000040C8">
        <w:rPr>
          <w:bCs/>
          <w:i/>
          <w:iCs/>
        </w:rPr>
        <w:t>PloS</w:t>
      </w:r>
      <w:proofErr w:type="spellEnd"/>
      <w:r w:rsidRPr="000040C8">
        <w:rPr>
          <w:bCs/>
          <w:i/>
          <w:iCs/>
        </w:rPr>
        <w:t xml:space="preserve"> one</w:t>
      </w:r>
      <w:r w:rsidRPr="000040C8">
        <w:rPr>
          <w:bCs/>
        </w:rPr>
        <w:t>, </w:t>
      </w:r>
      <w:r w:rsidRPr="000040C8">
        <w:rPr>
          <w:bCs/>
          <w:i/>
          <w:iCs/>
        </w:rPr>
        <w:t>15</w:t>
      </w:r>
      <w:r w:rsidRPr="000040C8">
        <w:rPr>
          <w:bCs/>
        </w:rPr>
        <w:t>(3), e0229003.</w:t>
      </w:r>
    </w:p>
    <w:p w14:paraId="5A35A007" w14:textId="77777777" w:rsidR="000A7EB8" w:rsidRDefault="000A7EB8" w:rsidP="000A7EB8">
      <w:pPr>
        <w:rPr>
          <w:bCs/>
          <w:lang w:val="en-US"/>
        </w:rPr>
      </w:pPr>
    </w:p>
    <w:p w14:paraId="6B1B8F43" w14:textId="5CFF387F" w:rsidR="00DB6A4A" w:rsidRDefault="00DB6A4A" w:rsidP="000A7EB8">
      <w:pPr>
        <w:rPr>
          <w:bCs/>
        </w:rPr>
      </w:pPr>
      <w:proofErr w:type="spellStart"/>
      <w:r w:rsidRPr="00DB6A4A">
        <w:rPr>
          <w:bCs/>
        </w:rPr>
        <w:t>Thursby</w:t>
      </w:r>
      <w:proofErr w:type="spellEnd"/>
      <w:r w:rsidRPr="00DB6A4A">
        <w:rPr>
          <w:bCs/>
        </w:rPr>
        <w:t xml:space="preserve">, J. G., </w:t>
      </w:r>
      <w:proofErr w:type="spellStart"/>
      <w:r w:rsidRPr="00DB6A4A">
        <w:rPr>
          <w:bCs/>
        </w:rPr>
        <w:t>Haeussler</w:t>
      </w:r>
      <w:proofErr w:type="spellEnd"/>
      <w:r w:rsidRPr="00DB6A4A">
        <w:rPr>
          <w:bCs/>
        </w:rPr>
        <w:t xml:space="preserve">, C., </w:t>
      </w:r>
      <w:proofErr w:type="spellStart"/>
      <w:r w:rsidRPr="00DB6A4A">
        <w:rPr>
          <w:bCs/>
        </w:rPr>
        <w:t>Thursby</w:t>
      </w:r>
      <w:proofErr w:type="spellEnd"/>
      <w:r w:rsidRPr="00DB6A4A">
        <w:rPr>
          <w:bCs/>
        </w:rPr>
        <w:t>, M. C., &amp; Jiang, L. (2018). Prepublication disclosure of scientific results: Norms, competition, and commercial orientation. </w:t>
      </w:r>
      <w:r w:rsidRPr="00DB6A4A">
        <w:rPr>
          <w:bCs/>
          <w:i/>
          <w:iCs/>
        </w:rPr>
        <w:t>Science advances</w:t>
      </w:r>
      <w:r w:rsidRPr="00DB6A4A">
        <w:rPr>
          <w:bCs/>
        </w:rPr>
        <w:t>, </w:t>
      </w:r>
      <w:r w:rsidRPr="00DB6A4A">
        <w:rPr>
          <w:bCs/>
          <w:i/>
          <w:iCs/>
        </w:rPr>
        <w:t>4</w:t>
      </w:r>
      <w:r w:rsidRPr="00DB6A4A">
        <w:rPr>
          <w:bCs/>
        </w:rPr>
        <w:t>(5), eaar2133.</w:t>
      </w:r>
    </w:p>
    <w:p w14:paraId="7EA8C108" w14:textId="77777777" w:rsidR="00DB6A4A" w:rsidRDefault="00DB6A4A" w:rsidP="000A7EB8">
      <w:pPr>
        <w:rPr>
          <w:bCs/>
        </w:rPr>
      </w:pPr>
    </w:p>
    <w:p w14:paraId="7AF8995B" w14:textId="1B53F348" w:rsidR="00C02A6C" w:rsidRDefault="00C02A6C" w:rsidP="000A7EB8">
      <w:pPr>
        <w:rPr>
          <w:bCs/>
          <w:lang w:val="en-US"/>
        </w:rPr>
      </w:pPr>
      <w:r w:rsidRPr="00C02A6C">
        <w:rPr>
          <w:bCs/>
        </w:rPr>
        <w:t>Velden, T. (2013, February). Explaining field differences in openness and sharing in scientific communities. In </w:t>
      </w:r>
      <w:r w:rsidRPr="00C02A6C">
        <w:rPr>
          <w:bCs/>
          <w:i/>
          <w:iCs/>
        </w:rPr>
        <w:t>Proceedings of the 2013 conference on Computer supported cooperative work</w:t>
      </w:r>
      <w:r w:rsidRPr="00C02A6C">
        <w:rPr>
          <w:bCs/>
        </w:rPr>
        <w:t> (pp. 445-458).</w:t>
      </w:r>
    </w:p>
    <w:p w14:paraId="22525429" w14:textId="77777777" w:rsidR="00C02A6C" w:rsidRDefault="00C02A6C" w:rsidP="000A7EB8">
      <w:pPr>
        <w:rPr>
          <w:bCs/>
          <w:lang w:val="en-US"/>
        </w:rPr>
      </w:pPr>
    </w:p>
    <w:p w14:paraId="56490110" w14:textId="2E2025AE" w:rsidR="000A7EB8" w:rsidRPr="00284F06" w:rsidRDefault="000A7EB8" w:rsidP="000A7EB8">
      <w:pPr>
        <w:rPr>
          <w:lang w:val="en-US"/>
        </w:rPr>
      </w:pPr>
      <w:proofErr w:type="spellStart"/>
      <w:r w:rsidRPr="00284F06">
        <w:rPr>
          <w:bCs/>
          <w:lang w:val="en-US"/>
        </w:rPr>
        <w:t>Wellcome</w:t>
      </w:r>
      <w:proofErr w:type="spellEnd"/>
      <w:r w:rsidRPr="00284F06">
        <w:rPr>
          <w:lang w:val="en-US"/>
        </w:rPr>
        <w:t xml:space="preserve">. ‘Data, Software and Materials Management and Sharing Policy’. </w:t>
      </w:r>
      <w:proofErr w:type="spellStart"/>
      <w:r w:rsidRPr="00284F06">
        <w:rPr>
          <w:lang w:val="en-US"/>
        </w:rPr>
        <w:t>Wellcome</w:t>
      </w:r>
      <w:proofErr w:type="spellEnd"/>
      <w:r w:rsidRPr="00284F06">
        <w:rPr>
          <w:lang w:val="en-US"/>
        </w:rPr>
        <w:t>. Accessed 27 February 2020. https://wellcome.org/grant-funding/guidance/data-software-materials-management-and-sharing-policy.</w:t>
      </w:r>
    </w:p>
    <w:p w14:paraId="579E1DE4" w14:textId="77777777" w:rsidR="000A7EB8" w:rsidRPr="00807934" w:rsidRDefault="000A7EB8" w:rsidP="00497AE9">
      <w:pPr>
        <w:jc w:val="both"/>
        <w:rPr>
          <w:color w:val="000000" w:themeColor="text1"/>
          <w:lang w:val="en-US"/>
        </w:rPr>
      </w:pPr>
    </w:p>
    <w:p w14:paraId="140EB5F7" w14:textId="77777777" w:rsidR="000A7EB8" w:rsidRDefault="000A7EB8" w:rsidP="000A7EB8">
      <w:r w:rsidRPr="002C3212">
        <w:t xml:space="preserve">Zhu, Y. (2020) ‘Open-access policy and data-sharing practice in UK academia’, </w:t>
      </w:r>
      <w:r w:rsidRPr="002C3212">
        <w:rPr>
          <w:i/>
        </w:rPr>
        <w:t>Journal of Information Science</w:t>
      </w:r>
      <w:r w:rsidRPr="002C3212">
        <w:t>, 46(1), pp. 41–52.</w:t>
      </w:r>
    </w:p>
    <w:p w14:paraId="136771C4" w14:textId="77777777" w:rsidR="000A7EB8" w:rsidRDefault="000A7EB8" w:rsidP="000A7EB8">
      <w:pPr>
        <w:pStyle w:val="Textkrper2"/>
        <w:rPr>
          <w:lang w:val="en-US"/>
        </w:rPr>
      </w:pPr>
    </w:p>
    <w:p w14:paraId="2082191E" w14:textId="7D365297" w:rsidR="00AB394B" w:rsidRPr="00F67DF3" w:rsidRDefault="00497AE9" w:rsidP="00F92089">
      <w:pPr>
        <w:jc w:val="both"/>
        <w:rPr>
          <w:color w:val="000000" w:themeColor="text1"/>
          <w:lang w:val="en-US"/>
        </w:rPr>
      </w:pPr>
      <w:r w:rsidRPr="00497AE9">
        <w:rPr>
          <w:color w:val="000000" w:themeColor="text1"/>
          <w:lang w:val="de-DE"/>
        </w:rPr>
        <w:t>Zinner, D. E., Pham-</w:t>
      </w:r>
      <w:proofErr w:type="spellStart"/>
      <w:r w:rsidRPr="00497AE9">
        <w:rPr>
          <w:color w:val="000000" w:themeColor="text1"/>
          <w:lang w:val="de-DE"/>
        </w:rPr>
        <w:t>Kanter</w:t>
      </w:r>
      <w:proofErr w:type="spellEnd"/>
      <w:r w:rsidRPr="00497AE9">
        <w:rPr>
          <w:color w:val="000000" w:themeColor="text1"/>
          <w:lang w:val="de-DE"/>
        </w:rPr>
        <w:t xml:space="preserve">, G., &amp; Campbell, E. G. (2016). </w:t>
      </w:r>
      <w:r w:rsidRPr="004C02F6">
        <w:rPr>
          <w:i/>
          <w:iCs/>
          <w:color w:val="000000" w:themeColor="text1"/>
          <w:lang w:val="en-US"/>
        </w:rPr>
        <w:t>The Changing Nature of Scientific Sharing and Withholding in Academic Life Sciences Research: Trends From National Surveys in 2000 and 2013</w:t>
      </w:r>
      <w:r w:rsidRPr="004C02F6">
        <w:rPr>
          <w:color w:val="000000" w:themeColor="text1"/>
          <w:lang w:val="en-US"/>
        </w:rPr>
        <w:t>. 18.</w:t>
      </w:r>
    </w:p>
    <w:sectPr w:rsidR="00AB394B" w:rsidRPr="00F67DF3" w:rsidSect="00E33403">
      <w:headerReference w:type="even" r:id="rId23"/>
      <w:headerReference w:type="default" r:id="rId24"/>
      <w:footerReference w:type="even" r:id="rId25"/>
      <w:footerReference w:type="default" r:id="rId26"/>
      <w:headerReference w:type="first" r:id="rId27"/>
      <w:footerReference w:type="first" r:id="rId28"/>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07F3" w14:textId="77777777" w:rsidR="00EA389F" w:rsidRDefault="00EA389F">
      <w:r>
        <w:separator/>
      </w:r>
    </w:p>
  </w:endnote>
  <w:endnote w:type="continuationSeparator" w:id="0">
    <w:p w14:paraId="552A495A" w14:textId="77777777" w:rsidR="00EA389F" w:rsidRDefault="00EA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E732" w14:textId="77777777" w:rsidR="007524BE" w:rsidRDefault="007524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512876"/>
      <w:docPartObj>
        <w:docPartGallery w:val="Page Numbers (Bottom of Page)"/>
        <w:docPartUnique/>
      </w:docPartObj>
    </w:sdtPr>
    <w:sdtEndPr/>
    <w:sdtContent>
      <w:p w14:paraId="1D7991FF" w14:textId="1D5F10A0" w:rsidR="007524BE" w:rsidRDefault="007524BE">
        <w:pPr>
          <w:pStyle w:val="Fuzeile"/>
          <w:jc w:val="right"/>
        </w:pPr>
        <w:r>
          <w:fldChar w:fldCharType="begin"/>
        </w:r>
        <w:r>
          <w:instrText>PAGE   \* MERGEFORMAT</w:instrText>
        </w:r>
        <w:r>
          <w:fldChar w:fldCharType="separate"/>
        </w:r>
        <w:r w:rsidR="003E29E5" w:rsidRPr="003E29E5">
          <w:rPr>
            <w:noProof/>
            <w:lang w:val="de-DE"/>
          </w:rPr>
          <w:t>2</w:t>
        </w:r>
        <w:r>
          <w:fldChar w:fldCharType="end"/>
        </w:r>
      </w:p>
    </w:sdtContent>
  </w:sdt>
  <w:p w14:paraId="75459FF5" w14:textId="77777777" w:rsidR="007524BE" w:rsidRDefault="007524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4C5" w14:textId="77777777" w:rsidR="007524BE" w:rsidRDefault="007524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CEC9" w14:textId="77777777" w:rsidR="00EA389F" w:rsidRDefault="00EA389F">
      <w:r>
        <w:separator/>
      </w:r>
    </w:p>
  </w:footnote>
  <w:footnote w:type="continuationSeparator" w:id="0">
    <w:p w14:paraId="2C1C7416" w14:textId="77777777" w:rsidR="00EA389F" w:rsidRDefault="00EA389F">
      <w:r>
        <w:continuationSeparator/>
      </w:r>
    </w:p>
  </w:footnote>
  <w:footnote w:id="1">
    <w:p w14:paraId="0C62F626" w14:textId="18E15A2B" w:rsidR="007524BE" w:rsidRPr="004C02F6" w:rsidRDefault="007524BE" w:rsidP="00807934">
      <w:pPr>
        <w:pStyle w:val="Funotentext"/>
        <w:rPr>
          <w:lang w:val="en-US"/>
        </w:rPr>
      </w:pPr>
      <w:r>
        <w:rPr>
          <w:rStyle w:val="Funotenzeichen"/>
        </w:rPr>
        <w:footnoteRef/>
      </w:r>
      <w:r>
        <w:t xml:space="preserve"> </w:t>
      </w:r>
      <w:r w:rsidR="00E61C84">
        <w:rPr>
          <w:lang w:val="en-US"/>
        </w:rPr>
        <w:t>We have to interpret t</w:t>
      </w:r>
      <w:r>
        <w:rPr>
          <w:lang w:val="en-US"/>
        </w:rPr>
        <w:t>he l</w:t>
      </w:r>
      <w:r w:rsidRPr="004C02F6">
        <w:rPr>
          <w:lang w:val="en-US"/>
        </w:rPr>
        <w:t xml:space="preserve">abel </w:t>
      </w:r>
      <w:r>
        <w:rPr>
          <w:lang w:val="en-US"/>
        </w:rPr>
        <w:t xml:space="preserve">of ‘data combiners’ </w:t>
      </w:r>
      <w:r w:rsidR="00AA59F2">
        <w:rPr>
          <w:lang w:val="en-US"/>
        </w:rPr>
        <w:t>with caution</w:t>
      </w:r>
      <w:r w:rsidRPr="004C02F6">
        <w:rPr>
          <w:lang w:val="en-US"/>
        </w:rPr>
        <w:t xml:space="preserve">, </w:t>
      </w:r>
      <w:r>
        <w:rPr>
          <w:lang w:val="en-US"/>
        </w:rPr>
        <w:t>in so far as</w:t>
      </w:r>
      <w:r w:rsidRPr="004C02F6">
        <w:rPr>
          <w:lang w:val="en-US"/>
        </w:rPr>
        <w:t xml:space="preserve"> these are researchers who have specified that they produce data themselves (or in a team) and that they use data </w:t>
      </w:r>
      <w:r>
        <w:rPr>
          <w:lang w:val="en-US"/>
        </w:rPr>
        <w:t xml:space="preserve">in their research that has been </w:t>
      </w:r>
      <w:r w:rsidRPr="004C02F6">
        <w:rPr>
          <w:lang w:val="en-US"/>
        </w:rPr>
        <w:t>pr</w:t>
      </w:r>
      <w:r>
        <w:rPr>
          <w:lang w:val="en-US"/>
        </w:rPr>
        <w:t xml:space="preserve">ovided by </w:t>
      </w:r>
      <w:r w:rsidR="00AA59F2">
        <w:rPr>
          <w:lang w:val="en-US"/>
        </w:rPr>
        <w:t xml:space="preserve">a </w:t>
      </w:r>
      <w:r>
        <w:rPr>
          <w:lang w:val="en-US"/>
        </w:rPr>
        <w:t>third part</w:t>
      </w:r>
      <w:r w:rsidR="00AA59F2">
        <w:rPr>
          <w:lang w:val="en-US"/>
        </w:rPr>
        <w:t>y</w:t>
      </w:r>
      <w:r>
        <w:rPr>
          <w:lang w:val="en-US"/>
        </w:rPr>
        <w:t>. T</w:t>
      </w:r>
      <w:r w:rsidRPr="004C02F6">
        <w:rPr>
          <w:lang w:val="en-US"/>
        </w:rPr>
        <w:t>his does not necessarily imply that they combine own and third</w:t>
      </w:r>
      <w:r w:rsidR="00AA59F2">
        <w:rPr>
          <w:lang w:val="en-US"/>
        </w:rPr>
        <w:t>-</w:t>
      </w:r>
      <w:r w:rsidRPr="004C02F6">
        <w:rPr>
          <w:lang w:val="en-US"/>
        </w:rPr>
        <w:t xml:space="preserve">party data within the same research project.  </w:t>
      </w:r>
    </w:p>
  </w:footnote>
  <w:footnote w:id="2">
    <w:p w14:paraId="0B96CD86" w14:textId="77777777" w:rsidR="007332B1" w:rsidRPr="004C02F6" w:rsidRDefault="007332B1" w:rsidP="007332B1">
      <w:pPr>
        <w:pStyle w:val="Funotentext"/>
        <w:rPr>
          <w:lang w:val="en-US"/>
        </w:rPr>
      </w:pPr>
      <w:r>
        <w:rPr>
          <w:rStyle w:val="Funotenzeichen"/>
        </w:rPr>
        <w:footnoteRef/>
      </w:r>
      <w:r>
        <w:t xml:space="preserve"> </w:t>
      </w:r>
      <w:r w:rsidRPr="004C02F6">
        <w:rPr>
          <w:lang w:val="en-US"/>
        </w:rPr>
        <w:t xml:space="preserve">In the analysis that follows, we omit Jurisprudence (formally grouped into the social sciences by the DFG classification), due to its very low rate of data production. The reported public sharing rate among the data producers in this </w:t>
      </w:r>
      <w:r>
        <w:rPr>
          <w:lang w:val="en-US"/>
        </w:rPr>
        <w:t>subject area</w:t>
      </w:r>
      <w:r w:rsidRPr="004C02F6">
        <w:rPr>
          <w:lang w:val="en-US"/>
        </w:rPr>
        <w:t xml:space="preserve"> is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8601" w14:textId="77777777" w:rsidR="007524BE" w:rsidRDefault="007524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A99" w14:textId="1E8B4C5A" w:rsidR="007524BE" w:rsidRDefault="007524BE">
    <w:pPr>
      <w:pStyle w:val="Kopfzeile"/>
    </w:pPr>
  </w:p>
  <w:p w14:paraId="60FCE3B2" w14:textId="77777777" w:rsidR="007524BE" w:rsidRDefault="007524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5C80" w14:textId="77777777" w:rsidR="007524BE" w:rsidRDefault="007524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42B06"/>
    <w:multiLevelType w:val="hybridMultilevel"/>
    <w:tmpl w:val="9EFE18A0"/>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 w15:restartNumberingAfterBreak="0">
    <w:nsid w:val="22392BF7"/>
    <w:multiLevelType w:val="multilevel"/>
    <w:tmpl w:val="D76A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A354C"/>
    <w:multiLevelType w:val="hybridMultilevel"/>
    <w:tmpl w:val="D17ACA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C49F7"/>
    <w:multiLevelType w:val="hybridMultilevel"/>
    <w:tmpl w:val="49AE1932"/>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80663036">
    <w:abstractNumId w:val="4"/>
  </w:num>
  <w:num w:numId="2" w16cid:durableId="1296913594">
    <w:abstractNumId w:val="0"/>
  </w:num>
  <w:num w:numId="3" w16cid:durableId="194781365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930626098">
    <w:abstractNumId w:val="1"/>
  </w:num>
  <w:num w:numId="5" w16cid:durableId="131674809">
    <w:abstractNumId w:val="5"/>
  </w:num>
  <w:num w:numId="6" w16cid:durableId="1799227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attachedTemplate r:id="rId1"/>
  <w:defaultTabStop w:val="1304"/>
  <w:hyphenationZone w:val="425"/>
  <w:doNotHyphenateCaps/>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AC"/>
    <w:rsid w:val="0000194C"/>
    <w:rsid w:val="000050D2"/>
    <w:rsid w:val="0000519E"/>
    <w:rsid w:val="00012017"/>
    <w:rsid w:val="0001239D"/>
    <w:rsid w:val="00015449"/>
    <w:rsid w:val="00015A7B"/>
    <w:rsid w:val="00016081"/>
    <w:rsid w:val="000224AE"/>
    <w:rsid w:val="00022F49"/>
    <w:rsid w:val="00023896"/>
    <w:rsid w:val="0003300B"/>
    <w:rsid w:val="00034047"/>
    <w:rsid w:val="00034869"/>
    <w:rsid w:val="000405AE"/>
    <w:rsid w:val="00040E55"/>
    <w:rsid w:val="0004430F"/>
    <w:rsid w:val="00047886"/>
    <w:rsid w:val="000478D3"/>
    <w:rsid w:val="00052E3A"/>
    <w:rsid w:val="0005460D"/>
    <w:rsid w:val="00065B74"/>
    <w:rsid w:val="00066FBE"/>
    <w:rsid w:val="0007285A"/>
    <w:rsid w:val="00077816"/>
    <w:rsid w:val="000818C5"/>
    <w:rsid w:val="00081AEB"/>
    <w:rsid w:val="00081D4D"/>
    <w:rsid w:val="000856AD"/>
    <w:rsid w:val="000915DE"/>
    <w:rsid w:val="00093969"/>
    <w:rsid w:val="00093DAA"/>
    <w:rsid w:val="00094E04"/>
    <w:rsid w:val="000A0333"/>
    <w:rsid w:val="000A2344"/>
    <w:rsid w:val="000A4A9F"/>
    <w:rsid w:val="000A4CEE"/>
    <w:rsid w:val="000A7EB8"/>
    <w:rsid w:val="000B257D"/>
    <w:rsid w:val="000B27D6"/>
    <w:rsid w:val="000B323A"/>
    <w:rsid w:val="000B34D5"/>
    <w:rsid w:val="000B7D85"/>
    <w:rsid w:val="000C0E34"/>
    <w:rsid w:val="000C1967"/>
    <w:rsid w:val="000C25AF"/>
    <w:rsid w:val="000D213A"/>
    <w:rsid w:val="000D460F"/>
    <w:rsid w:val="000D654D"/>
    <w:rsid w:val="000E45D9"/>
    <w:rsid w:val="000E5B00"/>
    <w:rsid w:val="000F40F3"/>
    <w:rsid w:val="000F4A07"/>
    <w:rsid w:val="000F6691"/>
    <w:rsid w:val="000F6A3A"/>
    <w:rsid w:val="00101F35"/>
    <w:rsid w:val="00105061"/>
    <w:rsid w:val="00105A1D"/>
    <w:rsid w:val="00113710"/>
    <w:rsid w:val="001138CA"/>
    <w:rsid w:val="0011399B"/>
    <w:rsid w:val="00113AE9"/>
    <w:rsid w:val="00122DEB"/>
    <w:rsid w:val="0012636C"/>
    <w:rsid w:val="001402B3"/>
    <w:rsid w:val="00141192"/>
    <w:rsid w:val="00150BC3"/>
    <w:rsid w:val="00154A64"/>
    <w:rsid w:val="001566C3"/>
    <w:rsid w:val="00157749"/>
    <w:rsid w:val="00161230"/>
    <w:rsid w:val="00164199"/>
    <w:rsid w:val="00164D52"/>
    <w:rsid w:val="00173EAD"/>
    <w:rsid w:val="00175488"/>
    <w:rsid w:val="001754AE"/>
    <w:rsid w:val="00186CF6"/>
    <w:rsid w:val="001A2180"/>
    <w:rsid w:val="001B430A"/>
    <w:rsid w:val="001B473E"/>
    <w:rsid w:val="001C1730"/>
    <w:rsid w:val="001C543C"/>
    <w:rsid w:val="001D04E3"/>
    <w:rsid w:val="001D47F6"/>
    <w:rsid w:val="001D4DE2"/>
    <w:rsid w:val="001D7CC8"/>
    <w:rsid w:val="001E36E4"/>
    <w:rsid w:val="001E568F"/>
    <w:rsid w:val="001F332D"/>
    <w:rsid w:val="001F7644"/>
    <w:rsid w:val="0020033E"/>
    <w:rsid w:val="0020211C"/>
    <w:rsid w:val="00202745"/>
    <w:rsid w:val="00206CB0"/>
    <w:rsid w:val="00206E6E"/>
    <w:rsid w:val="002127DC"/>
    <w:rsid w:val="00213722"/>
    <w:rsid w:val="002221F2"/>
    <w:rsid w:val="0022290C"/>
    <w:rsid w:val="00224678"/>
    <w:rsid w:val="00236EDF"/>
    <w:rsid w:val="00237112"/>
    <w:rsid w:val="00237F4C"/>
    <w:rsid w:val="002447E0"/>
    <w:rsid w:val="00246DEE"/>
    <w:rsid w:val="0025135F"/>
    <w:rsid w:val="00251601"/>
    <w:rsid w:val="0025504A"/>
    <w:rsid w:val="00256F11"/>
    <w:rsid w:val="002570BB"/>
    <w:rsid w:val="00261C68"/>
    <w:rsid w:val="00263BCC"/>
    <w:rsid w:val="00264F48"/>
    <w:rsid w:val="00276CC7"/>
    <w:rsid w:val="002806AF"/>
    <w:rsid w:val="002840E4"/>
    <w:rsid w:val="0028410F"/>
    <w:rsid w:val="002860DA"/>
    <w:rsid w:val="00287DA6"/>
    <w:rsid w:val="0029109C"/>
    <w:rsid w:val="00291BD4"/>
    <w:rsid w:val="0029211E"/>
    <w:rsid w:val="00292F3E"/>
    <w:rsid w:val="00293DA3"/>
    <w:rsid w:val="002943CA"/>
    <w:rsid w:val="002A0AFE"/>
    <w:rsid w:val="002B0467"/>
    <w:rsid w:val="002B1950"/>
    <w:rsid w:val="002C0FA2"/>
    <w:rsid w:val="002C25DE"/>
    <w:rsid w:val="002C342A"/>
    <w:rsid w:val="002C6896"/>
    <w:rsid w:val="002D1B17"/>
    <w:rsid w:val="002D21CB"/>
    <w:rsid w:val="002D33F7"/>
    <w:rsid w:val="002D3BE4"/>
    <w:rsid w:val="002D49A0"/>
    <w:rsid w:val="002D51B7"/>
    <w:rsid w:val="002D710E"/>
    <w:rsid w:val="002E4AB8"/>
    <w:rsid w:val="002E7904"/>
    <w:rsid w:val="002F243C"/>
    <w:rsid w:val="00302CA7"/>
    <w:rsid w:val="00302E3B"/>
    <w:rsid w:val="0030475F"/>
    <w:rsid w:val="00306947"/>
    <w:rsid w:val="00310C0B"/>
    <w:rsid w:val="0031202E"/>
    <w:rsid w:val="003124AD"/>
    <w:rsid w:val="003127D0"/>
    <w:rsid w:val="00315BED"/>
    <w:rsid w:val="00320C5D"/>
    <w:rsid w:val="00326360"/>
    <w:rsid w:val="00326643"/>
    <w:rsid w:val="0033670D"/>
    <w:rsid w:val="003444ED"/>
    <w:rsid w:val="00345E92"/>
    <w:rsid w:val="00346A57"/>
    <w:rsid w:val="00351AF2"/>
    <w:rsid w:val="0035307C"/>
    <w:rsid w:val="00370126"/>
    <w:rsid w:val="00371742"/>
    <w:rsid w:val="00371ACD"/>
    <w:rsid w:val="00382A4E"/>
    <w:rsid w:val="00383A87"/>
    <w:rsid w:val="00387850"/>
    <w:rsid w:val="00390253"/>
    <w:rsid w:val="00393E95"/>
    <w:rsid w:val="003960AE"/>
    <w:rsid w:val="003A0C80"/>
    <w:rsid w:val="003A343F"/>
    <w:rsid w:val="003A7E56"/>
    <w:rsid w:val="003B2567"/>
    <w:rsid w:val="003B2665"/>
    <w:rsid w:val="003B3241"/>
    <w:rsid w:val="003B6383"/>
    <w:rsid w:val="003C2A6D"/>
    <w:rsid w:val="003C30AF"/>
    <w:rsid w:val="003C4345"/>
    <w:rsid w:val="003C5313"/>
    <w:rsid w:val="003C6EF5"/>
    <w:rsid w:val="003C76AF"/>
    <w:rsid w:val="003D0C00"/>
    <w:rsid w:val="003D1C80"/>
    <w:rsid w:val="003E1389"/>
    <w:rsid w:val="003E1DFB"/>
    <w:rsid w:val="003E1EFE"/>
    <w:rsid w:val="003E29E5"/>
    <w:rsid w:val="003E34BA"/>
    <w:rsid w:val="003F6176"/>
    <w:rsid w:val="003F66E1"/>
    <w:rsid w:val="003F6817"/>
    <w:rsid w:val="00402C81"/>
    <w:rsid w:val="004057CE"/>
    <w:rsid w:val="004057FC"/>
    <w:rsid w:val="004061E3"/>
    <w:rsid w:val="00415838"/>
    <w:rsid w:val="00416EFD"/>
    <w:rsid w:val="00420106"/>
    <w:rsid w:val="00426C65"/>
    <w:rsid w:val="00430FC6"/>
    <w:rsid w:val="0044073E"/>
    <w:rsid w:val="004428F7"/>
    <w:rsid w:val="00445337"/>
    <w:rsid w:val="004457BD"/>
    <w:rsid w:val="00445A23"/>
    <w:rsid w:val="00451AA5"/>
    <w:rsid w:val="0045401D"/>
    <w:rsid w:val="0045560F"/>
    <w:rsid w:val="004604E8"/>
    <w:rsid w:val="004662E6"/>
    <w:rsid w:val="00471CC1"/>
    <w:rsid w:val="004725C8"/>
    <w:rsid w:val="00475931"/>
    <w:rsid w:val="00481F17"/>
    <w:rsid w:val="00483C8E"/>
    <w:rsid w:val="00493CE3"/>
    <w:rsid w:val="0049572A"/>
    <w:rsid w:val="004971AB"/>
    <w:rsid w:val="00497AE9"/>
    <w:rsid w:val="00497B94"/>
    <w:rsid w:val="004A0782"/>
    <w:rsid w:val="004A6CDA"/>
    <w:rsid w:val="004A6CE6"/>
    <w:rsid w:val="004C02F6"/>
    <w:rsid w:val="004C2F8C"/>
    <w:rsid w:val="004D2CDE"/>
    <w:rsid w:val="004D2FF6"/>
    <w:rsid w:val="004D4532"/>
    <w:rsid w:val="004D5654"/>
    <w:rsid w:val="004E212B"/>
    <w:rsid w:val="004E56AC"/>
    <w:rsid w:val="004E67F6"/>
    <w:rsid w:val="004F254A"/>
    <w:rsid w:val="004F47F5"/>
    <w:rsid w:val="004F7C06"/>
    <w:rsid w:val="005110DD"/>
    <w:rsid w:val="005170CD"/>
    <w:rsid w:val="005172F9"/>
    <w:rsid w:val="00517FCF"/>
    <w:rsid w:val="005226D6"/>
    <w:rsid w:val="0052273C"/>
    <w:rsid w:val="00522BF8"/>
    <w:rsid w:val="00532D14"/>
    <w:rsid w:val="0053603D"/>
    <w:rsid w:val="0054026B"/>
    <w:rsid w:val="00542798"/>
    <w:rsid w:val="00543D08"/>
    <w:rsid w:val="0054666D"/>
    <w:rsid w:val="00554E8F"/>
    <w:rsid w:val="0056456A"/>
    <w:rsid w:val="00570E3F"/>
    <w:rsid w:val="00571856"/>
    <w:rsid w:val="00572E3E"/>
    <w:rsid w:val="005736CB"/>
    <w:rsid w:val="0057717C"/>
    <w:rsid w:val="0058753E"/>
    <w:rsid w:val="00595181"/>
    <w:rsid w:val="00595AC4"/>
    <w:rsid w:val="00596F60"/>
    <w:rsid w:val="005A156C"/>
    <w:rsid w:val="005A1914"/>
    <w:rsid w:val="005A1BF2"/>
    <w:rsid w:val="005B1AB3"/>
    <w:rsid w:val="005B3511"/>
    <w:rsid w:val="005C6A9C"/>
    <w:rsid w:val="005D37C1"/>
    <w:rsid w:val="005E3695"/>
    <w:rsid w:val="005E3EE6"/>
    <w:rsid w:val="005E7DEB"/>
    <w:rsid w:val="005F00C5"/>
    <w:rsid w:val="00603BED"/>
    <w:rsid w:val="00606575"/>
    <w:rsid w:val="00611000"/>
    <w:rsid w:val="0061328F"/>
    <w:rsid w:val="00614ED0"/>
    <w:rsid w:val="0063363B"/>
    <w:rsid w:val="00636A9F"/>
    <w:rsid w:val="00646543"/>
    <w:rsid w:val="00647A0B"/>
    <w:rsid w:val="006510F8"/>
    <w:rsid w:val="006513C3"/>
    <w:rsid w:val="00652B9D"/>
    <w:rsid w:val="00653C1A"/>
    <w:rsid w:val="00655DCB"/>
    <w:rsid w:val="006609A8"/>
    <w:rsid w:val="0066157A"/>
    <w:rsid w:val="00662AF1"/>
    <w:rsid w:val="00663156"/>
    <w:rsid w:val="00663AC3"/>
    <w:rsid w:val="00667D0A"/>
    <w:rsid w:val="006714DF"/>
    <w:rsid w:val="00671DB7"/>
    <w:rsid w:val="00673D47"/>
    <w:rsid w:val="00673F81"/>
    <w:rsid w:val="0067514E"/>
    <w:rsid w:val="00681342"/>
    <w:rsid w:val="00681AAA"/>
    <w:rsid w:val="00683259"/>
    <w:rsid w:val="00684B8B"/>
    <w:rsid w:val="006928E8"/>
    <w:rsid w:val="006933EC"/>
    <w:rsid w:val="0069653E"/>
    <w:rsid w:val="006A3370"/>
    <w:rsid w:val="006A3A07"/>
    <w:rsid w:val="006C40B1"/>
    <w:rsid w:val="006C5083"/>
    <w:rsid w:val="006D14F4"/>
    <w:rsid w:val="006D1A2C"/>
    <w:rsid w:val="006E1766"/>
    <w:rsid w:val="006E3FD1"/>
    <w:rsid w:val="006E51AD"/>
    <w:rsid w:val="006E7E5A"/>
    <w:rsid w:val="006F45E4"/>
    <w:rsid w:val="006F487B"/>
    <w:rsid w:val="006F6CD1"/>
    <w:rsid w:val="00700B9E"/>
    <w:rsid w:val="007042BB"/>
    <w:rsid w:val="007053E7"/>
    <w:rsid w:val="007108DC"/>
    <w:rsid w:val="00710FA5"/>
    <w:rsid w:val="00712AE7"/>
    <w:rsid w:val="007155F7"/>
    <w:rsid w:val="007219BF"/>
    <w:rsid w:val="007228AC"/>
    <w:rsid w:val="007332B1"/>
    <w:rsid w:val="0073347A"/>
    <w:rsid w:val="00737C0A"/>
    <w:rsid w:val="00737C87"/>
    <w:rsid w:val="0074177C"/>
    <w:rsid w:val="007524BE"/>
    <w:rsid w:val="007625EF"/>
    <w:rsid w:val="00762864"/>
    <w:rsid w:val="0076355A"/>
    <w:rsid w:val="0076387D"/>
    <w:rsid w:val="0076587B"/>
    <w:rsid w:val="0077154C"/>
    <w:rsid w:val="0077253A"/>
    <w:rsid w:val="00772F16"/>
    <w:rsid w:val="00773261"/>
    <w:rsid w:val="0077796D"/>
    <w:rsid w:val="00780EC7"/>
    <w:rsid w:val="00781467"/>
    <w:rsid w:val="0078754B"/>
    <w:rsid w:val="00792423"/>
    <w:rsid w:val="00793033"/>
    <w:rsid w:val="007A42E7"/>
    <w:rsid w:val="007A59E1"/>
    <w:rsid w:val="007B5AD7"/>
    <w:rsid w:val="007C30D8"/>
    <w:rsid w:val="007C3C1B"/>
    <w:rsid w:val="007C6862"/>
    <w:rsid w:val="007D2A59"/>
    <w:rsid w:val="007E24E0"/>
    <w:rsid w:val="007F3BBB"/>
    <w:rsid w:val="007F57FB"/>
    <w:rsid w:val="00800369"/>
    <w:rsid w:val="00801414"/>
    <w:rsid w:val="00804458"/>
    <w:rsid w:val="008076E8"/>
    <w:rsid w:val="00807934"/>
    <w:rsid w:val="00810FA5"/>
    <w:rsid w:val="00811B80"/>
    <w:rsid w:val="00813E5C"/>
    <w:rsid w:val="008168F4"/>
    <w:rsid w:val="0082248B"/>
    <w:rsid w:val="00823AF0"/>
    <w:rsid w:val="00827B25"/>
    <w:rsid w:val="008357D4"/>
    <w:rsid w:val="00835B6B"/>
    <w:rsid w:val="00841D2F"/>
    <w:rsid w:val="00852334"/>
    <w:rsid w:val="00857CB0"/>
    <w:rsid w:val="00860996"/>
    <w:rsid w:val="008618F8"/>
    <w:rsid w:val="00870B16"/>
    <w:rsid w:val="00874D37"/>
    <w:rsid w:val="00882409"/>
    <w:rsid w:val="00884965"/>
    <w:rsid w:val="008950B6"/>
    <w:rsid w:val="008A3080"/>
    <w:rsid w:val="008B27B7"/>
    <w:rsid w:val="008B4B9D"/>
    <w:rsid w:val="008B6914"/>
    <w:rsid w:val="008C00D3"/>
    <w:rsid w:val="008C0D34"/>
    <w:rsid w:val="008C2573"/>
    <w:rsid w:val="008C52D4"/>
    <w:rsid w:val="008D0CDC"/>
    <w:rsid w:val="008D49E0"/>
    <w:rsid w:val="008E3F52"/>
    <w:rsid w:val="008E5795"/>
    <w:rsid w:val="008E6E34"/>
    <w:rsid w:val="008E76BA"/>
    <w:rsid w:val="008F1E72"/>
    <w:rsid w:val="008F2C66"/>
    <w:rsid w:val="008F6633"/>
    <w:rsid w:val="008F783D"/>
    <w:rsid w:val="00900A98"/>
    <w:rsid w:val="00901068"/>
    <w:rsid w:val="00901FD3"/>
    <w:rsid w:val="009023DE"/>
    <w:rsid w:val="00905598"/>
    <w:rsid w:val="00915294"/>
    <w:rsid w:val="009257E9"/>
    <w:rsid w:val="00926305"/>
    <w:rsid w:val="00927ECF"/>
    <w:rsid w:val="009302E1"/>
    <w:rsid w:val="00930A5E"/>
    <w:rsid w:val="0093532C"/>
    <w:rsid w:val="00942DB3"/>
    <w:rsid w:val="00943C67"/>
    <w:rsid w:val="009451D7"/>
    <w:rsid w:val="009501DD"/>
    <w:rsid w:val="00953BA1"/>
    <w:rsid w:val="009616A6"/>
    <w:rsid w:val="00962921"/>
    <w:rsid w:val="00964D46"/>
    <w:rsid w:val="009737E3"/>
    <w:rsid w:val="009853B5"/>
    <w:rsid w:val="00990C9A"/>
    <w:rsid w:val="009927CA"/>
    <w:rsid w:val="00994680"/>
    <w:rsid w:val="009A16B7"/>
    <w:rsid w:val="009A1E7B"/>
    <w:rsid w:val="009A2CA7"/>
    <w:rsid w:val="009A4408"/>
    <w:rsid w:val="009C3320"/>
    <w:rsid w:val="009C38F6"/>
    <w:rsid w:val="009C3AC8"/>
    <w:rsid w:val="009C736C"/>
    <w:rsid w:val="009D026B"/>
    <w:rsid w:val="009D4D13"/>
    <w:rsid w:val="009D7E45"/>
    <w:rsid w:val="009E195F"/>
    <w:rsid w:val="009E23BF"/>
    <w:rsid w:val="009E7522"/>
    <w:rsid w:val="009F1AB0"/>
    <w:rsid w:val="009F2359"/>
    <w:rsid w:val="009F549C"/>
    <w:rsid w:val="00A1501B"/>
    <w:rsid w:val="00A21329"/>
    <w:rsid w:val="00A22AC2"/>
    <w:rsid w:val="00A40613"/>
    <w:rsid w:val="00A40DD3"/>
    <w:rsid w:val="00A4362D"/>
    <w:rsid w:val="00A444CD"/>
    <w:rsid w:val="00A472F0"/>
    <w:rsid w:val="00A51F15"/>
    <w:rsid w:val="00A54F8C"/>
    <w:rsid w:val="00A5653C"/>
    <w:rsid w:val="00A625C8"/>
    <w:rsid w:val="00A67E4A"/>
    <w:rsid w:val="00A7071A"/>
    <w:rsid w:val="00A709EF"/>
    <w:rsid w:val="00A71714"/>
    <w:rsid w:val="00A76AC4"/>
    <w:rsid w:val="00A81CFD"/>
    <w:rsid w:val="00A835E0"/>
    <w:rsid w:val="00A83BD0"/>
    <w:rsid w:val="00A96B02"/>
    <w:rsid w:val="00A96D61"/>
    <w:rsid w:val="00AA1481"/>
    <w:rsid w:val="00AA59F2"/>
    <w:rsid w:val="00AB2736"/>
    <w:rsid w:val="00AB2CE9"/>
    <w:rsid w:val="00AB394B"/>
    <w:rsid w:val="00AB6EAD"/>
    <w:rsid w:val="00AB709F"/>
    <w:rsid w:val="00AC140C"/>
    <w:rsid w:val="00AC1FFD"/>
    <w:rsid w:val="00AC24F4"/>
    <w:rsid w:val="00AD183D"/>
    <w:rsid w:val="00AD2309"/>
    <w:rsid w:val="00AD3532"/>
    <w:rsid w:val="00AD53B6"/>
    <w:rsid w:val="00AD6D2D"/>
    <w:rsid w:val="00AE26AF"/>
    <w:rsid w:val="00AE45F0"/>
    <w:rsid w:val="00AE4EFB"/>
    <w:rsid w:val="00AE7310"/>
    <w:rsid w:val="00AE7776"/>
    <w:rsid w:val="00AF0478"/>
    <w:rsid w:val="00AF2859"/>
    <w:rsid w:val="00AF5EC5"/>
    <w:rsid w:val="00AF62BE"/>
    <w:rsid w:val="00B06CDE"/>
    <w:rsid w:val="00B127E3"/>
    <w:rsid w:val="00B1360C"/>
    <w:rsid w:val="00B16715"/>
    <w:rsid w:val="00B16E8E"/>
    <w:rsid w:val="00B20CE5"/>
    <w:rsid w:val="00B2135D"/>
    <w:rsid w:val="00B21C48"/>
    <w:rsid w:val="00B22341"/>
    <w:rsid w:val="00B223C2"/>
    <w:rsid w:val="00B254C6"/>
    <w:rsid w:val="00B26D90"/>
    <w:rsid w:val="00B2755F"/>
    <w:rsid w:val="00B34CBD"/>
    <w:rsid w:val="00B35DB9"/>
    <w:rsid w:val="00B40752"/>
    <w:rsid w:val="00B42E85"/>
    <w:rsid w:val="00B47D95"/>
    <w:rsid w:val="00B5494B"/>
    <w:rsid w:val="00B54A72"/>
    <w:rsid w:val="00B56FAE"/>
    <w:rsid w:val="00B5776F"/>
    <w:rsid w:val="00B63DFC"/>
    <w:rsid w:val="00B666EE"/>
    <w:rsid w:val="00B71AD5"/>
    <w:rsid w:val="00B73A76"/>
    <w:rsid w:val="00B73A77"/>
    <w:rsid w:val="00B804C6"/>
    <w:rsid w:val="00B82D1C"/>
    <w:rsid w:val="00B868DF"/>
    <w:rsid w:val="00B90235"/>
    <w:rsid w:val="00B90527"/>
    <w:rsid w:val="00B90859"/>
    <w:rsid w:val="00B94FD6"/>
    <w:rsid w:val="00BA0DD2"/>
    <w:rsid w:val="00BA1F80"/>
    <w:rsid w:val="00BA2E6A"/>
    <w:rsid w:val="00BA4144"/>
    <w:rsid w:val="00BA59EF"/>
    <w:rsid w:val="00BA68EE"/>
    <w:rsid w:val="00BA6F1A"/>
    <w:rsid w:val="00BB2691"/>
    <w:rsid w:val="00BB2E42"/>
    <w:rsid w:val="00BB4107"/>
    <w:rsid w:val="00BC2363"/>
    <w:rsid w:val="00BC38D5"/>
    <w:rsid w:val="00BD065E"/>
    <w:rsid w:val="00BD2667"/>
    <w:rsid w:val="00BD2DAE"/>
    <w:rsid w:val="00BD58BF"/>
    <w:rsid w:val="00BD6CE3"/>
    <w:rsid w:val="00BE18D2"/>
    <w:rsid w:val="00BE21F7"/>
    <w:rsid w:val="00BE7FC9"/>
    <w:rsid w:val="00BF4B34"/>
    <w:rsid w:val="00BF5804"/>
    <w:rsid w:val="00C0000D"/>
    <w:rsid w:val="00C02A6C"/>
    <w:rsid w:val="00C03197"/>
    <w:rsid w:val="00C0458C"/>
    <w:rsid w:val="00C06D28"/>
    <w:rsid w:val="00C101A6"/>
    <w:rsid w:val="00C10C2D"/>
    <w:rsid w:val="00C213E6"/>
    <w:rsid w:val="00C3437E"/>
    <w:rsid w:val="00C36469"/>
    <w:rsid w:val="00C437DD"/>
    <w:rsid w:val="00C45A49"/>
    <w:rsid w:val="00C53F2F"/>
    <w:rsid w:val="00C576C5"/>
    <w:rsid w:val="00C61F29"/>
    <w:rsid w:val="00C62341"/>
    <w:rsid w:val="00C63499"/>
    <w:rsid w:val="00C6489E"/>
    <w:rsid w:val="00C662CD"/>
    <w:rsid w:val="00C70E1D"/>
    <w:rsid w:val="00C724FF"/>
    <w:rsid w:val="00C72C6D"/>
    <w:rsid w:val="00C75619"/>
    <w:rsid w:val="00C76479"/>
    <w:rsid w:val="00C765BD"/>
    <w:rsid w:val="00C86E38"/>
    <w:rsid w:val="00C90B76"/>
    <w:rsid w:val="00C97C81"/>
    <w:rsid w:val="00CA1357"/>
    <w:rsid w:val="00CA374A"/>
    <w:rsid w:val="00CA37F0"/>
    <w:rsid w:val="00CA67EB"/>
    <w:rsid w:val="00CA76C7"/>
    <w:rsid w:val="00CB0C61"/>
    <w:rsid w:val="00CB158E"/>
    <w:rsid w:val="00CB15AC"/>
    <w:rsid w:val="00CB2072"/>
    <w:rsid w:val="00CB6152"/>
    <w:rsid w:val="00CB6894"/>
    <w:rsid w:val="00CB7BCF"/>
    <w:rsid w:val="00CC28DE"/>
    <w:rsid w:val="00CC6FA8"/>
    <w:rsid w:val="00CD1AEB"/>
    <w:rsid w:val="00CD4632"/>
    <w:rsid w:val="00CD7195"/>
    <w:rsid w:val="00CE2A06"/>
    <w:rsid w:val="00CE3C45"/>
    <w:rsid w:val="00CE70E2"/>
    <w:rsid w:val="00CF44BA"/>
    <w:rsid w:val="00D00170"/>
    <w:rsid w:val="00D00AAB"/>
    <w:rsid w:val="00D02002"/>
    <w:rsid w:val="00D03AD4"/>
    <w:rsid w:val="00D13295"/>
    <w:rsid w:val="00D132FE"/>
    <w:rsid w:val="00D16BC6"/>
    <w:rsid w:val="00D21277"/>
    <w:rsid w:val="00D25199"/>
    <w:rsid w:val="00D25ED1"/>
    <w:rsid w:val="00D269CF"/>
    <w:rsid w:val="00D314CF"/>
    <w:rsid w:val="00D34688"/>
    <w:rsid w:val="00D4373F"/>
    <w:rsid w:val="00D4488E"/>
    <w:rsid w:val="00D475A9"/>
    <w:rsid w:val="00D50129"/>
    <w:rsid w:val="00D50395"/>
    <w:rsid w:val="00D54C10"/>
    <w:rsid w:val="00D54E25"/>
    <w:rsid w:val="00D5520D"/>
    <w:rsid w:val="00D6292A"/>
    <w:rsid w:val="00D65F13"/>
    <w:rsid w:val="00D837D9"/>
    <w:rsid w:val="00D84A0C"/>
    <w:rsid w:val="00D866B6"/>
    <w:rsid w:val="00D900AD"/>
    <w:rsid w:val="00D931C0"/>
    <w:rsid w:val="00D96243"/>
    <w:rsid w:val="00D975F8"/>
    <w:rsid w:val="00DA04CF"/>
    <w:rsid w:val="00DA66CD"/>
    <w:rsid w:val="00DB158E"/>
    <w:rsid w:val="00DB2900"/>
    <w:rsid w:val="00DB40B2"/>
    <w:rsid w:val="00DB6A4A"/>
    <w:rsid w:val="00DC105B"/>
    <w:rsid w:val="00DC6FB5"/>
    <w:rsid w:val="00DE0E40"/>
    <w:rsid w:val="00DE31AB"/>
    <w:rsid w:val="00DE3565"/>
    <w:rsid w:val="00DE5BD2"/>
    <w:rsid w:val="00DF037E"/>
    <w:rsid w:val="00DF2DC3"/>
    <w:rsid w:val="00DF36CF"/>
    <w:rsid w:val="00DF7628"/>
    <w:rsid w:val="00E03487"/>
    <w:rsid w:val="00E03580"/>
    <w:rsid w:val="00E077DB"/>
    <w:rsid w:val="00E10360"/>
    <w:rsid w:val="00E106C0"/>
    <w:rsid w:val="00E11D80"/>
    <w:rsid w:val="00E164EC"/>
    <w:rsid w:val="00E17213"/>
    <w:rsid w:val="00E22BB2"/>
    <w:rsid w:val="00E23341"/>
    <w:rsid w:val="00E30398"/>
    <w:rsid w:val="00E3053D"/>
    <w:rsid w:val="00E32A1D"/>
    <w:rsid w:val="00E33403"/>
    <w:rsid w:val="00E3367F"/>
    <w:rsid w:val="00E34C97"/>
    <w:rsid w:val="00E37B4C"/>
    <w:rsid w:val="00E42043"/>
    <w:rsid w:val="00E44280"/>
    <w:rsid w:val="00E501C4"/>
    <w:rsid w:val="00E50A3D"/>
    <w:rsid w:val="00E51468"/>
    <w:rsid w:val="00E529AD"/>
    <w:rsid w:val="00E531FD"/>
    <w:rsid w:val="00E55DFE"/>
    <w:rsid w:val="00E55FBC"/>
    <w:rsid w:val="00E56A3A"/>
    <w:rsid w:val="00E61C84"/>
    <w:rsid w:val="00E65028"/>
    <w:rsid w:val="00E67160"/>
    <w:rsid w:val="00E71A9A"/>
    <w:rsid w:val="00E7703F"/>
    <w:rsid w:val="00E93DBD"/>
    <w:rsid w:val="00EA389F"/>
    <w:rsid w:val="00EA4ED3"/>
    <w:rsid w:val="00EA6987"/>
    <w:rsid w:val="00EA6D4C"/>
    <w:rsid w:val="00EA7D9F"/>
    <w:rsid w:val="00EA7E9B"/>
    <w:rsid w:val="00EB0BDE"/>
    <w:rsid w:val="00EB1190"/>
    <w:rsid w:val="00EB4113"/>
    <w:rsid w:val="00EB4209"/>
    <w:rsid w:val="00EB5C09"/>
    <w:rsid w:val="00EC04B8"/>
    <w:rsid w:val="00EC286B"/>
    <w:rsid w:val="00EC76C7"/>
    <w:rsid w:val="00EC7804"/>
    <w:rsid w:val="00ED27EB"/>
    <w:rsid w:val="00ED4217"/>
    <w:rsid w:val="00EE38FE"/>
    <w:rsid w:val="00EE4AC8"/>
    <w:rsid w:val="00EE791C"/>
    <w:rsid w:val="00EF13C9"/>
    <w:rsid w:val="00EF2082"/>
    <w:rsid w:val="00EF3656"/>
    <w:rsid w:val="00EF38F2"/>
    <w:rsid w:val="00EF48B8"/>
    <w:rsid w:val="00F01925"/>
    <w:rsid w:val="00F03FDC"/>
    <w:rsid w:val="00F047FA"/>
    <w:rsid w:val="00F0578C"/>
    <w:rsid w:val="00F11FF9"/>
    <w:rsid w:val="00F13510"/>
    <w:rsid w:val="00F1719F"/>
    <w:rsid w:val="00F233ED"/>
    <w:rsid w:val="00F25426"/>
    <w:rsid w:val="00F2758B"/>
    <w:rsid w:val="00F37D2C"/>
    <w:rsid w:val="00F463E0"/>
    <w:rsid w:val="00F67DF3"/>
    <w:rsid w:val="00F729E0"/>
    <w:rsid w:val="00F74276"/>
    <w:rsid w:val="00F77681"/>
    <w:rsid w:val="00F776E3"/>
    <w:rsid w:val="00F82357"/>
    <w:rsid w:val="00F834E1"/>
    <w:rsid w:val="00F8419B"/>
    <w:rsid w:val="00F85BBD"/>
    <w:rsid w:val="00F86010"/>
    <w:rsid w:val="00F8756A"/>
    <w:rsid w:val="00F909B9"/>
    <w:rsid w:val="00F92089"/>
    <w:rsid w:val="00F921A1"/>
    <w:rsid w:val="00F92CA1"/>
    <w:rsid w:val="00F93684"/>
    <w:rsid w:val="00F95676"/>
    <w:rsid w:val="00F963E9"/>
    <w:rsid w:val="00F97305"/>
    <w:rsid w:val="00FA4F33"/>
    <w:rsid w:val="00FA6432"/>
    <w:rsid w:val="00FB2E6C"/>
    <w:rsid w:val="00FB3804"/>
    <w:rsid w:val="00FB5F11"/>
    <w:rsid w:val="00FB6CBB"/>
    <w:rsid w:val="00FC1DEF"/>
    <w:rsid w:val="00FC4326"/>
    <w:rsid w:val="00FC4DE3"/>
    <w:rsid w:val="00FC6051"/>
    <w:rsid w:val="00FD22EC"/>
    <w:rsid w:val="00FD3A69"/>
    <w:rsid w:val="00FD638C"/>
    <w:rsid w:val="00FE1A12"/>
    <w:rsid w:val="00FE52F4"/>
    <w:rsid w:val="00FE5CA9"/>
    <w:rsid w:val="00FE63AC"/>
    <w:rsid w:val="00FF5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69089935"/>
  <w14:defaultImageDpi w14:val="96"/>
  <w15:chartTrackingRefBased/>
  <w15:docId w15:val="{47502ACB-6E4D-4772-BE37-61320790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2AE7"/>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9"/>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unhideWhenUsed/>
    <w:rsid w:val="001402B3"/>
    <w:rPr>
      <w:sz w:val="20"/>
      <w:szCs w:val="20"/>
    </w:rPr>
  </w:style>
  <w:style w:type="character" w:customStyle="1" w:styleId="KommentartextZchn">
    <w:name w:val="Kommentartext Zchn"/>
    <w:link w:val="Kommentartext"/>
    <w:uiPriority w:val="99"/>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customStyle="1" w:styleId="NichtaufgelsteErwhnung1">
    <w:name w:val="Nicht aufgelöste Erwähnung1"/>
    <w:uiPriority w:val="99"/>
    <w:semiHidden/>
    <w:unhideWhenUsed/>
    <w:rsid w:val="00813E5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B27B7"/>
    <w:rPr>
      <w:color w:val="605E5C"/>
      <w:shd w:val="clear" w:color="auto" w:fill="E1DFDD"/>
    </w:rPr>
  </w:style>
  <w:style w:type="character" w:customStyle="1" w:styleId="cf01">
    <w:name w:val="cf01"/>
    <w:basedOn w:val="Absatz-Standardschriftart"/>
    <w:rsid w:val="004604E8"/>
    <w:rPr>
      <w:rFonts w:ascii="Segoe UI" w:hAnsi="Segoe UI" w:cs="Segoe UI" w:hint="default"/>
      <w:sz w:val="18"/>
      <w:szCs w:val="18"/>
    </w:rPr>
  </w:style>
  <w:style w:type="paragraph" w:styleId="Listenabsatz">
    <w:name w:val="List Paragraph"/>
    <w:basedOn w:val="Standard"/>
    <w:uiPriority w:val="34"/>
    <w:qFormat/>
    <w:rsid w:val="007C3C1B"/>
    <w:pPr>
      <w:ind w:left="720"/>
      <w:contextualSpacing/>
    </w:pPr>
  </w:style>
  <w:style w:type="paragraph" w:styleId="berarbeitung">
    <w:name w:val="Revision"/>
    <w:hidden/>
    <w:uiPriority w:val="99"/>
    <w:semiHidden/>
    <w:rsid w:val="00040E55"/>
    <w:rPr>
      <w:sz w:val="24"/>
      <w:szCs w:val="24"/>
      <w:lang w:val="en-GB" w:eastAsia="sv-SE"/>
    </w:rPr>
  </w:style>
  <w:style w:type="character" w:styleId="NichtaufgelsteErwhnung">
    <w:name w:val="Unresolved Mention"/>
    <w:basedOn w:val="Absatz-Standardschriftart"/>
    <w:uiPriority w:val="99"/>
    <w:semiHidden/>
    <w:unhideWhenUsed/>
    <w:rsid w:val="00DB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373">
      <w:bodyDiv w:val="1"/>
      <w:marLeft w:val="0"/>
      <w:marRight w:val="0"/>
      <w:marTop w:val="0"/>
      <w:marBottom w:val="0"/>
      <w:divBdr>
        <w:top w:val="none" w:sz="0" w:space="0" w:color="auto"/>
        <w:left w:val="none" w:sz="0" w:space="0" w:color="auto"/>
        <w:bottom w:val="none" w:sz="0" w:space="0" w:color="auto"/>
        <w:right w:val="none" w:sz="0" w:space="0" w:color="auto"/>
      </w:divBdr>
      <w:divsChild>
        <w:div w:id="1728991194">
          <w:marLeft w:val="480"/>
          <w:marRight w:val="0"/>
          <w:marTop w:val="0"/>
          <w:marBottom w:val="0"/>
          <w:divBdr>
            <w:top w:val="none" w:sz="0" w:space="0" w:color="auto"/>
            <w:left w:val="none" w:sz="0" w:space="0" w:color="auto"/>
            <w:bottom w:val="none" w:sz="0" w:space="0" w:color="auto"/>
            <w:right w:val="none" w:sz="0" w:space="0" w:color="auto"/>
          </w:divBdr>
          <w:divsChild>
            <w:div w:id="2017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401">
      <w:bodyDiv w:val="1"/>
      <w:marLeft w:val="0"/>
      <w:marRight w:val="0"/>
      <w:marTop w:val="0"/>
      <w:marBottom w:val="0"/>
      <w:divBdr>
        <w:top w:val="none" w:sz="0" w:space="0" w:color="auto"/>
        <w:left w:val="none" w:sz="0" w:space="0" w:color="auto"/>
        <w:bottom w:val="none" w:sz="0" w:space="0" w:color="auto"/>
        <w:right w:val="none" w:sz="0" w:space="0" w:color="auto"/>
      </w:divBdr>
    </w:div>
    <w:div w:id="76173202">
      <w:bodyDiv w:val="1"/>
      <w:marLeft w:val="0"/>
      <w:marRight w:val="0"/>
      <w:marTop w:val="0"/>
      <w:marBottom w:val="0"/>
      <w:divBdr>
        <w:top w:val="none" w:sz="0" w:space="0" w:color="auto"/>
        <w:left w:val="none" w:sz="0" w:space="0" w:color="auto"/>
        <w:bottom w:val="none" w:sz="0" w:space="0" w:color="auto"/>
        <w:right w:val="none" w:sz="0" w:space="0" w:color="auto"/>
      </w:divBdr>
      <w:divsChild>
        <w:div w:id="243757975">
          <w:marLeft w:val="0"/>
          <w:marRight w:val="0"/>
          <w:marTop w:val="0"/>
          <w:marBottom w:val="0"/>
          <w:divBdr>
            <w:top w:val="none" w:sz="0" w:space="0" w:color="auto"/>
            <w:left w:val="none" w:sz="0" w:space="0" w:color="auto"/>
            <w:bottom w:val="none" w:sz="0" w:space="0" w:color="auto"/>
            <w:right w:val="none" w:sz="0" w:space="0" w:color="auto"/>
          </w:divBdr>
          <w:divsChild>
            <w:div w:id="1669867086">
              <w:marLeft w:val="0"/>
              <w:marRight w:val="0"/>
              <w:marTop w:val="0"/>
              <w:marBottom w:val="0"/>
              <w:divBdr>
                <w:top w:val="none" w:sz="0" w:space="0" w:color="auto"/>
                <w:left w:val="none" w:sz="0" w:space="0" w:color="auto"/>
                <w:bottom w:val="none" w:sz="0" w:space="0" w:color="auto"/>
                <w:right w:val="none" w:sz="0" w:space="0" w:color="auto"/>
              </w:divBdr>
              <w:divsChild>
                <w:div w:id="668946523">
                  <w:marLeft w:val="0"/>
                  <w:marRight w:val="0"/>
                  <w:marTop w:val="0"/>
                  <w:marBottom w:val="0"/>
                  <w:divBdr>
                    <w:top w:val="none" w:sz="0" w:space="0" w:color="auto"/>
                    <w:left w:val="none" w:sz="0" w:space="0" w:color="auto"/>
                    <w:bottom w:val="none" w:sz="0" w:space="0" w:color="auto"/>
                    <w:right w:val="none" w:sz="0" w:space="0" w:color="auto"/>
                  </w:divBdr>
                  <w:divsChild>
                    <w:div w:id="19733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2996">
          <w:marLeft w:val="0"/>
          <w:marRight w:val="0"/>
          <w:marTop w:val="0"/>
          <w:marBottom w:val="0"/>
          <w:divBdr>
            <w:top w:val="none" w:sz="0" w:space="0" w:color="auto"/>
            <w:left w:val="none" w:sz="0" w:space="0" w:color="auto"/>
            <w:bottom w:val="none" w:sz="0" w:space="0" w:color="auto"/>
            <w:right w:val="none" w:sz="0" w:space="0" w:color="auto"/>
          </w:divBdr>
          <w:divsChild>
            <w:div w:id="688915031">
              <w:marLeft w:val="0"/>
              <w:marRight w:val="0"/>
              <w:marTop w:val="0"/>
              <w:marBottom w:val="0"/>
              <w:divBdr>
                <w:top w:val="none" w:sz="0" w:space="0" w:color="auto"/>
                <w:left w:val="none" w:sz="0" w:space="0" w:color="auto"/>
                <w:bottom w:val="none" w:sz="0" w:space="0" w:color="auto"/>
                <w:right w:val="none" w:sz="0" w:space="0" w:color="auto"/>
              </w:divBdr>
              <w:divsChild>
                <w:div w:id="579170173">
                  <w:marLeft w:val="0"/>
                  <w:marRight w:val="0"/>
                  <w:marTop w:val="0"/>
                  <w:marBottom w:val="0"/>
                  <w:divBdr>
                    <w:top w:val="none" w:sz="0" w:space="0" w:color="auto"/>
                    <w:left w:val="none" w:sz="0" w:space="0" w:color="auto"/>
                    <w:bottom w:val="none" w:sz="0" w:space="0" w:color="auto"/>
                    <w:right w:val="none" w:sz="0" w:space="0" w:color="auto"/>
                  </w:divBdr>
                  <w:divsChild>
                    <w:div w:id="1543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6088">
      <w:bodyDiv w:val="1"/>
      <w:marLeft w:val="0"/>
      <w:marRight w:val="0"/>
      <w:marTop w:val="0"/>
      <w:marBottom w:val="0"/>
      <w:divBdr>
        <w:top w:val="none" w:sz="0" w:space="0" w:color="auto"/>
        <w:left w:val="none" w:sz="0" w:space="0" w:color="auto"/>
        <w:bottom w:val="none" w:sz="0" w:space="0" w:color="auto"/>
        <w:right w:val="none" w:sz="0" w:space="0" w:color="auto"/>
      </w:divBdr>
    </w:div>
    <w:div w:id="193811700">
      <w:bodyDiv w:val="1"/>
      <w:marLeft w:val="0"/>
      <w:marRight w:val="0"/>
      <w:marTop w:val="0"/>
      <w:marBottom w:val="0"/>
      <w:divBdr>
        <w:top w:val="none" w:sz="0" w:space="0" w:color="auto"/>
        <w:left w:val="none" w:sz="0" w:space="0" w:color="auto"/>
        <w:bottom w:val="none" w:sz="0" w:space="0" w:color="auto"/>
        <w:right w:val="none" w:sz="0" w:space="0" w:color="auto"/>
      </w:divBdr>
    </w:div>
    <w:div w:id="236865590">
      <w:bodyDiv w:val="1"/>
      <w:marLeft w:val="0"/>
      <w:marRight w:val="0"/>
      <w:marTop w:val="0"/>
      <w:marBottom w:val="0"/>
      <w:divBdr>
        <w:top w:val="none" w:sz="0" w:space="0" w:color="auto"/>
        <w:left w:val="none" w:sz="0" w:space="0" w:color="auto"/>
        <w:bottom w:val="none" w:sz="0" w:space="0" w:color="auto"/>
        <w:right w:val="none" w:sz="0" w:space="0" w:color="auto"/>
      </w:divBdr>
    </w:div>
    <w:div w:id="240024617">
      <w:bodyDiv w:val="1"/>
      <w:marLeft w:val="0"/>
      <w:marRight w:val="0"/>
      <w:marTop w:val="0"/>
      <w:marBottom w:val="0"/>
      <w:divBdr>
        <w:top w:val="none" w:sz="0" w:space="0" w:color="auto"/>
        <w:left w:val="none" w:sz="0" w:space="0" w:color="auto"/>
        <w:bottom w:val="none" w:sz="0" w:space="0" w:color="auto"/>
        <w:right w:val="none" w:sz="0" w:space="0" w:color="auto"/>
      </w:divBdr>
      <w:divsChild>
        <w:div w:id="815342725">
          <w:marLeft w:val="480"/>
          <w:marRight w:val="0"/>
          <w:marTop w:val="0"/>
          <w:marBottom w:val="0"/>
          <w:divBdr>
            <w:top w:val="none" w:sz="0" w:space="0" w:color="auto"/>
            <w:left w:val="none" w:sz="0" w:space="0" w:color="auto"/>
            <w:bottom w:val="none" w:sz="0" w:space="0" w:color="auto"/>
            <w:right w:val="none" w:sz="0" w:space="0" w:color="auto"/>
          </w:divBdr>
          <w:divsChild>
            <w:div w:id="10400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992">
      <w:bodyDiv w:val="1"/>
      <w:marLeft w:val="0"/>
      <w:marRight w:val="0"/>
      <w:marTop w:val="0"/>
      <w:marBottom w:val="0"/>
      <w:divBdr>
        <w:top w:val="none" w:sz="0" w:space="0" w:color="auto"/>
        <w:left w:val="none" w:sz="0" w:space="0" w:color="auto"/>
        <w:bottom w:val="none" w:sz="0" w:space="0" w:color="auto"/>
        <w:right w:val="none" w:sz="0" w:space="0" w:color="auto"/>
      </w:divBdr>
    </w:div>
    <w:div w:id="344401997">
      <w:bodyDiv w:val="1"/>
      <w:marLeft w:val="0"/>
      <w:marRight w:val="0"/>
      <w:marTop w:val="0"/>
      <w:marBottom w:val="0"/>
      <w:divBdr>
        <w:top w:val="none" w:sz="0" w:space="0" w:color="auto"/>
        <w:left w:val="none" w:sz="0" w:space="0" w:color="auto"/>
        <w:bottom w:val="none" w:sz="0" w:space="0" w:color="auto"/>
        <w:right w:val="none" w:sz="0" w:space="0" w:color="auto"/>
      </w:divBdr>
    </w:div>
    <w:div w:id="374039246">
      <w:bodyDiv w:val="1"/>
      <w:marLeft w:val="0"/>
      <w:marRight w:val="0"/>
      <w:marTop w:val="0"/>
      <w:marBottom w:val="0"/>
      <w:divBdr>
        <w:top w:val="none" w:sz="0" w:space="0" w:color="auto"/>
        <w:left w:val="none" w:sz="0" w:space="0" w:color="auto"/>
        <w:bottom w:val="none" w:sz="0" w:space="0" w:color="auto"/>
        <w:right w:val="none" w:sz="0" w:space="0" w:color="auto"/>
      </w:divBdr>
      <w:divsChild>
        <w:div w:id="2110075458">
          <w:marLeft w:val="0"/>
          <w:marRight w:val="0"/>
          <w:marTop w:val="0"/>
          <w:marBottom w:val="0"/>
          <w:divBdr>
            <w:top w:val="none" w:sz="0" w:space="0" w:color="auto"/>
            <w:left w:val="none" w:sz="0" w:space="0" w:color="auto"/>
            <w:bottom w:val="none" w:sz="0" w:space="0" w:color="auto"/>
            <w:right w:val="none" w:sz="0" w:space="0" w:color="auto"/>
          </w:divBdr>
        </w:div>
      </w:divsChild>
    </w:div>
    <w:div w:id="451095523">
      <w:bodyDiv w:val="1"/>
      <w:marLeft w:val="0"/>
      <w:marRight w:val="0"/>
      <w:marTop w:val="0"/>
      <w:marBottom w:val="0"/>
      <w:divBdr>
        <w:top w:val="none" w:sz="0" w:space="0" w:color="auto"/>
        <w:left w:val="none" w:sz="0" w:space="0" w:color="auto"/>
        <w:bottom w:val="none" w:sz="0" w:space="0" w:color="auto"/>
        <w:right w:val="none" w:sz="0" w:space="0" w:color="auto"/>
      </w:divBdr>
    </w:div>
    <w:div w:id="488788943">
      <w:bodyDiv w:val="1"/>
      <w:marLeft w:val="0"/>
      <w:marRight w:val="0"/>
      <w:marTop w:val="0"/>
      <w:marBottom w:val="0"/>
      <w:divBdr>
        <w:top w:val="none" w:sz="0" w:space="0" w:color="auto"/>
        <w:left w:val="none" w:sz="0" w:space="0" w:color="auto"/>
        <w:bottom w:val="none" w:sz="0" w:space="0" w:color="auto"/>
        <w:right w:val="none" w:sz="0" w:space="0" w:color="auto"/>
      </w:divBdr>
    </w:div>
    <w:div w:id="542711938">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sChild>
        <w:div w:id="103577179">
          <w:marLeft w:val="480"/>
          <w:marRight w:val="0"/>
          <w:marTop w:val="0"/>
          <w:marBottom w:val="0"/>
          <w:divBdr>
            <w:top w:val="none" w:sz="0" w:space="0" w:color="auto"/>
            <w:left w:val="none" w:sz="0" w:space="0" w:color="auto"/>
            <w:bottom w:val="none" w:sz="0" w:space="0" w:color="auto"/>
            <w:right w:val="none" w:sz="0" w:space="0" w:color="auto"/>
          </w:divBdr>
          <w:divsChild>
            <w:div w:id="353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4662">
      <w:bodyDiv w:val="1"/>
      <w:marLeft w:val="0"/>
      <w:marRight w:val="0"/>
      <w:marTop w:val="0"/>
      <w:marBottom w:val="0"/>
      <w:divBdr>
        <w:top w:val="none" w:sz="0" w:space="0" w:color="auto"/>
        <w:left w:val="none" w:sz="0" w:space="0" w:color="auto"/>
        <w:bottom w:val="none" w:sz="0" w:space="0" w:color="auto"/>
        <w:right w:val="none" w:sz="0" w:space="0" w:color="auto"/>
      </w:divBdr>
      <w:divsChild>
        <w:div w:id="700127268">
          <w:marLeft w:val="480"/>
          <w:marRight w:val="0"/>
          <w:marTop w:val="0"/>
          <w:marBottom w:val="0"/>
          <w:divBdr>
            <w:top w:val="none" w:sz="0" w:space="0" w:color="auto"/>
            <w:left w:val="none" w:sz="0" w:space="0" w:color="auto"/>
            <w:bottom w:val="none" w:sz="0" w:space="0" w:color="auto"/>
            <w:right w:val="none" w:sz="0" w:space="0" w:color="auto"/>
          </w:divBdr>
          <w:divsChild>
            <w:div w:id="5472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940">
      <w:bodyDiv w:val="1"/>
      <w:marLeft w:val="0"/>
      <w:marRight w:val="0"/>
      <w:marTop w:val="0"/>
      <w:marBottom w:val="0"/>
      <w:divBdr>
        <w:top w:val="none" w:sz="0" w:space="0" w:color="auto"/>
        <w:left w:val="none" w:sz="0" w:space="0" w:color="auto"/>
        <w:bottom w:val="none" w:sz="0" w:space="0" w:color="auto"/>
        <w:right w:val="none" w:sz="0" w:space="0" w:color="auto"/>
      </w:divBdr>
    </w:div>
    <w:div w:id="809369876">
      <w:bodyDiv w:val="1"/>
      <w:marLeft w:val="0"/>
      <w:marRight w:val="0"/>
      <w:marTop w:val="0"/>
      <w:marBottom w:val="0"/>
      <w:divBdr>
        <w:top w:val="none" w:sz="0" w:space="0" w:color="auto"/>
        <w:left w:val="none" w:sz="0" w:space="0" w:color="auto"/>
        <w:bottom w:val="none" w:sz="0" w:space="0" w:color="auto"/>
        <w:right w:val="none" w:sz="0" w:space="0" w:color="auto"/>
      </w:divBdr>
    </w:div>
    <w:div w:id="871378815">
      <w:bodyDiv w:val="1"/>
      <w:marLeft w:val="0"/>
      <w:marRight w:val="0"/>
      <w:marTop w:val="0"/>
      <w:marBottom w:val="0"/>
      <w:divBdr>
        <w:top w:val="none" w:sz="0" w:space="0" w:color="auto"/>
        <w:left w:val="none" w:sz="0" w:space="0" w:color="auto"/>
        <w:bottom w:val="none" w:sz="0" w:space="0" w:color="auto"/>
        <w:right w:val="none" w:sz="0" w:space="0" w:color="auto"/>
      </w:divBdr>
    </w:div>
    <w:div w:id="895120560">
      <w:bodyDiv w:val="1"/>
      <w:marLeft w:val="0"/>
      <w:marRight w:val="0"/>
      <w:marTop w:val="0"/>
      <w:marBottom w:val="0"/>
      <w:divBdr>
        <w:top w:val="none" w:sz="0" w:space="0" w:color="auto"/>
        <w:left w:val="none" w:sz="0" w:space="0" w:color="auto"/>
        <w:bottom w:val="none" w:sz="0" w:space="0" w:color="auto"/>
        <w:right w:val="none" w:sz="0" w:space="0" w:color="auto"/>
      </w:divBdr>
    </w:div>
    <w:div w:id="969820418">
      <w:bodyDiv w:val="1"/>
      <w:marLeft w:val="0"/>
      <w:marRight w:val="0"/>
      <w:marTop w:val="0"/>
      <w:marBottom w:val="0"/>
      <w:divBdr>
        <w:top w:val="none" w:sz="0" w:space="0" w:color="auto"/>
        <w:left w:val="none" w:sz="0" w:space="0" w:color="auto"/>
        <w:bottom w:val="none" w:sz="0" w:space="0" w:color="auto"/>
        <w:right w:val="none" w:sz="0" w:space="0" w:color="auto"/>
      </w:divBdr>
      <w:divsChild>
        <w:div w:id="1281107141">
          <w:marLeft w:val="480"/>
          <w:marRight w:val="0"/>
          <w:marTop w:val="0"/>
          <w:marBottom w:val="0"/>
          <w:divBdr>
            <w:top w:val="none" w:sz="0" w:space="0" w:color="auto"/>
            <w:left w:val="none" w:sz="0" w:space="0" w:color="auto"/>
            <w:bottom w:val="none" w:sz="0" w:space="0" w:color="auto"/>
            <w:right w:val="none" w:sz="0" w:space="0" w:color="auto"/>
          </w:divBdr>
          <w:divsChild>
            <w:div w:id="777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0301">
      <w:bodyDiv w:val="1"/>
      <w:marLeft w:val="0"/>
      <w:marRight w:val="0"/>
      <w:marTop w:val="0"/>
      <w:marBottom w:val="0"/>
      <w:divBdr>
        <w:top w:val="none" w:sz="0" w:space="0" w:color="auto"/>
        <w:left w:val="none" w:sz="0" w:space="0" w:color="auto"/>
        <w:bottom w:val="none" w:sz="0" w:space="0" w:color="auto"/>
        <w:right w:val="none" w:sz="0" w:space="0" w:color="auto"/>
      </w:divBdr>
      <w:divsChild>
        <w:div w:id="793254078">
          <w:marLeft w:val="480"/>
          <w:marRight w:val="0"/>
          <w:marTop w:val="0"/>
          <w:marBottom w:val="0"/>
          <w:divBdr>
            <w:top w:val="none" w:sz="0" w:space="0" w:color="auto"/>
            <w:left w:val="none" w:sz="0" w:space="0" w:color="auto"/>
            <w:bottom w:val="none" w:sz="0" w:space="0" w:color="auto"/>
            <w:right w:val="none" w:sz="0" w:space="0" w:color="auto"/>
          </w:divBdr>
          <w:divsChild>
            <w:div w:id="11345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2984">
      <w:bodyDiv w:val="1"/>
      <w:marLeft w:val="0"/>
      <w:marRight w:val="0"/>
      <w:marTop w:val="0"/>
      <w:marBottom w:val="0"/>
      <w:divBdr>
        <w:top w:val="none" w:sz="0" w:space="0" w:color="auto"/>
        <w:left w:val="none" w:sz="0" w:space="0" w:color="auto"/>
        <w:bottom w:val="none" w:sz="0" w:space="0" w:color="auto"/>
        <w:right w:val="none" w:sz="0" w:space="0" w:color="auto"/>
      </w:divBdr>
      <w:divsChild>
        <w:div w:id="1306162566">
          <w:marLeft w:val="480"/>
          <w:marRight w:val="0"/>
          <w:marTop w:val="0"/>
          <w:marBottom w:val="0"/>
          <w:divBdr>
            <w:top w:val="none" w:sz="0" w:space="0" w:color="auto"/>
            <w:left w:val="none" w:sz="0" w:space="0" w:color="auto"/>
            <w:bottom w:val="none" w:sz="0" w:space="0" w:color="auto"/>
            <w:right w:val="none" w:sz="0" w:space="0" w:color="auto"/>
          </w:divBdr>
          <w:divsChild>
            <w:div w:id="1652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1195">
      <w:bodyDiv w:val="1"/>
      <w:marLeft w:val="0"/>
      <w:marRight w:val="0"/>
      <w:marTop w:val="0"/>
      <w:marBottom w:val="0"/>
      <w:divBdr>
        <w:top w:val="none" w:sz="0" w:space="0" w:color="auto"/>
        <w:left w:val="none" w:sz="0" w:space="0" w:color="auto"/>
        <w:bottom w:val="none" w:sz="0" w:space="0" w:color="auto"/>
        <w:right w:val="none" w:sz="0" w:space="0" w:color="auto"/>
      </w:divBdr>
      <w:divsChild>
        <w:div w:id="350179589">
          <w:marLeft w:val="480"/>
          <w:marRight w:val="0"/>
          <w:marTop w:val="0"/>
          <w:marBottom w:val="0"/>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18301">
      <w:bodyDiv w:val="1"/>
      <w:marLeft w:val="0"/>
      <w:marRight w:val="0"/>
      <w:marTop w:val="0"/>
      <w:marBottom w:val="0"/>
      <w:divBdr>
        <w:top w:val="none" w:sz="0" w:space="0" w:color="auto"/>
        <w:left w:val="none" w:sz="0" w:space="0" w:color="auto"/>
        <w:bottom w:val="none" w:sz="0" w:space="0" w:color="auto"/>
        <w:right w:val="none" w:sz="0" w:space="0" w:color="auto"/>
      </w:divBdr>
    </w:div>
    <w:div w:id="1239635331">
      <w:bodyDiv w:val="1"/>
      <w:marLeft w:val="0"/>
      <w:marRight w:val="0"/>
      <w:marTop w:val="0"/>
      <w:marBottom w:val="0"/>
      <w:divBdr>
        <w:top w:val="none" w:sz="0" w:space="0" w:color="auto"/>
        <w:left w:val="none" w:sz="0" w:space="0" w:color="auto"/>
        <w:bottom w:val="none" w:sz="0" w:space="0" w:color="auto"/>
        <w:right w:val="none" w:sz="0" w:space="0" w:color="auto"/>
      </w:divBdr>
      <w:divsChild>
        <w:div w:id="1473333235">
          <w:marLeft w:val="480"/>
          <w:marRight w:val="0"/>
          <w:marTop w:val="0"/>
          <w:marBottom w:val="0"/>
          <w:divBdr>
            <w:top w:val="none" w:sz="0" w:space="0" w:color="auto"/>
            <w:left w:val="none" w:sz="0" w:space="0" w:color="auto"/>
            <w:bottom w:val="none" w:sz="0" w:space="0" w:color="auto"/>
            <w:right w:val="none" w:sz="0" w:space="0" w:color="auto"/>
          </w:divBdr>
          <w:divsChild>
            <w:div w:id="9957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8960">
      <w:bodyDiv w:val="1"/>
      <w:marLeft w:val="0"/>
      <w:marRight w:val="0"/>
      <w:marTop w:val="0"/>
      <w:marBottom w:val="0"/>
      <w:divBdr>
        <w:top w:val="none" w:sz="0" w:space="0" w:color="auto"/>
        <w:left w:val="none" w:sz="0" w:space="0" w:color="auto"/>
        <w:bottom w:val="none" w:sz="0" w:space="0" w:color="auto"/>
        <w:right w:val="none" w:sz="0" w:space="0" w:color="auto"/>
      </w:divBdr>
    </w:div>
    <w:div w:id="1254975640">
      <w:bodyDiv w:val="1"/>
      <w:marLeft w:val="0"/>
      <w:marRight w:val="0"/>
      <w:marTop w:val="0"/>
      <w:marBottom w:val="0"/>
      <w:divBdr>
        <w:top w:val="none" w:sz="0" w:space="0" w:color="auto"/>
        <w:left w:val="none" w:sz="0" w:space="0" w:color="auto"/>
        <w:bottom w:val="none" w:sz="0" w:space="0" w:color="auto"/>
        <w:right w:val="none" w:sz="0" w:space="0" w:color="auto"/>
      </w:divBdr>
    </w:div>
    <w:div w:id="1278872845">
      <w:bodyDiv w:val="1"/>
      <w:marLeft w:val="0"/>
      <w:marRight w:val="0"/>
      <w:marTop w:val="0"/>
      <w:marBottom w:val="0"/>
      <w:divBdr>
        <w:top w:val="none" w:sz="0" w:space="0" w:color="auto"/>
        <w:left w:val="none" w:sz="0" w:space="0" w:color="auto"/>
        <w:bottom w:val="none" w:sz="0" w:space="0" w:color="auto"/>
        <w:right w:val="none" w:sz="0" w:space="0" w:color="auto"/>
      </w:divBdr>
    </w:div>
    <w:div w:id="1298100171">
      <w:bodyDiv w:val="1"/>
      <w:marLeft w:val="0"/>
      <w:marRight w:val="0"/>
      <w:marTop w:val="0"/>
      <w:marBottom w:val="0"/>
      <w:divBdr>
        <w:top w:val="none" w:sz="0" w:space="0" w:color="auto"/>
        <w:left w:val="none" w:sz="0" w:space="0" w:color="auto"/>
        <w:bottom w:val="none" w:sz="0" w:space="0" w:color="auto"/>
        <w:right w:val="none" w:sz="0" w:space="0" w:color="auto"/>
      </w:divBdr>
      <w:divsChild>
        <w:div w:id="2013727159">
          <w:marLeft w:val="480"/>
          <w:marRight w:val="0"/>
          <w:marTop w:val="0"/>
          <w:marBottom w:val="0"/>
          <w:divBdr>
            <w:top w:val="none" w:sz="0" w:space="0" w:color="auto"/>
            <w:left w:val="none" w:sz="0" w:space="0" w:color="auto"/>
            <w:bottom w:val="none" w:sz="0" w:space="0" w:color="auto"/>
            <w:right w:val="none" w:sz="0" w:space="0" w:color="auto"/>
          </w:divBdr>
          <w:divsChild>
            <w:div w:id="13960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4233">
      <w:bodyDiv w:val="1"/>
      <w:marLeft w:val="0"/>
      <w:marRight w:val="0"/>
      <w:marTop w:val="0"/>
      <w:marBottom w:val="0"/>
      <w:divBdr>
        <w:top w:val="none" w:sz="0" w:space="0" w:color="auto"/>
        <w:left w:val="none" w:sz="0" w:space="0" w:color="auto"/>
        <w:bottom w:val="none" w:sz="0" w:space="0" w:color="auto"/>
        <w:right w:val="none" w:sz="0" w:space="0" w:color="auto"/>
      </w:divBdr>
      <w:divsChild>
        <w:div w:id="1909416682">
          <w:marLeft w:val="480"/>
          <w:marRight w:val="0"/>
          <w:marTop w:val="0"/>
          <w:marBottom w:val="0"/>
          <w:divBdr>
            <w:top w:val="none" w:sz="0" w:space="0" w:color="auto"/>
            <w:left w:val="none" w:sz="0" w:space="0" w:color="auto"/>
            <w:bottom w:val="none" w:sz="0" w:space="0" w:color="auto"/>
            <w:right w:val="none" w:sz="0" w:space="0" w:color="auto"/>
          </w:divBdr>
          <w:divsChild>
            <w:div w:id="1592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081">
      <w:bodyDiv w:val="1"/>
      <w:marLeft w:val="0"/>
      <w:marRight w:val="0"/>
      <w:marTop w:val="0"/>
      <w:marBottom w:val="0"/>
      <w:divBdr>
        <w:top w:val="none" w:sz="0" w:space="0" w:color="auto"/>
        <w:left w:val="none" w:sz="0" w:space="0" w:color="auto"/>
        <w:bottom w:val="none" w:sz="0" w:space="0" w:color="auto"/>
        <w:right w:val="none" w:sz="0" w:space="0" w:color="auto"/>
      </w:divBdr>
      <w:divsChild>
        <w:div w:id="320427139">
          <w:marLeft w:val="480"/>
          <w:marRight w:val="0"/>
          <w:marTop w:val="0"/>
          <w:marBottom w:val="0"/>
          <w:divBdr>
            <w:top w:val="none" w:sz="0" w:space="0" w:color="auto"/>
            <w:left w:val="none" w:sz="0" w:space="0" w:color="auto"/>
            <w:bottom w:val="none" w:sz="0" w:space="0" w:color="auto"/>
            <w:right w:val="none" w:sz="0" w:space="0" w:color="auto"/>
          </w:divBdr>
          <w:divsChild>
            <w:div w:id="11668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572">
      <w:bodyDiv w:val="1"/>
      <w:marLeft w:val="0"/>
      <w:marRight w:val="0"/>
      <w:marTop w:val="0"/>
      <w:marBottom w:val="0"/>
      <w:divBdr>
        <w:top w:val="none" w:sz="0" w:space="0" w:color="auto"/>
        <w:left w:val="none" w:sz="0" w:space="0" w:color="auto"/>
        <w:bottom w:val="none" w:sz="0" w:space="0" w:color="auto"/>
        <w:right w:val="none" w:sz="0" w:space="0" w:color="auto"/>
      </w:divBdr>
      <w:divsChild>
        <w:div w:id="716663141">
          <w:marLeft w:val="480"/>
          <w:marRight w:val="0"/>
          <w:marTop w:val="0"/>
          <w:marBottom w:val="0"/>
          <w:divBdr>
            <w:top w:val="none" w:sz="0" w:space="0" w:color="auto"/>
            <w:left w:val="none" w:sz="0" w:space="0" w:color="auto"/>
            <w:bottom w:val="none" w:sz="0" w:space="0" w:color="auto"/>
            <w:right w:val="none" w:sz="0" w:space="0" w:color="auto"/>
          </w:divBdr>
          <w:divsChild>
            <w:div w:id="938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784">
      <w:bodyDiv w:val="1"/>
      <w:marLeft w:val="0"/>
      <w:marRight w:val="0"/>
      <w:marTop w:val="0"/>
      <w:marBottom w:val="0"/>
      <w:divBdr>
        <w:top w:val="none" w:sz="0" w:space="0" w:color="auto"/>
        <w:left w:val="none" w:sz="0" w:space="0" w:color="auto"/>
        <w:bottom w:val="none" w:sz="0" w:space="0" w:color="auto"/>
        <w:right w:val="none" w:sz="0" w:space="0" w:color="auto"/>
      </w:divBdr>
    </w:div>
    <w:div w:id="1643464190">
      <w:bodyDiv w:val="1"/>
      <w:marLeft w:val="0"/>
      <w:marRight w:val="0"/>
      <w:marTop w:val="0"/>
      <w:marBottom w:val="0"/>
      <w:divBdr>
        <w:top w:val="none" w:sz="0" w:space="0" w:color="auto"/>
        <w:left w:val="none" w:sz="0" w:space="0" w:color="auto"/>
        <w:bottom w:val="none" w:sz="0" w:space="0" w:color="auto"/>
        <w:right w:val="none" w:sz="0" w:space="0" w:color="auto"/>
      </w:divBdr>
      <w:divsChild>
        <w:div w:id="1743672512">
          <w:marLeft w:val="480"/>
          <w:marRight w:val="0"/>
          <w:marTop w:val="0"/>
          <w:marBottom w:val="0"/>
          <w:divBdr>
            <w:top w:val="none" w:sz="0" w:space="0" w:color="auto"/>
            <w:left w:val="none" w:sz="0" w:space="0" w:color="auto"/>
            <w:bottom w:val="none" w:sz="0" w:space="0" w:color="auto"/>
            <w:right w:val="none" w:sz="0" w:space="0" w:color="auto"/>
          </w:divBdr>
          <w:divsChild>
            <w:div w:id="10521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889">
      <w:bodyDiv w:val="1"/>
      <w:marLeft w:val="0"/>
      <w:marRight w:val="0"/>
      <w:marTop w:val="0"/>
      <w:marBottom w:val="0"/>
      <w:divBdr>
        <w:top w:val="none" w:sz="0" w:space="0" w:color="auto"/>
        <w:left w:val="none" w:sz="0" w:space="0" w:color="auto"/>
        <w:bottom w:val="none" w:sz="0" w:space="0" w:color="auto"/>
        <w:right w:val="none" w:sz="0" w:space="0" w:color="auto"/>
      </w:divBdr>
      <w:divsChild>
        <w:div w:id="1031953421">
          <w:marLeft w:val="480"/>
          <w:marRight w:val="0"/>
          <w:marTop w:val="0"/>
          <w:marBottom w:val="0"/>
          <w:divBdr>
            <w:top w:val="none" w:sz="0" w:space="0" w:color="auto"/>
            <w:left w:val="none" w:sz="0" w:space="0" w:color="auto"/>
            <w:bottom w:val="none" w:sz="0" w:space="0" w:color="auto"/>
            <w:right w:val="none" w:sz="0" w:space="0" w:color="auto"/>
          </w:divBdr>
          <w:divsChild>
            <w:div w:id="2097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1841">
      <w:bodyDiv w:val="1"/>
      <w:marLeft w:val="0"/>
      <w:marRight w:val="0"/>
      <w:marTop w:val="0"/>
      <w:marBottom w:val="0"/>
      <w:divBdr>
        <w:top w:val="none" w:sz="0" w:space="0" w:color="auto"/>
        <w:left w:val="none" w:sz="0" w:space="0" w:color="auto"/>
        <w:bottom w:val="none" w:sz="0" w:space="0" w:color="auto"/>
        <w:right w:val="none" w:sz="0" w:space="0" w:color="auto"/>
      </w:divBdr>
      <w:divsChild>
        <w:div w:id="1677878732">
          <w:marLeft w:val="480"/>
          <w:marRight w:val="0"/>
          <w:marTop w:val="0"/>
          <w:marBottom w:val="0"/>
          <w:divBdr>
            <w:top w:val="none" w:sz="0" w:space="0" w:color="auto"/>
            <w:left w:val="none" w:sz="0" w:space="0" w:color="auto"/>
            <w:bottom w:val="none" w:sz="0" w:space="0" w:color="auto"/>
            <w:right w:val="none" w:sz="0" w:space="0" w:color="auto"/>
          </w:divBdr>
          <w:divsChild>
            <w:div w:id="10033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wb.dzhw.eu/downloads/WiBef_Methodenbericht2019-20.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22369/issn.2153-4136/3/1/6"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doi.org/10.21249/DZHW:scs2019:2.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hyperlink" Target="https://doi.org/10.1057/palcomms.2017.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s://doi.org/10.21249/DZHW:scs2019:2.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yperlink" Target="https://doi.org/10.1007/s11135-022-01524-4"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0224D-5D7D-444C-916F-618E7DDD38AB}">
  <ds:schemaRefs>
    <ds:schemaRef ds:uri="http://schemas.openxmlformats.org/officeDocument/2006/bibliography"/>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15</Pages>
  <Words>4266</Words>
  <Characters>25219</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29427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dc:description/>
  <cp:lastModifiedBy>Velden, Theresa</cp:lastModifiedBy>
  <cp:revision>6</cp:revision>
  <cp:lastPrinted>2023-04-20T11:58:00Z</cp:lastPrinted>
  <dcterms:created xsi:type="dcterms:W3CDTF">2023-04-20T13:22:00Z</dcterms:created>
  <dcterms:modified xsi:type="dcterms:W3CDTF">2023-04-20T13:44:00Z</dcterms:modified>
</cp:coreProperties>
</file>