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1B9E6820" w:rsidR="00AD6D2D" w:rsidRPr="00542798" w:rsidRDefault="005A47F4" w:rsidP="00542798">
      <w:pPr>
        <w:pStyle w:val="berschrift1"/>
        <w:jc w:val="center"/>
      </w:pPr>
      <w:r>
        <w:t>Who writes what? The academic age patterns of review genres in biomedicine</w:t>
      </w:r>
    </w:p>
    <w:p w14:paraId="1448DA63" w14:textId="77777777" w:rsidR="00AD6D2D" w:rsidRPr="00AD6D2D" w:rsidRDefault="00AD6D2D" w:rsidP="00542798">
      <w:pPr>
        <w:jc w:val="center"/>
      </w:pPr>
    </w:p>
    <w:p w14:paraId="49EED032" w14:textId="76AAA091" w:rsidR="00AD6D2D" w:rsidRPr="00AD6D2D" w:rsidRDefault="005A47F4" w:rsidP="00542798">
      <w:pPr>
        <w:jc w:val="center"/>
      </w:pPr>
      <w:r>
        <w:t>Alexander Schniedermann</w:t>
      </w:r>
      <w:r w:rsidR="00AD6D2D" w:rsidRPr="00AD6D2D">
        <w:rPr>
          <w:vertAlign w:val="superscript"/>
        </w:rPr>
        <w:t>*</w:t>
      </w:r>
    </w:p>
    <w:p w14:paraId="69B5EBE6" w14:textId="77777777" w:rsidR="00AD6D2D" w:rsidRPr="00AD6D2D" w:rsidRDefault="00AD6D2D" w:rsidP="00542798">
      <w:pPr>
        <w:jc w:val="center"/>
        <w:rPr>
          <w:sz w:val="20"/>
          <w:szCs w:val="20"/>
        </w:rPr>
      </w:pPr>
    </w:p>
    <w:p w14:paraId="0327B950" w14:textId="78D74649" w:rsidR="00AD6D2D" w:rsidRPr="00AD6D2D" w:rsidRDefault="00AD6D2D" w:rsidP="00542798">
      <w:pPr>
        <w:jc w:val="center"/>
        <w:rPr>
          <w:sz w:val="20"/>
          <w:szCs w:val="20"/>
        </w:rPr>
      </w:pPr>
      <w:r w:rsidRPr="00AD6D2D">
        <w:rPr>
          <w:sz w:val="20"/>
          <w:szCs w:val="20"/>
          <w:vertAlign w:val="superscript"/>
        </w:rPr>
        <w:t>*</w:t>
      </w:r>
      <w:r w:rsidR="005A47F4">
        <w:rPr>
          <w:i/>
          <w:iCs/>
          <w:sz w:val="20"/>
          <w:szCs w:val="20"/>
        </w:rPr>
        <w:t>schniedermann</w:t>
      </w:r>
      <w:r w:rsidRPr="00AD6D2D">
        <w:rPr>
          <w:i/>
          <w:iCs/>
          <w:sz w:val="20"/>
          <w:szCs w:val="20"/>
        </w:rPr>
        <w:t>@</w:t>
      </w:r>
      <w:r w:rsidR="005A47F4">
        <w:rPr>
          <w:i/>
          <w:iCs/>
          <w:sz w:val="20"/>
          <w:szCs w:val="20"/>
        </w:rPr>
        <w:t>dzhw</w:t>
      </w:r>
      <w:r w:rsidRPr="00AD6D2D">
        <w:rPr>
          <w:i/>
          <w:iCs/>
          <w:sz w:val="20"/>
          <w:szCs w:val="20"/>
        </w:rPr>
        <w:t>.</w:t>
      </w:r>
      <w:r w:rsidR="005A47F4">
        <w:rPr>
          <w:i/>
          <w:iCs/>
          <w:sz w:val="20"/>
          <w:szCs w:val="20"/>
        </w:rPr>
        <w:t>eu</w:t>
      </w:r>
    </w:p>
    <w:p w14:paraId="3E9A3738" w14:textId="77777777" w:rsidR="005A47F4" w:rsidRDefault="005A47F4" w:rsidP="00542798">
      <w:pPr>
        <w:jc w:val="center"/>
        <w:rPr>
          <w:sz w:val="20"/>
          <w:szCs w:val="20"/>
        </w:rPr>
      </w:pPr>
      <w:r w:rsidRPr="005A47F4">
        <w:rPr>
          <w:sz w:val="20"/>
          <w:szCs w:val="20"/>
        </w:rPr>
        <w:t>0000-0003-2132-7419</w:t>
      </w:r>
    </w:p>
    <w:p w14:paraId="744ED62A" w14:textId="3261A36B" w:rsidR="00AD6D2D" w:rsidRDefault="005A47F4" w:rsidP="00542798">
      <w:pPr>
        <w:jc w:val="center"/>
        <w:rPr>
          <w:sz w:val="20"/>
          <w:szCs w:val="20"/>
        </w:rPr>
      </w:pPr>
      <w:r>
        <w:rPr>
          <w:sz w:val="20"/>
          <w:szCs w:val="20"/>
        </w:rPr>
        <w:t>German Centre for Higher Education Research and Science Studies (DZHW), Germany</w:t>
      </w:r>
    </w:p>
    <w:p w14:paraId="2FAE24B5" w14:textId="45C5FDAF" w:rsidR="005A47F4" w:rsidRPr="00AD6D2D" w:rsidRDefault="005A47F4" w:rsidP="00542798">
      <w:pPr>
        <w:jc w:val="center"/>
        <w:rPr>
          <w:sz w:val="20"/>
          <w:szCs w:val="20"/>
        </w:rPr>
      </w:pPr>
      <w:r>
        <w:rPr>
          <w:sz w:val="20"/>
          <w:szCs w:val="20"/>
        </w:rPr>
        <w:t>Centre for Science and Technology Studies (CWTS), Germany</w:t>
      </w:r>
    </w:p>
    <w:p w14:paraId="0F7AF4B5" w14:textId="77777777" w:rsidR="00AD6D2D" w:rsidRPr="00AD6D2D" w:rsidRDefault="00AD6D2D" w:rsidP="00542798">
      <w:pPr>
        <w:jc w:val="center"/>
        <w:rPr>
          <w:sz w:val="20"/>
          <w:szCs w:val="20"/>
        </w:rPr>
      </w:pPr>
    </w:p>
    <w:p w14:paraId="18EAD8F9" w14:textId="77777777" w:rsidR="008168F4" w:rsidRPr="00D96243" w:rsidRDefault="008168F4" w:rsidP="00542798">
      <w:pPr>
        <w:jc w:val="center"/>
      </w:pPr>
    </w:p>
    <w:p w14:paraId="04927CB0" w14:textId="3FF61CA2" w:rsidR="008168F4" w:rsidRDefault="008168F4" w:rsidP="00542798">
      <w:pPr>
        <w:jc w:val="center"/>
      </w:pPr>
    </w:p>
    <w:p w14:paraId="26F746EB" w14:textId="77777777" w:rsidR="00CB15AC" w:rsidRPr="00D96243" w:rsidRDefault="00CB15AC" w:rsidP="00CB15AC">
      <w:pPr>
        <w:jc w:val="both"/>
      </w:pPr>
    </w:p>
    <w:p w14:paraId="02C61035" w14:textId="77777777" w:rsidR="008168F4" w:rsidRPr="00D96243" w:rsidRDefault="000C25AF">
      <w:pPr>
        <w:pStyle w:val="berschrift2"/>
        <w:jc w:val="both"/>
      </w:pPr>
      <w:r w:rsidRPr="00D96243">
        <w:t xml:space="preserve">1. </w:t>
      </w:r>
      <w:r w:rsidR="008168F4" w:rsidRPr="00D96243">
        <w:t>Introduction</w:t>
      </w:r>
    </w:p>
    <w:p w14:paraId="41A3EEF7" w14:textId="51DBE971" w:rsidR="005A47F4" w:rsidRDefault="005A47F4" w:rsidP="005A47F4">
      <w:pPr>
        <w:jc w:val="both"/>
      </w:pPr>
      <w:r>
        <w:t>In 2020, the movement towards more responsible research assessment in the biomedical sciences led to the already prominent Hong Kong Principles for Assessing Researchers. The statement lies in a tradition that criticizes traditional research assessment and bibliometrics as being partly responsible for the many issues of contemporary publishing (Rushforth and Hammerfelt 2022). In strong alliance with the ethos of Open Science, the second of the Hong Kong principles aims to increase the transparency of research reports, or in other words, more insightful and useful scientific texts. It suggests the dissemination and usage of so-called reporting guidelines to achieve this goal (Moher et al. 2020).</w:t>
      </w:r>
    </w:p>
    <w:p w14:paraId="7C977D19" w14:textId="77777777" w:rsidR="005A47F4" w:rsidRPr="005A47F4" w:rsidRDefault="005A47F4" w:rsidP="005A47F4">
      <w:pPr>
        <w:jc w:val="both"/>
      </w:pPr>
    </w:p>
    <w:p w14:paraId="04D39697" w14:textId="7387F370" w:rsidR="005A47F4" w:rsidRDefault="005A47F4" w:rsidP="005A47F4">
      <w:pPr>
        <w:tabs>
          <w:tab w:val="left" w:pos="5136"/>
        </w:tabs>
        <w:jc w:val="both"/>
      </w:pPr>
      <w:r>
        <w:t xml:space="preserve">Reporting guidelines are checklists developed by publishing experts and metascientists </w:t>
      </w:r>
      <w:proofErr w:type="gramStart"/>
      <w:r>
        <w:t>in order to</w:t>
      </w:r>
      <w:proofErr w:type="gramEnd"/>
      <w:r>
        <w:t xml:space="preserve"> intervene on scientific writing. They provide guidance to authors by defining the information that </w:t>
      </w:r>
      <w:proofErr w:type="gramStart"/>
      <w:r>
        <w:t>has to</w:t>
      </w:r>
      <w:proofErr w:type="gramEnd"/>
      <w:r>
        <w:t xml:space="preserve"> be included in a publication in order to consider it being transparent. For example, the "Preferred Reporting Items for Systematic Reviews and Meta-Analyses" (PRISMA) suggest that authors should describe whether a protocol was registered and where, or how many researchers performed a risk of bias assessment (Moher et al. 2009). Today, there are over 600 reporting guidelines for various study types and scientific specialties, mostly close to biomedicine (see </w:t>
      </w:r>
      <w:hyperlink r:id="rId10" w:history="1">
        <w:r w:rsidRPr="00570238">
          <w:rPr>
            <w:rStyle w:val="Hyperlink"/>
          </w:rPr>
          <w:t>www.equator.org</w:t>
        </w:r>
      </w:hyperlink>
      <w:r>
        <w:t>).</w:t>
      </w:r>
    </w:p>
    <w:p w14:paraId="07964167" w14:textId="77777777" w:rsidR="005A47F4" w:rsidRDefault="005A47F4" w:rsidP="005A47F4">
      <w:pPr>
        <w:tabs>
          <w:tab w:val="left" w:pos="5136"/>
        </w:tabs>
        <w:jc w:val="both"/>
      </w:pPr>
    </w:p>
    <w:p w14:paraId="4444D135" w14:textId="5AA71B3F" w:rsidR="005A47F4" w:rsidRDefault="005A47F4" w:rsidP="005A47F4">
      <w:pPr>
        <w:tabs>
          <w:tab w:val="left" w:pos="5136"/>
        </w:tabs>
        <w:jc w:val="both"/>
      </w:pPr>
      <w:r>
        <w:t>Although the compliance with the PRISMA guideline is regularly evaluated by various metascientific studies to refine and enhance it (</w:t>
      </w:r>
      <w:proofErr w:type="gramStart"/>
      <w:r>
        <w:t>e.g.</w:t>
      </w:r>
      <w:proofErr w:type="gramEnd"/>
      <w:r>
        <w:t xml:space="preserve"> Pager and Moher 2017), no measures have been taken to understand this phenomenon on a wider scale by making use of bibliometric data. While a bibliometric analysis cannot be used to assess the quality of guideline compliance, it can shed light on the who, the where and </w:t>
      </w:r>
      <w:proofErr w:type="gramStart"/>
      <w:r>
        <w:t>the when</w:t>
      </w:r>
      <w:proofErr w:type="gramEnd"/>
      <w:r>
        <w:t xml:space="preserve"> of its usage, especially because PRISMA is usually cited by those systematic reviews that apply the guideline. Studying it bibliometrically offers two benefits. First, measures and interventions to further disseminate the guideline can be refined and improved by a better overview of its user and non-user base. Second, such an analysis adds to the general understanding of standardization in science and the regulation of research practices as a social phenomenon. Although there is a rich tradition in the science studies that analyzies standardization qualitatively, only few studies draw on quantitative and generalizable findings.</w:t>
      </w:r>
    </w:p>
    <w:p w14:paraId="57CD20C5" w14:textId="77777777" w:rsidR="005A47F4" w:rsidRDefault="005A47F4" w:rsidP="005A47F4">
      <w:pPr>
        <w:tabs>
          <w:tab w:val="left" w:pos="5136"/>
        </w:tabs>
        <w:jc w:val="both"/>
      </w:pPr>
    </w:p>
    <w:p w14:paraId="1F1ABA7E" w14:textId="736EFA15" w:rsidR="005A47F4" w:rsidRDefault="005A47F4" w:rsidP="005A47F4">
      <w:pPr>
        <w:tabs>
          <w:tab w:val="left" w:pos="5136"/>
        </w:tabs>
        <w:jc w:val="both"/>
      </w:pPr>
      <w:r>
        <w:t xml:space="preserve">This study takes a step into a quantitative understanding of PRISMA's user base by investigating the relation between research experience and level of standardization and aims at a better understanding of both. </w:t>
      </w:r>
    </w:p>
    <w:p w14:paraId="037CF3A4" w14:textId="77777777" w:rsidR="005A47F4" w:rsidRDefault="005A47F4" w:rsidP="005A47F4">
      <w:pPr>
        <w:tabs>
          <w:tab w:val="left" w:pos="5136"/>
        </w:tabs>
        <w:jc w:val="both"/>
      </w:pPr>
    </w:p>
    <w:p w14:paraId="5F713E40" w14:textId="7F605971" w:rsidR="005A47F4" w:rsidRDefault="005A47F4" w:rsidP="005A47F4">
      <w:pPr>
        <w:tabs>
          <w:tab w:val="left" w:pos="5136"/>
        </w:tabs>
        <w:jc w:val="both"/>
      </w:pPr>
      <w:r>
        <w:lastRenderedPageBreak/>
        <w:t>The level of standardization of scientific literature is approximated by making use of the review literature at which PRISMA tries to intervene. This type of scientific literature fueled early visions of the differentiation of scientific practices in which scientific reviewing becomes an own profession (Garfield 1977), a vision that further manifested with the rise of more standardized review types and the emergence of the Cochrane Collaboration and its descendants - influential and highly visible organizations that develop the most rigorous methods for research syntheses (Chalmers et al. 2005; Grant and Booth 2009). The research experience or academic age of authors can be understood and assessed in different ways but is usually done with respect to an author's publishing history (</w:t>
      </w:r>
      <w:r w:rsidRPr="00823E97">
        <w:rPr>
          <w:rStyle w:val="Hyperlink"/>
          <w:color w:val="auto"/>
          <w:u w:val="none"/>
        </w:rPr>
        <w:t>Sugimoto et al. 2016</w:t>
      </w:r>
      <w:r>
        <w:t>). Such analyses focus on individual careers in terms of ranges and productivity but are only occasionally used to make characterizations at meso or macro levels, for instance journals, institutes, or disciplines.</w:t>
      </w:r>
    </w:p>
    <w:p w14:paraId="47721A1B" w14:textId="77777777" w:rsidR="005A47F4" w:rsidRDefault="005A47F4" w:rsidP="005A47F4">
      <w:pPr>
        <w:tabs>
          <w:tab w:val="left" w:pos="5136"/>
        </w:tabs>
        <w:jc w:val="both"/>
      </w:pPr>
    </w:p>
    <w:p w14:paraId="166E0C39" w14:textId="77777777" w:rsidR="005A47F4" w:rsidRDefault="005A47F4" w:rsidP="005A47F4">
      <w:pPr>
        <w:tabs>
          <w:tab w:val="left" w:pos="5136"/>
        </w:tabs>
        <w:jc w:val="both"/>
      </w:pPr>
      <w:r>
        <w:t>This study aims to answer the research question "what are the differences between less experienced and more senior researchers in relation to their authorship of different review genres and levels of standardization, respectively?" And "what role does academic age play for the dynamics of standardization attempts?" These questions are motivated by the idea that new researchers make the most out of new standards and new ways to professionalize because this makes research projects doable and career paths most promiseful (Fujimura 1987). Based on this assumption, this study focuses on the following hypotheses: More standardized genres have more first-ever authors (A). Relatedly, more standardized review genres have lower academic ages in general (B) and PRISMA-citing systematic reviews have a lower academic age compared to systematic reviews that do not cite the guideline (C). Lastly, the average academic age of authorships increases with the age of the cited PRISMA version (D).</w:t>
      </w:r>
    </w:p>
    <w:p w14:paraId="58D4814C" w14:textId="77777777" w:rsidR="00E03487" w:rsidRDefault="00E03487">
      <w:pPr>
        <w:jc w:val="both"/>
      </w:pPr>
    </w:p>
    <w:p w14:paraId="7974EF73" w14:textId="7D494A1C" w:rsidR="008168F4" w:rsidRDefault="000C25AF">
      <w:pPr>
        <w:pStyle w:val="berschrift2"/>
        <w:jc w:val="both"/>
      </w:pPr>
      <w:r>
        <w:t xml:space="preserve">2. </w:t>
      </w:r>
      <w:r w:rsidR="005A47F4">
        <w:t>Data and Methods</w:t>
      </w:r>
    </w:p>
    <w:p w14:paraId="622A26DE" w14:textId="366E7BE8" w:rsidR="005A47F4" w:rsidRDefault="005A47F4" w:rsidP="005A47F4">
      <w:pPr>
        <w:jc w:val="both"/>
      </w:pPr>
      <w:r>
        <w:t>In a first step, data about document types and other characteristics were downloaded from the PubMed Baseline provided in December 2022 (Sayers et al. 2022). A Python script using Spyder and psycopg2 package retrieved data from the server, filtered it and stored it in a PostgreSQL database. Because publications are multi-classified in PubMed, a classification hierarchy was developed that makes use of the base as well as the types “Review” and “Systematic Review”. In addition, systematic reviews that were published in the Cochrane Library were reclassified as “Cochrane Systematic Reviews”. After matching these data with the in-house version of SCOPUS provided by the German Competence Network Bibliometrics (</w:t>
      </w:r>
      <w:hyperlink r:id="rId11" w:history="1">
        <w:r>
          <w:rPr>
            <w:rStyle w:val="Hyperlink"/>
          </w:rPr>
          <w:t>www.bibliometrie.info</w:t>
        </w:r>
      </w:hyperlink>
      <w:r>
        <w:t>), all systematic reviews that cited one of the many PRISMA documents have been identified and relabeled into an own category. After restricting, filtering, and cleaning, the resulting dataset consists of 1,203,687 reviews, 149,334 systematic reviews that do not cite the PRSMA guideline, 83,788 systematic reviews that cite any of the PRISMA versions, and 9891 Cochrane Reviews.</w:t>
      </w:r>
      <w:r>
        <w:rPr>
          <w:rStyle w:val="Funotenzeichen"/>
        </w:rPr>
        <w:footnoteReference w:id="1"/>
      </w:r>
      <w:r>
        <w:t xml:space="preserve"> </w:t>
      </w:r>
    </w:p>
    <w:p w14:paraId="47945703" w14:textId="77777777" w:rsidR="005A47F4" w:rsidRDefault="005A47F4" w:rsidP="005A47F4">
      <w:pPr>
        <w:jc w:val="both"/>
        <w:rPr>
          <w:sz w:val="22"/>
          <w:szCs w:val="22"/>
          <w:lang w:val="en-US" w:eastAsia="en-US"/>
        </w:rPr>
      </w:pPr>
    </w:p>
    <w:p w14:paraId="062205E4" w14:textId="77777777" w:rsidR="005A47F4" w:rsidRDefault="005A47F4" w:rsidP="005A47F4">
      <w:pPr>
        <w:jc w:val="both"/>
      </w:pPr>
      <w:r>
        <w:t xml:space="preserve">Academic age was calculated as the distance between an authors first publication year and the publication year of the focal </w:t>
      </w:r>
      <w:r w:rsidRPr="00823E97">
        <w:t>paper (</w:t>
      </w:r>
      <w:r w:rsidRPr="00823E97">
        <w:rPr>
          <w:rStyle w:val="Hyperlink"/>
          <w:color w:val="auto"/>
          <w:u w:val="none"/>
        </w:rPr>
        <w:t>Milojevic 2012</w:t>
      </w:r>
      <w:r w:rsidRPr="00823E97">
        <w:t>). It has an inclusive counting so that “1” is the lowest value which represents an author's first year of publishing experience. For the disambiguation of authors and the clustering of publication histories, Scopus AuthorID was used which is based on an algorithm that takes criteria such as affiliation, subject area, source titles and co-authors into account. In addition, it features a manual feedback system for validating assignments (</w:t>
      </w:r>
      <w:r w:rsidRPr="00823E97">
        <w:rPr>
          <w:rStyle w:val="Hyperlink"/>
          <w:color w:val="auto"/>
          <w:u w:val="none"/>
        </w:rPr>
        <w:t>Moed et al. 2013</w:t>
      </w:r>
      <w:r w:rsidRPr="00823E97">
        <w:t>). Kruskal</w:t>
      </w:r>
      <w:r>
        <w:t>-Wallis and Dunn tests for group comparisons as well as visualizations have been done in RStudio and the ggstatsplot package (Patil 2021).</w:t>
      </w:r>
    </w:p>
    <w:p w14:paraId="708F2ED4" w14:textId="77777777" w:rsidR="008168F4" w:rsidRDefault="008168F4">
      <w:pPr>
        <w:jc w:val="both"/>
      </w:pPr>
    </w:p>
    <w:p w14:paraId="40047A3F" w14:textId="5BB63122" w:rsidR="008168F4" w:rsidRDefault="000C25AF">
      <w:pPr>
        <w:pStyle w:val="berschrift2"/>
        <w:jc w:val="both"/>
      </w:pPr>
      <w:r>
        <w:t xml:space="preserve">3. </w:t>
      </w:r>
      <w:r w:rsidR="00874B95">
        <w:t>Results</w:t>
      </w:r>
    </w:p>
    <w:p w14:paraId="3DABE6C0" w14:textId="77777777" w:rsidR="00874B95" w:rsidRDefault="00874B95" w:rsidP="00874B95">
      <w:pPr>
        <w:jc w:val="both"/>
        <w:rPr>
          <w:sz w:val="22"/>
          <w:szCs w:val="22"/>
          <w:lang w:val="en-US" w:eastAsia="en-US"/>
        </w:rPr>
      </w:pPr>
      <w:r>
        <w:t>The dataset features 2,375,281 unique authors disambiguated by Scopus AuthorID’s. These have led to 4,724,590 different authorships of traditional or narrative review articles and 1,583,502 authorships of systematic reviews or Cochrane reviews. For all document types, most authorships are first year authorships, having an academic age of 1 as a highest value. Authorships generally decrease with growing academic ages with a seemingly lesser strength in the case of Cochrane reviews. Notably, there is a bump in authorship counts for the academic age of 14 due to the combination of almost no available data in Scopus prior to 1996 and this study’s first publication year of 2010.</w:t>
      </w:r>
    </w:p>
    <w:p w14:paraId="06C023A1" w14:textId="77777777" w:rsidR="00874B95" w:rsidRDefault="00874B95" w:rsidP="00874B95">
      <w:pPr>
        <w:jc w:val="both"/>
      </w:pPr>
    </w:p>
    <w:p w14:paraId="14237CBB" w14:textId="17532258" w:rsidR="00874B95" w:rsidRDefault="00874B95" w:rsidP="00874B95">
      <w:pPr>
        <w:jc w:val="both"/>
      </w:pPr>
    </w:p>
    <w:p w14:paraId="22337A99" w14:textId="59C20365" w:rsidR="00874B95" w:rsidRDefault="00874B95" w:rsidP="00874B95">
      <w:pPr>
        <w:jc w:val="center"/>
      </w:pPr>
      <w:r w:rsidRPr="00874B95">
        <w:t>Figure 1</w:t>
      </w:r>
      <w:r w:rsidRPr="00874B95">
        <w:t>.</w:t>
      </w:r>
      <w:r w:rsidRPr="00874B95">
        <w:t xml:space="preserve"> Number of authorships per academic age and different document.</w:t>
      </w:r>
    </w:p>
    <w:p w14:paraId="030911BC" w14:textId="77777777" w:rsidR="00874B95" w:rsidRPr="00874B95" w:rsidRDefault="00874B95" w:rsidP="00874B95">
      <w:pPr>
        <w:jc w:val="center"/>
        <w:rPr>
          <w:noProof/>
        </w:rPr>
      </w:pPr>
    </w:p>
    <w:p w14:paraId="3074CFFA" w14:textId="18493DA7" w:rsidR="00874B95" w:rsidRDefault="00463CB2" w:rsidP="00874B95">
      <w:pPr>
        <w:jc w:val="both"/>
      </w:pPr>
      <w:r>
        <w:rPr>
          <w:noProof/>
        </w:rPr>
        <w:drawing>
          <wp:inline distT="0" distB="0" distL="0" distR="0" wp14:anchorId="6B5959FD" wp14:editId="5AD77FA8">
            <wp:extent cx="5762625" cy="1438275"/>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1438275"/>
                    </a:xfrm>
                    <a:prstGeom prst="rect">
                      <a:avLst/>
                    </a:prstGeom>
                    <a:noFill/>
                    <a:ln>
                      <a:noFill/>
                    </a:ln>
                  </pic:spPr>
                </pic:pic>
              </a:graphicData>
            </a:graphic>
          </wp:inline>
        </w:drawing>
      </w:r>
    </w:p>
    <w:p w14:paraId="60417890" w14:textId="77777777" w:rsidR="00874B95" w:rsidRDefault="00874B95" w:rsidP="00874B95">
      <w:pPr>
        <w:jc w:val="both"/>
      </w:pPr>
    </w:p>
    <w:p w14:paraId="0C5B6C96" w14:textId="05B3C327" w:rsidR="00874B95" w:rsidRDefault="00874B95" w:rsidP="00874B95">
      <w:pPr>
        <w:jc w:val="both"/>
      </w:pPr>
      <w:r>
        <w:t>The different types of review articles offer very different authorship profiles (Table 1). While the sizes of authoring teams are similar for systematic reviews in general (6.16 and 6.81), teams are smaller in the case of Cochrane reviews (4.92) and smallest for more traditional review articles (3.92).</w:t>
      </w:r>
    </w:p>
    <w:p w14:paraId="5C525B00" w14:textId="77777777" w:rsidR="00874B95" w:rsidRDefault="00874B95" w:rsidP="00874B95">
      <w:pPr>
        <w:jc w:val="both"/>
      </w:pPr>
    </w:p>
    <w:p w14:paraId="2A6163E6" w14:textId="5E79F2CE" w:rsidR="00874B95" w:rsidRDefault="00874B95" w:rsidP="00874B95">
      <w:pPr>
        <w:jc w:val="both"/>
      </w:pPr>
      <w:r>
        <w:t xml:space="preserve">Authorships of systematic reviews, whether citing PRISMA or not, have the highest rate of first ever authorships with an academic age of 1 (15%, </w:t>
      </w:r>
      <w:r>
        <w:rPr>
          <w:i/>
          <w:iCs/>
        </w:rPr>
        <w:t>RR</w:t>
      </w:r>
      <w:r>
        <w:t xml:space="preserve"> = 1.24 compared to reviews), which partly confirms hypothesis (A). While traditional reviews have a slightly slower rate (12%), only very few authors of Cochrane reviews which is considered as the most standardized review genre, are in their first year of publishing (7%, </w:t>
      </w:r>
      <w:r>
        <w:rPr>
          <w:i/>
          <w:iCs/>
        </w:rPr>
        <w:t>RR</w:t>
      </w:r>
      <w:r>
        <w:t xml:space="preserve"> = 0.58 compared to reviews).</w:t>
      </w:r>
    </w:p>
    <w:p w14:paraId="0764A095" w14:textId="77777777" w:rsidR="00874B95" w:rsidRDefault="00874B95" w:rsidP="00874B95">
      <w:pPr>
        <w:jc w:val="both"/>
      </w:pPr>
    </w:p>
    <w:p w14:paraId="75424B3D" w14:textId="3DEC7F08" w:rsidR="00874B95" w:rsidRDefault="00874B95" w:rsidP="00874B95">
      <w:pPr>
        <w:jc w:val="both"/>
      </w:pPr>
      <w:r>
        <w:t xml:space="preserve">Although differences in median academig age between the different levels of standardization are overall significant for all authorship types, there is no decrease with increasing standardization. With traditional reviews and Cochrane reviews both having a median academic age of 12, hypothesis (B) </w:t>
      </w:r>
      <w:proofErr w:type="gramStart"/>
      <w:r>
        <w:t>has to</w:t>
      </w:r>
      <w:proofErr w:type="gramEnd"/>
      <w:r>
        <w:t xml:space="preserve"> be droppted. However, the progression holds true for PRISMA-citing systematic reviews with a median academic age of 9, to 10 for those without PRISMA citation, up to 12 for traditional reviews for all authors combined, thereby confirming hypothesis (C). </w:t>
      </w:r>
    </w:p>
    <w:p w14:paraId="34D2367D" w14:textId="7F81386A" w:rsidR="004E4DE4" w:rsidRDefault="004E4DE4" w:rsidP="00874B95">
      <w:pPr>
        <w:jc w:val="both"/>
      </w:pPr>
    </w:p>
    <w:p w14:paraId="1B5E4700" w14:textId="0AD694A8" w:rsidR="004E4DE4" w:rsidRDefault="004E4DE4" w:rsidP="00874B95">
      <w:pPr>
        <w:jc w:val="both"/>
      </w:pPr>
    </w:p>
    <w:p w14:paraId="6511B9B6" w14:textId="740E5C4C" w:rsidR="004E4DE4" w:rsidRDefault="004E4DE4" w:rsidP="00874B95">
      <w:pPr>
        <w:jc w:val="both"/>
      </w:pPr>
    </w:p>
    <w:p w14:paraId="65F7C000" w14:textId="77777777" w:rsidR="004E4DE4" w:rsidRDefault="004E4DE4" w:rsidP="00874B95">
      <w:pPr>
        <w:jc w:val="both"/>
      </w:pPr>
    </w:p>
    <w:p w14:paraId="0B4D5774" w14:textId="5BFEA967" w:rsidR="00874B95" w:rsidRDefault="00874B95" w:rsidP="00874B95">
      <w:pPr>
        <w:jc w:val="both"/>
      </w:pPr>
    </w:p>
    <w:p w14:paraId="6C8DAB85" w14:textId="77777777" w:rsidR="004E4DE4" w:rsidRDefault="004E4DE4" w:rsidP="00874B95">
      <w:pPr>
        <w:jc w:val="center"/>
        <w:sectPr w:rsidR="004E4DE4" w:rsidSect="00E33403">
          <w:pgSz w:w="11907" w:h="16839" w:code="9"/>
          <w:pgMar w:top="1418" w:right="1418" w:bottom="1418" w:left="1418" w:header="709" w:footer="709" w:gutter="0"/>
          <w:cols w:space="708"/>
          <w:titlePg/>
          <w:docGrid w:linePitch="360"/>
        </w:sectPr>
      </w:pPr>
    </w:p>
    <w:p w14:paraId="3120AD05" w14:textId="52B4CAAF" w:rsidR="00874B95" w:rsidRPr="00874B95" w:rsidRDefault="00874B95" w:rsidP="00874B95">
      <w:pPr>
        <w:jc w:val="center"/>
      </w:pPr>
      <w:r w:rsidRPr="00874B95">
        <w:lastRenderedPageBreak/>
        <w:t>Table 1</w:t>
      </w:r>
      <w:r>
        <w:t>.</w:t>
      </w:r>
      <w:r w:rsidRPr="00874B95">
        <w:t xml:space="preserve"> Main configurations of academic age values for the different document types or levels of standardization. Separated by type of authorship.</w:t>
      </w:r>
    </w:p>
    <w:p w14:paraId="20516AC5" w14:textId="5A4FAEA9" w:rsidR="00874B95" w:rsidRDefault="00874B95" w:rsidP="00874B95">
      <w:pPr>
        <w:jc w:val="both"/>
      </w:pPr>
    </w:p>
    <w:tbl>
      <w:tblPr>
        <w:tblStyle w:val="Tabellenraster"/>
        <w:tblpPr w:leftFromText="180" w:rightFromText="180" w:vertAnchor="text" w:horzAnchor="margin" w:tblpXSpec="center" w:tblpY="174"/>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41"/>
        <w:gridCol w:w="1134"/>
        <w:gridCol w:w="142"/>
        <w:gridCol w:w="1418"/>
        <w:gridCol w:w="283"/>
        <w:gridCol w:w="992"/>
        <w:gridCol w:w="567"/>
        <w:gridCol w:w="567"/>
        <w:gridCol w:w="567"/>
        <w:gridCol w:w="284"/>
        <w:gridCol w:w="992"/>
        <w:gridCol w:w="567"/>
        <w:gridCol w:w="567"/>
        <w:gridCol w:w="567"/>
        <w:gridCol w:w="284"/>
        <w:gridCol w:w="992"/>
        <w:gridCol w:w="567"/>
        <w:gridCol w:w="567"/>
        <w:gridCol w:w="567"/>
      </w:tblGrid>
      <w:tr w:rsidR="00E32C3E" w14:paraId="1B3B2121" w14:textId="77777777" w:rsidTr="004103E0">
        <w:trPr>
          <w:trHeight w:val="306"/>
        </w:trPr>
        <w:tc>
          <w:tcPr>
            <w:tcW w:w="2943" w:type="dxa"/>
            <w:gridSpan w:val="2"/>
            <w:tcBorders>
              <w:top w:val="single" w:sz="8" w:space="0" w:color="auto"/>
            </w:tcBorders>
          </w:tcPr>
          <w:p w14:paraId="52610B02" w14:textId="77777777" w:rsidR="00E32C3E" w:rsidRPr="00A34320" w:rsidRDefault="00E32C3E" w:rsidP="00E32C3E">
            <w:pPr>
              <w:jc w:val="both"/>
              <w:rPr>
                <w:sz w:val="20"/>
                <w:szCs w:val="20"/>
              </w:rPr>
            </w:pPr>
          </w:p>
        </w:tc>
        <w:tc>
          <w:tcPr>
            <w:tcW w:w="1134" w:type="dxa"/>
            <w:tcBorders>
              <w:top w:val="single" w:sz="8" w:space="0" w:color="auto"/>
            </w:tcBorders>
          </w:tcPr>
          <w:p w14:paraId="6FF01BE6" w14:textId="77777777" w:rsidR="00E32C3E" w:rsidRPr="00A34320" w:rsidRDefault="00E32C3E" w:rsidP="00E32C3E">
            <w:pPr>
              <w:jc w:val="right"/>
              <w:rPr>
                <w:sz w:val="20"/>
                <w:szCs w:val="20"/>
              </w:rPr>
            </w:pPr>
          </w:p>
        </w:tc>
        <w:tc>
          <w:tcPr>
            <w:tcW w:w="1560" w:type="dxa"/>
            <w:gridSpan w:val="2"/>
            <w:tcBorders>
              <w:top w:val="single" w:sz="8" w:space="0" w:color="auto"/>
            </w:tcBorders>
          </w:tcPr>
          <w:p w14:paraId="696B2E07" w14:textId="77777777" w:rsidR="00E32C3E" w:rsidRPr="00A34320" w:rsidRDefault="00E32C3E" w:rsidP="00E32C3E">
            <w:pPr>
              <w:jc w:val="right"/>
              <w:rPr>
                <w:sz w:val="20"/>
                <w:szCs w:val="20"/>
              </w:rPr>
            </w:pPr>
          </w:p>
        </w:tc>
        <w:tc>
          <w:tcPr>
            <w:tcW w:w="283" w:type="dxa"/>
            <w:tcBorders>
              <w:top w:val="single" w:sz="8" w:space="0" w:color="auto"/>
            </w:tcBorders>
          </w:tcPr>
          <w:p w14:paraId="7A8DF091" w14:textId="77777777" w:rsidR="00E32C3E" w:rsidRPr="00A34320" w:rsidRDefault="00E32C3E" w:rsidP="00E32C3E">
            <w:pPr>
              <w:jc w:val="both"/>
              <w:rPr>
                <w:sz w:val="20"/>
                <w:szCs w:val="20"/>
              </w:rPr>
            </w:pPr>
          </w:p>
        </w:tc>
        <w:tc>
          <w:tcPr>
            <w:tcW w:w="2693" w:type="dxa"/>
            <w:gridSpan w:val="4"/>
            <w:tcBorders>
              <w:top w:val="single" w:sz="8" w:space="0" w:color="auto"/>
              <w:bottom w:val="single" w:sz="8" w:space="0" w:color="auto"/>
            </w:tcBorders>
          </w:tcPr>
          <w:p w14:paraId="4FD1BCE6" w14:textId="1CBC3019" w:rsidR="00E32C3E" w:rsidRPr="00A34320" w:rsidRDefault="00E32C3E" w:rsidP="004103E0">
            <w:pPr>
              <w:rPr>
                <w:sz w:val="20"/>
                <w:szCs w:val="20"/>
              </w:rPr>
            </w:pPr>
            <w:r w:rsidRPr="00A34320">
              <w:rPr>
                <w:sz w:val="20"/>
                <w:szCs w:val="20"/>
              </w:rPr>
              <w:t>First authors</w:t>
            </w:r>
          </w:p>
        </w:tc>
        <w:tc>
          <w:tcPr>
            <w:tcW w:w="284" w:type="dxa"/>
            <w:tcBorders>
              <w:top w:val="single" w:sz="8" w:space="0" w:color="auto"/>
            </w:tcBorders>
          </w:tcPr>
          <w:p w14:paraId="3C48B526" w14:textId="77777777" w:rsidR="00E32C3E" w:rsidRPr="00A34320" w:rsidRDefault="00E32C3E" w:rsidP="00E32C3E">
            <w:pPr>
              <w:jc w:val="both"/>
              <w:rPr>
                <w:sz w:val="20"/>
                <w:szCs w:val="20"/>
              </w:rPr>
            </w:pPr>
          </w:p>
        </w:tc>
        <w:tc>
          <w:tcPr>
            <w:tcW w:w="2693" w:type="dxa"/>
            <w:gridSpan w:val="4"/>
            <w:tcBorders>
              <w:top w:val="single" w:sz="8" w:space="0" w:color="auto"/>
              <w:bottom w:val="single" w:sz="8" w:space="0" w:color="auto"/>
            </w:tcBorders>
          </w:tcPr>
          <w:p w14:paraId="4C5A345E" w14:textId="77777777" w:rsidR="00E32C3E" w:rsidRPr="00A34320" w:rsidRDefault="00E32C3E" w:rsidP="00E32C3E">
            <w:pPr>
              <w:jc w:val="both"/>
              <w:rPr>
                <w:sz w:val="20"/>
                <w:szCs w:val="20"/>
              </w:rPr>
            </w:pPr>
            <w:r w:rsidRPr="00A34320">
              <w:rPr>
                <w:sz w:val="20"/>
                <w:szCs w:val="20"/>
              </w:rPr>
              <w:t>Last authors</w:t>
            </w:r>
          </w:p>
        </w:tc>
        <w:tc>
          <w:tcPr>
            <w:tcW w:w="284" w:type="dxa"/>
            <w:tcBorders>
              <w:top w:val="single" w:sz="8" w:space="0" w:color="auto"/>
            </w:tcBorders>
          </w:tcPr>
          <w:p w14:paraId="3B97D184" w14:textId="77777777" w:rsidR="00E32C3E" w:rsidRPr="00A34320" w:rsidRDefault="00E32C3E" w:rsidP="00E32C3E">
            <w:pPr>
              <w:jc w:val="both"/>
              <w:rPr>
                <w:sz w:val="20"/>
                <w:szCs w:val="20"/>
              </w:rPr>
            </w:pPr>
          </w:p>
        </w:tc>
        <w:tc>
          <w:tcPr>
            <w:tcW w:w="2693" w:type="dxa"/>
            <w:gridSpan w:val="4"/>
            <w:tcBorders>
              <w:top w:val="single" w:sz="8" w:space="0" w:color="auto"/>
              <w:bottom w:val="single" w:sz="8" w:space="0" w:color="auto"/>
            </w:tcBorders>
          </w:tcPr>
          <w:p w14:paraId="4A4D86D9" w14:textId="77777777" w:rsidR="00E32C3E" w:rsidRPr="00A34320" w:rsidRDefault="00E32C3E" w:rsidP="00E32C3E">
            <w:pPr>
              <w:jc w:val="both"/>
              <w:rPr>
                <w:sz w:val="20"/>
                <w:szCs w:val="20"/>
              </w:rPr>
            </w:pPr>
            <w:r w:rsidRPr="00A34320">
              <w:rPr>
                <w:sz w:val="20"/>
                <w:szCs w:val="20"/>
              </w:rPr>
              <w:t>All authors</w:t>
            </w:r>
          </w:p>
        </w:tc>
      </w:tr>
      <w:tr w:rsidR="00E32C3E" w14:paraId="588D0A1C" w14:textId="77777777" w:rsidTr="004103E0">
        <w:trPr>
          <w:cantSplit/>
          <w:trHeight w:val="1241"/>
        </w:trPr>
        <w:tc>
          <w:tcPr>
            <w:tcW w:w="2802" w:type="dxa"/>
            <w:tcBorders>
              <w:bottom w:val="single" w:sz="18" w:space="0" w:color="auto"/>
            </w:tcBorders>
          </w:tcPr>
          <w:p w14:paraId="4672B0DA" w14:textId="77777777" w:rsidR="00E32C3E" w:rsidRPr="00203C51" w:rsidRDefault="00E32C3E" w:rsidP="00E32C3E">
            <w:pPr>
              <w:rPr>
                <w:sz w:val="20"/>
                <w:szCs w:val="20"/>
              </w:rPr>
            </w:pPr>
            <w:r w:rsidRPr="00203C51">
              <w:rPr>
                <w:sz w:val="20"/>
                <w:szCs w:val="20"/>
              </w:rPr>
              <w:t>Document type</w:t>
            </w:r>
          </w:p>
        </w:tc>
        <w:tc>
          <w:tcPr>
            <w:tcW w:w="1417" w:type="dxa"/>
            <w:gridSpan w:val="3"/>
            <w:tcBorders>
              <w:bottom w:val="single" w:sz="18" w:space="0" w:color="auto"/>
            </w:tcBorders>
          </w:tcPr>
          <w:p w14:paraId="38F76813" w14:textId="77777777" w:rsidR="00E32C3E" w:rsidRPr="00203C51" w:rsidRDefault="00E32C3E" w:rsidP="00463CB2">
            <w:pPr>
              <w:jc w:val="center"/>
              <w:rPr>
                <w:sz w:val="20"/>
                <w:szCs w:val="20"/>
              </w:rPr>
            </w:pPr>
            <w:r>
              <w:rPr>
                <w:sz w:val="20"/>
                <w:szCs w:val="20"/>
              </w:rPr>
              <w:t>Number</w:t>
            </w:r>
            <w:r w:rsidRPr="00203C51">
              <w:rPr>
                <w:sz w:val="20"/>
                <w:szCs w:val="20"/>
              </w:rPr>
              <w:t xml:space="preserve"> of unique publications</w:t>
            </w:r>
          </w:p>
        </w:tc>
        <w:tc>
          <w:tcPr>
            <w:tcW w:w="1418" w:type="dxa"/>
            <w:tcBorders>
              <w:bottom w:val="single" w:sz="18" w:space="0" w:color="auto"/>
            </w:tcBorders>
          </w:tcPr>
          <w:p w14:paraId="06606252" w14:textId="77777777" w:rsidR="00E32C3E" w:rsidRPr="00203C51" w:rsidRDefault="00E32C3E" w:rsidP="004103E0">
            <w:pPr>
              <w:jc w:val="center"/>
              <w:rPr>
                <w:sz w:val="20"/>
                <w:szCs w:val="20"/>
              </w:rPr>
            </w:pPr>
            <w:r>
              <w:rPr>
                <w:sz w:val="20"/>
                <w:szCs w:val="20"/>
              </w:rPr>
              <w:t>Authorships per publication</w:t>
            </w:r>
          </w:p>
        </w:tc>
        <w:tc>
          <w:tcPr>
            <w:tcW w:w="283" w:type="dxa"/>
            <w:tcBorders>
              <w:bottom w:val="single" w:sz="18" w:space="0" w:color="auto"/>
            </w:tcBorders>
          </w:tcPr>
          <w:p w14:paraId="309F5BC8" w14:textId="77777777" w:rsidR="00E32C3E" w:rsidRPr="00203C51" w:rsidRDefault="00E32C3E" w:rsidP="00E32C3E">
            <w:pPr>
              <w:jc w:val="right"/>
              <w:rPr>
                <w:sz w:val="20"/>
                <w:szCs w:val="20"/>
              </w:rPr>
            </w:pPr>
          </w:p>
        </w:tc>
        <w:tc>
          <w:tcPr>
            <w:tcW w:w="992" w:type="dxa"/>
            <w:tcBorders>
              <w:top w:val="single" w:sz="8" w:space="0" w:color="auto"/>
              <w:bottom w:val="single" w:sz="18" w:space="0" w:color="auto"/>
            </w:tcBorders>
          </w:tcPr>
          <w:p w14:paraId="3AA886DB" w14:textId="3252E170" w:rsidR="00E32C3E" w:rsidRPr="00203C51" w:rsidRDefault="00E32C3E" w:rsidP="004103E0">
            <w:pPr>
              <w:jc w:val="center"/>
              <w:rPr>
                <w:sz w:val="20"/>
                <w:szCs w:val="20"/>
              </w:rPr>
            </w:pPr>
            <w:r w:rsidRPr="00203C51">
              <w:rPr>
                <w:sz w:val="20"/>
                <w:szCs w:val="20"/>
              </w:rPr>
              <w:t>First ever</w:t>
            </w:r>
          </w:p>
          <w:p w14:paraId="6E4A59B2" w14:textId="77777777" w:rsidR="00E32C3E" w:rsidRPr="00203C51" w:rsidRDefault="00E32C3E" w:rsidP="004103E0">
            <w:pPr>
              <w:jc w:val="center"/>
              <w:rPr>
                <w:sz w:val="20"/>
                <w:szCs w:val="20"/>
              </w:rPr>
            </w:pPr>
            <w:r w:rsidRPr="00203C51">
              <w:rPr>
                <w:sz w:val="20"/>
                <w:szCs w:val="20"/>
              </w:rPr>
              <w:t>authors</w:t>
            </w:r>
          </w:p>
        </w:tc>
        <w:tc>
          <w:tcPr>
            <w:tcW w:w="567" w:type="dxa"/>
            <w:tcBorders>
              <w:top w:val="single" w:sz="8" w:space="0" w:color="auto"/>
              <w:bottom w:val="single" w:sz="18" w:space="0" w:color="auto"/>
            </w:tcBorders>
          </w:tcPr>
          <w:p w14:paraId="355FEF36" w14:textId="77777777" w:rsidR="00E32C3E" w:rsidRPr="00203C51" w:rsidRDefault="00E32C3E" w:rsidP="004103E0">
            <w:pPr>
              <w:jc w:val="center"/>
              <w:rPr>
                <w:sz w:val="20"/>
                <w:szCs w:val="20"/>
              </w:rPr>
            </w:pPr>
            <w:r w:rsidRPr="00203C51">
              <w:rPr>
                <w:sz w:val="20"/>
                <w:szCs w:val="20"/>
              </w:rPr>
              <w:t>Q1</w:t>
            </w:r>
          </w:p>
        </w:tc>
        <w:tc>
          <w:tcPr>
            <w:tcW w:w="567" w:type="dxa"/>
            <w:tcBorders>
              <w:top w:val="single" w:sz="8" w:space="0" w:color="auto"/>
              <w:bottom w:val="single" w:sz="18" w:space="0" w:color="auto"/>
            </w:tcBorders>
          </w:tcPr>
          <w:p w14:paraId="3C68B3AC" w14:textId="77777777" w:rsidR="00E32C3E" w:rsidRPr="00203C51" w:rsidRDefault="00E32C3E" w:rsidP="004103E0">
            <w:pPr>
              <w:jc w:val="center"/>
              <w:rPr>
                <w:sz w:val="20"/>
                <w:szCs w:val="20"/>
              </w:rPr>
            </w:pPr>
            <w:r w:rsidRPr="00203C51">
              <w:rPr>
                <w:sz w:val="20"/>
                <w:szCs w:val="20"/>
              </w:rPr>
              <w:t>Q2</w:t>
            </w:r>
          </w:p>
        </w:tc>
        <w:tc>
          <w:tcPr>
            <w:tcW w:w="567" w:type="dxa"/>
            <w:tcBorders>
              <w:top w:val="single" w:sz="8" w:space="0" w:color="auto"/>
              <w:bottom w:val="single" w:sz="18" w:space="0" w:color="auto"/>
            </w:tcBorders>
          </w:tcPr>
          <w:p w14:paraId="17C1AB26" w14:textId="77777777" w:rsidR="00E32C3E" w:rsidRPr="00203C51" w:rsidRDefault="00E32C3E" w:rsidP="004103E0">
            <w:pPr>
              <w:jc w:val="center"/>
              <w:rPr>
                <w:sz w:val="20"/>
                <w:szCs w:val="20"/>
              </w:rPr>
            </w:pPr>
            <w:r w:rsidRPr="00203C51">
              <w:rPr>
                <w:sz w:val="20"/>
                <w:szCs w:val="20"/>
              </w:rPr>
              <w:t>Q3</w:t>
            </w:r>
          </w:p>
        </w:tc>
        <w:tc>
          <w:tcPr>
            <w:tcW w:w="284" w:type="dxa"/>
            <w:tcBorders>
              <w:bottom w:val="single" w:sz="18" w:space="0" w:color="auto"/>
            </w:tcBorders>
          </w:tcPr>
          <w:p w14:paraId="7BCF863A" w14:textId="77777777" w:rsidR="00E32C3E" w:rsidRPr="00203C51" w:rsidRDefault="00E32C3E" w:rsidP="00E32C3E">
            <w:pPr>
              <w:jc w:val="right"/>
              <w:rPr>
                <w:sz w:val="20"/>
                <w:szCs w:val="20"/>
              </w:rPr>
            </w:pPr>
          </w:p>
        </w:tc>
        <w:tc>
          <w:tcPr>
            <w:tcW w:w="992" w:type="dxa"/>
            <w:tcBorders>
              <w:top w:val="single" w:sz="8" w:space="0" w:color="auto"/>
              <w:bottom w:val="single" w:sz="18" w:space="0" w:color="auto"/>
            </w:tcBorders>
          </w:tcPr>
          <w:p w14:paraId="635D4C77" w14:textId="77777777" w:rsidR="00E32C3E" w:rsidRPr="00203C51" w:rsidRDefault="00E32C3E" w:rsidP="004103E0">
            <w:pPr>
              <w:jc w:val="center"/>
              <w:rPr>
                <w:sz w:val="20"/>
                <w:szCs w:val="20"/>
              </w:rPr>
            </w:pPr>
            <w:r w:rsidRPr="00203C51">
              <w:rPr>
                <w:sz w:val="20"/>
                <w:szCs w:val="20"/>
              </w:rPr>
              <w:t>First ever</w:t>
            </w:r>
          </w:p>
          <w:p w14:paraId="0D4B5291" w14:textId="77777777" w:rsidR="00E32C3E" w:rsidRPr="00203C51" w:rsidRDefault="00E32C3E" w:rsidP="004103E0">
            <w:pPr>
              <w:jc w:val="center"/>
              <w:rPr>
                <w:sz w:val="20"/>
                <w:szCs w:val="20"/>
              </w:rPr>
            </w:pPr>
            <w:r w:rsidRPr="00203C51">
              <w:rPr>
                <w:sz w:val="20"/>
                <w:szCs w:val="20"/>
              </w:rPr>
              <w:t>authors</w:t>
            </w:r>
          </w:p>
        </w:tc>
        <w:tc>
          <w:tcPr>
            <w:tcW w:w="567" w:type="dxa"/>
            <w:tcBorders>
              <w:top w:val="single" w:sz="8" w:space="0" w:color="auto"/>
              <w:bottom w:val="single" w:sz="18" w:space="0" w:color="auto"/>
            </w:tcBorders>
          </w:tcPr>
          <w:p w14:paraId="1DAB3648" w14:textId="77777777" w:rsidR="00E32C3E" w:rsidRPr="00203C51" w:rsidRDefault="00E32C3E" w:rsidP="004103E0">
            <w:pPr>
              <w:jc w:val="center"/>
              <w:rPr>
                <w:sz w:val="20"/>
                <w:szCs w:val="20"/>
              </w:rPr>
            </w:pPr>
            <w:r w:rsidRPr="00203C51">
              <w:rPr>
                <w:sz w:val="20"/>
                <w:szCs w:val="20"/>
              </w:rPr>
              <w:t>Q1</w:t>
            </w:r>
          </w:p>
        </w:tc>
        <w:tc>
          <w:tcPr>
            <w:tcW w:w="567" w:type="dxa"/>
            <w:tcBorders>
              <w:top w:val="single" w:sz="8" w:space="0" w:color="auto"/>
              <w:bottom w:val="single" w:sz="18" w:space="0" w:color="auto"/>
            </w:tcBorders>
          </w:tcPr>
          <w:p w14:paraId="4C4E2513" w14:textId="77777777" w:rsidR="00E32C3E" w:rsidRPr="00203C51" w:rsidRDefault="00E32C3E" w:rsidP="004103E0">
            <w:pPr>
              <w:jc w:val="center"/>
              <w:rPr>
                <w:sz w:val="20"/>
                <w:szCs w:val="20"/>
              </w:rPr>
            </w:pPr>
            <w:r w:rsidRPr="00203C51">
              <w:rPr>
                <w:sz w:val="20"/>
                <w:szCs w:val="20"/>
              </w:rPr>
              <w:t>Q2</w:t>
            </w:r>
          </w:p>
        </w:tc>
        <w:tc>
          <w:tcPr>
            <w:tcW w:w="567" w:type="dxa"/>
            <w:tcBorders>
              <w:top w:val="single" w:sz="8" w:space="0" w:color="auto"/>
              <w:bottom w:val="single" w:sz="18" w:space="0" w:color="auto"/>
            </w:tcBorders>
          </w:tcPr>
          <w:p w14:paraId="6CF1173A" w14:textId="77777777" w:rsidR="00E32C3E" w:rsidRPr="00203C51" w:rsidRDefault="00E32C3E" w:rsidP="004103E0">
            <w:pPr>
              <w:jc w:val="center"/>
              <w:rPr>
                <w:sz w:val="20"/>
                <w:szCs w:val="20"/>
              </w:rPr>
            </w:pPr>
            <w:r w:rsidRPr="00203C51">
              <w:rPr>
                <w:sz w:val="20"/>
                <w:szCs w:val="20"/>
              </w:rPr>
              <w:t>Q3</w:t>
            </w:r>
          </w:p>
        </w:tc>
        <w:tc>
          <w:tcPr>
            <w:tcW w:w="284" w:type="dxa"/>
            <w:tcBorders>
              <w:bottom w:val="single" w:sz="18" w:space="0" w:color="auto"/>
            </w:tcBorders>
          </w:tcPr>
          <w:p w14:paraId="7814F74A" w14:textId="77777777" w:rsidR="00E32C3E" w:rsidRPr="00203C51" w:rsidRDefault="00E32C3E" w:rsidP="00E32C3E">
            <w:pPr>
              <w:jc w:val="center"/>
              <w:rPr>
                <w:sz w:val="20"/>
                <w:szCs w:val="20"/>
              </w:rPr>
            </w:pPr>
          </w:p>
        </w:tc>
        <w:tc>
          <w:tcPr>
            <w:tcW w:w="992" w:type="dxa"/>
            <w:tcBorders>
              <w:top w:val="single" w:sz="8" w:space="0" w:color="auto"/>
              <w:bottom w:val="single" w:sz="18" w:space="0" w:color="auto"/>
            </w:tcBorders>
          </w:tcPr>
          <w:p w14:paraId="575FCF63" w14:textId="77777777" w:rsidR="00E32C3E" w:rsidRPr="00203C51" w:rsidRDefault="00E32C3E" w:rsidP="004103E0">
            <w:pPr>
              <w:jc w:val="center"/>
              <w:rPr>
                <w:sz w:val="20"/>
                <w:szCs w:val="20"/>
              </w:rPr>
            </w:pPr>
            <w:r w:rsidRPr="00203C51">
              <w:rPr>
                <w:sz w:val="20"/>
                <w:szCs w:val="20"/>
              </w:rPr>
              <w:t>First ever</w:t>
            </w:r>
          </w:p>
          <w:p w14:paraId="11A3EC66" w14:textId="77777777" w:rsidR="00E32C3E" w:rsidRPr="00203C51" w:rsidRDefault="00E32C3E" w:rsidP="004103E0">
            <w:pPr>
              <w:jc w:val="center"/>
              <w:rPr>
                <w:sz w:val="20"/>
                <w:szCs w:val="20"/>
              </w:rPr>
            </w:pPr>
            <w:r w:rsidRPr="00203C51">
              <w:rPr>
                <w:sz w:val="20"/>
                <w:szCs w:val="20"/>
              </w:rPr>
              <w:t>authors</w:t>
            </w:r>
          </w:p>
        </w:tc>
        <w:tc>
          <w:tcPr>
            <w:tcW w:w="567" w:type="dxa"/>
            <w:tcBorders>
              <w:top w:val="single" w:sz="8" w:space="0" w:color="auto"/>
              <w:bottom w:val="single" w:sz="18" w:space="0" w:color="auto"/>
            </w:tcBorders>
          </w:tcPr>
          <w:p w14:paraId="58B0B9F4" w14:textId="77777777" w:rsidR="00E32C3E" w:rsidRPr="00203C51" w:rsidRDefault="00E32C3E" w:rsidP="004103E0">
            <w:pPr>
              <w:jc w:val="center"/>
              <w:rPr>
                <w:sz w:val="20"/>
                <w:szCs w:val="20"/>
              </w:rPr>
            </w:pPr>
            <w:r w:rsidRPr="00203C51">
              <w:rPr>
                <w:sz w:val="20"/>
                <w:szCs w:val="20"/>
              </w:rPr>
              <w:t>Q1</w:t>
            </w:r>
          </w:p>
        </w:tc>
        <w:tc>
          <w:tcPr>
            <w:tcW w:w="567" w:type="dxa"/>
            <w:tcBorders>
              <w:top w:val="single" w:sz="8" w:space="0" w:color="auto"/>
              <w:bottom w:val="single" w:sz="18" w:space="0" w:color="auto"/>
            </w:tcBorders>
          </w:tcPr>
          <w:p w14:paraId="0EDAA8A0" w14:textId="77777777" w:rsidR="00E32C3E" w:rsidRPr="00203C51" w:rsidRDefault="00E32C3E" w:rsidP="004103E0">
            <w:pPr>
              <w:jc w:val="center"/>
              <w:rPr>
                <w:sz w:val="20"/>
                <w:szCs w:val="20"/>
              </w:rPr>
            </w:pPr>
            <w:r w:rsidRPr="00203C51">
              <w:rPr>
                <w:sz w:val="20"/>
                <w:szCs w:val="20"/>
              </w:rPr>
              <w:t>Q2</w:t>
            </w:r>
          </w:p>
        </w:tc>
        <w:tc>
          <w:tcPr>
            <w:tcW w:w="567" w:type="dxa"/>
            <w:tcBorders>
              <w:top w:val="single" w:sz="8" w:space="0" w:color="auto"/>
              <w:bottom w:val="single" w:sz="18" w:space="0" w:color="auto"/>
            </w:tcBorders>
          </w:tcPr>
          <w:p w14:paraId="7583B393" w14:textId="77777777" w:rsidR="00E32C3E" w:rsidRPr="00203C51" w:rsidRDefault="00E32C3E" w:rsidP="004103E0">
            <w:pPr>
              <w:jc w:val="center"/>
              <w:rPr>
                <w:sz w:val="20"/>
                <w:szCs w:val="20"/>
              </w:rPr>
            </w:pPr>
            <w:r w:rsidRPr="00203C51">
              <w:rPr>
                <w:sz w:val="20"/>
                <w:szCs w:val="20"/>
              </w:rPr>
              <w:t>Q3</w:t>
            </w:r>
          </w:p>
        </w:tc>
      </w:tr>
      <w:tr w:rsidR="00E32C3E" w14:paraId="67F284B0" w14:textId="77777777" w:rsidTr="004103E0">
        <w:trPr>
          <w:trHeight w:val="409"/>
        </w:trPr>
        <w:tc>
          <w:tcPr>
            <w:tcW w:w="2943" w:type="dxa"/>
            <w:gridSpan w:val="2"/>
            <w:tcBorders>
              <w:top w:val="single" w:sz="18" w:space="0" w:color="auto"/>
            </w:tcBorders>
          </w:tcPr>
          <w:p w14:paraId="35C9A9D1" w14:textId="133332FD" w:rsidR="004103E0" w:rsidRPr="00E32C3E" w:rsidRDefault="00E32C3E" w:rsidP="004103E0">
            <w:pPr>
              <w:spacing w:line="360" w:lineRule="auto"/>
              <w:rPr>
                <w:sz w:val="22"/>
                <w:szCs w:val="22"/>
              </w:rPr>
            </w:pPr>
            <w:r w:rsidRPr="00E32C3E">
              <w:rPr>
                <w:sz w:val="22"/>
                <w:szCs w:val="22"/>
              </w:rPr>
              <w:t>Review</w:t>
            </w:r>
          </w:p>
        </w:tc>
        <w:tc>
          <w:tcPr>
            <w:tcW w:w="1134" w:type="dxa"/>
            <w:tcBorders>
              <w:top w:val="single" w:sz="18" w:space="0" w:color="auto"/>
            </w:tcBorders>
            <w:vAlign w:val="bottom"/>
          </w:tcPr>
          <w:p w14:paraId="14848202" w14:textId="77777777" w:rsidR="00E32C3E" w:rsidRPr="00E32C3E" w:rsidRDefault="00E32C3E" w:rsidP="004103E0">
            <w:pPr>
              <w:spacing w:line="360" w:lineRule="auto"/>
              <w:jc w:val="right"/>
              <w:rPr>
                <w:sz w:val="22"/>
                <w:szCs w:val="22"/>
              </w:rPr>
            </w:pPr>
            <w:r w:rsidRPr="00E32C3E">
              <w:rPr>
                <w:sz w:val="22"/>
                <w:szCs w:val="22"/>
              </w:rPr>
              <w:t>1.205.020</w:t>
            </w:r>
          </w:p>
        </w:tc>
        <w:tc>
          <w:tcPr>
            <w:tcW w:w="1560" w:type="dxa"/>
            <w:gridSpan w:val="2"/>
            <w:tcBorders>
              <w:top w:val="single" w:sz="18" w:space="0" w:color="auto"/>
            </w:tcBorders>
            <w:vAlign w:val="bottom"/>
          </w:tcPr>
          <w:p w14:paraId="3A7C3A5A" w14:textId="77777777" w:rsidR="00E32C3E" w:rsidRPr="00E32C3E" w:rsidRDefault="00E32C3E" w:rsidP="004103E0">
            <w:pPr>
              <w:spacing w:line="360" w:lineRule="auto"/>
              <w:jc w:val="center"/>
              <w:rPr>
                <w:sz w:val="22"/>
                <w:szCs w:val="22"/>
              </w:rPr>
            </w:pPr>
            <w:r w:rsidRPr="00E32C3E">
              <w:rPr>
                <w:sz w:val="22"/>
                <w:szCs w:val="22"/>
              </w:rPr>
              <w:t>3.92</w:t>
            </w:r>
          </w:p>
        </w:tc>
        <w:tc>
          <w:tcPr>
            <w:tcW w:w="283" w:type="dxa"/>
            <w:tcBorders>
              <w:top w:val="single" w:sz="18" w:space="0" w:color="auto"/>
            </w:tcBorders>
          </w:tcPr>
          <w:p w14:paraId="0B758A57" w14:textId="77777777" w:rsidR="00E32C3E" w:rsidRPr="00E32C3E" w:rsidRDefault="00E32C3E" w:rsidP="004103E0">
            <w:pPr>
              <w:spacing w:line="360" w:lineRule="auto"/>
              <w:jc w:val="right"/>
              <w:rPr>
                <w:sz w:val="22"/>
                <w:szCs w:val="22"/>
              </w:rPr>
            </w:pPr>
          </w:p>
        </w:tc>
        <w:tc>
          <w:tcPr>
            <w:tcW w:w="992" w:type="dxa"/>
            <w:tcBorders>
              <w:top w:val="single" w:sz="18" w:space="0" w:color="auto"/>
            </w:tcBorders>
            <w:vAlign w:val="bottom"/>
          </w:tcPr>
          <w:p w14:paraId="4AD76E4E" w14:textId="6C90D62E" w:rsidR="00E32C3E" w:rsidRPr="00E32C3E" w:rsidRDefault="00E32C3E" w:rsidP="004103E0">
            <w:pPr>
              <w:spacing w:line="360" w:lineRule="auto"/>
              <w:jc w:val="center"/>
              <w:rPr>
                <w:sz w:val="22"/>
                <w:szCs w:val="22"/>
              </w:rPr>
            </w:pPr>
            <w:r w:rsidRPr="00E32C3E">
              <w:rPr>
                <w:sz w:val="22"/>
                <w:szCs w:val="22"/>
              </w:rPr>
              <w:t>0.14</w:t>
            </w:r>
          </w:p>
        </w:tc>
        <w:tc>
          <w:tcPr>
            <w:tcW w:w="567" w:type="dxa"/>
            <w:tcBorders>
              <w:top w:val="single" w:sz="18" w:space="0" w:color="auto"/>
            </w:tcBorders>
            <w:vAlign w:val="bottom"/>
          </w:tcPr>
          <w:p w14:paraId="45AF777C" w14:textId="77777777" w:rsidR="00E32C3E" w:rsidRPr="00E32C3E" w:rsidRDefault="00E32C3E" w:rsidP="004103E0">
            <w:pPr>
              <w:spacing w:line="360" w:lineRule="auto"/>
              <w:jc w:val="center"/>
              <w:rPr>
                <w:sz w:val="22"/>
                <w:szCs w:val="22"/>
              </w:rPr>
            </w:pPr>
            <w:r w:rsidRPr="00E32C3E">
              <w:rPr>
                <w:sz w:val="22"/>
                <w:szCs w:val="22"/>
              </w:rPr>
              <w:t>3</w:t>
            </w:r>
          </w:p>
        </w:tc>
        <w:tc>
          <w:tcPr>
            <w:tcW w:w="567" w:type="dxa"/>
            <w:tcBorders>
              <w:top w:val="single" w:sz="18" w:space="0" w:color="auto"/>
            </w:tcBorders>
            <w:vAlign w:val="bottom"/>
          </w:tcPr>
          <w:p w14:paraId="77879F05" w14:textId="77777777" w:rsidR="00E32C3E" w:rsidRPr="00E32C3E" w:rsidRDefault="00E32C3E" w:rsidP="004103E0">
            <w:pPr>
              <w:spacing w:line="360" w:lineRule="auto"/>
              <w:jc w:val="center"/>
              <w:rPr>
                <w:sz w:val="22"/>
                <w:szCs w:val="22"/>
              </w:rPr>
            </w:pPr>
            <w:r w:rsidRPr="00E32C3E">
              <w:rPr>
                <w:sz w:val="22"/>
                <w:szCs w:val="22"/>
              </w:rPr>
              <w:t>9</w:t>
            </w:r>
          </w:p>
        </w:tc>
        <w:tc>
          <w:tcPr>
            <w:tcW w:w="567" w:type="dxa"/>
            <w:tcBorders>
              <w:top w:val="single" w:sz="18" w:space="0" w:color="auto"/>
            </w:tcBorders>
            <w:vAlign w:val="bottom"/>
          </w:tcPr>
          <w:p w14:paraId="28EC6DE4" w14:textId="77777777" w:rsidR="00E32C3E" w:rsidRPr="00E32C3E" w:rsidRDefault="00E32C3E" w:rsidP="004103E0">
            <w:pPr>
              <w:spacing w:line="360" w:lineRule="auto"/>
              <w:jc w:val="center"/>
              <w:rPr>
                <w:sz w:val="22"/>
                <w:szCs w:val="22"/>
              </w:rPr>
            </w:pPr>
            <w:r w:rsidRPr="00E32C3E">
              <w:rPr>
                <w:sz w:val="22"/>
                <w:szCs w:val="22"/>
              </w:rPr>
              <w:t>15</w:t>
            </w:r>
          </w:p>
        </w:tc>
        <w:tc>
          <w:tcPr>
            <w:tcW w:w="284" w:type="dxa"/>
            <w:tcBorders>
              <w:top w:val="single" w:sz="18" w:space="0" w:color="auto"/>
            </w:tcBorders>
          </w:tcPr>
          <w:p w14:paraId="11408D09" w14:textId="77777777" w:rsidR="00E32C3E" w:rsidRPr="00E32C3E" w:rsidRDefault="00E32C3E" w:rsidP="004103E0">
            <w:pPr>
              <w:spacing w:line="360" w:lineRule="auto"/>
              <w:jc w:val="right"/>
              <w:rPr>
                <w:sz w:val="22"/>
                <w:szCs w:val="22"/>
              </w:rPr>
            </w:pPr>
          </w:p>
        </w:tc>
        <w:tc>
          <w:tcPr>
            <w:tcW w:w="992" w:type="dxa"/>
            <w:tcBorders>
              <w:top w:val="single" w:sz="18" w:space="0" w:color="auto"/>
            </w:tcBorders>
            <w:vAlign w:val="bottom"/>
          </w:tcPr>
          <w:p w14:paraId="746F5780" w14:textId="77777777" w:rsidR="00E32C3E" w:rsidRPr="00E32C3E" w:rsidRDefault="00E32C3E" w:rsidP="004103E0">
            <w:pPr>
              <w:spacing w:line="360" w:lineRule="auto"/>
              <w:jc w:val="center"/>
              <w:rPr>
                <w:sz w:val="22"/>
                <w:szCs w:val="22"/>
              </w:rPr>
            </w:pPr>
            <w:r w:rsidRPr="00E32C3E">
              <w:rPr>
                <w:sz w:val="22"/>
                <w:szCs w:val="22"/>
              </w:rPr>
              <w:t>0.05</w:t>
            </w:r>
          </w:p>
        </w:tc>
        <w:tc>
          <w:tcPr>
            <w:tcW w:w="567" w:type="dxa"/>
            <w:tcBorders>
              <w:top w:val="single" w:sz="18" w:space="0" w:color="auto"/>
            </w:tcBorders>
            <w:vAlign w:val="bottom"/>
          </w:tcPr>
          <w:p w14:paraId="6E7CC368" w14:textId="77777777" w:rsidR="00E32C3E" w:rsidRPr="00E32C3E" w:rsidRDefault="00E32C3E" w:rsidP="004103E0">
            <w:pPr>
              <w:spacing w:line="360" w:lineRule="auto"/>
              <w:jc w:val="center"/>
              <w:rPr>
                <w:sz w:val="22"/>
                <w:szCs w:val="22"/>
              </w:rPr>
            </w:pPr>
            <w:r w:rsidRPr="00E32C3E">
              <w:rPr>
                <w:sz w:val="22"/>
                <w:szCs w:val="22"/>
              </w:rPr>
              <w:t>12</w:t>
            </w:r>
          </w:p>
        </w:tc>
        <w:tc>
          <w:tcPr>
            <w:tcW w:w="567" w:type="dxa"/>
            <w:tcBorders>
              <w:top w:val="single" w:sz="18" w:space="0" w:color="auto"/>
            </w:tcBorders>
            <w:vAlign w:val="bottom"/>
          </w:tcPr>
          <w:p w14:paraId="43615B00" w14:textId="77777777" w:rsidR="00E32C3E" w:rsidRPr="00E32C3E" w:rsidRDefault="00E32C3E" w:rsidP="004103E0">
            <w:pPr>
              <w:spacing w:line="360" w:lineRule="auto"/>
              <w:jc w:val="center"/>
              <w:rPr>
                <w:sz w:val="22"/>
                <w:szCs w:val="22"/>
              </w:rPr>
            </w:pPr>
            <w:r w:rsidRPr="00E32C3E">
              <w:rPr>
                <w:sz w:val="22"/>
                <w:szCs w:val="22"/>
              </w:rPr>
              <w:t>16</w:t>
            </w:r>
          </w:p>
        </w:tc>
        <w:tc>
          <w:tcPr>
            <w:tcW w:w="567" w:type="dxa"/>
            <w:tcBorders>
              <w:top w:val="single" w:sz="18" w:space="0" w:color="auto"/>
            </w:tcBorders>
            <w:vAlign w:val="bottom"/>
          </w:tcPr>
          <w:p w14:paraId="08ECF056" w14:textId="77777777" w:rsidR="00E32C3E" w:rsidRPr="00E32C3E" w:rsidRDefault="00E32C3E" w:rsidP="004103E0">
            <w:pPr>
              <w:spacing w:line="360" w:lineRule="auto"/>
              <w:jc w:val="center"/>
              <w:rPr>
                <w:sz w:val="22"/>
                <w:szCs w:val="22"/>
              </w:rPr>
            </w:pPr>
            <w:r w:rsidRPr="00E32C3E">
              <w:rPr>
                <w:sz w:val="22"/>
                <w:szCs w:val="22"/>
              </w:rPr>
              <w:t>20</w:t>
            </w:r>
          </w:p>
        </w:tc>
        <w:tc>
          <w:tcPr>
            <w:tcW w:w="284" w:type="dxa"/>
            <w:tcBorders>
              <w:top w:val="single" w:sz="18" w:space="0" w:color="auto"/>
            </w:tcBorders>
          </w:tcPr>
          <w:p w14:paraId="04CCC4D9" w14:textId="77777777" w:rsidR="00E32C3E" w:rsidRPr="00E32C3E" w:rsidRDefault="00E32C3E" w:rsidP="004103E0">
            <w:pPr>
              <w:spacing w:line="360" w:lineRule="auto"/>
              <w:jc w:val="right"/>
              <w:rPr>
                <w:sz w:val="22"/>
                <w:szCs w:val="22"/>
              </w:rPr>
            </w:pPr>
          </w:p>
        </w:tc>
        <w:tc>
          <w:tcPr>
            <w:tcW w:w="992" w:type="dxa"/>
            <w:tcBorders>
              <w:top w:val="single" w:sz="18" w:space="0" w:color="auto"/>
            </w:tcBorders>
            <w:vAlign w:val="bottom"/>
          </w:tcPr>
          <w:p w14:paraId="3EA875C0" w14:textId="77777777" w:rsidR="00E32C3E" w:rsidRPr="00E32C3E" w:rsidRDefault="00E32C3E" w:rsidP="004103E0">
            <w:pPr>
              <w:spacing w:line="360" w:lineRule="auto"/>
              <w:jc w:val="center"/>
              <w:rPr>
                <w:sz w:val="22"/>
                <w:szCs w:val="22"/>
              </w:rPr>
            </w:pPr>
            <w:r w:rsidRPr="00E32C3E">
              <w:rPr>
                <w:sz w:val="22"/>
                <w:szCs w:val="22"/>
              </w:rPr>
              <w:t>0.12</w:t>
            </w:r>
          </w:p>
        </w:tc>
        <w:tc>
          <w:tcPr>
            <w:tcW w:w="567" w:type="dxa"/>
            <w:tcBorders>
              <w:top w:val="single" w:sz="18" w:space="0" w:color="auto"/>
            </w:tcBorders>
            <w:vAlign w:val="bottom"/>
          </w:tcPr>
          <w:p w14:paraId="5FBA1413" w14:textId="77777777" w:rsidR="00E32C3E" w:rsidRPr="00E32C3E" w:rsidRDefault="00E32C3E" w:rsidP="004103E0">
            <w:pPr>
              <w:spacing w:line="360" w:lineRule="auto"/>
              <w:jc w:val="center"/>
              <w:rPr>
                <w:sz w:val="22"/>
                <w:szCs w:val="22"/>
              </w:rPr>
            </w:pPr>
            <w:r w:rsidRPr="00E32C3E">
              <w:rPr>
                <w:sz w:val="22"/>
                <w:szCs w:val="22"/>
              </w:rPr>
              <w:t>5</w:t>
            </w:r>
          </w:p>
        </w:tc>
        <w:tc>
          <w:tcPr>
            <w:tcW w:w="567" w:type="dxa"/>
            <w:tcBorders>
              <w:top w:val="single" w:sz="18" w:space="0" w:color="auto"/>
            </w:tcBorders>
            <w:vAlign w:val="bottom"/>
          </w:tcPr>
          <w:p w14:paraId="00A10821" w14:textId="77777777" w:rsidR="00E32C3E" w:rsidRPr="00E32C3E" w:rsidRDefault="00E32C3E" w:rsidP="004103E0">
            <w:pPr>
              <w:spacing w:line="360" w:lineRule="auto"/>
              <w:jc w:val="center"/>
              <w:rPr>
                <w:sz w:val="22"/>
                <w:szCs w:val="22"/>
              </w:rPr>
            </w:pPr>
            <w:r w:rsidRPr="00E32C3E">
              <w:rPr>
                <w:sz w:val="22"/>
                <w:szCs w:val="22"/>
              </w:rPr>
              <w:t>12</w:t>
            </w:r>
          </w:p>
        </w:tc>
        <w:tc>
          <w:tcPr>
            <w:tcW w:w="567" w:type="dxa"/>
            <w:tcBorders>
              <w:top w:val="single" w:sz="18" w:space="0" w:color="auto"/>
            </w:tcBorders>
            <w:vAlign w:val="bottom"/>
          </w:tcPr>
          <w:p w14:paraId="3CC18AB1" w14:textId="77777777" w:rsidR="00E32C3E" w:rsidRPr="00E32C3E" w:rsidRDefault="00E32C3E" w:rsidP="004103E0">
            <w:pPr>
              <w:spacing w:line="360" w:lineRule="auto"/>
              <w:jc w:val="center"/>
              <w:rPr>
                <w:sz w:val="22"/>
                <w:szCs w:val="22"/>
              </w:rPr>
            </w:pPr>
            <w:r w:rsidRPr="00E32C3E">
              <w:rPr>
                <w:sz w:val="22"/>
                <w:szCs w:val="22"/>
              </w:rPr>
              <w:t>18</w:t>
            </w:r>
          </w:p>
        </w:tc>
      </w:tr>
      <w:tr w:rsidR="00E32C3E" w14:paraId="68A2BBB6" w14:textId="77777777" w:rsidTr="00E32C3E">
        <w:trPr>
          <w:trHeight w:val="670"/>
        </w:trPr>
        <w:tc>
          <w:tcPr>
            <w:tcW w:w="2943" w:type="dxa"/>
            <w:gridSpan w:val="2"/>
          </w:tcPr>
          <w:p w14:paraId="713F2BA2" w14:textId="02E85B6A" w:rsidR="004103E0" w:rsidRPr="00E32C3E" w:rsidRDefault="00E32C3E" w:rsidP="004103E0">
            <w:pPr>
              <w:spacing w:line="360" w:lineRule="auto"/>
              <w:rPr>
                <w:sz w:val="22"/>
                <w:szCs w:val="22"/>
              </w:rPr>
            </w:pPr>
            <w:r w:rsidRPr="00E32C3E">
              <w:rPr>
                <w:sz w:val="22"/>
                <w:szCs w:val="22"/>
              </w:rPr>
              <w:t>Systematic review (no PRISMA citation)</w:t>
            </w:r>
          </w:p>
        </w:tc>
        <w:tc>
          <w:tcPr>
            <w:tcW w:w="1134" w:type="dxa"/>
          </w:tcPr>
          <w:p w14:paraId="1F79D679" w14:textId="77777777" w:rsidR="00E32C3E" w:rsidRPr="00E32C3E" w:rsidRDefault="00E32C3E" w:rsidP="004103E0">
            <w:pPr>
              <w:spacing w:line="360" w:lineRule="auto"/>
              <w:jc w:val="right"/>
              <w:rPr>
                <w:sz w:val="22"/>
                <w:szCs w:val="22"/>
              </w:rPr>
            </w:pPr>
            <w:r w:rsidRPr="00E32C3E">
              <w:rPr>
                <w:sz w:val="22"/>
                <w:szCs w:val="22"/>
              </w:rPr>
              <w:t>149.462</w:t>
            </w:r>
          </w:p>
        </w:tc>
        <w:tc>
          <w:tcPr>
            <w:tcW w:w="1560" w:type="dxa"/>
            <w:gridSpan w:val="2"/>
          </w:tcPr>
          <w:p w14:paraId="202593BC" w14:textId="77777777" w:rsidR="00E32C3E" w:rsidRPr="00E32C3E" w:rsidRDefault="00E32C3E" w:rsidP="004103E0">
            <w:pPr>
              <w:spacing w:line="360" w:lineRule="auto"/>
              <w:jc w:val="center"/>
              <w:rPr>
                <w:sz w:val="22"/>
                <w:szCs w:val="22"/>
              </w:rPr>
            </w:pPr>
            <w:r w:rsidRPr="00E32C3E">
              <w:rPr>
                <w:sz w:val="22"/>
                <w:szCs w:val="22"/>
              </w:rPr>
              <w:t>6.81</w:t>
            </w:r>
          </w:p>
        </w:tc>
        <w:tc>
          <w:tcPr>
            <w:tcW w:w="283" w:type="dxa"/>
          </w:tcPr>
          <w:p w14:paraId="02D96C56" w14:textId="77777777" w:rsidR="00E32C3E" w:rsidRPr="00E32C3E" w:rsidRDefault="00E32C3E" w:rsidP="004103E0">
            <w:pPr>
              <w:spacing w:line="360" w:lineRule="auto"/>
              <w:jc w:val="right"/>
              <w:rPr>
                <w:sz w:val="22"/>
                <w:szCs w:val="22"/>
              </w:rPr>
            </w:pPr>
          </w:p>
        </w:tc>
        <w:tc>
          <w:tcPr>
            <w:tcW w:w="992" w:type="dxa"/>
          </w:tcPr>
          <w:p w14:paraId="5CA15A7A" w14:textId="3748E72D" w:rsidR="00E32C3E" w:rsidRPr="00E32C3E" w:rsidRDefault="00E32C3E" w:rsidP="004103E0">
            <w:pPr>
              <w:spacing w:line="360" w:lineRule="auto"/>
              <w:jc w:val="center"/>
              <w:rPr>
                <w:sz w:val="22"/>
                <w:szCs w:val="22"/>
              </w:rPr>
            </w:pPr>
            <w:r w:rsidRPr="00E32C3E">
              <w:rPr>
                <w:sz w:val="22"/>
                <w:szCs w:val="22"/>
              </w:rPr>
              <w:t>0.22</w:t>
            </w:r>
          </w:p>
        </w:tc>
        <w:tc>
          <w:tcPr>
            <w:tcW w:w="567" w:type="dxa"/>
          </w:tcPr>
          <w:p w14:paraId="3518E997" w14:textId="77777777" w:rsidR="00E32C3E" w:rsidRPr="00E32C3E" w:rsidRDefault="00E32C3E" w:rsidP="004103E0">
            <w:pPr>
              <w:spacing w:line="360" w:lineRule="auto"/>
              <w:jc w:val="center"/>
              <w:rPr>
                <w:sz w:val="22"/>
                <w:szCs w:val="22"/>
              </w:rPr>
            </w:pPr>
            <w:r w:rsidRPr="00E32C3E">
              <w:rPr>
                <w:sz w:val="22"/>
                <w:szCs w:val="22"/>
              </w:rPr>
              <w:t>2</w:t>
            </w:r>
          </w:p>
        </w:tc>
        <w:tc>
          <w:tcPr>
            <w:tcW w:w="567" w:type="dxa"/>
          </w:tcPr>
          <w:p w14:paraId="17C61595" w14:textId="77777777" w:rsidR="00E32C3E" w:rsidRPr="00E32C3E" w:rsidRDefault="00E32C3E" w:rsidP="004103E0">
            <w:pPr>
              <w:spacing w:line="360" w:lineRule="auto"/>
              <w:jc w:val="center"/>
              <w:rPr>
                <w:sz w:val="22"/>
                <w:szCs w:val="22"/>
              </w:rPr>
            </w:pPr>
            <w:r w:rsidRPr="00E32C3E">
              <w:rPr>
                <w:sz w:val="22"/>
                <w:szCs w:val="22"/>
              </w:rPr>
              <w:t>5</w:t>
            </w:r>
          </w:p>
        </w:tc>
        <w:tc>
          <w:tcPr>
            <w:tcW w:w="567" w:type="dxa"/>
          </w:tcPr>
          <w:p w14:paraId="2536B2CC" w14:textId="77777777" w:rsidR="00E32C3E" w:rsidRPr="00E32C3E" w:rsidRDefault="00E32C3E" w:rsidP="004103E0">
            <w:pPr>
              <w:spacing w:line="360" w:lineRule="auto"/>
              <w:jc w:val="center"/>
              <w:rPr>
                <w:sz w:val="22"/>
                <w:szCs w:val="22"/>
              </w:rPr>
            </w:pPr>
            <w:r w:rsidRPr="00E32C3E">
              <w:rPr>
                <w:sz w:val="22"/>
                <w:szCs w:val="22"/>
              </w:rPr>
              <w:t>10</w:t>
            </w:r>
          </w:p>
        </w:tc>
        <w:tc>
          <w:tcPr>
            <w:tcW w:w="284" w:type="dxa"/>
          </w:tcPr>
          <w:p w14:paraId="3E760264" w14:textId="77777777" w:rsidR="00E32C3E" w:rsidRPr="00E32C3E" w:rsidRDefault="00E32C3E" w:rsidP="004103E0">
            <w:pPr>
              <w:spacing w:line="360" w:lineRule="auto"/>
              <w:jc w:val="right"/>
              <w:rPr>
                <w:sz w:val="22"/>
                <w:szCs w:val="22"/>
              </w:rPr>
            </w:pPr>
          </w:p>
        </w:tc>
        <w:tc>
          <w:tcPr>
            <w:tcW w:w="992" w:type="dxa"/>
          </w:tcPr>
          <w:p w14:paraId="50469EB4" w14:textId="77777777" w:rsidR="00E32C3E" w:rsidRPr="00E32C3E" w:rsidRDefault="00E32C3E" w:rsidP="004103E0">
            <w:pPr>
              <w:spacing w:line="360" w:lineRule="auto"/>
              <w:jc w:val="center"/>
              <w:rPr>
                <w:sz w:val="22"/>
                <w:szCs w:val="22"/>
              </w:rPr>
            </w:pPr>
            <w:r w:rsidRPr="00E32C3E">
              <w:rPr>
                <w:sz w:val="22"/>
                <w:szCs w:val="22"/>
              </w:rPr>
              <w:t>0.08</w:t>
            </w:r>
          </w:p>
        </w:tc>
        <w:tc>
          <w:tcPr>
            <w:tcW w:w="567" w:type="dxa"/>
          </w:tcPr>
          <w:p w14:paraId="40433A34" w14:textId="77777777" w:rsidR="00E32C3E" w:rsidRPr="00E32C3E" w:rsidRDefault="00E32C3E" w:rsidP="004103E0">
            <w:pPr>
              <w:spacing w:line="360" w:lineRule="auto"/>
              <w:jc w:val="center"/>
              <w:rPr>
                <w:sz w:val="22"/>
                <w:szCs w:val="22"/>
              </w:rPr>
            </w:pPr>
            <w:r w:rsidRPr="00E32C3E">
              <w:rPr>
                <w:sz w:val="22"/>
                <w:szCs w:val="22"/>
              </w:rPr>
              <w:t>9</w:t>
            </w:r>
          </w:p>
        </w:tc>
        <w:tc>
          <w:tcPr>
            <w:tcW w:w="567" w:type="dxa"/>
          </w:tcPr>
          <w:p w14:paraId="6E1CBC6C" w14:textId="77777777" w:rsidR="00E32C3E" w:rsidRPr="00E32C3E" w:rsidRDefault="00E32C3E" w:rsidP="004103E0">
            <w:pPr>
              <w:spacing w:line="360" w:lineRule="auto"/>
              <w:jc w:val="center"/>
              <w:rPr>
                <w:sz w:val="22"/>
                <w:szCs w:val="22"/>
              </w:rPr>
            </w:pPr>
            <w:r w:rsidRPr="00E32C3E">
              <w:rPr>
                <w:sz w:val="22"/>
                <w:szCs w:val="22"/>
              </w:rPr>
              <w:t>15</w:t>
            </w:r>
          </w:p>
        </w:tc>
        <w:tc>
          <w:tcPr>
            <w:tcW w:w="567" w:type="dxa"/>
          </w:tcPr>
          <w:p w14:paraId="5F756BC6" w14:textId="77777777" w:rsidR="00E32C3E" w:rsidRPr="00E32C3E" w:rsidRDefault="00E32C3E" w:rsidP="004103E0">
            <w:pPr>
              <w:spacing w:line="360" w:lineRule="auto"/>
              <w:jc w:val="center"/>
              <w:rPr>
                <w:sz w:val="22"/>
                <w:szCs w:val="22"/>
              </w:rPr>
            </w:pPr>
            <w:r w:rsidRPr="00E32C3E">
              <w:rPr>
                <w:sz w:val="22"/>
                <w:szCs w:val="22"/>
              </w:rPr>
              <w:t>19</w:t>
            </w:r>
          </w:p>
        </w:tc>
        <w:tc>
          <w:tcPr>
            <w:tcW w:w="284" w:type="dxa"/>
          </w:tcPr>
          <w:p w14:paraId="36B4848A" w14:textId="77777777" w:rsidR="00E32C3E" w:rsidRPr="00E32C3E" w:rsidRDefault="00E32C3E" w:rsidP="004103E0">
            <w:pPr>
              <w:spacing w:line="360" w:lineRule="auto"/>
              <w:jc w:val="right"/>
              <w:rPr>
                <w:sz w:val="22"/>
                <w:szCs w:val="22"/>
              </w:rPr>
            </w:pPr>
          </w:p>
        </w:tc>
        <w:tc>
          <w:tcPr>
            <w:tcW w:w="992" w:type="dxa"/>
          </w:tcPr>
          <w:p w14:paraId="464D7467" w14:textId="77777777" w:rsidR="00E32C3E" w:rsidRPr="00E32C3E" w:rsidRDefault="00E32C3E" w:rsidP="004103E0">
            <w:pPr>
              <w:spacing w:line="360" w:lineRule="auto"/>
              <w:jc w:val="center"/>
              <w:rPr>
                <w:sz w:val="22"/>
                <w:szCs w:val="22"/>
              </w:rPr>
            </w:pPr>
            <w:r w:rsidRPr="00E32C3E">
              <w:rPr>
                <w:sz w:val="22"/>
                <w:szCs w:val="22"/>
              </w:rPr>
              <w:t>0.15</w:t>
            </w:r>
          </w:p>
        </w:tc>
        <w:tc>
          <w:tcPr>
            <w:tcW w:w="567" w:type="dxa"/>
          </w:tcPr>
          <w:p w14:paraId="24777E31" w14:textId="77777777" w:rsidR="00E32C3E" w:rsidRPr="00E32C3E" w:rsidRDefault="00E32C3E" w:rsidP="004103E0">
            <w:pPr>
              <w:spacing w:line="360" w:lineRule="auto"/>
              <w:jc w:val="center"/>
              <w:rPr>
                <w:sz w:val="22"/>
                <w:szCs w:val="22"/>
              </w:rPr>
            </w:pPr>
            <w:r w:rsidRPr="00E32C3E">
              <w:rPr>
                <w:sz w:val="22"/>
                <w:szCs w:val="22"/>
              </w:rPr>
              <w:t>3</w:t>
            </w:r>
          </w:p>
        </w:tc>
        <w:tc>
          <w:tcPr>
            <w:tcW w:w="567" w:type="dxa"/>
          </w:tcPr>
          <w:p w14:paraId="1730F16C" w14:textId="77777777" w:rsidR="00E32C3E" w:rsidRPr="00E32C3E" w:rsidRDefault="00E32C3E" w:rsidP="004103E0">
            <w:pPr>
              <w:spacing w:line="360" w:lineRule="auto"/>
              <w:jc w:val="center"/>
              <w:rPr>
                <w:sz w:val="22"/>
                <w:szCs w:val="22"/>
              </w:rPr>
            </w:pPr>
            <w:r w:rsidRPr="00E32C3E">
              <w:rPr>
                <w:sz w:val="22"/>
                <w:szCs w:val="22"/>
              </w:rPr>
              <w:t>10</w:t>
            </w:r>
          </w:p>
        </w:tc>
        <w:tc>
          <w:tcPr>
            <w:tcW w:w="567" w:type="dxa"/>
          </w:tcPr>
          <w:p w14:paraId="4BAA8AFC" w14:textId="77777777" w:rsidR="00E32C3E" w:rsidRPr="00E32C3E" w:rsidRDefault="00E32C3E" w:rsidP="004103E0">
            <w:pPr>
              <w:spacing w:line="360" w:lineRule="auto"/>
              <w:jc w:val="center"/>
              <w:rPr>
                <w:sz w:val="22"/>
                <w:szCs w:val="22"/>
              </w:rPr>
            </w:pPr>
            <w:r w:rsidRPr="00E32C3E">
              <w:rPr>
                <w:sz w:val="22"/>
                <w:szCs w:val="22"/>
              </w:rPr>
              <w:t>17</w:t>
            </w:r>
          </w:p>
        </w:tc>
      </w:tr>
      <w:tr w:rsidR="00E32C3E" w14:paraId="245BD107" w14:textId="77777777" w:rsidTr="00E32C3E">
        <w:trPr>
          <w:trHeight w:val="647"/>
        </w:trPr>
        <w:tc>
          <w:tcPr>
            <w:tcW w:w="2943" w:type="dxa"/>
            <w:gridSpan w:val="2"/>
          </w:tcPr>
          <w:p w14:paraId="460830F9" w14:textId="77777777" w:rsidR="00E32C3E" w:rsidRPr="00E32C3E" w:rsidRDefault="00E32C3E" w:rsidP="004103E0">
            <w:pPr>
              <w:spacing w:line="360" w:lineRule="auto"/>
              <w:rPr>
                <w:sz w:val="22"/>
                <w:szCs w:val="22"/>
              </w:rPr>
            </w:pPr>
            <w:r w:rsidRPr="00E32C3E">
              <w:rPr>
                <w:sz w:val="22"/>
                <w:szCs w:val="22"/>
              </w:rPr>
              <w:t>PRISMA-citing systematic review</w:t>
            </w:r>
          </w:p>
        </w:tc>
        <w:tc>
          <w:tcPr>
            <w:tcW w:w="1134" w:type="dxa"/>
          </w:tcPr>
          <w:p w14:paraId="434BA3F6" w14:textId="77777777" w:rsidR="00E32C3E" w:rsidRPr="00E32C3E" w:rsidRDefault="00E32C3E" w:rsidP="004103E0">
            <w:pPr>
              <w:spacing w:line="360" w:lineRule="auto"/>
              <w:jc w:val="right"/>
              <w:rPr>
                <w:sz w:val="22"/>
                <w:szCs w:val="22"/>
              </w:rPr>
            </w:pPr>
            <w:r w:rsidRPr="00E32C3E">
              <w:rPr>
                <w:sz w:val="22"/>
                <w:szCs w:val="22"/>
              </w:rPr>
              <w:t>83.798</w:t>
            </w:r>
          </w:p>
        </w:tc>
        <w:tc>
          <w:tcPr>
            <w:tcW w:w="1560" w:type="dxa"/>
            <w:gridSpan w:val="2"/>
          </w:tcPr>
          <w:p w14:paraId="47DDF699" w14:textId="77777777" w:rsidR="00E32C3E" w:rsidRPr="00E32C3E" w:rsidRDefault="00E32C3E" w:rsidP="004103E0">
            <w:pPr>
              <w:spacing w:line="360" w:lineRule="auto"/>
              <w:jc w:val="center"/>
              <w:rPr>
                <w:sz w:val="22"/>
                <w:szCs w:val="22"/>
              </w:rPr>
            </w:pPr>
            <w:r w:rsidRPr="00E32C3E">
              <w:rPr>
                <w:sz w:val="22"/>
                <w:szCs w:val="22"/>
              </w:rPr>
              <w:t>6.16</w:t>
            </w:r>
          </w:p>
        </w:tc>
        <w:tc>
          <w:tcPr>
            <w:tcW w:w="283" w:type="dxa"/>
          </w:tcPr>
          <w:p w14:paraId="1762D4EA" w14:textId="77777777" w:rsidR="00E32C3E" w:rsidRPr="00E32C3E" w:rsidRDefault="00E32C3E" w:rsidP="004103E0">
            <w:pPr>
              <w:spacing w:line="360" w:lineRule="auto"/>
              <w:jc w:val="right"/>
              <w:rPr>
                <w:sz w:val="22"/>
                <w:szCs w:val="22"/>
              </w:rPr>
            </w:pPr>
          </w:p>
        </w:tc>
        <w:tc>
          <w:tcPr>
            <w:tcW w:w="992" w:type="dxa"/>
          </w:tcPr>
          <w:p w14:paraId="294A2A71" w14:textId="6A1DE18D" w:rsidR="00E32C3E" w:rsidRPr="00E32C3E" w:rsidRDefault="00E32C3E" w:rsidP="004103E0">
            <w:pPr>
              <w:spacing w:line="360" w:lineRule="auto"/>
              <w:jc w:val="center"/>
              <w:rPr>
                <w:sz w:val="22"/>
                <w:szCs w:val="22"/>
              </w:rPr>
            </w:pPr>
            <w:r w:rsidRPr="00E32C3E">
              <w:rPr>
                <w:sz w:val="22"/>
                <w:szCs w:val="22"/>
              </w:rPr>
              <w:t>0.21</w:t>
            </w:r>
          </w:p>
        </w:tc>
        <w:tc>
          <w:tcPr>
            <w:tcW w:w="567" w:type="dxa"/>
          </w:tcPr>
          <w:p w14:paraId="1D4B093E" w14:textId="77777777" w:rsidR="00E32C3E" w:rsidRPr="00E32C3E" w:rsidRDefault="00E32C3E" w:rsidP="004103E0">
            <w:pPr>
              <w:spacing w:line="360" w:lineRule="auto"/>
              <w:jc w:val="center"/>
              <w:rPr>
                <w:sz w:val="22"/>
                <w:szCs w:val="22"/>
              </w:rPr>
            </w:pPr>
            <w:r w:rsidRPr="00E32C3E">
              <w:rPr>
                <w:sz w:val="22"/>
                <w:szCs w:val="22"/>
              </w:rPr>
              <w:t>2</w:t>
            </w:r>
          </w:p>
        </w:tc>
        <w:tc>
          <w:tcPr>
            <w:tcW w:w="567" w:type="dxa"/>
          </w:tcPr>
          <w:p w14:paraId="62AE6158" w14:textId="77777777" w:rsidR="00E32C3E" w:rsidRPr="00E32C3E" w:rsidRDefault="00E32C3E" w:rsidP="004103E0">
            <w:pPr>
              <w:spacing w:line="360" w:lineRule="auto"/>
              <w:jc w:val="center"/>
              <w:rPr>
                <w:sz w:val="22"/>
                <w:szCs w:val="22"/>
              </w:rPr>
            </w:pPr>
            <w:r w:rsidRPr="00E32C3E">
              <w:rPr>
                <w:sz w:val="22"/>
                <w:szCs w:val="22"/>
              </w:rPr>
              <w:t>5</w:t>
            </w:r>
          </w:p>
        </w:tc>
        <w:tc>
          <w:tcPr>
            <w:tcW w:w="567" w:type="dxa"/>
          </w:tcPr>
          <w:p w14:paraId="56D9544B" w14:textId="77777777" w:rsidR="00E32C3E" w:rsidRPr="00E32C3E" w:rsidRDefault="00E32C3E" w:rsidP="004103E0">
            <w:pPr>
              <w:spacing w:line="360" w:lineRule="auto"/>
              <w:jc w:val="center"/>
              <w:rPr>
                <w:sz w:val="22"/>
                <w:szCs w:val="22"/>
              </w:rPr>
            </w:pPr>
            <w:r w:rsidRPr="00E32C3E">
              <w:rPr>
                <w:sz w:val="22"/>
                <w:szCs w:val="22"/>
              </w:rPr>
              <w:t>9</w:t>
            </w:r>
          </w:p>
        </w:tc>
        <w:tc>
          <w:tcPr>
            <w:tcW w:w="284" w:type="dxa"/>
          </w:tcPr>
          <w:p w14:paraId="6A83AD97" w14:textId="77777777" w:rsidR="00E32C3E" w:rsidRPr="00E32C3E" w:rsidRDefault="00E32C3E" w:rsidP="004103E0">
            <w:pPr>
              <w:spacing w:line="360" w:lineRule="auto"/>
              <w:jc w:val="right"/>
              <w:rPr>
                <w:sz w:val="22"/>
                <w:szCs w:val="22"/>
              </w:rPr>
            </w:pPr>
          </w:p>
        </w:tc>
        <w:tc>
          <w:tcPr>
            <w:tcW w:w="992" w:type="dxa"/>
          </w:tcPr>
          <w:p w14:paraId="58A76CB8" w14:textId="77777777" w:rsidR="00E32C3E" w:rsidRPr="00E32C3E" w:rsidRDefault="00E32C3E" w:rsidP="004103E0">
            <w:pPr>
              <w:spacing w:line="360" w:lineRule="auto"/>
              <w:jc w:val="center"/>
              <w:rPr>
                <w:sz w:val="22"/>
                <w:szCs w:val="22"/>
              </w:rPr>
            </w:pPr>
            <w:r w:rsidRPr="00E32C3E">
              <w:rPr>
                <w:sz w:val="22"/>
                <w:szCs w:val="22"/>
              </w:rPr>
              <w:t>0.05</w:t>
            </w:r>
          </w:p>
        </w:tc>
        <w:tc>
          <w:tcPr>
            <w:tcW w:w="567" w:type="dxa"/>
          </w:tcPr>
          <w:p w14:paraId="2A02BA25" w14:textId="77777777" w:rsidR="00E32C3E" w:rsidRPr="00E32C3E" w:rsidRDefault="00E32C3E" w:rsidP="004103E0">
            <w:pPr>
              <w:spacing w:line="360" w:lineRule="auto"/>
              <w:jc w:val="center"/>
              <w:rPr>
                <w:sz w:val="22"/>
                <w:szCs w:val="22"/>
              </w:rPr>
            </w:pPr>
            <w:r w:rsidRPr="00E32C3E">
              <w:rPr>
                <w:sz w:val="22"/>
                <w:szCs w:val="22"/>
              </w:rPr>
              <w:t>10</w:t>
            </w:r>
          </w:p>
        </w:tc>
        <w:tc>
          <w:tcPr>
            <w:tcW w:w="567" w:type="dxa"/>
          </w:tcPr>
          <w:p w14:paraId="45ABD51D" w14:textId="77777777" w:rsidR="00E32C3E" w:rsidRPr="00E32C3E" w:rsidRDefault="00E32C3E" w:rsidP="004103E0">
            <w:pPr>
              <w:spacing w:line="360" w:lineRule="auto"/>
              <w:jc w:val="center"/>
              <w:rPr>
                <w:sz w:val="22"/>
                <w:szCs w:val="22"/>
              </w:rPr>
            </w:pPr>
            <w:r w:rsidRPr="00E32C3E">
              <w:rPr>
                <w:sz w:val="22"/>
                <w:szCs w:val="22"/>
              </w:rPr>
              <w:t>16</w:t>
            </w:r>
          </w:p>
        </w:tc>
        <w:tc>
          <w:tcPr>
            <w:tcW w:w="567" w:type="dxa"/>
          </w:tcPr>
          <w:p w14:paraId="6C1B91CC" w14:textId="77777777" w:rsidR="00E32C3E" w:rsidRPr="00E32C3E" w:rsidRDefault="00E32C3E" w:rsidP="004103E0">
            <w:pPr>
              <w:spacing w:line="360" w:lineRule="auto"/>
              <w:jc w:val="center"/>
              <w:rPr>
                <w:sz w:val="22"/>
                <w:szCs w:val="22"/>
              </w:rPr>
            </w:pPr>
            <w:r w:rsidRPr="00E32C3E">
              <w:rPr>
                <w:sz w:val="22"/>
                <w:szCs w:val="22"/>
              </w:rPr>
              <w:t>21</w:t>
            </w:r>
          </w:p>
        </w:tc>
        <w:tc>
          <w:tcPr>
            <w:tcW w:w="284" w:type="dxa"/>
          </w:tcPr>
          <w:p w14:paraId="78B53E42" w14:textId="77777777" w:rsidR="00E32C3E" w:rsidRPr="00E32C3E" w:rsidRDefault="00E32C3E" w:rsidP="004103E0">
            <w:pPr>
              <w:spacing w:line="360" w:lineRule="auto"/>
              <w:jc w:val="right"/>
              <w:rPr>
                <w:sz w:val="22"/>
                <w:szCs w:val="22"/>
              </w:rPr>
            </w:pPr>
          </w:p>
        </w:tc>
        <w:tc>
          <w:tcPr>
            <w:tcW w:w="992" w:type="dxa"/>
          </w:tcPr>
          <w:p w14:paraId="5C22739E" w14:textId="77777777" w:rsidR="00E32C3E" w:rsidRPr="00E32C3E" w:rsidRDefault="00E32C3E" w:rsidP="004103E0">
            <w:pPr>
              <w:spacing w:line="360" w:lineRule="auto"/>
              <w:jc w:val="center"/>
              <w:rPr>
                <w:sz w:val="22"/>
                <w:szCs w:val="22"/>
              </w:rPr>
            </w:pPr>
            <w:r w:rsidRPr="00E32C3E">
              <w:rPr>
                <w:sz w:val="22"/>
                <w:szCs w:val="22"/>
              </w:rPr>
              <w:t>0.15</w:t>
            </w:r>
          </w:p>
        </w:tc>
        <w:tc>
          <w:tcPr>
            <w:tcW w:w="567" w:type="dxa"/>
          </w:tcPr>
          <w:p w14:paraId="30BA682A" w14:textId="77777777" w:rsidR="00E32C3E" w:rsidRPr="00E32C3E" w:rsidRDefault="00E32C3E" w:rsidP="004103E0">
            <w:pPr>
              <w:spacing w:line="360" w:lineRule="auto"/>
              <w:jc w:val="center"/>
              <w:rPr>
                <w:sz w:val="22"/>
                <w:szCs w:val="22"/>
              </w:rPr>
            </w:pPr>
            <w:r w:rsidRPr="00E32C3E">
              <w:rPr>
                <w:sz w:val="22"/>
                <w:szCs w:val="22"/>
              </w:rPr>
              <w:t>3</w:t>
            </w:r>
          </w:p>
        </w:tc>
        <w:tc>
          <w:tcPr>
            <w:tcW w:w="567" w:type="dxa"/>
          </w:tcPr>
          <w:p w14:paraId="7A3ADF15" w14:textId="77777777" w:rsidR="00E32C3E" w:rsidRPr="00E32C3E" w:rsidRDefault="00E32C3E" w:rsidP="004103E0">
            <w:pPr>
              <w:spacing w:line="360" w:lineRule="auto"/>
              <w:jc w:val="center"/>
              <w:rPr>
                <w:sz w:val="22"/>
                <w:szCs w:val="22"/>
              </w:rPr>
            </w:pPr>
            <w:r w:rsidRPr="00E32C3E">
              <w:rPr>
                <w:sz w:val="22"/>
                <w:szCs w:val="22"/>
              </w:rPr>
              <w:t>9</w:t>
            </w:r>
          </w:p>
        </w:tc>
        <w:tc>
          <w:tcPr>
            <w:tcW w:w="567" w:type="dxa"/>
          </w:tcPr>
          <w:p w14:paraId="3F8D21F0" w14:textId="77777777" w:rsidR="00E32C3E" w:rsidRPr="00E32C3E" w:rsidRDefault="00E32C3E" w:rsidP="004103E0">
            <w:pPr>
              <w:spacing w:line="360" w:lineRule="auto"/>
              <w:jc w:val="center"/>
              <w:rPr>
                <w:sz w:val="22"/>
                <w:szCs w:val="22"/>
              </w:rPr>
            </w:pPr>
            <w:r w:rsidRPr="00E32C3E">
              <w:rPr>
                <w:sz w:val="22"/>
                <w:szCs w:val="22"/>
              </w:rPr>
              <w:t>17</w:t>
            </w:r>
          </w:p>
        </w:tc>
      </w:tr>
      <w:tr w:rsidR="00E32C3E" w14:paraId="63CA00ED" w14:textId="77777777" w:rsidTr="00E32C3E">
        <w:trPr>
          <w:trHeight w:val="409"/>
        </w:trPr>
        <w:tc>
          <w:tcPr>
            <w:tcW w:w="2943" w:type="dxa"/>
            <w:gridSpan w:val="2"/>
          </w:tcPr>
          <w:p w14:paraId="716EAF0A" w14:textId="7A6D5285" w:rsidR="00E32C3E" w:rsidRPr="00E32C3E" w:rsidRDefault="00E32C3E" w:rsidP="004103E0">
            <w:pPr>
              <w:spacing w:line="360" w:lineRule="auto"/>
              <w:rPr>
                <w:sz w:val="22"/>
                <w:szCs w:val="22"/>
              </w:rPr>
            </w:pPr>
            <w:r w:rsidRPr="00E32C3E">
              <w:rPr>
                <w:sz w:val="22"/>
                <w:szCs w:val="22"/>
              </w:rPr>
              <w:t>Cochrane review</w:t>
            </w:r>
          </w:p>
        </w:tc>
        <w:tc>
          <w:tcPr>
            <w:tcW w:w="1134" w:type="dxa"/>
          </w:tcPr>
          <w:p w14:paraId="3E3E06FF" w14:textId="77777777" w:rsidR="00E32C3E" w:rsidRPr="00E32C3E" w:rsidRDefault="00E32C3E" w:rsidP="004103E0">
            <w:pPr>
              <w:spacing w:line="360" w:lineRule="auto"/>
              <w:jc w:val="right"/>
              <w:rPr>
                <w:sz w:val="22"/>
                <w:szCs w:val="22"/>
              </w:rPr>
            </w:pPr>
            <w:r w:rsidRPr="00E32C3E">
              <w:rPr>
                <w:sz w:val="22"/>
                <w:szCs w:val="22"/>
              </w:rPr>
              <w:t>9.995</w:t>
            </w:r>
          </w:p>
        </w:tc>
        <w:tc>
          <w:tcPr>
            <w:tcW w:w="1560" w:type="dxa"/>
            <w:gridSpan w:val="2"/>
          </w:tcPr>
          <w:p w14:paraId="6C9F41EC" w14:textId="77777777" w:rsidR="00E32C3E" w:rsidRPr="00E32C3E" w:rsidRDefault="00E32C3E" w:rsidP="004103E0">
            <w:pPr>
              <w:spacing w:line="360" w:lineRule="auto"/>
              <w:jc w:val="center"/>
              <w:rPr>
                <w:sz w:val="22"/>
                <w:szCs w:val="22"/>
              </w:rPr>
            </w:pPr>
            <w:r w:rsidRPr="00E32C3E">
              <w:rPr>
                <w:sz w:val="22"/>
                <w:szCs w:val="22"/>
              </w:rPr>
              <w:t>4.92</w:t>
            </w:r>
          </w:p>
        </w:tc>
        <w:tc>
          <w:tcPr>
            <w:tcW w:w="283" w:type="dxa"/>
          </w:tcPr>
          <w:p w14:paraId="138299A4" w14:textId="77777777" w:rsidR="00E32C3E" w:rsidRPr="00E32C3E" w:rsidRDefault="00E32C3E" w:rsidP="004103E0">
            <w:pPr>
              <w:spacing w:line="360" w:lineRule="auto"/>
              <w:jc w:val="right"/>
              <w:rPr>
                <w:sz w:val="22"/>
                <w:szCs w:val="22"/>
              </w:rPr>
            </w:pPr>
          </w:p>
        </w:tc>
        <w:tc>
          <w:tcPr>
            <w:tcW w:w="992" w:type="dxa"/>
          </w:tcPr>
          <w:p w14:paraId="34B0DA0B" w14:textId="458ED4B2" w:rsidR="00E32C3E" w:rsidRPr="00E32C3E" w:rsidRDefault="00E32C3E" w:rsidP="004103E0">
            <w:pPr>
              <w:spacing w:line="360" w:lineRule="auto"/>
              <w:jc w:val="center"/>
              <w:rPr>
                <w:sz w:val="22"/>
                <w:szCs w:val="22"/>
              </w:rPr>
            </w:pPr>
            <w:r w:rsidRPr="00E32C3E">
              <w:rPr>
                <w:sz w:val="22"/>
                <w:szCs w:val="22"/>
              </w:rPr>
              <w:t>0.07</w:t>
            </w:r>
          </w:p>
        </w:tc>
        <w:tc>
          <w:tcPr>
            <w:tcW w:w="567" w:type="dxa"/>
          </w:tcPr>
          <w:p w14:paraId="7FA9B3A1" w14:textId="77777777" w:rsidR="00E32C3E" w:rsidRPr="00E32C3E" w:rsidRDefault="00E32C3E" w:rsidP="004103E0">
            <w:pPr>
              <w:spacing w:line="360" w:lineRule="auto"/>
              <w:jc w:val="center"/>
              <w:rPr>
                <w:sz w:val="22"/>
                <w:szCs w:val="22"/>
              </w:rPr>
            </w:pPr>
            <w:r w:rsidRPr="00E32C3E">
              <w:rPr>
                <w:sz w:val="22"/>
                <w:szCs w:val="22"/>
              </w:rPr>
              <w:t>5</w:t>
            </w:r>
          </w:p>
        </w:tc>
        <w:tc>
          <w:tcPr>
            <w:tcW w:w="567" w:type="dxa"/>
          </w:tcPr>
          <w:p w14:paraId="2C5D2D50" w14:textId="77777777" w:rsidR="00E32C3E" w:rsidRPr="00E32C3E" w:rsidRDefault="00E32C3E" w:rsidP="004103E0">
            <w:pPr>
              <w:spacing w:line="360" w:lineRule="auto"/>
              <w:jc w:val="center"/>
              <w:rPr>
                <w:sz w:val="22"/>
                <w:szCs w:val="22"/>
              </w:rPr>
            </w:pPr>
            <w:r w:rsidRPr="00E32C3E">
              <w:rPr>
                <w:sz w:val="22"/>
                <w:szCs w:val="22"/>
              </w:rPr>
              <w:t>10</w:t>
            </w:r>
          </w:p>
        </w:tc>
        <w:tc>
          <w:tcPr>
            <w:tcW w:w="567" w:type="dxa"/>
          </w:tcPr>
          <w:p w14:paraId="0DA0196D" w14:textId="77777777" w:rsidR="00E32C3E" w:rsidRPr="00E32C3E" w:rsidRDefault="00E32C3E" w:rsidP="004103E0">
            <w:pPr>
              <w:spacing w:line="360" w:lineRule="auto"/>
              <w:jc w:val="center"/>
              <w:rPr>
                <w:sz w:val="22"/>
                <w:szCs w:val="22"/>
              </w:rPr>
            </w:pPr>
            <w:r w:rsidRPr="00E32C3E">
              <w:rPr>
                <w:sz w:val="22"/>
                <w:szCs w:val="22"/>
              </w:rPr>
              <w:t>15</w:t>
            </w:r>
          </w:p>
        </w:tc>
        <w:tc>
          <w:tcPr>
            <w:tcW w:w="284" w:type="dxa"/>
          </w:tcPr>
          <w:p w14:paraId="51FC2963" w14:textId="77777777" w:rsidR="00E32C3E" w:rsidRPr="00E32C3E" w:rsidRDefault="00E32C3E" w:rsidP="004103E0">
            <w:pPr>
              <w:spacing w:line="360" w:lineRule="auto"/>
              <w:jc w:val="right"/>
              <w:rPr>
                <w:sz w:val="22"/>
                <w:szCs w:val="22"/>
              </w:rPr>
            </w:pPr>
          </w:p>
        </w:tc>
        <w:tc>
          <w:tcPr>
            <w:tcW w:w="992" w:type="dxa"/>
          </w:tcPr>
          <w:p w14:paraId="51CC9D0C" w14:textId="77777777" w:rsidR="00E32C3E" w:rsidRPr="00E32C3E" w:rsidRDefault="00E32C3E" w:rsidP="004103E0">
            <w:pPr>
              <w:spacing w:line="360" w:lineRule="auto"/>
              <w:jc w:val="center"/>
              <w:rPr>
                <w:sz w:val="22"/>
                <w:szCs w:val="22"/>
              </w:rPr>
            </w:pPr>
            <w:r w:rsidRPr="00E32C3E">
              <w:rPr>
                <w:sz w:val="22"/>
                <w:szCs w:val="22"/>
              </w:rPr>
              <w:t>0.04</w:t>
            </w:r>
          </w:p>
        </w:tc>
        <w:tc>
          <w:tcPr>
            <w:tcW w:w="567" w:type="dxa"/>
          </w:tcPr>
          <w:p w14:paraId="31B1A648" w14:textId="77777777" w:rsidR="00E32C3E" w:rsidRPr="00E32C3E" w:rsidRDefault="00E32C3E" w:rsidP="004103E0">
            <w:pPr>
              <w:spacing w:line="360" w:lineRule="auto"/>
              <w:jc w:val="center"/>
              <w:rPr>
                <w:sz w:val="22"/>
                <w:szCs w:val="22"/>
              </w:rPr>
            </w:pPr>
            <w:r w:rsidRPr="00E32C3E">
              <w:rPr>
                <w:sz w:val="22"/>
                <w:szCs w:val="22"/>
              </w:rPr>
              <w:t>11</w:t>
            </w:r>
          </w:p>
        </w:tc>
        <w:tc>
          <w:tcPr>
            <w:tcW w:w="567" w:type="dxa"/>
          </w:tcPr>
          <w:p w14:paraId="0744F898" w14:textId="77777777" w:rsidR="00E32C3E" w:rsidRPr="00E32C3E" w:rsidRDefault="00E32C3E" w:rsidP="004103E0">
            <w:pPr>
              <w:spacing w:line="360" w:lineRule="auto"/>
              <w:jc w:val="center"/>
              <w:rPr>
                <w:sz w:val="22"/>
                <w:szCs w:val="22"/>
              </w:rPr>
            </w:pPr>
            <w:r w:rsidRPr="00E32C3E">
              <w:rPr>
                <w:sz w:val="22"/>
                <w:szCs w:val="22"/>
              </w:rPr>
              <w:t>16</w:t>
            </w:r>
          </w:p>
        </w:tc>
        <w:tc>
          <w:tcPr>
            <w:tcW w:w="567" w:type="dxa"/>
          </w:tcPr>
          <w:p w14:paraId="7C0189ED" w14:textId="77777777" w:rsidR="00E32C3E" w:rsidRPr="00E32C3E" w:rsidRDefault="00E32C3E" w:rsidP="004103E0">
            <w:pPr>
              <w:spacing w:line="360" w:lineRule="auto"/>
              <w:jc w:val="center"/>
              <w:rPr>
                <w:sz w:val="22"/>
                <w:szCs w:val="22"/>
              </w:rPr>
            </w:pPr>
            <w:r w:rsidRPr="00E32C3E">
              <w:rPr>
                <w:sz w:val="22"/>
                <w:szCs w:val="22"/>
              </w:rPr>
              <w:t>19</w:t>
            </w:r>
          </w:p>
        </w:tc>
        <w:tc>
          <w:tcPr>
            <w:tcW w:w="284" w:type="dxa"/>
          </w:tcPr>
          <w:p w14:paraId="62153777" w14:textId="77777777" w:rsidR="00E32C3E" w:rsidRPr="00E32C3E" w:rsidRDefault="00E32C3E" w:rsidP="004103E0">
            <w:pPr>
              <w:spacing w:line="360" w:lineRule="auto"/>
              <w:jc w:val="right"/>
              <w:rPr>
                <w:sz w:val="22"/>
                <w:szCs w:val="22"/>
              </w:rPr>
            </w:pPr>
          </w:p>
        </w:tc>
        <w:tc>
          <w:tcPr>
            <w:tcW w:w="992" w:type="dxa"/>
          </w:tcPr>
          <w:p w14:paraId="62FDBF7F" w14:textId="77777777" w:rsidR="00E32C3E" w:rsidRPr="00E32C3E" w:rsidRDefault="00E32C3E" w:rsidP="004103E0">
            <w:pPr>
              <w:spacing w:line="360" w:lineRule="auto"/>
              <w:jc w:val="center"/>
              <w:rPr>
                <w:sz w:val="22"/>
                <w:szCs w:val="22"/>
              </w:rPr>
            </w:pPr>
            <w:r w:rsidRPr="00E32C3E">
              <w:rPr>
                <w:sz w:val="22"/>
                <w:szCs w:val="22"/>
              </w:rPr>
              <w:t>0.07</w:t>
            </w:r>
          </w:p>
        </w:tc>
        <w:tc>
          <w:tcPr>
            <w:tcW w:w="567" w:type="dxa"/>
          </w:tcPr>
          <w:p w14:paraId="3BA86139" w14:textId="77777777" w:rsidR="00E32C3E" w:rsidRPr="00E32C3E" w:rsidRDefault="00E32C3E" w:rsidP="004103E0">
            <w:pPr>
              <w:spacing w:line="360" w:lineRule="auto"/>
              <w:jc w:val="center"/>
              <w:rPr>
                <w:sz w:val="22"/>
                <w:szCs w:val="22"/>
              </w:rPr>
            </w:pPr>
            <w:r w:rsidRPr="00E32C3E">
              <w:rPr>
                <w:sz w:val="22"/>
                <w:szCs w:val="22"/>
              </w:rPr>
              <w:t>6</w:t>
            </w:r>
          </w:p>
        </w:tc>
        <w:tc>
          <w:tcPr>
            <w:tcW w:w="567" w:type="dxa"/>
          </w:tcPr>
          <w:p w14:paraId="45A6ABBC" w14:textId="77777777" w:rsidR="00E32C3E" w:rsidRPr="00E32C3E" w:rsidRDefault="00E32C3E" w:rsidP="004103E0">
            <w:pPr>
              <w:spacing w:line="360" w:lineRule="auto"/>
              <w:jc w:val="center"/>
              <w:rPr>
                <w:sz w:val="22"/>
                <w:szCs w:val="22"/>
              </w:rPr>
            </w:pPr>
            <w:r w:rsidRPr="00E32C3E">
              <w:rPr>
                <w:sz w:val="22"/>
                <w:szCs w:val="22"/>
              </w:rPr>
              <w:t>12</w:t>
            </w:r>
          </w:p>
        </w:tc>
        <w:tc>
          <w:tcPr>
            <w:tcW w:w="567" w:type="dxa"/>
          </w:tcPr>
          <w:p w14:paraId="261737F2" w14:textId="77777777" w:rsidR="00E32C3E" w:rsidRPr="00E32C3E" w:rsidRDefault="00E32C3E" w:rsidP="004103E0">
            <w:pPr>
              <w:spacing w:line="360" w:lineRule="auto"/>
              <w:jc w:val="center"/>
              <w:rPr>
                <w:sz w:val="22"/>
                <w:szCs w:val="22"/>
              </w:rPr>
            </w:pPr>
            <w:r w:rsidRPr="00E32C3E">
              <w:rPr>
                <w:sz w:val="22"/>
                <w:szCs w:val="22"/>
              </w:rPr>
              <w:t>17</w:t>
            </w:r>
          </w:p>
        </w:tc>
      </w:tr>
      <w:tr w:rsidR="00E32C3E" w14:paraId="392BE3D6" w14:textId="77777777" w:rsidTr="00E32C3E">
        <w:trPr>
          <w:trHeight w:val="382"/>
        </w:trPr>
        <w:tc>
          <w:tcPr>
            <w:tcW w:w="2943" w:type="dxa"/>
            <w:gridSpan w:val="2"/>
          </w:tcPr>
          <w:p w14:paraId="57925EE9" w14:textId="77777777" w:rsidR="00E32C3E" w:rsidRPr="00E32C3E" w:rsidRDefault="00E32C3E" w:rsidP="004103E0">
            <w:pPr>
              <w:spacing w:line="360" w:lineRule="auto"/>
              <w:rPr>
                <w:i/>
                <w:iCs/>
                <w:sz w:val="22"/>
                <w:szCs w:val="22"/>
              </w:rPr>
            </w:pPr>
            <w:r w:rsidRPr="00E32C3E">
              <w:rPr>
                <w:i/>
                <w:iCs/>
                <w:sz w:val="22"/>
                <w:szCs w:val="22"/>
              </w:rPr>
              <w:t>Systematic reviews citing…</w:t>
            </w:r>
          </w:p>
        </w:tc>
        <w:tc>
          <w:tcPr>
            <w:tcW w:w="1134" w:type="dxa"/>
            <w:vAlign w:val="bottom"/>
          </w:tcPr>
          <w:p w14:paraId="254FF02E" w14:textId="77777777" w:rsidR="00E32C3E" w:rsidRPr="00E32C3E" w:rsidRDefault="00E32C3E" w:rsidP="004103E0">
            <w:pPr>
              <w:spacing w:line="360" w:lineRule="auto"/>
              <w:jc w:val="right"/>
              <w:rPr>
                <w:sz w:val="22"/>
                <w:szCs w:val="22"/>
              </w:rPr>
            </w:pPr>
          </w:p>
        </w:tc>
        <w:tc>
          <w:tcPr>
            <w:tcW w:w="1560" w:type="dxa"/>
            <w:gridSpan w:val="2"/>
            <w:vAlign w:val="bottom"/>
          </w:tcPr>
          <w:p w14:paraId="06BDDEE5" w14:textId="77777777" w:rsidR="00E32C3E" w:rsidRPr="00E32C3E" w:rsidRDefault="00E32C3E" w:rsidP="004103E0">
            <w:pPr>
              <w:spacing w:line="360" w:lineRule="auto"/>
              <w:jc w:val="center"/>
              <w:rPr>
                <w:sz w:val="22"/>
                <w:szCs w:val="22"/>
              </w:rPr>
            </w:pPr>
          </w:p>
        </w:tc>
        <w:tc>
          <w:tcPr>
            <w:tcW w:w="283" w:type="dxa"/>
          </w:tcPr>
          <w:p w14:paraId="66631712" w14:textId="77777777" w:rsidR="00E32C3E" w:rsidRPr="00E32C3E" w:rsidRDefault="00E32C3E" w:rsidP="004103E0">
            <w:pPr>
              <w:spacing w:line="360" w:lineRule="auto"/>
              <w:jc w:val="right"/>
              <w:rPr>
                <w:sz w:val="22"/>
                <w:szCs w:val="22"/>
              </w:rPr>
            </w:pPr>
          </w:p>
        </w:tc>
        <w:tc>
          <w:tcPr>
            <w:tcW w:w="992" w:type="dxa"/>
            <w:vAlign w:val="bottom"/>
          </w:tcPr>
          <w:p w14:paraId="3D1CA3ED" w14:textId="144CEE6A" w:rsidR="00E32C3E" w:rsidRPr="00E32C3E" w:rsidRDefault="00E32C3E" w:rsidP="004103E0">
            <w:pPr>
              <w:spacing w:line="360" w:lineRule="auto"/>
              <w:jc w:val="center"/>
              <w:rPr>
                <w:sz w:val="22"/>
                <w:szCs w:val="22"/>
              </w:rPr>
            </w:pPr>
          </w:p>
        </w:tc>
        <w:tc>
          <w:tcPr>
            <w:tcW w:w="567" w:type="dxa"/>
            <w:vAlign w:val="bottom"/>
          </w:tcPr>
          <w:p w14:paraId="0EC97F70" w14:textId="77777777" w:rsidR="00E32C3E" w:rsidRPr="00E32C3E" w:rsidRDefault="00E32C3E" w:rsidP="004103E0">
            <w:pPr>
              <w:spacing w:line="360" w:lineRule="auto"/>
              <w:jc w:val="center"/>
              <w:rPr>
                <w:sz w:val="22"/>
                <w:szCs w:val="22"/>
              </w:rPr>
            </w:pPr>
          </w:p>
        </w:tc>
        <w:tc>
          <w:tcPr>
            <w:tcW w:w="567" w:type="dxa"/>
            <w:vAlign w:val="bottom"/>
          </w:tcPr>
          <w:p w14:paraId="632A91F9" w14:textId="77777777" w:rsidR="00E32C3E" w:rsidRPr="00E32C3E" w:rsidRDefault="00E32C3E" w:rsidP="004103E0">
            <w:pPr>
              <w:spacing w:line="360" w:lineRule="auto"/>
              <w:jc w:val="center"/>
              <w:rPr>
                <w:sz w:val="22"/>
                <w:szCs w:val="22"/>
              </w:rPr>
            </w:pPr>
          </w:p>
        </w:tc>
        <w:tc>
          <w:tcPr>
            <w:tcW w:w="567" w:type="dxa"/>
            <w:vAlign w:val="bottom"/>
          </w:tcPr>
          <w:p w14:paraId="732EF6B0" w14:textId="77777777" w:rsidR="00E32C3E" w:rsidRPr="00E32C3E" w:rsidRDefault="00E32C3E" w:rsidP="004103E0">
            <w:pPr>
              <w:spacing w:line="360" w:lineRule="auto"/>
              <w:jc w:val="center"/>
              <w:rPr>
                <w:sz w:val="22"/>
                <w:szCs w:val="22"/>
              </w:rPr>
            </w:pPr>
          </w:p>
        </w:tc>
        <w:tc>
          <w:tcPr>
            <w:tcW w:w="284" w:type="dxa"/>
          </w:tcPr>
          <w:p w14:paraId="6BBABA17" w14:textId="77777777" w:rsidR="00E32C3E" w:rsidRPr="00E32C3E" w:rsidRDefault="00E32C3E" w:rsidP="004103E0">
            <w:pPr>
              <w:spacing w:line="360" w:lineRule="auto"/>
              <w:jc w:val="right"/>
              <w:rPr>
                <w:sz w:val="22"/>
                <w:szCs w:val="22"/>
              </w:rPr>
            </w:pPr>
          </w:p>
        </w:tc>
        <w:tc>
          <w:tcPr>
            <w:tcW w:w="992" w:type="dxa"/>
            <w:vAlign w:val="bottom"/>
          </w:tcPr>
          <w:p w14:paraId="758203CE" w14:textId="77777777" w:rsidR="00E32C3E" w:rsidRPr="00E32C3E" w:rsidRDefault="00E32C3E" w:rsidP="004103E0">
            <w:pPr>
              <w:spacing w:line="360" w:lineRule="auto"/>
              <w:jc w:val="center"/>
              <w:rPr>
                <w:sz w:val="22"/>
                <w:szCs w:val="22"/>
              </w:rPr>
            </w:pPr>
          </w:p>
        </w:tc>
        <w:tc>
          <w:tcPr>
            <w:tcW w:w="567" w:type="dxa"/>
            <w:vAlign w:val="bottom"/>
          </w:tcPr>
          <w:p w14:paraId="17D8F4FE" w14:textId="77777777" w:rsidR="00E32C3E" w:rsidRPr="00E32C3E" w:rsidRDefault="00E32C3E" w:rsidP="004103E0">
            <w:pPr>
              <w:spacing w:line="360" w:lineRule="auto"/>
              <w:jc w:val="center"/>
              <w:rPr>
                <w:sz w:val="22"/>
                <w:szCs w:val="22"/>
              </w:rPr>
            </w:pPr>
          </w:p>
        </w:tc>
        <w:tc>
          <w:tcPr>
            <w:tcW w:w="567" w:type="dxa"/>
            <w:vAlign w:val="bottom"/>
          </w:tcPr>
          <w:p w14:paraId="793B7130" w14:textId="77777777" w:rsidR="00E32C3E" w:rsidRPr="00E32C3E" w:rsidRDefault="00E32C3E" w:rsidP="004103E0">
            <w:pPr>
              <w:spacing w:line="360" w:lineRule="auto"/>
              <w:jc w:val="center"/>
              <w:rPr>
                <w:sz w:val="22"/>
                <w:szCs w:val="22"/>
              </w:rPr>
            </w:pPr>
          </w:p>
        </w:tc>
        <w:tc>
          <w:tcPr>
            <w:tcW w:w="567" w:type="dxa"/>
            <w:vAlign w:val="bottom"/>
          </w:tcPr>
          <w:p w14:paraId="78723220" w14:textId="77777777" w:rsidR="00E32C3E" w:rsidRPr="00E32C3E" w:rsidRDefault="00E32C3E" w:rsidP="004103E0">
            <w:pPr>
              <w:spacing w:line="360" w:lineRule="auto"/>
              <w:jc w:val="center"/>
              <w:rPr>
                <w:sz w:val="22"/>
                <w:szCs w:val="22"/>
              </w:rPr>
            </w:pPr>
          </w:p>
        </w:tc>
        <w:tc>
          <w:tcPr>
            <w:tcW w:w="284" w:type="dxa"/>
          </w:tcPr>
          <w:p w14:paraId="4FF9E0D9" w14:textId="77777777" w:rsidR="00E32C3E" w:rsidRPr="00E32C3E" w:rsidRDefault="00E32C3E" w:rsidP="004103E0">
            <w:pPr>
              <w:spacing w:line="360" w:lineRule="auto"/>
              <w:jc w:val="right"/>
              <w:rPr>
                <w:sz w:val="22"/>
                <w:szCs w:val="22"/>
              </w:rPr>
            </w:pPr>
          </w:p>
        </w:tc>
        <w:tc>
          <w:tcPr>
            <w:tcW w:w="992" w:type="dxa"/>
            <w:vAlign w:val="bottom"/>
          </w:tcPr>
          <w:p w14:paraId="4033BBF9" w14:textId="77777777" w:rsidR="00E32C3E" w:rsidRPr="00E32C3E" w:rsidRDefault="00E32C3E" w:rsidP="004103E0">
            <w:pPr>
              <w:spacing w:line="360" w:lineRule="auto"/>
              <w:jc w:val="center"/>
              <w:rPr>
                <w:sz w:val="22"/>
                <w:szCs w:val="22"/>
              </w:rPr>
            </w:pPr>
          </w:p>
        </w:tc>
        <w:tc>
          <w:tcPr>
            <w:tcW w:w="567" w:type="dxa"/>
            <w:vAlign w:val="bottom"/>
          </w:tcPr>
          <w:p w14:paraId="1BBF22D1" w14:textId="77777777" w:rsidR="00E32C3E" w:rsidRPr="00E32C3E" w:rsidRDefault="00E32C3E" w:rsidP="004103E0">
            <w:pPr>
              <w:spacing w:line="360" w:lineRule="auto"/>
              <w:jc w:val="center"/>
              <w:rPr>
                <w:sz w:val="22"/>
                <w:szCs w:val="22"/>
              </w:rPr>
            </w:pPr>
          </w:p>
        </w:tc>
        <w:tc>
          <w:tcPr>
            <w:tcW w:w="567" w:type="dxa"/>
            <w:vAlign w:val="bottom"/>
          </w:tcPr>
          <w:p w14:paraId="0EA759DC" w14:textId="77777777" w:rsidR="00E32C3E" w:rsidRPr="00E32C3E" w:rsidRDefault="00E32C3E" w:rsidP="004103E0">
            <w:pPr>
              <w:spacing w:line="360" w:lineRule="auto"/>
              <w:jc w:val="center"/>
              <w:rPr>
                <w:sz w:val="22"/>
                <w:szCs w:val="22"/>
              </w:rPr>
            </w:pPr>
          </w:p>
        </w:tc>
        <w:tc>
          <w:tcPr>
            <w:tcW w:w="567" w:type="dxa"/>
            <w:vAlign w:val="bottom"/>
          </w:tcPr>
          <w:p w14:paraId="452F0DA9" w14:textId="77777777" w:rsidR="00E32C3E" w:rsidRPr="00E32C3E" w:rsidRDefault="00E32C3E" w:rsidP="004103E0">
            <w:pPr>
              <w:spacing w:line="360" w:lineRule="auto"/>
              <w:jc w:val="center"/>
              <w:rPr>
                <w:sz w:val="22"/>
                <w:szCs w:val="22"/>
              </w:rPr>
            </w:pPr>
          </w:p>
        </w:tc>
      </w:tr>
      <w:tr w:rsidR="00E32C3E" w14:paraId="4F28F626" w14:textId="77777777" w:rsidTr="00E32C3E">
        <w:trPr>
          <w:trHeight w:val="409"/>
        </w:trPr>
        <w:tc>
          <w:tcPr>
            <w:tcW w:w="2943" w:type="dxa"/>
            <w:gridSpan w:val="2"/>
          </w:tcPr>
          <w:p w14:paraId="63D0619B" w14:textId="77777777" w:rsidR="00E32C3E" w:rsidRPr="00E32C3E" w:rsidRDefault="00E32C3E" w:rsidP="004103E0">
            <w:pPr>
              <w:spacing w:line="360" w:lineRule="auto"/>
              <w:jc w:val="right"/>
              <w:rPr>
                <w:sz w:val="22"/>
                <w:szCs w:val="22"/>
              </w:rPr>
            </w:pPr>
            <w:r w:rsidRPr="00E32C3E">
              <w:rPr>
                <w:sz w:val="22"/>
                <w:szCs w:val="22"/>
              </w:rPr>
              <w:t>…Quorom 1999</w:t>
            </w:r>
          </w:p>
        </w:tc>
        <w:tc>
          <w:tcPr>
            <w:tcW w:w="1134" w:type="dxa"/>
            <w:vAlign w:val="bottom"/>
          </w:tcPr>
          <w:p w14:paraId="4C3D617B" w14:textId="77777777" w:rsidR="00E32C3E" w:rsidRPr="00E32C3E" w:rsidRDefault="00E32C3E" w:rsidP="004103E0">
            <w:pPr>
              <w:spacing w:line="360" w:lineRule="auto"/>
              <w:jc w:val="right"/>
              <w:rPr>
                <w:sz w:val="22"/>
                <w:szCs w:val="22"/>
              </w:rPr>
            </w:pPr>
            <w:r w:rsidRPr="00E32C3E">
              <w:rPr>
                <w:sz w:val="22"/>
                <w:szCs w:val="22"/>
              </w:rPr>
              <w:t>1.075</w:t>
            </w:r>
          </w:p>
        </w:tc>
        <w:tc>
          <w:tcPr>
            <w:tcW w:w="1560" w:type="dxa"/>
            <w:gridSpan w:val="2"/>
            <w:vAlign w:val="bottom"/>
          </w:tcPr>
          <w:p w14:paraId="69D19448" w14:textId="77777777" w:rsidR="00E32C3E" w:rsidRPr="00E32C3E" w:rsidRDefault="00E32C3E" w:rsidP="004103E0">
            <w:pPr>
              <w:spacing w:line="360" w:lineRule="auto"/>
              <w:jc w:val="center"/>
              <w:rPr>
                <w:sz w:val="22"/>
                <w:szCs w:val="22"/>
              </w:rPr>
            </w:pPr>
            <w:r w:rsidRPr="00E32C3E">
              <w:rPr>
                <w:sz w:val="22"/>
                <w:szCs w:val="22"/>
              </w:rPr>
              <w:t>5.62</w:t>
            </w:r>
          </w:p>
        </w:tc>
        <w:tc>
          <w:tcPr>
            <w:tcW w:w="283" w:type="dxa"/>
          </w:tcPr>
          <w:p w14:paraId="772B398C" w14:textId="77777777" w:rsidR="00E32C3E" w:rsidRPr="00E32C3E" w:rsidRDefault="00E32C3E" w:rsidP="004103E0">
            <w:pPr>
              <w:spacing w:line="360" w:lineRule="auto"/>
              <w:jc w:val="right"/>
              <w:rPr>
                <w:sz w:val="22"/>
                <w:szCs w:val="22"/>
              </w:rPr>
            </w:pPr>
          </w:p>
        </w:tc>
        <w:tc>
          <w:tcPr>
            <w:tcW w:w="992" w:type="dxa"/>
            <w:vAlign w:val="bottom"/>
          </w:tcPr>
          <w:p w14:paraId="28327DE0" w14:textId="02790115" w:rsidR="00E32C3E" w:rsidRPr="00E32C3E" w:rsidRDefault="00E32C3E" w:rsidP="004103E0">
            <w:pPr>
              <w:spacing w:line="360" w:lineRule="auto"/>
              <w:jc w:val="center"/>
              <w:rPr>
                <w:sz w:val="22"/>
                <w:szCs w:val="22"/>
              </w:rPr>
            </w:pPr>
            <w:r w:rsidRPr="00E32C3E">
              <w:rPr>
                <w:sz w:val="22"/>
                <w:szCs w:val="22"/>
              </w:rPr>
              <w:t>0.15</w:t>
            </w:r>
          </w:p>
        </w:tc>
        <w:tc>
          <w:tcPr>
            <w:tcW w:w="567" w:type="dxa"/>
            <w:vAlign w:val="bottom"/>
          </w:tcPr>
          <w:p w14:paraId="3413CD8C" w14:textId="77777777" w:rsidR="00E32C3E" w:rsidRPr="00E32C3E" w:rsidRDefault="00E32C3E" w:rsidP="004103E0">
            <w:pPr>
              <w:spacing w:line="360" w:lineRule="auto"/>
              <w:jc w:val="center"/>
              <w:rPr>
                <w:sz w:val="22"/>
                <w:szCs w:val="22"/>
              </w:rPr>
            </w:pPr>
            <w:r w:rsidRPr="00E32C3E">
              <w:rPr>
                <w:sz w:val="22"/>
                <w:szCs w:val="22"/>
              </w:rPr>
              <w:t>3</w:t>
            </w:r>
          </w:p>
        </w:tc>
        <w:tc>
          <w:tcPr>
            <w:tcW w:w="567" w:type="dxa"/>
            <w:vAlign w:val="bottom"/>
          </w:tcPr>
          <w:p w14:paraId="76C13F29" w14:textId="77777777" w:rsidR="00E32C3E" w:rsidRPr="00E32C3E" w:rsidRDefault="00E32C3E" w:rsidP="004103E0">
            <w:pPr>
              <w:spacing w:line="360" w:lineRule="auto"/>
              <w:jc w:val="center"/>
              <w:rPr>
                <w:sz w:val="22"/>
                <w:szCs w:val="22"/>
              </w:rPr>
            </w:pPr>
            <w:r w:rsidRPr="00E32C3E">
              <w:rPr>
                <w:sz w:val="22"/>
                <w:szCs w:val="22"/>
              </w:rPr>
              <w:t>6</w:t>
            </w:r>
          </w:p>
        </w:tc>
        <w:tc>
          <w:tcPr>
            <w:tcW w:w="567" w:type="dxa"/>
            <w:vAlign w:val="bottom"/>
          </w:tcPr>
          <w:p w14:paraId="6EA0F6C9" w14:textId="77777777" w:rsidR="00E32C3E" w:rsidRPr="00E32C3E" w:rsidRDefault="00E32C3E" w:rsidP="004103E0">
            <w:pPr>
              <w:spacing w:line="360" w:lineRule="auto"/>
              <w:jc w:val="center"/>
              <w:rPr>
                <w:sz w:val="22"/>
                <w:szCs w:val="22"/>
              </w:rPr>
            </w:pPr>
            <w:r w:rsidRPr="00E32C3E">
              <w:rPr>
                <w:sz w:val="22"/>
                <w:szCs w:val="22"/>
              </w:rPr>
              <w:t>12</w:t>
            </w:r>
          </w:p>
        </w:tc>
        <w:tc>
          <w:tcPr>
            <w:tcW w:w="284" w:type="dxa"/>
          </w:tcPr>
          <w:p w14:paraId="302876A1" w14:textId="77777777" w:rsidR="00E32C3E" w:rsidRPr="00E32C3E" w:rsidRDefault="00E32C3E" w:rsidP="004103E0">
            <w:pPr>
              <w:spacing w:line="360" w:lineRule="auto"/>
              <w:jc w:val="right"/>
              <w:rPr>
                <w:sz w:val="22"/>
                <w:szCs w:val="22"/>
              </w:rPr>
            </w:pPr>
          </w:p>
        </w:tc>
        <w:tc>
          <w:tcPr>
            <w:tcW w:w="992" w:type="dxa"/>
            <w:vAlign w:val="bottom"/>
          </w:tcPr>
          <w:p w14:paraId="1B5BD0D6" w14:textId="77777777" w:rsidR="00E32C3E" w:rsidRPr="00E32C3E" w:rsidRDefault="00E32C3E" w:rsidP="004103E0">
            <w:pPr>
              <w:spacing w:line="360" w:lineRule="auto"/>
              <w:jc w:val="center"/>
              <w:rPr>
                <w:sz w:val="22"/>
                <w:szCs w:val="22"/>
              </w:rPr>
            </w:pPr>
            <w:r w:rsidRPr="00E32C3E">
              <w:rPr>
                <w:sz w:val="22"/>
                <w:szCs w:val="22"/>
              </w:rPr>
              <w:t>0.04</w:t>
            </w:r>
          </w:p>
        </w:tc>
        <w:tc>
          <w:tcPr>
            <w:tcW w:w="567" w:type="dxa"/>
            <w:vAlign w:val="bottom"/>
          </w:tcPr>
          <w:p w14:paraId="2C676D1F" w14:textId="77777777" w:rsidR="00E32C3E" w:rsidRPr="00E32C3E" w:rsidRDefault="00E32C3E" w:rsidP="004103E0">
            <w:pPr>
              <w:spacing w:line="360" w:lineRule="auto"/>
              <w:jc w:val="center"/>
              <w:rPr>
                <w:sz w:val="22"/>
                <w:szCs w:val="22"/>
              </w:rPr>
            </w:pPr>
            <w:r w:rsidRPr="00E32C3E">
              <w:rPr>
                <w:sz w:val="22"/>
                <w:szCs w:val="22"/>
              </w:rPr>
              <w:t>10</w:t>
            </w:r>
          </w:p>
        </w:tc>
        <w:tc>
          <w:tcPr>
            <w:tcW w:w="567" w:type="dxa"/>
            <w:vAlign w:val="bottom"/>
          </w:tcPr>
          <w:p w14:paraId="16D20DC3" w14:textId="77777777" w:rsidR="00E32C3E" w:rsidRPr="00E32C3E" w:rsidRDefault="00E32C3E" w:rsidP="004103E0">
            <w:pPr>
              <w:spacing w:line="360" w:lineRule="auto"/>
              <w:jc w:val="center"/>
              <w:rPr>
                <w:sz w:val="22"/>
                <w:szCs w:val="22"/>
              </w:rPr>
            </w:pPr>
            <w:r w:rsidRPr="00E32C3E">
              <w:rPr>
                <w:sz w:val="22"/>
                <w:szCs w:val="22"/>
              </w:rPr>
              <w:t>14</w:t>
            </w:r>
          </w:p>
        </w:tc>
        <w:tc>
          <w:tcPr>
            <w:tcW w:w="567" w:type="dxa"/>
            <w:vAlign w:val="bottom"/>
          </w:tcPr>
          <w:p w14:paraId="1366C0F8" w14:textId="77777777" w:rsidR="00E32C3E" w:rsidRPr="00E32C3E" w:rsidRDefault="00E32C3E" w:rsidP="004103E0">
            <w:pPr>
              <w:spacing w:line="360" w:lineRule="auto"/>
              <w:jc w:val="center"/>
              <w:rPr>
                <w:sz w:val="22"/>
                <w:szCs w:val="22"/>
              </w:rPr>
            </w:pPr>
            <w:r w:rsidRPr="00E32C3E">
              <w:rPr>
                <w:sz w:val="22"/>
                <w:szCs w:val="22"/>
              </w:rPr>
              <w:t>15</w:t>
            </w:r>
          </w:p>
        </w:tc>
        <w:tc>
          <w:tcPr>
            <w:tcW w:w="284" w:type="dxa"/>
          </w:tcPr>
          <w:p w14:paraId="68059660" w14:textId="77777777" w:rsidR="00E32C3E" w:rsidRPr="00E32C3E" w:rsidRDefault="00E32C3E" w:rsidP="004103E0">
            <w:pPr>
              <w:spacing w:line="360" w:lineRule="auto"/>
              <w:jc w:val="right"/>
              <w:rPr>
                <w:sz w:val="22"/>
                <w:szCs w:val="22"/>
              </w:rPr>
            </w:pPr>
          </w:p>
        </w:tc>
        <w:tc>
          <w:tcPr>
            <w:tcW w:w="992" w:type="dxa"/>
            <w:vAlign w:val="bottom"/>
          </w:tcPr>
          <w:p w14:paraId="3966C820" w14:textId="77777777" w:rsidR="00E32C3E" w:rsidRPr="00E32C3E" w:rsidRDefault="00E32C3E" w:rsidP="004103E0">
            <w:pPr>
              <w:spacing w:line="360" w:lineRule="auto"/>
              <w:jc w:val="center"/>
              <w:rPr>
                <w:sz w:val="22"/>
                <w:szCs w:val="22"/>
              </w:rPr>
            </w:pPr>
            <w:r w:rsidRPr="00E32C3E">
              <w:rPr>
                <w:sz w:val="22"/>
                <w:szCs w:val="22"/>
              </w:rPr>
              <w:t>0.12</w:t>
            </w:r>
          </w:p>
        </w:tc>
        <w:tc>
          <w:tcPr>
            <w:tcW w:w="567" w:type="dxa"/>
            <w:vAlign w:val="bottom"/>
          </w:tcPr>
          <w:p w14:paraId="37185901" w14:textId="77777777" w:rsidR="00E32C3E" w:rsidRPr="00E32C3E" w:rsidRDefault="00E32C3E" w:rsidP="004103E0">
            <w:pPr>
              <w:spacing w:line="360" w:lineRule="auto"/>
              <w:jc w:val="center"/>
              <w:rPr>
                <w:sz w:val="22"/>
                <w:szCs w:val="22"/>
              </w:rPr>
            </w:pPr>
            <w:r w:rsidRPr="00E32C3E">
              <w:rPr>
                <w:sz w:val="22"/>
                <w:szCs w:val="22"/>
              </w:rPr>
              <w:t>4</w:t>
            </w:r>
          </w:p>
        </w:tc>
        <w:tc>
          <w:tcPr>
            <w:tcW w:w="567" w:type="dxa"/>
            <w:vAlign w:val="bottom"/>
          </w:tcPr>
          <w:p w14:paraId="3C1B4BFD" w14:textId="77777777" w:rsidR="00E32C3E" w:rsidRPr="00E32C3E" w:rsidRDefault="00E32C3E" w:rsidP="004103E0">
            <w:pPr>
              <w:spacing w:line="360" w:lineRule="auto"/>
              <w:jc w:val="center"/>
              <w:rPr>
                <w:sz w:val="22"/>
                <w:szCs w:val="22"/>
              </w:rPr>
            </w:pPr>
            <w:r w:rsidRPr="00E32C3E">
              <w:rPr>
                <w:sz w:val="22"/>
                <w:szCs w:val="22"/>
              </w:rPr>
              <w:t>9</w:t>
            </w:r>
          </w:p>
        </w:tc>
        <w:tc>
          <w:tcPr>
            <w:tcW w:w="567" w:type="dxa"/>
            <w:vAlign w:val="bottom"/>
          </w:tcPr>
          <w:p w14:paraId="7E3EED77" w14:textId="77777777" w:rsidR="00E32C3E" w:rsidRPr="00E32C3E" w:rsidRDefault="00E32C3E" w:rsidP="004103E0">
            <w:pPr>
              <w:spacing w:line="360" w:lineRule="auto"/>
              <w:jc w:val="center"/>
              <w:rPr>
                <w:sz w:val="22"/>
                <w:szCs w:val="22"/>
              </w:rPr>
            </w:pPr>
            <w:r w:rsidRPr="00E32C3E">
              <w:rPr>
                <w:sz w:val="22"/>
                <w:szCs w:val="22"/>
              </w:rPr>
              <w:t>14</w:t>
            </w:r>
          </w:p>
        </w:tc>
      </w:tr>
      <w:tr w:rsidR="00E32C3E" w14:paraId="72204D0E" w14:textId="77777777" w:rsidTr="00E32C3E">
        <w:trPr>
          <w:trHeight w:val="409"/>
        </w:trPr>
        <w:tc>
          <w:tcPr>
            <w:tcW w:w="2943" w:type="dxa"/>
            <w:gridSpan w:val="2"/>
          </w:tcPr>
          <w:p w14:paraId="7177FCD3" w14:textId="77777777" w:rsidR="00E32C3E" w:rsidRPr="00E32C3E" w:rsidRDefault="00E32C3E" w:rsidP="004103E0">
            <w:pPr>
              <w:spacing w:line="360" w:lineRule="auto"/>
              <w:jc w:val="right"/>
              <w:rPr>
                <w:sz w:val="22"/>
                <w:szCs w:val="22"/>
              </w:rPr>
            </w:pPr>
            <w:r w:rsidRPr="00E32C3E">
              <w:rPr>
                <w:sz w:val="22"/>
                <w:szCs w:val="22"/>
              </w:rPr>
              <w:t>…PRISMA 2009</w:t>
            </w:r>
          </w:p>
        </w:tc>
        <w:tc>
          <w:tcPr>
            <w:tcW w:w="1134" w:type="dxa"/>
            <w:vAlign w:val="bottom"/>
          </w:tcPr>
          <w:p w14:paraId="232B0F82" w14:textId="77777777" w:rsidR="00E32C3E" w:rsidRPr="00E32C3E" w:rsidRDefault="00E32C3E" w:rsidP="004103E0">
            <w:pPr>
              <w:spacing w:line="360" w:lineRule="auto"/>
              <w:jc w:val="right"/>
              <w:rPr>
                <w:sz w:val="22"/>
                <w:szCs w:val="22"/>
              </w:rPr>
            </w:pPr>
            <w:r w:rsidRPr="00E32C3E">
              <w:rPr>
                <w:sz w:val="22"/>
                <w:szCs w:val="22"/>
              </w:rPr>
              <w:t>78.329</w:t>
            </w:r>
          </w:p>
        </w:tc>
        <w:tc>
          <w:tcPr>
            <w:tcW w:w="1560" w:type="dxa"/>
            <w:gridSpan w:val="2"/>
            <w:vAlign w:val="bottom"/>
          </w:tcPr>
          <w:p w14:paraId="45FEB496" w14:textId="77777777" w:rsidR="00E32C3E" w:rsidRPr="00E32C3E" w:rsidRDefault="00E32C3E" w:rsidP="004103E0">
            <w:pPr>
              <w:spacing w:line="360" w:lineRule="auto"/>
              <w:jc w:val="center"/>
              <w:rPr>
                <w:sz w:val="22"/>
                <w:szCs w:val="22"/>
              </w:rPr>
            </w:pPr>
            <w:r w:rsidRPr="00E32C3E">
              <w:rPr>
                <w:sz w:val="22"/>
                <w:szCs w:val="22"/>
              </w:rPr>
              <w:t>6.14</w:t>
            </w:r>
          </w:p>
        </w:tc>
        <w:tc>
          <w:tcPr>
            <w:tcW w:w="283" w:type="dxa"/>
          </w:tcPr>
          <w:p w14:paraId="03801520" w14:textId="77777777" w:rsidR="00E32C3E" w:rsidRPr="00E32C3E" w:rsidRDefault="00E32C3E" w:rsidP="004103E0">
            <w:pPr>
              <w:spacing w:line="360" w:lineRule="auto"/>
              <w:jc w:val="right"/>
              <w:rPr>
                <w:sz w:val="22"/>
                <w:szCs w:val="22"/>
              </w:rPr>
            </w:pPr>
          </w:p>
        </w:tc>
        <w:tc>
          <w:tcPr>
            <w:tcW w:w="992" w:type="dxa"/>
            <w:vAlign w:val="bottom"/>
          </w:tcPr>
          <w:p w14:paraId="5762A779" w14:textId="504BB588" w:rsidR="00E32C3E" w:rsidRPr="00E32C3E" w:rsidRDefault="00E32C3E" w:rsidP="004103E0">
            <w:pPr>
              <w:spacing w:line="360" w:lineRule="auto"/>
              <w:jc w:val="center"/>
              <w:rPr>
                <w:sz w:val="22"/>
                <w:szCs w:val="22"/>
              </w:rPr>
            </w:pPr>
            <w:r w:rsidRPr="00E32C3E">
              <w:rPr>
                <w:sz w:val="22"/>
                <w:szCs w:val="22"/>
              </w:rPr>
              <w:t>0.21</w:t>
            </w:r>
          </w:p>
        </w:tc>
        <w:tc>
          <w:tcPr>
            <w:tcW w:w="567" w:type="dxa"/>
            <w:vAlign w:val="bottom"/>
          </w:tcPr>
          <w:p w14:paraId="7EBFA3A5" w14:textId="77777777" w:rsidR="00E32C3E" w:rsidRPr="00E32C3E" w:rsidRDefault="00E32C3E" w:rsidP="004103E0">
            <w:pPr>
              <w:spacing w:line="360" w:lineRule="auto"/>
              <w:jc w:val="center"/>
              <w:rPr>
                <w:sz w:val="22"/>
                <w:szCs w:val="22"/>
              </w:rPr>
            </w:pPr>
            <w:r w:rsidRPr="00E32C3E">
              <w:rPr>
                <w:sz w:val="22"/>
                <w:szCs w:val="22"/>
              </w:rPr>
              <w:t>2</w:t>
            </w:r>
          </w:p>
        </w:tc>
        <w:tc>
          <w:tcPr>
            <w:tcW w:w="567" w:type="dxa"/>
            <w:vAlign w:val="bottom"/>
          </w:tcPr>
          <w:p w14:paraId="18F5F737" w14:textId="77777777" w:rsidR="00E32C3E" w:rsidRPr="00E32C3E" w:rsidRDefault="00E32C3E" w:rsidP="004103E0">
            <w:pPr>
              <w:spacing w:line="360" w:lineRule="auto"/>
              <w:jc w:val="center"/>
              <w:rPr>
                <w:sz w:val="22"/>
                <w:szCs w:val="22"/>
              </w:rPr>
            </w:pPr>
            <w:r w:rsidRPr="00E32C3E">
              <w:rPr>
                <w:sz w:val="22"/>
                <w:szCs w:val="22"/>
              </w:rPr>
              <w:t>5</w:t>
            </w:r>
          </w:p>
        </w:tc>
        <w:tc>
          <w:tcPr>
            <w:tcW w:w="567" w:type="dxa"/>
            <w:vAlign w:val="bottom"/>
          </w:tcPr>
          <w:p w14:paraId="2F19BFA4" w14:textId="77777777" w:rsidR="00E32C3E" w:rsidRPr="00E32C3E" w:rsidRDefault="00E32C3E" w:rsidP="004103E0">
            <w:pPr>
              <w:spacing w:line="360" w:lineRule="auto"/>
              <w:jc w:val="center"/>
              <w:rPr>
                <w:sz w:val="22"/>
                <w:szCs w:val="22"/>
              </w:rPr>
            </w:pPr>
            <w:r w:rsidRPr="00E32C3E">
              <w:rPr>
                <w:sz w:val="22"/>
                <w:szCs w:val="22"/>
              </w:rPr>
              <w:t>9</w:t>
            </w:r>
          </w:p>
        </w:tc>
        <w:tc>
          <w:tcPr>
            <w:tcW w:w="284" w:type="dxa"/>
          </w:tcPr>
          <w:p w14:paraId="09D9B512" w14:textId="77777777" w:rsidR="00E32C3E" w:rsidRPr="00E32C3E" w:rsidRDefault="00E32C3E" w:rsidP="004103E0">
            <w:pPr>
              <w:spacing w:line="360" w:lineRule="auto"/>
              <w:jc w:val="right"/>
              <w:rPr>
                <w:sz w:val="22"/>
                <w:szCs w:val="22"/>
              </w:rPr>
            </w:pPr>
          </w:p>
        </w:tc>
        <w:tc>
          <w:tcPr>
            <w:tcW w:w="992" w:type="dxa"/>
            <w:vAlign w:val="bottom"/>
          </w:tcPr>
          <w:p w14:paraId="000439C0" w14:textId="77777777" w:rsidR="00E32C3E" w:rsidRPr="00E32C3E" w:rsidRDefault="00E32C3E" w:rsidP="004103E0">
            <w:pPr>
              <w:spacing w:line="360" w:lineRule="auto"/>
              <w:jc w:val="center"/>
              <w:rPr>
                <w:sz w:val="22"/>
                <w:szCs w:val="22"/>
              </w:rPr>
            </w:pPr>
            <w:r w:rsidRPr="00E32C3E">
              <w:rPr>
                <w:sz w:val="22"/>
                <w:szCs w:val="22"/>
              </w:rPr>
              <w:t>0.05</w:t>
            </w:r>
          </w:p>
        </w:tc>
        <w:tc>
          <w:tcPr>
            <w:tcW w:w="567" w:type="dxa"/>
            <w:vAlign w:val="bottom"/>
          </w:tcPr>
          <w:p w14:paraId="3D2835CB" w14:textId="77777777" w:rsidR="00E32C3E" w:rsidRPr="00E32C3E" w:rsidRDefault="00E32C3E" w:rsidP="004103E0">
            <w:pPr>
              <w:spacing w:line="360" w:lineRule="auto"/>
              <w:jc w:val="center"/>
              <w:rPr>
                <w:sz w:val="22"/>
                <w:szCs w:val="22"/>
              </w:rPr>
            </w:pPr>
            <w:r w:rsidRPr="00E32C3E">
              <w:rPr>
                <w:sz w:val="22"/>
                <w:szCs w:val="22"/>
              </w:rPr>
              <w:t>10</w:t>
            </w:r>
          </w:p>
        </w:tc>
        <w:tc>
          <w:tcPr>
            <w:tcW w:w="567" w:type="dxa"/>
            <w:vAlign w:val="bottom"/>
          </w:tcPr>
          <w:p w14:paraId="4AA48BAE" w14:textId="77777777" w:rsidR="00E32C3E" w:rsidRPr="00E32C3E" w:rsidRDefault="00E32C3E" w:rsidP="004103E0">
            <w:pPr>
              <w:spacing w:line="360" w:lineRule="auto"/>
              <w:jc w:val="center"/>
              <w:rPr>
                <w:sz w:val="22"/>
                <w:szCs w:val="22"/>
              </w:rPr>
            </w:pPr>
            <w:r w:rsidRPr="00E32C3E">
              <w:rPr>
                <w:sz w:val="22"/>
                <w:szCs w:val="22"/>
              </w:rPr>
              <w:t>16</w:t>
            </w:r>
          </w:p>
        </w:tc>
        <w:tc>
          <w:tcPr>
            <w:tcW w:w="567" w:type="dxa"/>
            <w:vAlign w:val="bottom"/>
          </w:tcPr>
          <w:p w14:paraId="258F7F3C" w14:textId="77777777" w:rsidR="00E32C3E" w:rsidRPr="00E32C3E" w:rsidRDefault="00E32C3E" w:rsidP="004103E0">
            <w:pPr>
              <w:spacing w:line="360" w:lineRule="auto"/>
              <w:jc w:val="center"/>
              <w:rPr>
                <w:sz w:val="22"/>
                <w:szCs w:val="22"/>
              </w:rPr>
            </w:pPr>
            <w:r w:rsidRPr="00E32C3E">
              <w:rPr>
                <w:sz w:val="22"/>
                <w:szCs w:val="22"/>
              </w:rPr>
              <w:t>21</w:t>
            </w:r>
          </w:p>
        </w:tc>
        <w:tc>
          <w:tcPr>
            <w:tcW w:w="284" w:type="dxa"/>
          </w:tcPr>
          <w:p w14:paraId="0D10DF4A" w14:textId="77777777" w:rsidR="00E32C3E" w:rsidRPr="00E32C3E" w:rsidRDefault="00E32C3E" w:rsidP="004103E0">
            <w:pPr>
              <w:spacing w:line="360" w:lineRule="auto"/>
              <w:jc w:val="right"/>
              <w:rPr>
                <w:sz w:val="22"/>
                <w:szCs w:val="22"/>
              </w:rPr>
            </w:pPr>
          </w:p>
        </w:tc>
        <w:tc>
          <w:tcPr>
            <w:tcW w:w="992" w:type="dxa"/>
            <w:vAlign w:val="bottom"/>
          </w:tcPr>
          <w:p w14:paraId="5B52E017" w14:textId="77777777" w:rsidR="00E32C3E" w:rsidRPr="00E32C3E" w:rsidRDefault="00E32C3E" w:rsidP="004103E0">
            <w:pPr>
              <w:spacing w:line="360" w:lineRule="auto"/>
              <w:jc w:val="center"/>
              <w:rPr>
                <w:sz w:val="22"/>
                <w:szCs w:val="22"/>
              </w:rPr>
            </w:pPr>
            <w:r w:rsidRPr="00E32C3E">
              <w:rPr>
                <w:sz w:val="22"/>
                <w:szCs w:val="22"/>
              </w:rPr>
              <w:t>0.15</w:t>
            </w:r>
          </w:p>
        </w:tc>
        <w:tc>
          <w:tcPr>
            <w:tcW w:w="567" w:type="dxa"/>
            <w:vAlign w:val="bottom"/>
          </w:tcPr>
          <w:p w14:paraId="156BB3C4" w14:textId="77777777" w:rsidR="00E32C3E" w:rsidRPr="00E32C3E" w:rsidRDefault="00E32C3E" w:rsidP="004103E0">
            <w:pPr>
              <w:spacing w:line="360" w:lineRule="auto"/>
              <w:jc w:val="center"/>
              <w:rPr>
                <w:sz w:val="22"/>
                <w:szCs w:val="22"/>
              </w:rPr>
            </w:pPr>
            <w:r w:rsidRPr="00E32C3E">
              <w:rPr>
                <w:sz w:val="22"/>
                <w:szCs w:val="22"/>
              </w:rPr>
              <w:t>3</w:t>
            </w:r>
          </w:p>
        </w:tc>
        <w:tc>
          <w:tcPr>
            <w:tcW w:w="567" w:type="dxa"/>
            <w:vAlign w:val="bottom"/>
          </w:tcPr>
          <w:p w14:paraId="5FDC1EC6" w14:textId="77777777" w:rsidR="00E32C3E" w:rsidRPr="00E32C3E" w:rsidRDefault="00E32C3E" w:rsidP="004103E0">
            <w:pPr>
              <w:spacing w:line="360" w:lineRule="auto"/>
              <w:jc w:val="center"/>
              <w:rPr>
                <w:sz w:val="22"/>
                <w:szCs w:val="22"/>
              </w:rPr>
            </w:pPr>
            <w:r w:rsidRPr="00E32C3E">
              <w:rPr>
                <w:sz w:val="22"/>
                <w:szCs w:val="22"/>
              </w:rPr>
              <w:t>9</w:t>
            </w:r>
          </w:p>
        </w:tc>
        <w:tc>
          <w:tcPr>
            <w:tcW w:w="567" w:type="dxa"/>
            <w:vAlign w:val="bottom"/>
          </w:tcPr>
          <w:p w14:paraId="1A957117" w14:textId="77777777" w:rsidR="00E32C3E" w:rsidRPr="00E32C3E" w:rsidRDefault="00E32C3E" w:rsidP="004103E0">
            <w:pPr>
              <w:spacing w:line="360" w:lineRule="auto"/>
              <w:jc w:val="center"/>
              <w:rPr>
                <w:sz w:val="22"/>
                <w:szCs w:val="22"/>
              </w:rPr>
            </w:pPr>
            <w:r w:rsidRPr="00E32C3E">
              <w:rPr>
                <w:sz w:val="22"/>
                <w:szCs w:val="22"/>
              </w:rPr>
              <w:t>17</w:t>
            </w:r>
          </w:p>
        </w:tc>
      </w:tr>
      <w:tr w:rsidR="00E32C3E" w14:paraId="5B7A3883" w14:textId="77777777" w:rsidTr="004103E0">
        <w:trPr>
          <w:trHeight w:val="409"/>
        </w:trPr>
        <w:tc>
          <w:tcPr>
            <w:tcW w:w="2943" w:type="dxa"/>
            <w:gridSpan w:val="2"/>
            <w:tcBorders>
              <w:bottom w:val="single" w:sz="8" w:space="0" w:color="auto"/>
            </w:tcBorders>
          </w:tcPr>
          <w:p w14:paraId="5C38F9C9" w14:textId="77777777" w:rsidR="00E32C3E" w:rsidRPr="00E32C3E" w:rsidRDefault="00E32C3E" w:rsidP="004103E0">
            <w:pPr>
              <w:spacing w:line="360" w:lineRule="auto"/>
              <w:jc w:val="right"/>
              <w:rPr>
                <w:sz w:val="22"/>
                <w:szCs w:val="22"/>
              </w:rPr>
            </w:pPr>
            <w:r w:rsidRPr="00E32C3E">
              <w:rPr>
                <w:sz w:val="22"/>
                <w:szCs w:val="22"/>
              </w:rPr>
              <w:t>…PRISMA 2020</w:t>
            </w:r>
          </w:p>
        </w:tc>
        <w:tc>
          <w:tcPr>
            <w:tcW w:w="1134" w:type="dxa"/>
            <w:tcBorders>
              <w:bottom w:val="single" w:sz="8" w:space="0" w:color="auto"/>
            </w:tcBorders>
          </w:tcPr>
          <w:p w14:paraId="10D37CD9" w14:textId="77777777" w:rsidR="00E32C3E" w:rsidRPr="00E32C3E" w:rsidRDefault="00E32C3E" w:rsidP="004103E0">
            <w:pPr>
              <w:spacing w:line="360" w:lineRule="auto"/>
              <w:jc w:val="right"/>
              <w:rPr>
                <w:sz w:val="22"/>
                <w:szCs w:val="22"/>
              </w:rPr>
            </w:pPr>
            <w:r w:rsidRPr="00E32C3E">
              <w:rPr>
                <w:sz w:val="22"/>
                <w:szCs w:val="22"/>
              </w:rPr>
              <w:t>4.394</w:t>
            </w:r>
          </w:p>
        </w:tc>
        <w:tc>
          <w:tcPr>
            <w:tcW w:w="1560" w:type="dxa"/>
            <w:gridSpan w:val="2"/>
            <w:tcBorders>
              <w:bottom w:val="single" w:sz="8" w:space="0" w:color="auto"/>
            </w:tcBorders>
          </w:tcPr>
          <w:p w14:paraId="1C6948BB" w14:textId="77777777" w:rsidR="00E32C3E" w:rsidRPr="00E32C3E" w:rsidRDefault="00E32C3E" w:rsidP="004103E0">
            <w:pPr>
              <w:spacing w:line="360" w:lineRule="auto"/>
              <w:jc w:val="center"/>
              <w:rPr>
                <w:sz w:val="22"/>
                <w:szCs w:val="22"/>
              </w:rPr>
            </w:pPr>
            <w:r w:rsidRPr="00E32C3E">
              <w:rPr>
                <w:sz w:val="22"/>
                <w:szCs w:val="22"/>
              </w:rPr>
              <w:t>6.65</w:t>
            </w:r>
          </w:p>
        </w:tc>
        <w:tc>
          <w:tcPr>
            <w:tcW w:w="283" w:type="dxa"/>
            <w:tcBorders>
              <w:bottom w:val="single" w:sz="8" w:space="0" w:color="auto"/>
            </w:tcBorders>
          </w:tcPr>
          <w:p w14:paraId="03DE710B" w14:textId="77777777" w:rsidR="00E32C3E" w:rsidRPr="00E32C3E" w:rsidRDefault="00E32C3E" w:rsidP="004103E0">
            <w:pPr>
              <w:spacing w:line="360" w:lineRule="auto"/>
              <w:jc w:val="right"/>
              <w:rPr>
                <w:sz w:val="22"/>
                <w:szCs w:val="22"/>
              </w:rPr>
            </w:pPr>
          </w:p>
        </w:tc>
        <w:tc>
          <w:tcPr>
            <w:tcW w:w="992" w:type="dxa"/>
            <w:tcBorders>
              <w:bottom w:val="single" w:sz="8" w:space="0" w:color="auto"/>
            </w:tcBorders>
          </w:tcPr>
          <w:p w14:paraId="0E17F4BF" w14:textId="63B7239F" w:rsidR="00E32C3E" w:rsidRPr="00E32C3E" w:rsidRDefault="00E32C3E" w:rsidP="004103E0">
            <w:pPr>
              <w:spacing w:line="360" w:lineRule="auto"/>
              <w:jc w:val="center"/>
              <w:rPr>
                <w:sz w:val="22"/>
                <w:szCs w:val="22"/>
              </w:rPr>
            </w:pPr>
            <w:r w:rsidRPr="00E32C3E">
              <w:rPr>
                <w:sz w:val="22"/>
                <w:szCs w:val="22"/>
              </w:rPr>
              <w:t>0.27</w:t>
            </w:r>
          </w:p>
        </w:tc>
        <w:tc>
          <w:tcPr>
            <w:tcW w:w="567" w:type="dxa"/>
            <w:tcBorders>
              <w:bottom w:val="single" w:sz="8" w:space="0" w:color="auto"/>
            </w:tcBorders>
          </w:tcPr>
          <w:p w14:paraId="4814E973" w14:textId="77777777" w:rsidR="00E32C3E" w:rsidRPr="00E32C3E" w:rsidRDefault="00E32C3E" w:rsidP="004103E0">
            <w:pPr>
              <w:spacing w:line="360" w:lineRule="auto"/>
              <w:jc w:val="center"/>
              <w:rPr>
                <w:sz w:val="22"/>
                <w:szCs w:val="22"/>
              </w:rPr>
            </w:pPr>
            <w:r w:rsidRPr="00E32C3E">
              <w:rPr>
                <w:sz w:val="22"/>
                <w:szCs w:val="22"/>
              </w:rPr>
              <w:t>1</w:t>
            </w:r>
          </w:p>
        </w:tc>
        <w:tc>
          <w:tcPr>
            <w:tcW w:w="567" w:type="dxa"/>
            <w:tcBorders>
              <w:bottom w:val="single" w:sz="8" w:space="0" w:color="auto"/>
            </w:tcBorders>
          </w:tcPr>
          <w:p w14:paraId="654CC51B" w14:textId="77777777" w:rsidR="00E32C3E" w:rsidRPr="00E32C3E" w:rsidRDefault="00E32C3E" w:rsidP="004103E0">
            <w:pPr>
              <w:spacing w:line="360" w:lineRule="auto"/>
              <w:jc w:val="center"/>
              <w:rPr>
                <w:sz w:val="22"/>
                <w:szCs w:val="22"/>
              </w:rPr>
            </w:pPr>
            <w:r w:rsidRPr="00E32C3E">
              <w:rPr>
                <w:sz w:val="22"/>
                <w:szCs w:val="22"/>
              </w:rPr>
              <w:t>4</w:t>
            </w:r>
          </w:p>
        </w:tc>
        <w:tc>
          <w:tcPr>
            <w:tcW w:w="567" w:type="dxa"/>
            <w:tcBorders>
              <w:bottom w:val="single" w:sz="8" w:space="0" w:color="auto"/>
            </w:tcBorders>
          </w:tcPr>
          <w:p w14:paraId="4D327EF7" w14:textId="77777777" w:rsidR="00E32C3E" w:rsidRPr="00E32C3E" w:rsidRDefault="00E32C3E" w:rsidP="004103E0">
            <w:pPr>
              <w:spacing w:line="360" w:lineRule="auto"/>
              <w:jc w:val="center"/>
              <w:rPr>
                <w:sz w:val="22"/>
                <w:szCs w:val="22"/>
              </w:rPr>
            </w:pPr>
            <w:r w:rsidRPr="00E32C3E">
              <w:rPr>
                <w:sz w:val="22"/>
                <w:szCs w:val="22"/>
              </w:rPr>
              <w:t>8</w:t>
            </w:r>
          </w:p>
        </w:tc>
        <w:tc>
          <w:tcPr>
            <w:tcW w:w="284" w:type="dxa"/>
            <w:tcBorders>
              <w:bottom w:val="single" w:sz="8" w:space="0" w:color="auto"/>
            </w:tcBorders>
          </w:tcPr>
          <w:p w14:paraId="253DA1A0" w14:textId="77777777" w:rsidR="00E32C3E" w:rsidRPr="00E32C3E" w:rsidRDefault="00E32C3E" w:rsidP="004103E0">
            <w:pPr>
              <w:spacing w:line="360" w:lineRule="auto"/>
              <w:jc w:val="right"/>
              <w:rPr>
                <w:sz w:val="22"/>
                <w:szCs w:val="22"/>
              </w:rPr>
            </w:pPr>
          </w:p>
        </w:tc>
        <w:tc>
          <w:tcPr>
            <w:tcW w:w="992" w:type="dxa"/>
            <w:tcBorders>
              <w:bottom w:val="single" w:sz="8" w:space="0" w:color="auto"/>
            </w:tcBorders>
          </w:tcPr>
          <w:p w14:paraId="486E2D13" w14:textId="77777777" w:rsidR="00E32C3E" w:rsidRPr="00E32C3E" w:rsidRDefault="00E32C3E" w:rsidP="004103E0">
            <w:pPr>
              <w:spacing w:line="360" w:lineRule="auto"/>
              <w:jc w:val="center"/>
              <w:rPr>
                <w:sz w:val="22"/>
                <w:szCs w:val="22"/>
              </w:rPr>
            </w:pPr>
            <w:r w:rsidRPr="00E32C3E">
              <w:rPr>
                <w:sz w:val="22"/>
                <w:szCs w:val="22"/>
              </w:rPr>
              <w:t>0.07</w:t>
            </w:r>
          </w:p>
        </w:tc>
        <w:tc>
          <w:tcPr>
            <w:tcW w:w="567" w:type="dxa"/>
            <w:tcBorders>
              <w:bottom w:val="single" w:sz="8" w:space="0" w:color="auto"/>
            </w:tcBorders>
          </w:tcPr>
          <w:p w14:paraId="45C40359" w14:textId="77777777" w:rsidR="00E32C3E" w:rsidRPr="00E32C3E" w:rsidRDefault="00E32C3E" w:rsidP="004103E0">
            <w:pPr>
              <w:spacing w:line="360" w:lineRule="auto"/>
              <w:jc w:val="center"/>
              <w:rPr>
                <w:sz w:val="22"/>
                <w:szCs w:val="22"/>
              </w:rPr>
            </w:pPr>
            <w:r w:rsidRPr="00E32C3E">
              <w:rPr>
                <w:sz w:val="22"/>
                <w:szCs w:val="22"/>
              </w:rPr>
              <w:t>9</w:t>
            </w:r>
          </w:p>
        </w:tc>
        <w:tc>
          <w:tcPr>
            <w:tcW w:w="567" w:type="dxa"/>
            <w:tcBorders>
              <w:bottom w:val="single" w:sz="8" w:space="0" w:color="auto"/>
            </w:tcBorders>
          </w:tcPr>
          <w:p w14:paraId="0BC1582F" w14:textId="77777777" w:rsidR="00E32C3E" w:rsidRPr="00E32C3E" w:rsidRDefault="00E32C3E" w:rsidP="004103E0">
            <w:pPr>
              <w:spacing w:line="360" w:lineRule="auto"/>
              <w:jc w:val="center"/>
              <w:rPr>
                <w:sz w:val="22"/>
                <w:szCs w:val="22"/>
              </w:rPr>
            </w:pPr>
            <w:r w:rsidRPr="00E32C3E">
              <w:rPr>
                <w:sz w:val="22"/>
                <w:szCs w:val="22"/>
              </w:rPr>
              <w:t>16</w:t>
            </w:r>
          </w:p>
        </w:tc>
        <w:tc>
          <w:tcPr>
            <w:tcW w:w="567" w:type="dxa"/>
            <w:tcBorders>
              <w:bottom w:val="single" w:sz="8" w:space="0" w:color="auto"/>
            </w:tcBorders>
          </w:tcPr>
          <w:p w14:paraId="1360B74D" w14:textId="77777777" w:rsidR="00E32C3E" w:rsidRPr="00E32C3E" w:rsidRDefault="00E32C3E" w:rsidP="004103E0">
            <w:pPr>
              <w:spacing w:line="360" w:lineRule="auto"/>
              <w:jc w:val="center"/>
              <w:rPr>
                <w:sz w:val="22"/>
                <w:szCs w:val="22"/>
              </w:rPr>
            </w:pPr>
            <w:r w:rsidRPr="00E32C3E">
              <w:rPr>
                <w:sz w:val="22"/>
                <w:szCs w:val="22"/>
              </w:rPr>
              <w:t>23</w:t>
            </w:r>
          </w:p>
        </w:tc>
        <w:tc>
          <w:tcPr>
            <w:tcW w:w="284" w:type="dxa"/>
            <w:tcBorders>
              <w:bottom w:val="single" w:sz="8" w:space="0" w:color="auto"/>
            </w:tcBorders>
          </w:tcPr>
          <w:p w14:paraId="0064CF9B" w14:textId="77777777" w:rsidR="00E32C3E" w:rsidRPr="00E32C3E" w:rsidRDefault="00E32C3E" w:rsidP="004103E0">
            <w:pPr>
              <w:spacing w:line="360" w:lineRule="auto"/>
              <w:jc w:val="right"/>
              <w:rPr>
                <w:sz w:val="22"/>
                <w:szCs w:val="22"/>
              </w:rPr>
            </w:pPr>
          </w:p>
        </w:tc>
        <w:tc>
          <w:tcPr>
            <w:tcW w:w="992" w:type="dxa"/>
            <w:tcBorders>
              <w:bottom w:val="single" w:sz="8" w:space="0" w:color="auto"/>
            </w:tcBorders>
          </w:tcPr>
          <w:p w14:paraId="367D1D7D" w14:textId="77777777" w:rsidR="00E32C3E" w:rsidRPr="00E32C3E" w:rsidRDefault="00E32C3E" w:rsidP="004103E0">
            <w:pPr>
              <w:spacing w:line="360" w:lineRule="auto"/>
              <w:jc w:val="center"/>
              <w:rPr>
                <w:sz w:val="22"/>
                <w:szCs w:val="22"/>
              </w:rPr>
            </w:pPr>
            <w:r w:rsidRPr="00E32C3E">
              <w:rPr>
                <w:sz w:val="22"/>
                <w:szCs w:val="22"/>
              </w:rPr>
              <w:t>0.20</w:t>
            </w:r>
          </w:p>
        </w:tc>
        <w:tc>
          <w:tcPr>
            <w:tcW w:w="567" w:type="dxa"/>
            <w:tcBorders>
              <w:bottom w:val="single" w:sz="8" w:space="0" w:color="auto"/>
            </w:tcBorders>
          </w:tcPr>
          <w:p w14:paraId="78E11661" w14:textId="77777777" w:rsidR="00E32C3E" w:rsidRPr="00E32C3E" w:rsidRDefault="00E32C3E" w:rsidP="004103E0">
            <w:pPr>
              <w:spacing w:line="360" w:lineRule="auto"/>
              <w:jc w:val="center"/>
              <w:rPr>
                <w:sz w:val="22"/>
                <w:szCs w:val="22"/>
              </w:rPr>
            </w:pPr>
            <w:r w:rsidRPr="00E32C3E">
              <w:rPr>
                <w:sz w:val="22"/>
                <w:szCs w:val="22"/>
              </w:rPr>
              <w:t>2</w:t>
            </w:r>
          </w:p>
        </w:tc>
        <w:tc>
          <w:tcPr>
            <w:tcW w:w="567" w:type="dxa"/>
            <w:tcBorders>
              <w:bottom w:val="single" w:sz="8" w:space="0" w:color="auto"/>
            </w:tcBorders>
          </w:tcPr>
          <w:p w14:paraId="6E248AE3" w14:textId="77777777" w:rsidR="00E32C3E" w:rsidRPr="00E32C3E" w:rsidRDefault="00E32C3E" w:rsidP="004103E0">
            <w:pPr>
              <w:spacing w:line="360" w:lineRule="auto"/>
              <w:jc w:val="center"/>
              <w:rPr>
                <w:sz w:val="22"/>
                <w:szCs w:val="22"/>
              </w:rPr>
            </w:pPr>
            <w:r w:rsidRPr="00E32C3E">
              <w:rPr>
                <w:sz w:val="22"/>
                <w:szCs w:val="22"/>
              </w:rPr>
              <w:t>8</w:t>
            </w:r>
          </w:p>
        </w:tc>
        <w:tc>
          <w:tcPr>
            <w:tcW w:w="567" w:type="dxa"/>
            <w:tcBorders>
              <w:bottom w:val="single" w:sz="8" w:space="0" w:color="auto"/>
            </w:tcBorders>
          </w:tcPr>
          <w:p w14:paraId="0AF105DA" w14:textId="77777777" w:rsidR="00E32C3E" w:rsidRPr="00E32C3E" w:rsidRDefault="00E32C3E" w:rsidP="004103E0">
            <w:pPr>
              <w:spacing w:line="360" w:lineRule="auto"/>
              <w:jc w:val="center"/>
              <w:rPr>
                <w:sz w:val="22"/>
                <w:szCs w:val="22"/>
              </w:rPr>
            </w:pPr>
            <w:r w:rsidRPr="00E32C3E">
              <w:rPr>
                <w:sz w:val="22"/>
                <w:szCs w:val="22"/>
              </w:rPr>
              <w:t>17</w:t>
            </w:r>
          </w:p>
        </w:tc>
      </w:tr>
    </w:tbl>
    <w:p w14:paraId="66FE151B" w14:textId="77777777" w:rsidR="00874B95" w:rsidRDefault="00874B95" w:rsidP="00874B95">
      <w:pPr>
        <w:jc w:val="both"/>
      </w:pPr>
    </w:p>
    <w:p w14:paraId="1B2AB70D" w14:textId="77777777" w:rsidR="0064491D" w:rsidRDefault="0064491D" w:rsidP="00874B95">
      <w:pPr>
        <w:jc w:val="both"/>
      </w:pPr>
    </w:p>
    <w:p w14:paraId="064469F3" w14:textId="77777777" w:rsidR="0064491D" w:rsidRDefault="0064491D" w:rsidP="00874B95">
      <w:pPr>
        <w:jc w:val="both"/>
      </w:pPr>
    </w:p>
    <w:p w14:paraId="08EFAA48" w14:textId="77777777" w:rsidR="0064491D" w:rsidRDefault="0064491D" w:rsidP="00874B95">
      <w:pPr>
        <w:jc w:val="both"/>
      </w:pPr>
    </w:p>
    <w:p w14:paraId="3BEC8460" w14:textId="77777777" w:rsidR="0064491D" w:rsidRDefault="0064491D" w:rsidP="00874B95">
      <w:pPr>
        <w:jc w:val="both"/>
      </w:pPr>
    </w:p>
    <w:p w14:paraId="23BDFDEF" w14:textId="77777777" w:rsidR="0064491D" w:rsidRDefault="0064491D" w:rsidP="00874B95">
      <w:pPr>
        <w:jc w:val="both"/>
      </w:pPr>
    </w:p>
    <w:p w14:paraId="11FA0042" w14:textId="77777777" w:rsidR="004E4DE4" w:rsidRDefault="004E4DE4" w:rsidP="00874B95">
      <w:pPr>
        <w:jc w:val="both"/>
        <w:sectPr w:rsidR="004E4DE4" w:rsidSect="004E4DE4">
          <w:pgSz w:w="16839" w:h="11907" w:orient="landscape" w:code="9"/>
          <w:pgMar w:top="1418" w:right="1418" w:bottom="1418" w:left="1418" w:header="709" w:footer="709" w:gutter="0"/>
          <w:cols w:space="708"/>
          <w:titlePg/>
          <w:docGrid w:linePitch="360"/>
        </w:sectPr>
      </w:pPr>
    </w:p>
    <w:p w14:paraId="4D9A7547" w14:textId="3B5BA739" w:rsidR="00874B95" w:rsidRDefault="00874B95" w:rsidP="00874B95">
      <w:pPr>
        <w:jc w:val="both"/>
      </w:pPr>
      <w:r>
        <w:lastRenderedPageBreak/>
        <w:t>In addition to the general differences, research syntheses also vary in academic age patterns between first authorships and last authorships. For all genres and levels of standardization, the median academic age is lower for first authors as compared to their respective last authors or all authors (see Q2 column). In the case of systematic reviews, the median values triple (from both 5 to 15 and 16) offering a larger range compared to traditional reviews (from 9 to 16) or Cochrane reviews (from 10 to 16). The portions of first-ever authors are higher for first authors compared to last authors for all genres. In the former case, these are mostly double digit (from 14% for traditional reviews to 21-22% for systematic reviews) except for Cochrane reviews (7%). In contrast, last authors are much less frequent first ever authors and values range from 4% (Cochrane reviews) to 8% (Systematic reviews without PRISMA citation).</w:t>
      </w:r>
    </w:p>
    <w:p w14:paraId="51792A9A" w14:textId="77777777" w:rsidR="00874B95" w:rsidRDefault="00874B95" w:rsidP="00874B95">
      <w:pPr>
        <w:jc w:val="both"/>
      </w:pPr>
    </w:p>
    <w:p w14:paraId="3992042D" w14:textId="77777777" w:rsidR="00874B95" w:rsidRDefault="00874B95" w:rsidP="00874B95">
      <w:pPr>
        <w:jc w:val="both"/>
      </w:pPr>
      <w:r>
        <w:t>Lastly, authorship profiles also differ among the different versions of the PRISMA guideline. Although differences between versions are not significant if all authors are considered which strictly falsifies hypothesis (D), differences between PRISMA versions are highly significant if first and last authors are separated.</w:t>
      </w:r>
      <w:r>
        <w:rPr>
          <w:rStyle w:val="Funotenzeichen"/>
        </w:rPr>
        <w:footnoteReference w:id="2"/>
      </w:r>
      <w:r>
        <w:t xml:space="preserve"> In case of first authorships, the median academic age reversely follows the age of the guideline version with 6 of those who cite the oldest version (QOROM 1999) down to 4 of those who cite the newest version (PRISMA 2020). Likewise, the rate of authors in their first year of publishing (first ever authors) is highest for the most recent guideline (27%) and lowest for QUOROM (15%). In contrast, last authorships do not second these patterns. For example, their median academic age ranges from 14 to 16 and increases with more recent versions of PRISMA. Although the rates of first ever authors increase like those of the first authors, the differences are much smaller (from 4% to 5% to 7%). </w:t>
      </w:r>
    </w:p>
    <w:p w14:paraId="558C0301" w14:textId="77777777" w:rsidR="008168F4" w:rsidRDefault="008168F4">
      <w:pPr>
        <w:jc w:val="both"/>
      </w:pPr>
    </w:p>
    <w:p w14:paraId="775C24D6" w14:textId="3DE8C053" w:rsidR="008168F4" w:rsidRDefault="000C25AF" w:rsidP="0029211E">
      <w:pPr>
        <w:pStyle w:val="berschrift2"/>
        <w:jc w:val="both"/>
      </w:pPr>
      <w:r>
        <w:t xml:space="preserve">4. </w:t>
      </w:r>
      <w:r w:rsidR="00874B95">
        <w:t>Discussion and Conclusion</w:t>
      </w:r>
    </w:p>
    <w:p w14:paraId="4AE5462A" w14:textId="48EBB1D9" w:rsidR="00874B95" w:rsidRDefault="00874B95" w:rsidP="00874B95">
      <w:pPr>
        <w:jc w:val="both"/>
      </w:pPr>
      <w:r>
        <w:t>Over the last decades, the genre of research synthesis has become substantially differentiated. The high academic age and the lower number of authors per review article suggest that this genre still serves its traditional characterization. As such, review articles were written by experienced and proliferated authors who provided an overview over their research field, drew the lines of consensus or controversy, and set the research agenda for the coming years. Commonly, reviews accompany the emergence of new research fields and authors are invited by journals to write them (Blümel and Schniedermann 2021).</w:t>
      </w:r>
    </w:p>
    <w:p w14:paraId="15129BCA" w14:textId="77777777" w:rsidR="00874B95" w:rsidRDefault="00874B95" w:rsidP="00874B95">
      <w:pPr>
        <w:jc w:val="both"/>
        <w:rPr>
          <w:sz w:val="22"/>
          <w:szCs w:val="22"/>
          <w:lang w:val="en-US" w:eastAsia="en-US"/>
        </w:rPr>
      </w:pPr>
    </w:p>
    <w:p w14:paraId="58C19831" w14:textId="05EF5294" w:rsidR="00874B95" w:rsidRDefault="00874B95" w:rsidP="00874B95">
      <w:pPr>
        <w:jc w:val="both"/>
      </w:pPr>
      <w:r>
        <w:t>In contrast, systematic reviews and meta-analyses feature more authors with a younger academic age because of their different epistemic profile which is more independent from the authors' experience and time in the field. Instead of providing an overview over a field or setting agendas, systematic reviews aim to answer a very particular research question or identify gaps in the literature. They do this in a more procedural manner that draws from an interplay of different but often highly codified methodologies, expertise, and standards. Thus, the conduct and writing of a systematic review requires formal education and handbook knowledge (Moreira 2007). Having the highest portion of first-ever authors confirms their role as starting points of dissertation projects in biomedicine (Puljak and Sapunar 2017). Demonstratively, the triumph of the highly procedural systematic review led to the retronym "narrative review" which is nowadays commonly used for the traditional review.</w:t>
      </w:r>
    </w:p>
    <w:p w14:paraId="493FA21A" w14:textId="77777777" w:rsidR="00874B95" w:rsidRDefault="00874B95" w:rsidP="00874B95">
      <w:pPr>
        <w:jc w:val="both"/>
      </w:pPr>
    </w:p>
    <w:p w14:paraId="15F86EF6" w14:textId="45F24FE4" w:rsidR="00874B95" w:rsidRDefault="00874B95" w:rsidP="00874B95">
      <w:pPr>
        <w:jc w:val="both"/>
      </w:pPr>
      <w:r>
        <w:t xml:space="preserve">In general, Cochrane reviews are systematic reviews with a comparable epistemic and social profile regarding scientific practices, collaboration, and authority. However, their conduct and reporting are even more standardized and extensive. They aim at exhausting all available studies regarding a particular research question and feature stronger claims with regards to </w:t>
      </w:r>
      <w:r>
        <w:lastRenderedPageBreak/>
        <w:t>comprehension and treatment advice at the cost of novelty. As such, they can feature hundreds of pages of technical material, for instance search strategies and terms, assessment tables, or bibliographies. In addition, the Cochrane Collaboration provides a 700-page manual, software tools, and extensive editing and dissemination services (Levin 2001). This makes Cochrane reviews much more laborious, turning them into an unreasonable workpackage for a dissertation, except if there is nothing else and Cochrane reviewer is the aspired professionalization (see Sambunjak and Puljak 2010).</w:t>
      </w:r>
    </w:p>
    <w:p w14:paraId="7BEFCB12" w14:textId="77777777" w:rsidR="00874B95" w:rsidRDefault="00874B95" w:rsidP="00874B95">
      <w:pPr>
        <w:jc w:val="both"/>
      </w:pPr>
    </w:p>
    <w:p w14:paraId="76C5A111" w14:textId="77777777" w:rsidR="00874B95" w:rsidRDefault="00874B95" w:rsidP="00874B95">
      <w:pPr>
        <w:jc w:val="both"/>
      </w:pPr>
      <w:r>
        <w:t xml:space="preserve">Shedding light on the different versions and updates of the PRISMA guideline, the analysis has shown how younger academic ages can be considered as the early adopters of new standards. In general, standards and guidelines represent and aggregate a field's methodological advancement. Even more, it has been argued how standards play important roles in establishing professions and communities of practice by making research problems not only "doable" (Fujimura 1987), but also codified and communicable (Bowker and Star 1999). This means that a standard or guideline helps in setting tasks and to-do's even when there is only little background knowledge available. As such, it has been characterized as a cookbook of which "new 'cooks' tend to rely on it more than older ones" (Fujimura 1987, 278). In contrast, it has been shown how more senior authors use less references in general and may just cease to cite the PRISMA guideline after the years (Milojević 2012). In turn, improving scientific practices and evaluative cultures by standardization may be more fruitful if more emphasis is put on educational interventions compared to other measures, especially since there is no central regulating body and a rather slow rate of endorsement by academic journals or science funders. </w:t>
      </w:r>
    </w:p>
    <w:p w14:paraId="2F95F744" w14:textId="273BAD91" w:rsidR="00874B95" w:rsidRDefault="00874B95" w:rsidP="00874B95"/>
    <w:p w14:paraId="7DC8A395" w14:textId="44DD13A8" w:rsidR="008168F4" w:rsidRDefault="008168F4">
      <w:pPr>
        <w:jc w:val="both"/>
      </w:pPr>
    </w:p>
    <w:p w14:paraId="59666BB7" w14:textId="77777777" w:rsidR="0064491D" w:rsidRDefault="007A59E1">
      <w:pPr>
        <w:jc w:val="both"/>
        <w:rPr>
          <w:b/>
          <w:bCs/>
        </w:rPr>
      </w:pPr>
      <w:r>
        <w:rPr>
          <w:b/>
          <w:bCs/>
        </w:rPr>
        <w:t>O</w:t>
      </w:r>
      <w:r w:rsidRPr="007A59E1">
        <w:rPr>
          <w:b/>
          <w:bCs/>
        </w:rPr>
        <w:t>pen science practices</w:t>
      </w:r>
    </w:p>
    <w:p w14:paraId="3308FF92" w14:textId="080C42AC" w:rsidR="00727A0B" w:rsidRPr="0064491D" w:rsidRDefault="00727A0B">
      <w:pPr>
        <w:jc w:val="both"/>
        <w:rPr>
          <w:b/>
          <w:bCs/>
        </w:rPr>
      </w:pPr>
      <w:r>
        <w:t xml:space="preserve">The data used for this study is not openly available due to licensing restrictions. In addition, no new data has been created </w:t>
      </w:r>
      <w:r w:rsidR="0064491D">
        <w:t>to</w:t>
      </w:r>
      <w:r>
        <w:t xml:space="preserve"> conduct this study</w:t>
      </w:r>
      <w:r w:rsidR="009306E8">
        <w:t xml:space="preserve">, rather available data from different databases has been combined in a novel way. Replication of the analysis here would be possible </w:t>
      </w:r>
      <w:r w:rsidR="0064491D">
        <w:t xml:space="preserve">solely with using publicly available data. SQL and R scripts well be provided upon request. </w:t>
      </w:r>
    </w:p>
    <w:p w14:paraId="7951DDF4" w14:textId="77777777" w:rsidR="007A59E1" w:rsidRDefault="007A59E1">
      <w:pPr>
        <w:jc w:val="both"/>
      </w:pPr>
    </w:p>
    <w:p w14:paraId="097AE613" w14:textId="156F1C5C" w:rsidR="00370126" w:rsidRPr="007C30D8" w:rsidRDefault="00370126">
      <w:pPr>
        <w:jc w:val="both"/>
        <w:rPr>
          <w:b/>
          <w:bCs/>
        </w:rPr>
      </w:pPr>
      <w:r w:rsidRPr="007C30D8">
        <w:rPr>
          <w:b/>
          <w:bCs/>
        </w:rPr>
        <w:t>Acknowledgments</w:t>
      </w:r>
    </w:p>
    <w:p w14:paraId="629FB350" w14:textId="43225276" w:rsidR="00370126" w:rsidRDefault="00727A0B">
      <w:pPr>
        <w:jc w:val="both"/>
      </w:pPr>
      <w:r>
        <w:t>The author wants to thank Dr. Wolfgang Kaltenbrunner for commenting on an earlier version of this manuscript.</w:t>
      </w:r>
    </w:p>
    <w:p w14:paraId="29A69FD5" w14:textId="77777777" w:rsidR="0031202E" w:rsidRDefault="0031202E">
      <w:pPr>
        <w:jc w:val="both"/>
      </w:pPr>
    </w:p>
    <w:p w14:paraId="6126D7F1" w14:textId="7481AD7B" w:rsidR="00370126" w:rsidRPr="007C30D8" w:rsidRDefault="00370126">
      <w:pPr>
        <w:jc w:val="both"/>
        <w:rPr>
          <w:b/>
          <w:bCs/>
        </w:rPr>
      </w:pPr>
      <w:r w:rsidRPr="007C30D8">
        <w:rPr>
          <w:b/>
          <w:bCs/>
        </w:rPr>
        <w:t>Competing interests</w:t>
      </w:r>
    </w:p>
    <w:p w14:paraId="2DE94869" w14:textId="28927E45" w:rsidR="00370126" w:rsidRDefault="00727A0B">
      <w:pPr>
        <w:jc w:val="both"/>
      </w:pPr>
      <w:r>
        <w:t>The authors declared that they have no conflict of interest.</w:t>
      </w:r>
    </w:p>
    <w:p w14:paraId="6597B0C5" w14:textId="77777777" w:rsidR="007C30D8" w:rsidRDefault="007C30D8">
      <w:pPr>
        <w:jc w:val="both"/>
      </w:pPr>
    </w:p>
    <w:p w14:paraId="31603A15" w14:textId="2DE08369" w:rsidR="00370126" w:rsidRPr="007C30D8" w:rsidRDefault="00370126">
      <w:pPr>
        <w:jc w:val="both"/>
        <w:rPr>
          <w:b/>
          <w:bCs/>
        </w:rPr>
      </w:pPr>
      <w:r w:rsidRPr="007C30D8">
        <w:rPr>
          <w:b/>
          <w:bCs/>
        </w:rPr>
        <w:t>Funding information</w:t>
      </w:r>
    </w:p>
    <w:p w14:paraId="11D1F9EC" w14:textId="556E216E" w:rsidR="00DF037E" w:rsidRDefault="00CA21F1" w:rsidP="00CA21F1">
      <w:proofErr w:type="gramStart"/>
      <w:r>
        <w:t>Funded  by</w:t>
      </w:r>
      <w:proofErr w:type="gramEnd"/>
      <w:r>
        <w:t xml:space="preserve"> the German Federal Ministry for Education and Research </w:t>
      </w:r>
      <w:r>
        <w:t>(</w:t>
      </w:r>
      <w:r w:rsidRPr="00CA21F1">
        <w:t>01PU17017</w:t>
      </w:r>
      <w:r>
        <w:t>)</w:t>
      </w:r>
      <w:r>
        <w:t xml:space="preserve"> and </w:t>
      </w:r>
      <w:r w:rsidR="00727A0B">
        <w:t xml:space="preserve">the </w:t>
      </w:r>
      <w:r>
        <w:t xml:space="preserve">Competence Network Bibliometrics </w:t>
      </w:r>
      <w:r w:rsidRPr="00CA21F1">
        <w:t>01PQ17001</w:t>
      </w:r>
      <w:r>
        <w:t>.</w:t>
      </w:r>
    </w:p>
    <w:p w14:paraId="6915C807" w14:textId="77777777" w:rsidR="00DF037E" w:rsidRDefault="00DF037E">
      <w:pPr>
        <w:jc w:val="both"/>
      </w:pPr>
    </w:p>
    <w:p w14:paraId="06B5B554" w14:textId="46293B63" w:rsidR="00CA21F1" w:rsidRPr="00CA21F1" w:rsidRDefault="008168F4" w:rsidP="00F92089">
      <w:pPr>
        <w:jc w:val="both"/>
        <w:rPr>
          <w:b/>
          <w:bCs/>
        </w:rPr>
      </w:pPr>
      <w:r>
        <w:rPr>
          <w:b/>
          <w:bCs/>
        </w:rPr>
        <w:t>References</w:t>
      </w:r>
    </w:p>
    <w:p w14:paraId="76262E03" w14:textId="36D81656" w:rsidR="00CA21F1" w:rsidRDefault="00CA21F1" w:rsidP="00CA21F1">
      <w:pPr>
        <w:jc w:val="both"/>
      </w:pPr>
      <w:r w:rsidRPr="00CA21F1">
        <w:rPr>
          <w:lang w:val="en-US"/>
        </w:rPr>
        <w:t xml:space="preserve">Blümel, C., &amp; Schniedermann, A. (2020). Studying review articles in scientometrics and beyond: A research agenda. </w:t>
      </w:r>
      <w:r w:rsidRPr="00CA21F1">
        <w:rPr>
          <w:i/>
          <w:iCs/>
          <w:lang w:val="en-US"/>
        </w:rPr>
        <w:t>Scientometrics</w:t>
      </w:r>
      <w:r w:rsidRPr="00CA21F1">
        <w:rPr>
          <w:lang w:val="en-US"/>
        </w:rPr>
        <w:t xml:space="preserve">, </w:t>
      </w:r>
      <w:r w:rsidRPr="00CA21F1">
        <w:rPr>
          <w:i/>
          <w:iCs/>
          <w:lang w:val="en-US"/>
        </w:rPr>
        <w:t>124</w:t>
      </w:r>
      <w:r w:rsidRPr="00CA21F1">
        <w:rPr>
          <w:lang w:val="en-US"/>
        </w:rPr>
        <w:t xml:space="preserve">(1), 711–728. </w:t>
      </w:r>
      <w:hyperlink r:id="rId13" w:history="1">
        <w:r w:rsidRPr="00CA21F1">
          <w:rPr>
            <w:rStyle w:val="Hyperlink"/>
            <w:lang w:val="en-US"/>
          </w:rPr>
          <w:t>https://doi.org/10.1007/s11192-020-03431-7</w:t>
        </w:r>
      </w:hyperlink>
    </w:p>
    <w:p w14:paraId="1ADDC520" w14:textId="77777777" w:rsidR="00CA21F1" w:rsidRPr="00CA21F1" w:rsidRDefault="00CA21F1" w:rsidP="00CA21F1">
      <w:pPr>
        <w:jc w:val="both"/>
        <w:rPr>
          <w:lang w:val="en-US"/>
        </w:rPr>
      </w:pPr>
    </w:p>
    <w:p w14:paraId="31C02758" w14:textId="0C54D2F7" w:rsidR="00CA21F1" w:rsidRDefault="00CA21F1" w:rsidP="00CA21F1">
      <w:pPr>
        <w:jc w:val="both"/>
        <w:rPr>
          <w:lang w:val="en-US"/>
        </w:rPr>
      </w:pPr>
      <w:r w:rsidRPr="00CA21F1">
        <w:rPr>
          <w:lang w:val="en-US"/>
        </w:rPr>
        <w:t xml:space="preserve">Bowker, G. C., &amp; Star, S. L. (1999). </w:t>
      </w:r>
      <w:r w:rsidRPr="00CA21F1">
        <w:rPr>
          <w:i/>
          <w:iCs/>
          <w:lang w:val="en-US"/>
        </w:rPr>
        <w:t>Sorting things out: Classification and its consequences</w:t>
      </w:r>
      <w:r w:rsidRPr="00CA21F1">
        <w:rPr>
          <w:lang w:val="en-US"/>
        </w:rPr>
        <w:t>. MIT Press.</w:t>
      </w:r>
    </w:p>
    <w:p w14:paraId="2D2E0794" w14:textId="77777777" w:rsidR="00CA21F1" w:rsidRPr="00CA21F1" w:rsidRDefault="00CA21F1" w:rsidP="00CA21F1">
      <w:pPr>
        <w:jc w:val="both"/>
        <w:rPr>
          <w:lang w:val="en-US"/>
        </w:rPr>
      </w:pPr>
    </w:p>
    <w:p w14:paraId="33B2375B" w14:textId="48E014F9" w:rsidR="00CA21F1" w:rsidRDefault="00CA21F1" w:rsidP="00CA21F1">
      <w:pPr>
        <w:jc w:val="both"/>
      </w:pPr>
      <w:r w:rsidRPr="00CA21F1">
        <w:rPr>
          <w:lang w:val="en-US"/>
        </w:rPr>
        <w:lastRenderedPageBreak/>
        <w:t xml:space="preserve">Chalmers, I., Hedges, L. V., &amp; Cooper, H. (2002). A Brief History of Research Synthesis. </w:t>
      </w:r>
      <w:r w:rsidRPr="00CA21F1">
        <w:rPr>
          <w:i/>
          <w:iCs/>
          <w:lang w:val="en-US"/>
        </w:rPr>
        <w:t>Evaluation &amp; the Health Professions</w:t>
      </w:r>
      <w:r w:rsidRPr="00CA21F1">
        <w:rPr>
          <w:lang w:val="en-US"/>
        </w:rPr>
        <w:t xml:space="preserve">, </w:t>
      </w:r>
      <w:r w:rsidRPr="00CA21F1">
        <w:rPr>
          <w:i/>
          <w:iCs/>
          <w:lang w:val="en-US"/>
        </w:rPr>
        <w:t>25</w:t>
      </w:r>
      <w:r w:rsidRPr="00CA21F1">
        <w:rPr>
          <w:lang w:val="en-US"/>
        </w:rPr>
        <w:t xml:space="preserve">(1), 12–37. </w:t>
      </w:r>
      <w:hyperlink r:id="rId14" w:history="1">
        <w:r w:rsidRPr="00CA21F1">
          <w:rPr>
            <w:rStyle w:val="Hyperlink"/>
            <w:lang w:val="en-US"/>
          </w:rPr>
          <w:t>https://doi.org/10.1177/0163278702025001003</w:t>
        </w:r>
      </w:hyperlink>
    </w:p>
    <w:p w14:paraId="57915EB6" w14:textId="77777777" w:rsidR="00CA21F1" w:rsidRPr="00CA21F1" w:rsidRDefault="00CA21F1" w:rsidP="00CA21F1">
      <w:pPr>
        <w:jc w:val="both"/>
        <w:rPr>
          <w:lang w:val="en-US"/>
        </w:rPr>
      </w:pPr>
    </w:p>
    <w:p w14:paraId="57027679" w14:textId="7EEB462D" w:rsidR="00CA21F1" w:rsidRDefault="00CA21F1" w:rsidP="00CA21F1">
      <w:pPr>
        <w:jc w:val="both"/>
      </w:pPr>
      <w:r w:rsidRPr="00CA21F1">
        <w:rPr>
          <w:lang w:val="en-US"/>
        </w:rPr>
        <w:t xml:space="preserve">Fujimura, J. H. (1987). Constructing `Do-able’ Problems in Cancer Research: Articulating Alignment. </w:t>
      </w:r>
      <w:r w:rsidRPr="00CA21F1">
        <w:rPr>
          <w:i/>
          <w:iCs/>
          <w:lang w:val="en-US"/>
        </w:rPr>
        <w:t>Social Studies of Science</w:t>
      </w:r>
      <w:r w:rsidRPr="00CA21F1">
        <w:rPr>
          <w:lang w:val="en-US"/>
        </w:rPr>
        <w:t xml:space="preserve">, </w:t>
      </w:r>
      <w:r w:rsidRPr="00CA21F1">
        <w:rPr>
          <w:i/>
          <w:iCs/>
          <w:lang w:val="en-US"/>
        </w:rPr>
        <w:t>17</w:t>
      </w:r>
      <w:r w:rsidRPr="00CA21F1">
        <w:rPr>
          <w:lang w:val="en-US"/>
        </w:rPr>
        <w:t xml:space="preserve">(2), 257–293. </w:t>
      </w:r>
      <w:hyperlink r:id="rId15" w:history="1">
        <w:r w:rsidRPr="00CA21F1">
          <w:rPr>
            <w:rStyle w:val="Hyperlink"/>
            <w:lang w:val="en-US"/>
          </w:rPr>
          <w:t>https://doi.org/10.1177/030631287017002003</w:t>
        </w:r>
      </w:hyperlink>
    </w:p>
    <w:p w14:paraId="22F0394A" w14:textId="77777777" w:rsidR="00CA21F1" w:rsidRPr="00CA21F1" w:rsidRDefault="00CA21F1" w:rsidP="00CA21F1">
      <w:pPr>
        <w:jc w:val="both"/>
        <w:rPr>
          <w:lang w:val="en-US"/>
        </w:rPr>
      </w:pPr>
    </w:p>
    <w:p w14:paraId="1487E6B0" w14:textId="74D298FB" w:rsidR="00CA21F1" w:rsidRDefault="00CA21F1" w:rsidP="00CA21F1">
      <w:pPr>
        <w:jc w:val="both"/>
        <w:rPr>
          <w:lang w:val="en-US"/>
        </w:rPr>
      </w:pPr>
      <w:r w:rsidRPr="00CA21F1">
        <w:rPr>
          <w:lang w:val="en-US"/>
        </w:rPr>
        <w:t xml:space="preserve">Garfield, E. (1977). Proposal For a New Profession: Scientific Reviewer. </w:t>
      </w:r>
      <w:r w:rsidRPr="00CA21F1">
        <w:rPr>
          <w:i/>
          <w:iCs/>
          <w:lang w:val="en-US"/>
        </w:rPr>
        <w:t>Essays of an Information Scientist</w:t>
      </w:r>
      <w:r w:rsidRPr="00CA21F1">
        <w:rPr>
          <w:lang w:val="en-US"/>
        </w:rPr>
        <w:t xml:space="preserve">, </w:t>
      </w:r>
      <w:r w:rsidRPr="00CA21F1">
        <w:rPr>
          <w:i/>
          <w:iCs/>
          <w:lang w:val="en-US"/>
        </w:rPr>
        <w:t>3</w:t>
      </w:r>
      <w:r w:rsidRPr="00CA21F1">
        <w:rPr>
          <w:lang w:val="en-US"/>
        </w:rPr>
        <w:t>, 84–87.</w:t>
      </w:r>
    </w:p>
    <w:p w14:paraId="4E43D1DD" w14:textId="77777777" w:rsidR="00CA21F1" w:rsidRPr="00CA21F1" w:rsidRDefault="00CA21F1" w:rsidP="00CA21F1">
      <w:pPr>
        <w:jc w:val="both"/>
        <w:rPr>
          <w:lang w:val="en-US"/>
        </w:rPr>
      </w:pPr>
    </w:p>
    <w:p w14:paraId="3CA9A28A" w14:textId="1AD6EEB8" w:rsidR="00CA21F1" w:rsidRDefault="00CA21F1" w:rsidP="00CA21F1">
      <w:pPr>
        <w:jc w:val="both"/>
      </w:pPr>
      <w:r w:rsidRPr="00CA21F1">
        <w:rPr>
          <w:lang w:val="en-US"/>
        </w:rPr>
        <w:t xml:space="preserve">Grant, M. J., &amp; Booth, A. (2009). A typology of reviews: An analysis of 14 review types and associated methodologies: A typology of reviews, </w:t>
      </w:r>
      <w:r w:rsidRPr="00CA21F1">
        <w:rPr>
          <w:i/>
          <w:iCs/>
          <w:lang w:val="en-US"/>
        </w:rPr>
        <w:t>Maria J. Grant &amp; Andrew Booth</w:t>
      </w:r>
      <w:r w:rsidRPr="00CA21F1">
        <w:rPr>
          <w:lang w:val="en-US"/>
        </w:rPr>
        <w:t xml:space="preserve">. </w:t>
      </w:r>
      <w:r w:rsidRPr="00CA21F1">
        <w:rPr>
          <w:i/>
          <w:iCs/>
          <w:lang w:val="en-US"/>
        </w:rPr>
        <w:t>Health Information &amp; Libraries Journal</w:t>
      </w:r>
      <w:r w:rsidRPr="00CA21F1">
        <w:rPr>
          <w:lang w:val="en-US"/>
        </w:rPr>
        <w:t xml:space="preserve">, </w:t>
      </w:r>
      <w:r w:rsidRPr="00CA21F1">
        <w:rPr>
          <w:i/>
          <w:iCs/>
          <w:lang w:val="en-US"/>
        </w:rPr>
        <w:t>26</w:t>
      </w:r>
      <w:r w:rsidRPr="00CA21F1">
        <w:rPr>
          <w:lang w:val="en-US"/>
        </w:rPr>
        <w:t xml:space="preserve">(2), 91–108. </w:t>
      </w:r>
      <w:hyperlink r:id="rId16" w:history="1">
        <w:r w:rsidRPr="00CA21F1">
          <w:rPr>
            <w:rStyle w:val="Hyperlink"/>
            <w:lang w:val="en-US"/>
          </w:rPr>
          <w:t>https://doi.org/10.1111/j.1471-1842.2009.00848.x</w:t>
        </w:r>
      </w:hyperlink>
    </w:p>
    <w:p w14:paraId="4290BDBE" w14:textId="77777777" w:rsidR="00CA21F1" w:rsidRPr="00CA21F1" w:rsidRDefault="00CA21F1" w:rsidP="00CA21F1">
      <w:pPr>
        <w:jc w:val="both"/>
        <w:rPr>
          <w:lang w:val="en-US"/>
        </w:rPr>
      </w:pPr>
    </w:p>
    <w:p w14:paraId="52CD4F3D" w14:textId="45CC0501" w:rsidR="00CA21F1" w:rsidRDefault="00CA21F1" w:rsidP="00CA21F1">
      <w:pPr>
        <w:jc w:val="both"/>
      </w:pPr>
      <w:r w:rsidRPr="00CA21F1">
        <w:rPr>
          <w:lang w:val="en-US"/>
        </w:rPr>
        <w:t xml:space="preserve">Levin, A. (2001). The Cochrane Collaboration. </w:t>
      </w:r>
      <w:r w:rsidRPr="00CA21F1">
        <w:rPr>
          <w:i/>
          <w:iCs/>
          <w:lang w:val="en-US"/>
        </w:rPr>
        <w:t>Annals of Internal Medicine</w:t>
      </w:r>
      <w:r w:rsidRPr="00CA21F1">
        <w:rPr>
          <w:lang w:val="en-US"/>
        </w:rPr>
        <w:t xml:space="preserve">, </w:t>
      </w:r>
      <w:r w:rsidRPr="00CA21F1">
        <w:rPr>
          <w:i/>
          <w:iCs/>
          <w:lang w:val="en-US"/>
        </w:rPr>
        <w:t>135</w:t>
      </w:r>
      <w:r w:rsidRPr="00CA21F1">
        <w:rPr>
          <w:lang w:val="en-US"/>
        </w:rPr>
        <w:t xml:space="preserve">(4), 309. </w:t>
      </w:r>
      <w:hyperlink r:id="rId17" w:history="1">
        <w:r w:rsidRPr="00CA21F1">
          <w:rPr>
            <w:rStyle w:val="Hyperlink"/>
            <w:lang w:val="en-US"/>
          </w:rPr>
          <w:t>https://doi.org/10.7326/0003-4819-135-4-200108210-00035</w:t>
        </w:r>
      </w:hyperlink>
    </w:p>
    <w:p w14:paraId="3EE8CF2E" w14:textId="77777777" w:rsidR="00CA21F1" w:rsidRPr="00CA21F1" w:rsidRDefault="00CA21F1" w:rsidP="00CA21F1">
      <w:pPr>
        <w:jc w:val="both"/>
        <w:rPr>
          <w:lang w:val="en-US"/>
        </w:rPr>
      </w:pPr>
    </w:p>
    <w:p w14:paraId="2965BF76" w14:textId="0460ED0F" w:rsidR="00CA21F1" w:rsidRDefault="00CA21F1" w:rsidP="00CA21F1">
      <w:pPr>
        <w:jc w:val="both"/>
      </w:pPr>
      <w:r w:rsidRPr="00CA21F1">
        <w:rPr>
          <w:lang w:val="en-US"/>
        </w:rPr>
        <w:t xml:space="preserve">Milojević, S. (2012). How are academic age, productivity and collaboration related to citing behavior of researchers? </w:t>
      </w:r>
      <w:r w:rsidRPr="00CA21F1">
        <w:rPr>
          <w:i/>
          <w:iCs/>
          <w:lang w:val="en-US"/>
        </w:rPr>
        <w:t>PloS One</w:t>
      </w:r>
      <w:r w:rsidRPr="00CA21F1">
        <w:rPr>
          <w:lang w:val="en-US"/>
        </w:rPr>
        <w:t xml:space="preserve">, </w:t>
      </w:r>
      <w:r w:rsidRPr="00CA21F1">
        <w:rPr>
          <w:i/>
          <w:iCs/>
          <w:lang w:val="en-US"/>
        </w:rPr>
        <w:t>7</w:t>
      </w:r>
      <w:r w:rsidRPr="00CA21F1">
        <w:rPr>
          <w:lang w:val="en-US"/>
        </w:rPr>
        <w:t xml:space="preserve">(11), e49176. </w:t>
      </w:r>
      <w:hyperlink r:id="rId18" w:history="1">
        <w:r w:rsidRPr="00CA21F1">
          <w:rPr>
            <w:rStyle w:val="Hyperlink"/>
            <w:lang w:val="en-US"/>
          </w:rPr>
          <w:t>https://doi.org/10.1371/journal.pone.0049176</w:t>
        </w:r>
      </w:hyperlink>
    </w:p>
    <w:p w14:paraId="157307A8" w14:textId="77777777" w:rsidR="00CA21F1" w:rsidRPr="00CA21F1" w:rsidRDefault="00CA21F1" w:rsidP="00CA21F1">
      <w:pPr>
        <w:jc w:val="both"/>
        <w:rPr>
          <w:lang w:val="en-US"/>
        </w:rPr>
      </w:pPr>
    </w:p>
    <w:p w14:paraId="3F6EE5B6" w14:textId="78F97C23" w:rsidR="00CA21F1" w:rsidRDefault="00CA21F1" w:rsidP="00CA21F1">
      <w:pPr>
        <w:jc w:val="both"/>
      </w:pPr>
      <w:r w:rsidRPr="00CA21F1">
        <w:rPr>
          <w:lang w:val="en-US"/>
        </w:rPr>
        <w:t xml:space="preserve">Moed, H. F., Aisati, M., &amp; Plume, A. (2013). Studying scientific migration in Scopus. </w:t>
      </w:r>
      <w:r w:rsidRPr="00CA21F1">
        <w:rPr>
          <w:i/>
          <w:iCs/>
          <w:lang w:val="en-US"/>
        </w:rPr>
        <w:t>Scientometrics</w:t>
      </w:r>
      <w:r w:rsidRPr="00CA21F1">
        <w:rPr>
          <w:lang w:val="en-US"/>
        </w:rPr>
        <w:t xml:space="preserve">, </w:t>
      </w:r>
      <w:r w:rsidRPr="00CA21F1">
        <w:rPr>
          <w:i/>
          <w:iCs/>
          <w:lang w:val="en-US"/>
        </w:rPr>
        <w:t>94</w:t>
      </w:r>
      <w:r w:rsidRPr="00CA21F1">
        <w:rPr>
          <w:lang w:val="en-US"/>
        </w:rPr>
        <w:t xml:space="preserve">(3), 929–942. </w:t>
      </w:r>
      <w:hyperlink r:id="rId19" w:history="1">
        <w:r w:rsidRPr="00CA21F1">
          <w:rPr>
            <w:rStyle w:val="Hyperlink"/>
            <w:lang w:val="en-US"/>
          </w:rPr>
          <w:t>https://doi.org/10.1007/s11192-012-0783-9</w:t>
        </w:r>
      </w:hyperlink>
    </w:p>
    <w:p w14:paraId="161C4F31" w14:textId="77777777" w:rsidR="00CA21F1" w:rsidRPr="00CA21F1" w:rsidRDefault="00CA21F1" w:rsidP="00CA21F1">
      <w:pPr>
        <w:jc w:val="both"/>
        <w:rPr>
          <w:lang w:val="en-US"/>
        </w:rPr>
      </w:pPr>
    </w:p>
    <w:p w14:paraId="1C6F5AC6" w14:textId="5716C3AC" w:rsidR="00CA21F1" w:rsidRDefault="00CA21F1" w:rsidP="00CA21F1">
      <w:pPr>
        <w:jc w:val="both"/>
      </w:pPr>
      <w:r w:rsidRPr="00CA21F1">
        <w:rPr>
          <w:lang w:val="en-US"/>
        </w:rPr>
        <w:t xml:space="preserve">Moher, D., Bouter, L., Kleinert, S., Glasziou, P., Sham, M. H., Barbour, V., Coriat, A.-M., Foeger, N., &amp; Dirnagl, U. (2020). The Hong Kong Principles for assessing researchers: Fostering research integrity. </w:t>
      </w:r>
      <w:r w:rsidRPr="00CA21F1">
        <w:rPr>
          <w:i/>
          <w:iCs/>
          <w:lang w:val="en-US"/>
        </w:rPr>
        <w:t>PLOS Biology</w:t>
      </w:r>
      <w:r w:rsidRPr="00CA21F1">
        <w:rPr>
          <w:lang w:val="en-US"/>
        </w:rPr>
        <w:t xml:space="preserve">, </w:t>
      </w:r>
      <w:r w:rsidRPr="00CA21F1">
        <w:rPr>
          <w:i/>
          <w:iCs/>
          <w:lang w:val="en-US"/>
        </w:rPr>
        <w:t>18</w:t>
      </w:r>
      <w:r w:rsidRPr="00CA21F1">
        <w:rPr>
          <w:lang w:val="en-US"/>
        </w:rPr>
        <w:t xml:space="preserve">(7), e3000737. </w:t>
      </w:r>
      <w:hyperlink r:id="rId20" w:history="1">
        <w:r w:rsidRPr="00CA21F1">
          <w:rPr>
            <w:rStyle w:val="Hyperlink"/>
            <w:lang w:val="en-US"/>
          </w:rPr>
          <w:t>https://doi.org/10.1371/journal.pbio.3000737</w:t>
        </w:r>
      </w:hyperlink>
    </w:p>
    <w:p w14:paraId="1F5D7228" w14:textId="77777777" w:rsidR="00CA21F1" w:rsidRPr="00CA21F1" w:rsidRDefault="00CA21F1" w:rsidP="00CA21F1">
      <w:pPr>
        <w:jc w:val="both"/>
        <w:rPr>
          <w:lang w:val="en-US"/>
        </w:rPr>
      </w:pPr>
    </w:p>
    <w:p w14:paraId="76FA27BB" w14:textId="5EF125BF" w:rsidR="00CA21F1" w:rsidRDefault="00CA21F1" w:rsidP="00CA21F1">
      <w:pPr>
        <w:jc w:val="both"/>
      </w:pPr>
      <w:r w:rsidRPr="00CA21F1">
        <w:rPr>
          <w:lang w:val="en-US"/>
        </w:rPr>
        <w:t xml:space="preserve">Moher, D., Liberati, A., Tetzlaff, J., Altman, D. G., &amp; The PRISMA Group. (2009). Preferred reporting items for systematic reviews and meta-analyses: The PRISMA statement. </w:t>
      </w:r>
      <w:r w:rsidRPr="00CA21F1">
        <w:rPr>
          <w:i/>
          <w:iCs/>
          <w:lang w:val="en-US"/>
        </w:rPr>
        <w:t>BMJ</w:t>
      </w:r>
      <w:r w:rsidRPr="00CA21F1">
        <w:rPr>
          <w:lang w:val="en-US"/>
        </w:rPr>
        <w:t xml:space="preserve">, </w:t>
      </w:r>
      <w:r w:rsidRPr="00CA21F1">
        <w:rPr>
          <w:i/>
          <w:iCs/>
          <w:lang w:val="en-US"/>
        </w:rPr>
        <w:t>339</w:t>
      </w:r>
      <w:r w:rsidRPr="00CA21F1">
        <w:rPr>
          <w:lang w:val="en-US"/>
        </w:rPr>
        <w:t xml:space="preserve">(jul21 1), b2535–b2535. </w:t>
      </w:r>
      <w:hyperlink r:id="rId21" w:history="1">
        <w:r w:rsidRPr="00CA21F1">
          <w:rPr>
            <w:rStyle w:val="Hyperlink"/>
            <w:lang w:val="en-US"/>
          </w:rPr>
          <w:t>https://doi.org/10.1136/bmj.b2535</w:t>
        </w:r>
      </w:hyperlink>
    </w:p>
    <w:p w14:paraId="6441F996" w14:textId="77777777" w:rsidR="00CA21F1" w:rsidRPr="00CA21F1" w:rsidRDefault="00CA21F1" w:rsidP="00CA21F1">
      <w:pPr>
        <w:jc w:val="both"/>
        <w:rPr>
          <w:lang w:val="en-US"/>
        </w:rPr>
      </w:pPr>
    </w:p>
    <w:p w14:paraId="75D32DE9" w14:textId="5210CA3B" w:rsidR="00CA21F1" w:rsidRDefault="00CA21F1" w:rsidP="00CA21F1">
      <w:pPr>
        <w:jc w:val="both"/>
      </w:pPr>
      <w:r w:rsidRPr="00CA21F1">
        <w:rPr>
          <w:lang w:val="en-US"/>
        </w:rPr>
        <w:t xml:space="preserve">Moreira, T. (2007). Entangled evidence: Knowledge making in systematic reviews in healthcare. </w:t>
      </w:r>
      <w:r w:rsidRPr="00CA21F1">
        <w:rPr>
          <w:i/>
          <w:iCs/>
          <w:lang w:val="en-US"/>
        </w:rPr>
        <w:t>Sociology of Health &amp; Illness</w:t>
      </w:r>
      <w:r w:rsidRPr="00CA21F1">
        <w:rPr>
          <w:lang w:val="en-US"/>
        </w:rPr>
        <w:t xml:space="preserve">, </w:t>
      </w:r>
      <w:r w:rsidRPr="00CA21F1">
        <w:rPr>
          <w:i/>
          <w:iCs/>
          <w:lang w:val="en-US"/>
        </w:rPr>
        <w:t>29</w:t>
      </w:r>
      <w:r w:rsidRPr="00CA21F1">
        <w:rPr>
          <w:lang w:val="en-US"/>
        </w:rPr>
        <w:t xml:space="preserve">(2), 180–197. </w:t>
      </w:r>
      <w:hyperlink r:id="rId22" w:history="1">
        <w:r w:rsidRPr="00CA21F1">
          <w:rPr>
            <w:rStyle w:val="Hyperlink"/>
            <w:lang w:val="en-US"/>
          </w:rPr>
          <w:t>https://doi.org/10.1111/j.1467-9566.2007.00531.x</w:t>
        </w:r>
      </w:hyperlink>
    </w:p>
    <w:p w14:paraId="692B11FF" w14:textId="77777777" w:rsidR="00CA21F1" w:rsidRPr="00CA21F1" w:rsidRDefault="00CA21F1" w:rsidP="00CA21F1">
      <w:pPr>
        <w:jc w:val="both"/>
        <w:rPr>
          <w:lang w:val="en-US"/>
        </w:rPr>
      </w:pPr>
    </w:p>
    <w:p w14:paraId="419542F3" w14:textId="345E584D" w:rsidR="00CA21F1" w:rsidRDefault="00CA21F1" w:rsidP="00CA21F1">
      <w:pPr>
        <w:jc w:val="both"/>
      </w:pPr>
      <w:r w:rsidRPr="00CA21F1">
        <w:rPr>
          <w:lang w:val="en-US"/>
        </w:rPr>
        <w:t xml:space="preserve">Page, M. J., &amp; Moher, D. (2017). Evaluations of the uptake and impact of the Preferred Reporting Items for Systematic reviews and Meta-Analyses (PRISMA) Statement and extensions: A scoping review. </w:t>
      </w:r>
      <w:r w:rsidRPr="00CA21F1">
        <w:rPr>
          <w:i/>
          <w:iCs/>
          <w:lang w:val="en-US"/>
        </w:rPr>
        <w:t>Systematic Reviews</w:t>
      </w:r>
      <w:r w:rsidRPr="00CA21F1">
        <w:rPr>
          <w:lang w:val="en-US"/>
        </w:rPr>
        <w:t xml:space="preserve">, </w:t>
      </w:r>
      <w:r w:rsidRPr="00CA21F1">
        <w:rPr>
          <w:i/>
          <w:iCs/>
          <w:lang w:val="en-US"/>
        </w:rPr>
        <w:t>6</w:t>
      </w:r>
      <w:r w:rsidRPr="00CA21F1">
        <w:rPr>
          <w:lang w:val="en-US"/>
        </w:rPr>
        <w:t xml:space="preserve">(1), 263. </w:t>
      </w:r>
      <w:hyperlink r:id="rId23" w:history="1">
        <w:r w:rsidRPr="00CA21F1">
          <w:rPr>
            <w:rStyle w:val="Hyperlink"/>
            <w:lang w:val="en-US"/>
          </w:rPr>
          <w:t>https://doi.org/10.1186/s13643-017-0663-8</w:t>
        </w:r>
      </w:hyperlink>
    </w:p>
    <w:p w14:paraId="226E54B2" w14:textId="77777777" w:rsidR="00CA21F1" w:rsidRPr="00CA21F1" w:rsidRDefault="00CA21F1" w:rsidP="00CA21F1">
      <w:pPr>
        <w:jc w:val="both"/>
        <w:rPr>
          <w:lang w:val="en-US"/>
        </w:rPr>
      </w:pPr>
    </w:p>
    <w:p w14:paraId="16362F22" w14:textId="7DB3F884" w:rsidR="00CA21F1" w:rsidRDefault="00CA21F1" w:rsidP="00CA21F1">
      <w:pPr>
        <w:jc w:val="both"/>
      </w:pPr>
      <w:r w:rsidRPr="00CA21F1">
        <w:rPr>
          <w:lang w:val="en-US"/>
        </w:rPr>
        <w:t xml:space="preserve">Patil, I. (2021). Visualizations with statistical details: The “ggstatsplot” approach. </w:t>
      </w:r>
      <w:r w:rsidRPr="00CA21F1">
        <w:rPr>
          <w:i/>
          <w:iCs/>
          <w:lang w:val="en-US"/>
        </w:rPr>
        <w:t xml:space="preserve">Journal of </w:t>
      </w:r>
      <w:proofErr w:type="gramStart"/>
      <w:r w:rsidRPr="00CA21F1">
        <w:rPr>
          <w:i/>
          <w:iCs/>
          <w:lang w:val="en-US"/>
        </w:rPr>
        <w:t>Open Source</w:t>
      </w:r>
      <w:proofErr w:type="gramEnd"/>
      <w:r w:rsidRPr="00CA21F1">
        <w:rPr>
          <w:i/>
          <w:iCs/>
          <w:lang w:val="en-US"/>
        </w:rPr>
        <w:t xml:space="preserve"> Software</w:t>
      </w:r>
      <w:r w:rsidRPr="00CA21F1">
        <w:rPr>
          <w:lang w:val="en-US"/>
        </w:rPr>
        <w:t xml:space="preserve">, </w:t>
      </w:r>
      <w:r w:rsidRPr="00CA21F1">
        <w:rPr>
          <w:i/>
          <w:iCs/>
          <w:lang w:val="en-US"/>
        </w:rPr>
        <w:t>6</w:t>
      </w:r>
      <w:r w:rsidRPr="00CA21F1">
        <w:rPr>
          <w:lang w:val="en-US"/>
        </w:rPr>
        <w:t xml:space="preserve">(61), 3167. </w:t>
      </w:r>
      <w:hyperlink r:id="rId24" w:history="1">
        <w:r w:rsidRPr="00CA21F1">
          <w:rPr>
            <w:rStyle w:val="Hyperlink"/>
            <w:lang w:val="en-US"/>
          </w:rPr>
          <w:t>https://doi.org/10.21105/joss.03167</w:t>
        </w:r>
      </w:hyperlink>
    </w:p>
    <w:p w14:paraId="7C51E792" w14:textId="77777777" w:rsidR="00CA21F1" w:rsidRPr="00CA21F1" w:rsidRDefault="00CA21F1" w:rsidP="00CA21F1">
      <w:pPr>
        <w:jc w:val="both"/>
        <w:rPr>
          <w:lang w:val="en-US"/>
        </w:rPr>
      </w:pPr>
    </w:p>
    <w:p w14:paraId="37BAF070" w14:textId="6D2DC38C" w:rsidR="00CA21F1" w:rsidRDefault="00CA21F1" w:rsidP="00CA21F1">
      <w:pPr>
        <w:jc w:val="both"/>
      </w:pPr>
      <w:r w:rsidRPr="00CA21F1">
        <w:rPr>
          <w:lang w:val="en-US"/>
        </w:rPr>
        <w:t xml:space="preserve">Puljak, L., &amp; Sapunar, D. (2017). Acceptance of a systematic review as a thesis: Survey of biomedical doctoral programs in Europe. </w:t>
      </w:r>
      <w:r w:rsidRPr="00CA21F1">
        <w:rPr>
          <w:i/>
          <w:iCs/>
          <w:lang w:val="en-US"/>
        </w:rPr>
        <w:t>Systematic Reviews</w:t>
      </w:r>
      <w:r w:rsidRPr="00CA21F1">
        <w:rPr>
          <w:lang w:val="en-US"/>
        </w:rPr>
        <w:t xml:space="preserve">, </w:t>
      </w:r>
      <w:r w:rsidRPr="00CA21F1">
        <w:rPr>
          <w:i/>
          <w:iCs/>
          <w:lang w:val="en-US"/>
        </w:rPr>
        <w:t>6</w:t>
      </w:r>
      <w:r w:rsidRPr="00CA21F1">
        <w:rPr>
          <w:lang w:val="en-US"/>
        </w:rPr>
        <w:t xml:space="preserve">(1), 253. </w:t>
      </w:r>
      <w:hyperlink r:id="rId25" w:history="1">
        <w:r w:rsidRPr="00CA21F1">
          <w:rPr>
            <w:rStyle w:val="Hyperlink"/>
            <w:lang w:val="en-US"/>
          </w:rPr>
          <w:t>https://doi.org/10.1186/s13643-017-0653-x</w:t>
        </w:r>
      </w:hyperlink>
    </w:p>
    <w:p w14:paraId="0FB3C746" w14:textId="77777777" w:rsidR="00CA21F1" w:rsidRPr="00CA21F1" w:rsidRDefault="00CA21F1" w:rsidP="00CA21F1">
      <w:pPr>
        <w:jc w:val="both"/>
        <w:rPr>
          <w:lang w:val="en-US"/>
        </w:rPr>
      </w:pPr>
    </w:p>
    <w:p w14:paraId="19A6BE4C" w14:textId="7EF0942E" w:rsidR="00CA21F1" w:rsidRDefault="00CA21F1" w:rsidP="00CA21F1">
      <w:pPr>
        <w:jc w:val="both"/>
      </w:pPr>
      <w:r w:rsidRPr="00CA21F1">
        <w:rPr>
          <w:lang w:val="en-US"/>
        </w:rPr>
        <w:t xml:space="preserve">Rushforth, A., &amp; Hammarfelt, B. (2022). </w:t>
      </w:r>
      <w:r w:rsidRPr="00CA21F1">
        <w:rPr>
          <w:i/>
          <w:iCs/>
          <w:lang w:val="en-US"/>
        </w:rPr>
        <w:t>The rise of ‘responsible metrics’ as a professional reform movement: A collective action frames perspective</w:t>
      </w:r>
      <w:r w:rsidRPr="00CA21F1">
        <w:rPr>
          <w:lang w:val="en-US"/>
        </w:rPr>
        <w:t xml:space="preserve"> [Preprint]. SocArXiv. </w:t>
      </w:r>
      <w:hyperlink r:id="rId26" w:history="1">
        <w:r w:rsidRPr="00CA21F1">
          <w:rPr>
            <w:rStyle w:val="Hyperlink"/>
            <w:lang w:val="en-US"/>
          </w:rPr>
          <w:t>https://doi.org/10.31235/osf.io/cdmqz</w:t>
        </w:r>
      </w:hyperlink>
    </w:p>
    <w:p w14:paraId="6E719B0D" w14:textId="77777777" w:rsidR="00CA21F1" w:rsidRPr="00CA21F1" w:rsidRDefault="00CA21F1" w:rsidP="00CA21F1">
      <w:pPr>
        <w:jc w:val="both"/>
        <w:rPr>
          <w:lang w:val="en-US"/>
        </w:rPr>
      </w:pPr>
    </w:p>
    <w:p w14:paraId="2CDF39A2" w14:textId="175622C2" w:rsidR="00CA21F1" w:rsidRDefault="00CA21F1" w:rsidP="00CA21F1">
      <w:pPr>
        <w:jc w:val="both"/>
      </w:pPr>
      <w:r w:rsidRPr="00CA21F1">
        <w:rPr>
          <w:lang w:val="en-US"/>
        </w:rPr>
        <w:t xml:space="preserve">Sambunjak, D., &amp; Puljak, L. (2010). Cochrane systematic review as a PhD thesis: An alternative with numerous advantages. </w:t>
      </w:r>
      <w:r w:rsidRPr="00CA21F1">
        <w:rPr>
          <w:i/>
          <w:iCs/>
          <w:lang w:val="en-US"/>
        </w:rPr>
        <w:t>Biochemia Medica</w:t>
      </w:r>
      <w:r w:rsidRPr="00CA21F1">
        <w:rPr>
          <w:lang w:val="en-US"/>
        </w:rPr>
        <w:t xml:space="preserve">, 319–326. </w:t>
      </w:r>
      <w:hyperlink r:id="rId27" w:history="1">
        <w:r w:rsidRPr="00CA21F1">
          <w:rPr>
            <w:rStyle w:val="Hyperlink"/>
            <w:lang w:val="en-US"/>
          </w:rPr>
          <w:t>https://doi.org/10.11613/BM.2010.041</w:t>
        </w:r>
      </w:hyperlink>
    </w:p>
    <w:p w14:paraId="5E8028A4" w14:textId="77777777" w:rsidR="00CA21F1" w:rsidRPr="00CA21F1" w:rsidRDefault="00CA21F1" w:rsidP="00CA21F1">
      <w:pPr>
        <w:jc w:val="both"/>
        <w:rPr>
          <w:lang w:val="en-US"/>
        </w:rPr>
      </w:pPr>
    </w:p>
    <w:p w14:paraId="0AB2D565" w14:textId="75A4164F" w:rsidR="00CA21F1" w:rsidRDefault="00CA21F1" w:rsidP="00CA21F1">
      <w:pPr>
        <w:jc w:val="both"/>
      </w:pPr>
      <w:r w:rsidRPr="00CA21F1">
        <w:rPr>
          <w:lang w:val="en-US"/>
        </w:rPr>
        <w:t xml:space="preserve">Sayers, E. W., Bolton, E. E., Brister, J. R., Canese, K., Chan, J., Comeau, D. C., Connor, R., Funk, K., Kelly, C., Kim, S., Madej, T., Marchler-Bauer, A., Lanczycki, C., Lathrop, S., Lu, Z., Thibaud-Nissen, F., Murphy, T., Phan, L., Skripchenko, Y., … Sherry, S. T. (2022). Database resources of the national center for biotechnology information. </w:t>
      </w:r>
      <w:r w:rsidRPr="00CA21F1">
        <w:rPr>
          <w:i/>
          <w:iCs/>
          <w:lang w:val="en-US"/>
        </w:rPr>
        <w:t>Nucleic Acids Research</w:t>
      </w:r>
      <w:r w:rsidRPr="00CA21F1">
        <w:rPr>
          <w:lang w:val="en-US"/>
        </w:rPr>
        <w:t xml:space="preserve">, </w:t>
      </w:r>
      <w:r w:rsidRPr="00CA21F1">
        <w:rPr>
          <w:i/>
          <w:iCs/>
          <w:lang w:val="en-US"/>
        </w:rPr>
        <w:t>50</w:t>
      </w:r>
      <w:r w:rsidRPr="00CA21F1">
        <w:rPr>
          <w:lang w:val="en-US"/>
        </w:rPr>
        <w:t xml:space="preserve">(D1), D20–D26. </w:t>
      </w:r>
      <w:hyperlink r:id="rId28" w:history="1">
        <w:r w:rsidRPr="00CA21F1">
          <w:rPr>
            <w:rStyle w:val="Hyperlink"/>
            <w:lang w:val="en-US"/>
          </w:rPr>
          <w:t>https://doi.org/10.1093/nar/gkab1112</w:t>
        </w:r>
      </w:hyperlink>
    </w:p>
    <w:p w14:paraId="32F8C2C5" w14:textId="77777777" w:rsidR="00CA21F1" w:rsidRPr="00CA21F1" w:rsidRDefault="00CA21F1" w:rsidP="00CA21F1">
      <w:pPr>
        <w:jc w:val="both"/>
        <w:rPr>
          <w:lang w:val="en-US"/>
        </w:rPr>
      </w:pPr>
    </w:p>
    <w:p w14:paraId="09B1397E" w14:textId="77777777" w:rsidR="00CA21F1" w:rsidRPr="00CA21F1" w:rsidRDefault="00CA21F1" w:rsidP="00CA21F1">
      <w:pPr>
        <w:jc w:val="both"/>
        <w:rPr>
          <w:lang w:val="en-US"/>
        </w:rPr>
      </w:pPr>
      <w:r w:rsidRPr="00CA21F1">
        <w:rPr>
          <w:lang w:val="en-US"/>
        </w:rPr>
        <w:t xml:space="preserve">Sugimoto, C. R., Sugimoto, T. J., Tsou, A., Milojević, S., &amp; Larivière, V. (2016). Age stratification and cohort effects in scholarly communication: A study of social sciences. </w:t>
      </w:r>
      <w:r w:rsidRPr="00CA21F1">
        <w:rPr>
          <w:i/>
          <w:iCs/>
          <w:lang w:val="en-US"/>
        </w:rPr>
        <w:t>Scientometrics</w:t>
      </w:r>
      <w:r w:rsidRPr="00CA21F1">
        <w:rPr>
          <w:lang w:val="en-US"/>
        </w:rPr>
        <w:t xml:space="preserve">, </w:t>
      </w:r>
      <w:r w:rsidRPr="00CA21F1">
        <w:rPr>
          <w:i/>
          <w:iCs/>
          <w:lang w:val="en-US"/>
        </w:rPr>
        <w:t>109</w:t>
      </w:r>
      <w:r w:rsidRPr="00CA21F1">
        <w:rPr>
          <w:lang w:val="en-US"/>
        </w:rPr>
        <w:t xml:space="preserve">(2), 997–1016. </w:t>
      </w:r>
      <w:hyperlink r:id="rId29" w:history="1">
        <w:r w:rsidRPr="00CA21F1">
          <w:rPr>
            <w:rStyle w:val="Hyperlink"/>
            <w:lang w:val="en-US"/>
          </w:rPr>
          <w:t>https://doi.org/10.1007/s11192-016-2087-y</w:t>
        </w:r>
      </w:hyperlink>
    </w:p>
    <w:p w14:paraId="2B3F5B8A" w14:textId="77777777" w:rsidR="00CA21F1" w:rsidRPr="00173EAD" w:rsidRDefault="00CA21F1" w:rsidP="00F92089">
      <w:pPr>
        <w:jc w:val="both"/>
      </w:pPr>
    </w:p>
    <w:sectPr w:rsidR="00CA21F1" w:rsidRPr="00173EA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CFE8" w14:textId="77777777" w:rsidR="001B5128" w:rsidRDefault="001B5128">
      <w:r>
        <w:separator/>
      </w:r>
    </w:p>
  </w:endnote>
  <w:endnote w:type="continuationSeparator" w:id="0">
    <w:p w14:paraId="1BFEB3E7" w14:textId="77777777" w:rsidR="001B5128" w:rsidRDefault="001B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0E83" w14:textId="77777777" w:rsidR="001B5128" w:rsidRDefault="001B5128">
      <w:r>
        <w:separator/>
      </w:r>
    </w:p>
  </w:footnote>
  <w:footnote w:type="continuationSeparator" w:id="0">
    <w:p w14:paraId="3CE1452E" w14:textId="77777777" w:rsidR="001B5128" w:rsidRDefault="001B5128">
      <w:r>
        <w:continuationSeparator/>
      </w:r>
    </w:p>
  </w:footnote>
  <w:footnote w:id="1">
    <w:p w14:paraId="6248BD3D" w14:textId="77777777" w:rsidR="005A47F4" w:rsidRDefault="005A47F4" w:rsidP="005A47F4">
      <w:pPr>
        <w:pStyle w:val="Funotentext"/>
      </w:pPr>
      <w:r>
        <w:rPr>
          <w:rStyle w:val="Funotenzeichen"/>
        </w:rPr>
        <w:footnoteRef/>
      </w:r>
      <w:r>
        <w:t xml:space="preserve"> Note that there are less (~8800) Reviews in the official Cochrane Library because it archives older review versions.</w:t>
      </w:r>
    </w:p>
  </w:footnote>
  <w:footnote w:id="2">
    <w:p w14:paraId="31B714F4" w14:textId="77777777" w:rsidR="00874B95" w:rsidRDefault="00874B95" w:rsidP="00874B95">
      <w:pPr>
        <w:pStyle w:val="Funotentext"/>
      </w:pPr>
      <w:r>
        <w:rPr>
          <w:rStyle w:val="Funotenzeichen"/>
        </w:rPr>
        <w:footnoteRef/>
      </w:r>
      <w:r>
        <w:t xml:space="preserve"> The parwise Dunn test with Bonferroni correction for all authors yielded p = 0.58 for the 1999 and 2020 version.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1"/>
  </w:num>
  <w:num w:numId="2" w16cid:durableId="177636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15A7B"/>
    <w:rsid w:val="00016081"/>
    <w:rsid w:val="000224AE"/>
    <w:rsid w:val="00022F49"/>
    <w:rsid w:val="000478D3"/>
    <w:rsid w:val="00052E3A"/>
    <w:rsid w:val="0005460D"/>
    <w:rsid w:val="00065B74"/>
    <w:rsid w:val="00066FBE"/>
    <w:rsid w:val="00077816"/>
    <w:rsid w:val="00081D4D"/>
    <w:rsid w:val="00093969"/>
    <w:rsid w:val="00094E04"/>
    <w:rsid w:val="000A0333"/>
    <w:rsid w:val="000A2344"/>
    <w:rsid w:val="000A4A9F"/>
    <w:rsid w:val="000B257D"/>
    <w:rsid w:val="000B323A"/>
    <w:rsid w:val="000C0E34"/>
    <w:rsid w:val="000C1967"/>
    <w:rsid w:val="000C25AF"/>
    <w:rsid w:val="000D460F"/>
    <w:rsid w:val="000F6691"/>
    <w:rsid w:val="00105061"/>
    <w:rsid w:val="00105A1D"/>
    <w:rsid w:val="001138CA"/>
    <w:rsid w:val="001402B3"/>
    <w:rsid w:val="00157749"/>
    <w:rsid w:val="00161230"/>
    <w:rsid w:val="00173EAD"/>
    <w:rsid w:val="00175488"/>
    <w:rsid w:val="00186CF6"/>
    <w:rsid w:val="001B5128"/>
    <w:rsid w:val="001D5512"/>
    <w:rsid w:val="001D7CC8"/>
    <w:rsid w:val="001E568F"/>
    <w:rsid w:val="001F332D"/>
    <w:rsid w:val="001F7644"/>
    <w:rsid w:val="0020033E"/>
    <w:rsid w:val="00202745"/>
    <w:rsid w:val="00203C51"/>
    <w:rsid w:val="002127DC"/>
    <w:rsid w:val="0022290C"/>
    <w:rsid w:val="002570BB"/>
    <w:rsid w:val="00264F48"/>
    <w:rsid w:val="00276CC7"/>
    <w:rsid w:val="0028410F"/>
    <w:rsid w:val="0029109C"/>
    <w:rsid w:val="00291BD4"/>
    <w:rsid w:val="0029211E"/>
    <w:rsid w:val="00293DA3"/>
    <w:rsid w:val="002943CA"/>
    <w:rsid w:val="002B1950"/>
    <w:rsid w:val="002C0FA2"/>
    <w:rsid w:val="002C342A"/>
    <w:rsid w:val="002D1B17"/>
    <w:rsid w:val="002D33F7"/>
    <w:rsid w:val="002D3BE4"/>
    <w:rsid w:val="002D710E"/>
    <w:rsid w:val="002E7904"/>
    <w:rsid w:val="002F243C"/>
    <w:rsid w:val="00310C0B"/>
    <w:rsid w:val="0031202E"/>
    <w:rsid w:val="003124AD"/>
    <w:rsid w:val="003127D0"/>
    <w:rsid w:val="00320C5D"/>
    <w:rsid w:val="00345E92"/>
    <w:rsid w:val="00346A57"/>
    <w:rsid w:val="00351AF2"/>
    <w:rsid w:val="0035307C"/>
    <w:rsid w:val="00370126"/>
    <w:rsid w:val="00371ACD"/>
    <w:rsid w:val="00383A87"/>
    <w:rsid w:val="00387850"/>
    <w:rsid w:val="00390253"/>
    <w:rsid w:val="003960AE"/>
    <w:rsid w:val="003B6383"/>
    <w:rsid w:val="003C30AF"/>
    <w:rsid w:val="003C4345"/>
    <w:rsid w:val="003C5313"/>
    <w:rsid w:val="003C6EF5"/>
    <w:rsid w:val="003C76AF"/>
    <w:rsid w:val="003D1C80"/>
    <w:rsid w:val="00402C81"/>
    <w:rsid w:val="004057FC"/>
    <w:rsid w:val="004103E0"/>
    <w:rsid w:val="00420106"/>
    <w:rsid w:val="00430FC6"/>
    <w:rsid w:val="0044073E"/>
    <w:rsid w:val="00445337"/>
    <w:rsid w:val="00445A23"/>
    <w:rsid w:val="00451AA5"/>
    <w:rsid w:val="0045560F"/>
    <w:rsid w:val="00463CB2"/>
    <w:rsid w:val="004725C8"/>
    <w:rsid w:val="00475931"/>
    <w:rsid w:val="004971AB"/>
    <w:rsid w:val="004D4532"/>
    <w:rsid w:val="004E212B"/>
    <w:rsid w:val="004E4DE4"/>
    <w:rsid w:val="004E56AC"/>
    <w:rsid w:val="005110DD"/>
    <w:rsid w:val="005170CD"/>
    <w:rsid w:val="005172F9"/>
    <w:rsid w:val="00517FCF"/>
    <w:rsid w:val="00522BF8"/>
    <w:rsid w:val="0053603D"/>
    <w:rsid w:val="0054026B"/>
    <w:rsid w:val="00542798"/>
    <w:rsid w:val="0054666D"/>
    <w:rsid w:val="00554E8F"/>
    <w:rsid w:val="00570E3F"/>
    <w:rsid w:val="00572E3E"/>
    <w:rsid w:val="005736CB"/>
    <w:rsid w:val="0057717C"/>
    <w:rsid w:val="0058753E"/>
    <w:rsid w:val="00595181"/>
    <w:rsid w:val="00595AC4"/>
    <w:rsid w:val="00596F60"/>
    <w:rsid w:val="005A1BF2"/>
    <w:rsid w:val="005A47F4"/>
    <w:rsid w:val="005B3511"/>
    <w:rsid w:val="005C6A9C"/>
    <w:rsid w:val="00606575"/>
    <w:rsid w:val="00614ED0"/>
    <w:rsid w:val="0063363B"/>
    <w:rsid w:val="0064491D"/>
    <w:rsid w:val="00646543"/>
    <w:rsid w:val="00647A0B"/>
    <w:rsid w:val="006510F8"/>
    <w:rsid w:val="006513C3"/>
    <w:rsid w:val="006609A8"/>
    <w:rsid w:val="0066157A"/>
    <w:rsid w:val="00662AF1"/>
    <w:rsid w:val="00663AC3"/>
    <w:rsid w:val="00681AAA"/>
    <w:rsid w:val="00684B8B"/>
    <w:rsid w:val="006A3370"/>
    <w:rsid w:val="006C40B1"/>
    <w:rsid w:val="006D14F4"/>
    <w:rsid w:val="006E3FD1"/>
    <w:rsid w:val="006E7E5A"/>
    <w:rsid w:val="006F487B"/>
    <w:rsid w:val="007042BB"/>
    <w:rsid w:val="007053E7"/>
    <w:rsid w:val="007155F7"/>
    <w:rsid w:val="007228AC"/>
    <w:rsid w:val="00727A0B"/>
    <w:rsid w:val="0073347A"/>
    <w:rsid w:val="00737C87"/>
    <w:rsid w:val="0074177C"/>
    <w:rsid w:val="00753322"/>
    <w:rsid w:val="007625EF"/>
    <w:rsid w:val="00762864"/>
    <w:rsid w:val="0076587B"/>
    <w:rsid w:val="0077796D"/>
    <w:rsid w:val="00780EC7"/>
    <w:rsid w:val="0078754B"/>
    <w:rsid w:val="007A42E7"/>
    <w:rsid w:val="007A59E1"/>
    <w:rsid w:val="007C30D8"/>
    <w:rsid w:val="007D2A59"/>
    <w:rsid w:val="007E24E0"/>
    <w:rsid w:val="007F3BBB"/>
    <w:rsid w:val="007F57FB"/>
    <w:rsid w:val="00800369"/>
    <w:rsid w:val="00810FA5"/>
    <w:rsid w:val="00813E5C"/>
    <w:rsid w:val="008168F4"/>
    <w:rsid w:val="00823AF0"/>
    <w:rsid w:val="00823E97"/>
    <w:rsid w:val="00835B6B"/>
    <w:rsid w:val="00852334"/>
    <w:rsid w:val="008618F8"/>
    <w:rsid w:val="00870B16"/>
    <w:rsid w:val="00874B95"/>
    <w:rsid w:val="008C2573"/>
    <w:rsid w:val="008C52D4"/>
    <w:rsid w:val="008D49E0"/>
    <w:rsid w:val="008E3F52"/>
    <w:rsid w:val="008E5795"/>
    <w:rsid w:val="008E6E34"/>
    <w:rsid w:val="008F1E72"/>
    <w:rsid w:val="008F2C66"/>
    <w:rsid w:val="008F6633"/>
    <w:rsid w:val="008F783D"/>
    <w:rsid w:val="00915294"/>
    <w:rsid w:val="00927ECF"/>
    <w:rsid w:val="009302E1"/>
    <w:rsid w:val="009306E8"/>
    <w:rsid w:val="0093532C"/>
    <w:rsid w:val="009501DD"/>
    <w:rsid w:val="00953BA1"/>
    <w:rsid w:val="00962921"/>
    <w:rsid w:val="009737E3"/>
    <w:rsid w:val="00994680"/>
    <w:rsid w:val="009A1E7B"/>
    <w:rsid w:val="009D026B"/>
    <w:rsid w:val="009E23BF"/>
    <w:rsid w:val="009F2359"/>
    <w:rsid w:val="00A22AC2"/>
    <w:rsid w:val="00A34320"/>
    <w:rsid w:val="00A40DD3"/>
    <w:rsid w:val="00A4362D"/>
    <w:rsid w:val="00A71714"/>
    <w:rsid w:val="00A96B02"/>
    <w:rsid w:val="00AA1481"/>
    <w:rsid w:val="00AB2736"/>
    <w:rsid w:val="00AC140C"/>
    <w:rsid w:val="00AD2309"/>
    <w:rsid w:val="00AD3532"/>
    <w:rsid w:val="00AD53B6"/>
    <w:rsid w:val="00AD6D2D"/>
    <w:rsid w:val="00AE7776"/>
    <w:rsid w:val="00AF2859"/>
    <w:rsid w:val="00B06CDE"/>
    <w:rsid w:val="00B16715"/>
    <w:rsid w:val="00B16E8E"/>
    <w:rsid w:val="00B223C2"/>
    <w:rsid w:val="00B35DB9"/>
    <w:rsid w:val="00B42E85"/>
    <w:rsid w:val="00B5494B"/>
    <w:rsid w:val="00B5776F"/>
    <w:rsid w:val="00B63DFC"/>
    <w:rsid w:val="00B71AD5"/>
    <w:rsid w:val="00B73A76"/>
    <w:rsid w:val="00B73A77"/>
    <w:rsid w:val="00B868DF"/>
    <w:rsid w:val="00B90235"/>
    <w:rsid w:val="00BA4144"/>
    <w:rsid w:val="00BA59EF"/>
    <w:rsid w:val="00BA68EE"/>
    <w:rsid w:val="00BA6F1A"/>
    <w:rsid w:val="00BB2E42"/>
    <w:rsid w:val="00BC2363"/>
    <w:rsid w:val="00BD2667"/>
    <w:rsid w:val="00C0000D"/>
    <w:rsid w:val="00C06D28"/>
    <w:rsid w:val="00C101A6"/>
    <w:rsid w:val="00C213E6"/>
    <w:rsid w:val="00C3437E"/>
    <w:rsid w:val="00C437DD"/>
    <w:rsid w:val="00C6489E"/>
    <w:rsid w:val="00C76479"/>
    <w:rsid w:val="00C765BD"/>
    <w:rsid w:val="00C86E38"/>
    <w:rsid w:val="00C90B76"/>
    <w:rsid w:val="00CA1357"/>
    <w:rsid w:val="00CA21F1"/>
    <w:rsid w:val="00CA37F0"/>
    <w:rsid w:val="00CA76C7"/>
    <w:rsid w:val="00CB0C61"/>
    <w:rsid w:val="00CB15AC"/>
    <w:rsid w:val="00CB6152"/>
    <w:rsid w:val="00CB7BCF"/>
    <w:rsid w:val="00CC28DE"/>
    <w:rsid w:val="00CE3C45"/>
    <w:rsid w:val="00CE70E2"/>
    <w:rsid w:val="00CF44BA"/>
    <w:rsid w:val="00D00AAB"/>
    <w:rsid w:val="00D02002"/>
    <w:rsid w:val="00D03AD4"/>
    <w:rsid w:val="00D132FE"/>
    <w:rsid w:val="00D16BC6"/>
    <w:rsid w:val="00D21277"/>
    <w:rsid w:val="00D269CF"/>
    <w:rsid w:val="00D314CF"/>
    <w:rsid w:val="00D34688"/>
    <w:rsid w:val="00D50395"/>
    <w:rsid w:val="00D54C10"/>
    <w:rsid w:val="00D54E25"/>
    <w:rsid w:val="00D5520D"/>
    <w:rsid w:val="00D65F13"/>
    <w:rsid w:val="00D837D9"/>
    <w:rsid w:val="00D96243"/>
    <w:rsid w:val="00DB40B2"/>
    <w:rsid w:val="00DC105B"/>
    <w:rsid w:val="00DC6FB5"/>
    <w:rsid w:val="00DE0E40"/>
    <w:rsid w:val="00DE5BD2"/>
    <w:rsid w:val="00DF037E"/>
    <w:rsid w:val="00DF2DC3"/>
    <w:rsid w:val="00E03487"/>
    <w:rsid w:val="00E077DB"/>
    <w:rsid w:val="00E32A1D"/>
    <w:rsid w:val="00E32C3E"/>
    <w:rsid w:val="00E33403"/>
    <w:rsid w:val="00E34C97"/>
    <w:rsid w:val="00E44280"/>
    <w:rsid w:val="00E501C4"/>
    <w:rsid w:val="00E50A3D"/>
    <w:rsid w:val="00E55FBC"/>
    <w:rsid w:val="00E7703F"/>
    <w:rsid w:val="00EA6D4C"/>
    <w:rsid w:val="00EA7E9B"/>
    <w:rsid w:val="00EB1190"/>
    <w:rsid w:val="00EB5C09"/>
    <w:rsid w:val="00EC04B8"/>
    <w:rsid w:val="00EC286B"/>
    <w:rsid w:val="00EC7804"/>
    <w:rsid w:val="00ED27EB"/>
    <w:rsid w:val="00EE4AC8"/>
    <w:rsid w:val="00EE791C"/>
    <w:rsid w:val="00EF2082"/>
    <w:rsid w:val="00EF3656"/>
    <w:rsid w:val="00F047FA"/>
    <w:rsid w:val="00F0578C"/>
    <w:rsid w:val="00F11FF9"/>
    <w:rsid w:val="00F13510"/>
    <w:rsid w:val="00F233ED"/>
    <w:rsid w:val="00F25426"/>
    <w:rsid w:val="00F2758B"/>
    <w:rsid w:val="00F37D2C"/>
    <w:rsid w:val="00F463E0"/>
    <w:rsid w:val="00F729E0"/>
    <w:rsid w:val="00F74276"/>
    <w:rsid w:val="00F776E3"/>
    <w:rsid w:val="00F834E1"/>
    <w:rsid w:val="00F8756A"/>
    <w:rsid w:val="00F909B9"/>
    <w:rsid w:val="00F92089"/>
    <w:rsid w:val="00FA4F33"/>
    <w:rsid w:val="00FB2E6C"/>
    <w:rsid w:val="00FC605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GB" w:eastAsia="sv-SE"/>
    </w:rPr>
  </w:style>
  <w:style w:type="paragraph" w:styleId="berschrift1">
    <w:name w:val="heading 1"/>
    <w:basedOn w:val="Standard"/>
    <w:next w:val="Standard"/>
    <w:link w:val="berschrift1Zchn"/>
    <w:uiPriority w:val="99"/>
    <w:qFormat/>
    <w:pPr>
      <w:keepNext/>
      <w:outlineLvl w:val="0"/>
    </w:pPr>
    <w:rPr>
      <w:sz w:val="36"/>
      <w:szCs w:val="36"/>
    </w:rPr>
  </w:style>
  <w:style w:type="paragraph" w:styleId="berschrift2">
    <w:name w:val="heading 2"/>
    <w:basedOn w:val="Standard"/>
    <w:next w:val="Standard"/>
    <w:link w:val="berschrift2Zchn"/>
    <w:uiPriority w:val="99"/>
    <w:qFormat/>
    <w:pPr>
      <w:keepNext/>
      <w:outlineLvl w:val="1"/>
    </w:pPr>
    <w:rPr>
      <w:b/>
      <w:bCs/>
    </w:rPr>
  </w:style>
  <w:style w:type="paragraph" w:styleId="berschrift3">
    <w:name w:val="heading 3"/>
    <w:basedOn w:val="Standard"/>
    <w:next w:val="Standard"/>
    <w:link w:val="berschrift3Zchn"/>
    <w:uiPriority w:val="99"/>
    <w:qFormat/>
    <w:pPr>
      <w:keepNext/>
      <w:outlineLvl w:val="2"/>
    </w:pPr>
    <w:rPr>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GB" w:eastAsia="sv-S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GB" w:eastAsia="sv-S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Standard"/>
    <w:uiPriority w:val="99"/>
    <w:pPr>
      <w:spacing w:after="80"/>
      <w:ind w:left="144" w:hanging="144"/>
      <w:jc w:val="both"/>
    </w:pPr>
    <w:rPr>
      <w:sz w:val="18"/>
      <w:szCs w:val="18"/>
      <w:lang w:val="en-US" w:eastAsia="en-US"/>
    </w:rPr>
  </w:style>
  <w:style w:type="paragraph" w:styleId="Textkrper2">
    <w:name w:val="Body Text 2"/>
    <w:basedOn w:val="Standard"/>
    <w:link w:val="Textkrper2Zchn"/>
    <w:uiPriority w:val="99"/>
    <w:pPr>
      <w:jc w:val="both"/>
    </w:pPr>
  </w:style>
  <w:style w:type="character" w:customStyle="1" w:styleId="Textkrper2Zchn">
    <w:name w:val="Textkörper 2 Zchn"/>
    <w:link w:val="Textkrper2"/>
    <w:uiPriority w:val="99"/>
    <w:semiHidden/>
    <w:locked/>
    <w:rPr>
      <w:rFonts w:cs="Times New Roman"/>
      <w:sz w:val="24"/>
      <w:szCs w:val="24"/>
      <w:lang w:val="en-GB" w:eastAsia="sv-SE"/>
    </w:rPr>
  </w:style>
  <w:style w:type="paragraph" w:styleId="Textkrper">
    <w:name w:val="Body Text"/>
    <w:basedOn w:val="Standard"/>
    <w:link w:val="TextkrperZchn"/>
    <w:uiPriority w:val="99"/>
    <w:rPr>
      <w:color w:val="0000FF"/>
    </w:rPr>
  </w:style>
  <w:style w:type="character" w:customStyle="1" w:styleId="TextkrperZchn">
    <w:name w:val="Textkörper Zchn"/>
    <w:link w:val="Textkrper"/>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unotentext">
    <w:name w:val="footnote text"/>
    <w:basedOn w:val="Standard"/>
    <w:link w:val="FunotentextZchn"/>
    <w:uiPriority w:val="99"/>
    <w:semiHidden/>
    <w:rsid w:val="000C1967"/>
    <w:rPr>
      <w:sz w:val="20"/>
      <w:szCs w:val="20"/>
    </w:rPr>
  </w:style>
  <w:style w:type="character" w:customStyle="1" w:styleId="FunotentextZchn">
    <w:name w:val="Fußnotentext Zchn"/>
    <w:link w:val="Funotentext"/>
    <w:uiPriority w:val="99"/>
    <w:semiHidden/>
    <w:locked/>
    <w:rPr>
      <w:rFonts w:cs="Times New Roman"/>
      <w:sz w:val="20"/>
      <w:szCs w:val="20"/>
      <w:lang w:val="en-GB" w:eastAsia="sv-SE"/>
    </w:rPr>
  </w:style>
  <w:style w:type="character" w:styleId="Funotenzeichen">
    <w:name w:val="footnote reference"/>
    <w:uiPriority w:val="99"/>
    <w:semiHidden/>
    <w:rsid w:val="000C1967"/>
    <w:rPr>
      <w:rFonts w:cs="Times New Roman"/>
      <w:vertAlign w:val="superscript"/>
    </w:rPr>
  </w:style>
  <w:style w:type="character" w:styleId="BesuchterLink">
    <w:name w:val="FollowedHyperlink"/>
    <w:uiPriority w:val="99"/>
    <w:semiHidden/>
    <w:unhideWhenUsed/>
    <w:rsid w:val="00AD53B6"/>
    <w:rPr>
      <w:rFonts w:cs="Times New Roman"/>
      <w:color w:val="800080"/>
      <w:u w:val="single"/>
    </w:rPr>
  </w:style>
  <w:style w:type="character" w:styleId="Kommentarzeichen">
    <w:name w:val="annotation reference"/>
    <w:uiPriority w:val="99"/>
    <w:semiHidden/>
    <w:unhideWhenUsed/>
    <w:rsid w:val="001402B3"/>
    <w:rPr>
      <w:rFonts w:cs="Times New Roman"/>
      <w:sz w:val="16"/>
      <w:szCs w:val="16"/>
    </w:rPr>
  </w:style>
  <w:style w:type="paragraph" w:styleId="Kommentartext">
    <w:name w:val="annotation text"/>
    <w:basedOn w:val="Standard"/>
    <w:link w:val="KommentartextZchn"/>
    <w:uiPriority w:val="99"/>
    <w:semiHidden/>
    <w:unhideWhenUsed/>
    <w:rsid w:val="001402B3"/>
    <w:rPr>
      <w:sz w:val="20"/>
      <w:szCs w:val="20"/>
    </w:rPr>
  </w:style>
  <w:style w:type="character" w:customStyle="1" w:styleId="KommentartextZchn">
    <w:name w:val="Kommentartext Zchn"/>
    <w:link w:val="Kommentartext"/>
    <w:uiPriority w:val="99"/>
    <w:semiHidden/>
    <w:locked/>
    <w:rsid w:val="001402B3"/>
    <w:rPr>
      <w:rFonts w:cs="Times New Roman"/>
      <w:sz w:val="20"/>
      <w:szCs w:val="20"/>
      <w:lang w:val="en-GB" w:eastAsia="sv-SE"/>
    </w:rPr>
  </w:style>
  <w:style w:type="paragraph" w:styleId="Kommentarthema">
    <w:name w:val="annotation subject"/>
    <w:basedOn w:val="Kommentartext"/>
    <w:next w:val="Kommentartext"/>
    <w:link w:val="KommentarthemaZchn"/>
    <w:uiPriority w:val="99"/>
    <w:semiHidden/>
    <w:unhideWhenUsed/>
    <w:rsid w:val="001402B3"/>
    <w:rPr>
      <w:b/>
      <w:bCs/>
    </w:rPr>
  </w:style>
  <w:style w:type="character" w:customStyle="1" w:styleId="KommentarthemaZchn">
    <w:name w:val="Kommentarthema Zchn"/>
    <w:link w:val="Kommentarthema"/>
    <w:uiPriority w:val="99"/>
    <w:semiHidden/>
    <w:locked/>
    <w:rsid w:val="001402B3"/>
    <w:rPr>
      <w:rFonts w:cs="Times New Roman"/>
      <w:b/>
      <w:bCs/>
      <w:sz w:val="20"/>
      <w:szCs w:val="20"/>
      <w:lang w:val="en-GB" w:eastAsia="sv-SE"/>
    </w:rPr>
  </w:style>
  <w:style w:type="paragraph" w:styleId="Sprechblasentext">
    <w:name w:val="Balloon Text"/>
    <w:basedOn w:val="Standard"/>
    <w:link w:val="SprechblasentextZchn"/>
    <w:uiPriority w:val="99"/>
    <w:semiHidden/>
    <w:unhideWhenUsed/>
    <w:rsid w:val="001402B3"/>
    <w:rPr>
      <w:rFonts w:ascii="Tahoma" w:hAnsi="Tahoma" w:cs="Tahoma"/>
      <w:sz w:val="16"/>
      <w:szCs w:val="16"/>
    </w:rPr>
  </w:style>
  <w:style w:type="character" w:customStyle="1" w:styleId="SprechblasentextZchn">
    <w:name w:val="Sprechblasentext Zchn"/>
    <w:link w:val="Sprechblasentext"/>
    <w:uiPriority w:val="99"/>
    <w:semiHidden/>
    <w:locked/>
    <w:rsid w:val="001402B3"/>
    <w:rPr>
      <w:rFonts w:ascii="Tahoma" w:hAnsi="Tahoma" w:cs="Tahoma"/>
      <w:sz w:val="16"/>
      <w:szCs w:val="16"/>
      <w:lang w:val="en-GB" w:eastAsia="sv-SE"/>
    </w:rPr>
  </w:style>
  <w:style w:type="paragraph" w:styleId="Kopfzeile">
    <w:name w:val="header"/>
    <w:basedOn w:val="Standard"/>
    <w:link w:val="KopfzeileZchn"/>
    <w:uiPriority w:val="99"/>
    <w:unhideWhenUsed/>
    <w:rsid w:val="00B73A77"/>
    <w:pPr>
      <w:tabs>
        <w:tab w:val="center" w:pos="4536"/>
        <w:tab w:val="right" w:pos="9072"/>
      </w:tabs>
    </w:pPr>
  </w:style>
  <w:style w:type="character" w:customStyle="1" w:styleId="KopfzeileZchn">
    <w:name w:val="Kopfzeile Zchn"/>
    <w:link w:val="Kopfzeile"/>
    <w:uiPriority w:val="99"/>
    <w:rsid w:val="00B73A77"/>
    <w:rPr>
      <w:sz w:val="24"/>
      <w:szCs w:val="24"/>
      <w:lang w:val="en-GB" w:eastAsia="sv-SE"/>
    </w:rPr>
  </w:style>
  <w:style w:type="paragraph" w:styleId="Fuzeile">
    <w:name w:val="footer"/>
    <w:basedOn w:val="Standard"/>
    <w:link w:val="FuzeileZchn"/>
    <w:uiPriority w:val="99"/>
    <w:unhideWhenUsed/>
    <w:rsid w:val="00B73A77"/>
    <w:pPr>
      <w:tabs>
        <w:tab w:val="center" w:pos="4536"/>
        <w:tab w:val="right" w:pos="9072"/>
      </w:tabs>
    </w:pPr>
  </w:style>
  <w:style w:type="character" w:customStyle="1" w:styleId="FuzeileZchn">
    <w:name w:val="Fußzeile Zchn"/>
    <w:link w:val="Fuzeile"/>
    <w:uiPriority w:val="99"/>
    <w:rsid w:val="00B73A77"/>
    <w:rPr>
      <w:sz w:val="24"/>
      <w:szCs w:val="24"/>
      <w:lang w:val="en-GB" w:eastAsia="sv-SE"/>
    </w:rPr>
  </w:style>
  <w:style w:type="character" w:styleId="NichtaufgelsteErwhnung">
    <w:name w:val="Unresolved Mention"/>
    <w:uiPriority w:val="99"/>
    <w:semiHidden/>
    <w:unhideWhenUsed/>
    <w:rsid w:val="00813E5C"/>
    <w:rPr>
      <w:color w:val="605E5C"/>
      <w:shd w:val="clear" w:color="auto" w:fill="E1DFDD"/>
    </w:rPr>
  </w:style>
  <w:style w:type="table" w:styleId="Tabellenraster">
    <w:name w:val="Table Grid"/>
    <w:basedOn w:val="NormaleTabelle"/>
    <w:uiPriority w:val="59"/>
    <w:rsid w:val="00644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7279">
      <w:bodyDiv w:val="1"/>
      <w:marLeft w:val="0"/>
      <w:marRight w:val="0"/>
      <w:marTop w:val="0"/>
      <w:marBottom w:val="0"/>
      <w:divBdr>
        <w:top w:val="none" w:sz="0" w:space="0" w:color="auto"/>
        <w:left w:val="none" w:sz="0" w:space="0" w:color="auto"/>
        <w:bottom w:val="none" w:sz="0" w:space="0" w:color="auto"/>
        <w:right w:val="none" w:sz="0" w:space="0" w:color="auto"/>
      </w:divBdr>
    </w:div>
    <w:div w:id="650788953">
      <w:bodyDiv w:val="1"/>
      <w:marLeft w:val="0"/>
      <w:marRight w:val="0"/>
      <w:marTop w:val="0"/>
      <w:marBottom w:val="0"/>
      <w:divBdr>
        <w:top w:val="none" w:sz="0" w:space="0" w:color="auto"/>
        <w:left w:val="none" w:sz="0" w:space="0" w:color="auto"/>
        <w:bottom w:val="none" w:sz="0" w:space="0" w:color="auto"/>
        <w:right w:val="none" w:sz="0" w:space="0" w:color="auto"/>
      </w:divBdr>
    </w:div>
    <w:div w:id="687680659">
      <w:bodyDiv w:val="1"/>
      <w:marLeft w:val="0"/>
      <w:marRight w:val="0"/>
      <w:marTop w:val="0"/>
      <w:marBottom w:val="0"/>
      <w:divBdr>
        <w:top w:val="none" w:sz="0" w:space="0" w:color="auto"/>
        <w:left w:val="none" w:sz="0" w:space="0" w:color="auto"/>
        <w:bottom w:val="none" w:sz="0" w:space="0" w:color="auto"/>
        <w:right w:val="none" w:sz="0" w:space="0" w:color="auto"/>
      </w:divBdr>
      <w:divsChild>
        <w:div w:id="1940139993">
          <w:marLeft w:val="480"/>
          <w:marRight w:val="0"/>
          <w:marTop w:val="0"/>
          <w:marBottom w:val="0"/>
          <w:divBdr>
            <w:top w:val="none" w:sz="0" w:space="0" w:color="auto"/>
            <w:left w:val="none" w:sz="0" w:space="0" w:color="auto"/>
            <w:bottom w:val="none" w:sz="0" w:space="0" w:color="auto"/>
            <w:right w:val="none" w:sz="0" w:space="0" w:color="auto"/>
          </w:divBdr>
          <w:divsChild>
            <w:div w:id="1994292242">
              <w:marLeft w:val="0"/>
              <w:marRight w:val="0"/>
              <w:marTop w:val="0"/>
              <w:marBottom w:val="0"/>
              <w:divBdr>
                <w:top w:val="none" w:sz="0" w:space="0" w:color="auto"/>
                <w:left w:val="none" w:sz="0" w:space="0" w:color="auto"/>
                <w:bottom w:val="none" w:sz="0" w:space="0" w:color="auto"/>
                <w:right w:val="none" w:sz="0" w:space="0" w:color="auto"/>
              </w:divBdr>
            </w:div>
            <w:div w:id="1762950948">
              <w:marLeft w:val="0"/>
              <w:marRight w:val="0"/>
              <w:marTop w:val="0"/>
              <w:marBottom w:val="0"/>
              <w:divBdr>
                <w:top w:val="none" w:sz="0" w:space="0" w:color="auto"/>
                <w:left w:val="none" w:sz="0" w:space="0" w:color="auto"/>
                <w:bottom w:val="none" w:sz="0" w:space="0" w:color="auto"/>
                <w:right w:val="none" w:sz="0" w:space="0" w:color="auto"/>
              </w:divBdr>
            </w:div>
            <w:div w:id="859777527">
              <w:marLeft w:val="0"/>
              <w:marRight w:val="0"/>
              <w:marTop w:val="0"/>
              <w:marBottom w:val="0"/>
              <w:divBdr>
                <w:top w:val="none" w:sz="0" w:space="0" w:color="auto"/>
                <w:left w:val="none" w:sz="0" w:space="0" w:color="auto"/>
                <w:bottom w:val="none" w:sz="0" w:space="0" w:color="auto"/>
                <w:right w:val="none" w:sz="0" w:space="0" w:color="auto"/>
              </w:divBdr>
            </w:div>
            <w:div w:id="1886018865">
              <w:marLeft w:val="0"/>
              <w:marRight w:val="0"/>
              <w:marTop w:val="0"/>
              <w:marBottom w:val="0"/>
              <w:divBdr>
                <w:top w:val="none" w:sz="0" w:space="0" w:color="auto"/>
                <w:left w:val="none" w:sz="0" w:space="0" w:color="auto"/>
                <w:bottom w:val="none" w:sz="0" w:space="0" w:color="auto"/>
                <w:right w:val="none" w:sz="0" w:space="0" w:color="auto"/>
              </w:divBdr>
            </w:div>
            <w:div w:id="1055351548">
              <w:marLeft w:val="0"/>
              <w:marRight w:val="0"/>
              <w:marTop w:val="0"/>
              <w:marBottom w:val="0"/>
              <w:divBdr>
                <w:top w:val="none" w:sz="0" w:space="0" w:color="auto"/>
                <w:left w:val="none" w:sz="0" w:space="0" w:color="auto"/>
                <w:bottom w:val="none" w:sz="0" w:space="0" w:color="auto"/>
                <w:right w:val="none" w:sz="0" w:space="0" w:color="auto"/>
              </w:divBdr>
            </w:div>
            <w:div w:id="352078401">
              <w:marLeft w:val="0"/>
              <w:marRight w:val="0"/>
              <w:marTop w:val="0"/>
              <w:marBottom w:val="0"/>
              <w:divBdr>
                <w:top w:val="none" w:sz="0" w:space="0" w:color="auto"/>
                <w:left w:val="none" w:sz="0" w:space="0" w:color="auto"/>
                <w:bottom w:val="none" w:sz="0" w:space="0" w:color="auto"/>
                <w:right w:val="none" w:sz="0" w:space="0" w:color="auto"/>
              </w:divBdr>
            </w:div>
            <w:div w:id="1319269064">
              <w:marLeft w:val="0"/>
              <w:marRight w:val="0"/>
              <w:marTop w:val="0"/>
              <w:marBottom w:val="0"/>
              <w:divBdr>
                <w:top w:val="none" w:sz="0" w:space="0" w:color="auto"/>
                <w:left w:val="none" w:sz="0" w:space="0" w:color="auto"/>
                <w:bottom w:val="none" w:sz="0" w:space="0" w:color="auto"/>
                <w:right w:val="none" w:sz="0" w:space="0" w:color="auto"/>
              </w:divBdr>
            </w:div>
            <w:div w:id="2061205346">
              <w:marLeft w:val="0"/>
              <w:marRight w:val="0"/>
              <w:marTop w:val="0"/>
              <w:marBottom w:val="0"/>
              <w:divBdr>
                <w:top w:val="none" w:sz="0" w:space="0" w:color="auto"/>
                <w:left w:val="none" w:sz="0" w:space="0" w:color="auto"/>
                <w:bottom w:val="none" w:sz="0" w:space="0" w:color="auto"/>
                <w:right w:val="none" w:sz="0" w:space="0" w:color="auto"/>
              </w:divBdr>
            </w:div>
            <w:div w:id="126897479">
              <w:marLeft w:val="0"/>
              <w:marRight w:val="0"/>
              <w:marTop w:val="0"/>
              <w:marBottom w:val="0"/>
              <w:divBdr>
                <w:top w:val="none" w:sz="0" w:space="0" w:color="auto"/>
                <w:left w:val="none" w:sz="0" w:space="0" w:color="auto"/>
                <w:bottom w:val="none" w:sz="0" w:space="0" w:color="auto"/>
                <w:right w:val="none" w:sz="0" w:space="0" w:color="auto"/>
              </w:divBdr>
            </w:div>
            <w:div w:id="1088237692">
              <w:marLeft w:val="0"/>
              <w:marRight w:val="0"/>
              <w:marTop w:val="0"/>
              <w:marBottom w:val="0"/>
              <w:divBdr>
                <w:top w:val="none" w:sz="0" w:space="0" w:color="auto"/>
                <w:left w:val="none" w:sz="0" w:space="0" w:color="auto"/>
                <w:bottom w:val="none" w:sz="0" w:space="0" w:color="auto"/>
                <w:right w:val="none" w:sz="0" w:space="0" w:color="auto"/>
              </w:divBdr>
            </w:div>
            <w:div w:id="495725907">
              <w:marLeft w:val="0"/>
              <w:marRight w:val="0"/>
              <w:marTop w:val="0"/>
              <w:marBottom w:val="0"/>
              <w:divBdr>
                <w:top w:val="none" w:sz="0" w:space="0" w:color="auto"/>
                <w:left w:val="none" w:sz="0" w:space="0" w:color="auto"/>
                <w:bottom w:val="none" w:sz="0" w:space="0" w:color="auto"/>
                <w:right w:val="none" w:sz="0" w:space="0" w:color="auto"/>
              </w:divBdr>
            </w:div>
            <w:div w:id="1625959477">
              <w:marLeft w:val="0"/>
              <w:marRight w:val="0"/>
              <w:marTop w:val="0"/>
              <w:marBottom w:val="0"/>
              <w:divBdr>
                <w:top w:val="none" w:sz="0" w:space="0" w:color="auto"/>
                <w:left w:val="none" w:sz="0" w:space="0" w:color="auto"/>
                <w:bottom w:val="none" w:sz="0" w:space="0" w:color="auto"/>
                <w:right w:val="none" w:sz="0" w:space="0" w:color="auto"/>
              </w:divBdr>
            </w:div>
            <w:div w:id="190531586">
              <w:marLeft w:val="0"/>
              <w:marRight w:val="0"/>
              <w:marTop w:val="0"/>
              <w:marBottom w:val="0"/>
              <w:divBdr>
                <w:top w:val="none" w:sz="0" w:space="0" w:color="auto"/>
                <w:left w:val="none" w:sz="0" w:space="0" w:color="auto"/>
                <w:bottom w:val="none" w:sz="0" w:space="0" w:color="auto"/>
                <w:right w:val="none" w:sz="0" w:space="0" w:color="auto"/>
              </w:divBdr>
            </w:div>
            <w:div w:id="583341741">
              <w:marLeft w:val="0"/>
              <w:marRight w:val="0"/>
              <w:marTop w:val="0"/>
              <w:marBottom w:val="0"/>
              <w:divBdr>
                <w:top w:val="none" w:sz="0" w:space="0" w:color="auto"/>
                <w:left w:val="none" w:sz="0" w:space="0" w:color="auto"/>
                <w:bottom w:val="none" w:sz="0" w:space="0" w:color="auto"/>
                <w:right w:val="none" w:sz="0" w:space="0" w:color="auto"/>
              </w:divBdr>
            </w:div>
            <w:div w:id="2044478613">
              <w:marLeft w:val="0"/>
              <w:marRight w:val="0"/>
              <w:marTop w:val="0"/>
              <w:marBottom w:val="0"/>
              <w:divBdr>
                <w:top w:val="none" w:sz="0" w:space="0" w:color="auto"/>
                <w:left w:val="none" w:sz="0" w:space="0" w:color="auto"/>
                <w:bottom w:val="none" w:sz="0" w:space="0" w:color="auto"/>
                <w:right w:val="none" w:sz="0" w:space="0" w:color="auto"/>
              </w:divBdr>
            </w:div>
            <w:div w:id="769468656">
              <w:marLeft w:val="0"/>
              <w:marRight w:val="0"/>
              <w:marTop w:val="0"/>
              <w:marBottom w:val="0"/>
              <w:divBdr>
                <w:top w:val="none" w:sz="0" w:space="0" w:color="auto"/>
                <w:left w:val="none" w:sz="0" w:space="0" w:color="auto"/>
                <w:bottom w:val="none" w:sz="0" w:space="0" w:color="auto"/>
                <w:right w:val="none" w:sz="0" w:space="0" w:color="auto"/>
              </w:divBdr>
            </w:div>
            <w:div w:id="117653317">
              <w:marLeft w:val="0"/>
              <w:marRight w:val="0"/>
              <w:marTop w:val="0"/>
              <w:marBottom w:val="0"/>
              <w:divBdr>
                <w:top w:val="none" w:sz="0" w:space="0" w:color="auto"/>
                <w:left w:val="none" w:sz="0" w:space="0" w:color="auto"/>
                <w:bottom w:val="none" w:sz="0" w:space="0" w:color="auto"/>
                <w:right w:val="none" w:sz="0" w:space="0" w:color="auto"/>
              </w:divBdr>
            </w:div>
            <w:div w:id="1103916371">
              <w:marLeft w:val="0"/>
              <w:marRight w:val="0"/>
              <w:marTop w:val="0"/>
              <w:marBottom w:val="0"/>
              <w:divBdr>
                <w:top w:val="none" w:sz="0" w:space="0" w:color="auto"/>
                <w:left w:val="none" w:sz="0" w:space="0" w:color="auto"/>
                <w:bottom w:val="none" w:sz="0" w:space="0" w:color="auto"/>
                <w:right w:val="none" w:sz="0" w:space="0" w:color="auto"/>
              </w:divBdr>
            </w:div>
            <w:div w:id="1124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7642">
      <w:bodyDiv w:val="1"/>
      <w:marLeft w:val="0"/>
      <w:marRight w:val="0"/>
      <w:marTop w:val="0"/>
      <w:marBottom w:val="0"/>
      <w:divBdr>
        <w:top w:val="none" w:sz="0" w:space="0" w:color="auto"/>
        <w:left w:val="none" w:sz="0" w:space="0" w:color="auto"/>
        <w:bottom w:val="none" w:sz="0" w:space="0" w:color="auto"/>
        <w:right w:val="none" w:sz="0" w:space="0" w:color="auto"/>
      </w:divBdr>
    </w:div>
    <w:div w:id="1801994279">
      <w:bodyDiv w:val="1"/>
      <w:marLeft w:val="0"/>
      <w:marRight w:val="0"/>
      <w:marTop w:val="0"/>
      <w:marBottom w:val="0"/>
      <w:divBdr>
        <w:top w:val="none" w:sz="0" w:space="0" w:color="auto"/>
        <w:left w:val="none" w:sz="0" w:space="0" w:color="auto"/>
        <w:bottom w:val="none" w:sz="0" w:space="0" w:color="auto"/>
        <w:right w:val="none" w:sz="0" w:space="0" w:color="auto"/>
      </w:divBdr>
    </w:div>
    <w:div w:id="20278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07/s11192-020-03431-7" TargetMode="External"/><Relationship Id="rId18" Type="http://schemas.openxmlformats.org/officeDocument/2006/relationships/hyperlink" Target="https://doi.org/10.1371/journal.pone.0049176" TargetMode="External"/><Relationship Id="rId26" Type="http://schemas.openxmlformats.org/officeDocument/2006/relationships/hyperlink" Target="https://doi.org/10.31235/osf.io/cdmqz" TargetMode="External"/><Relationship Id="rId3" Type="http://schemas.openxmlformats.org/officeDocument/2006/relationships/customXml" Target="../customXml/item3.xml"/><Relationship Id="rId21" Type="http://schemas.openxmlformats.org/officeDocument/2006/relationships/hyperlink" Target="https://doi.org/10.1136/bmj.b2535"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doi.org/10.7326/0003-4819-135-4-200108210-00035" TargetMode="External"/><Relationship Id="rId25" Type="http://schemas.openxmlformats.org/officeDocument/2006/relationships/hyperlink" Target="https://doi.org/10.1186/s13643-017-0653-x" TargetMode="External"/><Relationship Id="rId2" Type="http://schemas.openxmlformats.org/officeDocument/2006/relationships/customXml" Target="../customXml/item2.xml"/><Relationship Id="rId16" Type="http://schemas.openxmlformats.org/officeDocument/2006/relationships/hyperlink" Target="https://doi.org/10.1111/j.1471-1842.2009.00848.x" TargetMode="External"/><Relationship Id="rId20" Type="http://schemas.openxmlformats.org/officeDocument/2006/relationships/hyperlink" Target="https://doi.org/10.1371/journal.pbio.3000737" TargetMode="External"/><Relationship Id="rId29" Type="http://schemas.openxmlformats.org/officeDocument/2006/relationships/hyperlink" Target="https://doi.org/10.1007/s11192-016-2087-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bliometrie.info" TargetMode="External"/><Relationship Id="rId24" Type="http://schemas.openxmlformats.org/officeDocument/2006/relationships/hyperlink" Target="https://doi.org/10.21105/joss.03167" TargetMode="External"/><Relationship Id="rId5" Type="http://schemas.openxmlformats.org/officeDocument/2006/relationships/styles" Target="styles.xml"/><Relationship Id="rId15" Type="http://schemas.openxmlformats.org/officeDocument/2006/relationships/hyperlink" Target="https://doi.org/10.1177/030631287017002003" TargetMode="External"/><Relationship Id="rId23" Type="http://schemas.openxmlformats.org/officeDocument/2006/relationships/hyperlink" Target="https://doi.org/10.1186/s13643-017-0663-8" TargetMode="External"/><Relationship Id="rId28" Type="http://schemas.openxmlformats.org/officeDocument/2006/relationships/hyperlink" Target="https://doi.org/10.1093/nar/gkab1112" TargetMode="External"/><Relationship Id="rId10" Type="http://schemas.openxmlformats.org/officeDocument/2006/relationships/hyperlink" Target="http://www.equator.org" TargetMode="External"/><Relationship Id="rId19" Type="http://schemas.openxmlformats.org/officeDocument/2006/relationships/hyperlink" Target="https://doi.org/10.1007/s11192-012-0783-9"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77/0163278702025001003" TargetMode="External"/><Relationship Id="rId22" Type="http://schemas.openxmlformats.org/officeDocument/2006/relationships/hyperlink" Target="https://doi.org/10.1111/j.1467-9566.2007.00531.x" TargetMode="External"/><Relationship Id="rId27" Type="http://schemas.openxmlformats.org/officeDocument/2006/relationships/hyperlink" Target="https://doi.org/10.11613/BM.2010.041"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2.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3.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0</TotalTime>
  <Pages>8</Pages>
  <Words>3218</Words>
  <Characters>18348</Characters>
  <Application>Microsoft Office Word</Application>
  <DocSecurity>0</DocSecurity>
  <Lines>152</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21523</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Schniedermann, Alexander</cp:lastModifiedBy>
  <cp:revision>3</cp:revision>
  <cp:lastPrinted>2005-03-14T08:40:00Z</cp:lastPrinted>
  <dcterms:created xsi:type="dcterms:W3CDTF">2023-04-20T22:01:00Z</dcterms:created>
  <dcterms:modified xsi:type="dcterms:W3CDTF">2023-04-20T22:02:00Z</dcterms:modified>
</cp:coreProperties>
</file>