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8DA63" w14:textId="63EF106D" w:rsidR="00AD6D2D" w:rsidRDefault="00DE7A5D" w:rsidP="00542798">
      <w:pPr>
        <w:jc w:val="center"/>
        <w:rPr>
          <w:sz w:val="36"/>
          <w:szCs w:val="36"/>
        </w:rPr>
      </w:pPr>
      <w:r w:rsidRPr="00DE7A5D">
        <w:rPr>
          <w:sz w:val="36"/>
          <w:szCs w:val="36"/>
        </w:rPr>
        <w:t>Survey Result of Career Awareness and Financial Assistance to 1st year of Doctoral Students in Japan</w:t>
      </w:r>
    </w:p>
    <w:p w14:paraId="314BE54E" w14:textId="77777777" w:rsidR="00DE7A5D" w:rsidRPr="00AD6D2D" w:rsidRDefault="00DE7A5D" w:rsidP="00542798">
      <w:pPr>
        <w:jc w:val="center"/>
      </w:pPr>
    </w:p>
    <w:p w14:paraId="49EED032" w14:textId="2DE1D077" w:rsidR="00AD6D2D" w:rsidRPr="00AD6D2D" w:rsidRDefault="00DE7A5D" w:rsidP="00542798">
      <w:pPr>
        <w:jc w:val="center"/>
      </w:pPr>
      <w:proofErr w:type="spellStart"/>
      <w:r>
        <w:rPr>
          <w:rFonts w:hint="eastAsia"/>
          <w:lang w:eastAsia="ja-JP"/>
        </w:rPr>
        <w:t>Keiji</w:t>
      </w:r>
      <w:proofErr w:type="spellEnd"/>
      <w:r>
        <w:t xml:space="preserve"> </w:t>
      </w:r>
      <w:r>
        <w:rPr>
          <w:rFonts w:hint="eastAsia"/>
          <w:lang w:eastAsia="ja-JP"/>
        </w:rPr>
        <w:t>SAITO</w:t>
      </w:r>
      <w:r w:rsidR="00AD6D2D" w:rsidRPr="00AD6D2D">
        <w:rPr>
          <w:vertAlign w:val="superscript"/>
        </w:rPr>
        <w:t>*</w:t>
      </w:r>
    </w:p>
    <w:p w14:paraId="69B5EBE6" w14:textId="77777777" w:rsidR="00AD6D2D" w:rsidRPr="00AD6D2D" w:rsidRDefault="00AD6D2D" w:rsidP="00542798">
      <w:pPr>
        <w:jc w:val="center"/>
        <w:rPr>
          <w:sz w:val="20"/>
          <w:szCs w:val="20"/>
        </w:rPr>
      </w:pPr>
    </w:p>
    <w:p w14:paraId="0327B950" w14:textId="37DF5EB1" w:rsidR="00AD6D2D" w:rsidRPr="00AD6D2D" w:rsidRDefault="00AD6D2D" w:rsidP="00542798">
      <w:pPr>
        <w:jc w:val="center"/>
        <w:rPr>
          <w:sz w:val="20"/>
          <w:szCs w:val="20"/>
        </w:rPr>
      </w:pPr>
      <w:r w:rsidRPr="00AD6D2D">
        <w:rPr>
          <w:sz w:val="20"/>
          <w:szCs w:val="20"/>
          <w:vertAlign w:val="superscript"/>
        </w:rPr>
        <w:t>*</w:t>
      </w:r>
      <w:r w:rsidR="00DE7A5D">
        <w:rPr>
          <w:rFonts w:hint="eastAsia"/>
          <w:i/>
          <w:iCs/>
          <w:sz w:val="20"/>
          <w:szCs w:val="20"/>
          <w:lang w:eastAsia="ja-JP"/>
        </w:rPr>
        <w:t>ksaito@nistep.go.jp</w:t>
      </w:r>
    </w:p>
    <w:p w14:paraId="62FA663F" w14:textId="77777777" w:rsidR="007713C3" w:rsidRDefault="007713C3" w:rsidP="00542798">
      <w:pPr>
        <w:jc w:val="center"/>
        <w:rPr>
          <w:sz w:val="20"/>
          <w:szCs w:val="20"/>
        </w:rPr>
      </w:pPr>
      <w:r w:rsidRPr="007713C3">
        <w:rPr>
          <w:sz w:val="20"/>
          <w:szCs w:val="20"/>
        </w:rPr>
        <w:t>0009-0000-1939-0131</w:t>
      </w:r>
    </w:p>
    <w:p w14:paraId="744ED62A" w14:textId="2C91BD34" w:rsidR="00AD6D2D" w:rsidRPr="00AD6D2D" w:rsidRDefault="007713C3" w:rsidP="00542798">
      <w:pPr>
        <w:jc w:val="center"/>
        <w:rPr>
          <w:sz w:val="20"/>
          <w:szCs w:val="20"/>
        </w:rPr>
      </w:pPr>
      <w:r w:rsidRPr="007713C3">
        <w:rPr>
          <w:sz w:val="20"/>
          <w:szCs w:val="20"/>
        </w:rPr>
        <w:t>1st Policy-Oriented Research Group</w:t>
      </w:r>
      <w:r w:rsidR="00AD6D2D" w:rsidRPr="00AD6D2D">
        <w:rPr>
          <w:sz w:val="20"/>
          <w:szCs w:val="20"/>
        </w:rPr>
        <w:t xml:space="preserve">, </w:t>
      </w:r>
      <w:r w:rsidRPr="007713C3">
        <w:rPr>
          <w:sz w:val="20"/>
          <w:szCs w:val="20"/>
        </w:rPr>
        <w:t>National Institute of Science and Technology Policy</w:t>
      </w:r>
      <w:r w:rsidR="00AD6D2D" w:rsidRPr="00AD6D2D">
        <w:rPr>
          <w:sz w:val="20"/>
          <w:szCs w:val="20"/>
        </w:rPr>
        <w:t xml:space="preserve">, </w:t>
      </w:r>
      <w:r>
        <w:rPr>
          <w:rFonts w:hint="eastAsia"/>
          <w:sz w:val="20"/>
          <w:szCs w:val="20"/>
          <w:lang w:eastAsia="ja-JP"/>
        </w:rPr>
        <w:t>Japan</w:t>
      </w:r>
    </w:p>
    <w:p w14:paraId="04927CB0" w14:textId="3FF61CA2" w:rsidR="008168F4" w:rsidRDefault="008168F4" w:rsidP="00542798">
      <w:pPr>
        <w:jc w:val="center"/>
      </w:pPr>
    </w:p>
    <w:p w14:paraId="1D00BCC4" w14:textId="2557A04E" w:rsidR="00DC2B2D" w:rsidRDefault="00DC2B2D" w:rsidP="00CB15AC">
      <w:pPr>
        <w:jc w:val="both"/>
        <w:rPr>
          <w:sz w:val="20"/>
          <w:szCs w:val="20"/>
        </w:rPr>
      </w:pPr>
      <w:bookmarkStart w:id="0" w:name="_Hlk132982352"/>
      <w:r w:rsidRPr="00DC2B2D">
        <w:rPr>
          <w:sz w:val="20"/>
          <w:szCs w:val="20"/>
        </w:rPr>
        <w:t>NISTEP in MEXT</w:t>
      </w:r>
      <w:r>
        <w:rPr>
          <w:sz w:val="20"/>
          <w:szCs w:val="20"/>
          <w:lang w:eastAsia="ja-JP"/>
        </w:rPr>
        <w:t xml:space="preserve"> of Japan</w:t>
      </w:r>
      <w:r w:rsidRPr="00DC2B2D">
        <w:rPr>
          <w:sz w:val="20"/>
          <w:szCs w:val="20"/>
        </w:rPr>
        <w:t xml:space="preserve"> conducted "Survey on Career Awareness and Financial Assistance to 1st year of Doctoral Students" from December 2022 to January 2023. </w:t>
      </w:r>
      <w:r w:rsidR="007E09CE">
        <w:rPr>
          <w:sz w:val="20"/>
          <w:szCs w:val="20"/>
        </w:rPr>
        <w:t xml:space="preserve">NISTEP asked all </w:t>
      </w:r>
      <w:r w:rsidRPr="00DC2B2D">
        <w:rPr>
          <w:sz w:val="20"/>
          <w:szCs w:val="20"/>
        </w:rPr>
        <w:t xml:space="preserve">universities with doctoral programs in Japan to </w:t>
      </w:r>
      <w:r w:rsidR="007E09CE">
        <w:rPr>
          <w:sz w:val="20"/>
          <w:szCs w:val="20"/>
        </w:rPr>
        <w:t xml:space="preserve">distribute </w:t>
      </w:r>
      <w:r w:rsidRPr="00DC2B2D">
        <w:rPr>
          <w:sz w:val="20"/>
          <w:szCs w:val="20"/>
        </w:rPr>
        <w:t xml:space="preserve">all first-year doctoral students in FY2022. Survey participants responded via the </w:t>
      </w:r>
      <w:r w:rsidR="007175AE">
        <w:rPr>
          <w:sz w:val="20"/>
          <w:szCs w:val="20"/>
        </w:rPr>
        <w:t>w</w:t>
      </w:r>
      <w:r w:rsidRPr="00DC2B2D">
        <w:rPr>
          <w:sz w:val="20"/>
          <w:szCs w:val="20"/>
        </w:rPr>
        <w:t xml:space="preserve">eb regarding their impression about research environment, career awareness, and financial support status etc. </w:t>
      </w:r>
      <w:r w:rsidR="005D3F56">
        <w:rPr>
          <w:sz w:val="20"/>
          <w:szCs w:val="20"/>
        </w:rPr>
        <w:t>This paper</w:t>
      </w:r>
      <w:r w:rsidRPr="00DC2B2D">
        <w:rPr>
          <w:sz w:val="20"/>
          <w:szCs w:val="20"/>
        </w:rPr>
        <w:t xml:space="preserve"> show</w:t>
      </w:r>
      <w:r w:rsidR="005D3F56">
        <w:rPr>
          <w:sz w:val="20"/>
          <w:szCs w:val="20"/>
        </w:rPr>
        <w:t>s</w:t>
      </w:r>
      <w:r w:rsidRPr="00DC2B2D">
        <w:rPr>
          <w:sz w:val="20"/>
          <w:szCs w:val="20"/>
        </w:rPr>
        <w:t xml:space="preserve"> </w:t>
      </w:r>
      <w:r w:rsidR="007175AE">
        <w:rPr>
          <w:sz w:val="20"/>
          <w:szCs w:val="20"/>
        </w:rPr>
        <w:t>simple</w:t>
      </w:r>
      <w:r w:rsidRPr="00DC2B2D">
        <w:rPr>
          <w:sz w:val="20"/>
          <w:szCs w:val="20"/>
        </w:rPr>
        <w:t xml:space="preserve"> results</w:t>
      </w:r>
      <w:r w:rsidR="007175AE">
        <w:rPr>
          <w:sz w:val="20"/>
          <w:szCs w:val="20"/>
        </w:rPr>
        <w:t xml:space="preserve"> and indicates a </w:t>
      </w:r>
      <w:r w:rsidR="007175AE" w:rsidRPr="007175AE">
        <w:rPr>
          <w:sz w:val="20"/>
          <w:szCs w:val="20"/>
        </w:rPr>
        <w:t>direction for future analys</w:t>
      </w:r>
      <w:r w:rsidR="007175AE">
        <w:rPr>
          <w:sz w:val="20"/>
          <w:szCs w:val="20"/>
        </w:rPr>
        <w:t>e</w:t>
      </w:r>
      <w:r w:rsidR="007175AE" w:rsidRPr="007175AE">
        <w:rPr>
          <w:sz w:val="20"/>
          <w:szCs w:val="20"/>
        </w:rPr>
        <w:t>s</w:t>
      </w:r>
      <w:r w:rsidRPr="00DC2B2D">
        <w:rPr>
          <w:sz w:val="20"/>
          <w:szCs w:val="20"/>
        </w:rPr>
        <w:t>.</w:t>
      </w:r>
    </w:p>
    <w:bookmarkEnd w:id="0"/>
    <w:p w14:paraId="165F6B58" w14:textId="77777777" w:rsidR="00DC2B2D" w:rsidRPr="00CB15AC" w:rsidRDefault="00DC2B2D" w:rsidP="00CB15AC">
      <w:pPr>
        <w:jc w:val="both"/>
        <w:rPr>
          <w:sz w:val="20"/>
          <w:szCs w:val="20"/>
        </w:rPr>
      </w:pPr>
    </w:p>
    <w:p w14:paraId="190821EA" w14:textId="50017EDC" w:rsidR="001B7B07" w:rsidRPr="00D96243" w:rsidRDefault="001B7B07" w:rsidP="001B7B07">
      <w:pPr>
        <w:pStyle w:val="2"/>
        <w:jc w:val="both"/>
      </w:pPr>
      <w:r w:rsidRPr="00D96243">
        <w:t xml:space="preserve">1. </w:t>
      </w:r>
      <w:r w:rsidR="00B51BBB" w:rsidRPr="00B51BBB">
        <w:t xml:space="preserve">Survey </w:t>
      </w:r>
      <w:r w:rsidR="00B51BBB">
        <w:t>Overview</w:t>
      </w:r>
    </w:p>
    <w:p w14:paraId="33D0737B" w14:textId="067135CE" w:rsidR="00B51BBB" w:rsidRDefault="001B7B07" w:rsidP="001B7B07">
      <w:pPr>
        <w:jc w:val="both"/>
        <w:rPr>
          <w:iCs/>
        </w:rPr>
      </w:pPr>
      <w:r w:rsidRPr="007E09CE">
        <w:rPr>
          <w:iCs/>
        </w:rPr>
        <w:t xml:space="preserve">NISTEP (National Institute of Science and Technology Policy) in </w:t>
      </w:r>
      <w:r w:rsidRPr="007E09CE">
        <w:rPr>
          <w:iCs/>
          <w:lang w:eastAsia="ja-JP"/>
        </w:rPr>
        <w:t>MEXT (</w:t>
      </w:r>
      <w:r w:rsidRPr="007E09CE">
        <w:rPr>
          <w:iCs/>
        </w:rPr>
        <w:t xml:space="preserve">Ministry of Education, Culture, Sports, Science and Technology) of Japan conducted "Survey on Career Awareness and Financial Assistance to 1st year of Doctoral Students" from December 2022 to January 2023. </w:t>
      </w:r>
      <w:r w:rsidR="007E09CE" w:rsidRPr="007E09CE">
        <w:rPr>
          <w:iCs/>
        </w:rPr>
        <w:t xml:space="preserve">NISTEP asked all </w:t>
      </w:r>
      <w:r w:rsidR="007E09CE">
        <w:rPr>
          <w:iCs/>
        </w:rPr>
        <w:t xml:space="preserve">460 </w:t>
      </w:r>
      <w:r w:rsidR="007E09CE" w:rsidRPr="007E09CE">
        <w:rPr>
          <w:iCs/>
        </w:rPr>
        <w:t xml:space="preserve">universities with doctoral </w:t>
      </w:r>
      <w:r w:rsidR="00ED7260">
        <w:rPr>
          <w:iCs/>
        </w:rPr>
        <w:t>course</w:t>
      </w:r>
      <w:r w:rsidR="007E09CE" w:rsidRPr="007E09CE">
        <w:rPr>
          <w:iCs/>
        </w:rPr>
        <w:t xml:space="preserve"> in Japan to distribute all first-year doctoral students in FY2022.</w:t>
      </w:r>
      <w:r w:rsidR="00E2188A">
        <w:rPr>
          <w:iCs/>
        </w:rPr>
        <w:t xml:space="preserve"> </w:t>
      </w:r>
      <w:r w:rsidR="00E2188A" w:rsidRPr="00E2188A">
        <w:rPr>
          <w:iCs/>
        </w:rPr>
        <w:t>Survey targets who received a survey request letter from each university office were asked to access the survey website and answered either in the Japanese or English version of web questionnaire.</w:t>
      </w:r>
      <w:r w:rsidR="00E2188A">
        <w:rPr>
          <w:iCs/>
        </w:rPr>
        <w:t xml:space="preserve"> </w:t>
      </w:r>
      <w:r w:rsidR="007E09CE" w:rsidRPr="007E09CE">
        <w:rPr>
          <w:iCs/>
        </w:rPr>
        <w:t xml:space="preserve">Survey participants </w:t>
      </w:r>
      <w:r w:rsidR="00E2188A">
        <w:rPr>
          <w:iCs/>
        </w:rPr>
        <w:t>answered</w:t>
      </w:r>
      <w:r w:rsidR="007E09CE" w:rsidRPr="007E09CE">
        <w:rPr>
          <w:iCs/>
        </w:rPr>
        <w:t xml:space="preserve"> regarding their impression about research environment, career awareness, and financial support status etc.</w:t>
      </w:r>
      <w:r w:rsidR="005D3F56">
        <w:rPr>
          <w:iCs/>
        </w:rPr>
        <w:t xml:space="preserve"> </w:t>
      </w:r>
    </w:p>
    <w:p w14:paraId="7863B482" w14:textId="77777777" w:rsidR="00B51BBB" w:rsidRDefault="00B51BBB" w:rsidP="001B7B07">
      <w:pPr>
        <w:jc w:val="both"/>
        <w:rPr>
          <w:iCs/>
        </w:rPr>
      </w:pPr>
    </w:p>
    <w:p w14:paraId="5A7B7644" w14:textId="2410CE0C" w:rsidR="001B7B07" w:rsidRPr="007E09CE" w:rsidRDefault="007E09CE" w:rsidP="001B7B07">
      <w:pPr>
        <w:jc w:val="both"/>
        <w:rPr>
          <w:iCs/>
        </w:rPr>
      </w:pPr>
      <w:r w:rsidRPr="007E09CE">
        <w:rPr>
          <w:iCs/>
        </w:rPr>
        <w:t xml:space="preserve">The number of completely valid response to all required questions is </w:t>
      </w:r>
      <w:r w:rsidRPr="007E09CE">
        <w:t>6,153.</w:t>
      </w:r>
      <w:r>
        <w:t xml:space="preserve"> </w:t>
      </w:r>
      <w:r w:rsidR="005D3F56">
        <w:t xml:space="preserve">The </w:t>
      </w:r>
      <w:r w:rsidR="005D3F56" w:rsidRPr="005D3F56">
        <w:t>completely valid response means answered all required questions in the web-based survey form.</w:t>
      </w:r>
      <w:r w:rsidR="004067D1">
        <w:t xml:space="preserve"> </w:t>
      </w:r>
      <w:r w:rsidR="004067D1" w:rsidRPr="004067D1">
        <w:t>Although NISTEP collects data on interrupted responses up to the answered web page, this paper shows the results based on 6,153 complete valid responses.</w:t>
      </w:r>
      <w:r w:rsidR="004067D1">
        <w:t xml:space="preserve"> </w:t>
      </w:r>
      <w:r w:rsidR="005D3F56">
        <w:t>Based on the responses from offices of universit</w:t>
      </w:r>
      <w:r w:rsidR="004067D1">
        <w:t>ies</w:t>
      </w:r>
      <w:r w:rsidR="005D3F56">
        <w:t xml:space="preserve">, the </w:t>
      </w:r>
      <w:r w:rsidR="004067D1">
        <w:t xml:space="preserve">total number </w:t>
      </w:r>
      <w:r w:rsidR="005D3F56">
        <w:rPr>
          <w:rFonts w:hint="eastAsia"/>
          <w:iCs/>
          <w:lang w:eastAsia="ja-JP"/>
        </w:rPr>
        <w:t>of first-year doctoral students</w:t>
      </w:r>
      <w:r w:rsidR="005D3F56">
        <w:rPr>
          <w:iCs/>
        </w:rPr>
        <w:t xml:space="preserve"> are </w:t>
      </w:r>
      <w:r w:rsidR="005D3F56" w:rsidRPr="005D3F56">
        <w:rPr>
          <w:iCs/>
        </w:rPr>
        <w:t>17,218</w:t>
      </w:r>
      <w:r w:rsidR="005D3F56">
        <w:rPr>
          <w:iCs/>
        </w:rPr>
        <w:t xml:space="preserve">. </w:t>
      </w:r>
      <w:r w:rsidR="00E2188A" w:rsidRPr="00E2188A">
        <w:rPr>
          <w:iCs/>
        </w:rPr>
        <w:t>The completely valid response rate is 35.7% by the population number of the offices of universities.</w:t>
      </w:r>
    </w:p>
    <w:p w14:paraId="11331DC3" w14:textId="77777777" w:rsidR="001B7B07" w:rsidRDefault="001B7B07" w:rsidP="001B7B07">
      <w:pPr>
        <w:jc w:val="both"/>
        <w:rPr>
          <w:iCs/>
        </w:rPr>
      </w:pPr>
    </w:p>
    <w:p w14:paraId="76E4232E" w14:textId="17DC8B44" w:rsidR="00A8272D" w:rsidRDefault="00E84B1C" w:rsidP="001B7B07">
      <w:pPr>
        <w:jc w:val="both"/>
        <w:rPr>
          <w:iCs/>
        </w:rPr>
      </w:pPr>
      <w:r>
        <w:rPr>
          <w:iCs/>
        </w:rPr>
        <w:t xml:space="preserve">On the one hand, </w:t>
      </w:r>
      <w:r w:rsidR="00A8272D" w:rsidRPr="00B51BBB">
        <w:rPr>
          <w:iCs/>
        </w:rPr>
        <w:t xml:space="preserve">NISTEP </w:t>
      </w:r>
      <w:r w:rsidR="00A8272D">
        <w:rPr>
          <w:iCs/>
        </w:rPr>
        <w:t xml:space="preserve">has been </w:t>
      </w:r>
      <w:r w:rsidR="00A8272D" w:rsidRPr="00B51BBB">
        <w:rPr>
          <w:iCs/>
        </w:rPr>
        <w:t>conduct</w:t>
      </w:r>
      <w:r w:rsidR="00A8272D">
        <w:rPr>
          <w:iCs/>
        </w:rPr>
        <w:t>ing</w:t>
      </w:r>
      <w:r w:rsidR="00A8272D" w:rsidRPr="00B51BBB">
        <w:rPr>
          <w:iCs/>
        </w:rPr>
        <w:t xml:space="preserve"> </w:t>
      </w:r>
      <w:r w:rsidR="00A8272D">
        <w:rPr>
          <w:iCs/>
        </w:rPr>
        <w:t xml:space="preserve">two </w:t>
      </w:r>
      <w:r w:rsidR="00A8272D" w:rsidRPr="00B51BBB">
        <w:rPr>
          <w:iCs/>
        </w:rPr>
        <w:t>surveys of the career paths of doctoral graduates</w:t>
      </w:r>
      <w:r w:rsidR="00A8272D">
        <w:rPr>
          <w:iCs/>
        </w:rPr>
        <w:t xml:space="preserve">. </w:t>
      </w:r>
      <w:r w:rsidR="00A8272D" w:rsidRPr="009B4EA8">
        <w:rPr>
          <w:iCs/>
        </w:rPr>
        <w:t>Each survey is called JD-Pro</w:t>
      </w:r>
      <w:r w:rsidR="00A8272D">
        <w:rPr>
          <w:iCs/>
        </w:rPr>
        <w:t xml:space="preserve"> (</w:t>
      </w:r>
      <w:r w:rsidR="00A8272D" w:rsidRPr="009B4EA8">
        <w:rPr>
          <w:iCs/>
        </w:rPr>
        <w:t>Japan Doctoral Human Resource Profiling</w:t>
      </w:r>
      <w:r w:rsidR="00A8272D">
        <w:rPr>
          <w:iCs/>
        </w:rPr>
        <w:t>)</w:t>
      </w:r>
      <w:r w:rsidR="00A8272D">
        <w:rPr>
          <w:rStyle w:val="a8"/>
          <w:iCs/>
        </w:rPr>
        <w:footnoteReference w:id="1"/>
      </w:r>
      <w:r w:rsidR="00A8272D" w:rsidRPr="009B4EA8">
        <w:rPr>
          <w:iCs/>
        </w:rPr>
        <w:t xml:space="preserve"> and JGRAD</w:t>
      </w:r>
      <w:r w:rsidR="00A8272D">
        <w:rPr>
          <w:iCs/>
        </w:rPr>
        <w:t xml:space="preserve"> (</w:t>
      </w:r>
      <w:r w:rsidR="00A8272D" w:rsidRPr="009B4EA8">
        <w:rPr>
          <w:iCs/>
        </w:rPr>
        <w:t>Japan Graduates Database</w:t>
      </w:r>
      <w:r w:rsidR="00A8272D">
        <w:rPr>
          <w:iCs/>
        </w:rPr>
        <w:t>)</w:t>
      </w:r>
      <w:r w:rsidR="00A8272D">
        <w:rPr>
          <w:rStyle w:val="a8"/>
          <w:iCs/>
        </w:rPr>
        <w:footnoteReference w:id="2"/>
      </w:r>
      <w:r w:rsidR="00A8272D" w:rsidRPr="009B4EA8">
        <w:rPr>
          <w:iCs/>
        </w:rPr>
        <w:t>.</w:t>
      </w:r>
      <w:r w:rsidR="00A8272D">
        <w:rPr>
          <w:iCs/>
        </w:rPr>
        <w:t xml:space="preserve"> Importance of tracking doctoral graduates and international comparisons are mentioned in </w:t>
      </w:r>
      <w:r w:rsidR="00A8272D" w:rsidRPr="00E4211C">
        <w:rPr>
          <w:iCs/>
        </w:rPr>
        <w:t xml:space="preserve">Auriol </w:t>
      </w:r>
      <w:r w:rsidR="00A8272D">
        <w:rPr>
          <w:iCs/>
        </w:rPr>
        <w:t xml:space="preserve">et al. (2013) and </w:t>
      </w:r>
      <w:r w:rsidR="00A8272D" w:rsidRPr="00E4211C">
        <w:rPr>
          <w:iCs/>
        </w:rPr>
        <w:t>Hancock</w:t>
      </w:r>
      <w:r w:rsidR="00A8272D">
        <w:rPr>
          <w:iCs/>
        </w:rPr>
        <w:t xml:space="preserve"> et al. (2019). The </w:t>
      </w:r>
      <w:r w:rsidR="00BC5D1E">
        <w:rPr>
          <w:iCs/>
        </w:rPr>
        <w:t>motivations of</w:t>
      </w:r>
      <w:r w:rsidR="00A8272D">
        <w:rPr>
          <w:iCs/>
        </w:rPr>
        <w:t xml:space="preserve"> survey</w:t>
      </w:r>
      <w:r w:rsidR="00BC5D1E">
        <w:rPr>
          <w:iCs/>
        </w:rPr>
        <w:t>s</w:t>
      </w:r>
      <w:r w:rsidR="00A8272D">
        <w:rPr>
          <w:iCs/>
        </w:rPr>
        <w:t xml:space="preserve"> in </w:t>
      </w:r>
      <w:r w:rsidR="00BC5D1E">
        <w:rPr>
          <w:iCs/>
        </w:rPr>
        <w:t>Japan are</w:t>
      </w:r>
      <w:r w:rsidR="00A8272D">
        <w:rPr>
          <w:iCs/>
        </w:rPr>
        <w:t xml:space="preserve"> </w:t>
      </w:r>
      <w:r w:rsidR="00A8272D">
        <w:rPr>
          <w:rFonts w:hint="eastAsia"/>
          <w:iCs/>
          <w:lang w:eastAsia="ja-JP"/>
        </w:rPr>
        <w:t>s</w:t>
      </w:r>
      <w:r w:rsidR="00A8272D">
        <w:rPr>
          <w:iCs/>
          <w:lang w:eastAsia="ja-JP"/>
        </w:rPr>
        <w:t xml:space="preserve">imilar </w:t>
      </w:r>
      <w:r w:rsidR="00A8272D" w:rsidRPr="00B51BBB">
        <w:rPr>
          <w:iCs/>
        </w:rPr>
        <w:t>to the SDR</w:t>
      </w:r>
      <w:r w:rsidR="00A8272D">
        <w:rPr>
          <w:iCs/>
        </w:rPr>
        <w:t xml:space="preserve"> (</w:t>
      </w:r>
      <w:r w:rsidR="00A8272D" w:rsidRPr="00B51BBB">
        <w:rPr>
          <w:iCs/>
        </w:rPr>
        <w:t>Survey of Doctorate Recipients</w:t>
      </w:r>
      <w:r w:rsidR="00A8272D">
        <w:rPr>
          <w:iCs/>
        </w:rPr>
        <w:t>)</w:t>
      </w:r>
      <w:r w:rsidR="00A8272D" w:rsidRPr="00B51BBB">
        <w:rPr>
          <w:iCs/>
        </w:rPr>
        <w:t xml:space="preserve"> </w:t>
      </w:r>
      <w:r w:rsidR="00A8272D">
        <w:rPr>
          <w:iCs/>
        </w:rPr>
        <w:t>of NSF (</w:t>
      </w:r>
      <w:r w:rsidR="00A8272D" w:rsidRPr="00B20E00">
        <w:rPr>
          <w:iCs/>
        </w:rPr>
        <w:t>National Science Foundation</w:t>
      </w:r>
      <w:r w:rsidR="00A8272D">
        <w:rPr>
          <w:iCs/>
        </w:rPr>
        <w:t xml:space="preserve">) </w:t>
      </w:r>
      <w:r w:rsidR="00A8272D" w:rsidRPr="00B51BBB">
        <w:rPr>
          <w:iCs/>
        </w:rPr>
        <w:t xml:space="preserve">in the U.S. and </w:t>
      </w:r>
      <w:r w:rsidR="00A8272D" w:rsidRPr="00B20E00">
        <w:rPr>
          <w:iCs/>
        </w:rPr>
        <w:t>Graduate Outcomes</w:t>
      </w:r>
      <w:r w:rsidR="00A8272D">
        <w:rPr>
          <w:iCs/>
        </w:rPr>
        <w:t xml:space="preserve"> of HESA (</w:t>
      </w:r>
      <w:r w:rsidR="00A8272D" w:rsidRPr="00B20E00">
        <w:rPr>
          <w:iCs/>
        </w:rPr>
        <w:t>Higher Education Statistical Agency</w:t>
      </w:r>
      <w:r w:rsidR="00A8272D">
        <w:rPr>
          <w:iCs/>
        </w:rPr>
        <w:t>)</w:t>
      </w:r>
      <w:r w:rsidR="00A8272D" w:rsidRPr="00B20E00">
        <w:rPr>
          <w:iCs/>
        </w:rPr>
        <w:t xml:space="preserve"> </w:t>
      </w:r>
      <w:r w:rsidR="00A8272D" w:rsidRPr="00B51BBB">
        <w:rPr>
          <w:iCs/>
        </w:rPr>
        <w:t>in the U.K.</w:t>
      </w:r>
      <w:r w:rsidR="00A8272D">
        <w:rPr>
          <w:iCs/>
        </w:rPr>
        <w:t xml:space="preserve"> </w:t>
      </w:r>
      <w:proofErr w:type="spellStart"/>
      <w:r w:rsidR="00A8272D" w:rsidRPr="00E4211C">
        <w:rPr>
          <w:iCs/>
        </w:rPr>
        <w:t>Opsomer</w:t>
      </w:r>
      <w:proofErr w:type="spellEnd"/>
      <w:r w:rsidR="00A8272D">
        <w:rPr>
          <w:iCs/>
        </w:rPr>
        <w:t xml:space="preserve"> et al</w:t>
      </w:r>
      <w:r w:rsidR="00A8272D" w:rsidRPr="00543358">
        <w:rPr>
          <w:iCs/>
        </w:rPr>
        <w:t xml:space="preserve"> (2023)</w:t>
      </w:r>
      <w:r w:rsidR="00A8272D">
        <w:rPr>
          <w:iCs/>
        </w:rPr>
        <w:t xml:space="preserve"> </w:t>
      </w:r>
      <w:r w:rsidR="00A8272D" w:rsidRPr="009956D3">
        <w:rPr>
          <w:iCs/>
        </w:rPr>
        <w:t>indicate</w:t>
      </w:r>
      <w:r w:rsidR="00A8272D">
        <w:rPr>
          <w:iCs/>
        </w:rPr>
        <w:t>s</w:t>
      </w:r>
      <w:r w:rsidR="00A8272D" w:rsidRPr="009956D3">
        <w:rPr>
          <w:iCs/>
        </w:rPr>
        <w:t xml:space="preserve"> the area of residence </w:t>
      </w:r>
      <w:r w:rsidR="00A8272D">
        <w:rPr>
          <w:iCs/>
        </w:rPr>
        <w:t xml:space="preserve">etc. of doctoral graduates based on SDR data. </w:t>
      </w:r>
      <w:r w:rsidR="00A8272D" w:rsidRPr="00E4211C">
        <w:rPr>
          <w:iCs/>
        </w:rPr>
        <w:t>Hancock</w:t>
      </w:r>
      <w:r w:rsidR="00A8272D">
        <w:rPr>
          <w:iCs/>
        </w:rPr>
        <w:t xml:space="preserve"> (2021) mentioned </w:t>
      </w:r>
      <w:r w:rsidR="00A8272D" w:rsidRPr="001F15B0">
        <w:rPr>
          <w:iCs/>
        </w:rPr>
        <w:t>limitations</w:t>
      </w:r>
      <w:r w:rsidR="00A8272D">
        <w:rPr>
          <w:iCs/>
        </w:rPr>
        <w:t xml:space="preserve"> and i</w:t>
      </w:r>
      <w:r w:rsidR="00A8272D" w:rsidRPr="001F15B0">
        <w:rPr>
          <w:iCs/>
        </w:rPr>
        <w:t xml:space="preserve">mprovement </w:t>
      </w:r>
      <w:r w:rsidR="00A8272D">
        <w:rPr>
          <w:iCs/>
        </w:rPr>
        <w:t>m</w:t>
      </w:r>
      <w:r w:rsidR="00A8272D" w:rsidRPr="001F15B0">
        <w:rPr>
          <w:iCs/>
        </w:rPr>
        <w:t>easures</w:t>
      </w:r>
      <w:r w:rsidR="00A8272D">
        <w:rPr>
          <w:iCs/>
        </w:rPr>
        <w:t xml:space="preserve"> of the survey in the U.K. On the other hand, </w:t>
      </w:r>
      <w:r w:rsidR="00A8272D" w:rsidRPr="00B20E00">
        <w:rPr>
          <w:iCs/>
        </w:rPr>
        <w:t>Japan</w:t>
      </w:r>
      <w:r w:rsidR="00A8272D">
        <w:rPr>
          <w:iCs/>
        </w:rPr>
        <w:t>ese government</w:t>
      </w:r>
      <w:r w:rsidR="00A8272D" w:rsidRPr="00B20E00">
        <w:rPr>
          <w:iCs/>
        </w:rPr>
        <w:t xml:space="preserve"> ha</w:t>
      </w:r>
      <w:r w:rsidR="00A8272D">
        <w:rPr>
          <w:iCs/>
        </w:rPr>
        <w:t>d</w:t>
      </w:r>
      <w:r w:rsidR="00A8272D" w:rsidRPr="00B20E00">
        <w:rPr>
          <w:iCs/>
        </w:rPr>
        <w:t xml:space="preserve"> not conducted a </w:t>
      </w:r>
      <w:r w:rsidR="00A8272D">
        <w:rPr>
          <w:iCs/>
        </w:rPr>
        <w:t xml:space="preserve">large-scale </w:t>
      </w:r>
      <w:r w:rsidR="00A8272D" w:rsidRPr="00B20E00">
        <w:rPr>
          <w:iCs/>
        </w:rPr>
        <w:t>survey on career awareness and research environment for first-year doctoral students.</w:t>
      </w:r>
      <w:r w:rsidR="00A8272D">
        <w:rPr>
          <w:iCs/>
        </w:rPr>
        <w:t xml:space="preserve"> </w:t>
      </w:r>
      <w:r w:rsidR="00A8272D" w:rsidRPr="00B20E00">
        <w:rPr>
          <w:iCs/>
        </w:rPr>
        <w:t xml:space="preserve">NISTEP </w:t>
      </w:r>
      <w:r w:rsidR="00A8272D">
        <w:rPr>
          <w:iCs/>
        </w:rPr>
        <w:t>plans</w:t>
      </w:r>
      <w:r w:rsidR="00A8272D" w:rsidRPr="00B20E00">
        <w:rPr>
          <w:iCs/>
        </w:rPr>
        <w:t xml:space="preserve"> to combine career awareness data</w:t>
      </w:r>
      <w:r w:rsidR="00A8272D">
        <w:rPr>
          <w:iCs/>
        </w:rPr>
        <w:t xml:space="preserve"> of 1st year doctoral students</w:t>
      </w:r>
      <w:r w:rsidR="00A8272D" w:rsidRPr="00B20E00">
        <w:rPr>
          <w:iCs/>
        </w:rPr>
        <w:t xml:space="preserve"> with career path data</w:t>
      </w:r>
      <w:r w:rsidR="00A8272D">
        <w:rPr>
          <w:iCs/>
        </w:rPr>
        <w:t xml:space="preserve"> of graduates</w:t>
      </w:r>
      <w:r w:rsidR="00A8272D" w:rsidRPr="00B20E00">
        <w:rPr>
          <w:iCs/>
        </w:rPr>
        <w:t xml:space="preserve"> for in-depth analys</w:t>
      </w:r>
      <w:r w:rsidR="00A8272D">
        <w:rPr>
          <w:iCs/>
        </w:rPr>
        <w:t>e</w:t>
      </w:r>
      <w:r w:rsidR="00A8272D" w:rsidRPr="00B20E00">
        <w:rPr>
          <w:iCs/>
        </w:rPr>
        <w:t>s.</w:t>
      </w:r>
    </w:p>
    <w:p w14:paraId="489CF8BD" w14:textId="59212321" w:rsidR="00E84B1C" w:rsidRDefault="00E84B1C">
      <w:pPr>
        <w:rPr>
          <w:iCs/>
        </w:rPr>
      </w:pPr>
      <w:r>
        <w:rPr>
          <w:iCs/>
        </w:rPr>
        <w:br w:type="page"/>
      </w:r>
    </w:p>
    <w:p w14:paraId="5B0802EF" w14:textId="69AD76B6" w:rsidR="001B7B07" w:rsidRDefault="009728B5" w:rsidP="009728B5">
      <w:pPr>
        <w:pStyle w:val="2"/>
        <w:jc w:val="both"/>
      </w:pPr>
      <w:r>
        <w:lastRenderedPageBreak/>
        <w:t>2</w:t>
      </w:r>
      <w:r w:rsidRPr="00D96243">
        <w:t xml:space="preserve">. </w:t>
      </w:r>
      <w:r w:rsidRPr="00B51BBB">
        <w:t xml:space="preserve">Survey </w:t>
      </w:r>
      <w:r>
        <w:t>Results</w:t>
      </w:r>
    </w:p>
    <w:p w14:paraId="11A139B4" w14:textId="77777777" w:rsidR="009728B5" w:rsidRPr="009728B5" w:rsidRDefault="009728B5" w:rsidP="009728B5"/>
    <w:p w14:paraId="02C61035" w14:textId="1FA3A720" w:rsidR="008168F4" w:rsidRPr="00D96243" w:rsidRDefault="00EC5BFF" w:rsidP="009728B5">
      <w:pPr>
        <w:pStyle w:val="3"/>
        <w:jc w:val="both"/>
      </w:pPr>
      <w:r>
        <w:t>2</w:t>
      </w:r>
      <w:r w:rsidR="000C25AF" w:rsidRPr="00D96243">
        <w:t>.</w:t>
      </w:r>
      <w:r w:rsidR="009728B5">
        <w:t>1</w:t>
      </w:r>
      <w:r w:rsidR="000C25AF" w:rsidRPr="00D96243">
        <w:t xml:space="preserve"> </w:t>
      </w:r>
      <w:r w:rsidR="009728B5" w:rsidRPr="009728B5">
        <w:t xml:space="preserve">Basic </w:t>
      </w:r>
      <w:r w:rsidR="009728B5">
        <w:t>A</w:t>
      </w:r>
      <w:r w:rsidR="009728B5" w:rsidRPr="009728B5">
        <w:t>ttributes (</w:t>
      </w:r>
      <w:r w:rsidR="009728B5">
        <w:t>G</w:t>
      </w:r>
      <w:r w:rsidR="009728B5" w:rsidRPr="009728B5">
        <w:t xml:space="preserve">ender, </w:t>
      </w:r>
      <w:r w:rsidR="009728B5">
        <w:t>M</w:t>
      </w:r>
      <w:r w:rsidR="009728B5" w:rsidRPr="009728B5">
        <w:t xml:space="preserve">ember of </w:t>
      </w:r>
      <w:r w:rsidR="009728B5">
        <w:t>S</w:t>
      </w:r>
      <w:r w:rsidR="009728B5" w:rsidRPr="009728B5">
        <w:t>ociety</w:t>
      </w:r>
      <w:r w:rsidR="009728B5">
        <w:t>, I</w:t>
      </w:r>
      <w:r w:rsidR="009728B5" w:rsidRPr="009728B5">
        <w:t xml:space="preserve">nternational </w:t>
      </w:r>
      <w:r w:rsidR="009728B5">
        <w:t>S</w:t>
      </w:r>
      <w:r w:rsidR="009728B5" w:rsidRPr="009728B5">
        <w:t>tudents)</w:t>
      </w:r>
    </w:p>
    <w:p w14:paraId="294A7FC7" w14:textId="551D54EB" w:rsidR="007042BB" w:rsidRDefault="0019500E">
      <w:pPr>
        <w:jc w:val="both"/>
      </w:pPr>
      <w:r>
        <w:rPr>
          <w:iCs/>
        </w:rPr>
        <w:t xml:space="preserve">Figure 1 shows </w:t>
      </w:r>
      <w:r>
        <w:t>r</w:t>
      </w:r>
      <w:r w:rsidRPr="00FC7F18">
        <w:t xml:space="preserve">atio of males to females </w:t>
      </w:r>
      <w:r>
        <w:t>b</w:t>
      </w:r>
      <w:r w:rsidRPr="00FC7F18">
        <w:t xml:space="preserve">y </w:t>
      </w:r>
      <w:r>
        <w:rPr>
          <w:rFonts w:hint="eastAsia"/>
          <w:lang w:eastAsia="ja-JP"/>
        </w:rPr>
        <w:t>r</w:t>
      </w:r>
      <w:r>
        <w:rPr>
          <w:lang w:eastAsia="ja-JP"/>
        </w:rPr>
        <w:t>esearch field</w:t>
      </w:r>
      <w:r>
        <w:rPr>
          <w:lang w:eastAsia="ja-JP"/>
        </w:rPr>
        <w:t xml:space="preserve">. </w:t>
      </w:r>
      <w:r w:rsidR="003D32CB">
        <w:rPr>
          <w:lang w:eastAsia="ja-JP"/>
        </w:rPr>
        <w:t>65</w:t>
      </w:r>
      <w:r w:rsidR="003D32CB" w:rsidRPr="003D32CB">
        <w:rPr>
          <w:lang w:eastAsia="ja-JP"/>
        </w:rPr>
        <w:t xml:space="preserve"> percent of respondents were male and 34% were female</w:t>
      </w:r>
      <w:r w:rsidR="003D32CB">
        <w:rPr>
          <w:lang w:eastAsia="ja-JP"/>
        </w:rPr>
        <w:t>.</w:t>
      </w:r>
      <w:r w:rsidR="003D32CB" w:rsidRPr="003D32CB">
        <w:rPr>
          <w:lang w:eastAsia="ja-JP"/>
        </w:rPr>
        <w:t xml:space="preserve"> </w:t>
      </w:r>
      <w:r w:rsidR="003D32CB">
        <w:rPr>
          <w:lang w:eastAsia="ja-JP"/>
        </w:rPr>
        <w:t>The male ratio is comparative higher in</w:t>
      </w:r>
      <w:r w:rsidR="003D32CB" w:rsidRPr="003D32CB">
        <w:rPr>
          <w:lang w:eastAsia="ja-JP"/>
        </w:rPr>
        <w:t xml:space="preserve"> "</w:t>
      </w:r>
      <w:r w:rsidR="003D32CB">
        <w:rPr>
          <w:lang w:eastAsia="ja-JP"/>
        </w:rPr>
        <w:t xml:space="preserve">Natural </w:t>
      </w:r>
      <w:r w:rsidR="003D32CB" w:rsidRPr="003D32CB">
        <w:rPr>
          <w:lang w:eastAsia="ja-JP"/>
        </w:rPr>
        <w:t xml:space="preserve">Science" and "Engineering" </w:t>
      </w:r>
    </w:p>
    <w:p w14:paraId="149E244E" w14:textId="0F49F369" w:rsidR="005732F9" w:rsidRDefault="005732F9" w:rsidP="005732F9">
      <w:pPr>
        <w:jc w:val="center"/>
        <w:rPr>
          <w:rFonts w:hint="eastAsia"/>
          <w:lang w:eastAsia="ja-JP"/>
        </w:rPr>
      </w:pPr>
      <w:r>
        <w:t>Figure</w:t>
      </w:r>
      <w:r>
        <w:t xml:space="preserve"> 1. </w:t>
      </w:r>
      <w:r w:rsidR="00FC7F18">
        <w:t>r</w:t>
      </w:r>
      <w:r w:rsidR="00FC7F18" w:rsidRPr="00FC7F18">
        <w:t xml:space="preserve">atio of males to females </w:t>
      </w:r>
      <w:r w:rsidR="00FC7F18">
        <w:t>b</w:t>
      </w:r>
      <w:r w:rsidR="00FC7F18" w:rsidRPr="00FC7F18">
        <w:t xml:space="preserve">y </w:t>
      </w:r>
      <w:r w:rsidR="00FC7F18">
        <w:rPr>
          <w:rFonts w:hint="eastAsia"/>
          <w:lang w:eastAsia="ja-JP"/>
        </w:rPr>
        <w:t>r</w:t>
      </w:r>
      <w:r w:rsidR="00FC7F18">
        <w:rPr>
          <w:lang w:eastAsia="ja-JP"/>
        </w:rPr>
        <w:t>esearch field</w:t>
      </w:r>
    </w:p>
    <w:p w14:paraId="565C162D" w14:textId="25348C60" w:rsidR="00E37DE6" w:rsidRDefault="00FC7F18">
      <w:pPr>
        <w:jc w:val="both"/>
      </w:pPr>
      <w:r>
        <w:rPr>
          <w:noProof/>
        </w:rPr>
        <w:drawing>
          <wp:inline distT="0" distB="0" distL="0" distR="0" wp14:anchorId="43B8B91D" wp14:editId="6BFA0887">
            <wp:extent cx="5760000" cy="2291040"/>
            <wp:effectExtent l="0" t="0" r="0" b="0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29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47AB6" w14:textId="091310F7" w:rsidR="00B005FA" w:rsidRDefault="00B005FA">
      <w:pPr>
        <w:jc w:val="both"/>
      </w:pPr>
    </w:p>
    <w:p w14:paraId="15664444" w14:textId="4F229FF5" w:rsidR="003D32CB" w:rsidRDefault="003D32CB" w:rsidP="003D32CB">
      <w:pPr>
        <w:jc w:val="both"/>
      </w:pPr>
      <w:r>
        <w:rPr>
          <w:iCs/>
        </w:rPr>
        <w:t xml:space="preserve">Figure </w:t>
      </w:r>
      <w:r>
        <w:rPr>
          <w:iCs/>
        </w:rPr>
        <w:t>2</w:t>
      </w:r>
      <w:r>
        <w:rPr>
          <w:iCs/>
        </w:rPr>
        <w:t xml:space="preserve"> shows </w:t>
      </w:r>
      <w:r w:rsidRPr="003D32CB">
        <w:t>ratio of members of society and international students by research field</w:t>
      </w:r>
      <w:r>
        <w:t xml:space="preserve">. </w:t>
      </w:r>
      <w:r w:rsidRPr="003D32CB">
        <w:t xml:space="preserve">The definition of </w:t>
      </w:r>
      <w:r>
        <w:t>“m</w:t>
      </w:r>
      <w:r w:rsidRPr="003D32CB">
        <w:t>embers of society</w:t>
      </w:r>
      <w:r>
        <w:t>”</w:t>
      </w:r>
      <w:r w:rsidRPr="003D32CB">
        <w:t xml:space="preserve"> in this survey</w:t>
      </w:r>
      <w:r>
        <w:t>,</w:t>
      </w:r>
      <w:r w:rsidRPr="003D32CB">
        <w:t xml:space="preserve"> generally corresponds to having/had a full-time job.</w:t>
      </w:r>
      <w:r>
        <w:t xml:space="preserve"> 35</w:t>
      </w:r>
      <w:r w:rsidRPr="003D32CB">
        <w:t xml:space="preserve"> </w:t>
      </w:r>
      <w:r>
        <w:t>%</w:t>
      </w:r>
      <w:r w:rsidRPr="003D32CB">
        <w:t>of respondents were neither members of society nor international students, 30% were members of society (excluding members of society</w:t>
      </w:r>
      <w:r>
        <w:t xml:space="preserve"> and international students</w:t>
      </w:r>
      <w:r w:rsidRPr="003D32CB">
        <w:t>), and 35% were international students (including members of society).</w:t>
      </w:r>
      <w:r>
        <w:t xml:space="preserve"> The ratio of students who are </w:t>
      </w:r>
      <w:r w:rsidRPr="003D32CB">
        <w:t>neither members of society nor international students</w:t>
      </w:r>
      <w:r>
        <w:t xml:space="preserve"> is comparative higher in </w:t>
      </w:r>
      <w:r w:rsidRPr="003D32CB">
        <w:rPr>
          <w:lang w:eastAsia="ja-JP"/>
        </w:rPr>
        <w:t>"</w:t>
      </w:r>
      <w:r>
        <w:rPr>
          <w:lang w:eastAsia="ja-JP"/>
        </w:rPr>
        <w:t xml:space="preserve">Natural </w:t>
      </w:r>
      <w:r w:rsidRPr="003D32CB">
        <w:rPr>
          <w:lang w:eastAsia="ja-JP"/>
        </w:rPr>
        <w:t>Science"</w:t>
      </w:r>
      <w:r>
        <w:rPr>
          <w:lang w:eastAsia="ja-JP"/>
        </w:rPr>
        <w:t>.</w:t>
      </w:r>
    </w:p>
    <w:p w14:paraId="1B54CF61" w14:textId="77777777" w:rsidR="003D32CB" w:rsidRPr="003D32CB" w:rsidRDefault="003D32CB">
      <w:pPr>
        <w:jc w:val="both"/>
      </w:pPr>
    </w:p>
    <w:p w14:paraId="09EA398E" w14:textId="6C01A60E" w:rsidR="005732F9" w:rsidRDefault="005732F9" w:rsidP="005732F9">
      <w:pPr>
        <w:jc w:val="center"/>
      </w:pPr>
      <w:r>
        <w:t xml:space="preserve">Figure </w:t>
      </w:r>
      <w:r>
        <w:t>2</w:t>
      </w:r>
      <w:r>
        <w:t xml:space="preserve">. </w:t>
      </w:r>
      <w:r w:rsidR="00FC7F18" w:rsidRPr="00FC7F18">
        <w:t xml:space="preserve">ratio of </w:t>
      </w:r>
      <w:r w:rsidR="00FC7F18">
        <w:t>members of society and international students</w:t>
      </w:r>
      <w:r w:rsidR="00FC7F18" w:rsidRPr="00FC7F18">
        <w:t xml:space="preserve"> by research field</w:t>
      </w:r>
    </w:p>
    <w:p w14:paraId="20B0557A" w14:textId="7A752E91" w:rsidR="00B005FA" w:rsidRDefault="00FC7F18">
      <w:pPr>
        <w:jc w:val="both"/>
      </w:pPr>
      <w:r>
        <w:rPr>
          <w:noProof/>
        </w:rPr>
        <w:drawing>
          <wp:inline distT="0" distB="0" distL="0" distR="0" wp14:anchorId="7FD5C331" wp14:editId="7C8869AE">
            <wp:extent cx="5760000" cy="2380680"/>
            <wp:effectExtent l="0" t="0" r="0" b="635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38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43AB1" w14:textId="7052C226" w:rsidR="00281AF3" w:rsidRDefault="00281AF3"/>
    <w:p w14:paraId="139ED14A" w14:textId="7D8E29E1" w:rsidR="009728B5" w:rsidRDefault="009728B5" w:rsidP="009728B5">
      <w:pPr>
        <w:pStyle w:val="3"/>
        <w:jc w:val="both"/>
      </w:pPr>
      <w:r>
        <w:t>2.2</w:t>
      </w:r>
      <w:r w:rsidRPr="00D96243">
        <w:t xml:space="preserve">. </w:t>
      </w:r>
      <w:r w:rsidRPr="009728B5">
        <w:t xml:space="preserve">Ratio of the </w:t>
      </w:r>
      <w:bookmarkStart w:id="1" w:name="_Hlk133046400"/>
      <w:r>
        <w:t>S</w:t>
      </w:r>
      <w:r w:rsidRPr="009728B5">
        <w:t xml:space="preserve">ame </w:t>
      </w:r>
      <w:r>
        <w:t>U</w:t>
      </w:r>
      <w:r w:rsidRPr="009728B5">
        <w:t xml:space="preserve">niversity / </w:t>
      </w:r>
      <w:r>
        <w:t>M</w:t>
      </w:r>
      <w:r w:rsidRPr="009728B5">
        <w:t xml:space="preserve">ain </w:t>
      </w:r>
      <w:r>
        <w:t>A</w:t>
      </w:r>
      <w:r w:rsidRPr="009728B5">
        <w:t xml:space="preserve">cademic </w:t>
      </w:r>
      <w:r>
        <w:t>A</w:t>
      </w:r>
      <w:r w:rsidRPr="009728B5">
        <w:t xml:space="preserve">dvisor with </w:t>
      </w:r>
      <w:r>
        <w:t>L</w:t>
      </w:r>
      <w:r w:rsidRPr="009728B5">
        <w:t xml:space="preserve">ast </w:t>
      </w:r>
      <w:r>
        <w:t>A</w:t>
      </w:r>
      <w:r w:rsidRPr="009728B5">
        <w:t xml:space="preserve">cademic </w:t>
      </w:r>
      <w:r>
        <w:t>B</w:t>
      </w:r>
      <w:r w:rsidRPr="009728B5">
        <w:t>ackground</w:t>
      </w:r>
      <w:bookmarkEnd w:id="1"/>
    </w:p>
    <w:p w14:paraId="22987C40" w14:textId="77777777" w:rsidR="004E6B88" w:rsidRDefault="004E6B88" w:rsidP="004E6B88"/>
    <w:p w14:paraId="7469454D" w14:textId="1463CCC1" w:rsidR="009728B5" w:rsidRDefault="004E6B88" w:rsidP="004E6B88">
      <w:r>
        <w:rPr>
          <w:iCs/>
          <w:lang w:eastAsia="ja-JP"/>
        </w:rPr>
        <w:t>NISTEP asked</w:t>
      </w:r>
      <w:r>
        <w:rPr>
          <w:iCs/>
          <w:lang w:eastAsia="ja-JP"/>
        </w:rPr>
        <w:t xml:space="preserve"> the same u</w:t>
      </w:r>
      <w:r w:rsidRPr="004E6B88">
        <w:rPr>
          <w:iCs/>
          <w:lang w:eastAsia="ja-JP"/>
        </w:rPr>
        <w:t xml:space="preserve">niversity / </w:t>
      </w:r>
      <w:r>
        <w:rPr>
          <w:iCs/>
          <w:lang w:eastAsia="ja-JP"/>
        </w:rPr>
        <w:t>m</w:t>
      </w:r>
      <w:r w:rsidRPr="004E6B88">
        <w:rPr>
          <w:iCs/>
          <w:lang w:eastAsia="ja-JP"/>
        </w:rPr>
        <w:t xml:space="preserve">ain </w:t>
      </w:r>
      <w:r>
        <w:rPr>
          <w:iCs/>
          <w:lang w:eastAsia="ja-JP"/>
        </w:rPr>
        <w:t>a</w:t>
      </w:r>
      <w:r w:rsidRPr="004E6B88">
        <w:rPr>
          <w:iCs/>
          <w:lang w:eastAsia="ja-JP"/>
        </w:rPr>
        <w:t xml:space="preserve">cademic </w:t>
      </w:r>
      <w:r>
        <w:rPr>
          <w:iCs/>
          <w:lang w:eastAsia="ja-JP"/>
        </w:rPr>
        <w:t>a</w:t>
      </w:r>
      <w:r w:rsidRPr="004E6B88">
        <w:rPr>
          <w:iCs/>
          <w:lang w:eastAsia="ja-JP"/>
        </w:rPr>
        <w:t xml:space="preserve">dvisor with </w:t>
      </w:r>
      <w:r>
        <w:rPr>
          <w:iCs/>
          <w:lang w:eastAsia="ja-JP"/>
        </w:rPr>
        <w:t>l</w:t>
      </w:r>
      <w:r w:rsidRPr="004E6B88">
        <w:rPr>
          <w:iCs/>
          <w:lang w:eastAsia="ja-JP"/>
        </w:rPr>
        <w:t xml:space="preserve">ast </w:t>
      </w:r>
      <w:r>
        <w:rPr>
          <w:iCs/>
          <w:lang w:eastAsia="ja-JP"/>
        </w:rPr>
        <w:t>a</w:t>
      </w:r>
      <w:r w:rsidRPr="004E6B88">
        <w:rPr>
          <w:iCs/>
          <w:lang w:eastAsia="ja-JP"/>
        </w:rPr>
        <w:t xml:space="preserve">cademic </w:t>
      </w:r>
      <w:r>
        <w:rPr>
          <w:iCs/>
          <w:lang w:eastAsia="ja-JP"/>
        </w:rPr>
        <w:t>b</w:t>
      </w:r>
      <w:r w:rsidRPr="004E6B88">
        <w:rPr>
          <w:iCs/>
          <w:lang w:eastAsia="ja-JP"/>
        </w:rPr>
        <w:t>ackground</w:t>
      </w:r>
      <w:r>
        <w:rPr>
          <w:iCs/>
          <w:lang w:eastAsia="ja-JP"/>
        </w:rPr>
        <w:t xml:space="preserve"> in the survey.</w:t>
      </w:r>
      <w:r w:rsidRPr="004E6B88">
        <w:t xml:space="preserve"> </w:t>
      </w:r>
      <w:r w:rsidRPr="004E6B88">
        <w:rPr>
          <w:iCs/>
          <w:lang w:eastAsia="ja-JP"/>
        </w:rPr>
        <w:t xml:space="preserve">This question was asked to </w:t>
      </w:r>
      <w:r>
        <w:rPr>
          <w:iCs/>
          <w:lang w:eastAsia="ja-JP"/>
        </w:rPr>
        <w:t>confirm</w:t>
      </w:r>
      <w:r w:rsidRPr="004E6B88">
        <w:rPr>
          <w:iCs/>
          <w:lang w:eastAsia="ja-JP"/>
        </w:rPr>
        <w:t xml:space="preserve"> </w:t>
      </w:r>
      <w:r>
        <w:rPr>
          <w:iCs/>
          <w:lang w:eastAsia="ja-JP"/>
        </w:rPr>
        <w:t>regarding</w:t>
      </w:r>
      <w:r w:rsidRPr="004E6B88">
        <w:rPr>
          <w:iCs/>
          <w:lang w:eastAsia="ja-JP"/>
        </w:rPr>
        <w:t xml:space="preserve"> academic imbibing and </w:t>
      </w:r>
      <w:r>
        <w:rPr>
          <w:iCs/>
          <w:lang w:eastAsia="ja-JP"/>
        </w:rPr>
        <w:t xml:space="preserve">contact with </w:t>
      </w:r>
      <w:r w:rsidRPr="004E6B88">
        <w:rPr>
          <w:iCs/>
          <w:lang w:eastAsia="ja-JP"/>
        </w:rPr>
        <w:t>diversity.</w:t>
      </w:r>
      <w:r>
        <w:rPr>
          <w:iCs/>
          <w:lang w:eastAsia="ja-JP"/>
        </w:rPr>
        <w:t xml:space="preserve"> And, t</w:t>
      </w:r>
      <w:r w:rsidRPr="004E6B88">
        <w:rPr>
          <w:iCs/>
          <w:lang w:eastAsia="ja-JP"/>
        </w:rPr>
        <w:t>h</w:t>
      </w:r>
      <w:r>
        <w:rPr>
          <w:iCs/>
          <w:lang w:eastAsia="ja-JP"/>
        </w:rPr>
        <w:t>e</w:t>
      </w:r>
      <w:r w:rsidRPr="004E6B88">
        <w:rPr>
          <w:iCs/>
          <w:lang w:eastAsia="ja-JP"/>
        </w:rPr>
        <w:t xml:space="preserve"> </w:t>
      </w:r>
      <w:r>
        <w:rPr>
          <w:iCs/>
          <w:lang w:eastAsia="ja-JP"/>
        </w:rPr>
        <w:t>answer</w:t>
      </w:r>
      <w:r w:rsidRPr="004E6B88">
        <w:rPr>
          <w:iCs/>
          <w:lang w:eastAsia="ja-JP"/>
        </w:rPr>
        <w:t xml:space="preserve"> also </w:t>
      </w:r>
      <w:r w:rsidRPr="004E6B88">
        <w:rPr>
          <w:iCs/>
          <w:lang w:eastAsia="ja-JP"/>
        </w:rPr>
        <w:t>allows</w:t>
      </w:r>
      <w:r w:rsidRPr="004E6B88">
        <w:rPr>
          <w:iCs/>
          <w:lang w:eastAsia="ja-JP"/>
        </w:rPr>
        <w:t xml:space="preserve"> us to control for the </w:t>
      </w:r>
      <w:r>
        <w:rPr>
          <w:iCs/>
          <w:lang w:eastAsia="ja-JP"/>
        </w:rPr>
        <w:t xml:space="preserve">difference of </w:t>
      </w:r>
      <w:r w:rsidRPr="004E6B88">
        <w:rPr>
          <w:iCs/>
          <w:lang w:eastAsia="ja-JP"/>
        </w:rPr>
        <w:t>the expectations of the research environment, which will be discussed later</w:t>
      </w:r>
      <w:r>
        <w:rPr>
          <w:iCs/>
          <w:lang w:eastAsia="ja-JP"/>
        </w:rPr>
        <w:t xml:space="preserve">. </w:t>
      </w:r>
      <w:r w:rsidR="008E061D">
        <w:rPr>
          <w:iCs/>
        </w:rPr>
        <w:t xml:space="preserve">Figure </w:t>
      </w:r>
      <w:r w:rsidR="008E061D">
        <w:rPr>
          <w:iCs/>
        </w:rPr>
        <w:t>3</w:t>
      </w:r>
      <w:r w:rsidR="008E061D">
        <w:rPr>
          <w:iCs/>
        </w:rPr>
        <w:t xml:space="preserve"> shows </w:t>
      </w:r>
      <w:r w:rsidR="008E061D" w:rsidRPr="008E061D">
        <w:t xml:space="preserve">ratio of </w:t>
      </w:r>
      <w:r w:rsidR="00C17A08">
        <w:t xml:space="preserve">the </w:t>
      </w:r>
      <w:r w:rsidR="008E061D" w:rsidRPr="008E061D">
        <w:t xml:space="preserve">same </w:t>
      </w:r>
      <w:r w:rsidR="008E061D" w:rsidRPr="008E061D">
        <w:lastRenderedPageBreak/>
        <w:t>university with the last academic background</w:t>
      </w:r>
      <w:r w:rsidR="008E061D">
        <w:t>.</w:t>
      </w:r>
      <w:r w:rsidR="00C17A08" w:rsidRPr="00C17A08">
        <w:t xml:space="preserve"> </w:t>
      </w:r>
      <w:r w:rsidR="00C17A08" w:rsidRPr="00C17A08">
        <w:t>The percentage of same university</w:t>
      </w:r>
      <w:r w:rsidR="00C17A08">
        <w:t xml:space="preserve"> in all respondents</w:t>
      </w:r>
      <w:r w:rsidR="00C17A08" w:rsidRPr="00C17A08">
        <w:t xml:space="preserve"> was 61%.</w:t>
      </w:r>
      <w:r w:rsidR="00C17A08">
        <w:t xml:space="preserve"> The </w:t>
      </w:r>
      <w:r w:rsidR="00C17A08" w:rsidRPr="00C17A08">
        <w:t>percentage</w:t>
      </w:r>
      <w:r w:rsidR="00C17A08">
        <w:t>s are relatively higher in “Humanities” and “Natural Science”.</w:t>
      </w:r>
    </w:p>
    <w:p w14:paraId="733BE622" w14:textId="77777777" w:rsidR="008E061D" w:rsidRPr="008E061D" w:rsidRDefault="008E061D" w:rsidP="009728B5">
      <w:pPr>
        <w:jc w:val="both"/>
      </w:pPr>
    </w:p>
    <w:p w14:paraId="13FB67C0" w14:textId="71E2590D" w:rsidR="00281AF3" w:rsidRDefault="005732F9" w:rsidP="00FC7F18">
      <w:pPr>
        <w:jc w:val="center"/>
      </w:pPr>
      <w:r>
        <w:t xml:space="preserve">Figure </w:t>
      </w:r>
      <w:r>
        <w:t>3</w:t>
      </w:r>
      <w:r>
        <w:t xml:space="preserve">. </w:t>
      </w:r>
      <w:bookmarkStart w:id="2" w:name="_Hlk133045726"/>
      <w:r w:rsidR="00FC7F18" w:rsidRPr="00FC7F18">
        <w:t xml:space="preserve">ratio of </w:t>
      </w:r>
      <w:r w:rsidR="00C17A08">
        <w:t xml:space="preserve">the </w:t>
      </w:r>
      <w:r w:rsidR="00FC7F18">
        <w:t>same university with the last academic background</w:t>
      </w:r>
      <w:bookmarkEnd w:id="2"/>
    </w:p>
    <w:p w14:paraId="447C833E" w14:textId="7B262381" w:rsidR="00281AF3" w:rsidRDefault="00FC7F18" w:rsidP="009728B5">
      <w:pPr>
        <w:jc w:val="both"/>
      </w:pPr>
      <w:r>
        <w:rPr>
          <w:noProof/>
        </w:rPr>
        <w:drawing>
          <wp:inline distT="0" distB="0" distL="0" distR="0" wp14:anchorId="24256E4B" wp14:editId="012D1224">
            <wp:extent cx="5760000" cy="2352600"/>
            <wp:effectExtent l="0" t="0" r="0" b="0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3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A3C10" w14:textId="77777777" w:rsidR="00FC7F18" w:rsidRDefault="00FC7F18" w:rsidP="009728B5">
      <w:pPr>
        <w:jc w:val="both"/>
      </w:pPr>
    </w:p>
    <w:p w14:paraId="49C1328E" w14:textId="5712EF17" w:rsidR="00C17A08" w:rsidRDefault="00C17A08" w:rsidP="00C17A08">
      <w:pPr>
        <w:jc w:val="both"/>
      </w:pPr>
      <w:r>
        <w:rPr>
          <w:iCs/>
        </w:rPr>
        <w:t xml:space="preserve">Figure </w:t>
      </w:r>
      <w:r>
        <w:rPr>
          <w:iCs/>
        </w:rPr>
        <w:t>4</w:t>
      </w:r>
      <w:r>
        <w:rPr>
          <w:iCs/>
        </w:rPr>
        <w:t xml:space="preserve"> shows </w:t>
      </w:r>
      <w:r w:rsidRPr="008E061D">
        <w:t xml:space="preserve">ratio of </w:t>
      </w:r>
      <w:r>
        <w:t xml:space="preserve">the </w:t>
      </w:r>
      <w:r w:rsidRPr="008E061D">
        <w:t xml:space="preserve">same </w:t>
      </w:r>
      <w:r>
        <w:t>main academic advisor</w:t>
      </w:r>
      <w:r w:rsidRPr="008E061D">
        <w:t xml:space="preserve"> with the last academic background</w:t>
      </w:r>
      <w:r>
        <w:t>.</w:t>
      </w:r>
      <w:r w:rsidRPr="00C17A08">
        <w:t xml:space="preserve"> The percentage of same university</w:t>
      </w:r>
      <w:r>
        <w:t xml:space="preserve"> in all respondents</w:t>
      </w:r>
      <w:r w:rsidRPr="00C17A08">
        <w:t xml:space="preserve"> was </w:t>
      </w:r>
      <w:r>
        <w:t>50</w:t>
      </w:r>
      <w:r w:rsidRPr="00C17A08">
        <w:t>%.</w:t>
      </w:r>
      <w:r>
        <w:t xml:space="preserve"> The </w:t>
      </w:r>
      <w:r w:rsidRPr="00C17A08">
        <w:t>percentage</w:t>
      </w:r>
      <w:r>
        <w:t>s</w:t>
      </w:r>
      <w:r>
        <w:t xml:space="preserve"> </w:t>
      </w:r>
      <w:r>
        <w:t>are</w:t>
      </w:r>
      <w:r>
        <w:t xml:space="preserve"> also</w:t>
      </w:r>
      <w:r>
        <w:t xml:space="preserve"> relatively higher in “Humanities” and “Natural Science”.</w:t>
      </w:r>
    </w:p>
    <w:p w14:paraId="4BC7C444" w14:textId="77777777" w:rsidR="00C17A08" w:rsidRPr="00C17A08" w:rsidRDefault="00C17A08" w:rsidP="009728B5">
      <w:pPr>
        <w:jc w:val="both"/>
      </w:pPr>
    </w:p>
    <w:p w14:paraId="47B2CCF0" w14:textId="31EF13A8" w:rsidR="005732F9" w:rsidRDefault="005732F9" w:rsidP="00FC7F18">
      <w:pPr>
        <w:jc w:val="center"/>
      </w:pPr>
      <w:r>
        <w:t xml:space="preserve">Figure </w:t>
      </w:r>
      <w:r>
        <w:t>4</w:t>
      </w:r>
      <w:r>
        <w:t xml:space="preserve">. </w:t>
      </w:r>
      <w:r w:rsidR="00FC7F18" w:rsidRPr="00FC7F18">
        <w:t xml:space="preserve">ratio of </w:t>
      </w:r>
      <w:r w:rsidR="00C17A08">
        <w:t xml:space="preserve">the </w:t>
      </w:r>
      <w:r w:rsidR="00FC7F18" w:rsidRPr="00FC7F18">
        <w:t xml:space="preserve">same </w:t>
      </w:r>
      <w:r w:rsidR="00FC7F18">
        <w:t>main academic advisor</w:t>
      </w:r>
      <w:r w:rsidR="00FC7F18" w:rsidRPr="00FC7F18">
        <w:t xml:space="preserve"> with the last academic background</w:t>
      </w:r>
      <w:r w:rsidR="00FC7F18">
        <w:rPr>
          <w:noProof/>
        </w:rPr>
        <w:drawing>
          <wp:inline distT="0" distB="0" distL="0" distR="0" wp14:anchorId="56A42BD2" wp14:editId="300CC1DB">
            <wp:extent cx="5760000" cy="2305800"/>
            <wp:effectExtent l="0" t="0" r="0" b="0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AE5B7" w14:textId="77777777" w:rsidR="004022F4" w:rsidRDefault="004022F4" w:rsidP="00FC7F18">
      <w:pPr>
        <w:jc w:val="center"/>
      </w:pPr>
    </w:p>
    <w:p w14:paraId="70103194" w14:textId="3539E3F8" w:rsidR="009728B5" w:rsidRPr="00D96243" w:rsidRDefault="009728B5" w:rsidP="009728B5">
      <w:pPr>
        <w:pStyle w:val="3"/>
        <w:jc w:val="both"/>
      </w:pPr>
      <w:r>
        <w:t>2.3</w:t>
      </w:r>
      <w:r w:rsidRPr="00D96243">
        <w:t xml:space="preserve">. </w:t>
      </w:r>
      <w:bookmarkStart w:id="3" w:name="_Hlk133046052"/>
      <w:r w:rsidR="00ED7260">
        <w:t>I</w:t>
      </w:r>
      <w:r w:rsidR="00ED7260" w:rsidRPr="00ED7260">
        <w:t xml:space="preserve">mpression of the </w:t>
      </w:r>
      <w:r w:rsidR="00ED7260">
        <w:t>R</w:t>
      </w:r>
      <w:r w:rsidR="00ED7260" w:rsidRPr="00ED7260">
        <w:t xml:space="preserve">esearch </w:t>
      </w:r>
      <w:r w:rsidR="00ED7260">
        <w:t>E</w:t>
      </w:r>
      <w:r w:rsidR="00ED7260" w:rsidRPr="00ED7260">
        <w:t xml:space="preserve">nvironment </w:t>
      </w:r>
      <w:r w:rsidR="00ED7260">
        <w:t>C</w:t>
      </w:r>
      <w:r w:rsidR="00ED7260" w:rsidRPr="00ED7260">
        <w:t xml:space="preserve">ompared to what </w:t>
      </w:r>
      <w:r w:rsidR="00ED7260">
        <w:t>Respondents</w:t>
      </w:r>
      <w:r w:rsidR="00ED7260" w:rsidRPr="00ED7260">
        <w:t xml:space="preserve"> expected</w:t>
      </w:r>
      <w:bookmarkEnd w:id="3"/>
    </w:p>
    <w:p w14:paraId="65B777E4" w14:textId="35325265" w:rsidR="003C52AF" w:rsidRDefault="00C17A08" w:rsidP="009728B5">
      <w:pPr>
        <w:jc w:val="both"/>
        <w:rPr>
          <w:iCs/>
          <w:lang w:eastAsia="ja-JP"/>
        </w:rPr>
      </w:pPr>
      <w:r>
        <w:rPr>
          <w:rFonts w:hint="eastAsia"/>
          <w:iCs/>
          <w:lang w:eastAsia="ja-JP"/>
        </w:rPr>
        <w:t>I</w:t>
      </w:r>
      <w:r>
        <w:rPr>
          <w:iCs/>
          <w:lang w:eastAsia="ja-JP"/>
        </w:rPr>
        <w:t>n the survey, NISTEP asked current i</w:t>
      </w:r>
      <w:r w:rsidRPr="00C17A08">
        <w:rPr>
          <w:iCs/>
          <w:lang w:eastAsia="ja-JP"/>
        </w:rPr>
        <w:t xml:space="preserve">mpression of the </w:t>
      </w:r>
      <w:r>
        <w:rPr>
          <w:iCs/>
          <w:lang w:eastAsia="ja-JP"/>
        </w:rPr>
        <w:t>r</w:t>
      </w:r>
      <w:r w:rsidRPr="00C17A08">
        <w:rPr>
          <w:iCs/>
          <w:lang w:eastAsia="ja-JP"/>
        </w:rPr>
        <w:t xml:space="preserve">esearch </w:t>
      </w:r>
      <w:r>
        <w:rPr>
          <w:iCs/>
          <w:lang w:eastAsia="ja-JP"/>
        </w:rPr>
        <w:t>e</w:t>
      </w:r>
      <w:r w:rsidRPr="00C17A08">
        <w:rPr>
          <w:iCs/>
          <w:lang w:eastAsia="ja-JP"/>
        </w:rPr>
        <w:t xml:space="preserve">nvironment </w:t>
      </w:r>
      <w:r>
        <w:rPr>
          <w:iCs/>
          <w:lang w:eastAsia="ja-JP"/>
        </w:rPr>
        <w:t>c</w:t>
      </w:r>
      <w:r w:rsidRPr="00C17A08">
        <w:rPr>
          <w:iCs/>
          <w:lang w:eastAsia="ja-JP"/>
        </w:rPr>
        <w:t xml:space="preserve">ompared to what </w:t>
      </w:r>
      <w:r>
        <w:rPr>
          <w:iCs/>
          <w:lang w:eastAsia="ja-JP"/>
        </w:rPr>
        <w:t>r</w:t>
      </w:r>
      <w:r w:rsidRPr="00C17A08">
        <w:rPr>
          <w:iCs/>
          <w:lang w:eastAsia="ja-JP"/>
        </w:rPr>
        <w:t>espondents expected</w:t>
      </w:r>
      <w:r>
        <w:rPr>
          <w:iCs/>
          <w:lang w:eastAsia="ja-JP"/>
        </w:rPr>
        <w:t xml:space="preserve"> when </w:t>
      </w:r>
      <w:r>
        <w:rPr>
          <w:iCs/>
          <w:lang w:eastAsia="ja-JP"/>
        </w:rPr>
        <w:t>r</w:t>
      </w:r>
      <w:r w:rsidRPr="00C17A08">
        <w:rPr>
          <w:iCs/>
          <w:lang w:eastAsia="ja-JP"/>
        </w:rPr>
        <w:t>espondents</w:t>
      </w:r>
      <w:r>
        <w:rPr>
          <w:iCs/>
          <w:lang w:eastAsia="ja-JP"/>
        </w:rPr>
        <w:t xml:space="preserve"> had decided entering doctoral course. NISTEP asked 7 aspects of research environment such as “[</w:t>
      </w:r>
      <w:r w:rsidR="003C52AF">
        <w:rPr>
          <w:iCs/>
          <w:lang w:eastAsia="ja-JP"/>
        </w:rPr>
        <w:t>1]</w:t>
      </w:r>
      <w:r w:rsidR="003C52AF" w:rsidRPr="00C17A08">
        <w:rPr>
          <w:iCs/>
          <w:lang w:eastAsia="ja-JP"/>
        </w:rPr>
        <w:t xml:space="preserve"> secure</w:t>
      </w:r>
      <w:r w:rsidRPr="00C17A08">
        <w:rPr>
          <w:iCs/>
          <w:lang w:eastAsia="ja-JP"/>
        </w:rPr>
        <w:t xml:space="preserve"> time for research</w:t>
      </w:r>
      <w:r>
        <w:rPr>
          <w:iCs/>
          <w:lang w:eastAsia="ja-JP"/>
        </w:rPr>
        <w:t>”, “[</w:t>
      </w:r>
      <w:r w:rsidR="003C52AF">
        <w:rPr>
          <w:iCs/>
          <w:lang w:eastAsia="ja-JP"/>
        </w:rPr>
        <w:t>2]</w:t>
      </w:r>
      <w:r w:rsidR="003C52AF" w:rsidRPr="00C17A08">
        <w:rPr>
          <w:iCs/>
          <w:lang w:eastAsia="ja-JP"/>
        </w:rPr>
        <w:t xml:space="preserve"> opportunity</w:t>
      </w:r>
      <w:r w:rsidRPr="00C17A08">
        <w:rPr>
          <w:iCs/>
          <w:lang w:eastAsia="ja-JP"/>
        </w:rPr>
        <w:t xml:space="preserve"> (frequency) for research guidance</w:t>
      </w:r>
      <w:r>
        <w:rPr>
          <w:iCs/>
          <w:lang w:eastAsia="ja-JP"/>
        </w:rPr>
        <w:t>”, “[</w:t>
      </w:r>
      <w:r w:rsidR="003C52AF">
        <w:rPr>
          <w:iCs/>
          <w:lang w:eastAsia="ja-JP"/>
        </w:rPr>
        <w:t>3]</w:t>
      </w:r>
      <w:r w:rsidR="003C52AF" w:rsidRPr="00C17A08">
        <w:rPr>
          <w:iCs/>
          <w:lang w:eastAsia="ja-JP"/>
        </w:rPr>
        <w:t xml:space="preserve"> quality</w:t>
      </w:r>
      <w:r w:rsidRPr="00C17A08">
        <w:rPr>
          <w:iCs/>
          <w:lang w:eastAsia="ja-JP"/>
        </w:rPr>
        <w:t xml:space="preserve"> of research guidance</w:t>
      </w:r>
      <w:r>
        <w:rPr>
          <w:iCs/>
          <w:lang w:eastAsia="ja-JP"/>
        </w:rPr>
        <w:t>”, “[</w:t>
      </w:r>
      <w:r w:rsidR="003C52AF">
        <w:rPr>
          <w:iCs/>
          <w:lang w:eastAsia="ja-JP"/>
        </w:rPr>
        <w:t>4]</w:t>
      </w:r>
      <w:r w:rsidR="003C52AF" w:rsidRPr="00C17A08">
        <w:rPr>
          <w:iCs/>
          <w:lang w:eastAsia="ja-JP"/>
        </w:rPr>
        <w:t xml:space="preserve"> interaction</w:t>
      </w:r>
      <w:r w:rsidRPr="00C17A08">
        <w:rPr>
          <w:iCs/>
          <w:lang w:eastAsia="ja-JP"/>
        </w:rPr>
        <w:t xml:space="preserve"> </w:t>
      </w:r>
      <w:r w:rsidRPr="00C17A08">
        <w:rPr>
          <w:iCs/>
          <w:lang w:eastAsia="ja-JP"/>
        </w:rPr>
        <w:t>related</w:t>
      </w:r>
      <w:r w:rsidRPr="00C17A08">
        <w:rPr>
          <w:iCs/>
          <w:lang w:eastAsia="ja-JP"/>
        </w:rPr>
        <w:t xml:space="preserve"> to research with non-faculty members</w:t>
      </w:r>
      <w:r>
        <w:rPr>
          <w:iCs/>
          <w:lang w:eastAsia="ja-JP"/>
        </w:rPr>
        <w:t>”, “[</w:t>
      </w:r>
      <w:r w:rsidR="003C52AF">
        <w:rPr>
          <w:iCs/>
          <w:lang w:eastAsia="ja-JP"/>
        </w:rPr>
        <w:t>5]</w:t>
      </w:r>
      <w:r w:rsidR="003C52AF" w:rsidRPr="00C17A08">
        <w:rPr>
          <w:iCs/>
          <w:lang w:eastAsia="ja-JP"/>
        </w:rPr>
        <w:t xml:space="preserve"> research</w:t>
      </w:r>
      <w:r w:rsidRPr="00C17A08">
        <w:rPr>
          <w:iCs/>
          <w:lang w:eastAsia="ja-JP"/>
        </w:rPr>
        <w:t xml:space="preserve"> facilities and equipment</w:t>
      </w:r>
      <w:r>
        <w:rPr>
          <w:iCs/>
          <w:lang w:eastAsia="ja-JP"/>
        </w:rPr>
        <w:t>”, “[6]</w:t>
      </w:r>
      <w:r w:rsidR="003C52AF">
        <w:rPr>
          <w:iCs/>
          <w:lang w:eastAsia="ja-JP"/>
        </w:rPr>
        <w:t xml:space="preserve"> </w:t>
      </w:r>
      <w:r>
        <w:rPr>
          <w:iCs/>
          <w:lang w:eastAsia="ja-JP"/>
        </w:rPr>
        <w:t xml:space="preserve">(public) </w:t>
      </w:r>
      <w:r w:rsidRPr="00C17A08">
        <w:rPr>
          <w:iCs/>
          <w:lang w:eastAsia="ja-JP"/>
        </w:rPr>
        <w:t>financial support</w:t>
      </w:r>
      <w:r>
        <w:rPr>
          <w:iCs/>
          <w:lang w:eastAsia="ja-JP"/>
        </w:rPr>
        <w:t>”,</w:t>
      </w:r>
      <w:r w:rsidRPr="00C17A08">
        <w:rPr>
          <w:iCs/>
          <w:lang w:eastAsia="ja-JP"/>
        </w:rPr>
        <w:t xml:space="preserve"> </w:t>
      </w:r>
      <w:r>
        <w:rPr>
          <w:iCs/>
          <w:lang w:eastAsia="ja-JP"/>
        </w:rPr>
        <w:t>“</w:t>
      </w:r>
      <w:r>
        <w:rPr>
          <w:iCs/>
          <w:lang w:eastAsia="ja-JP"/>
        </w:rPr>
        <w:t>[</w:t>
      </w:r>
      <w:r w:rsidR="003C52AF">
        <w:rPr>
          <w:iCs/>
          <w:lang w:eastAsia="ja-JP"/>
        </w:rPr>
        <w:t>7]</w:t>
      </w:r>
      <w:r w:rsidR="003C52AF" w:rsidRPr="00C17A08">
        <w:rPr>
          <w:iCs/>
          <w:lang w:eastAsia="ja-JP"/>
        </w:rPr>
        <w:t xml:space="preserve"> comprehensive</w:t>
      </w:r>
      <w:r w:rsidRPr="00C17A08">
        <w:rPr>
          <w:iCs/>
          <w:lang w:eastAsia="ja-JP"/>
        </w:rPr>
        <w:t xml:space="preserve"> research environment</w:t>
      </w:r>
      <w:r>
        <w:rPr>
          <w:iCs/>
          <w:lang w:eastAsia="ja-JP"/>
        </w:rPr>
        <w:t>”</w:t>
      </w:r>
      <w:r>
        <w:rPr>
          <w:iCs/>
          <w:lang w:eastAsia="ja-JP"/>
        </w:rPr>
        <w:t>.</w:t>
      </w:r>
      <w:r w:rsidR="003C52AF">
        <w:rPr>
          <w:iCs/>
          <w:lang w:eastAsia="ja-JP"/>
        </w:rPr>
        <w:t xml:space="preserve"> </w:t>
      </w:r>
    </w:p>
    <w:p w14:paraId="21BC43DF" w14:textId="77777777" w:rsidR="003C52AF" w:rsidRDefault="003C52AF" w:rsidP="009728B5">
      <w:pPr>
        <w:jc w:val="both"/>
        <w:rPr>
          <w:iCs/>
          <w:lang w:eastAsia="ja-JP"/>
        </w:rPr>
      </w:pPr>
    </w:p>
    <w:p w14:paraId="3B326800" w14:textId="3A580ED3" w:rsidR="001F7223" w:rsidRPr="003C52AF" w:rsidRDefault="001F7223" w:rsidP="001F7223">
      <w:pPr>
        <w:jc w:val="both"/>
        <w:rPr>
          <w:rFonts w:hint="eastAsia"/>
          <w:lang w:eastAsia="ja-JP"/>
        </w:rPr>
      </w:pPr>
      <w:r>
        <w:rPr>
          <w:lang w:eastAsia="ja-JP"/>
        </w:rPr>
        <w:t xml:space="preserve">Figure 5 shows the ratio of </w:t>
      </w:r>
      <w:r>
        <w:t>i</w:t>
      </w:r>
      <w:r w:rsidRPr="0019500E">
        <w:t xml:space="preserve">mpression </w:t>
      </w:r>
      <w:r>
        <w:t>about</w:t>
      </w:r>
      <w:r w:rsidRPr="0019500E">
        <w:t xml:space="preserve"> </w:t>
      </w:r>
      <w:r>
        <w:rPr>
          <w:iCs/>
          <w:lang w:eastAsia="ja-JP"/>
        </w:rPr>
        <w:t>[3]</w:t>
      </w:r>
      <w:r w:rsidRPr="00C17A08">
        <w:rPr>
          <w:iCs/>
          <w:lang w:eastAsia="ja-JP"/>
        </w:rPr>
        <w:t xml:space="preserve"> quality of research guidance</w:t>
      </w:r>
      <w:r>
        <w:t>.</w:t>
      </w:r>
      <w:r w:rsidRPr="001F7223">
        <w:t xml:space="preserve"> </w:t>
      </w:r>
      <w:r w:rsidRPr="001F7223">
        <w:t xml:space="preserve">The total percentage of "very good </w:t>
      </w:r>
      <w:r>
        <w:t>and</w:t>
      </w:r>
      <w:r w:rsidRPr="001F7223">
        <w:t xml:space="preserve"> </w:t>
      </w:r>
      <w:r>
        <w:t xml:space="preserve">rather </w:t>
      </w:r>
      <w:r w:rsidRPr="001F7223">
        <w:t>good" was the highest among the seven aspects at 61%.</w:t>
      </w:r>
      <w:r w:rsidRPr="001F7223">
        <w:rPr>
          <w:lang w:eastAsia="ja-JP"/>
        </w:rPr>
        <w:t xml:space="preserve"> </w:t>
      </w:r>
      <w:r>
        <w:rPr>
          <w:lang w:eastAsia="ja-JP"/>
        </w:rPr>
        <w:t xml:space="preserve">Figure </w:t>
      </w:r>
      <w:r>
        <w:rPr>
          <w:lang w:eastAsia="ja-JP"/>
        </w:rPr>
        <w:t>6</w:t>
      </w:r>
      <w:r>
        <w:rPr>
          <w:lang w:eastAsia="ja-JP"/>
        </w:rPr>
        <w:t xml:space="preserve"> shows the ratio of </w:t>
      </w:r>
      <w:r>
        <w:t>i</w:t>
      </w:r>
      <w:r w:rsidRPr="0019500E">
        <w:t xml:space="preserve">mpression </w:t>
      </w:r>
      <w:r>
        <w:t>about</w:t>
      </w:r>
      <w:r w:rsidRPr="0019500E">
        <w:t xml:space="preserve"> </w:t>
      </w:r>
      <w:r>
        <w:rPr>
          <w:iCs/>
          <w:lang w:eastAsia="ja-JP"/>
        </w:rPr>
        <w:t xml:space="preserve">[6] (public) </w:t>
      </w:r>
      <w:r w:rsidRPr="00C17A08">
        <w:rPr>
          <w:iCs/>
          <w:lang w:eastAsia="ja-JP"/>
        </w:rPr>
        <w:t>financial support</w:t>
      </w:r>
      <w:r>
        <w:t>.</w:t>
      </w:r>
      <w:r w:rsidRPr="001F7223">
        <w:t xml:space="preserve"> The total percentage of "very good </w:t>
      </w:r>
      <w:r>
        <w:t>and</w:t>
      </w:r>
      <w:r w:rsidRPr="001F7223">
        <w:t xml:space="preserve"> </w:t>
      </w:r>
      <w:r>
        <w:t xml:space="preserve">rather </w:t>
      </w:r>
      <w:r w:rsidRPr="001F7223">
        <w:t xml:space="preserve">good" was the </w:t>
      </w:r>
      <w:r>
        <w:t>lowest</w:t>
      </w:r>
      <w:r w:rsidRPr="001F7223">
        <w:t xml:space="preserve"> among the seven aspects at </w:t>
      </w:r>
      <w:r>
        <w:t>32</w:t>
      </w:r>
      <w:r w:rsidRPr="001F7223">
        <w:t>%.</w:t>
      </w:r>
    </w:p>
    <w:p w14:paraId="4DFA590A" w14:textId="2D016D84" w:rsidR="005732F9" w:rsidRDefault="005732F9" w:rsidP="005732F9">
      <w:pPr>
        <w:jc w:val="center"/>
      </w:pPr>
      <w:r>
        <w:lastRenderedPageBreak/>
        <w:t xml:space="preserve">Figure </w:t>
      </w:r>
      <w:r>
        <w:t>5</w:t>
      </w:r>
      <w:r>
        <w:t xml:space="preserve">. </w:t>
      </w:r>
      <w:r w:rsidR="0019500E">
        <w:t>i</w:t>
      </w:r>
      <w:r w:rsidR="0019500E" w:rsidRPr="0019500E">
        <w:t xml:space="preserve">mpression </w:t>
      </w:r>
      <w:r w:rsidR="0019500E">
        <w:t>about</w:t>
      </w:r>
      <w:r w:rsidR="0019500E" w:rsidRPr="0019500E">
        <w:t xml:space="preserve"> the quality of research guidance</w:t>
      </w:r>
    </w:p>
    <w:p w14:paraId="7FB9A36E" w14:textId="1EB686E7" w:rsidR="005732F9" w:rsidRDefault="0019500E" w:rsidP="009728B5">
      <w:pPr>
        <w:jc w:val="both"/>
      </w:pPr>
      <w:r w:rsidRPr="0019500E">
        <w:drawing>
          <wp:inline distT="0" distB="0" distL="0" distR="0" wp14:anchorId="3B66D6D4" wp14:editId="09B98DFD">
            <wp:extent cx="5760085" cy="2364105"/>
            <wp:effectExtent l="0" t="0" r="0" b="0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3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660BF" w14:textId="77777777" w:rsidR="005732F9" w:rsidRDefault="005732F9" w:rsidP="009728B5">
      <w:pPr>
        <w:jc w:val="both"/>
      </w:pPr>
    </w:p>
    <w:p w14:paraId="7C7DC12F" w14:textId="157B9F5F" w:rsidR="005732F9" w:rsidRDefault="005732F9" w:rsidP="0019500E">
      <w:pPr>
        <w:jc w:val="center"/>
      </w:pPr>
      <w:r>
        <w:t xml:space="preserve">Figure </w:t>
      </w:r>
      <w:r>
        <w:t>6</w:t>
      </w:r>
      <w:r>
        <w:t xml:space="preserve">. </w:t>
      </w:r>
      <w:r w:rsidR="0019500E" w:rsidRPr="0019500E">
        <w:t xml:space="preserve">impression about the </w:t>
      </w:r>
      <w:r w:rsidR="0019500E">
        <w:t>public financial support</w:t>
      </w:r>
      <w:r w:rsidR="0019500E" w:rsidRPr="0019500E">
        <w:drawing>
          <wp:inline distT="0" distB="0" distL="0" distR="0" wp14:anchorId="26D209E7" wp14:editId="0AE305CF">
            <wp:extent cx="5760085" cy="2376170"/>
            <wp:effectExtent l="0" t="0" r="0" b="5080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379A5" w14:textId="77777777" w:rsidR="004022F4" w:rsidRDefault="004022F4" w:rsidP="0019500E">
      <w:pPr>
        <w:jc w:val="center"/>
      </w:pPr>
    </w:p>
    <w:p w14:paraId="0FFDBD67" w14:textId="19B1DD96" w:rsidR="00ED7260" w:rsidRDefault="00ED7260" w:rsidP="00ED7260">
      <w:pPr>
        <w:pStyle w:val="3"/>
        <w:jc w:val="both"/>
      </w:pPr>
      <w:r>
        <w:t>2.4</w:t>
      </w:r>
      <w:r w:rsidRPr="00D96243">
        <w:t xml:space="preserve">. </w:t>
      </w:r>
      <w:r>
        <w:t>P</w:t>
      </w:r>
      <w:r w:rsidRPr="00ED7260">
        <w:t>referred Career</w:t>
      </w:r>
      <w:r>
        <w:t xml:space="preserve"> after completing doctoral course</w:t>
      </w:r>
    </w:p>
    <w:p w14:paraId="0272BA87" w14:textId="2D5BAF15" w:rsidR="005171F6" w:rsidRDefault="005171F6" w:rsidP="005171F6">
      <w:pPr>
        <w:jc w:val="both"/>
        <w:rPr>
          <w:lang w:eastAsia="ja-JP"/>
        </w:rPr>
      </w:pPr>
      <w:r>
        <w:rPr>
          <w:lang w:eastAsia="ja-JP"/>
        </w:rPr>
        <w:t xml:space="preserve">Figure </w:t>
      </w:r>
      <w:r>
        <w:rPr>
          <w:lang w:eastAsia="ja-JP"/>
        </w:rPr>
        <w:t>7</w:t>
      </w:r>
      <w:r>
        <w:rPr>
          <w:lang w:eastAsia="ja-JP"/>
        </w:rPr>
        <w:t xml:space="preserve"> shows </w:t>
      </w:r>
      <w:r w:rsidRPr="005171F6">
        <w:rPr>
          <w:lang w:eastAsia="ja-JP"/>
        </w:rPr>
        <w:t>preferred working sector/professional job after completing doctoral course</w:t>
      </w:r>
      <w:r>
        <w:rPr>
          <w:lang w:eastAsia="ja-JP"/>
        </w:rPr>
        <w:t xml:space="preserve">. The ratio of “University / Education” is highest in each research field. </w:t>
      </w:r>
      <w:r w:rsidRPr="005171F6">
        <w:rPr>
          <w:lang w:eastAsia="ja-JP"/>
        </w:rPr>
        <w:t xml:space="preserve">However, there are significant differences among research </w:t>
      </w:r>
      <w:r>
        <w:rPr>
          <w:lang w:eastAsia="ja-JP"/>
        </w:rPr>
        <w:t>field</w:t>
      </w:r>
      <w:r w:rsidRPr="005171F6">
        <w:rPr>
          <w:lang w:eastAsia="ja-JP"/>
        </w:rPr>
        <w:t xml:space="preserve"> with respect to percentages.</w:t>
      </w:r>
    </w:p>
    <w:p w14:paraId="58D4814C" w14:textId="77777777" w:rsidR="00E03487" w:rsidRPr="005171F6" w:rsidRDefault="00E03487">
      <w:pPr>
        <w:jc w:val="both"/>
      </w:pPr>
    </w:p>
    <w:p w14:paraId="50CB414C" w14:textId="5B43E0AA" w:rsidR="005732F9" w:rsidRDefault="005732F9" w:rsidP="005732F9">
      <w:pPr>
        <w:jc w:val="center"/>
      </w:pPr>
      <w:r>
        <w:t xml:space="preserve">Figure </w:t>
      </w:r>
      <w:r w:rsidR="000E5D26">
        <w:t>7</w:t>
      </w:r>
      <w:r>
        <w:t xml:space="preserve">. </w:t>
      </w:r>
      <w:r w:rsidR="0019500E">
        <w:t>p</w:t>
      </w:r>
      <w:r w:rsidR="0019500E" w:rsidRPr="0019500E">
        <w:t xml:space="preserve">referred </w:t>
      </w:r>
      <w:r w:rsidR="0019500E">
        <w:t xml:space="preserve">working sector/professional job </w:t>
      </w:r>
      <w:r w:rsidR="0019500E" w:rsidRPr="0019500E">
        <w:t>after completing doctoral course</w:t>
      </w:r>
    </w:p>
    <w:p w14:paraId="49675DC9" w14:textId="36543D60" w:rsidR="00ED7260" w:rsidRDefault="0019500E">
      <w:pPr>
        <w:jc w:val="both"/>
      </w:pPr>
      <w:r>
        <w:rPr>
          <w:noProof/>
        </w:rPr>
        <w:drawing>
          <wp:inline distT="0" distB="0" distL="0" distR="0" wp14:anchorId="07F2D178" wp14:editId="58C36C15">
            <wp:extent cx="5760000" cy="2214000"/>
            <wp:effectExtent l="0" t="0" r="0" b="0"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2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4CFE2" w14:textId="77777777" w:rsidR="005732F9" w:rsidRDefault="005732F9">
      <w:pPr>
        <w:jc w:val="both"/>
      </w:pPr>
    </w:p>
    <w:p w14:paraId="16DDEFAC" w14:textId="263CEBF1" w:rsidR="005171F6" w:rsidRDefault="005171F6">
      <w:pPr>
        <w:jc w:val="both"/>
        <w:rPr>
          <w:lang w:eastAsia="ja-JP"/>
        </w:rPr>
      </w:pPr>
      <w:r>
        <w:rPr>
          <w:lang w:eastAsia="ja-JP"/>
        </w:rPr>
        <w:lastRenderedPageBreak/>
        <w:t xml:space="preserve">Figure </w:t>
      </w:r>
      <w:r>
        <w:rPr>
          <w:lang w:eastAsia="ja-JP"/>
        </w:rPr>
        <w:t>8</w:t>
      </w:r>
      <w:r>
        <w:rPr>
          <w:lang w:eastAsia="ja-JP"/>
        </w:rPr>
        <w:t xml:space="preserve"> shows</w:t>
      </w:r>
      <w:r w:rsidRPr="005171F6">
        <w:t xml:space="preserve"> </w:t>
      </w:r>
      <w:r w:rsidRPr="005171F6">
        <w:rPr>
          <w:lang w:eastAsia="ja-JP"/>
        </w:rPr>
        <w:t>preference for educational/research positions after completing doctoral course</w:t>
      </w:r>
      <w:r>
        <w:rPr>
          <w:lang w:eastAsia="ja-JP"/>
        </w:rPr>
        <w:t>. The ratio</w:t>
      </w:r>
      <w:r w:rsidR="00D232E6">
        <w:rPr>
          <w:lang w:eastAsia="ja-JP"/>
        </w:rPr>
        <w:t xml:space="preserve">s also have </w:t>
      </w:r>
      <w:r w:rsidR="00D232E6" w:rsidRPr="00D232E6">
        <w:rPr>
          <w:lang w:eastAsia="ja-JP"/>
        </w:rPr>
        <w:t>significant differences among research.</w:t>
      </w:r>
      <w:r w:rsidR="00D232E6">
        <w:rPr>
          <w:lang w:eastAsia="ja-JP"/>
        </w:rPr>
        <w:t xml:space="preserve"> The ratios of </w:t>
      </w:r>
      <w:r w:rsidR="00D232E6" w:rsidRPr="00D232E6">
        <w:rPr>
          <w:lang w:eastAsia="ja-JP"/>
        </w:rPr>
        <w:t>preference for educational/research positions</w:t>
      </w:r>
      <w:r w:rsidR="00D232E6">
        <w:rPr>
          <w:lang w:eastAsia="ja-JP"/>
        </w:rPr>
        <w:t xml:space="preserve"> are relatively higher in “Humanities”, “Social Sciences”, and “Education”.</w:t>
      </w:r>
    </w:p>
    <w:p w14:paraId="69393AE4" w14:textId="77777777" w:rsidR="00D232E6" w:rsidRPr="005171F6" w:rsidRDefault="00D232E6">
      <w:pPr>
        <w:jc w:val="both"/>
      </w:pPr>
    </w:p>
    <w:p w14:paraId="2AFFD5BF" w14:textId="6C4E97C4" w:rsidR="00ED7260" w:rsidRDefault="0019500E">
      <w:r>
        <w:rPr>
          <w:noProof/>
        </w:rPr>
        <w:drawing>
          <wp:inline distT="0" distB="0" distL="0" distR="0" wp14:anchorId="568C60BA" wp14:editId="737082C5">
            <wp:extent cx="5760000" cy="2408040"/>
            <wp:effectExtent l="0" t="0" r="0" b="0"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40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6A4A5" w14:textId="77777777" w:rsidR="004022F4" w:rsidRDefault="004022F4"/>
    <w:p w14:paraId="07B32769" w14:textId="71C28087" w:rsidR="00D232E6" w:rsidRDefault="00D232E6" w:rsidP="00D232E6">
      <w:pPr>
        <w:pStyle w:val="2"/>
        <w:jc w:val="both"/>
      </w:pPr>
      <w:r>
        <w:t>3</w:t>
      </w:r>
      <w:r w:rsidRPr="00D96243">
        <w:t>.</w:t>
      </w:r>
      <w:r>
        <w:t>Concluding Remarks</w:t>
      </w:r>
    </w:p>
    <w:p w14:paraId="084D9561" w14:textId="46DEB20B" w:rsidR="00D232E6" w:rsidRDefault="00D232E6" w:rsidP="00D232E6">
      <w:pPr>
        <w:jc w:val="both"/>
        <w:rPr>
          <w:lang w:eastAsia="ja-JP"/>
        </w:rPr>
      </w:pPr>
      <w:r>
        <w:rPr>
          <w:lang w:eastAsia="ja-JP"/>
        </w:rPr>
        <w:t xml:space="preserve">In this paper, I have shown simple results of </w:t>
      </w:r>
      <w:r w:rsidRPr="00D232E6">
        <w:rPr>
          <w:lang w:eastAsia="ja-JP"/>
        </w:rPr>
        <w:t>"Survey on Career Awareness and Financial Assistance to 1st year of Doctoral Students"</w:t>
      </w:r>
      <w:r>
        <w:rPr>
          <w:lang w:eastAsia="ja-JP"/>
        </w:rPr>
        <w:t xml:space="preserve"> by large research fields. NISTEP analyse the survey data by groups of universities in Japan, and detailed research fields. NISTEP will analyse relationship between “research environment and c</w:t>
      </w:r>
      <w:r w:rsidRPr="00D232E6">
        <w:rPr>
          <w:lang w:eastAsia="ja-JP"/>
        </w:rPr>
        <w:t xml:space="preserve">areer </w:t>
      </w:r>
      <w:r>
        <w:rPr>
          <w:lang w:eastAsia="ja-JP"/>
        </w:rPr>
        <w:t>a</w:t>
      </w:r>
      <w:r w:rsidRPr="00D232E6">
        <w:rPr>
          <w:lang w:eastAsia="ja-JP"/>
        </w:rPr>
        <w:t>wareness</w:t>
      </w:r>
      <w:r>
        <w:rPr>
          <w:lang w:eastAsia="ja-JP"/>
        </w:rPr>
        <w:t xml:space="preserve"> in </w:t>
      </w:r>
      <w:r w:rsidRPr="00D232E6">
        <w:rPr>
          <w:lang w:eastAsia="ja-JP"/>
        </w:rPr>
        <w:t xml:space="preserve">1st year of </w:t>
      </w:r>
      <w:r>
        <w:rPr>
          <w:lang w:eastAsia="ja-JP"/>
        </w:rPr>
        <w:t>d</w:t>
      </w:r>
      <w:r w:rsidRPr="00D232E6">
        <w:rPr>
          <w:lang w:eastAsia="ja-JP"/>
        </w:rPr>
        <w:t xml:space="preserve">octoral </w:t>
      </w:r>
      <w:r>
        <w:rPr>
          <w:lang w:eastAsia="ja-JP"/>
        </w:rPr>
        <w:t>s</w:t>
      </w:r>
      <w:r w:rsidRPr="00D232E6">
        <w:rPr>
          <w:lang w:eastAsia="ja-JP"/>
        </w:rPr>
        <w:t>tudents</w:t>
      </w:r>
      <w:r>
        <w:rPr>
          <w:lang w:eastAsia="ja-JP"/>
        </w:rPr>
        <w:t>” and “career paths after completing doctoral course”</w:t>
      </w:r>
      <w:r w:rsidR="004022F4">
        <w:rPr>
          <w:lang w:eastAsia="ja-JP"/>
        </w:rPr>
        <w:t xml:space="preserve"> in the future.</w:t>
      </w:r>
    </w:p>
    <w:p w14:paraId="736A8379" w14:textId="77777777" w:rsidR="00D232E6" w:rsidRDefault="00D232E6" w:rsidP="00D232E6">
      <w:pPr>
        <w:jc w:val="both"/>
        <w:rPr>
          <w:lang w:eastAsia="ja-JP"/>
        </w:rPr>
      </w:pPr>
    </w:p>
    <w:p w14:paraId="1A51C6DF" w14:textId="77777777" w:rsidR="004022F4" w:rsidRDefault="004022F4" w:rsidP="00D232E6">
      <w:pPr>
        <w:jc w:val="both"/>
        <w:rPr>
          <w:rFonts w:hint="eastAsia"/>
          <w:lang w:eastAsia="ja-JP"/>
        </w:rPr>
      </w:pPr>
    </w:p>
    <w:p w14:paraId="153897FF" w14:textId="77777777" w:rsidR="008168F4" w:rsidRDefault="008168F4">
      <w:pPr>
        <w:jc w:val="both"/>
        <w:rPr>
          <w:b/>
          <w:bCs/>
        </w:rPr>
      </w:pPr>
      <w:r>
        <w:rPr>
          <w:b/>
          <w:bCs/>
        </w:rPr>
        <w:t>References</w:t>
      </w:r>
    </w:p>
    <w:p w14:paraId="3151146C" w14:textId="77777777" w:rsidR="00C3113F" w:rsidRDefault="00C3113F" w:rsidP="00B868DF">
      <w:pPr>
        <w:jc w:val="both"/>
      </w:pPr>
    </w:p>
    <w:p w14:paraId="7FC6CC9D" w14:textId="312EC673" w:rsidR="009956D3" w:rsidRPr="004022F4" w:rsidRDefault="009956D3" w:rsidP="00B868DF">
      <w:pPr>
        <w:jc w:val="both"/>
      </w:pPr>
      <w:r w:rsidRPr="004022F4">
        <w:t xml:space="preserve">Auriol, L., </w:t>
      </w:r>
      <w:proofErr w:type="spellStart"/>
      <w:r w:rsidRPr="004022F4">
        <w:t>Misu</w:t>
      </w:r>
      <w:proofErr w:type="spellEnd"/>
      <w:r w:rsidRPr="004022F4">
        <w:t>, M., &amp; Freeman, R. A. (2013). Careers of doctorate holders: Analysis of labour market and mobility indicators.</w:t>
      </w:r>
      <w:r w:rsidRPr="004022F4">
        <w:t xml:space="preserve"> </w:t>
      </w:r>
      <w:hyperlink r:id="rId18" w:history="1">
        <w:r w:rsidRPr="004022F4">
          <w:rPr>
            <w:rStyle w:val="a3"/>
          </w:rPr>
          <w:t>https://www.oecd-ilibrary.org/content/paper/5k43nxgs289w-en</w:t>
        </w:r>
      </w:hyperlink>
    </w:p>
    <w:p w14:paraId="6C83282B" w14:textId="77777777" w:rsidR="009956D3" w:rsidRPr="004022F4" w:rsidRDefault="009956D3" w:rsidP="00B868DF">
      <w:pPr>
        <w:jc w:val="both"/>
      </w:pPr>
    </w:p>
    <w:p w14:paraId="54BEFD4F" w14:textId="50FEB61C" w:rsidR="009956D3" w:rsidRPr="004022F4" w:rsidRDefault="00E4211C" w:rsidP="00B868DF">
      <w:pPr>
        <w:jc w:val="both"/>
        <w:rPr>
          <w:color w:val="222222"/>
          <w:shd w:val="clear" w:color="auto" w:fill="FFFFFF"/>
        </w:rPr>
      </w:pPr>
      <w:r w:rsidRPr="004022F4">
        <w:rPr>
          <w:color w:val="222222"/>
          <w:shd w:val="clear" w:color="auto" w:fill="FFFFFF"/>
        </w:rPr>
        <w:t xml:space="preserve">Hancock, S. E., </w:t>
      </w:r>
      <w:proofErr w:type="spellStart"/>
      <w:r w:rsidRPr="004022F4">
        <w:rPr>
          <w:color w:val="222222"/>
          <w:shd w:val="clear" w:color="auto" w:fill="FFFFFF"/>
        </w:rPr>
        <w:t>Wakeling</w:t>
      </w:r>
      <w:proofErr w:type="spellEnd"/>
      <w:r w:rsidRPr="004022F4">
        <w:rPr>
          <w:color w:val="222222"/>
          <w:shd w:val="clear" w:color="auto" w:fill="FFFFFF"/>
        </w:rPr>
        <w:t>, P. B. J., &amp; Chubb, J. A. (2019). "21st Century PhDs: Why we need better methods of tracking doctoral access, experiences and outcomes." (</w:t>
      </w:r>
      <w:proofErr w:type="spellStart"/>
      <w:r w:rsidRPr="004022F4">
        <w:rPr>
          <w:color w:val="222222"/>
          <w:shd w:val="clear" w:color="auto" w:fill="FFFFFF"/>
        </w:rPr>
        <w:t>RoRI</w:t>
      </w:r>
      <w:proofErr w:type="spellEnd"/>
      <w:r w:rsidRPr="004022F4">
        <w:rPr>
          <w:color w:val="222222"/>
          <w:shd w:val="clear" w:color="auto" w:fill="FFFFFF"/>
        </w:rPr>
        <w:t xml:space="preserve"> Working Paper No.2). Research on Research Institute. Report. </w:t>
      </w:r>
      <w:hyperlink r:id="rId19" w:history="1">
        <w:r w:rsidRPr="004022F4">
          <w:rPr>
            <w:rStyle w:val="a3"/>
            <w:shd w:val="clear" w:color="auto" w:fill="FFFFFF"/>
          </w:rPr>
          <w:t>https://doi.org/10.6084/m9.figshare.9917813.v3</w:t>
        </w:r>
      </w:hyperlink>
    </w:p>
    <w:p w14:paraId="7AD4FDD6" w14:textId="77777777" w:rsidR="00E4211C" w:rsidRPr="004022F4" w:rsidRDefault="00E4211C" w:rsidP="00B868DF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097C949F" w14:textId="7D7F4A9D" w:rsidR="001F15B0" w:rsidRPr="004022F4" w:rsidRDefault="001F15B0" w:rsidP="00B868DF">
      <w:pPr>
        <w:jc w:val="both"/>
        <w:rPr>
          <w:color w:val="222222"/>
          <w:shd w:val="clear" w:color="auto" w:fill="FFFFFF"/>
        </w:rPr>
      </w:pPr>
      <w:r w:rsidRPr="004022F4">
        <w:rPr>
          <w:color w:val="222222"/>
          <w:shd w:val="clear" w:color="auto" w:fill="FFFFFF"/>
        </w:rPr>
        <w:t>Hancock, S. (2021). What is known about doctoral employment? Reflections from a UK study and directions for future research. Journal of Higher Education Policy and Management, 43(5), 520-536.</w:t>
      </w:r>
    </w:p>
    <w:p w14:paraId="60A22689" w14:textId="2910D7F5" w:rsidR="001F15B0" w:rsidRPr="004022F4" w:rsidRDefault="001F15B0" w:rsidP="00B868DF">
      <w:pPr>
        <w:jc w:val="both"/>
        <w:rPr>
          <w:color w:val="222222"/>
          <w:shd w:val="clear" w:color="auto" w:fill="FFFFFF"/>
        </w:rPr>
      </w:pPr>
      <w:hyperlink r:id="rId20" w:history="1">
        <w:r w:rsidRPr="004022F4">
          <w:rPr>
            <w:rStyle w:val="a3"/>
            <w:shd w:val="clear" w:color="auto" w:fill="FFFFFF"/>
          </w:rPr>
          <w:t>https://doi.org/10.1080/1360080X.2020.1870027</w:t>
        </w:r>
      </w:hyperlink>
    </w:p>
    <w:p w14:paraId="03EA0727" w14:textId="77777777" w:rsidR="001F15B0" w:rsidRPr="004022F4" w:rsidRDefault="001F15B0" w:rsidP="00B868DF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1A59DDBE" w14:textId="18B3070C" w:rsidR="00C3113F" w:rsidRPr="004022F4" w:rsidRDefault="00C3113F" w:rsidP="00B868DF">
      <w:pPr>
        <w:jc w:val="both"/>
        <w:rPr>
          <w:lang w:eastAsia="ja-JP"/>
        </w:rPr>
      </w:pPr>
      <w:proofErr w:type="spellStart"/>
      <w:r w:rsidRPr="004022F4">
        <w:t>Opsomer</w:t>
      </w:r>
      <w:proofErr w:type="spellEnd"/>
      <w:r w:rsidRPr="004022F4">
        <w:t xml:space="preserve"> J, Chen A, Chang W-Y, and Lan F</w:t>
      </w:r>
      <w:r w:rsidRPr="004022F4">
        <w:t xml:space="preserve"> </w:t>
      </w:r>
      <w:r w:rsidRPr="004022F4">
        <w:rPr>
          <w:rFonts w:hint="eastAsia"/>
          <w:lang w:eastAsia="ja-JP"/>
        </w:rPr>
        <w:t>(</w:t>
      </w:r>
      <w:r w:rsidRPr="004022F4">
        <w:rPr>
          <w:lang w:eastAsia="ja-JP"/>
        </w:rPr>
        <w:t>2023</w:t>
      </w:r>
      <w:r w:rsidRPr="004022F4">
        <w:rPr>
          <w:rFonts w:hint="eastAsia"/>
          <w:lang w:eastAsia="ja-JP"/>
        </w:rPr>
        <w:t>)</w:t>
      </w:r>
      <w:r w:rsidRPr="004022F4">
        <w:rPr>
          <w:lang w:eastAsia="ja-JP"/>
        </w:rPr>
        <w:t xml:space="preserve"> “</w:t>
      </w:r>
      <w:r w:rsidRPr="004022F4">
        <w:rPr>
          <w:lang w:eastAsia="ja-JP"/>
        </w:rPr>
        <w:t>U.S. Residing Doctoral Scientists and Engineers Report Modest Professional Impacts from the Coronavirus Pandemic: Findings from the 2021 Survey of Doctorate Recipients.</w:t>
      </w:r>
      <w:r w:rsidRPr="004022F4">
        <w:rPr>
          <w:lang w:eastAsia="ja-JP"/>
        </w:rPr>
        <w:t xml:space="preserve">” </w:t>
      </w:r>
      <w:r w:rsidRPr="004022F4">
        <w:rPr>
          <w:lang w:eastAsia="ja-JP"/>
        </w:rPr>
        <w:t xml:space="preserve">NSF 23-318. Alexandria, VA: National Science Foundation. </w:t>
      </w:r>
      <w:hyperlink r:id="rId21" w:history="1">
        <w:r w:rsidRPr="004022F4">
          <w:rPr>
            <w:rStyle w:val="a3"/>
            <w:lang w:eastAsia="ja-JP"/>
          </w:rPr>
          <w:t>https://ncses.nsf.gov/pu</w:t>
        </w:r>
        <w:r w:rsidRPr="004022F4">
          <w:rPr>
            <w:rStyle w:val="a3"/>
            <w:lang w:eastAsia="ja-JP"/>
          </w:rPr>
          <w:t>b</w:t>
        </w:r>
        <w:r w:rsidRPr="004022F4">
          <w:rPr>
            <w:rStyle w:val="a3"/>
            <w:lang w:eastAsia="ja-JP"/>
          </w:rPr>
          <w:t>s/ns</w:t>
        </w:r>
        <w:r w:rsidRPr="004022F4">
          <w:rPr>
            <w:rStyle w:val="a3"/>
            <w:lang w:eastAsia="ja-JP"/>
          </w:rPr>
          <w:t>f</w:t>
        </w:r>
        <w:r w:rsidRPr="004022F4">
          <w:rPr>
            <w:rStyle w:val="a3"/>
            <w:lang w:eastAsia="ja-JP"/>
          </w:rPr>
          <w:t>23318</w:t>
        </w:r>
      </w:hyperlink>
    </w:p>
    <w:p w14:paraId="71F95026" w14:textId="77777777" w:rsidR="00C3113F" w:rsidRDefault="00C3113F" w:rsidP="00B868DF">
      <w:pPr>
        <w:jc w:val="both"/>
      </w:pPr>
    </w:p>
    <w:sectPr w:rsidR="00C3113F" w:rsidSect="00E33403">
      <w:pgSz w:w="11907" w:h="16839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E354B" w14:textId="77777777" w:rsidR="003805A9" w:rsidRDefault="003805A9">
      <w:r>
        <w:separator/>
      </w:r>
    </w:p>
  </w:endnote>
  <w:endnote w:type="continuationSeparator" w:id="0">
    <w:p w14:paraId="61ABEF97" w14:textId="77777777" w:rsidR="003805A9" w:rsidRDefault="0038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5D1A7" w14:textId="77777777" w:rsidR="003805A9" w:rsidRDefault="003805A9">
      <w:r>
        <w:separator/>
      </w:r>
    </w:p>
  </w:footnote>
  <w:footnote w:type="continuationSeparator" w:id="0">
    <w:p w14:paraId="75B70204" w14:textId="77777777" w:rsidR="003805A9" w:rsidRDefault="003805A9">
      <w:r>
        <w:continuationSeparator/>
      </w:r>
    </w:p>
  </w:footnote>
  <w:footnote w:id="1">
    <w:p w14:paraId="03C8961E" w14:textId="77777777" w:rsidR="00A8272D" w:rsidRPr="00543358" w:rsidRDefault="00A8272D" w:rsidP="00A8272D">
      <w:pPr>
        <w:pStyle w:val="a6"/>
        <w:rPr>
          <w:rFonts w:hint="eastAsia"/>
          <w:lang w:eastAsia="ja-JP"/>
        </w:rPr>
      </w:pPr>
      <w:r>
        <w:rPr>
          <w:rStyle w:val="a8"/>
        </w:rPr>
        <w:footnoteRef/>
      </w:r>
      <w:r>
        <w:t xml:space="preserve"> </w:t>
      </w:r>
      <w:r w:rsidRPr="00543358">
        <w:t>JD-Pro (Japan Doctoral Human Resource Profiling)</w:t>
      </w:r>
      <w:r>
        <w:t xml:space="preserve"> </w:t>
      </w:r>
      <w:hyperlink r:id="rId1" w:history="1">
        <w:r w:rsidRPr="00015EA6">
          <w:rPr>
            <w:rStyle w:val="a3"/>
          </w:rPr>
          <w:t>https://www.nistep.go.jp/jdpro/en/</w:t>
        </w:r>
      </w:hyperlink>
    </w:p>
  </w:footnote>
  <w:footnote w:id="2">
    <w:p w14:paraId="4133A104" w14:textId="77777777" w:rsidR="00A8272D" w:rsidRPr="00543358" w:rsidRDefault="00A8272D" w:rsidP="00A8272D">
      <w:pPr>
        <w:pStyle w:val="a6"/>
        <w:rPr>
          <w:rFonts w:hint="eastAsia"/>
          <w:lang w:eastAsia="ja-JP"/>
        </w:rPr>
      </w:pPr>
      <w:r>
        <w:rPr>
          <w:rStyle w:val="a8"/>
        </w:rPr>
        <w:footnoteRef/>
      </w:r>
      <w:r>
        <w:t xml:space="preserve"> </w:t>
      </w:r>
      <w:r w:rsidRPr="00543358">
        <w:t>JGRAD (Japan Graduates Database)</w:t>
      </w:r>
      <w:r>
        <w:t xml:space="preserve"> </w:t>
      </w:r>
      <w:hyperlink r:id="rId2" w:history="1">
        <w:r w:rsidRPr="00015EA6">
          <w:rPr>
            <w:rStyle w:val="a3"/>
          </w:rPr>
          <w:t>https://jgrad.nistep.go.jp/home_e.html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B67C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3C1035"/>
    <w:multiLevelType w:val="hybridMultilevel"/>
    <w:tmpl w:val="A8E862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148299">
    <w:abstractNumId w:val="1"/>
  </w:num>
  <w:num w:numId="2" w16cid:durableId="1776366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attachedTemplate r:id="rId1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6AC"/>
    <w:rsid w:val="0000194C"/>
    <w:rsid w:val="0000519E"/>
    <w:rsid w:val="00015A7B"/>
    <w:rsid w:val="00016081"/>
    <w:rsid w:val="000224AE"/>
    <w:rsid w:val="00022F49"/>
    <w:rsid w:val="000478D3"/>
    <w:rsid w:val="00052E3A"/>
    <w:rsid w:val="0005460D"/>
    <w:rsid w:val="00065B74"/>
    <w:rsid w:val="00066FBE"/>
    <w:rsid w:val="00077816"/>
    <w:rsid w:val="00081D4D"/>
    <w:rsid w:val="00093969"/>
    <w:rsid w:val="00094E04"/>
    <w:rsid w:val="000A0333"/>
    <w:rsid w:val="000A2344"/>
    <w:rsid w:val="000A4A9F"/>
    <w:rsid w:val="000B257D"/>
    <w:rsid w:val="000B323A"/>
    <w:rsid w:val="000C0E34"/>
    <w:rsid w:val="000C1967"/>
    <w:rsid w:val="000C25AF"/>
    <w:rsid w:val="000D460F"/>
    <w:rsid w:val="000E5D26"/>
    <w:rsid w:val="000F6691"/>
    <w:rsid w:val="00105061"/>
    <w:rsid w:val="00105A1D"/>
    <w:rsid w:val="00112B73"/>
    <w:rsid w:val="001138CA"/>
    <w:rsid w:val="001402B3"/>
    <w:rsid w:val="00157749"/>
    <w:rsid w:val="00161230"/>
    <w:rsid w:val="00173EAD"/>
    <w:rsid w:val="00175488"/>
    <w:rsid w:val="00186CF6"/>
    <w:rsid w:val="0019500E"/>
    <w:rsid w:val="001B7B07"/>
    <w:rsid w:val="001D7CC8"/>
    <w:rsid w:val="001E568F"/>
    <w:rsid w:val="001F15B0"/>
    <w:rsid w:val="001F332D"/>
    <w:rsid w:val="001F7223"/>
    <w:rsid w:val="001F7644"/>
    <w:rsid w:val="0020033E"/>
    <w:rsid w:val="00202745"/>
    <w:rsid w:val="002127DC"/>
    <w:rsid w:val="0022290C"/>
    <w:rsid w:val="002570BB"/>
    <w:rsid w:val="00264F48"/>
    <w:rsid w:val="00276CC7"/>
    <w:rsid w:val="00281AF3"/>
    <w:rsid w:val="0028410F"/>
    <w:rsid w:val="0029109C"/>
    <w:rsid w:val="00291BD4"/>
    <w:rsid w:val="0029211E"/>
    <w:rsid w:val="00293DA3"/>
    <w:rsid w:val="002943CA"/>
    <w:rsid w:val="002B1950"/>
    <w:rsid w:val="002C0FA2"/>
    <w:rsid w:val="002C342A"/>
    <w:rsid w:val="002D1B17"/>
    <w:rsid w:val="002D33F7"/>
    <w:rsid w:val="002D3BE4"/>
    <w:rsid w:val="002D710E"/>
    <w:rsid w:val="002E7904"/>
    <w:rsid w:val="002F243C"/>
    <w:rsid w:val="00310C0B"/>
    <w:rsid w:val="0031202E"/>
    <w:rsid w:val="003124AD"/>
    <w:rsid w:val="003127D0"/>
    <w:rsid w:val="00320C5D"/>
    <w:rsid w:val="00345E92"/>
    <w:rsid w:val="00346A57"/>
    <w:rsid w:val="00351AF2"/>
    <w:rsid w:val="0035307C"/>
    <w:rsid w:val="00370126"/>
    <w:rsid w:val="00371ACD"/>
    <w:rsid w:val="003805A9"/>
    <w:rsid w:val="00383A87"/>
    <w:rsid w:val="00387850"/>
    <w:rsid w:val="00390253"/>
    <w:rsid w:val="003960AE"/>
    <w:rsid w:val="003B6383"/>
    <w:rsid w:val="003B7CAA"/>
    <w:rsid w:val="003C30AF"/>
    <w:rsid w:val="003C4345"/>
    <w:rsid w:val="003C52AF"/>
    <w:rsid w:val="003C5313"/>
    <w:rsid w:val="003C6EF5"/>
    <w:rsid w:val="003C76AF"/>
    <w:rsid w:val="003D1C80"/>
    <w:rsid w:val="003D32CB"/>
    <w:rsid w:val="004022F4"/>
    <w:rsid w:val="00402C81"/>
    <w:rsid w:val="004057FC"/>
    <w:rsid w:val="004067D1"/>
    <w:rsid w:val="00420106"/>
    <w:rsid w:val="00430FC6"/>
    <w:rsid w:val="0044073E"/>
    <w:rsid w:val="00442966"/>
    <w:rsid w:val="00445337"/>
    <w:rsid w:val="00445A23"/>
    <w:rsid w:val="00451AA5"/>
    <w:rsid w:val="0045560F"/>
    <w:rsid w:val="004725C8"/>
    <w:rsid w:val="00475931"/>
    <w:rsid w:val="004911E7"/>
    <w:rsid w:val="004971AB"/>
    <w:rsid w:val="004C213B"/>
    <w:rsid w:val="004C5E05"/>
    <w:rsid w:val="004D4532"/>
    <w:rsid w:val="004E212B"/>
    <w:rsid w:val="004E56AC"/>
    <w:rsid w:val="004E6B88"/>
    <w:rsid w:val="005110DD"/>
    <w:rsid w:val="005170CD"/>
    <w:rsid w:val="005171F6"/>
    <w:rsid w:val="005172F9"/>
    <w:rsid w:val="00517FCF"/>
    <w:rsid w:val="00522BF8"/>
    <w:rsid w:val="0053603D"/>
    <w:rsid w:val="0054026B"/>
    <w:rsid w:val="00542798"/>
    <w:rsid w:val="00543358"/>
    <w:rsid w:val="0054666D"/>
    <w:rsid w:val="00554E8F"/>
    <w:rsid w:val="00570E3F"/>
    <w:rsid w:val="00572E3E"/>
    <w:rsid w:val="005732F9"/>
    <w:rsid w:val="005736CB"/>
    <w:rsid w:val="0057717C"/>
    <w:rsid w:val="0058753E"/>
    <w:rsid w:val="00595181"/>
    <w:rsid w:val="00595AC4"/>
    <w:rsid w:val="00596F60"/>
    <w:rsid w:val="005A1BF2"/>
    <w:rsid w:val="005B3511"/>
    <w:rsid w:val="005C6A9C"/>
    <w:rsid w:val="005D3F56"/>
    <w:rsid w:val="00606575"/>
    <w:rsid w:val="00614ED0"/>
    <w:rsid w:val="0063363B"/>
    <w:rsid w:val="00646543"/>
    <w:rsid w:val="00647A0B"/>
    <w:rsid w:val="006510F8"/>
    <w:rsid w:val="006513C3"/>
    <w:rsid w:val="00653B5C"/>
    <w:rsid w:val="006609A8"/>
    <w:rsid w:val="00660C0C"/>
    <w:rsid w:val="0066157A"/>
    <w:rsid w:val="00662AF1"/>
    <w:rsid w:val="00663AC3"/>
    <w:rsid w:val="00681AAA"/>
    <w:rsid w:val="00684B8B"/>
    <w:rsid w:val="006A3370"/>
    <w:rsid w:val="006C40B1"/>
    <w:rsid w:val="006D14F4"/>
    <w:rsid w:val="006E3FD1"/>
    <w:rsid w:val="006E7E5A"/>
    <w:rsid w:val="006F487B"/>
    <w:rsid w:val="007042BB"/>
    <w:rsid w:val="007053E7"/>
    <w:rsid w:val="007155F7"/>
    <w:rsid w:val="007175AE"/>
    <w:rsid w:val="007228AC"/>
    <w:rsid w:val="0073347A"/>
    <w:rsid w:val="00737C87"/>
    <w:rsid w:val="0074177C"/>
    <w:rsid w:val="007625EF"/>
    <w:rsid w:val="00762864"/>
    <w:rsid w:val="0076587B"/>
    <w:rsid w:val="007713C3"/>
    <w:rsid w:val="0077796D"/>
    <w:rsid w:val="00780EC7"/>
    <w:rsid w:val="0078754B"/>
    <w:rsid w:val="007A42E7"/>
    <w:rsid w:val="007A59E1"/>
    <w:rsid w:val="007C30D8"/>
    <w:rsid w:val="007D2A59"/>
    <w:rsid w:val="007E09CE"/>
    <w:rsid w:val="007E24E0"/>
    <w:rsid w:val="007F3BBB"/>
    <w:rsid w:val="007F57FB"/>
    <w:rsid w:val="00800369"/>
    <w:rsid w:val="00810FA5"/>
    <w:rsid w:val="00813E5C"/>
    <w:rsid w:val="008168F4"/>
    <w:rsid w:val="00823AF0"/>
    <w:rsid w:val="00835B6B"/>
    <w:rsid w:val="00852334"/>
    <w:rsid w:val="008618F8"/>
    <w:rsid w:val="00870B16"/>
    <w:rsid w:val="008C2573"/>
    <w:rsid w:val="008C52D4"/>
    <w:rsid w:val="008D49E0"/>
    <w:rsid w:val="008E061D"/>
    <w:rsid w:val="008E3F52"/>
    <w:rsid w:val="008E5795"/>
    <w:rsid w:val="008E6E34"/>
    <w:rsid w:val="008F1E72"/>
    <w:rsid w:val="008F2C66"/>
    <w:rsid w:val="008F6633"/>
    <w:rsid w:val="008F783D"/>
    <w:rsid w:val="00915294"/>
    <w:rsid w:val="00927ECF"/>
    <w:rsid w:val="009302E1"/>
    <w:rsid w:val="0093532C"/>
    <w:rsid w:val="009501DD"/>
    <w:rsid w:val="00953BA1"/>
    <w:rsid w:val="00962921"/>
    <w:rsid w:val="009728B5"/>
    <w:rsid w:val="009737E3"/>
    <w:rsid w:val="00994680"/>
    <w:rsid w:val="009956D3"/>
    <w:rsid w:val="009A1E7B"/>
    <w:rsid w:val="009B4EA8"/>
    <w:rsid w:val="009D026B"/>
    <w:rsid w:val="009E23BF"/>
    <w:rsid w:val="009F2359"/>
    <w:rsid w:val="00A22AC2"/>
    <w:rsid w:val="00A40DD3"/>
    <w:rsid w:val="00A4362D"/>
    <w:rsid w:val="00A71714"/>
    <w:rsid w:val="00A8272D"/>
    <w:rsid w:val="00A96B02"/>
    <w:rsid w:val="00AA1481"/>
    <w:rsid w:val="00AB2736"/>
    <w:rsid w:val="00AC140C"/>
    <w:rsid w:val="00AD2309"/>
    <w:rsid w:val="00AD3532"/>
    <w:rsid w:val="00AD53B6"/>
    <w:rsid w:val="00AD6D2D"/>
    <w:rsid w:val="00AE7776"/>
    <w:rsid w:val="00AF2859"/>
    <w:rsid w:val="00B005FA"/>
    <w:rsid w:val="00B06CDE"/>
    <w:rsid w:val="00B16715"/>
    <w:rsid w:val="00B16E8E"/>
    <w:rsid w:val="00B20E00"/>
    <w:rsid w:val="00B223C2"/>
    <w:rsid w:val="00B35DB9"/>
    <w:rsid w:val="00B42E85"/>
    <w:rsid w:val="00B51BBB"/>
    <w:rsid w:val="00B5494B"/>
    <w:rsid w:val="00B5776F"/>
    <w:rsid w:val="00B63DFC"/>
    <w:rsid w:val="00B71AD5"/>
    <w:rsid w:val="00B73A76"/>
    <w:rsid w:val="00B73A77"/>
    <w:rsid w:val="00B868DF"/>
    <w:rsid w:val="00B90235"/>
    <w:rsid w:val="00BA4144"/>
    <w:rsid w:val="00BA59EF"/>
    <w:rsid w:val="00BA68EE"/>
    <w:rsid w:val="00BA6F1A"/>
    <w:rsid w:val="00BB2E42"/>
    <w:rsid w:val="00BC2363"/>
    <w:rsid w:val="00BC5D1E"/>
    <w:rsid w:val="00BD2667"/>
    <w:rsid w:val="00C0000D"/>
    <w:rsid w:val="00C06D28"/>
    <w:rsid w:val="00C101A6"/>
    <w:rsid w:val="00C17A08"/>
    <w:rsid w:val="00C213E6"/>
    <w:rsid w:val="00C3113F"/>
    <w:rsid w:val="00C3437E"/>
    <w:rsid w:val="00C437DD"/>
    <w:rsid w:val="00C6489E"/>
    <w:rsid w:val="00C76479"/>
    <w:rsid w:val="00C765BD"/>
    <w:rsid w:val="00C86E38"/>
    <w:rsid w:val="00C90B76"/>
    <w:rsid w:val="00CA1357"/>
    <w:rsid w:val="00CA37F0"/>
    <w:rsid w:val="00CA76C7"/>
    <w:rsid w:val="00CB0C61"/>
    <w:rsid w:val="00CB15AC"/>
    <w:rsid w:val="00CB6152"/>
    <w:rsid w:val="00CB7BCF"/>
    <w:rsid w:val="00CC28DE"/>
    <w:rsid w:val="00CE3C45"/>
    <w:rsid w:val="00CE70E2"/>
    <w:rsid w:val="00CF44BA"/>
    <w:rsid w:val="00D00AAB"/>
    <w:rsid w:val="00D02002"/>
    <w:rsid w:val="00D03AD4"/>
    <w:rsid w:val="00D132FE"/>
    <w:rsid w:val="00D16BC6"/>
    <w:rsid w:val="00D21277"/>
    <w:rsid w:val="00D232E6"/>
    <w:rsid w:val="00D269CF"/>
    <w:rsid w:val="00D314CF"/>
    <w:rsid w:val="00D34688"/>
    <w:rsid w:val="00D46B6F"/>
    <w:rsid w:val="00D50395"/>
    <w:rsid w:val="00D54C10"/>
    <w:rsid w:val="00D54E25"/>
    <w:rsid w:val="00D5520D"/>
    <w:rsid w:val="00D65F13"/>
    <w:rsid w:val="00D837D9"/>
    <w:rsid w:val="00D96243"/>
    <w:rsid w:val="00DB40B2"/>
    <w:rsid w:val="00DC105B"/>
    <w:rsid w:val="00DC2B2D"/>
    <w:rsid w:val="00DC6FB5"/>
    <w:rsid w:val="00DE0E40"/>
    <w:rsid w:val="00DE5BD2"/>
    <w:rsid w:val="00DE7A5D"/>
    <w:rsid w:val="00DF037E"/>
    <w:rsid w:val="00DF2DC3"/>
    <w:rsid w:val="00E03487"/>
    <w:rsid w:val="00E077DB"/>
    <w:rsid w:val="00E2188A"/>
    <w:rsid w:val="00E32A1D"/>
    <w:rsid w:val="00E33403"/>
    <w:rsid w:val="00E34C97"/>
    <w:rsid w:val="00E37DE6"/>
    <w:rsid w:val="00E4211C"/>
    <w:rsid w:val="00E44280"/>
    <w:rsid w:val="00E501C4"/>
    <w:rsid w:val="00E50A3D"/>
    <w:rsid w:val="00E55FBC"/>
    <w:rsid w:val="00E7703F"/>
    <w:rsid w:val="00E84B1C"/>
    <w:rsid w:val="00EA6D4C"/>
    <w:rsid w:val="00EA7E9B"/>
    <w:rsid w:val="00EB1190"/>
    <w:rsid w:val="00EB5C09"/>
    <w:rsid w:val="00EC04B8"/>
    <w:rsid w:val="00EC286B"/>
    <w:rsid w:val="00EC5BFF"/>
    <w:rsid w:val="00EC7804"/>
    <w:rsid w:val="00ED27EB"/>
    <w:rsid w:val="00ED7260"/>
    <w:rsid w:val="00EE4AC8"/>
    <w:rsid w:val="00EE791C"/>
    <w:rsid w:val="00EF2082"/>
    <w:rsid w:val="00EF3656"/>
    <w:rsid w:val="00F047FA"/>
    <w:rsid w:val="00F0578C"/>
    <w:rsid w:val="00F11FF9"/>
    <w:rsid w:val="00F13510"/>
    <w:rsid w:val="00F233ED"/>
    <w:rsid w:val="00F25426"/>
    <w:rsid w:val="00F2758B"/>
    <w:rsid w:val="00F37D2C"/>
    <w:rsid w:val="00F463E0"/>
    <w:rsid w:val="00F654FC"/>
    <w:rsid w:val="00F729E0"/>
    <w:rsid w:val="00F74276"/>
    <w:rsid w:val="00F776E3"/>
    <w:rsid w:val="00F834E1"/>
    <w:rsid w:val="00F8756A"/>
    <w:rsid w:val="00F909B9"/>
    <w:rsid w:val="00F92089"/>
    <w:rsid w:val="00FA4F33"/>
    <w:rsid w:val="00FB2E6C"/>
    <w:rsid w:val="00FC6051"/>
    <w:rsid w:val="00FC7F18"/>
    <w:rsid w:val="00FD22EC"/>
    <w:rsid w:val="00FE52F4"/>
    <w:rsid w:val="00FE5CA9"/>
    <w:rsid w:val="00FE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089935"/>
  <w14:defaultImageDpi w14:val="96"/>
  <w15:chartTrackingRefBased/>
  <w15:docId w15:val="{67FBF334-3E8E-47EE-823F-407A3D48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2E6"/>
    <w:rPr>
      <w:sz w:val="24"/>
      <w:szCs w:val="24"/>
      <w:lang w:val="en-GB" w:eastAsia="sv-SE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GB" w:eastAsia="sv-SE"/>
    </w:rPr>
  </w:style>
  <w:style w:type="character" w:customStyle="1" w:styleId="20">
    <w:name w:val="見出し 2 (文字)"/>
    <w:link w:val="2"/>
    <w:uiPriority w:val="99"/>
    <w:locked/>
    <w:rPr>
      <w:rFonts w:ascii="Cambria" w:eastAsia="Times New Roman" w:hAnsi="Cambria" w:cs="Times New Roman"/>
      <w:b/>
      <w:bCs/>
      <w:i/>
      <w:iCs/>
      <w:sz w:val="28"/>
      <w:szCs w:val="28"/>
      <w:lang w:val="en-GB" w:eastAsia="sv-SE"/>
    </w:rPr>
  </w:style>
  <w:style w:type="character" w:customStyle="1" w:styleId="30">
    <w:name w:val="見出し 3 (文字)"/>
    <w:link w:val="3"/>
    <w:uiPriority w:val="99"/>
    <w:locked/>
    <w:rPr>
      <w:rFonts w:ascii="Cambria" w:eastAsia="Times New Roman" w:hAnsi="Cambria" w:cs="Times New Roman"/>
      <w:b/>
      <w:bCs/>
      <w:sz w:val="26"/>
      <w:szCs w:val="26"/>
      <w:lang w:val="en-GB" w:eastAsia="sv-SE"/>
    </w:rPr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paragraph" w:customStyle="1" w:styleId="References">
    <w:name w:val="References"/>
    <w:basedOn w:val="a"/>
    <w:uiPriority w:val="99"/>
    <w:pPr>
      <w:spacing w:after="80"/>
      <w:ind w:left="144" w:hanging="144"/>
      <w:jc w:val="both"/>
    </w:pPr>
    <w:rPr>
      <w:sz w:val="18"/>
      <w:szCs w:val="18"/>
      <w:lang w:val="en-US" w:eastAsia="en-US"/>
    </w:rPr>
  </w:style>
  <w:style w:type="paragraph" w:styleId="21">
    <w:name w:val="Body Text 2"/>
    <w:basedOn w:val="a"/>
    <w:link w:val="22"/>
    <w:uiPriority w:val="99"/>
    <w:pPr>
      <w:jc w:val="both"/>
    </w:pPr>
  </w:style>
  <w:style w:type="character" w:customStyle="1" w:styleId="22">
    <w:name w:val="本文 2 (文字)"/>
    <w:link w:val="21"/>
    <w:uiPriority w:val="99"/>
    <w:semiHidden/>
    <w:locked/>
    <w:rPr>
      <w:rFonts w:cs="Times New Roman"/>
      <w:sz w:val="24"/>
      <w:szCs w:val="24"/>
      <w:lang w:val="en-GB" w:eastAsia="sv-SE"/>
    </w:rPr>
  </w:style>
  <w:style w:type="paragraph" w:styleId="a4">
    <w:name w:val="Body Text"/>
    <w:basedOn w:val="a"/>
    <w:link w:val="a5"/>
    <w:uiPriority w:val="99"/>
    <w:rPr>
      <w:color w:val="0000FF"/>
    </w:rPr>
  </w:style>
  <w:style w:type="character" w:customStyle="1" w:styleId="a5">
    <w:name w:val="本文 (文字)"/>
    <w:link w:val="a4"/>
    <w:uiPriority w:val="99"/>
    <w:semiHidden/>
    <w:locked/>
    <w:rPr>
      <w:rFonts w:cs="Times New Roman"/>
      <w:sz w:val="24"/>
      <w:szCs w:val="24"/>
      <w:lang w:val="en-GB" w:eastAsia="sv-SE"/>
    </w:rPr>
  </w:style>
  <w:style w:type="character" w:customStyle="1" w:styleId="eudoraheader">
    <w:name w:val="eudoraheader"/>
    <w:uiPriority w:val="99"/>
    <w:rsid w:val="00D50395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0C1967"/>
    <w:rPr>
      <w:sz w:val="20"/>
      <w:szCs w:val="20"/>
    </w:rPr>
  </w:style>
  <w:style w:type="character" w:customStyle="1" w:styleId="a7">
    <w:name w:val="脚注文字列 (文字)"/>
    <w:link w:val="a6"/>
    <w:uiPriority w:val="99"/>
    <w:semiHidden/>
    <w:locked/>
    <w:rPr>
      <w:rFonts w:cs="Times New Roman"/>
      <w:sz w:val="20"/>
      <w:szCs w:val="20"/>
      <w:lang w:val="en-GB" w:eastAsia="sv-SE"/>
    </w:rPr>
  </w:style>
  <w:style w:type="character" w:styleId="a8">
    <w:name w:val="footnote reference"/>
    <w:uiPriority w:val="99"/>
    <w:semiHidden/>
    <w:rsid w:val="000C1967"/>
    <w:rPr>
      <w:rFonts w:cs="Times New Roman"/>
      <w:vertAlign w:val="superscript"/>
    </w:rPr>
  </w:style>
  <w:style w:type="character" w:styleId="a9">
    <w:name w:val="FollowedHyperlink"/>
    <w:uiPriority w:val="99"/>
    <w:semiHidden/>
    <w:unhideWhenUsed/>
    <w:rsid w:val="00AD53B6"/>
    <w:rPr>
      <w:rFonts w:cs="Times New Roman"/>
      <w:color w:val="800080"/>
      <w:u w:val="single"/>
    </w:rPr>
  </w:style>
  <w:style w:type="character" w:styleId="aa">
    <w:name w:val="annotation reference"/>
    <w:uiPriority w:val="99"/>
    <w:semiHidden/>
    <w:unhideWhenUsed/>
    <w:rsid w:val="001402B3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402B3"/>
    <w:rPr>
      <w:sz w:val="20"/>
      <w:szCs w:val="20"/>
    </w:rPr>
  </w:style>
  <w:style w:type="character" w:customStyle="1" w:styleId="ac">
    <w:name w:val="コメント文字列 (文字)"/>
    <w:link w:val="ab"/>
    <w:uiPriority w:val="99"/>
    <w:semiHidden/>
    <w:locked/>
    <w:rsid w:val="001402B3"/>
    <w:rPr>
      <w:rFonts w:cs="Times New Roman"/>
      <w:sz w:val="20"/>
      <w:szCs w:val="20"/>
      <w:lang w:val="en-GB" w:eastAsia="sv-SE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402B3"/>
    <w:rPr>
      <w:b/>
      <w:bCs/>
    </w:rPr>
  </w:style>
  <w:style w:type="character" w:customStyle="1" w:styleId="ae">
    <w:name w:val="コメント内容 (文字)"/>
    <w:link w:val="ad"/>
    <w:uiPriority w:val="99"/>
    <w:semiHidden/>
    <w:locked/>
    <w:rsid w:val="001402B3"/>
    <w:rPr>
      <w:rFonts w:cs="Times New Roman"/>
      <w:b/>
      <w:bCs/>
      <w:sz w:val="20"/>
      <w:szCs w:val="20"/>
      <w:lang w:val="en-GB" w:eastAsia="sv-SE"/>
    </w:rPr>
  </w:style>
  <w:style w:type="paragraph" w:styleId="af">
    <w:name w:val="Balloon Text"/>
    <w:basedOn w:val="a"/>
    <w:link w:val="af0"/>
    <w:uiPriority w:val="99"/>
    <w:semiHidden/>
    <w:unhideWhenUsed/>
    <w:rsid w:val="001402B3"/>
    <w:rPr>
      <w:rFonts w:ascii="Tahoma" w:hAnsi="Tahoma" w:cs="Tahoma"/>
      <w:sz w:val="16"/>
      <w:szCs w:val="16"/>
    </w:rPr>
  </w:style>
  <w:style w:type="character" w:customStyle="1" w:styleId="af0">
    <w:name w:val="吹き出し (文字)"/>
    <w:link w:val="af"/>
    <w:uiPriority w:val="99"/>
    <w:semiHidden/>
    <w:locked/>
    <w:rsid w:val="001402B3"/>
    <w:rPr>
      <w:rFonts w:ascii="Tahoma" w:hAnsi="Tahoma" w:cs="Tahoma"/>
      <w:sz w:val="16"/>
      <w:szCs w:val="16"/>
      <w:lang w:val="en-GB" w:eastAsia="sv-SE"/>
    </w:rPr>
  </w:style>
  <w:style w:type="paragraph" w:styleId="af1">
    <w:name w:val="header"/>
    <w:basedOn w:val="a"/>
    <w:link w:val="af2"/>
    <w:uiPriority w:val="99"/>
    <w:unhideWhenUsed/>
    <w:rsid w:val="00B73A77"/>
    <w:pPr>
      <w:tabs>
        <w:tab w:val="center" w:pos="4536"/>
        <w:tab w:val="right" w:pos="9072"/>
      </w:tabs>
    </w:pPr>
  </w:style>
  <w:style w:type="character" w:customStyle="1" w:styleId="af2">
    <w:name w:val="ヘッダー (文字)"/>
    <w:link w:val="af1"/>
    <w:uiPriority w:val="99"/>
    <w:rsid w:val="00B73A77"/>
    <w:rPr>
      <w:sz w:val="24"/>
      <w:szCs w:val="24"/>
      <w:lang w:val="en-GB" w:eastAsia="sv-SE"/>
    </w:rPr>
  </w:style>
  <w:style w:type="paragraph" w:styleId="af3">
    <w:name w:val="footer"/>
    <w:basedOn w:val="a"/>
    <w:link w:val="af4"/>
    <w:uiPriority w:val="99"/>
    <w:unhideWhenUsed/>
    <w:rsid w:val="00B73A77"/>
    <w:pPr>
      <w:tabs>
        <w:tab w:val="center" w:pos="4536"/>
        <w:tab w:val="right" w:pos="9072"/>
      </w:tabs>
    </w:pPr>
  </w:style>
  <w:style w:type="character" w:customStyle="1" w:styleId="af4">
    <w:name w:val="フッター (文字)"/>
    <w:link w:val="af3"/>
    <w:uiPriority w:val="99"/>
    <w:rsid w:val="00B73A77"/>
    <w:rPr>
      <w:sz w:val="24"/>
      <w:szCs w:val="24"/>
      <w:lang w:val="en-GB" w:eastAsia="sv-SE"/>
    </w:rPr>
  </w:style>
  <w:style w:type="character" w:styleId="af5">
    <w:name w:val="Unresolved Mention"/>
    <w:uiPriority w:val="99"/>
    <w:semiHidden/>
    <w:unhideWhenUsed/>
    <w:rsid w:val="00813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www.oecd-ilibrary.org/content/paper/5k43nxgs289w-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cses.nsf.gov/pubs/nsf23318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yperlink" Target="https://doi.org/10.1080/1360080X.2020.1870027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doi.org/10.6084/m9.figshare.9917813.v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jgrad.nistep.go.jp/home_e.html" TargetMode="External"/><Relationship Id="rId1" Type="http://schemas.openxmlformats.org/officeDocument/2006/relationships/hyperlink" Target="https://www.nistep.go.jp/jdpro/e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I%202012\Paper%20Template%20STI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C28A0C284E14CAB0F35F7407C529C" ma:contentTypeVersion="4" ma:contentTypeDescription="Create a new document." ma:contentTypeScope="" ma:versionID="3d644cc98ccfc1fe201f09343c2d9f3b">
  <xsd:schema xmlns:xsd="http://www.w3.org/2001/XMLSchema" xmlns:xs="http://www.w3.org/2001/XMLSchema" xmlns:p="http://schemas.microsoft.com/office/2006/metadata/properties" xmlns:ns2="13d39c59-4ee0-43e8-aaee-69a2639e1392" xmlns:ns3="3d2b0075-3574-4d93-af78-f174e69b1c14" targetNamespace="http://schemas.microsoft.com/office/2006/metadata/properties" ma:root="true" ma:fieldsID="a056a2c2337713622c687c4a44406344" ns2:_="" ns3:_="">
    <xsd:import namespace="13d39c59-4ee0-43e8-aaee-69a2639e1392"/>
    <xsd:import namespace="3d2b0075-3574-4d93-af78-f174e69b1c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39c59-4ee0-43e8-aaee-69a2639e1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b0075-3574-4d93-af78-f174e69b1c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2617D-7A0A-4E71-A216-0E565E8B0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39c59-4ee0-43e8-aaee-69a2639e1392"/>
    <ds:schemaRef ds:uri="3d2b0075-3574-4d93-af78-f174e69b1c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9606B7-9066-4666-AE2C-7807002114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C5E0E-9A8C-4525-87FA-BC55F648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 Template STI 2012.dot</Template>
  <TotalTime>4</TotalTime>
  <Pages>5</Pages>
  <Words>1292</Words>
  <Characters>7366</Characters>
  <Application>Microsoft Office Word</Application>
  <DocSecurity>0</DocSecurity>
  <Lines>61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STI 2023 paper template</vt:lpstr>
      <vt:lpstr>STI 2023 paper template</vt:lpstr>
    </vt:vector>
  </TitlesOfParts>
  <Company/>
  <LinksUpToDate>false</LinksUpToDate>
  <CharactersWithSpaces>8641</CharactersWithSpaces>
  <SharedDoc>false</SharedDoc>
  <HLinks>
    <vt:vector size="12" baseType="variant">
      <vt:variant>
        <vt:i4>7012473</vt:i4>
      </vt:variant>
      <vt:variant>
        <vt:i4>6</vt:i4>
      </vt:variant>
      <vt:variant>
        <vt:i4>0</vt:i4>
      </vt:variant>
      <vt:variant>
        <vt:i4>5</vt:i4>
      </vt:variant>
      <vt:variant>
        <vt:lpwstr>http://www.csdl.tamu.edu/DL94/paper/kling.html</vt:lpwstr>
      </vt:variant>
      <vt:variant>
        <vt:lpwstr/>
      </vt:variant>
      <vt:variant>
        <vt:i4>4194375</vt:i4>
      </vt:variant>
      <vt:variant>
        <vt:i4>0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 2023 paper template</dc:title>
  <dc:subject/>
  <dc:creator>Waltman, L.R. (Ludo)</dc:creator>
  <cp:keywords/>
  <cp:lastModifiedBy>経史 齋藤</cp:lastModifiedBy>
  <cp:revision>2</cp:revision>
  <cp:lastPrinted>2005-03-14T08:40:00Z</cp:lastPrinted>
  <dcterms:created xsi:type="dcterms:W3CDTF">2023-04-22T00:36:00Z</dcterms:created>
  <dcterms:modified xsi:type="dcterms:W3CDTF">2023-04-22T00:36:00Z</dcterms:modified>
</cp:coreProperties>
</file>