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38" w:rsidRPr="00307792" w:rsidRDefault="004F30A1">
      <w:pPr>
        <w:pStyle w:val="10"/>
        <w:spacing w:after="240"/>
        <w:jc w:val="center"/>
        <w:rPr>
          <w:rFonts w:ascii="Times New Roman" w:eastAsia="Times New Roman" w:hAnsi="Times New Roman" w:cs="Times New Roman"/>
          <w:b/>
          <w:sz w:val="36"/>
          <w:szCs w:val="36"/>
          <w:lang w:val="en-US"/>
        </w:rPr>
      </w:pPr>
      <w:r w:rsidRPr="00307792">
        <w:rPr>
          <w:rFonts w:ascii="Times New Roman" w:eastAsia="Times New Roman" w:hAnsi="Times New Roman" w:cs="Times New Roman"/>
          <w:b/>
          <w:sz w:val="36"/>
          <w:szCs w:val="36"/>
          <w:lang w:val="en-US"/>
        </w:rPr>
        <w:t>Who Funds Whom? An Exploratory Survey of Top Journal Papers of the Small Post-Soviet Countries</w:t>
      </w:r>
    </w:p>
    <w:p w:rsidR="006223AF" w:rsidRPr="00307792" w:rsidRDefault="004F30A1" w:rsidP="00060E18">
      <w:pPr>
        <w:pStyle w:val="10"/>
        <w:spacing w:line="240" w:lineRule="auto"/>
        <w:jc w:val="center"/>
        <w:rPr>
          <w:rFonts w:ascii="Times New Roman" w:eastAsia="Times New Roman" w:hAnsi="Times New Roman" w:cs="Times New Roman"/>
          <w:sz w:val="24"/>
          <w:szCs w:val="24"/>
          <w:lang w:val="en-US"/>
        </w:rPr>
      </w:pPr>
      <w:bookmarkStart w:id="0" w:name="_bxpe8ygxe49f" w:colFirst="0" w:colLast="0"/>
      <w:bookmarkEnd w:id="0"/>
      <w:r w:rsidRPr="00307792">
        <w:rPr>
          <w:rFonts w:ascii="Times New Roman" w:eastAsia="Times New Roman" w:hAnsi="Times New Roman" w:cs="Times New Roman"/>
          <w:sz w:val="24"/>
          <w:szCs w:val="24"/>
          <w:lang w:val="en-US"/>
        </w:rPr>
        <w:t>Nataliya Matveeva</w:t>
      </w:r>
      <w:r w:rsidR="006223AF" w:rsidRPr="00307792">
        <w:rPr>
          <w:rFonts w:ascii="Times New Roman" w:eastAsia="Times New Roman" w:hAnsi="Times New Roman" w:cs="Times New Roman"/>
          <w:sz w:val="24"/>
          <w:szCs w:val="24"/>
          <w:lang w:val="en-US"/>
        </w:rPr>
        <w:t xml:space="preserve">*, Anna </w:t>
      </w:r>
      <w:proofErr w:type="spellStart"/>
      <w:r w:rsidR="006223AF" w:rsidRPr="00307792">
        <w:rPr>
          <w:rFonts w:ascii="Times New Roman" w:eastAsia="Times New Roman" w:hAnsi="Times New Roman" w:cs="Times New Roman"/>
          <w:sz w:val="24"/>
          <w:szCs w:val="24"/>
          <w:lang w:val="en-US"/>
        </w:rPr>
        <w:t>Panova</w:t>
      </w:r>
      <w:proofErr w:type="spellEnd"/>
      <w:r w:rsidR="006223AF" w:rsidRPr="00307792">
        <w:rPr>
          <w:rFonts w:ascii="Times New Roman" w:eastAsia="Times New Roman" w:hAnsi="Times New Roman" w:cs="Times New Roman"/>
          <w:sz w:val="24"/>
          <w:szCs w:val="24"/>
          <w:lang w:val="en-US"/>
        </w:rPr>
        <w:t xml:space="preserve">**, Ivan </w:t>
      </w:r>
      <w:proofErr w:type="spellStart"/>
      <w:r w:rsidR="006223AF" w:rsidRPr="00307792">
        <w:rPr>
          <w:rFonts w:ascii="Times New Roman" w:eastAsia="Times New Roman" w:hAnsi="Times New Roman" w:cs="Times New Roman"/>
          <w:sz w:val="24"/>
          <w:szCs w:val="24"/>
          <w:lang w:val="en-US"/>
        </w:rPr>
        <w:t>Sterligov</w:t>
      </w:r>
      <w:proofErr w:type="spellEnd"/>
      <w:r w:rsidR="006223AF" w:rsidRPr="00307792">
        <w:rPr>
          <w:rFonts w:ascii="Times New Roman" w:eastAsia="Times New Roman" w:hAnsi="Times New Roman" w:cs="Times New Roman"/>
          <w:sz w:val="24"/>
          <w:szCs w:val="24"/>
          <w:lang w:val="en-US"/>
        </w:rPr>
        <w:t>***</w:t>
      </w:r>
    </w:p>
    <w:p w:rsidR="00060E18" w:rsidRPr="00307792" w:rsidRDefault="006223AF" w:rsidP="006223AF">
      <w:pPr>
        <w:pStyle w:val="10"/>
        <w:spacing w:line="240" w:lineRule="auto"/>
        <w:ind w:left="1843"/>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w:t>
      </w:r>
      <w:r w:rsidR="004F30A1" w:rsidRPr="00307792">
        <w:rPr>
          <w:rFonts w:ascii="Times New Roman" w:eastAsia="Times New Roman" w:hAnsi="Times New Roman" w:cs="Times New Roman"/>
          <w:sz w:val="24"/>
          <w:szCs w:val="24"/>
          <w:lang w:val="en-US"/>
        </w:rPr>
        <w:t xml:space="preserve"> https://orcid.org/</w:t>
      </w:r>
      <w:hyperlink r:id="rId5">
        <w:r w:rsidR="004F30A1" w:rsidRPr="00307792">
          <w:rPr>
            <w:rFonts w:ascii="Times New Roman" w:eastAsia="Times New Roman" w:hAnsi="Times New Roman" w:cs="Times New Roman"/>
            <w:sz w:val="24"/>
            <w:szCs w:val="24"/>
            <w:lang w:val="en-US"/>
          </w:rPr>
          <w:t>0000-0002-6378-7088</w:t>
        </w:r>
      </w:hyperlink>
      <w:r w:rsidR="004F30A1" w:rsidRPr="00307792">
        <w:rPr>
          <w:rFonts w:ascii="Times New Roman" w:eastAsia="Times New Roman" w:hAnsi="Times New Roman" w:cs="Times New Roman"/>
          <w:sz w:val="24"/>
          <w:szCs w:val="24"/>
          <w:lang w:val="en-US"/>
        </w:rPr>
        <w:t xml:space="preserve"> </w:t>
      </w:r>
      <w:hyperlink r:id="rId6" w:history="1">
        <w:r w:rsidR="00060E18" w:rsidRPr="00307792">
          <w:rPr>
            <w:rStyle w:val="af2"/>
            <w:rFonts w:ascii="Times New Roman" w:eastAsia="Times New Roman" w:hAnsi="Times New Roman" w:cs="Times New Roman"/>
            <w:sz w:val="24"/>
            <w:szCs w:val="24"/>
            <w:lang w:val="en-US"/>
          </w:rPr>
          <w:t>nmatveeva@hse.ru</w:t>
        </w:r>
      </w:hyperlink>
      <w:r w:rsidRPr="00307792">
        <w:rPr>
          <w:rFonts w:ascii="Times New Roman" w:eastAsia="Times New Roman" w:hAnsi="Times New Roman" w:cs="Times New Roman"/>
          <w:sz w:val="24"/>
          <w:szCs w:val="24"/>
          <w:lang w:val="en-US"/>
        </w:rPr>
        <w:t>, HSE University, Russia</w:t>
      </w:r>
    </w:p>
    <w:p w:rsidR="002B3138" w:rsidRPr="00307792" w:rsidRDefault="006223AF" w:rsidP="006223AF">
      <w:pPr>
        <w:pStyle w:val="10"/>
        <w:spacing w:line="240" w:lineRule="auto"/>
        <w:ind w:left="1843"/>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w:t>
      </w:r>
      <w:r w:rsidR="00060E18" w:rsidRPr="00307792">
        <w:rPr>
          <w:rFonts w:ascii="Times New Roman" w:eastAsia="Times New Roman" w:hAnsi="Times New Roman" w:cs="Times New Roman"/>
          <w:sz w:val="24"/>
          <w:szCs w:val="24"/>
          <w:lang w:val="en-US"/>
        </w:rPr>
        <w:t xml:space="preserve"> </w:t>
      </w:r>
      <w:hyperlink r:id="rId7" w:history="1">
        <w:r w:rsidR="00060E18" w:rsidRPr="00307792">
          <w:rPr>
            <w:rStyle w:val="af2"/>
            <w:rFonts w:ascii="Times New Roman" w:eastAsia="Times New Roman" w:hAnsi="Times New Roman" w:cs="Times New Roman"/>
            <w:sz w:val="24"/>
            <w:szCs w:val="24"/>
            <w:lang w:val="en-US"/>
          </w:rPr>
          <w:t>https://orcid.org/0000-0001-7274-9350</w:t>
        </w:r>
      </w:hyperlink>
      <w:r w:rsidR="00060E18" w:rsidRPr="00307792">
        <w:rPr>
          <w:rFonts w:ascii="Times New Roman" w:eastAsia="Times New Roman" w:hAnsi="Times New Roman" w:cs="Times New Roman"/>
          <w:sz w:val="24"/>
          <w:szCs w:val="24"/>
          <w:lang w:val="en-US"/>
        </w:rPr>
        <w:t xml:space="preserve"> apanova@hse.ru</w:t>
      </w:r>
      <w:r w:rsidRPr="00307792">
        <w:rPr>
          <w:rFonts w:ascii="Times New Roman" w:eastAsia="Times New Roman" w:hAnsi="Times New Roman" w:cs="Times New Roman"/>
          <w:sz w:val="24"/>
          <w:szCs w:val="24"/>
          <w:lang w:val="en-US"/>
        </w:rPr>
        <w:t>, HSE University, Russia</w:t>
      </w:r>
    </w:p>
    <w:p w:rsidR="006223AF" w:rsidRPr="00307792" w:rsidRDefault="006223AF" w:rsidP="006223AF">
      <w:pPr>
        <w:pStyle w:val="10"/>
        <w:spacing w:line="240" w:lineRule="auto"/>
        <w:ind w:left="1843"/>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w:t>
      </w:r>
      <w:r w:rsidR="004F30A1" w:rsidRPr="00307792">
        <w:rPr>
          <w:rFonts w:ascii="Times New Roman" w:eastAsia="Times New Roman" w:hAnsi="Times New Roman" w:cs="Times New Roman"/>
          <w:sz w:val="24"/>
          <w:szCs w:val="24"/>
          <w:lang w:val="en-US"/>
        </w:rPr>
        <w:t xml:space="preserve"> </w:t>
      </w:r>
      <w:hyperlink r:id="rId8">
        <w:r w:rsidR="004F30A1" w:rsidRPr="00307792">
          <w:rPr>
            <w:rFonts w:ascii="Times New Roman" w:eastAsia="Times New Roman" w:hAnsi="Times New Roman" w:cs="Times New Roman"/>
            <w:color w:val="1155CC"/>
            <w:sz w:val="24"/>
            <w:szCs w:val="24"/>
            <w:u w:val="single"/>
            <w:lang w:val="en-US"/>
          </w:rPr>
          <w:t>https://orcid.org/0000-0001-9736-4713</w:t>
        </w:r>
      </w:hyperlink>
      <w:r w:rsidR="004F30A1" w:rsidRPr="00307792">
        <w:rPr>
          <w:rFonts w:ascii="Times New Roman" w:eastAsia="Times New Roman" w:hAnsi="Times New Roman" w:cs="Times New Roman"/>
          <w:sz w:val="24"/>
          <w:szCs w:val="24"/>
          <w:lang w:val="en-US"/>
        </w:rPr>
        <w:t xml:space="preserve"> </w:t>
      </w:r>
      <w:hyperlink r:id="rId9" w:history="1">
        <w:r w:rsidRPr="00307792">
          <w:rPr>
            <w:rStyle w:val="af2"/>
            <w:rFonts w:ascii="Times New Roman" w:eastAsia="Times New Roman" w:hAnsi="Times New Roman" w:cs="Times New Roman"/>
            <w:sz w:val="24"/>
            <w:szCs w:val="24"/>
            <w:lang w:val="en-US"/>
          </w:rPr>
          <w:t>ivan.sterligov@gmail.com</w:t>
        </w:r>
      </w:hyperlink>
      <w:r w:rsidRPr="00307792">
        <w:rPr>
          <w:rFonts w:ascii="Times New Roman" w:eastAsia="Times New Roman" w:hAnsi="Times New Roman" w:cs="Times New Roman"/>
          <w:sz w:val="24"/>
          <w:szCs w:val="24"/>
          <w:lang w:val="en-US"/>
        </w:rPr>
        <w:t>, HSE University, Russia</w:t>
      </w:r>
    </w:p>
    <w:p w:rsidR="002B3138" w:rsidRPr="00307792" w:rsidRDefault="002B3138" w:rsidP="006223AF">
      <w:pPr>
        <w:pStyle w:val="10"/>
        <w:spacing w:line="240" w:lineRule="auto"/>
        <w:ind w:left="1843"/>
        <w:rPr>
          <w:rFonts w:ascii="Times New Roman" w:eastAsia="Times New Roman" w:hAnsi="Times New Roman" w:cs="Times New Roman"/>
          <w:sz w:val="24"/>
          <w:szCs w:val="24"/>
          <w:lang w:val="en-US"/>
        </w:rPr>
      </w:pPr>
    </w:p>
    <w:p w:rsidR="002B3138" w:rsidRPr="001F4A6D" w:rsidRDefault="004F30A1">
      <w:pPr>
        <w:pStyle w:val="10"/>
        <w:rPr>
          <w:rFonts w:ascii="Times New Roman" w:eastAsia="Times New Roman" w:hAnsi="Times New Roman" w:cs="Times New Roman"/>
          <w:b/>
          <w:sz w:val="28"/>
          <w:szCs w:val="28"/>
          <w:lang w:val="en-US"/>
        </w:rPr>
      </w:pPr>
      <w:r w:rsidRPr="001F4A6D">
        <w:rPr>
          <w:rFonts w:ascii="Times New Roman" w:eastAsia="Times New Roman" w:hAnsi="Times New Roman" w:cs="Times New Roman"/>
          <w:b/>
          <w:sz w:val="28"/>
          <w:szCs w:val="28"/>
          <w:lang w:val="en-US"/>
        </w:rPr>
        <w:t>Abstract</w:t>
      </w:r>
    </w:p>
    <w:p w:rsidR="002B3138" w:rsidRPr="001F4A6D" w:rsidRDefault="002B3138">
      <w:pPr>
        <w:pStyle w:val="10"/>
        <w:jc w:val="both"/>
        <w:rPr>
          <w:rFonts w:ascii="Times New Roman" w:eastAsia="Times New Roman" w:hAnsi="Times New Roman" w:cs="Times New Roman"/>
          <w:sz w:val="24"/>
          <w:szCs w:val="24"/>
          <w:lang w:val="en-US"/>
        </w:rPr>
      </w:pPr>
    </w:p>
    <w:p w:rsidR="002B3138" w:rsidRPr="00307792" w:rsidRDefault="004F30A1">
      <w:pPr>
        <w:pStyle w:val="10"/>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 xml:space="preserve">We analyze funding sources of the most visible part of science in small post-Soviet countries. For this purpose, we develop a classification of sources and manually link these sources to local authors. Our approach accounts for both country of origin and types of sources (intramural, state agencies, business etc.). </w:t>
      </w:r>
      <w:r w:rsidR="001F4A6D">
        <w:rPr>
          <w:rFonts w:ascii="Times New Roman" w:eastAsia="Times New Roman" w:hAnsi="Times New Roman" w:cs="Times New Roman"/>
          <w:sz w:val="24"/>
          <w:szCs w:val="24"/>
          <w:lang w:val="en-US"/>
        </w:rPr>
        <w:t>P</w:t>
      </w:r>
      <w:r w:rsidRPr="00307792">
        <w:rPr>
          <w:rFonts w:ascii="Times New Roman" w:eastAsia="Times New Roman" w:hAnsi="Times New Roman" w:cs="Times New Roman"/>
          <w:sz w:val="24"/>
          <w:szCs w:val="24"/>
          <w:lang w:val="en-US"/>
        </w:rPr>
        <w:t>apers of small post-Soviet countries in top journals are rarely funded only locally and more often result from complex amalgamations of sources from various countries. State grants are by far the leading type of both domestic and foreign sources, along with the international\EU-wide programs. Our approach reveals marked differences between linking funding sources to papers and linking them to authors and yields a nuanced picture of post-Soviet funding landscapes.</w:t>
      </w:r>
    </w:p>
    <w:p w:rsidR="002B3138" w:rsidRPr="00307792" w:rsidRDefault="002B3138">
      <w:pPr>
        <w:pStyle w:val="10"/>
        <w:ind w:left="720"/>
        <w:rPr>
          <w:lang w:val="en-US"/>
        </w:rPr>
      </w:pPr>
    </w:p>
    <w:p w:rsidR="00A44209" w:rsidRPr="00A44209" w:rsidRDefault="00A44209" w:rsidP="00A44209">
      <w:pPr>
        <w:pStyle w:val="2"/>
        <w:spacing w:after="80"/>
        <w:jc w:val="both"/>
        <w:rPr>
          <w:rFonts w:ascii="Times New Roman" w:eastAsia="Times New Roman" w:hAnsi="Times New Roman" w:cs="Times New Roman"/>
          <w:b/>
          <w:bCs/>
          <w:sz w:val="24"/>
          <w:szCs w:val="24"/>
          <w:lang w:val="en-GB" w:eastAsia="sv-SE"/>
        </w:rPr>
      </w:pPr>
      <w:r w:rsidRPr="00A44209">
        <w:rPr>
          <w:rFonts w:ascii="Times New Roman" w:eastAsia="Times New Roman" w:hAnsi="Times New Roman" w:cs="Times New Roman"/>
          <w:b/>
          <w:bCs/>
          <w:sz w:val="24"/>
          <w:szCs w:val="24"/>
          <w:lang w:val="en-GB" w:eastAsia="sv-SE"/>
        </w:rPr>
        <w:t>1. Introduction</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The importance of research funding is highlighted by many studies (</w:t>
      </w:r>
      <w:proofErr w:type="spellStart"/>
      <w:r w:rsidRPr="00307792">
        <w:rPr>
          <w:rFonts w:ascii="Times New Roman" w:eastAsia="Times New Roman" w:hAnsi="Times New Roman" w:cs="Times New Roman"/>
          <w:sz w:val="24"/>
          <w:szCs w:val="24"/>
          <w:highlight w:val="white"/>
          <w:lang w:val="en-US"/>
        </w:rPr>
        <w:t>Gök</w:t>
      </w:r>
      <w:proofErr w:type="spellEnd"/>
      <w:r w:rsidRPr="00307792">
        <w:rPr>
          <w:rFonts w:ascii="Times New Roman" w:eastAsia="Times New Roman" w:hAnsi="Times New Roman" w:cs="Times New Roman"/>
          <w:sz w:val="24"/>
          <w:szCs w:val="24"/>
          <w:highlight w:val="white"/>
          <w:lang w:val="en-US"/>
        </w:rPr>
        <w:t xml:space="preserve"> et al., 2016, Wang et al., 2012, Wang et al., 2020, </w:t>
      </w:r>
      <w:proofErr w:type="spellStart"/>
      <w:r w:rsidRPr="00307792">
        <w:rPr>
          <w:rFonts w:ascii="Times New Roman" w:eastAsia="Times New Roman" w:hAnsi="Times New Roman" w:cs="Times New Roman"/>
          <w:sz w:val="24"/>
          <w:szCs w:val="24"/>
          <w:lang w:val="en-US"/>
        </w:rPr>
        <w:t>Álvarez</w:t>
      </w:r>
      <w:proofErr w:type="spellEnd"/>
      <w:r w:rsidRPr="00307792">
        <w:rPr>
          <w:rFonts w:ascii="Times New Roman" w:eastAsia="Times New Roman" w:hAnsi="Times New Roman" w:cs="Times New Roman"/>
          <w:sz w:val="24"/>
          <w:szCs w:val="24"/>
          <w:lang w:val="en-US"/>
        </w:rPr>
        <w:t xml:space="preserve">-Bornstein &amp; </w:t>
      </w:r>
      <w:proofErr w:type="spellStart"/>
      <w:r w:rsidRPr="00307792">
        <w:rPr>
          <w:rFonts w:ascii="Times New Roman" w:eastAsia="Times New Roman" w:hAnsi="Times New Roman" w:cs="Times New Roman"/>
          <w:sz w:val="24"/>
          <w:szCs w:val="24"/>
          <w:lang w:val="en-US"/>
        </w:rPr>
        <w:t>Montesi</w:t>
      </w:r>
      <w:proofErr w:type="spellEnd"/>
      <w:r w:rsidRPr="00307792">
        <w:rPr>
          <w:rFonts w:ascii="Times New Roman" w:eastAsia="Times New Roman" w:hAnsi="Times New Roman" w:cs="Times New Roman"/>
          <w:sz w:val="24"/>
          <w:szCs w:val="24"/>
          <w:lang w:val="en-US"/>
        </w:rPr>
        <w:t>, 2020</w:t>
      </w:r>
      <w:r w:rsidR="00A44209" w:rsidRPr="00307792">
        <w:rPr>
          <w:rFonts w:ascii="Times New Roman" w:eastAsia="Times New Roman" w:hAnsi="Times New Roman" w:cs="Times New Roman"/>
          <w:sz w:val="24"/>
          <w:szCs w:val="24"/>
          <w:highlight w:val="white"/>
          <w:lang w:val="en-US"/>
        </w:rPr>
        <w:t xml:space="preserve">, Costas </w:t>
      </w:r>
      <w:r w:rsidRPr="00307792">
        <w:rPr>
          <w:rFonts w:ascii="Times New Roman" w:eastAsia="Times New Roman" w:hAnsi="Times New Roman" w:cs="Times New Roman"/>
          <w:sz w:val="24"/>
          <w:szCs w:val="24"/>
          <w:highlight w:val="white"/>
          <w:lang w:val="en-US"/>
        </w:rPr>
        <w:t>&amp; van Leeuwen, 2012</w:t>
      </w:r>
      <w:r w:rsidRPr="00307792">
        <w:rPr>
          <w:rFonts w:ascii="Times New Roman" w:eastAsia="Times New Roman" w:hAnsi="Times New Roman" w:cs="Times New Roman"/>
          <w:sz w:val="24"/>
          <w:szCs w:val="24"/>
          <w:lang w:val="en-US"/>
        </w:rPr>
        <w:t xml:space="preserve">). </w:t>
      </w:r>
      <w:r w:rsidRPr="00307792">
        <w:rPr>
          <w:rFonts w:ascii="Times New Roman" w:eastAsia="Times New Roman" w:hAnsi="Times New Roman" w:cs="Times New Roman"/>
          <w:sz w:val="24"/>
          <w:szCs w:val="24"/>
          <w:highlight w:val="white"/>
          <w:lang w:val="en-US"/>
        </w:rPr>
        <w:t>Funding is a crucial component in the process of knowledge production. As the part of R&amp;D funding leads to results in the form of academic publications, the funding acknowledgements (FA) they contain are a vital source for science studies, research evaluation and neighboring disciplines. They allow us to link inputs to outputs, and such an analysis is much sought after by funding bodies of different types, governments and the general public.</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Despite the growing availability of information on sources of funding in publications, the topic remains problematic (</w:t>
      </w:r>
      <w:proofErr w:type="spellStart"/>
      <w:r w:rsidRPr="00307792">
        <w:rPr>
          <w:rFonts w:ascii="Times New Roman" w:eastAsia="Times New Roman" w:hAnsi="Times New Roman" w:cs="Times New Roman"/>
          <w:sz w:val="24"/>
          <w:szCs w:val="24"/>
          <w:lang w:val="en-US"/>
        </w:rPr>
        <w:t>Aagaard</w:t>
      </w:r>
      <w:proofErr w:type="spellEnd"/>
      <w:r w:rsidRPr="00307792">
        <w:rPr>
          <w:rFonts w:ascii="Times New Roman" w:eastAsia="Times New Roman" w:hAnsi="Times New Roman" w:cs="Times New Roman"/>
          <w:sz w:val="24"/>
          <w:szCs w:val="24"/>
          <w:lang w:val="en-US"/>
        </w:rPr>
        <w:t xml:space="preserve"> et al., 2021). Using FA as a tool linking funding and published results presents many difficulties, specifically when it is based not on internal databases of funders or closed commercial services like </w:t>
      </w:r>
      <w:proofErr w:type="spellStart"/>
      <w:r w:rsidRPr="00307792">
        <w:rPr>
          <w:rFonts w:ascii="Times New Roman" w:eastAsia="Times New Roman" w:hAnsi="Times New Roman" w:cs="Times New Roman"/>
          <w:sz w:val="24"/>
          <w:szCs w:val="24"/>
          <w:lang w:val="en-US"/>
        </w:rPr>
        <w:t>ResearchFish</w:t>
      </w:r>
      <w:proofErr w:type="spellEnd"/>
      <w:r w:rsidRPr="00307792">
        <w:rPr>
          <w:rFonts w:ascii="Times New Roman" w:eastAsia="Times New Roman" w:hAnsi="Times New Roman" w:cs="Times New Roman"/>
          <w:sz w:val="24"/>
          <w:szCs w:val="24"/>
          <w:lang w:val="en-US"/>
        </w:rPr>
        <w:t xml:space="preserve">, but on the publicly available bibliometric data sources, be it the </w:t>
      </w:r>
      <w:proofErr w:type="spellStart"/>
      <w:r w:rsidRPr="00307792">
        <w:rPr>
          <w:rFonts w:ascii="Times New Roman" w:eastAsia="Times New Roman" w:hAnsi="Times New Roman" w:cs="Times New Roman"/>
          <w:sz w:val="24"/>
          <w:szCs w:val="24"/>
          <w:lang w:val="en-US"/>
        </w:rPr>
        <w:t>WoS</w:t>
      </w:r>
      <w:proofErr w:type="spellEnd"/>
      <w:r w:rsidRPr="00307792">
        <w:rPr>
          <w:rFonts w:ascii="Times New Roman" w:eastAsia="Times New Roman" w:hAnsi="Times New Roman" w:cs="Times New Roman"/>
          <w:sz w:val="24"/>
          <w:szCs w:val="24"/>
          <w:lang w:val="en-US"/>
        </w:rPr>
        <w:t>, Scopus</w:t>
      </w:r>
      <w:r w:rsidR="009F23E8">
        <w:rPr>
          <w:rFonts w:ascii="Times New Roman" w:eastAsia="Times New Roman" w:hAnsi="Times New Roman" w:cs="Times New Roman"/>
          <w:sz w:val="24"/>
          <w:szCs w:val="24"/>
          <w:lang w:val="en-US"/>
        </w:rPr>
        <w:t>,</w:t>
      </w:r>
      <w:r w:rsidRPr="00307792">
        <w:rPr>
          <w:rFonts w:ascii="Times New Roman" w:eastAsia="Times New Roman" w:hAnsi="Times New Roman" w:cs="Times New Roman"/>
          <w:sz w:val="24"/>
          <w:szCs w:val="24"/>
          <w:lang w:val="en-US"/>
        </w:rPr>
        <w:t xml:space="preserve"> </w:t>
      </w:r>
      <w:r w:rsidR="009F23E8" w:rsidRPr="009F23E8">
        <w:rPr>
          <w:rFonts w:ascii="Times New Roman" w:eastAsia="Times New Roman" w:hAnsi="Times New Roman" w:cs="Times New Roman"/>
          <w:sz w:val="24"/>
          <w:szCs w:val="24"/>
          <w:lang w:val="en-US"/>
        </w:rPr>
        <w:t>etc.</w:t>
      </w:r>
      <w:r w:rsidRPr="00307792">
        <w:rPr>
          <w:rFonts w:ascii="Times New Roman" w:eastAsia="Times New Roman" w:hAnsi="Times New Roman" w:cs="Times New Roman"/>
          <w:sz w:val="24"/>
          <w:szCs w:val="24"/>
          <w:lang w:val="en-US"/>
        </w:rPr>
        <w:t xml:space="preserve"> (Alvarez-Bornstein </w:t>
      </w:r>
      <w:r w:rsidRPr="00307792">
        <w:rPr>
          <w:rFonts w:ascii="Times New Roman" w:eastAsia="Times New Roman" w:hAnsi="Times New Roman" w:cs="Times New Roman"/>
          <w:sz w:val="24"/>
          <w:szCs w:val="24"/>
          <w:highlight w:val="white"/>
          <w:lang w:val="en-US"/>
        </w:rPr>
        <w:t xml:space="preserve">&amp; </w:t>
      </w:r>
      <w:proofErr w:type="spellStart"/>
      <w:r w:rsidRPr="00307792">
        <w:rPr>
          <w:rFonts w:ascii="Times New Roman" w:eastAsia="Times New Roman" w:hAnsi="Times New Roman" w:cs="Times New Roman"/>
          <w:sz w:val="24"/>
          <w:szCs w:val="24"/>
          <w:lang w:val="en-US"/>
        </w:rPr>
        <w:t>Montesi</w:t>
      </w:r>
      <w:proofErr w:type="spellEnd"/>
      <w:r w:rsidRPr="00307792">
        <w:rPr>
          <w:rFonts w:ascii="Times New Roman" w:eastAsia="Times New Roman" w:hAnsi="Times New Roman" w:cs="Times New Roman"/>
          <w:sz w:val="24"/>
          <w:szCs w:val="24"/>
          <w:lang w:val="en-US"/>
        </w:rPr>
        <w:t xml:space="preserve">, 2020, Paul-Hus et al., 2016, </w:t>
      </w:r>
      <w:proofErr w:type="spellStart"/>
      <w:r w:rsidRPr="00307792">
        <w:rPr>
          <w:rFonts w:ascii="Times New Roman" w:eastAsia="Times New Roman" w:hAnsi="Times New Roman" w:cs="Times New Roman"/>
          <w:sz w:val="24"/>
          <w:szCs w:val="24"/>
          <w:lang w:val="en-US"/>
        </w:rPr>
        <w:t>Grassano</w:t>
      </w:r>
      <w:proofErr w:type="spellEnd"/>
      <w:r w:rsidRPr="00307792">
        <w:rPr>
          <w:rFonts w:ascii="Times New Roman" w:eastAsia="Times New Roman" w:hAnsi="Times New Roman" w:cs="Times New Roman"/>
          <w:sz w:val="24"/>
          <w:szCs w:val="24"/>
          <w:lang w:val="en-US"/>
        </w:rPr>
        <w:t xml:space="preserve"> et al., 2017, Rigby, 2011, Tang et al., 2017). Essentially, many of them are due to the lack of proper standardization of FAs.</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 xml:space="preserve">There are recent advances enabled by named entity recognition and other ML-based methods (see Smirnova and </w:t>
      </w:r>
      <w:proofErr w:type="spellStart"/>
      <w:r w:rsidRPr="00307792">
        <w:rPr>
          <w:rFonts w:ascii="Times New Roman" w:eastAsia="Times New Roman" w:hAnsi="Times New Roman" w:cs="Times New Roman"/>
          <w:sz w:val="24"/>
          <w:szCs w:val="24"/>
          <w:lang w:val="en-US"/>
        </w:rPr>
        <w:t>Mayr</w:t>
      </w:r>
      <w:proofErr w:type="spellEnd"/>
      <w:r w:rsidRPr="00307792">
        <w:rPr>
          <w:rFonts w:ascii="Times New Roman" w:eastAsia="Times New Roman" w:hAnsi="Times New Roman" w:cs="Times New Roman"/>
          <w:sz w:val="24"/>
          <w:szCs w:val="24"/>
          <w:lang w:val="en-US"/>
        </w:rPr>
        <w:t xml:space="preserve"> (2023)). However, to the best of our knowledge, up until now one of the crucial links is largely missing in bibliometric-based funding studies: </w:t>
      </w:r>
      <w:r w:rsidRPr="00307792">
        <w:rPr>
          <w:rFonts w:ascii="Times New Roman" w:eastAsia="Times New Roman" w:hAnsi="Times New Roman" w:cs="Times New Roman"/>
          <w:b/>
          <w:sz w:val="24"/>
          <w:szCs w:val="24"/>
          <w:lang w:val="en-US"/>
        </w:rPr>
        <w:t xml:space="preserve">who </w:t>
      </w:r>
      <w:r w:rsidRPr="00307792">
        <w:rPr>
          <w:rFonts w:ascii="Times New Roman" w:eastAsia="Times New Roman" w:hAnsi="Times New Roman" w:cs="Times New Roman"/>
          <w:sz w:val="24"/>
          <w:szCs w:val="24"/>
          <w:lang w:val="en-US"/>
        </w:rPr>
        <w:t xml:space="preserve">funds </w:t>
      </w:r>
      <w:r w:rsidRPr="00307792">
        <w:rPr>
          <w:rFonts w:ascii="Times New Roman" w:eastAsia="Times New Roman" w:hAnsi="Times New Roman" w:cs="Times New Roman"/>
          <w:b/>
          <w:sz w:val="24"/>
          <w:szCs w:val="24"/>
          <w:lang w:val="en-US"/>
        </w:rPr>
        <w:t xml:space="preserve">whom </w:t>
      </w:r>
      <w:r w:rsidRPr="00307792">
        <w:rPr>
          <w:rFonts w:ascii="Times New Roman" w:eastAsia="Times New Roman" w:hAnsi="Times New Roman" w:cs="Times New Roman"/>
          <w:sz w:val="24"/>
          <w:szCs w:val="24"/>
          <w:lang w:val="en-US"/>
        </w:rPr>
        <w:t xml:space="preserve">exactly? While the vast majority of such studies (i.e. </w:t>
      </w:r>
      <w:proofErr w:type="spellStart"/>
      <w:r w:rsidRPr="00307792">
        <w:rPr>
          <w:rFonts w:ascii="Times New Roman" w:eastAsia="Times New Roman" w:hAnsi="Times New Roman" w:cs="Times New Roman"/>
          <w:sz w:val="24"/>
          <w:szCs w:val="24"/>
          <w:lang w:val="en-US"/>
        </w:rPr>
        <w:t>Chankseliani</w:t>
      </w:r>
      <w:proofErr w:type="spellEnd"/>
      <w:r w:rsidRPr="00307792">
        <w:rPr>
          <w:rFonts w:ascii="Times New Roman" w:eastAsia="Times New Roman" w:hAnsi="Times New Roman" w:cs="Times New Roman"/>
          <w:sz w:val="24"/>
          <w:szCs w:val="24"/>
          <w:lang w:val="en-US"/>
        </w:rPr>
        <w:t xml:space="preserve"> (2023) for the Post-Soviet region) link papers to funding sources, we argue that this is not enough (</w:t>
      </w:r>
      <w:proofErr w:type="spellStart"/>
      <w:r w:rsidRPr="00307792">
        <w:rPr>
          <w:rFonts w:ascii="Times New Roman" w:eastAsia="Times New Roman" w:hAnsi="Times New Roman" w:cs="Times New Roman"/>
          <w:sz w:val="24"/>
          <w:szCs w:val="24"/>
          <w:lang w:val="en-US"/>
        </w:rPr>
        <w:t>Aagaard</w:t>
      </w:r>
      <w:proofErr w:type="spellEnd"/>
      <w:r w:rsidRPr="00307792">
        <w:rPr>
          <w:rFonts w:ascii="Times New Roman" w:eastAsia="Times New Roman" w:hAnsi="Times New Roman" w:cs="Times New Roman"/>
          <w:sz w:val="24"/>
          <w:szCs w:val="24"/>
          <w:lang w:val="en-US"/>
        </w:rPr>
        <w:t xml:space="preserve"> et al., 2021) and actually can be misleading</w:t>
      </w:r>
      <w:r w:rsidRPr="00307792">
        <w:rPr>
          <w:rFonts w:ascii="Times New Roman" w:eastAsia="Roboto" w:hAnsi="Times New Roman" w:cs="Times New Roman"/>
          <w:color w:val="444746"/>
          <w:sz w:val="24"/>
          <w:szCs w:val="24"/>
          <w:highlight w:val="white"/>
          <w:lang w:val="en-US"/>
        </w:rPr>
        <w:t>,</w:t>
      </w:r>
      <w:r w:rsidRPr="00307792">
        <w:rPr>
          <w:rFonts w:ascii="Times New Roman" w:eastAsia="Times New Roman" w:hAnsi="Times New Roman" w:cs="Times New Roman"/>
          <w:sz w:val="24"/>
          <w:szCs w:val="24"/>
          <w:lang w:val="en-US"/>
        </w:rPr>
        <w:t xml:space="preserve"> especially when investigating contemporary cutting edge </w:t>
      </w:r>
      <w:r w:rsidRPr="00307792">
        <w:rPr>
          <w:rFonts w:ascii="Times New Roman" w:eastAsia="Times New Roman" w:hAnsi="Times New Roman" w:cs="Times New Roman"/>
          <w:sz w:val="24"/>
          <w:szCs w:val="24"/>
          <w:lang w:val="en-US"/>
        </w:rPr>
        <w:lastRenderedPageBreak/>
        <w:t>research, which often involves complex international collaboration between many participants with different research capacities, participants may have multiple affiliations and access to different funding sources. We propose linking authors to funding sources, similar to what is increasingly done in studies of non-funding acknowledgements (</w:t>
      </w:r>
      <w:proofErr w:type="spellStart"/>
      <w:r w:rsidRPr="00307792">
        <w:rPr>
          <w:rFonts w:ascii="Times New Roman" w:eastAsia="Times New Roman" w:hAnsi="Times New Roman" w:cs="Times New Roman"/>
          <w:sz w:val="24"/>
          <w:szCs w:val="24"/>
          <w:lang w:val="en-US"/>
        </w:rPr>
        <w:t>Petrovich</w:t>
      </w:r>
      <w:proofErr w:type="spellEnd"/>
      <w:r w:rsidRPr="00307792">
        <w:rPr>
          <w:rFonts w:ascii="Times New Roman" w:eastAsia="Times New Roman" w:hAnsi="Times New Roman" w:cs="Times New Roman"/>
          <w:sz w:val="24"/>
          <w:szCs w:val="24"/>
          <w:lang w:val="en-US"/>
        </w:rPr>
        <w:t>, 2022, Rose &amp; Georg, 2021).</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We investigate FAs of internationally visible papers by authors from relatively small and very diverse countries, as for them such a distinction is even more important. Our sample includes 12 post-Soviet countries with a modest yearly publication output (Matveeva et al., 2022). Small countries have less capacity for funding research on their own than big countries (</w:t>
      </w:r>
      <w:proofErr w:type="spellStart"/>
      <w:r w:rsidRPr="00307792">
        <w:rPr>
          <w:rFonts w:ascii="Times New Roman" w:eastAsia="Times New Roman" w:hAnsi="Times New Roman" w:cs="Times New Roman"/>
          <w:sz w:val="24"/>
          <w:szCs w:val="24"/>
          <w:lang w:val="en-US"/>
        </w:rPr>
        <w:t>Kyvik</w:t>
      </w:r>
      <w:proofErr w:type="spellEnd"/>
      <w:r w:rsidRPr="00307792">
        <w:rPr>
          <w:rFonts w:ascii="Times New Roman" w:eastAsia="Times New Roman" w:hAnsi="Times New Roman" w:cs="Times New Roman"/>
          <w:sz w:val="24"/>
          <w:szCs w:val="24"/>
          <w:lang w:val="en-US"/>
        </w:rPr>
        <w:t xml:space="preserve"> &amp; Larsen, 1997). As the world-class studies need greater resources and access to advanced technology, sourcing them for scholars from such countries presents a vital task. The solutions are country-specific and depend on historical, cultural and economic features and links of the country.</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For countries that were formerly part of the USSR, the structure of science funding was specific from the beginning of their independence. The</w:t>
      </w:r>
      <w:r w:rsidRPr="00A44209">
        <w:rPr>
          <w:rFonts w:ascii="Times New Roman" w:eastAsia="Times New Roman" w:hAnsi="Times New Roman" w:cs="Times New Roman"/>
          <w:sz w:val="24"/>
          <w:szCs w:val="24"/>
        </w:rPr>
        <w:t>у</w:t>
      </w:r>
      <w:r w:rsidRPr="00307792">
        <w:rPr>
          <w:rFonts w:ascii="Times New Roman" w:eastAsia="Times New Roman" w:hAnsi="Times New Roman" w:cs="Times New Roman"/>
          <w:sz w:val="24"/>
          <w:szCs w:val="24"/>
          <w:lang w:val="en-US"/>
        </w:rPr>
        <w:t xml:space="preserve"> inherited the planned and centralized system with its primacy of "themes'' and state assignments (Graham, 1993). There was no NSF-style grant system and, in fact, the financing of research depended on the actions of scientists to a lesser degree (Schott, 1992). Research management and distribution of the resources was administrative and centralized. The majority of fundamental research was done in the institutes of the USSR Academy of Sciences which were mostly located in Russia (</w:t>
      </w:r>
      <w:proofErr w:type="spellStart"/>
      <w:r w:rsidRPr="00307792">
        <w:rPr>
          <w:rFonts w:ascii="Times New Roman" w:eastAsia="Times New Roman" w:hAnsi="Times New Roman" w:cs="Times New Roman"/>
          <w:sz w:val="24"/>
          <w:szCs w:val="24"/>
          <w:lang w:val="en-US"/>
        </w:rPr>
        <w:t>Rabkin</w:t>
      </w:r>
      <w:proofErr w:type="spellEnd"/>
      <w:r w:rsidRPr="00307792">
        <w:rPr>
          <w:rFonts w:ascii="Times New Roman" w:eastAsia="Times New Roman" w:hAnsi="Times New Roman" w:cs="Times New Roman"/>
          <w:sz w:val="24"/>
          <w:szCs w:val="24"/>
          <w:lang w:val="en-US"/>
        </w:rPr>
        <w:t xml:space="preserve"> &amp; </w:t>
      </w:r>
      <w:proofErr w:type="spellStart"/>
      <w:r w:rsidRPr="00307792">
        <w:rPr>
          <w:rFonts w:ascii="Times New Roman" w:eastAsia="Times New Roman" w:hAnsi="Times New Roman" w:cs="Times New Roman"/>
          <w:sz w:val="24"/>
          <w:szCs w:val="24"/>
          <w:lang w:val="en-US"/>
        </w:rPr>
        <w:t>Mirskaya</w:t>
      </w:r>
      <w:proofErr w:type="spellEnd"/>
      <w:r w:rsidRPr="00307792">
        <w:rPr>
          <w:rFonts w:ascii="Times New Roman" w:eastAsia="Times New Roman" w:hAnsi="Times New Roman" w:cs="Times New Roman"/>
          <w:sz w:val="24"/>
          <w:szCs w:val="24"/>
          <w:lang w:val="en-US"/>
        </w:rPr>
        <w:t xml:space="preserve">, 1993, </w:t>
      </w:r>
      <w:proofErr w:type="spellStart"/>
      <w:r w:rsidRPr="00307792">
        <w:rPr>
          <w:rFonts w:ascii="Times New Roman" w:eastAsia="Times New Roman" w:hAnsi="Times New Roman" w:cs="Times New Roman"/>
          <w:sz w:val="24"/>
          <w:szCs w:val="24"/>
          <w:lang w:val="en-US"/>
        </w:rPr>
        <w:t>Sterligov</w:t>
      </w:r>
      <w:proofErr w:type="spellEnd"/>
      <w:r w:rsidRPr="00307792">
        <w:rPr>
          <w:rFonts w:ascii="Times New Roman" w:eastAsia="Times New Roman" w:hAnsi="Times New Roman" w:cs="Times New Roman"/>
          <w:sz w:val="24"/>
          <w:szCs w:val="24"/>
          <w:lang w:val="en-US"/>
        </w:rPr>
        <w:t>, 2023).</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With the collapse of the USSR, the post-Soviet countries were finally able to organize and develop national science in their own way, but also experienced a sharp decline in state R&amp;D funding. In the transition period, researchers were forced to seek additional funding on their own, or to change their occupation or to go abroad (Ganguli, 2014). Foreign research funds have played an important role in supporting the R&amp;D activities of individual researchers and research groups (Ball &amp; Gerber 2005, Ganguli, 2017). In countries with low spending on R&amp;D (Annex, tab 1), foreign grants continue to play a significant role, for example in Tajikistan (</w:t>
      </w:r>
      <w:proofErr w:type="spellStart"/>
      <w:r w:rsidRPr="00307792">
        <w:rPr>
          <w:rFonts w:ascii="Times New Roman" w:eastAsia="Times New Roman" w:hAnsi="Times New Roman" w:cs="Times New Roman"/>
          <w:sz w:val="24"/>
          <w:szCs w:val="24"/>
          <w:lang w:val="en-US"/>
        </w:rPr>
        <w:t>Kataeva</w:t>
      </w:r>
      <w:proofErr w:type="spellEnd"/>
      <w:r w:rsidRPr="00307792">
        <w:rPr>
          <w:rFonts w:ascii="Times New Roman" w:eastAsia="Times New Roman" w:hAnsi="Times New Roman" w:cs="Times New Roman"/>
          <w:sz w:val="24"/>
          <w:szCs w:val="24"/>
          <w:lang w:val="en-US"/>
        </w:rPr>
        <w:t xml:space="preserve"> &amp; </w:t>
      </w:r>
      <w:proofErr w:type="spellStart"/>
      <w:r w:rsidRPr="00307792">
        <w:rPr>
          <w:rFonts w:ascii="Times New Roman" w:eastAsia="Times New Roman" w:hAnsi="Times New Roman" w:cs="Times New Roman"/>
          <w:sz w:val="24"/>
          <w:szCs w:val="24"/>
          <w:lang w:val="en-US"/>
        </w:rPr>
        <w:t>DeYoung</w:t>
      </w:r>
      <w:proofErr w:type="spellEnd"/>
      <w:r w:rsidRPr="00307792">
        <w:rPr>
          <w:rFonts w:ascii="Times New Roman" w:eastAsia="Times New Roman" w:hAnsi="Times New Roman" w:cs="Times New Roman"/>
          <w:sz w:val="24"/>
          <w:szCs w:val="24"/>
          <w:lang w:val="en-US"/>
        </w:rPr>
        <w:t>, 2018). In addition, national grant systems have started to emerge and a shift from funding of institutions to competitive project funding has begun (</w:t>
      </w:r>
      <w:proofErr w:type="spellStart"/>
      <w:r w:rsidRPr="00307792">
        <w:rPr>
          <w:rFonts w:ascii="Times New Roman" w:eastAsia="Times New Roman" w:hAnsi="Times New Roman" w:cs="Times New Roman"/>
          <w:sz w:val="24"/>
          <w:szCs w:val="24"/>
          <w:lang w:val="en-US"/>
        </w:rPr>
        <w:t>Masso</w:t>
      </w:r>
      <w:proofErr w:type="spellEnd"/>
      <w:r w:rsidRPr="00307792">
        <w:rPr>
          <w:rFonts w:ascii="Times New Roman" w:eastAsia="Times New Roman" w:hAnsi="Times New Roman" w:cs="Times New Roman"/>
          <w:sz w:val="24"/>
          <w:szCs w:val="24"/>
          <w:lang w:val="en-US"/>
        </w:rPr>
        <w:t xml:space="preserve"> &amp; </w:t>
      </w:r>
      <w:proofErr w:type="spellStart"/>
      <w:r w:rsidRPr="00307792">
        <w:rPr>
          <w:rFonts w:ascii="Times New Roman" w:eastAsia="Times New Roman" w:hAnsi="Times New Roman" w:cs="Times New Roman"/>
          <w:sz w:val="24"/>
          <w:szCs w:val="24"/>
          <w:lang w:val="en-US"/>
        </w:rPr>
        <w:t>Ukrainski</w:t>
      </w:r>
      <w:proofErr w:type="spellEnd"/>
      <w:r w:rsidRPr="00307792">
        <w:rPr>
          <w:rFonts w:ascii="Times New Roman" w:eastAsia="Times New Roman" w:hAnsi="Times New Roman" w:cs="Times New Roman"/>
          <w:sz w:val="24"/>
          <w:szCs w:val="24"/>
          <w:lang w:val="en-US"/>
        </w:rPr>
        <w:t xml:space="preserve">, 2009, </w:t>
      </w:r>
      <w:proofErr w:type="spellStart"/>
      <w:r w:rsidRPr="00307792">
        <w:rPr>
          <w:rFonts w:ascii="Times New Roman" w:eastAsia="Times New Roman" w:hAnsi="Times New Roman" w:cs="Times New Roman"/>
          <w:sz w:val="24"/>
          <w:szCs w:val="24"/>
          <w:lang w:val="en-US"/>
        </w:rPr>
        <w:t>Kazakevich</w:t>
      </w:r>
      <w:proofErr w:type="spellEnd"/>
      <w:r w:rsidRPr="00307792">
        <w:rPr>
          <w:rFonts w:ascii="Times New Roman" w:eastAsia="Times New Roman" w:hAnsi="Times New Roman" w:cs="Times New Roman"/>
          <w:sz w:val="24"/>
          <w:szCs w:val="24"/>
          <w:lang w:val="en-US"/>
        </w:rPr>
        <w:t xml:space="preserve"> &amp; </w:t>
      </w:r>
      <w:proofErr w:type="spellStart"/>
      <w:r w:rsidRPr="00307792">
        <w:rPr>
          <w:rFonts w:ascii="Times New Roman" w:eastAsia="Times New Roman" w:hAnsi="Times New Roman" w:cs="Times New Roman"/>
          <w:sz w:val="24"/>
          <w:szCs w:val="24"/>
          <w:lang w:val="en-US"/>
        </w:rPr>
        <w:t>Goroshko</w:t>
      </w:r>
      <w:proofErr w:type="spellEnd"/>
      <w:r w:rsidRPr="00307792">
        <w:rPr>
          <w:rFonts w:ascii="Times New Roman" w:eastAsia="Times New Roman" w:hAnsi="Times New Roman" w:cs="Times New Roman"/>
          <w:sz w:val="24"/>
          <w:szCs w:val="24"/>
          <w:lang w:val="en-US"/>
        </w:rPr>
        <w:t xml:space="preserve">, 2019, </w:t>
      </w:r>
      <w:proofErr w:type="spellStart"/>
      <w:r w:rsidRPr="00307792">
        <w:rPr>
          <w:rFonts w:ascii="Times New Roman" w:eastAsia="Times New Roman" w:hAnsi="Times New Roman" w:cs="Times New Roman"/>
          <w:sz w:val="24"/>
          <w:szCs w:val="24"/>
          <w:lang w:val="en-US"/>
        </w:rPr>
        <w:t>Tõnismann</w:t>
      </w:r>
      <w:proofErr w:type="spellEnd"/>
      <w:r w:rsidRPr="00307792">
        <w:rPr>
          <w:rFonts w:ascii="Times New Roman" w:eastAsia="Times New Roman" w:hAnsi="Times New Roman" w:cs="Times New Roman"/>
          <w:sz w:val="24"/>
          <w:szCs w:val="24"/>
          <w:lang w:val="en-US"/>
        </w:rPr>
        <w:t xml:space="preserve">, 2019, </w:t>
      </w:r>
      <w:proofErr w:type="spellStart"/>
      <w:r w:rsidRPr="00307792">
        <w:rPr>
          <w:rFonts w:ascii="Times New Roman" w:eastAsia="Times New Roman" w:hAnsi="Times New Roman" w:cs="Times New Roman"/>
          <w:sz w:val="24"/>
          <w:szCs w:val="24"/>
          <w:lang w:val="en-US"/>
        </w:rPr>
        <w:t>Kuzhabekova</w:t>
      </w:r>
      <w:proofErr w:type="spellEnd"/>
      <w:r w:rsidRPr="00307792">
        <w:rPr>
          <w:rFonts w:ascii="Times New Roman" w:eastAsia="Times New Roman" w:hAnsi="Times New Roman" w:cs="Times New Roman"/>
          <w:sz w:val="24"/>
          <w:szCs w:val="24"/>
          <w:lang w:val="en-US"/>
        </w:rPr>
        <w:t xml:space="preserve"> &amp; </w:t>
      </w:r>
      <w:proofErr w:type="spellStart"/>
      <w:r w:rsidRPr="00307792">
        <w:rPr>
          <w:rFonts w:ascii="Times New Roman" w:eastAsia="Times New Roman" w:hAnsi="Times New Roman" w:cs="Times New Roman"/>
          <w:sz w:val="24"/>
          <w:szCs w:val="24"/>
          <w:lang w:val="en-US"/>
        </w:rPr>
        <w:t>Mukhamejanova</w:t>
      </w:r>
      <w:proofErr w:type="spellEnd"/>
      <w:r w:rsidRPr="00307792">
        <w:rPr>
          <w:rFonts w:ascii="Times New Roman" w:eastAsia="Times New Roman" w:hAnsi="Times New Roman" w:cs="Times New Roman"/>
          <w:sz w:val="24"/>
          <w:szCs w:val="24"/>
          <w:lang w:val="en-US"/>
        </w:rPr>
        <w:t xml:space="preserve">, 2017, </w:t>
      </w:r>
      <w:proofErr w:type="spellStart"/>
      <w:r w:rsidRPr="00307792">
        <w:rPr>
          <w:rFonts w:ascii="Times New Roman" w:eastAsia="Times New Roman" w:hAnsi="Times New Roman" w:cs="Times New Roman"/>
          <w:sz w:val="24"/>
          <w:szCs w:val="24"/>
          <w:lang w:val="en-US"/>
        </w:rPr>
        <w:t>Ashurov</w:t>
      </w:r>
      <w:proofErr w:type="spellEnd"/>
      <w:r w:rsidRPr="00307792">
        <w:rPr>
          <w:rFonts w:ascii="Times New Roman" w:eastAsia="Times New Roman" w:hAnsi="Times New Roman" w:cs="Times New Roman"/>
          <w:sz w:val="24"/>
          <w:szCs w:val="24"/>
          <w:lang w:val="en-US"/>
        </w:rPr>
        <w:t xml:space="preserve">, 2020, </w:t>
      </w:r>
      <w:proofErr w:type="spellStart"/>
      <w:r w:rsidRPr="00307792">
        <w:rPr>
          <w:rFonts w:ascii="Times New Roman" w:eastAsia="Times New Roman" w:hAnsi="Times New Roman" w:cs="Times New Roman"/>
          <w:sz w:val="24"/>
          <w:szCs w:val="24"/>
          <w:lang w:val="en-US"/>
        </w:rPr>
        <w:t>Sabzalieva</w:t>
      </w:r>
      <w:proofErr w:type="spellEnd"/>
      <w:r w:rsidRPr="00307792">
        <w:rPr>
          <w:rFonts w:ascii="Times New Roman" w:eastAsia="Times New Roman" w:hAnsi="Times New Roman" w:cs="Times New Roman"/>
          <w:sz w:val="24"/>
          <w:szCs w:val="24"/>
          <w:lang w:val="en-US"/>
        </w:rPr>
        <w:t xml:space="preserve"> 2020, </w:t>
      </w:r>
      <w:proofErr w:type="spellStart"/>
      <w:r w:rsidRPr="00307792">
        <w:rPr>
          <w:rFonts w:ascii="Times New Roman" w:eastAsia="Times New Roman" w:hAnsi="Times New Roman" w:cs="Times New Roman"/>
          <w:sz w:val="24"/>
          <w:szCs w:val="24"/>
          <w:lang w:val="en-US"/>
        </w:rPr>
        <w:t>Shamshieva</w:t>
      </w:r>
      <w:proofErr w:type="spellEnd"/>
      <w:r w:rsidRPr="00307792">
        <w:rPr>
          <w:rFonts w:ascii="Times New Roman" w:eastAsia="Times New Roman" w:hAnsi="Times New Roman" w:cs="Times New Roman"/>
          <w:sz w:val="24"/>
          <w:szCs w:val="24"/>
          <w:lang w:val="en-US"/>
        </w:rPr>
        <w:t xml:space="preserve">, 2022). Despite the fact that most countries have declared a transition to </w:t>
      </w:r>
      <w:r w:rsidRPr="00A44209">
        <w:rPr>
          <w:rFonts w:ascii="Times New Roman" w:eastAsia="Times New Roman" w:hAnsi="Times New Roman" w:cs="Times New Roman"/>
          <w:sz w:val="24"/>
          <w:szCs w:val="24"/>
        </w:rPr>
        <w:t>с</w:t>
      </w:r>
      <w:proofErr w:type="spellStart"/>
      <w:r w:rsidRPr="00307792">
        <w:rPr>
          <w:rFonts w:ascii="Times New Roman" w:eastAsia="Times New Roman" w:hAnsi="Times New Roman" w:cs="Times New Roman"/>
          <w:sz w:val="24"/>
          <w:szCs w:val="24"/>
          <w:lang w:val="en-US"/>
        </w:rPr>
        <w:t>ompetition</w:t>
      </w:r>
      <w:proofErr w:type="spellEnd"/>
      <w:r w:rsidRPr="00307792">
        <w:rPr>
          <w:rFonts w:ascii="Times New Roman" w:eastAsia="Times New Roman" w:hAnsi="Times New Roman" w:cs="Times New Roman"/>
          <w:sz w:val="24"/>
          <w:szCs w:val="24"/>
          <w:lang w:val="en-US"/>
        </w:rPr>
        <w:t>-based funding, the degree of implementation of competition-based funding varies greatly from country to country. For example in Estonia more than 70% of public funds had been allocated through competitive mechanisms by 2011, in contrast, in Belarus by 2018 only 10% of the funds were allocated in such a way. Also the role of the private sector has grown. Some countries began actively developing intergovernmental integration projects (</w:t>
      </w:r>
      <w:proofErr w:type="spellStart"/>
      <w:r w:rsidRPr="00307792">
        <w:rPr>
          <w:rFonts w:ascii="Times New Roman" w:eastAsia="Times New Roman" w:hAnsi="Times New Roman" w:cs="Times New Roman"/>
          <w:sz w:val="24"/>
          <w:szCs w:val="24"/>
          <w:lang w:val="en-US"/>
        </w:rPr>
        <w:t>Allik</w:t>
      </w:r>
      <w:proofErr w:type="spellEnd"/>
      <w:r w:rsidRPr="00307792">
        <w:rPr>
          <w:rFonts w:ascii="Times New Roman" w:eastAsia="Times New Roman" w:hAnsi="Times New Roman" w:cs="Times New Roman"/>
          <w:sz w:val="24"/>
          <w:szCs w:val="24"/>
          <w:lang w:val="en-US"/>
        </w:rPr>
        <w:t>, 2003), and all of them intensified international collaboration measured via public</w:t>
      </w:r>
      <w:r w:rsidR="00316438" w:rsidRPr="00307792">
        <w:rPr>
          <w:rFonts w:ascii="Times New Roman" w:eastAsia="Times New Roman" w:hAnsi="Times New Roman" w:cs="Times New Roman"/>
          <w:sz w:val="24"/>
          <w:szCs w:val="24"/>
          <w:lang w:val="en-US"/>
        </w:rPr>
        <w:t>ations (Matveeva et al., 2022).</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 xml:space="preserve">Over the 30 years after the collapse of the USSR, the situation in the </w:t>
      </w:r>
      <w:r w:rsidR="009F23E8" w:rsidRPr="00307792">
        <w:rPr>
          <w:rFonts w:ascii="Times New Roman" w:eastAsia="Times New Roman" w:hAnsi="Times New Roman" w:cs="Times New Roman"/>
          <w:sz w:val="24"/>
          <w:szCs w:val="24"/>
          <w:lang w:val="en-US"/>
        </w:rPr>
        <w:t xml:space="preserve">countries </w:t>
      </w:r>
      <w:r w:rsidRPr="00307792">
        <w:rPr>
          <w:rFonts w:ascii="Times New Roman" w:eastAsia="Times New Roman" w:hAnsi="Times New Roman" w:cs="Times New Roman"/>
          <w:sz w:val="24"/>
          <w:szCs w:val="24"/>
          <w:lang w:val="en-US"/>
        </w:rPr>
        <w:t>has changed dramatically and now they are not only independent, but also completely different in terms of the scale, organization and effectiveness of R&amp;D (</w:t>
      </w:r>
      <w:proofErr w:type="spellStart"/>
      <w:r w:rsidRPr="00307792">
        <w:rPr>
          <w:rFonts w:ascii="Times New Roman" w:eastAsia="Times New Roman" w:hAnsi="Times New Roman" w:cs="Times New Roman"/>
          <w:sz w:val="24"/>
          <w:szCs w:val="24"/>
          <w:lang w:val="en-US"/>
        </w:rPr>
        <w:t>Chankseliani</w:t>
      </w:r>
      <w:proofErr w:type="spellEnd"/>
      <w:r w:rsidRPr="00307792">
        <w:rPr>
          <w:rFonts w:ascii="Times New Roman" w:eastAsia="Times New Roman" w:hAnsi="Times New Roman" w:cs="Times New Roman"/>
          <w:sz w:val="24"/>
          <w:szCs w:val="24"/>
          <w:lang w:val="en-US"/>
        </w:rPr>
        <w:t xml:space="preserve"> et al., 2021). </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Collaboration with other countries may be a way to acquire additional sources. Indeed, post-Soviet countries from Caucasus and Central Asia with a high level of internationally co-authored papers receive much support from abroad (</w:t>
      </w:r>
      <w:proofErr w:type="spellStart"/>
      <w:r w:rsidRPr="00307792">
        <w:rPr>
          <w:rFonts w:ascii="Times New Roman" w:eastAsia="Times New Roman" w:hAnsi="Times New Roman" w:cs="Times New Roman"/>
          <w:sz w:val="24"/>
          <w:szCs w:val="24"/>
          <w:lang w:val="en-US"/>
        </w:rPr>
        <w:t>Chankseliani</w:t>
      </w:r>
      <w:proofErr w:type="spellEnd"/>
      <w:r w:rsidRPr="00307792">
        <w:rPr>
          <w:rFonts w:ascii="Times New Roman" w:eastAsia="Times New Roman" w:hAnsi="Times New Roman" w:cs="Times New Roman"/>
          <w:sz w:val="24"/>
          <w:szCs w:val="24"/>
          <w:lang w:val="en-US"/>
        </w:rPr>
        <w:t>, 2023). Baltic countries are an example of rapid scientific integration with the European Union (</w:t>
      </w:r>
      <w:proofErr w:type="spellStart"/>
      <w:r w:rsidRPr="00307792">
        <w:rPr>
          <w:rFonts w:ascii="Times New Roman" w:eastAsia="Times New Roman" w:hAnsi="Times New Roman" w:cs="Times New Roman"/>
          <w:sz w:val="24"/>
          <w:szCs w:val="24"/>
          <w:lang w:val="en-US"/>
        </w:rPr>
        <w:t>Allik</w:t>
      </w:r>
      <w:proofErr w:type="spellEnd"/>
      <w:r w:rsidRPr="00307792">
        <w:rPr>
          <w:rFonts w:ascii="Times New Roman" w:eastAsia="Times New Roman" w:hAnsi="Times New Roman" w:cs="Times New Roman"/>
          <w:sz w:val="24"/>
          <w:szCs w:val="24"/>
          <w:lang w:val="en-US"/>
        </w:rPr>
        <w:t>, 2003).</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 xml:space="preserve">It is reasonable to assume that due to the size and research capacity, the role of external sources will be great for small post-Soviet countries, and the configuration of sources may reflect geography and geopolitics best explored via linking sources to local authors. Our study deals with the following questions: how is the funding of cutting-edge research sourced </w:t>
      </w:r>
      <w:r w:rsidRPr="00307792">
        <w:rPr>
          <w:rFonts w:ascii="Times New Roman" w:eastAsia="Times New Roman" w:hAnsi="Times New Roman" w:cs="Times New Roman"/>
          <w:sz w:val="24"/>
          <w:szCs w:val="24"/>
          <w:lang w:val="en-US"/>
        </w:rPr>
        <w:lastRenderedPageBreak/>
        <w:t>in the post-Soviet countries, how similar are the funding models, which types of sources prevail in each country, and how dependent is this research on foreign funding.</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 xml:space="preserve">Accordingly, we developed and applied a classification of funding sources that includes not only country affiliation of funding sources, but also provides information about authors’ funding links, government or institutional funding. We focus on the internationally visible subset of countries’ publications, which is not only more robust in terms of academic quality and integrity, but also depends on complex funding amalgamations in terms of </w:t>
      </w:r>
      <w:proofErr w:type="spellStart"/>
      <w:r w:rsidRPr="00307792">
        <w:rPr>
          <w:rFonts w:ascii="Times New Roman" w:eastAsia="Times New Roman" w:hAnsi="Times New Roman" w:cs="Times New Roman"/>
          <w:sz w:val="24"/>
          <w:szCs w:val="24"/>
          <w:lang w:val="en-US"/>
        </w:rPr>
        <w:t>Aagaard</w:t>
      </w:r>
      <w:proofErr w:type="spellEnd"/>
      <w:r w:rsidRPr="00307792">
        <w:rPr>
          <w:rFonts w:ascii="Times New Roman" w:eastAsia="Times New Roman" w:hAnsi="Times New Roman" w:cs="Times New Roman"/>
          <w:sz w:val="24"/>
          <w:szCs w:val="24"/>
          <w:lang w:val="en-US"/>
        </w:rPr>
        <w:t xml:space="preserve"> and coauthors (2021). This justi</w:t>
      </w:r>
      <w:r w:rsidR="00A44209" w:rsidRPr="00307792">
        <w:rPr>
          <w:rFonts w:ascii="Times New Roman" w:eastAsia="Times New Roman" w:hAnsi="Times New Roman" w:cs="Times New Roman"/>
          <w:sz w:val="24"/>
          <w:szCs w:val="24"/>
          <w:lang w:val="en-US"/>
        </w:rPr>
        <w:t>fies a more granular approach.</w:t>
      </w:r>
    </w:p>
    <w:p w:rsidR="002B3138" w:rsidRPr="00307792" w:rsidRDefault="002B3138">
      <w:pPr>
        <w:pStyle w:val="10"/>
        <w:rPr>
          <w:color w:val="0B5394"/>
          <w:lang w:val="en-US"/>
        </w:rPr>
      </w:pPr>
    </w:p>
    <w:p w:rsidR="002B3138" w:rsidRPr="00A44209" w:rsidRDefault="004F30A1" w:rsidP="00A44209">
      <w:pPr>
        <w:pStyle w:val="2"/>
        <w:spacing w:after="80"/>
        <w:jc w:val="both"/>
        <w:rPr>
          <w:rFonts w:ascii="Times New Roman" w:eastAsia="Times New Roman" w:hAnsi="Times New Roman" w:cs="Times New Roman"/>
          <w:b/>
          <w:bCs/>
          <w:sz w:val="24"/>
          <w:szCs w:val="24"/>
          <w:lang w:val="en-GB" w:eastAsia="sv-SE"/>
        </w:rPr>
      </w:pPr>
      <w:r w:rsidRPr="00A44209">
        <w:rPr>
          <w:rFonts w:ascii="Times New Roman" w:eastAsia="Times New Roman" w:hAnsi="Times New Roman" w:cs="Times New Roman"/>
          <w:b/>
          <w:bCs/>
          <w:sz w:val="24"/>
          <w:szCs w:val="24"/>
          <w:lang w:val="en-GB" w:eastAsia="sv-SE"/>
        </w:rPr>
        <w:t>2. Data and Methodology</w:t>
      </w:r>
    </w:p>
    <w:p w:rsidR="002B3138" w:rsidRPr="00307792" w:rsidRDefault="002B3138">
      <w:pPr>
        <w:pStyle w:val="10"/>
        <w:rPr>
          <w:rFonts w:ascii="Times New Roman" w:eastAsia="Times New Roman" w:hAnsi="Times New Roman" w:cs="Times New Roman"/>
          <w:b/>
          <w:sz w:val="28"/>
          <w:szCs w:val="28"/>
          <w:lang w:val="en-US"/>
        </w:rPr>
      </w:pPr>
    </w:p>
    <w:p w:rsidR="002B3138" w:rsidRPr="00A44209" w:rsidRDefault="004F30A1" w:rsidP="00A44209">
      <w:pPr>
        <w:pStyle w:val="3"/>
        <w:keepLines w:val="0"/>
        <w:spacing w:before="0" w:after="0" w:line="240" w:lineRule="auto"/>
        <w:jc w:val="both"/>
        <w:rPr>
          <w:rFonts w:ascii="Times New Roman" w:eastAsia="Times New Roman" w:hAnsi="Times New Roman" w:cs="Times New Roman"/>
          <w:i/>
          <w:iCs/>
          <w:color w:val="auto"/>
          <w:sz w:val="24"/>
          <w:szCs w:val="24"/>
          <w:lang w:val="en-GB" w:eastAsia="sv-SE"/>
        </w:rPr>
      </w:pPr>
      <w:r w:rsidRPr="00A44209">
        <w:rPr>
          <w:rFonts w:ascii="Times New Roman" w:eastAsia="Times New Roman" w:hAnsi="Times New Roman" w:cs="Times New Roman"/>
          <w:i/>
          <w:iCs/>
          <w:color w:val="auto"/>
          <w:sz w:val="24"/>
          <w:szCs w:val="24"/>
          <w:lang w:val="en-GB" w:eastAsia="sv-SE"/>
        </w:rPr>
        <w:t>2.1 Data</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 xml:space="preserve">The need for manual analysis and classification of FAs to achieve desired granularity determines the relatively modest size of the dataset, which comprises 1846 publications in the most prominent science journals. </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 xml:space="preserve">We use the Nature Index (NI) as a proxy of such prominence. It is a well-known selective (82 titles) list composed not by formulaic bibliometrics, but using an expert judgment of panels of top independent scholars complemented by a broad survey. It is intended that the list of journals “amounts to a reasonably consensual upper echelon of journals in the natural sciences”, including both multidisciplinary journals and the most highly selective journals within the main disciplines of the natural sciences. Nature Index is used in </w:t>
      </w:r>
      <w:proofErr w:type="spellStart"/>
      <w:r w:rsidRPr="00307792">
        <w:rPr>
          <w:rFonts w:ascii="Times New Roman" w:eastAsia="Times New Roman" w:hAnsi="Times New Roman" w:cs="Times New Roman"/>
          <w:sz w:val="24"/>
          <w:szCs w:val="24"/>
          <w:lang w:val="en-US"/>
        </w:rPr>
        <w:t>bibliometrics</w:t>
      </w:r>
      <w:proofErr w:type="spellEnd"/>
      <w:r w:rsidRPr="00307792">
        <w:rPr>
          <w:rFonts w:ascii="Times New Roman" w:eastAsia="Times New Roman" w:hAnsi="Times New Roman" w:cs="Times New Roman"/>
          <w:sz w:val="24"/>
          <w:szCs w:val="24"/>
          <w:lang w:val="en-US"/>
        </w:rPr>
        <w:t xml:space="preserve"> (</w:t>
      </w:r>
      <w:proofErr w:type="spellStart"/>
      <w:r w:rsidRPr="00307792">
        <w:rPr>
          <w:rFonts w:ascii="Times New Roman" w:eastAsia="Times New Roman" w:hAnsi="Times New Roman" w:cs="Times New Roman"/>
          <w:sz w:val="24"/>
          <w:szCs w:val="24"/>
          <w:lang w:val="en-US"/>
        </w:rPr>
        <w:t>Bendels</w:t>
      </w:r>
      <w:proofErr w:type="spellEnd"/>
      <w:r w:rsidRPr="00307792">
        <w:rPr>
          <w:rFonts w:ascii="Times New Roman" w:eastAsia="Times New Roman" w:hAnsi="Times New Roman" w:cs="Times New Roman"/>
          <w:sz w:val="24"/>
          <w:szCs w:val="24"/>
          <w:lang w:val="en-US"/>
        </w:rPr>
        <w:t xml:space="preserve"> et al</w:t>
      </w:r>
      <w:r w:rsidR="00A44209" w:rsidRPr="00307792">
        <w:rPr>
          <w:rFonts w:ascii="Times New Roman" w:eastAsia="Times New Roman" w:hAnsi="Times New Roman" w:cs="Times New Roman"/>
          <w:sz w:val="24"/>
          <w:szCs w:val="24"/>
          <w:lang w:val="en-US"/>
        </w:rPr>
        <w:t>.,</w:t>
      </w:r>
      <w:r w:rsidRPr="00307792">
        <w:rPr>
          <w:rFonts w:ascii="Times New Roman" w:eastAsia="Times New Roman" w:hAnsi="Times New Roman" w:cs="Times New Roman"/>
          <w:sz w:val="24"/>
          <w:szCs w:val="24"/>
          <w:lang w:val="en-US"/>
        </w:rPr>
        <w:t xml:space="preserve"> 2018), and also in FA studies (</w:t>
      </w:r>
      <w:proofErr w:type="spellStart"/>
      <w:r w:rsidRPr="00307792">
        <w:rPr>
          <w:rFonts w:ascii="Times New Roman" w:eastAsia="Times New Roman" w:hAnsi="Times New Roman" w:cs="Times New Roman"/>
          <w:sz w:val="24"/>
          <w:szCs w:val="24"/>
          <w:lang w:val="en-US"/>
        </w:rPr>
        <w:t>Sterligov</w:t>
      </w:r>
      <w:proofErr w:type="spellEnd"/>
      <w:r w:rsidRPr="00307792">
        <w:rPr>
          <w:rFonts w:ascii="Times New Roman" w:eastAsia="Times New Roman" w:hAnsi="Times New Roman" w:cs="Times New Roman"/>
          <w:sz w:val="24"/>
          <w:szCs w:val="24"/>
          <w:lang w:val="en-US"/>
        </w:rPr>
        <w:t xml:space="preserve"> et al</w:t>
      </w:r>
      <w:r w:rsidR="00A44209" w:rsidRPr="00307792">
        <w:rPr>
          <w:rFonts w:ascii="Times New Roman" w:eastAsia="Times New Roman" w:hAnsi="Times New Roman" w:cs="Times New Roman"/>
          <w:sz w:val="24"/>
          <w:szCs w:val="24"/>
          <w:lang w:val="en-US"/>
        </w:rPr>
        <w:t>.,</w:t>
      </w:r>
      <w:r w:rsidRPr="00307792">
        <w:rPr>
          <w:rFonts w:ascii="Times New Roman" w:eastAsia="Times New Roman" w:hAnsi="Times New Roman" w:cs="Times New Roman"/>
          <w:sz w:val="24"/>
          <w:szCs w:val="24"/>
          <w:lang w:val="en-US"/>
        </w:rPr>
        <w:t xml:space="preserve"> 2020).</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We choose journal-based approach instead of the citation percentile approach because this leads to a more robust and uniform dataset in a sense that the surveyed papers have undergone rigorous peer review, and the editorial standards were high. Also, NI journals on average have better metadata quality and are better indexed in the databases, including FA fields, which is important for our case. NI excludes medicine and SSH fields, which are quite different to natural sciences with regard to funding, and are not covered by this study.</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The surveyed countries are: Kyrgyzstan, Tajikistan, Estonia, Armenia, Belarus, Kazakhstan, Uzbekistan, Moldova, Latvia, Lithuania, Georgia, and Azerbaijan. We exclude Russia and Ukraine due to their much bigger size.</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 xml:space="preserve">Our dataset comprises all NI articles and reviews published in 2017-2021 and affiliated with at least one of the surveyed countries in Scopus database, excluding papers by large (&gt;20 authors) teams. Such </w:t>
      </w:r>
      <w:r w:rsidR="006223AF" w:rsidRPr="00307792">
        <w:rPr>
          <w:rFonts w:ascii="Times New Roman" w:eastAsia="Times New Roman" w:hAnsi="Times New Roman" w:cs="Times New Roman"/>
          <w:sz w:val="24"/>
          <w:szCs w:val="24"/>
          <w:lang w:val="en-US"/>
        </w:rPr>
        <w:t>exclusion</w:t>
      </w:r>
      <w:r w:rsidRPr="00307792">
        <w:rPr>
          <w:rFonts w:ascii="Times New Roman" w:eastAsia="Times New Roman" w:hAnsi="Times New Roman" w:cs="Times New Roman"/>
          <w:sz w:val="24"/>
          <w:szCs w:val="24"/>
          <w:lang w:val="en-US"/>
        </w:rPr>
        <w:t xml:space="preserve"> limits our focus to the papers where it is reasonable to expect significant input from all the participants, as opposed to “</w:t>
      </w:r>
      <w:proofErr w:type="spellStart"/>
      <w:r w:rsidRPr="00307792">
        <w:rPr>
          <w:rFonts w:ascii="Times New Roman" w:eastAsia="Times New Roman" w:hAnsi="Times New Roman" w:cs="Times New Roman"/>
          <w:sz w:val="24"/>
          <w:szCs w:val="24"/>
          <w:lang w:val="en-US"/>
        </w:rPr>
        <w:t>hyperauthored</w:t>
      </w:r>
      <w:proofErr w:type="spellEnd"/>
      <w:r w:rsidRPr="00307792">
        <w:rPr>
          <w:rFonts w:ascii="Times New Roman" w:eastAsia="Times New Roman" w:hAnsi="Times New Roman" w:cs="Times New Roman"/>
          <w:sz w:val="24"/>
          <w:szCs w:val="24"/>
          <w:lang w:val="en-US"/>
        </w:rPr>
        <w:t>” papers severely skewing metrics for smaller countries of the region (</w:t>
      </w:r>
      <w:proofErr w:type="spellStart"/>
      <w:r w:rsidRPr="00307792">
        <w:rPr>
          <w:rFonts w:ascii="Times New Roman" w:eastAsia="Times New Roman" w:hAnsi="Times New Roman" w:cs="Times New Roman"/>
          <w:sz w:val="24"/>
          <w:szCs w:val="24"/>
          <w:lang w:val="en-US"/>
        </w:rPr>
        <w:t>Tarkhan-Mouravi</w:t>
      </w:r>
      <w:proofErr w:type="spellEnd"/>
      <w:r w:rsidRPr="00307792">
        <w:rPr>
          <w:rFonts w:ascii="Times New Roman" w:eastAsia="Times New Roman" w:hAnsi="Times New Roman" w:cs="Times New Roman"/>
          <w:sz w:val="24"/>
          <w:szCs w:val="24"/>
          <w:lang w:val="en-US"/>
        </w:rPr>
        <w:t>, 2020).</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We use full FA texts exported from Scopus when possible. If Scopus had no FA for a paper or FA seemed to be abridged, FAs were manually added from the PDFs of the articles, this occurred in ca. 10% of cases.</w:t>
      </w:r>
    </w:p>
    <w:p w:rsidR="002B3138" w:rsidRPr="00307792" w:rsidRDefault="004F30A1" w:rsidP="00A4420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Surveyed countries vary in terms of the publication counts. Estonia has the highest number of publications (599) over the observed period, while Kyrgyzstan and Tajikistan have the lowest (21 each) (Table 1).</w:t>
      </w:r>
    </w:p>
    <w:p w:rsidR="005A0E38" w:rsidRDefault="005A0E3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2B3138" w:rsidRPr="00307792" w:rsidRDefault="004F30A1" w:rsidP="00A44209">
      <w:pPr>
        <w:pStyle w:val="10"/>
        <w:spacing w:line="240" w:lineRule="auto"/>
        <w:jc w:val="center"/>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lastRenderedPageBreak/>
        <w:t>Ta</w:t>
      </w:r>
      <w:r w:rsidR="00660727">
        <w:rPr>
          <w:rFonts w:ascii="Times New Roman" w:eastAsia="Times New Roman" w:hAnsi="Times New Roman" w:cs="Times New Roman"/>
          <w:sz w:val="24"/>
          <w:szCs w:val="24"/>
          <w:lang w:val="en-US"/>
        </w:rPr>
        <w:t xml:space="preserve">ble 1. </w:t>
      </w:r>
      <w:proofErr w:type="gramStart"/>
      <w:r w:rsidR="00660727">
        <w:rPr>
          <w:rFonts w:ascii="Times New Roman" w:eastAsia="Times New Roman" w:hAnsi="Times New Roman" w:cs="Times New Roman"/>
          <w:sz w:val="24"/>
          <w:szCs w:val="24"/>
          <w:lang w:val="en-US"/>
        </w:rPr>
        <w:t>Descriptive statistic</w:t>
      </w:r>
      <w:r w:rsidR="00A44209" w:rsidRPr="00307792">
        <w:rPr>
          <w:rFonts w:ascii="Times New Roman" w:eastAsia="Times New Roman" w:hAnsi="Times New Roman" w:cs="Times New Roman"/>
          <w:sz w:val="24"/>
          <w:szCs w:val="24"/>
          <w:lang w:val="en-US"/>
        </w:rPr>
        <w:t>.</w:t>
      </w:r>
      <w:proofErr w:type="gramEnd"/>
    </w:p>
    <w:p w:rsidR="0033303F" w:rsidRPr="00307792" w:rsidRDefault="0033303F" w:rsidP="00A44209">
      <w:pPr>
        <w:pStyle w:val="10"/>
        <w:spacing w:line="240" w:lineRule="auto"/>
        <w:jc w:val="center"/>
        <w:rPr>
          <w:rFonts w:ascii="Times New Roman" w:eastAsia="Times New Roman" w:hAnsi="Times New Roman" w:cs="Times New Roman"/>
          <w:sz w:val="24"/>
          <w:szCs w:val="24"/>
          <w:lang w:val="en-US"/>
        </w:rPr>
      </w:pPr>
    </w:p>
    <w:tbl>
      <w:tblPr>
        <w:tblStyle w:val="a5"/>
        <w:tblW w:w="8910" w:type="dxa"/>
        <w:tblInd w:w="0" w:type="dxa"/>
        <w:tblBorders>
          <w:top w:val="nil"/>
          <w:left w:val="nil"/>
          <w:bottom w:val="nil"/>
          <w:right w:val="nil"/>
          <w:insideH w:val="nil"/>
          <w:insideV w:val="nil"/>
        </w:tblBorders>
        <w:tblLayout w:type="fixed"/>
        <w:tblLook w:val="0600"/>
      </w:tblPr>
      <w:tblGrid>
        <w:gridCol w:w="1575"/>
        <w:gridCol w:w="1890"/>
        <w:gridCol w:w="1575"/>
        <w:gridCol w:w="1695"/>
        <w:gridCol w:w="2175"/>
      </w:tblGrid>
      <w:tr w:rsidR="002B3138" w:rsidRPr="001F4A6D">
        <w:trPr>
          <w:trHeight w:val="470"/>
        </w:trPr>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B3138" w:rsidRPr="00307792" w:rsidRDefault="002B3138">
            <w:pPr>
              <w:pStyle w:val="10"/>
              <w:widowControl w:val="0"/>
              <w:rPr>
                <w:rFonts w:ascii="Times New Roman" w:eastAsia="Times New Roman" w:hAnsi="Times New Roman" w:cs="Times New Roman"/>
                <w:b/>
                <w:sz w:val="24"/>
                <w:szCs w:val="24"/>
                <w:highlight w:val="white"/>
                <w:lang w:val="en-US"/>
              </w:rPr>
            </w:pPr>
          </w:p>
        </w:tc>
        <w:tc>
          <w:tcPr>
            <w:tcW w:w="18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B3138" w:rsidRPr="0033303F" w:rsidRDefault="004F30A1" w:rsidP="006223AF">
            <w:pPr>
              <w:pStyle w:val="10"/>
              <w:widowControl w:val="0"/>
              <w:spacing w:line="240" w:lineRule="auto"/>
              <w:rPr>
                <w:rFonts w:ascii="Times New Roman" w:eastAsia="Times New Roman" w:hAnsi="Times New Roman" w:cs="Times New Roman"/>
                <w:b/>
                <w:sz w:val="24"/>
                <w:szCs w:val="24"/>
                <w:highlight w:val="white"/>
              </w:rPr>
            </w:pPr>
            <w:proofErr w:type="spellStart"/>
            <w:r w:rsidRPr="0033303F">
              <w:rPr>
                <w:rFonts w:ascii="Times New Roman" w:eastAsia="Times New Roman" w:hAnsi="Times New Roman" w:cs="Times New Roman"/>
                <w:b/>
                <w:sz w:val="24"/>
                <w:szCs w:val="24"/>
                <w:highlight w:val="white"/>
              </w:rPr>
              <w:t>Number</w:t>
            </w:r>
            <w:proofErr w:type="spellEnd"/>
            <w:r w:rsidRPr="0033303F">
              <w:rPr>
                <w:rFonts w:ascii="Times New Roman" w:eastAsia="Times New Roman" w:hAnsi="Times New Roman" w:cs="Times New Roman"/>
                <w:b/>
                <w:sz w:val="24"/>
                <w:szCs w:val="24"/>
                <w:highlight w:val="white"/>
              </w:rPr>
              <w:t xml:space="preserve"> </w:t>
            </w:r>
            <w:proofErr w:type="spellStart"/>
            <w:r w:rsidRPr="0033303F">
              <w:rPr>
                <w:rFonts w:ascii="Times New Roman" w:eastAsia="Times New Roman" w:hAnsi="Times New Roman" w:cs="Times New Roman"/>
                <w:b/>
                <w:sz w:val="24"/>
                <w:szCs w:val="24"/>
                <w:highlight w:val="white"/>
              </w:rPr>
              <w:t>of</w:t>
            </w:r>
            <w:proofErr w:type="spellEnd"/>
            <w:r w:rsidRPr="0033303F">
              <w:rPr>
                <w:rFonts w:ascii="Times New Roman" w:eastAsia="Times New Roman" w:hAnsi="Times New Roman" w:cs="Times New Roman"/>
                <w:b/>
                <w:sz w:val="24"/>
                <w:szCs w:val="24"/>
                <w:highlight w:val="white"/>
              </w:rPr>
              <w:t xml:space="preserve"> </w:t>
            </w:r>
            <w:proofErr w:type="spellStart"/>
            <w:r w:rsidRPr="0033303F">
              <w:rPr>
                <w:rFonts w:ascii="Times New Roman" w:eastAsia="Times New Roman" w:hAnsi="Times New Roman" w:cs="Times New Roman"/>
                <w:b/>
                <w:sz w:val="24"/>
                <w:szCs w:val="24"/>
                <w:highlight w:val="white"/>
              </w:rPr>
              <w:t>publications</w:t>
            </w:r>
            <w:proofErr w:type="spellEnd"/>
          </w:p>
        </w:tc>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B3138" w:rsidRPr="0033303F" w:rsidRDefault="004F30A1" w:rsidP="006223AF">
            <w:pPr>
              <w:pStyle w:val="10"/>
              <w:widowControl w:val="0"/>
              <w:spacing w:line="240" w:lineRule="auto"/>
              <w:rPr>
                <w:rFonts w:ascii="Times New Roman" w:eastAsia="Times New Roman" w:hAnsi="Times New Roman" w:cs="Times New Roman"/>
                <w:b/>
                <w:sz w:val="24"/>
                <w:szCs w:val="24"/>
                <w:highlight w:val="white"/>
              </w:rPr>
            </w:pPr>
            <w:r w:rsidRPr="0033303F">
              <w:rPr>
                <w:rFonts w:ascii="Times New Roman" w:eastAsia="Times New Roman" w:hAnsi="Times New Roman" w:cs="Times New Roman"/>
                <w:b/>
                <w:sz w:val="24"/>
                <w:szCs w:val="24"/>
                <w:highlight w:val="white"/>
              </w:rPr>
              <w:t>Average number of authors</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B3138" w:rsidRPr="0033303F" w:rsidRDefault="004F30A1" w:rsidP="006223AF">
            <w:pPr>
              <w:pStyle w:val="10"/>
              <w:widowControl w:val="0"/>
              <w:spacing w:line="240" w:lineRule="auto"/>
              <w:rPr>
                <w:rFonts w:ascii="Times New Roman" w:eastAsia="Times New Roman" w:hAnsi="Times New Roman" w:cs="Times New Roman"/>
                <w:b/>
                <w:sz w:val="24"/>
                <w:szCs w:val="24"/>
                <w:highlight w:val="white"/>
              </w:rPr>
            </w:pPr>
            <w:r w:rsidRPr="0033303F">
              <w:rPr>
                <w:rFonts w:ascii="Times New Roman" w:eastAsia="Times New Roman" w:hAnsi="Times New Roman" w:cs="Times New Roman"/>
                <w:b/>
                <w:sz w:val="24"/>
                <w:szCs w:val="24"/>
                <w:highlight w:val="white"/>
              </w:rPr>
              <w:t>Average number of affiliations</w:t>
            </w:r>
          </w:p>
        </w:tc>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B3138" w:rsidRPr="00307792" w:rsidRDefault="004F30A1" w:rsidP="006223AF">
            <w:pPr>
              <w:pStyle w:val="10"/>
              <w:widowControl w:val="0"/>
              <w:spacing w:line="240" w:lineRule="auto"/>
              <w:rPr>
                <w:rFonts w:ascii="Times New Roman" w:eastAsia="Times New Roman" w:hAnsi="Times New Roman" w:cs="Times New Roman"/>
                <w:b/>
                <w:sz w:val="24"/>
                <w:szCs w:val="24"/>
                <w:highlight w:val="white"/>
                <w:lang w:val="en-US"/>
              </w:rPr>
            </w:pPr>
            <w:r w:rsidRPr="00307792">
              <w:rPr>
                <w:rFonts w:ascii="Times New Roman" w:eastAsia="Times New Roman" w:hAnsi="Times New Roman" w:cs="Times New Roman"/>
                <w:b/>
                <w:sz w:val="24"/>
                <w:szCs w:val="24"/>
                <w:highlight w:val="white"/>
                <w:lang w:val="en-US"/>
              </w:rPr>
              <w:t>Average number of countries per paper</w:t>
            </w:r>
          </w:p>
        </w:tc>
      </w:tr>
      <w:tr w:rsidR="002B3138" w:rsidTr="0033303F">
        <w:trPr>
          <w:trHeight w:val="525"/>
        </w:trPr>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proofErr w:type="spellStart"/>
            <w:r w:rsidRPr="0033303F">
              <w:rPr>
                <w:rFonts w:ascii="Times New Roman" w:eastAsia="Times New Roman" w:hAnsi="Times New Roman" w:cs="Times New Roman"/>
                <w:sz w:val="24"/>
                <w:szCs w:val="24"/>
                <w:highlight w:val="white"/>
              </w:rPr>
              <w:t>Armenia</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154</w:t>
            </w:r>
          </w:p>
        </w:tc>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4.6</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3.5</w:t>
            </w:r>
          </w:p>
        </w:tc>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2.6</w:t>
            </w:r>
          </w:p>
        </w:tc>
      </w:tr>
      <w:tr w:rsidR="002B3138" w:rsidTr="0033303F">
        <w:trPr>
          <w:trHeight w:val="470"/>
        </w:trPr>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Azerbaijan</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41</w:t>
            </w:r>
          </w:p>
        </w:tc>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6.8</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6.1</w:t>
            </w:r>
          </w:p>
        </w:tc>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3.5</w:t>
            </w:r>
          </w:p>
        </w:tc>
      </w:tr>
      <w:tr w:rsidR="002B3138" w:rsidTr="0033303F">
        <w:trPr>
          <w:trHeight w:val="470"/>
        </w:trPr>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Belarus</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167</w:t>
            </w:r>
          </w:p>
        </w:tc>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5.8</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4.2</w:t>
            </w:r>
          </w:p>
        </w:tc>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2.9</w:t>
            </w:r>
          </w:p>
        </w:tc>
      </w:tr>
      <w:tr w:rsidR="002B3138" w:rsidTr="0033303F">
        <w:trPr>
          <w:trHeight w:val="470"/>
        </w:trPr>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Estonia</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599</w:t>
            </w:r>
          </w:p>
        </w:tc>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7.2</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4.9</w:t>
            </w:r>
          </w:p>
        </w:tc>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3.3</w:t>
            </w:r>
          </w:p>
        </w:tc>
      </w:tr>
      <w:tr w:rsidR="002B3138" w:rsidTr="0033303F">
        <w:trPr>
          <w:trHeight w:val="470"/>
        </w:trPr>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Georgia</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168</w:t>
            </w:r>
          </w:p>
        </w:tc>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6.2</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5.6</w:t>
            </w:r>
          </w:p>
        </w:tc>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3.3</w:t>
            </w:r>
          </w:p>
        </w:tc>
      </w:tr>
      <w:tr w:rsidR="002B3138" w:rsidTr="0033303F">
        <w:trPr>
          <w:trHeight w:val="470"/>
        </w:trPr>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Kazakhstan</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206</w:t>
            </w:r>
          </w:p>
        </w:tc>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4.9</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4.5</w:t>
            </w:r>
          </w:p>
        </w:tc>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3.0</w:t>
            </w:r>
          </w:p>
        </w:tc>
      </w:tr>
      <w:tr w:rsidR="002B3138" w:rsidTr="0033303F">
        <w:trPr>
          <w:trHeight w:val="470"/>
        </w:trPr>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Kyrgyzstan</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21</w:t>
            </w:r>
          </w:p>
        </w:tc>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4.8</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3.6</w:t>
            </w:r>
          </w:p>
        </w:tc>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3.4</w:t>
            </w:r>
          </w:p>
        </w:tc>
      </w:tr>
      <w:tr w:rsidR="002B3138" w:rsidTr="0033303F">
        <w:trPr>
          <w:trHeight w:val="470"/>
        </w:trPr>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Latvia</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76</w:t>
            </w:r>
          </w:p>
        </w:tc>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7.9</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4.4</w:t>
            </w:r>
          </w:p>
        </w:tc>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3.0</w:t>
            </w:r>
          </w:p>
        </w:tc>
      </w:tr>
      <w:tr w:rsidR="002B3138" w:rsidTr="0033303F">
        <w:trPr>
          <w:trHeight w:val="470"/>
        </w:trPr>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Lithuania</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274</w:t>
            </w:r>
          </w:p>
        </w:tc>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7.7</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4.4</w:t>
            </w:r>
          </w:p>
        </w:tc>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2.9</w:t>
            </w:r>
          </w:p>
        </w:tc>
      </w:tr>
      <w:tr w:rsidR="002B3138" w:rsidTr="0033303F">
        <w:trPr>
          <w:trHeight w:val="470"/>
        </w:trPr>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Moldova</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80</w:t>
            </w:r>
          </w:p>
        </w:tc>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9.4</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5.5</w:t>
            </w:r>
          </w:p>
        </w:tc>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3.5</w:t>
            </w:r>
          </w:p>
        </w:tc>
      </w:tr>
      <w:tr w:rsidR="002B3138" w:rsidTr="0033303F">
        <w:trPr>
          <w:trHeight w:val="470"/>
        </w:trPr>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Tajikistan</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21</w:t>
            </w:r>
          </w:p>
        </w:tc>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7.8</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5.0</w:t>
            </w:r>
          </w:p>
        </w:tc>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3.6</w:t>
            </w:r>
          </w:p>
        </w:tc>
      </w:tr>
      <w:tr w:rsidR="002B3138" w:rsidTr="0033303F">
        <w:trPr>
          <w:trHeight w:val="538"/>
        </w:trPr>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Uzbekistan</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93</w:t>
            </w:r>
          </w:p>
        </w:tc>
        <w:tc>
          <w:tcPr>
            <w:tcW w:w="1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4.7</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4.9</w:t>
            </w:r>
          </w:p>
        </w:tc>
        <w:tc>
          <w:tcPr>
            <w:tcW w:w="21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B3138" w:rsidRPr="0033303F" w:rsidRDefault="004F30A1" w:rsidP="0033303F">
            <w:pPr>
              <w:pStyle w:val="10"/>
              <w:widowControl w:val="0"/>
              <w:rPr>
                <w:rFonts w:ascii="Times New Roman" w:eastAsia="Times New Roman" w:hAnsi="Times New Roman" w:cs="Times New Roman"/>
                <w:sz w:val="24"/>
                <w:szCs w:val="24"/>
                <w:highlight w:val="white"/>
              </w:rPr>
            </w:pPr>
            <w:r w:rsidRPr="0033303F">
              <w:rPr>
                <w:rFonts w:ascii="Times New Roman" w:eastAsia="Times New Roman" w:hAnsi="Times New Roman" w:cs="Times New Roman"/>
                <w:sz w:val="24"/>
                <w:szCs w:val="24"/>
                <w:highlight w:val="white"/>
              </w:rPr>
              <w:t>2.8</w:t>
            </w:r>
          </w:p>
        </w:tc>
      </w:tr>
    </w:tbl>
    <w:p w:rsidR="002B3138" w:rsidRDefault="002B3138" w:rsidP="0033303F">
      <w:pPr>
        <w:pStyle w:val="10"/>
        <w:spacing w:before="240" w:after="240"/>
        <w:jc w:val="both"/>
        <w:rPr>
          <w:b/>
        </w:rPr>
      </w:pPr>
    </w:p>
    <w:p w:rsidR="002B3138" w:rsidRPr="00A44209" w:rsidRDefault="004F30A1" w:rsidP="00A44209">
      <w:pPr>
        <w:pStyle w:val="3"/>
        <w:keepLines w:val="0"/>
        <w:spacing w:before="0" w:after="0" w:line="240" w:lineRule="auto"/>
        <w:jc w:val="both"/>
        <w:rPr>
          <w:rFonts w:ascii="Times New Roman" w:eastAsia="Times New Roman" w:hAnsi="Times New Roman" w:cs="Times New Roman"/>
          <w:i/>
          <w:iCs/>
          <w:color w:val="auto"/>
          <w:sz w:val="24"/>
          <w:szCs w:val="24"/>
          <w:lang w:val="en-GB" w:eastAsia="sv-SE"/>
        </w:rPr>
      </w:pPr>
      <w:r w:rsidRPr="00A44209">
        <w:rPr>
          <w:rFonts w:ascii="Times New Roman" w:eastAsia="Times New Roman" w:hAnsi="Times New Roman" w:cs="Times New Roman"/>
          <w:i/>
          <w:iCs/>
          <w:color w:val="auto"/>
          <w:sz w:val="24"/>
          <w:szCs w:val="24"/>
          <w:lang w:val="en-GB" w:eastAsia="sv-SE"/>
        </w:rPr>
        <w:t>2.2 FA classification</w:t>
      </w:r>
    </w:p>
    <w:p w:rsidR="002B3138" w:rsidRDefault="002B3138">
      <w:pPr>
        <w:pStyle w:val="10"/>
        <w:rPr>
          <w:rFonts w:ascii="Times New Roman" w:eastAsia="Times New Roman" w:hAnsi="Times New Roman" w:cs="Times New Roman"/>
          <w:b/>
          <w:sz w:val="28"/>
          <w:szCs w:val="28"/>
        </w:rPr>
      </w:pPr>
    </w:p>
    <w:p w:rsidR="0033303F" w:rsidRPr="00307792" w:rsidRDefault="004F30A1" w:rsidP="0033303F">
      <w:pPr>
        <w:pStyle w:val="10"/>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 xml:space="preserve">We use a simple case-driven classification schema in order to reveal both the geographical sources of funding and their types. It distinguishes between local (in terms of countries surveyed) and external sources, which are further classified by country of origin. EU-wide and international funders (CERN, UNESCO etc.) are also identified. Sources are further classified into intramural, state agency\grant program, charity and business (Annex, table 2). Importantly, for each paper and surveyed country we discriminate between funding that is linked to the authors from this country, and funding acknowledged by their foreign coauthors. This is done manually using author initials. If there are no links for a specific source in FA to </w:t>
      </w:r>
      <w:r w:rsidRPr="00307792">
        <w:rPr>
          <w:rFonts w:ascii="Times New Roman" w:eastAsia="Times New Roman" w:hAnsi="Times New Roman" w:cs="Times New Roman"/>
          <w:sz w:val="24"/>
          <w:szCs w:val="24"/>
          <w:lang w:val="en-US"/>
        </w:rPr>
        <w:lastRenderedPageBreak/>
        <w:t>individual authors, we assume that all the authors benefited from that source. As this clearly can lead to inflated counts, we also provide breakdowns of the shares of such papers for each country</w:t>
      </w:r>
      <w:r w:rsidR="0033303F" w:rsidRPr="00307792">
        <w:rPr>
          <w:rFonts w:ascii="Times New Roman" w:eastAsia="Times New Roman" w:hAnsi="Times New Roman" w:cs="Times New Roman"/>
          <w:sz w:val="24"/>
          <w:szCs w:val="24"/>
          <w:lang w:val="en-US"/>
        </w:rPr>
        <w:t>.</w:t>
      </w:r>
    </w:p>
    <w:p w:rsidR="0033303F" w:rsidRPr="00307792" w:rsidRDefault="0033303F" w:rsidP="0033303F">
      <w:pPr>
        <w:pStyle w:val="10"/>
        <w:jc w:val="both"/>
        <w:rPr>
          <w:rFonts w:ascii="Times New Roman" w:eastAsia="Times New Roman" w:hAnsi="Times New Roman" w:cs="Times New Roman"/>
          <w:sz w:val="24"/>
          <w:szCs w:val="24"/>
          <w:lang w:val="en-US"/>
        </w:rPr>
      </w:pPr>
    </w:p>
    <w:p w:rsidR="002B3138" w:rsidRPr="00A44209" w:rsidRDefault="004F30A1" w:rsidP="0033303F">
      <w:pPr>
        <w:pStyle w:val="10"/>
        <w:jc w:val="both"/>
        <w:rPr>
          <w:rFonts w:ascii="Times New Roman" w:eastAsia="Times New Roman" w:hAnsi="Times New Roman" w:cs="Times New Roman"/>
          <w:b/>
          <w:bCs/>
          <w:sz w:val="24"/>
          <w:szCs w:val="24"/>
          <w:lang w:val="en-GB" w:eastAsia="sv-SE"/>
        </w:rPr>
      </w:pPr>
      <w:r w:rsidRPr="00A44209">
        <w:rPr>
          <w:rFonts w:ascii="Times New Roman" w:eastAsia="Times New Roman" w:hAnsi="Times New Roman" w:cs="Times New Roman"/>
          <w:b/>
          <w:bCs/>
          <w:sz w:val="24"/>
          <w:szCs w:val="24"/>
          <w:lang w:val="en-GB" w:eastAsia="sv-SE"/>
        </w:rPr>
        <w:t>3. Results</w:t>
      </w:r>
    </w:p>
    <w:p w:rsidR="002B3138" w:rsidRPr="00A44209" w:rsidRDefault="004F30A1" w:rsidP="00A44209">
      <w:pPr>
        <w:pStyle w:val="3"/>
        <w:keepLines w:val="0"/>
        <w:spacing w:before="0" w:after="0" w:line="240" w:lineRule="auto"/>
        <w:jc w:val="both"/>
        <w:rPr>
          <w:rFonts w:ascii="Times New Roman" w:eastAsia="Times New Roman" w:hAnsi="Times New Roman" w:cs="Times New Roman"/>
          <w:i/>
          <w:iCs/>
          <w:color w:val="auto"/>
          <w:sz w:val="24"/>
          <w:szCs w:val="24"/>
          <w:lang w:val="en-GB" w:eastAsia="sv-SE"/>
        </w:rPr>
      </w:pPr>
      <w:r w:rsidRPr="00A44209">
        <w:rPr>
          <w:rFonts w:ascii="Times New Roman" w:eastAsia="Times New Roman" w:hAnsi="Times New Roman" w:cs="Times New Roman"/>
          <w:i/>
          <w:iCs/>
          <w:color w:val="auto"/>
          <w:sz w:val="24"/>
          <w:szCs w:val="24"/>
          <w:lang w:val="en-GB" w:eastAsia="sv-SE"/>
        </w:rPr>
        <w:t xml:space="preserve">3.1 </w:t>
      </w:r>
      <w:r w:rsidR="0033303F">
        <w:rPr>
          <w:rFonts w:ascii="Times New Roman" w:eastAsia="Times New Roman" w:hAnsi="Times New Roman" w:cs="Times New Roman"/>
          <w:i/>
          <w:iCs/>
          <w:color w:val="auto"/>
          <w:sz w:val="24"/>
          <w:szCs w:val="24"/>
          <w:lang w:val="en-GB" w:eastAsia="sv-SE"/>
        </w:rPr>
        <w:t>Types of funding acknowledgment</w:t>
      </w:r>
    </w:p>
    <w:p w:rsidR="002B3138" w:rsidRPr="00307792" w:rsidRDefault="004F30A1" w:rsidP="0033303F">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We analyze funding based on where it came from (</w:t>
      </w:r>
      <w:r w:rsidR="001F4A6D">
        <w:rPr>
          <w:rFonts w:ascii="Times New Roman" w:eastAsia="Times New Roman" w:hAnsi="Times New Roman" w:cs="Times New Roman"/>
          <w:sz w:val="24"/>
          <w:szCs w:val="24"/>
          <w:lang w:val="en-US"/>
        </w:rPr>
        <w:t>Figure</w:t>
      </w:r>
      <w:r w:rsidR="001F4A6D" w:rsidRPr="00307792">
        <w:rPr>
          <w:rFonts w:ascii="Times New Roman" w:eastAsia="Times New Roman" w:hAnsi="Times New Roman" w:cs="Times New Roman"/>
          <w:sz w:val="24"/>
          <w:szCs w:val="24"/>
          <w:lang w:val="en-US"/>
        </w:rPr>
        <w:t xml:space="preserve"> </w:t>
      </w:r>
      <w:r w:rsidR="001F4A6D">
        <w:rPr>
          <w:rFonts w:ascii="Times New Roman" w:eastAsia="Times New Roman" w:hAnsi="Times New Roman" w:cs="Times New Roman"/>
          <w:sz w:val="24"/>
          <w:szCs w:val="24"/>
          <w:lang w:val="en-US"/>
        </w:rPr>
        <w:t>1</w:t>
      </w:r>
      <w:r w:rsidRPr="00307792">
        <w:rPr>
          <w:rFonts w:ascii="Times New Roman" w:eastAsia="Times New Roman" w:hAnsi="Times New Roman" w:cs="Times New Roman"/>
          <w:sz w:val="24"/>
          <w:szCs w:val="24"/>
          <w:lang w:val="en-US"/>
        </w:rPr>
        <w:t>). We calculate the proportions from the total number of publications having financial support. Clearly, NI papers are rarely funded by only domestic sources. The highest share of local funding was observed in Armenia, Lithuania and Kazakhstan. Publications of Azerbaijan, Kyrgyzstan, and Tajikistan are mostly financed by foreign sources. The highest shares of both types of funding were observed in Estonia, Uzbekistan and Kazakhstan. Azerbaijan, Kyrgyzstan, Moldova and Tajikistan have no publications supported solely by domestic funding sources. For these countries, external sources have especially high importance.</w:t>
      </w:r>
    </w:p>
    <w:p w:rsidR="0033303F" w:rsidRPr="00307792" w:rsidRDefault="0033303F" w:rsidP="0033303F">
      <w:pPr>
        <w:pStyle w:val="10"/>
        <w:spacing w:line="240" w:lineRule="auto"/>
        <w:jc w:val="both"/>
        <w:rPr>
          <w:rFonts w:ascii="Times New Roman" w:eastAsia="Times New Roman" w:hAnsi="Times New Roman" w:cs="Times New Roman"/>
          <w:sz w:val="24"/>
          <w:szCs w:val="24"/>
          <w:lang w:val="en-US"/>
        </w:rPr>
      </w:pPr>
    </w:p>
    <w:p w:rsidR="002B3138" w:rsidRPr="005A0E38" w:rsidRDefault="001F4A6D" w:rsidP="0033303F">
      <w:pPr>
        <w:pStyle w:val="10"/>
        <w:jc w:val="center"/>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Figure</w:t>
      </w:r>
      <w:r w:rsidR="004F30A1" w:rsidRPr="0030779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w:t>
      </w:r>
      <w:r w:rsidR="004F30A1" w:rsidRPr="00307792">
        <w:rPr>
          <w:rFonts w:ascii="Times New Roman" w:eastAsia="Times New Roman" w:hAnsi="Times New Roman" w:cs="Times New Roman"/>
          <w:sz w:val="24"/>
          <w:szCs w:val="24"/>
          <w:lang w:val="en-US"/>
        </w:rPr>
        <w:t>.</w:t>
      </w:r>
      <w:proofErr w:type="gramEnd"/>
      <w:r w:rsidR="004F30A1" w:rsidRPr="00307792">
        <w:rPr>
          <w:rFonts w:ascii="Times New Roman" w:eastAsia="Times New Roman" w:hAnsi="Times New Roman" w:cs="Times New Roman"/>
          <w:sz w:val="24"/>
          <w:szCs w:val="24"/>
          <w:lang w:val="en-US"/>
        </w:rPr>
        <w:t xml:space="preserve"> Share of publications with domestic and foreign funding sources</w:t>
      </w:r>
      <w:r w:rsidR="005A0E38" w:rsidRPr="005A0E38">
        <w:rPr>
          <w:rFonts w:ascii="Times New Roman" w:eastAsia="Times New Roman" w:hAnsi="Times New Roman" w:cs="Times New Roman"/>
          <w:sz w:val="24"/>
          <w:szCs w:val="24"/>
          <w:lang w:val="en-US"/>
        </w:rPr>
        <w:t xml:space="preserve"> (</w:t>
      </w:r>
      <w:r w:rsidR="005A0E38">
        <w:rPr>
          <w:rFonts w:ascii="Times New Roman" w:eastAsia="Times New Roman" w:hAnsi="Times New Roman" w:cs="Times New Roman"/>
          <w:sz w:val="24"/>
          <w:szCs w:val="24"/>
          <w:lang w:val="en-US"/>
        </w:rPr>
        <w:t>left axis) and their totals (right axis)</w:t>
      </w:r>
    </w:p>
    <w:p w:rsidR="005A0E38" w:rsidRPr="00307792" w:rsidRDefault="005A0E38" w:rsidP="0033303F">
      <w:pPr>
        <w:pStyle w:val="10"/>
        <w:jc w:val="center"/>
        <w:rPr>
          <w:rFonts w:ascii="Times New Roman" w:eastAsia="Times New Roman" w:hAnsi="Times New Roman" w:cs="Times New Roman"/>
          <w:sz w:val="24"/>
          <w:szCs w:val="24"/>
          <w:lang w:val="en-US"/>
        </w:rPr>
      </w:pPr>
      <w:r>
        <w:rPr>
          <w:noProof/>
        </w:rPr>
        <w:drawing>
          <wp:inline distT="0" distB="0" distL="0" distR="0">
            <wp:extent cx="4572000" cy="2743200"/>
            <wp:effectExtent l="0" t="0" r="0" b="0"/>
            <wp:docPr id="3" name="Диаграмма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DB9941C-11B1-CB5B-1B8B-9586D84133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3138" w:rsidRDefault="002B3138">
      <w:pPr>
        <w:pStyle w:val="10"/>
        <w:spacing w:line="360" w:lineRule="auto"/>
        <w:jc w:val="both"/>
        <w:rPr>
          <w:rFonts w:ascii="Times New Roman" w:eastAsia="Times New Roman" w:hAnsi="Times New Roman" w:cs="Times New Roman"/>
          <w:sz w:val="28"/>
          <w:szCs w:val="28"/>
        </w:rPr>
      </w:pPr>
    </w:p>
    <w:p w:rsidR="002B3138" w:rsidRPr="00307792" w:rsidRDefault="004F30A1" w:rsidP="0033303F">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State funding prevails amongst local sources</w:t>
      </w:r>
      <w:r w:rsidR="001F4A6D">
        <w:rPr>
          <w:rFonts w:ascii="Times New Roman" w:eastAsia="Times New Roman" w:hAnsi="Times New Roman" w:cs="Times New Roman"/>
          <w:sz w:val="24"/>
          <w:szCs w:val="24"/>
          <w:lang w:val="en-US"/>
        </w:rPr>
        <w:t xml:space="preserve"> </w:t>
      </w:r>
      <w:r w:rsidR="001F4A6D" w:rsidRPr="00307792">
        <w:rPr>
          <w:rFonts w:ascii="Times New Roman" w:eastAsia="Times New Roman" w:hAnsi="Times New Roman" w:cs="Times New Roman"/>
          <w:sz w:val="24"/>
          <w:szCs w:val="24"/>
          <w:lang w:val="en-US"/>
        </w:rPr>
        <w:t>(</w:t>
      </w:r>
      <w:r w:rsidR="006C7344" w:rsidRPr="00307792">
        <w:rPr>
          <w:rFonts w:ascii="Times New Roman" w:eastAsia="Times New Roman" w:hAnsi="Times New Roman" w:cs="Times New Roman"/>
          <w:sz w:val="24"/>
          <w:szCs w:val="24"/>
          <w:lang w:val="en-US"/>
        </w:rPr>
        <w:t xml:space="preserve">Table </w:t>
      </w:r>
      <w:r w:rsidR="006C7344">
        <w:rPr>
          <w:rFonts w:ascii="Times New Roman" w:eastAsia="Times New Roman" w:hAnsi="Times New Roman" w:cs="Times New Roman"/>
          <w:sz w:val="24"/>
          <w:szCs w:val="24"/>
          <w:lang w:val="en-US"/>
        </w:rPr>
        <w:t>2</w:t>
      </w:r>
      <w:r w:rsidR="001F4A6D" w:rsidRPr="00307792">
        <w:rPr>
          <w:rFonts w:ascii="Times New Roman" w:eastAsia="Times New Roman" w:hAnsi="Times New Roman" w:cs="Times New Roman"/>
          <w:sz w:val="24"/>
          <w:szCs w:val="24"/>
          <w:lang w:val="en-US"/>
        </w:rPr>
        <w:t>)</w:t>
      </w:r>
      <w:r w:rsidRPr="00307792">
        <w:rPr>
          <w:rFonts w:ascii="Times New Roman" w:eastAsia="Times New Roman" w:hAnsi="Times New Roman" w:cs="Times New Roman"/>
          <w:sz w:val="24"/>
          <w:szCs w:val="24"/>
          <w:lang w:val="en-US"/>
        </w:rPr>
        <w:t xml:space="preserve">. In Estonia, Uzbekistan, and Kazakhstan the most part of internal funding is associated with government. Kyrgyzstan and Tajikistan do not have this funding type. Their domestic financing is mostly provided by intramural projects. The share of intramural projects in the domestic funding is the highest in Kazakhstan, known for actively developing modern research universities, and Latvia. Commercial and charity sources are </w:t>
      </w:r>
      <w:r w:rsidR="0033303F" w:rsidRPr="00307792">
        <w:rPr>
          <w:rFonts w:ascii="Times New Roman" w:eastAsia="Times New Roman" w:hAnsi="Times New Roman" w:cs="Times New Roman"/>
          <w:sz w:val="24"/>
          <w:szCs w:val="24"/>
          <w:lang w:val="en-US"/>
        </w:rPr>
        <w:t>almost absent in local funding.</w:t>
      </w:r>
    </w:p>
    <w:p w:rsidR="002B3138" w:rsidRDefault="002B3138">
      <w:pPr>
        <w:pStyle w:val="10"/>
        <w:rPr>
          <w:color w:val="0B5394"/>
          <w:lang w:val="en-US"/>
        </w:rPr>
      </w:pPr>
    </w:p>
    <w:p w:rsidR="00BC6A8B" w:rsidRDefault="00BC6A8B">
      <w:pPr>
        <w:pStyle w:val="10"/>
        <w:rPr>
          <w:color w:val="0B5394"/>
          <w:lang w:val="en-US"/>
        </w:rPr>
      </w:pPr>
    </w:p>
    <w:p w:rsidR="00BC6A8B" w:rsidRDefault="00BC6A8B">
      <w:pPr>
        <w:pStyle w:val="10"/>
        <w:rPr>
          <w:color w:val="0B5394"/>
          <w:lang w:val="en-US"/>
        </w:rPr>
      </w:pPr>
    </w:p>
    <w:p w:rsidR="00BC6A8B" w:rsidRDefault="00BC6A8B">
      <w:pPr>
        <w:pStyle w:val="10"/>
        <w:rPr>
          <w:color w:val="0B5394"/>
          <w:lang w:val="en-US"/>
        </w:rPr>
      </w:pPr>
    </w:p>
    <w:p w:rsidR="00BC6A8B" w:rsidRDefault="00BC6A8B">
      <w:pPr>
        <w:pStyle w:val="10"/>
        <w:rPr>
          <w:color w:val="0B5394"/>
          <w:lang w:val="en-US"/>
        </w:rPr>
      </w:pPr>
    </w:p>
    <w:p w:rsidR="00BC6A8B" w:rsidRDefault="00BC6A8B">
      <w:pPr>
        <w:pStyle w:val="10"/>
        <w:rPr>
          <w:color w:val="0B5394"/>
          <w:lang w:val="en-US"/>
        </w:rPr>
      </w:pPr>
    </w:p>
    <w:p w:rsidR="00BC6A8B" w:rsidRDefault="00BC6A8B">
      <w:pPr>
        <w:pStyle w:val="10"/>
        <w:rPr>
          <w:color w:val="0B5394"/>
          <w:lang w:val="en-US"/>
        </w:rPr>
      </w:pPr>
    </w:p>
    <w:p w:rsidR="00BC6A8B" w:rsidRPr="00307792" w:rsidRDefault="00BC6A8B">
      <w:pPr>
        <w:pStyle w:val="10"/>
        <w:rPr>
          <w:color w:val="0B5394"/>
          <w:lang w:val="en-US"/>
        </w:rPr>
      </w:pPr>
    </w:p>
    <w:p w:rsidR="002B3138" w:rsidRPr="00307792" w:rsidRDefault="004F30A1" w:rsidP="0033303F">
      <w:pPr>
        <w:pStyle w:val="10"/>
        <w:jc w:val="center"/>
        <w:rPr>
          <w:rFonts w:ascii="Times New Roman" w:eastAsia="Times New Roman" w:hAnsi="Times New Roman" w:cs="Times New Roman"/>
          <w:sz w:val="24"/>
          <w:szCs w:val="24"/>
          <w:lang w:val="en-US"/>
        </w:rPr>
      </w:pPr>
      <w:proofErr w:type="gramStart"/>
      <w:r w:rsidRPr="00307792">
        <w:rPr>
          <w:rFonts w:ascii="Times New Roman" w:eastAsia="Times New Roman" w:hAnsi="Times New Roman" w:cs="Times New Roman"/>
          <w:sz w:val="24"/>
          <w:szCs w:val="24"/>
          <w:lang w:val="en-US"/>
        </w:rPr>
        <w:lastRenderedPageBreak/>
        <w:t xml:space="preserve">Table </w:t>
      </w:r>
      <w:r w:rsidR="001F4A6D">
        <w:rPr>
          <w:rFonts w:ascii="Times New Roman" w:eastAsia="Times New Roman" w:hAnsi="Times New Roman" w:cs="Times New Roman"/>
          <w:sz w:val="24"/>
          <w:szCs w:val="24"/>
          <w:lang w:val="en-US"/>
        </w:rPr>
        <w:t>2</w:t>
      </w:r>
      <w:r w:rsidRPr="00307792">
        <w:rPr>
          <w:rFonts w:ascii="Times New Roman" w:eastAsia="Times New Roman" w:hAnsi="Times New Roman" w:cs="Times New Roman"/>
          <w:sz w:val="24"/>
          <w:szCs w:val="24"/>
          <w:lang w:val="en-US"/>
        </w:rPr>
        <w:t>.</w:t>
      </w:r>
      <w:proofErr w:type="gramEnd"/>
      <w:r w:rsidRPr="00307792">
        <w:rPr>
          <w:rFonts w:ascii="Times New Roman" w:eastAsia="Times New Roman" w:hAnsi="Times New Roman" w:cs="Times New Roman"/>
          <w:sz w:val="24"/>
          <w:szCs w:val="24"/>
          <w:lang w:val="en-US"/>
        </w:rPr>
        <w:t xml:space="preserve"> Types of local funding</w:t>
      </w:r>
      <w:r w:rsidR="0033303F" w:rsidRPr="00307792">
        <w:rPr>
          <w:rFonts w:ascii="Times New Roman" w:eastAsia="Times New Roman" w:hAnsi="Times New Roman" w:cs="Times New Roman"/>
          <w:sz w:val="24"/>
          <w:szCs w:val="24"/>
          <w:lang w:val="en-US"/>
        </w:rPr>
        <w:t>.</w:t>
      </w:r>
    </w:p>
    <w:p w:rsidR="0033303F" w:rsidRPr="00307792" w:rsidRDefault="0033303F" w:rsidP="0033303F">
      <w:pPr>
        <w:pStyle w:val="10"/>
        <w:jc w:val="center"/>
        <w:rPr>
          <w:rFonts w:ascii="Times New Roman" w:eastAsia="Times New Roman" w:hAnsi="Times New Roman" w:cs="Times New Roman"/>
          <w:sz w:val="24"/>
          <w:szCs w:val="24"/>
          <w:lang w:val="en-US"/>
        </w:rPr>
      </w:pPr>
    </w:p>
    <w:tbl>
      <w:tblPr>
        <w:tblStyle w:val="af3"/>
        <w:tblW w:w="8001" w:type="dxa"/>
        <w:tblLayout w:type="fixed"/>
        <w:tblLook w:val="0600"/>
      </w:tblPr>
      <w:tblGrid>
        <w:gridCol w:w="1320"/>
        <w:gridCol w:w="1247"/>
        <w:gridCol w:w="1510"/>
        <w:gridCol w:w="1134"/>
        <w:gridCol w:w="1425"/>
        <w:gridCol w:w="1365"/>
      </w:tblGrid>
      <w:tr w:rsidR="0033303F" w:rsidRPr="0033303F" w:rsidTr="0033303F">
        <w:trPr>
          <w:trHeight w:val="1095"/>
        </w:trPr>
        <w:tc>
          <w:tcPr>
            <w:tcW w:w="1320" w:type="dxa"/>
          </w:tcPr>
          <w:p w:rsidR="0033303F" w:rsidRPr="0033303F" w:rsidRDefault="0033303F">
            <w:pPr>
              <w:pStyle w:val="10"/>
              <w:widowControl w:val="0"/>
              <w:rPr>
                <w:rFonts w:ascii="Times New Roman" w:eastAsia="Times New Roman" w:hAnsi="Times New Roman" w:cs="Times New Roman"/>
                <w:b/>
                <w:sz w:val="24"/>
                <w:szCs w:val="24"/>
              </w:rPr>
            </w:pPr>
            <w:proofErr w:type="spellStart"/>
            <w:r w:rsidRPr="0033303F">
              <w:rPr>
                <w:rFonts w:ascii="Times New Roman" w:eastAsia="Times New Roman" w:hAnsi="Times New Roman" w:cs="Times New Roman"/>
                <w:b/>
                <w:sz w:val="24"/>
                <w:szCs w:val="24"/>
              </w:rPr>
              <w:t>Countries</w:t>
            </w:r>
            <w:proofErr w:type="spellEnd"/>
          </w:p>
        </w:tc>
        <w:tc>
          <w:tcPr>
            <w:tcW w:w="1247" w:type="dxa"/>
          </w:tcPr>
          <w:p w:rsidR="0033303F" w:rsidRPr="0033303F" w:rsidRDefault="0033303F">
            <w:pPr>
              <w:pStyle w:val="10"/>
              <w:widowControl w:val="0"/>
              <w:rPr>
                <w:rFonts w:ascii="Times New Roman" w:eastAsia="Times New Roman" w:hAnsi="Times New Roman" w:cs="Times New Roman"/>
                <w:b/>
                <w:sz w:val="24"/>
                <w:szCs w:val="24"/>
              </w:rPr>
            </w:pPr>
            <w:r w:rsidRPr="0033303F">
              <w:rPr>
                <w:rFonts w:ascii="Times New Roman" w:eastAsia="Times New Roman" w:hAnsi="Times New Roman" w:cs="Times New Roman"/>
                <w:b/>
                <w:sz w:val="24"/>
                <w:szCs w:val="24"/>
              </w:rPr>
              <w:t>State agency grant</w:t>
            </w:r>
          </w:p>
        </w:tc>
        <w:tc>
          <w:tcPr>
            <w:tcW w:w="1510" w:type="dxa"/>
          </w:tcPr>
          <w:p w:rsidR="0033303F" w:rsidRPr="0033303F" w:rsidRDefault="0033303F">
            <w:pPr>
              <w:pStyle w:val="10"/>
              <w:widowControl w:val="0"/>
              <w:rPr>
                <w:rFonts w:ascii="Times New Roman" w:eastAsia="Times New Roman" w:hAnsi="Times New Roman" w:cs="Times New Roman"/>
                <w:b/>
                <w:sz w:val="24"/>
                <w:szCs w:val="24"/>
              </w:rPr>
            </w:pPr>
            <w:r w:rsidRPr="0033303F">
              <w:rPr>
                <w:rFonts w:ascii="Times New Roman" w:eastAsia="Times New Roman" w:hAnsi="Times New Roman" w:cs="Times New Roman"/>
                <w:b/>
                <w:sz w:val="24"/>
                <w:szCs w:val="24"/>
              </w:rPr>
              <w:t>Commercial</w:t>
            </w:r>
          </w:p>
        </w:tc>
        <w:tc>
          <w:tcPr>
            <w:tcW w:w="1134" w:type="dxa"/>
          </w:tcPr>
          <w:p w:rsidR="0033303F" w:rsidRPr="0033303F" w:rsidRDefault="0033303F">
            <w:pPr>
              <w:pStyle w:val="10"/>
              <w:widowControl w:val="0"/>
              <w:rPr>
                <w:rFonts w:ascii="Times New Roman" w:eastAsia="Times New Roman" w:hAnsi="Times New Roman" w:cs="Times New Roman"/>
                <w:b/>
                <w:sz w:val="24"/>
                <w:szCs w:val="24"/>
              </w:rPr>
            </w:pPr>
            <w:r w:rsidRPr="0033303F">
              <w:rPr>
                <w:rFonts w:ascii="Times New Roman" w:eastAsia="Times New Roman" w:hAnsi="Times New Roman" w:cs="Times New Roman"/>
                <w:b/>
                <w:sz w:val="24"/>
                <w:szCs w:val="24"/>
              </w:rPr>
              <w:t>Charity</w:t>
            </w:r>
          </w:p>
        </w:tc>
        <w:tc>
          <w:tcPr>
            <w:tcW w:w="1425" w:type="dxa"/>
          </w:tcPr>
          <w:p w:rsidR="0033303F" w:rsidRPr="0033303F" w:rsidRDefault="0033303F">
            <w:pPr>
              <w:pStyle w:val="10"/>
              <w:widowControl w:val="0"/>
              <w:rPr>
                <w:rFonts w:ascii="Times New Roman" w:eastAsia="Times New Roman" w:hAnsi="Times New Roman" w:cs="Times New Roman"/>
                <w:b/>
                <w:sz w:val="24"/>
                <w:szCs w:val="24"/>
              </w:rPr>
            </w:pPr>
            <w:r w:rsidRPr="0033303F">
              <w:rPr>
                <w:rFonts w:ascii="Times New Roman" w:eastAsia="Times New Roman" w:hAnsi="Times New Roman" w:cs="Times New Roman"/>
                <w:b/>
                <w:sz w:val="24"/>
                <w:szCs w:val="24"/>
              </w:rPr>
              <w:t>Intramural project</w:t>
            </w:r>
          </w:p>
        </w:tc>
        <w:tc>
          <w:tcPr>
            <w:tcW w:w="1365" w:type="dxa"/>
          </w:tcPr>
          <w:p w:rsidR="0033303F" w:rsidRPr="0033303F" w:rsidRDefault="0033303F" w:rsidP="0033303F">
            <w:pPr>
              <w:pStyle w:val="10"/>
              <w:widowControl w:val="0"/>
              <w:rPr>
                <w:rFonts w:ascii="Times New Roman" w:eastAsia="Times New Roman" w:hAnsi="Times New Roman" w:cs="Times New Roman"/>
                <w:b/>
                <w:sz w:val="24"/>
                <w:szCs w:val="24"/>
              </w:rPr>
            </w:pPr>
            <w:r w:rsidRPr="0033303F">
              <w:rPr>
                <w:rFonts w:ascii="Times New Roman" w:eastAsia="Times New Roman" w:hAnsi="Times New Roman" w:cs="Times New Roman"/>
                <w:b/>
                <w:sz w:val="24"/>
                <w:szCs w:val="24"/>
              </w:rPr>
              <w:t>Total</w:t>
            </w:r>
          </w:p>
        </w:tc>
      </w:tr>
      <w:tr w:rsidR="0033303F" w:rsidRPr="0033303F" w:rsidTr="0033303F">
        <w:trPr>
          <w:trHeight w:val="485"/>
        </w:trPr>
        <w:tc>
          <w:tcPr>
            <w:tcW w:w="1320" w:type="dxa"/>
            <w:vAlign w:val="center"/>
          </w:tcPr>
          <w:p w:rsidR="0033303F" w:rsidRPr="0033303F" w:rsidRDefault="0033303F" w:rsidP="0033303F">
            <w:pPr>
              <w:pStyle w:val="10"/>
              <w:widowControl w:val="0"/>
              <w:spacing w:before="240"/>
              <w:ind w:left="-6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Armenia</w:t>
            </w:r>
          </w:p>
        </w:tc>
        <w:tc>
          <w:tcPr>
            <w:tcW w:w="1247"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55.1%</w:t>
            </w:r>
          </w:p>
        </w:tc>
        <w:tc>
          <w:tcPr>
            <w:tcW w:w="1510"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p>
        </w:tc>
        <w:tc>
          <w:tcPr>
            <w:tcW w:w="1134"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 xml:space="preserve"> </w:t>
            </w:r>
          </w:p>
        </w:tc>
        <w:tc>
          <w:tcPr>
            <w:tcW w:w="142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4.4%</w:t>
            </w:r>
          </w:p>
        </w:tc>
        <w:tc>
          <w:tcPr>
            <w:tcW w:w="136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136</w:t>
            </w:r>
          </w:p>
        </w:tc>
      </w:tr>
      <w:tr w:rsidR="0033303F" w:rsidRPr="0033303F" w:rsidTr="0033303F">
        <w:trPr>
          <w:trHeight w:val="485"/>
        </w:trPr>
        <w:tc>
          <w:tcPr>
            <w:tcW w:w="1320" w:type="dxa"/>
            <w:vAlign w:val="center"/>
          </w:tcPr>
          <w:p w:rsidR="0033303F" w:rsidRPr="0033303F" w:rsidRDefault="0033303F" w:rsidP="0033303F">
            <w:pPr>
              <w:pStyle w:val="10"/>
              <w:widowControl w:val="0"/>
              <w:spacing w:before="240"/>
              <w:ind w:left="-6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Azerbaijan</w:t>
            </w:r>
          </w:p>
        </w:tc>
        <w:tc>
          <w:tcPr>
            <w:tcW w:w="1247"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25.8%</w:t>
            </w:r>
          </w:p>
        </w:tc>
        <w:tc>
          <w:tcPr>
            <w:tcW w:w="1510"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p>
        </w:tc>
        <w:tc>
          <w:tcPr>
            <w:tcW w:w="1134"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 xml:space="preserve"> </w:t>
            </w:r>
          </w:p>
        </w:tc>
        <w:tc>
          <w:tcPr>
            <w:tcW w:w="142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3.2%</w:t>
            </w:r>
          </w:p>
        </w:tc>
        <w:tc>
          <w:tcPr>
            <w:tcW w:w="136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31</w:t>
            </w:r>
          </w:p>
        </w:tc>
      </w:tr>
      <w:tr w:rsidR="0033303F" w:rsidRPr="0033303F" w:rsidTr="0033303F">
        <w:trPr>
          <w:trHeight w:val="485"/>
        </w:trPr>
        <w:tc>
          <w:tcPr>
            <w:tcW w:w="1320" w:type="dxa"/>
            <w:vAlign w:val="center"/>
          </w:tcPr>
          <w:p w:rsidR="0033303F" w:rsidRPr="0033303F" w:rsidRDefault="0033303F" w:rsidP="0033303F">
            <w:pPr>
              <w:pStyle w:val="10"/>
              <w:widowControl w:val="0"/>
              <w:spacing w:before="240"/>
              <w:ind w:left="-6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Belarus</w:t>
            </w:r>
          </w:p>
        </w:tc>
        <w:tc>
          <w:tcPr>
            <w:tcW w:w="1247"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37.4%</w:t>
            </w:r>
          </w:p>
        </w:tc>
        <w:tc>
          <w:tcPr>
            <w:tcW w:w="1510"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p>
        </w:tc>
        <w:tc>
          <w:tcPr>
            <w:tcW w:w="1134"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 xml:space="preserve"> </w:t>
            </w:r>
          </w:p>
        </w:tc>
        <w:tc>
          <w:tcPr>
            <w:tcW w:w="142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1.3%</w:t>
            </w:r>
          </w:p>
        </w:tc>
        <w:tc>
          <w:tcPr>
            <w:tcW w:w="136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155</w:t>
            </w:r>
          </w:p>
        </w:tc>
      </w:tr>
      <w:tr w:rsidR="0033303F" w:rsidRPr="0033303F" w:rsidTr="0033303F">
        <w:trPr>
          <w:trHeight w:val="485"/>
        </w:trPr>
        <w:tc>
          <w:tcPr>
            <w:tcW w:w="1320" w:type="dxa"/>
            <w:vAlign w:val="center"/>
          </w:tcPr>
          <w:p w:rsidR="0033303F" w:rsidRPr="0033303F" w:rsidRDefault="0033303F" w:rsidP="0033303F">
            <w:pPr>
              <w:pStyle w:val="10"/>
              <w:widowControl w:val="0"/>
              <w:spacing w:before="240"/>
              <w:ind w:left="-6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Estonia</w:t>
            </w:r>
          </w:p>
        </w:tc>
        <w:tc>
          <w:tcPr>
            <w:tcW w:w="1247"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69.2%</w:t>
            </w:r>
          </w:p>
        </w:tc>
        <w:tc>
          <w:tcPr>
            <w:tcW w:w="1510"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0.5%</w:t>
            </w:r>
          </w:p>
        </w:tc>
        <w:tc>
          <w:tcPr>
            <w:tcW w:w="1134"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0.2%</w:t>
            </w:r>
          </w:p>
        </w:tc>
        <w:tc>
          <w:tcPr>
            <w:tcW w:w="142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4.2%</w:t>
            </w:r>
          </w:p>
        </w:tc>
        <w:tc>
          <w:tcPr>
            <w:tcW w:w="136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572</w:t>
            </w:r>
          </w:p>
        </w:tc>
      </w:tr>
      <w:tr w:rsidR="0033303F" w:rsidRPr="0033303F" w:rsidTr="0033303F">
        <w:trPr>
          <w:trHeight w:val="485"/>
        </w:trPr>
        <w:tc>
          <w:tcPr>
            <w:tcW w:w="1320" w:type="dxa"/>
            <w:vAlign w:val="center"/>
          </w:tcPr>
          <w:p w:rsidR="0033303F" w:rsidRPr="0033303F" w:rsidRDefault="0033303F" w:rsidP="0033303F">
            <w:pPr>
              <w:pStyle w:val="10"/>
              <w:widowControl w:val="0"/>
              <w:spacing w:before="240"/>
              <w:ind w:left="-6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Georgia</w:t>
            </w:r>
          </w:p>
        </w:tc>
        <w:tc>
          <w:tcPr>
            <w:tcW w:w="1247"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31.5%</w:t>
            </w:r>
          </w:p>
        </w:tc>
        <w:tc>
          <w:tcPr>
            <w:tcW w:w="1510"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0.6%</w:t>
            </w:r>
          </w:p>
        </w:tc>
        <w:tc>
          <w:tcPr>
            <w:tcW w:w="1134"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0.6%</w:t>
            </w:r>
          </w:p>
        </w:tc>
        <w:tc>
          <w:tcPr>
            <w:tcW w:w="142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1.9%</w:t>
            </w:r>
          </w:p>
        </w:tc>
        <w:tc>
          <w:tcPr>
            <w:tcW w:w="136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162</w:t>
            </w:r>
          </w:p>
        </w:tc>
      </w:tr>
      <w:tr w:rsidR="0033303F" w:rsidRPr="0033303F" w:rsidTr="0033303F">
        <w:trPr>
          <w:trHeight w:val="485"/>
        </w:trPr>
        <w:tc>
          <w:tcPr>
            <w:tcW w:w="1320" w:type="dxa"/>
            <w:vAlign w:val="center"/>
          </w:tcPr>
          <w:p w:rsidR="0033303F" w:rsidRPr="0033303F" w:rsidRDefault="0033303F" w:rsidP="0033303F">
            <w:pPr>
              <w:pStyle w:val="10"/>
              <w:widowControl w:val="0"/>
              <w:spacing w:before="240"/>
              <w:ind w:left="-60"/>
              <w:rPr>
                <w:rFonts w:ascii="Times New Roman" w:eastAsia="Times New Roman" w:hAnsi="Times New Roman" w:cs="Times New Roman"/>
                <w:sz w:val="24"/>
                <w:szCs w:val="24"/>
              </w:rPr>
            </w:pPr>
            <w:proofErr w:type="spellStart"/>
            <w:r w:rsidRPr="0033303F">
              <w:rPr>
                <w:rFonts w:ascii="Times New Roman" w:eastAsia="Times New Roman" w:hAnsi="Times New Roman" w:cs="Times New Roman"/>
                <w:sz w:val="24"/>
                <w:szCs w:val="24"/>
              </w:rPr>
              <w:t>Kazakhstan</w:t>
            </w:r>
            <w:proofErr w:type="spellEnd"/>
          </w:p>
        </w:tc>
        <w:tc>
          <w:tcPr>
            <w:tcW w:w="1247"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51.0%</w:t>
            </w:r>
          </w:p>
        </w:tc>
        <w:tc>
          <w:tcPr>
            <w:tcW w:w="1510"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p>
        </w:tc>
        <w:tc>
          <w:tcPr>
            <w:tcW w:w="1134"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0.5%</w:t>
            </w:r>
          </w:p>
        </w:tc>
        <w:tc>
          <w:tcPr>
            <w:tcW w:w="142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36.6%</w:t>
            </w:r>
          </w:p>
        </w:tc>
        <w:tc>
          <w:tcPr>
            <w:tcW w:w="136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194</w:t>
            </w:r>
          </w:p>
        </w:tc>
      </w:tr>
      <w:tr w:rsidR="00DC314B" w:rsidRPr="0033303F" w:rsidTr="00B977EB">
        <w:trPr>
          <w:trHeight w:val="485"/>
        </w:trPr>
        <w:tc>
          <w:tcPr>
            <w:tcW w:w="1320" w:type="dxa"/>
            <w:vAlign w:val="center"/>
          </w:tcPr>
          <w:p w:rsidR="00DC314B" w:rsidRPr="0033303F" w:rsidRDefault="00DC314B" w:rsidP="00B977EB">
            <w:pPr>
              <w:pStyle w:val="10"/>
              <w:widowControl w:val="0"/>
              <w:spacing w:before="240"/>
              <w:ind w:left="-60"/>
              <w:rPr>
                <w:rFonts w:ascii="Times New Roman" w:eastAsia="Times New Roman" w:hAnsi="Times New Roman" w:cs="Times New Roman"/>
                <w:sz w:val="24"/>
                <w:szCs w:val="24"/>
              </w:rPr>
            </w:pPr>
            <w:proofErr w:type="spellStart"/>
            <w:r w:rsidRPr="0033303F">
              <w:rPr>
                <w:rFonts w:ascii="Times New Roman" w:eastAsia="Times New Roman" w:hAnsi="Times New Roman" w:cs="Times New Roman"/>
                <w:sz w:val="24"/>
                <w:szCs w:val="24"/>
              </w:rPr>
              <w:t>Kyrgyzstan</w:t>
            </w:r>
            <w:proofErr w:type="spellEnd"/>
          </w:p>
        </w:tc>
        <w:tc>
          <w:tcPr>
            <w:tcW w:w="1247" w:type="dxa"/>
            <w:vAlign w:val="center"/>
          </w:tcPr>
          <w:p w:rsidR="00DC314B" w:rsidRPr="0033303F" w:rsidRDefault="00DC314B" w:rsidP="00B977EB">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0.0%</w:t>
            </w:r>
          </w:p>
        </w:tc>
        <w:tc>
          <w:tcPr>
            <w:tcW w:w="1510" w:type="dxa"/>
            <w:vAlign w:val="center"/>
          </w:tcPr>
          <w:p w:rsidR="00DC314B" w:rsidRPr="0033303F" w:rsidRDefault="00DC314B" w:rsidP="00B977EB">
            <w:pPr>
              <w:pStyle w:val="10"/>
              <w:widowControl w:val="0"/>
              <w:rPr>
                <w:rFonts w:ascii="Times New Roman" w:eastAsia="Times New Roman" w:hAnsi="Times New Roman" w:cs="Times New Roman"/>
                <w:sz w:val="24"/>
                <w:szCs w:val="24"/>
              </w:rPr>
            </w:pPr>
          </w:p>
        </w:tc>
        <w:tc>
          <w:tcPr>
            <w:tcW w:w="1134" w:type="dxa"/>
            <w:vAlign w:val="center"/>
          </w:tcPr>
          <w:p w:rsidR="00DC314B" w:rsidRPr="0033303F" w:rsidRDefault="00DC314B" w:rsidP="00B977EB">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 xml:space="preserve"> </w:t>
            </w:r>
          </w:p>
        </w:tc>
        <w:tc>
          <w:tcPr>
            <w:tcW w:w="1425" w:type="dxa"/>
            <w:vAlign w:val="center"/>
          </w:tcPr>
          <w:p w:rsidR="00DC314B" w:rsidRPr="0033303F" w:rsidRDefault="00DC314B" w:rsidP="00B977EB">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4.8%</w:t>
            </w:r>
          </w:p>
        </w:tc>
        <w:tc>
          <w:tcPr>
            <w:tcW w:w="1365" w:type="dxa"/>
            <w:vAlign w:val="center"/>
          </w:tcPr>
          <w:p w:rsidR="00DC314B" w:rsidRPr="0033303F" w:rsidRDefault="00DC314B" w:rsidP="00B977EB">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21</w:t>
            </w:r>
          </w:p>
        </w:tc>
      </w:tr>
      <w:tr w:rsidR="00DC314B" w:rsidRPr="0033303F" w:rsidTr="00B977EB">
        <w:trPr>
          <w:trHeight w:val="485"/>
        </w:trPr>
        <w:tc>
          <w:tcPr>
            <w:tcW w:w="1320" w:type="dxa"/>
            <w:vAlign w:val="center"/>
          </w:tcPr>
          <w:p w:rsidR="00DC314B" w:rsidRPr="0033303F" w:rsidRDefault="00DC314B" w:rsidP="00B977EB">
            <w:pPr>
              <w:pStyle w:val="10"/>
              <w:widowControl w:val="0"/>
              <w:spacing w:before="240"/>
              <w:ind w:left="-60"/>
              <w:rPr>
                <w:rFonts w:ascii="Times New Roman" w:eastAsia="Times New Roman" w:hAnsi="Times New Roman" w:cs="Times New Roman"/>
                <w:sz w:val="24"/>
                <w:szCs w:val="24"/>
              </w:rPr>
            </w:pPr>
            <w:proofErr w:type="spellStart"/>
            <w:r w:rsidRPr="0033303F">
              <w:rPr>
                <w:rFonts w:ascii="Times New Roman" w:eastAsia="Times New Roman" w:hAnsi="Times New Roman" w:cs="Times New Roman"/>
                <w:sz w:val="24"/>
                <w:szCs w:val="24"/>
              </w:rPr>
              <w:t>Latvia</w:t>
            </w:r>
            <w:proofErr w:type="spellEnd"/>
          </w:p>
        </w:tc>
        <w:tc>
          <w:tcPr>
            <w:tcW w:w="1247" w:type="dxa"/>
            <w:vAlign w:val="center"/>
          </w:tcPr>
          <w:p w:rsidR="00DC314B" w:rsidRPr="0033303F" w:rsidRDefault="00DC314B" w:rsidP="00B977EB">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44.6%</w:t>
            </w:r>
          </w:p>
        </w:tc>
        <w:tc>
          <w:tcPr>
            <w:tcW w:w="1510" w:type="dxa"/>
            <w:vAlign w:val="center"/>
          </w:tcPr>
          <w:p w:rsidR="00DC314B" w:rsidRPr="0033303F" w:rsidRDefault="00DC314B" w:rsidP="00B977EB">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1.4%</w:t>
            </w:r>
          </w:p>
        </w:tc>
        <w:tc>
          <w:tcPr>
            <w:tcW w:w="1134" w:type="dxa"/>
            <w:vAlign w:val="center"/>
          </w:tcPr>
          <w:p w:rsidR="00DC314B" w:rsidRPr="0033303F" w:rsidRDefault="00DC314B" w:rsidP="00B977EB">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 xml:space="preserve"> </w:t>
            </w:r>
          </w:p>
        </w:tc>
        <w:tc>
          <w:tcPr>
            <w:tcW w:w="1425" w:type="dxa"/>
            <w:vAlign w:val="center"/>
          </w:tcPr>
          <w:p w:rsidR="00DC314B" w:rsidRPr="0033303F" w:rsidRDefault="00DC314B" w:rsidP="00B977EB">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21.6%</w:t>
            </w:r>
          </w:p>
        </w:tc>
        <w:tc>
          <w:tcPr>
            <w:tcW w:w="1365" w:type="dxa"/>
            <w:vAlign w:val="center"/>
          </w:tcPr>
          <w:p w:rsidR="00DC314B" w:rsidRPr="0033303F" w:rsidRDefault="00DC314B" w:rsidP="00B977EB">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74</w:t>
            </w:r>
          </w:p>
        </w:tc>
      </w:tr>
      <w:tr w:rsidR="00DC314B" w:rsidRPr="0033303F" w:rsidTr="00B977EB">
        <w:trPr>
          <w:trHeight w:val="485"/>
        </w:trPr>
        <w:tc>
          <w:tcPr>
            <w:tcW w:w="1320" w:type="dxa"/>
            <w:vAlign w:val="center"/>
          </w:tcPr>
          <w:p w:rsidR="00DC314B" w:rsidRPr="0033303F" w:rsidRDefault="00DC314B" w:rsidP="00B977EB">
            <w:pPr>
              <w:pStyle w:val="10"/>
              <w:widowControl w:val="0"/>
              <w:spacing w:before="240"/>
              <w:ind w:left="-60"/>
              <w:rPr>
                <w:rFonts w:ascii="Times New Roman" w:eastAsia="Times New Roman" w:hAnsi="Times New Roman" w:cs="Times New Roman"/>
                <w:sz w:val="24"/>
                <w:szCs w:val="24"/>
              </w:rPr>
            </w:pPr>
            <w:proofErr w:type="spellStart"/>
            <w:r w:rsidRPr="0033303F">
              <w:rPr>
                <w:rFonts w:ascii="Times New Roman" w:eastAsia="Times New Roman" w:hAnsi="Times New Roman" w:cs="Times New Roman"/>
                <w:sz w:val="24"/>
                <w:szCs w:val="24"/>
              </w:rPr>
              <w:t>Lithuania</w:t>
            </w:r>
            <w:proofErr w:type="spellEnd"/>
          </w:p>
        </w:tc>
        <w:tc>
          <w:tcPr>
            <w:tcW w:w="1247" w:type="dxa"/>
            <w:vAlign w:val="center"/>
          </w:tcPr>
          <w:p w:rsidR="00DC314B" w:rsidRPr="0033303F" w:rsidRDefault="00DC314B" w:rsidP="00B977EB">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38.5%</w:t>
            </w:r>
          </w:p>
        </w:tc>
        <w:tc>
          <w:tcPr>
            <w:tcW w:w="1510" w:type="dxa"/>
            <w:vAlign w:val="center"/>
          </w:tcPr>
          <w:p w:rsidR="00DC314B" w:rsidRPr="0033303F" w:rsidRDefault="00DC314B" w:rsidP="00B977EB">
            <w:pPr>
              <w:pStyle w:val="10"/>
              <w:widowControl w:val="0"/>
              <w:rPr>
                <w:rFonts w:ascii="Times New Roman" w:eastAsia="Times New Roman" w:hAnsi="Times New Roman" w:cs="Times New Roman"/>
                <w:sz w:val="24"/>
                <w:szCs w:val="24"/>
              </w:rPr>
            </w:pPr>
          </w:p>
        </w:tc>
        <w:tc>
          <w:tcPr>
            <w:tcW w:w="1134" w:type="dxa"/>
            <w:vAlign w:val="center"/>
          </w:tcPr>
          <w:p w:rsidR="00DC314B" w:rsidRPr="0033303F" w:rsidRDefault="00DC314B" w:rsidP="00B977EB">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 xml:space="preserve"> </w:t>
            </w:r>
          </w:p>
        </w:tc>
        <w:tc>
          <w:tcPr>
            <w:tcW w:w="1425" w:type="dxa"/>
            <w:vAlign w:val="center"/>
          </w:tcPr>
          <w:p w:rsidR="00DC314B" w:rsidRPr="0033303F" w:rsidRDefault="00DC314B" w:rsidP="00B977EB">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10.2%</w:t>
            </w:r>
          </w:p>
        </w:tc>
        <w:tc>
          <w:tcPr>
            <w:tcW w:w="1365" w:type="dxa"/>
            <w:vAlign w:val="center"/>
          </w:tcPr>
          <w:p w:rsidR="00DC314B" w:rsidRPr="0033303F" w:rsidRDefault="00DC314B" w:rsidP="00B977EB">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265</w:t>
            </w:r>
          </w:p>
        </w:tc>
      </w:tr>
      <w:tr w:rsidR="0033303F" w:rsidRPr="0033303F" w:rsidTr="0033303F">
        <w:trPr>
          <w:trHeight w:val="485"/>
        </w:trPr>
        <w:tc>
          <w:tcPr>
            <w:tcW w:w="1320" w:type="dxa"/>
            <w:vAlign w:val="center"/>
          </w:tcPr>
          <w:p w:rsidR="0033303F" w:rsidRPr="0033303F" w:rsidRDefault="0033303F" w:rsidP="0033303F">
            <w:pPr>
              <w:pStyle w:val="10"/>
              <w:widowControl w:val="0"/>
              <w:spacing w:before="240"/>
              <w:ind w:left="-60"/>
              <w:rPr>
                <w:rFonts w:ascii="Times New Roman" w:eastAsia="Times New Roman" w:hAnsi="Times New Roman" w:cs="Times New Roman"/>
                <w:sz w:val="24"/>
                <w:szCs w:val="24"/>
              </w:rPr>
            </w:pPr>
            <w:proofErr w:type="spellStart"/>
            <w:r w:rsidRPr="0033303F">
              <w:rPr>
                <w:rFonts w:ascii="Times New Roman" w:eastAsia="Times New Roman" w:hAnsi="Times New Roman" w:cs="Times New Roman"/>
                <w:sz w:val="24"/>
                <w:szCs w:val="24"/>
              </w:rPr>
              <w:t>Moldova</w:t>
            </w:r>
            <w:proofErr w:type="spellEnd"/>
          </w:p>
        </w:tc>
        <w:tc>
          <w:tcPr>
            <w:tcW w:w="1247"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29.5%</w:t>
            </w:r>
          </w:p>
        </w:tc>
        <w:tc>
          <w:tcPr>
            <w:tcW w:w="1510"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 xml:space="preserve"> </w:t>
            </w:r>
          </w:p>
        </w:tc>
        <w:tc>
          <w:tcPr>
            <w:tcW w:w="1134"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 xml:space="preserve"> </w:t>
            </w:r>
          </w:p>
        </w:tc>
        <w:tc>
          <w:tcPr>
            <w:tcW w:w="142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3.8%</w:t>
            </w:r>
          </w:p>
        </w:tc>
        <w:tc>
          <w:tcPr>
            <w:tcW w:w="136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78</w:t>
            </w:r>
          </w:p>
        </w:tc>
      </w:tr>
      <w:tr w:rsidR="0033303F" w:rsidRPr="0033303F" w:rsidTr="0033303F">
        <w:trPr>
          <w:trHeight w:val="485"/>
        </w:trPr>
        <w:tc>
          <w:tcPr>
            <w:tcW w:w="1320" w:type="dxa"/>
            <w:vAlign w:val="center"/>
          </w:tcPr>
          <w:p w:rsidR="0033303F" w:rsidRPr="0033303F" w:rsidRDefault="0033303F" w:rsidP="0033303F">
            <w:pPr>
              <w:pStyle w:val="10"/>
              <w:widowControl w:val="0"/>
              <w:spacing w:before="240"/>
              <w:ind w:left="-6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Tajikistan</w:t>
            </w:r>
          </w:p>
        </w:tc>
        <w:tc>
          <w:tcPr>
            <w:tcW w:w="1247"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0.0%</w:t>
            </w:r>
          </w:p>
        </w:tc>
        <w:tc>
          <w:tcPr>
            <w:tcW w:w="1510"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 xml:space="preserve"> </w:t>
            </w:r>
          </w:p>
        </w:tc>
        <w:tc>
          <w:tcPr>
            <w:tcW w:w="1134"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 xml:space="preserve"> </w:t>
            </w:r>
          </w:p>
        </w:tc>
        <w:tc>
          <w:tcPr>
            <w:tcW w:w="142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10.0%</w:t>
            </w:r>
          </w:p>
        </w:tc>
        <w:tc>
          <w:tcPr>
            <w:tcW w:w="136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20</w:t>
            </w:r>
          </w:p>
        </w:tc>
      </w:tr>
      <w:tr w:rsidR="0033303F" w:rsidRPr="0033303F" w:rsidTr="0033303F">
        <w:trPr>
          <w:trHeight w:val="500"/>
        </w:trPr>
        <w:tc>
          <w:tcPr>
            <w:tcW w:w="1320" w:type="dxa"/>
            <w:vAlign w:val="center"/>
          </w:tcPr>
          <w:p w:rsidR="0033303F" w:rsidRPr="0033303F" w:rsidRDefault="0033303F" w:rsidP="0033303F">
            <w:pPr>
              <w:pStyle w:val="10"/>
              <w:widowControl w:val="0"/>
              <w:spacing w:before="240"/>
              <w:ind w:left="-6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Uzbekistan</w:t>
            </w:r>
          </w:p>
        </w:tc>
        <w:tc>
          <w:tcPr>
            <w:tcW w:w="1247"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66.3%</w:t>
            </w:r>
          </w:p>
        </w:tc>
        <w:tc>
          <w:tcPr>
            <w:tcW w:w="1510"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 xml:space="preserve"> </w:t>
            </w:r>
          </w:p>
        </w:tc>
        <w:tc>
          <w:tcPr>
            <w:tcW w:w="1134"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 xml:space="preserve"> </w:t>
            </w:r>
          </w:p>
        </w:tc>
        <w:tc>
          <w:tcPr>
            <w:tcW w:w="142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5.4%</w:t>
            </w:r>
          </w:p>
        </w:tc>
        <w:tc>
          <w:tcPr>
            <w:tcW w:w="1365" w:type="dxa"/>
            <w:vAlign w:val="center"/>
          </w:tcPr>
          <w:p w:rsidR="0033303F" w:rsidRPr="0033303F" w:rsidRDefault="0033303F" w:rsidP="0033303F">
            <w:pPr>
              <w:pStyle w:val="10"/>
              <w:widowControl w:val="0"/>
              <w:rPr>
                <w:rFonts w:ascii="Times New Roman" w:eastAsia="Times New Roman" w:hAnsi="Times New Roman" w:cs="Times New Roman"/>
                <w:sz w:val="24"/>
                <w:szCs w:val="24"/>
              </w:rPr>
            </w:pPr>
            <w:r w:rsidRPr="0033303F">
              <w:rPr>
                <w:rFonts w:ascii="Times New Roman" w:eastAsia="Times New Roman" w:hAnsi="Times New Roman" w:cs="Times New Roman"/>
                <w:sz w:val="24"/>
                <w:szCs w:val="24"/>
              </w:rPr>
              <w:t>92</w:t>
            </w:r>
          </w:p>
        </w:tc>
      </w:tr>
    </w:tbl>
    <w:p w:rsidR="002B3138" w:rsidRDefault="002B3138">
      <w:pPr>
        <w:pStyle w:val="10"/>
        <w:rPr>
          <w:color w:val="0B5394"/>
        </w:rPr>
      </w:pPr>
    </w:p>
    <w:p w:rsidR="002B3138" w:rsidRPr="00307792" w:rsidRDefault="004F30A1" w:rsidP="0033303F">
      <w:pPr>
        <w:pStyle w:val="10"/>
        <w:spacing w:line="240" w:lineRule="auto"/>
        <w:jc w:val="both"/>
        <w:rPr>
          <w:sz w:val="24"/>
          <w:szCs w:val="24"/>
          <w:lang w:val="en-US"/>
        </w:rPr>
      </w:pPr>
      <w:r w:rsidRPr="00307792">
        <w:rPr>
          <w:rFonts w:ascii="Times New Roman" w:eastAsia="Times New Roman" w:hAnsi="Times New Roman" w:cs="Times New Roman"/>
          <w:sz w:val="24"/>
          <w:szCs w:val="24"/>
          <w:lang w:val="en-US"/>
        </w:rPr>
        <w:t xml:space="preserve">We analyze foreign sources which are attributed to local authors or to the whole paper. The sources of </w:t>
      </w:r>
      <w:r w:rsidRPr="00307792">
        <w:rPr>
          <w:rFonts w:ascii="Times New Roman" w:eastAsia="Times New Roman" w:hAnsi="Times New Roman" w:cs="Times New Roman"/>
          <w:sz w:val="24"/>
          <w:szCs w:val="24"/>
          <w:highlight w:val="white"/>
          <w:lang w:val="en-US"/>
        </w:rPr>
        <w:t xml:space="preserve">foreign funding are more varied than domestic (Table </w:t>
      </w:r>
      <w:r w:rsidR="006C7344">
        <w:rPr>
          <w:rFonts w:ascii="Times New Roman" w:eastAsia="Times New Roman" w:hAnsi="Times New Roman" w:cs="Times New Roman"/>
          <w:sz w:val="24"/>
          <w:szCs w:val="24"/>
          <w:highlight w:val="white"/>
          <w:lang w:val="en-US"/>
        </w:rPr>
        <w:t>3</w:t>
      </w:r>
      <w:r w:rsidRPr="00307792">
        <w:rPr>
          <w:rFonts w:ascii="Times New Roman" w:eastAsia="Times New Roman" w:hAnsi="Times New Roman" w:cs="Times New Roman"/>
          <w:sz w:val="24"/>
          <w:szCs w:val="24"/>
          <w:highlight w:val="white"/>
          <w:lang w:val="en-US"/>
        </w:rPr>
        <w:t xml:space="preserve">). </w:t>
      </w:r>
      <w:r w:rsidR="00316438" w:rsidRPr="00307792">
        <w:rPr>
          <w:rFonts w:ascii="Times New Roman" w:eastAsia="Times New Roman" w:hAnsi="Times New Roman" w:cs="Times New Roman"/>
          <w:sz w:val="24"/>
          <w:szCs w:val="24"/>
          <w:highlight w:val="white"/>
          <w:lang w:val="en-US"/>
        </w:rPr>
        <w:t>S</w:t>
      </w:r>
      <w:r w:rsidRPr="00307792">
        <w:rPr>
          <w:rFonts w:ascii="Times New Roman" w:eastAsia="Times New Roman" w:hAnsi="Times New Roman" w:cs="Times New Roman"/>
          <w:sz w:val="24"/>
          <w:szCs w:val="24"/>
          <w:highlight w:val="white"/>
          <w:lang w:val="en-US"/>
        </w:rPr>
        <w:t>tate financing prevails, although for some countr</w:t>
      </w:r>
      <w:r w:rsidR="0033303F" w:rsidRPr="00307792">
        <w:rPr>
          <w:rFonts w:ascii="Times New Roman" w:eastAsia="Times New Roman" w:hAnsi="Times New Roman" w:cs="Times New Roman"/>
          <w:sz w:val="24"/>
          <w:szCs w:val="24"/>
          <w:highlight w:val="white"/>
          <w:lang w:val="en-US"/>
        </w:rPr>
        <w:t xml:space="preserve">ies </w:t>
      </w:r>
      <w:r w:rsidR="0033303F" w:rsidRPr="00307792">
        <w:rPr>
          <w:rFonts w:ascii="Times New Roman" w:eastAsia="Times New Roman" w:hAnsi="Times New Roman" w:cs="Times New Roman"/>
          <w:sz w:val="24"/>
          <w:szCs w:val="24"/>
          <w:lang w:val="en-US"/>
        </w:rPr>
        <w:t>interstate</w:t>
      </w:r>
      <w:r w:rsidR="0033303F" w:rsidRPr="00307792">
        <w:rPr>
          <w:rFonts w:ascii="Times New Roman" w:eastAsia="Times New Roman" w:hAnsi="Times New Roman" w:cs="Times New Roman"/>
          <w:sz w:val="24"/>
          <w:szCs w:val="24"/>
          <w:highlight w:val="white"/>
          <w:lang w:val="en-US"/>
        </w:rPr>
        <w:t xml:space="preserve"> programs have a</w:t>
      </w:r>
      <w:r w:rsidRPr="00307792">
        <w:rPr>
          <w:rFonts w:ascii="Times New Roman" w:eastAsia="Times New Roman" w:hAnsi="Times New Roman" w:cs="Times New Roman"/>
          <w:sz w:val="24"/>
          <w:szCs w:val="24"/>
          <w:highlight w:val="white"/>
          <w:lang w:val="en-US"/>
        </w:rPr>
        <w:t xml:space="preserve"> crucial role. Organization-level sources (intramural projects) are important in Azerbaijan, Uzbekistan and Georgia. Georgia has also quite a high level of financial support from foreign commercial sources. International funds are valuable for Uzbekistan and </w:t>
      </w:r>
      <w:r w:rsidR="0033303F" w:rsidRPr="00307792">
        <w:rPr>
          <w:rFonts w:ascii="Times New Roman" w:eastAsia="Times New Roman" w:hAnsi="Times New Roman" w:cs="Times New Roman"/>
          <w:sz w:val="24"/>
          <w:szCs w:val="24"/>
          <w:highlight w:val="white"/>
          <w:lang w:val="en-US"/>
        </w:rPr>
        <w:t>charity</w:t>
      </w:r>
      <w:r w:rsidRPr="00307792">
        <w:rPr>
          <w:rFonts w:ascii="Times New Roman" w:eastAsia="Times New Roman" w:hAnsi="Times New Roman" w:cs="Times New Roman"/>
          <w:sz w:val="24"/>
          <w:szCs w:val="24"/>
          <w:highlight w:val="white"/>
          <w:lang w:val="en-US"/>
        </w:rPr>
        <w:t xml:space="preserve"> foreign sources are significant for Armenia.</w:t>
      </w:r>
    </w:p>
    <w:p w:rsidR="005A7CA7" w:rsidRDefault="005A7CA7">
      <w:pPr>
        <w:pStyle w:val="10"/>
        <w:rPr>
          <w:rFonts w:ascii="Times New Roman" w:eastAsia="Times New Roman" w:hAnsi="Times New Roman" w:cs="Times New Roman"/>
          <w:sz w:val="28"/>
          <w:szCs w:val="28"/>
          <w:lang w:val="en-US"/>
        </w:rPr>
      </w:pPr>
    </w:p>
    <w:p w:rsidR="006C7344" w:rsidRDefault="006C7344">
      <w:pPr>
        <w:pStyle w:val="10"/>
        <w:rPr>
          <w:rFonts w:ascii="Times New Roman" w:eastAsia="Times New Roman" w:hAnsi="Times New Roman" w:cs="Times New Roman"/>
          <w:sz w:val="28"/>
          <w:szCs w:val="28"/>
          <w:lang w:val="en-US"/>
        </w:rPr>
      </w:pPr>
    </w:p>
    <w:p w:rsidR="006C7344" w:rsidRDefault="006C7344">
      <w:pPr>
        <w:pStyle w:val="10"/>
        <w:rPr>
          <w:rFonts w:ascii="Times New Roman" w:eastAsia="Times New Roman" w:hAnsi="Times New Roman" w:cs="Times New Roman"/>
          <w:sz w:val="28"/>
          <w:szCs w:val="28"/>
          <w:lang w:val="en-US"/>
        </w:rPr>
      </w:pPr>
    </w:p>
    <w:p w:rsidR="006C7344" w:rsidRDefault="006C7344">
      <w:pPr>
        <w:pStyle w:val="10"/>
        <w:rPr>
          <w:rFonts w:ascii="Times New Roman" w:eastAsia="Times New Roman" w:hAnsi="Times New Roman" w:cs="Times New Roman"/>
          <w:sz w:val="28"/>
          <w:szCs w:val="28"/>
          <w:lang w:val="en-US"/>
        </w:rPr>
      </w:pPr>
    </w:p>
    <w:p w:rsidR="006C7344" w:rsidRDefault="006C7344">
      <w:pPr>
        <w:pStyle w:val="10"/>
        <w:rPr>
          <w:rFonts w:ascii="Times New Roman" w:eastAsia="Times New Roman" w:hAnsi="Times New Roman" w:cs="Times New Roman"/>
          <w:sz w:val="28"/>
          <w:szCs w:val="28"/>
          <w:lang w:val="en-US"/>
        </w:rPr>
      </w:pPr>
    </w:p>
    <w:p w:rsidR="006C7344" w:rsidRDefault="006C7344">
      <w:pPr>
        <w:pStyle w:val="10"/>
        <w:rPr>
          <w:rFonts w:ascii="Times New Roman" w:eastAsia="Times New Roman" w:hAnsi="Times New Roman" w:cs="Times New Roman"/>
          <w:sz w:val="28"/>
          <w:szCs w:val="28"/>
          <w:lang w:val="en-US"/>
        </w:rPr>
      </w:pPr>
    </w:p>
    <w:p w:rsidR="006C7344" w:rsidRDefault="006C7344">
      <w:pPr>
        <w:pStyle w:val="10"/>
        <w:rPr>
          <w:rFonts w:ascii="Times New Roman" w:eastAsia="Times New Roman" w:hAnsi="Times New Roman" w:cs="Times New Roman"/>
          <w:sz w:val="28"/>
          <w:szCs w:val="28"/>
          <w:lang w:val="en-US"/>
        </w:rPr>
      </w:pPr>
    </w:p>
    <w:p w:rsidR="006C7344" w:rsidRDefault="006C7344">
      <w:pPr>
        <w:pStyle w:val="10"/>
        <w:rPr>
          <w:rFonts w:ascii="Times New Roman" w:eastAsia="Times New Roman" w:hAnsi="Times New Roman" w:cs="Times New Roman"/>
          <w:sz w:val="28"/>
          <w:szCs w:val="28"/>
          <w:lang w:val="en-US"/>
        </w:rPr>
      </w:pPr>
    </w:p>
    <w:p w:rsidR="006C7344" w:rsidRDefault="006C7344">
      <w:pPr>
        <w:pStyle w:val="10"/>
        <w:rPr>
          <w:rFonts w:ascii="Times New Roman" w:eastAsia="Times New Roman" w:hAnsi="Times New Roman" w:cs="Times New Roman"/>
          <w:sz w:val="28"/>
          <w:szCs w:val="28"/>
          <w:lang w:val="en-US"/>
        </w:rPr>
      </w:pPr>
    </w:p>
    <w:p w:rsidR="006C7344" w:rsidRDefault="006C7344">
      <w:pPr>
        <w:pStyle w:val="10"/>
        <w:rPr>
          <w:rFonts w:ascii="Times New Roman" w:eastAsia="Times New Roman" w:hAnsi="Times New Roman" w:cs="Times New Roman"/>
          <w:sz w:val="28"/>
          <w:szCs w:val="28"/>
          <w:lang w:val="en-US"/>
        </w:rPr>
      </w:pPr>
    </w:p>
    <w:p w:rsidR="002B3138" w:rsidRDefault="004F30A1" w:rsidP="0033303F">
      <w:pPr>
        <w:pStyle w:val="10"/>
        <w:jc w:val="center"/>
        <w:rPr>
          <w:rFonts w:ascii="Times New Roman" w:eastAsia="Times New Roman" w:hAnsi="Times New Roman" w:cs="Times New Roman"/>
          <w:sz w:val="24"/>
          <w:szCs w:val="24"/>
          <w:lang w:val="en-US"/>
        </w:rPr>
      </w:pPr>
      <w:proofErr w:type="gramStart"/>
      <w:r w:rsidRPr="00307792">
        <w:rPr>
          <w:rFonts w:ascii="Times New Roman" w:eastAsia="Times New Roman" w:hAnsi="Times New Roman" w:cs="Times New Roman"/>
          <w:sz w:val="24"/>
          <w:szCs w:val="24"/>
          <w:lang w:val="en-US"/>
        </w:rPr>
        <w:lastRenderedPageBreak/>
        <w:t xml:space="preserve">Table </w:t>
      </w:r>
      <w:r w:rsidR="006C7344">
        <w:rPr>
          <w:rFonts w:ascii="Times New Roman" w:eastAsia="Times New Roman" w:hAnsi="Times New Roman" w:cs="Times New Roman"/>
          <w:sz w:val="24"/>
          <w:szCs w:val="24"/>
          <w:lang w:val="en-US"/>
        </w:rPr>
        <w:t>3</w:t>
      </w:r>
      <w:r w:rsidRPr="00307792">
        <w:rPr>
          <w:rFonts w:ascii="Times New Roman" w:eastAsia="Times New Roman" w:hAnsi="Times New Roman" w:cs="Times New Roman"/>
          <w:sz w:val="24"/>
          <w:szCs w:val="24"/>
          <w:lang w:val="en-US"/>
        </w:rPr>
        <w:t>.</w:t>
      </w:r>
      <w:proofErr w:type="gramEnd"/>
      <w:r w:rsidRPr="00307792">
        <w:rPr>
          <w:rFonts w:ascii="Times New Roman" w:eastAsia="Times New Roman" w:hAnsi="Times New Roman" w:cs="Times New Roman"/>
          <w:sz w:val="24"/>
          <w:szCs w:val="24"/>
          <w:lang w:val="en-US"/>
        </w:rPr>
        <w:t xml:space="preserve"> </w:t>
      </w:r>
      <w:proofErr w:type="gramStart"/>
      <w:r w:rsidRPr="00307792">
        <w:rPr>
          <w:rFonts w:ascii="Times New Roman" w:eastAsia="Times New Roman" w:hAnsi="Times New Roman" w:cs="Times New Roman"/>
          <w:sz w:val="24"/>
          <w:szCs w:val="24"/>
          <w:highlight w:val="white"/>
          <w:lang w:val="en-US"/>
        </w:rPr>
        <w:t>Types of foreign funding sources</w:t>
      </w:r>
      <w:r w:rsidR="0033303F" w:rsidRPr="00307792">
        <w:rPr>
          <w:rFonts w:ascii="Times New Roman" w:eastAsia="Times New Roman" w:hAnsi="Times New Roman" w:cs="Times New Roman"/>
          <w:sz w:val="24"/>
          <w:szCs w:val="24"/>
          <w:lang w:val="en-US"/>
        </w:rPr>
        <w:t>.</w:t>
      </w:r>
      <w:proofErr w:type="gramEnd"/>
    </w:p>
    <w:p w:rsidR="00BC6A8B" w:rsidRDefault="00BC6A8B" w:rsidP="0033303F">
      <w:pPr>
        <w:pStyle w:val="10"/>
        <w:jc w:val="center"/>
        <w:rPr>
          <w:rFonts w:ascii="Times New Roman" w:eastAsia="Times New Roman" w:hAnsi="Times New Roman" w:cs="Times New Roman"/>
          <w:sz w:val="24"/>
          <w:szCs w:val="24"/>
          <w:lang w:val="en-US"/>
        </w:rPr>
      </w:pPr>
    </w:p>
    <w:tbl>
      <w:tblPr>
        <w:tblW w:w="8711" w:type="dxa"/>
        <w:tblInd w:w="118" w:type="dxa"/>
        <w:tblLook w:val="04A0"/>
      </w:tblPr>
      <w:tblGrid>
        <w:gridCol w:w="1336"/>
        <w:gridCol w:w="987"/>
        <w:gridCol w:w="1483"/>
        <w:gridCol w:w="1016"/>
        <w:gridCol w:w="1376"/>
        <w:gridCol w:w="875"/>
        <w:gridCol w:w="875"/>
        <w:gridCol w:w="763"/>
      </w:tblGrid>
      <w:tr w:rsidR="005A0E38" w:rsidRPr="005A0E38" w:rsidTr="006C7344">
        <w:trPr>
          <w:trHeight w:val="948"/>
        </w:trPr>
        <w:tc>
          <w:tcPr>
            <w:tcW w:w="13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Times New Roman" w:eastAsia="Times New Roman" w:hAnsi="Times New Roman" w:cs="Times New Roman"/>
                <w:b/>
                <w:bCs/>
                <w:color w:val="000000"/>
                <w:sz w:val="24"/>
                <w:szCs w:val="24"/>
              </w:rPr>
            </w:pPr>
            <w:proofErr w:type="spellStart"/>
            <w:r w:rsidRPr="005A0E38">
              <w:rPr>
                <w:rFonts w:ascii="Times New Roman" w:eastAsia="Times New Roman" w:hAnsi="Times New Roman" w:cs="Times New Roman"/>
                <w:b/>
                <w:bCs/>
                <w:color w:val="000000"/>
                <w:sz w:val="24"/>
                <w:szCs w:val="24"/>
              </w:rPr>
              <w:t>Countries</w:t>
            </w:r>
            <w:proofErr w:type="spellEnd"/>
          </w:p>
        </w:tc>
        <w:tc>
          <w:tcPr>
            <w:tcW w:w="987" w:type="dxa"/>
            <w:tcBorders>
              <w:top w:val="single" w:sz="8" w:space="0" w:color="auto"/>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Times New Roman" w:eastAsia="Times New Roman" w:hAnsi="Times New Roman" w:cs="Times New Roman"/>
                <w:b/>
                <w:bCs/>
                <w:color w:val="000000"/>
                <w:sz w:val="24"/>
                <w:szCs w:val="24"/>
              </w:rPr>
            </w:pPr>
            <w:proofErr w:type="spellStart"/>
            <w:r w:rsidRPr="005A0E38">
              <w:rPr>
                <w:rFonts w:ascii="Times New Roman" w:eastAsia="Times New Roman" w:hAnsi="Times New Roman" w:cs="Times New Roman"/>
                <w:b/>
                <w:bCs/>
                <w:color w:val="000000"/>
                <w:sz w:val="24"/>
                <w:szCs w:val="24"/>
              </w:rPr>
              <w:t>State</w:t>
            </w:r>
            <w:proofErr w:type="spellEnd"/>
            <w:r w:rsidRPr="005A0E38">
              <w:rPr>
                <w:rFonts w:ascii="Times New Roman" w:eastAsia="Times New Roman" w:hAnsi="Times New Roman" w:cs="Times New Roman"/>
                <w:b/>
                <w:bCs/>
                <w:color w:val="000000"/>
                <w:sz w:val="24"/>
                <w:szCs w:val="24"/>
              </w:rPr>
              <w:t xml:space="preserve"> </w:t>
            </w:r>
            <w:proofErr w:type="spellStart"/>
            <w:r w:rsidRPr="005A0E38">
              <w:rPr>
                <w:rFonts w:ascii="Times New Roman" w:eastAsia="Times New Roman" w:hAnsi="Times New Roman" w:cs="Times New Roman"/>
                <w:b/>
                <w:bCs/>
                <w:color w:val="000000"/>
                <w:sz w:val="24"/>
                <w:szCs w:val="24"/>
              </w:rPr>
              <w:t>agency</w:t>
            </w:r>
            <w:proofErr w:type="spellEnd"/>
            <w:r w:rsidRPr="005A0E38">
              <w:rPr>
                <w:rFonts w:ascii="Times New Roman" w:eastAsia="Times New Roman" w:hAnsi="Times New Roman" w:cs="Times New Roman"/>
                <w:b/>
                <w:bCs/>
                <w:color w:val="000000"/>
                <w:sz w:val="24"/>
                <w:szCs w:val="24"/>
              </w:rPr>
              <w:t xml:space="preserve"> </w:t>
            </w:r>
            <w:proofErr w:type="spellStart"/>
            <w:r w:rsidRPr="005A0E38">
              <w:rPr>
                <w:rFonts w:ascii="Times New Roman" w:eastAsia="Times New Roman" w:hAnsi="Times New Roman" w:cs="Times New Roman"/>
                <w:b/>
                <w:bCs/>
                <w:color w:val="000000"/>
                <w:sz w:val="24"/>
                <w:szCs w:val="24"/>
              </w:rPr>
              <w:t>grant</w:t>
            </w:r>
            <w:proofErr w:type="spellEnd"/>
          </w:p>
        </w:tc>
        <w:tc>
          <w:tcPr>
            <w:tcW w:w="1483" w:type="dxa"/>
            <w:tcBorders>
              <w:top w:val="single" w:sz="8" w:space="0" w:color="auto"/>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Times New Roman" w:eastAsia="Times New Roman" w:hAnsi="Times New Roman" w:cs="Times New Roman"/>
                <w:b/>
                <w:bCs/>
                <w:color w:val="000000"/>
                <w:sz w:val="24"/>
                <w:szCs w:val="24"/>
              </w:rPr>
            </w:pPr>
            <w:r w:rsidRPr="005A0E38">
              <w:rPr>
                <w:rFonts w:ascii="Times New Roman" w:eastAsia="Times New Roman" w:hAnsi="Times New Roman" w:cs="Times New Roman"/>
                <w:b/>
                <w:bCs/>
                <w:color w:val="000000"/>
                <w:sz w:val="24"/>
                <w:szCs w:val="24"/>
              </w:rPr>
              <w:t>Commercial</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Times New Roman" w:eastAsia="Times New Roman" w:hAnsi="Times New Roman" w:cs="Times New Roman"/>
                <w:b/>
                <w:bCs/>
                <w:color w:val="000000"/>
                <w:sz w:val="24"/>
                <w:szCs w:val="24"/>
              </w:rPr>
            </w:pPr>
            <w:proofErr w:type="spellStart"/>
            <w:r w:rsidRPr="005A0E38">
              <w:rPr>
                <w:rFonts w:ascii="Times New Roman" w:eastAsia="Times New Roman" w:hAnsi="Times New Roman" w:cs="Times New Roman"/>
                <w:b/>
                <w:bCs/>
                <w:color w:val="000000"/>
                <w:sz w:val="24"/>
                <w:szCs w:val="24"/>
              </w:rPr>
              <w:t>Charity</w:t>
            </w:r>
            <w:proofErr w:type="spellEnd"/>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Times New Roman" w:eastAsia="Times New Roman" w:hAnsi="Times New Roman" w:cs="Times New Roman"/>
                <w:b/>
                <w:bCs/>
                <w:color w:val="000000"/>
                <w:sz w:val="24"/>
                <w:szCs w:val="24"/>
              </w:rPr>
            </w:pPr>
            <w:proofErr w:type="spellStart"/>
            <w:r w:rsidRPr="005A0E38">
              <w:rPr>
                <w:rFonts w:ascii="Times New Roman" w:eastAsia="Times New Roman" w:hAnsi="Times New Roman" w:cs="Times New Roman"/>
                <w:b/>
                <w:bCs/>
                <w:color w:val="000000"/>
                <w:sz w:val="24"/>
                <w:szCs w:val="24"/>
              </w:rPr>
              <w:t>Intramural</w:t>
            </w:r>
            <w:proofErr w:type="spellEnd"/>
            <w:r w:rsidRPr="005A0E38">
              <w:rPr>
                <w:rFonts w:ascii="Times New Roman" w:eastAsia="Times New Roman" w:hAnsi="Times New Roman" w:cs="Times New Roman"/>
                <w:b/>
                <w:bCs/>
                <w:color w:val="000000"/>
                <w:sz w:val="24"/>
                <w:szCs w:val="24"/>
              </w:rPr>
              <w:t xml:space="preserve"> </w:t>
            </w:r>
            <w:proofErr w:type="spellStart"/>
            <w:r w:rsidRPr="005A0E38">
              <w:rPr>
                <w:rFonts w:ascii="Times New Roman" w:eastAsia="Times New Roman" w:hAnsi="Times New Roman" w:cs="Times New Roman"/>
                <w:b/>
                <w:bCs/>
                <w:color w:val="000000"/>
                <w:sz w:val="24"/>
                <w:szCs w:val="24"/>
              </w:rPr>
              <w:t>project</w:t>
            </w:r>
            <w:proofErr w:type="spellEnd"/>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Times New Roman" w:eastAsia="Times New Roman" w:hAnsi="Times New Roman" w:cs="Times New Roman"/>
                <w:b/>
                <w:bCs/>
                <w:color w:val="000000"/>
                <w:sz w:val="24"/>
                <w:szCs w:val="24"/>
              </w:rPr>
            </w:pPr>
            <w:r w:rsidRPr="005A0E38">
              <w:rPr>
                <w:rFonts w:ascii="Times New Roman" w:eastAsia="Times New Roman" w:hAnsi="Times New Roman" w:cs="Times New Roman"/>
                <w:b/>
                <w:bCs/>
                <w:color w:val="000000"/>
                <w:sz w:val="24"/>
                <w:szCs w:val="24"/>
              </w:rPr>
              <w:t>EU</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Times New Roman" w:eastAsia="Times New Roman" w:hAnsi="Times New Roman" w:cs="Times New Roman"/>
                <w:b/>
                <w:bCs/>
                <w:color w:val="000000"/>
                <w:sz w:val="24"/>
                <w:szCs w:val="24"/>
              </w:rPr>
            </w:pPr>
            <w:r w:rsidRPr="005A0E38">
              <w:rPr>
                <w:rFonts w:ascii="Times New Roman" w:eastAsia="Times New Roman" w:hAnsi="Times New Roman" w:cs="Times New Roman"/>
                <w:b/>
                <w:bCs/>
                <w:color w:val="000000"/>
                <w:sz w:val="24"/>
                <w:szCs w:val="24"/>
              </w:rPr>
              <w:t>INT</w:t>
            </w:r>
          </w:p>
        </w:tc>
        <w:tc>
          <w:tcPr>
            <w:tcW w:w="763" w:type="dxa"/>
            <w:tcBorders>
              <w:top w:val="single" w:sz="8" w:space="0" w:color="auto"/>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Times New Roman" w:eastAsia="Times New Roman" w:hAnsi="Times New Roman" w:cs="Times New Roman"/>
                <w:b/>
                <w:bCs/>
                <w:color w:val="000000"/>
                <w:sz w:val="24"/>
                <w:szCs w:val="24"/>
              </w:rPr>
            </w:pPr>
            <w:r w:rsidRPr="005A0E38">
              <w:rPr>
                <w:rFonts w:ascii="Times New Roman" w:eastAsia="Times New Roman" w:hAnsi="Times New Roman" w:cs="Times New Roman"/>
                <w:b/>
                <w:bCs/>
                <w:color w:val="000000"/>
                <w:sz w:val="24"/>
                <w:szCs w:val="24"/>
              </w:rPr>
              <w:t>Total</w:t>
            </w:r>
          </w:p>
        </w:tc>
      </w:tr>
      <w:tr w:rsidR="005A0E38" w:rsidRPr="005A0E38" w:rsidTr="006C7344">
        <w:trPr>
          <w:trHeight w:val="324"/>
        </w:trPr>
        <w:tc>
          <w:tcPr>
            <w:tcW w:w="1336" w:type="dxa"/>
            <w:tcBorders>
              <w:top w:val="nil"/>
              <w:left w:val="single" w:sz="8" w:space="0" w:color="auto"/>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Times New Roman" w:eastAsia="Times New Roman" w:hAnsi="Times New Roman" w:cs="Times New Roman"/>
                <w:color w:val="000000"/>
                <w:sz w:val="24"/>
                <w:szCs w:val="24"/>
              </w:rPr>
            </w:pPr>
            <w:proofErr w:type="spellStart"/>
            <w:r w:rsidRPr="005A0E38">
              <w:rPr>
                <w:rFonts w:ascii="Times New Roman" w:eastAsia="Times New Roman" w:hAnsi="Times New Roman" w:cs="Times New Roman"/>
                <w:color w:val="000000"/>
                <w:sz w:val="24"/>
                <w:szCs w:val="24"/>
              </w:rPr>
              <w:t>Armenia</w:t>
            </w:r>
            <w:proofErr w:type="spellEnd"/>
          </w:p>
        </w:tc>
        <w:tc>
          <w:tcPr>
            <w:tcW w:w="987"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39%</w:t>
            </w:r>
          </w:p>
        </w:tc>
        <w:tc>
          <w:tcPr>
            <w:tcW w:w="1483"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2.9%</w:t>
            </w:r>
          </w:p>
        </w:tc>
        <w:tc>
          <w:tcPr>
            <w:tcW w:w="1016"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17.6%</w:t>
            </w:r>
          </w:p>
        </w:tc>
        <w:tc>
          <w:tcPr>
            <w:tcW w:w="1376"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15.4%</w:t>
            </w:r>
          </w:p>
        </w:tc>
        <w:tc>
          <w:tcPr>
            <w:tcW w:w="875"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14%</w:t>
            </w:r>
          </w:p>
        </w:tc>
        <w:tc>
          <w:tcPr>
            <w:tcW w:w="875"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13.2%</w:t>
            </w:r>
          </w:p>
        </w:tc>
        <w:tc>
          <w:tcPr>
            <w:tcW w:w="763"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jc w:val="right"/>
              <w:rPr>
                <w:rFonts w:ascii="Calibri" w:eastAsia="Times New Roman" w:hAnsi="Calibri" w:cs="Calibri"/>
                <w:color w:val="000000"/>
              </w:rPr>
            </w:pPr>
            <w:r w:rsidRPr="005A0E38">
              <w:rPr>
                <w:rFonts w:ascii="Calibri" w:eastAsia="Calibri" w:hAnsi="Calibri" w:cs="Calibri"/>
                <w:color w:val="000000"/>
              </w:rPr>
              <w:t>136</w:t>
            </w:r>
          </w:p>
        </w:tc>
      </w:tr>
      <w:tr w:rsidR="005A0E38" w:rsidRPr="005A0E38" w:rsidTr="006C7344">
        <w:trPr>
          <w:trHeight w:val="636"/>
        </w:trPr>
        <w:tc>
          <w:tcPr>
            <w:tcW w:w="1336" w:type="dxa"/>
            <w:tcBorders>
              <w:top w:val="nil"/>
              <w:left w:val="single" w:sz="8" w:space="0" w:color="auto"/>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Times New Roman" w:eastAsia="Times New Roman" w:hAnsi="Times New Roman" w:cs="Times New Roman"/>
                <w:color w:val="000000"/>
                <w:sz w:val="24"/>
                <w:szCs w:val="24"/>
              </w:rPr>
            </w:pPr>
            <w:proofErr w:type="spellStart"/>
            <w:r w:rsidRPr="005A0E38">
              <w:rPr>
                <w:rFonts w:ascii="Times New Roman" w:eastAsia="Times New Roman" w:hAnsi="Times New Roman" w:cs="Times New Roman"/>
                <w:color w:val="000000"/>
                <w:sz w:val="24"/>
                <w:szCs w:val="24"/>
              </w:rPr>
              <w:t>Azerbaijan</w:t>
            </w:r>
            <w:proofErr w:type="spellEnd"/>
          </w:p>
        </w:tc>
        <w:tc>
          <w:tcPr>
            <w:tcW w:w="987"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90.3%</w:t>
            </w:r>
          </w:p>
        </w:tc>
        <w:tc>
          <w:tcPr>
            <w:tcW w:w="1483"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Calibri" w:eastAsia="Times New Roman" w:hAnsi="Calibri" w:cs="Calibri"/>
                <w:color w:val="000000"/>
              </w:rPr>
            </w:pPr>
          </w:p>
        </w:tc>
        <w:tc>
          <w:tcPr>
            <w:tcW w:w="1016"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Calibri" w:eastAsia="Times New Roman" w:hAnsi="Calibri" w:cs="Calibri"/>
                <w:color w:val="000000"/>
              </w:rPr>
            </w:pPr>
          </w:p>
        </w:tc>
        <w:tc>
          <w:tcPr>
            <w:tcW w:w="1376"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35.5%</w:t>
            </w:r>
          </w:p>
        </w:tc>
        <w:tc>
          <w:tcPr>
            <w:tcW w:w="875"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3.2%</w:t>
            </w:r>
          </w:p>
        </w:tc>
        <w:tc>
          <w:tcPr>
            <w:tcW w:w="875"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Calibri" w:eastAsia="Times New Roman" w:hAnsi="Calibri" w:cs="Calibri"/>
                <w:color w:val="000000"/>
              </w:rPr>
            </w:pPr>
          </w:p>
        </w:tc>
        <w:tc>
          <w:tcPr>
            <w:tcW w:w="763"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jc w:val="right"/>
              <w:rPr>
                <w:rFonts w:ascii="Calibri" w:eastAsia="Times New Roman" w:hAnsi="Calibri" w:cs="Calibri"/>
                <w:color w:val="000000"/>
              </w:rPr>
            </w:pPr>
            <w:r w:rsidRPr="005A0E38">
              <w:rPr>
                <w:rFonts w:ascii="Calibri" w:eastAsia="Calibri" w:hAnsi="Calibri" w:cs="Calibri"/>
                <w:color w:val="000000"/>
              </w:rPr>
              <w:t>31</w:t>
            </w:r>
          </w:p>
        </w:tc>
      </w:tr>
      <w:tr w:rsidR="005A0E38" w:rsidRPr="005A0E38" w:rsidTr="006C7344">
        <w:trPr>
          <w:trHeight w:val="324"/>
        </w:trPr>
        <w:tc>
          <w:tcPr>
            <w:tcW w:w="1336" w:type="dxa"/>
            <w:tcBorders>
              <w:top w:val="nil"/>
              <w:left w:val="single" w:sz="8" w:space="0" w:color="auto"/>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Times New Roman" w:eastAsia="Times New Roman" w:hAnsi="Times New Roman" w:cs="Times New Roman"/>
                <w:color w:val="000000"/>
                <w:sz w:val="24"/>
                <w:szCs w:val="24"/>
              </w:rPr>
            </w:pPr>
            <w:r w:rsidRPr="005A0E38">
              <w:rPr>
                <w:rFonts w:ascii="Times New Roman" w:eastAsia="Times New Roman" w:hAnsi="Times New Roman" w:cs="Times New Roman"/>
                <w:color w:val="000000"/>
                <w:sz w:val="24"/>
                <w:szCs w:val="24"/>
              </w:rPr>
              <w:t>Belarus</w:t>
            </w:r>
          </w:p>
        </w:tc>
        <w:tc>
          <w:tcPr>
            <w:tcW w:w="987"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82.6%</w:t>
            </w:r>
          </w:p>
        </w:tc>
        <w:tc>
          <w:tcPr>
            <w:tcW w:w="1483"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Calibri" w:eastAsia="Times New Roman" w:hAnsi="Calibri" w:cs="Calibri"/>
                <w:color w:val="000000"/>
              </w:rPr>
            </w:pPr>
          </w:p>
        </w:tc>
        <w:tc>
          <w:tcPr>
            <w:tcW w:w="1016"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4.5%</w:t>
            </w:r>
          </w:p>
        </w:tc>
        <w:tc>
          <w:tcPr>
            <w:tcW w:w="1376"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13.5%</w:t>
            </w:r>
          </w:p>
        </w:tc>
        <w:tc>
          <w:tcPr>
            <w:tcW w:w="875"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25.8%</w:t>
            </w:r>
          </w:p>
        </w:tc>
        <w:tc>
          <w:tcPr>
            <w:tcW w:w="875"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2.6%</w:t>
            </w:r>
          </w:p>
        </w:tc>
        <w:tc>
          <w:tcPr>
            <w:tcW w:w="763"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jc w:val="right"/>
              <w:rPr>
                <w:rFonts w:ascii="Calibri" w:eastAsia="Times New Roman" w:hAnsi="Calibri" w:cs="Calibri"/>
                <w:color w:val="000000"/>
              </w:rPr>
            </w:pPr>
            <w:r w:rsidRPr="005A0E38">
              <w:rPr>
                <w:rFonts w:ascii="Calibri" w:eastAsia="Calibri" w:hAnsi="Calibri" w:cs="Calibri"/>
                <w:color w:val="000000"/>
              </w:rPr>
              <w:t>155</w:t>
            </w:r>
          </w:p>
        </w:tc>
      </w:tr>
      <w:tr w:rsidR="005A0E38" w:rsidRPr="005A0E38" w:rsidTr="006C7344">
        <w:trPr>
          <w:trHeight w:val="324"/>
        </w:trPr>
        <w:tc>
          <w:tcPr>
            <w:tcW w:w="1336" w:type="dxa"/>
            <w:tcBorders>
              <w:top w:val="nil"/>
              <w:left w:val="single" w:sz="8" w:space="0" w:color="auto"/>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Times New Roman" w:eastAsia="Times New Roman" w:hAnsi="Times New Roman" w:cs="Times New Roman"/>
                <w:color w:val="000000"/>
                <w:sz w:val="24"/>
                <w:szCs w:val="24"/>
              </w:rPr>
            </w:pPr>
            <w:proofErr w:type="spellStart"/>
            <w:r w:rsidRPr="005A0E38">
              <w:rPr>
                <w:rFonts w:ascii="Times New Roman" w:eastAsia="Times New Roman" w:hAnsi="Times New Roman" w:cs="Times New Roman"/>
                <w:color w:val="000000"/>
                <w:sz w:val="24"/>
                <w:szCs w:val="24"/>
              </w:rPr>
              <w:t>Estonia</w:t>
            </w:r>
            <w:proofErr w:type="spellEnd"/>
          </w:p>
        </w:tc>
        <w:tc>
          <w:tcPr>
            <w:tcW w:w="987"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46%</w:t>
            </w:r>
          </w:p>
        </w:tc>
        <w:tc>
          <w:tcPr>
            <w:tcW w:w="1483"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1%</w:t>
            </w:r>
          </w:p>
        </w:tc>
        <w:tc>
          <w:tcPr>
            <w:tcW w:w="1016"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8%</w:t>
            </w:r>
          </w:p>
        </w:tc>
        <w:tc>
          <w:tcPr>
            <w:tcW w:w="1376"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7.2%</w:t>
            </w:r>
          </w:p>
        </w:tc>
        <w:tc>
          <w:tcPr>
            <w:tcW w:w="875"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61.2%</w:t>
            </w:r>
          </w:p>
        </w:tc>
        <w:tc>
          <w:tcPr>
            <w:tcW w:w="875"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4.4%</w:t>
            </w:r>
          </w:p>
        </w:tc>
        <w:tc>
          <w:tcPr>
            <w:tcW w:w="763"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jc w:val="right"/>
              <w:rPr>
                <w:rFonts w:ascii="Calibri" w:eastAsia="Times New Roman" w:hAnsi="Calibri" w:cs="Calibri"/>
                <w:color w:val="000000"/>
              </w:rPr>
            </w:pPr>
            <w:r w:rsidRPr="005A0E38">
              <w:rPr>
                <w:rFonts w:ascii="Calibri" w:eastAsia="Calibri" w:hAnsi="Calibri" w:cs="Calibri"/>
                <w:color w:val="000000"/>
              </w:rPr>
              <w:t>572</w:t>
            </w:r>
          </w:p>
        </w:tc>
      </w:tr>
      <w:tr w:rsidR="005A0E38" w:rsidRPr="005A0E38" w:rsidTr="006C7344">
        <w:trPr>
          <w:trHeight w:val="324"/>
        </w:trPr>
        <w:tc>
          <w:tcPr>
            <w:tcW w:w="1336" w:type="dxa"/>
            <w:tcBorders>
              <w:top w:val="nil"/>
              <w:left w:val="single" w:sz="8" w:space="0" w:color="auto"/>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Times New Roman" w:eastAsia="Times New Roman" w:hAnsi="Times New Roman" w:cs="Times New Roman"/>
                <w:color w:val="000000"/>
                <w:sz w:val="24"/>
                <w:szCs w:val="24"/>
              </w:rPr>
            </w:pPr>
            <w:r w:rsidRPr="005A0E38">
              <w:rPr>
                <w:rFonts w:ascii="Times New Roman" w:eastAsia="Times New Roman" w:hAnsi="Times New Roman" w:cs="Times New Roman"/>
                <w:color w:val="000000"/>
                <w:sz w:val="24"/>
                <w:szCs w:val="24"/>
              </w:rPr>
              <w:t>Georgia</w:t>
            </w:r>
          </w:p>
        </w:tc>
        <w:tc>
          <w:tcPr>
            <w:tcW w:w="987"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84%</w:t>
            </w:r>
          </w:p>
        </w:tc>
        <w:tc>
          <w:tcPr>
            <w:tcW w:w="1483"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22.2%</w:t>
            </w:r>
          </w:p>
        </w:tc>
        <w:tc>
          <w:tcPr>
            <w:tcW w:w="1016"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3.7%</w:t>
            </w:r>
          </w:p>
        </w:tc>
        <w:tc>
          <w:tcPr>
            <w:tcW w:w="1376"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33.3%</w:t>
            </w:r>
          </w:p>
        </w:tc>
        <w:tc>
          <w:tcPr>
            <w:tcW w:w="875"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17.9%</w:t>
            </w:r>
          </w:p>
        </w:tc>
        <w:tc>
          <w:tcPr>
            <w:tcW w:w="875"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Calibri" w:eastAsia="Times New Roman" w:hAnsi="Calibri" w:cs="Calibri"/>
                <w:color w:val="000000"/>
              </w:rPr>
            </w:pPr>
          </w:p>
        </w:tc>
        <w:tc>
          <w:tcPr>
            <w:tcW w:w="763"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jc w:val="right"/>
              <w:rPr>
                <w:rFonts w:ascii="Calibri" w:eastAsia="Times New Roman" w:hAnsi="Calibri" w:cs="Calibri"/>
                <w:color w:val="000000"/>
              </w:rPr>
            </w:pPr>
            <w:r w:rsidRPr="005A0E38">
              <w:rPr>
                <w:rFonts w:ascii="Calibri" w:eastAsia="Calibri" w:hAnsi="Calibri" w:cs="Calibri"/>
                <w:color w:val="000000"/>
              </w:rPr>
              <w:t>162</w:t>
            </w:r>
          </w:p>
        </w:tc>
      </w:tr>
      <w:tr w:rsidR="005A0E38" w:rsidRPr="005A0E38" w:rsidTr="006C7344">
        <w:trPr>
          <w:trHeight w:val="636"/>
        </w:trPr>
        <w:tc>
          <w:tcPr>
            <w:tcW w:w="1336" w:type="dxa"/>
            <w:tcBorders>
              <w:top w:val="nil"/>
              <w:left w:val="single" w:sz="8" w:space="0" w:color="auto"/>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Times New Roman" w:eastAsia="Times New Roman" w:hAnsi="Times New Roman" w:cs="Times New Roman"/>
                <w:color w:val="000000"/>
                <w:sz w:val="24"/>
                <w:szCs w:val="24"/>
              </w:rPr>
            </w:pPr>
            <w:proofErr w:type="spellStart"/>
            <w:r w:rsidRPr="005A0E38">
              <w:rPr>
                <w:rFonts w:ascii="Times New Roman" w:eastAsia="Times New Roman" w:hAnsi="Times New Roman" w:cs="Times New Roman"/>
                <w:color w:val="000000"/>
                <w:sz w:val="24"/>
                <w:szCs w:val="24"/>
              </w:rPr>
              <w:t>Kazakhstan</w:t>
            </w:r>
            <w:proofErr w:type="spellEnd"/>
          </w:p>
        </w:tc>
        <w:tc>
          <w:tcPr>
            <w:tcW w:w="987"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59.8%</w:t>
            </w:r>
          </w:p>
        </w:tc>
        <w:tc>
          <w:tcPr>
            <w:tcW w:w="1483"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rPr>
                <w:rFonts w:ascii="Calibri" w:eastAsia="Times New Roman" w:hAnsi="Calibri" w:cs="Calibri"/>
                <w:color w:val="000000"/>
              </w:rPr>
            </w:pPr>
          </w:p>
        </w:tc>
        <w:tc>
          <w:tcPr>
            <w:tcW w:w="1016"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7.2%</w:t>
            </w:r>
          </w:p>
        </w:tc>
        <w:tc>
          <w:tcPr>
            <w:tcW w:w="1376"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14.4%</w:t>
            </w:r>
          </w:p>
        </w:tc>
        <w:tc>
          <w:tcPr>
            <w:tcW w:w="875"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6.7%</w:t>
            </w:r>
          </w:p>
        </w:tc>
        <w:tc>
          <w:tcPr>
            <w:tcW w:w="875"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5.2%</w:t>
            </w:r>
          </w:p>
        </w:tc>
        <w:tc>
          <w:tcPr>
            <w:tcW w:w="763" w:type="dxa"/>
            <w:tcBorders>
              <w:top w:val="nil"/>
              <w:left w:val="nil"/>
              <w:bottom w:val="single" w:sz="8" w:space="0" w:color="auto"/>
              <w:right w:val="single" w:sz="8" w:space="0" w:color="auto"/>
            </w:tcBorders>
            <w:shd w:val="clear" w:color="auto" w:fill="auto"/>
            <w:vAlign w:val="center"/>
            <w:hideMark/>
          </w:tcPr>
          <w:p w:rsidR="005A0E38" w:rsidRPr="005A0E38" w:rsidRDefault="005A0E38" w:rsidP="005A0E38">
            <w:pPr>
              <w:spacing w:line="240" w:lineRule="auto"/>
              <w:jc w:val="right"/>
              <w:rPr>
                <w:rFonts w:ascii="Calibri" w:eastAsia="Times New Roman" w:hAnsi="Calibri" w:cs="Calibri"/>
                <w:color w:val="000000"/>
              </w:rPr>
            </w:pPr>
            <w:r w:rsidRPr="005A0E38">
              <w:rPr>
                <w:rFonts w:ascii="Calibri" w:eastAsia="Calibri" w:hAnsi="Calibri" w:cs="Calibri"/>
                <w:color w:val="000000"/>
              </w:rPr>
              <w:t>194</w:t>
            </w:r>
          </w:p>
        </w:tc>
      </w:tr>
      <w:tr w:rsidR="006C7344" w:rsidRPr="005A0E38" w:rsidTr="006C7344">
        <w:trPr>
          <w:trHeight w:val="324"/>
        </w:trPr>
        <w:tc>
          <w:tcPr>
            <w:tcW w:w="1336" w:type="dxa"/>
            <w:tcBorders>
              <w:top w:val="nil"/>
              <w:left w:val="single" w:sz="8" w:space="0" w:color="auto"/>
              <w:bottom w:val="single" w:sz="8" w:space="0" w:color="auto"/>
              <w:right w:val="single" w:sz="8" w:space="0" w:color="auto"/>
            </w:tcBorders>
            <w:shd w:val="clear" w:color="auto" w:fill="auto"/>
            <w:vAlign w:val="center"/>
            <w:hideMark/>
          </w:tcPr>
          <w:p w:rsidR="006C7344" w:rsidRPr="005A0E38" w:rsidRDefault="006C7344" w:rsidP="00695101">
            <w:pPr>
              <w:spacing w:line="240" w:lineRule="auto"/>
              <w:rPr>
                <w:rFonts w:ascii="Times New Roman" w:eastAsia="Times New Roman" w:hAnsi="Times New Roman" w:cs="Times New Roman"/>
                <w:color w:val="000000"/>
                <w:sz w:val="24"/>
                <w:szCs w:val="24"/>
              </w:rPr>
            </w:pPr>
            <w:proofErr w:type="spellStart"/>
            <w:r w:rsidRPr="005A0E38">
              <w:rPr>
                <w:rFonts w:ascii="Times New Roman" w:eastAsia="Times New Roman" w:hAnsi="Times New Roman" w:cs="Times New Roman"/>
                <w:color w:val="000000"/>
                <w:sz w:val="24"/>
                <w:szCs w:val="24"/>
              </w:rPr>
              <w:t>Kyrgyzstan</w:t>
            </w:r>
            <w:proofErr w:type="spellEnd"/>
          </w:p>
        </w:tc>
        <w:tc>
          <w:tcPr>
            <w:tcW w:w="987"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100%</w:t>
            </w:r>
          </w:p>
        </w:tc>
        <w:tc>
          <w:tcPr>
            <w:tcW w:w="1483"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95101">
            <w:pPr>
              <w:spacing w:line="240" w:lineRule="auto"/>
              <w:rPr>
                <w:rFonts w:ascii="Calibri" w:eastAsia="Times New Roman" w:hAnsi="Calibri" w:cs="Calibri"/>
                <w:color w:val="000000"/>
              </w:rPr>
            </w:pPr>
          </w:p>
        </w:tc>
        <w:tc>
          <w:tcPr>
            <w:tcW w:w="1016"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95101">
            <w:pPr>
              <w:spacing w:line="240" w:lineRule="auto"/>
              <w:rPr>
                <w:rFonts w:ascii="Calibri" w:eastAsia="Times New Roman" w:hAnsi="Calibri" w:cs="Calibri"/>
                <w:color w:val="000000"/>
              </w:rPr>
            </w:pPr>
          </w:p>
        </w:tc>
        <w:tc>
          <w:tcPr>
            <w:tcW w:w="1376"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9.5%</w:t>
            </w:r>
          </w:p>
        </w:tc>
        <w:tc>
          <w:tcPr>
            <w:tcW w:w="875"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9.5%</w:t>
            </w:r>
          </w:p>
        </w:tc>
        <w:tc>
          <w:tcPr>
            <w:tcW w:w="875"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95101">
            <w:pPr>
              <w:spacing w:line="240" w:lineRule="auto"/>
              <w:rPr>
                <w:rFonts w:ascii="Calibri" w:eastAsia="Times New Roman" w:hAnsi="Calibri" w:cs="Calibri"/>
                <w:color w:val="000000"/>
              </w:rPr>
            </w:pPr>
          </w:p>
        </w:tc>
        <w:tc>
          <w:tcPr>
            <w:tcW w:w="763"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95101">
            <w:pPr>
              <w:spacing w:line="240" w:lineRule="auto"/>
              <w:jc w:val="right"/>
              <w:rPr>
                <w:rFonts w:ascii="Calibri" w:eastAsia="Times New Roman" w:hAnsi="Calibri" w:cs="Calibri"/>
                <w:color w:val="000000"/>
              </w:rPr>
            </w:pPr>
            <w:r w:rsidRPr="005A0E38">
              <w:rPr>
                <w:rFonts w:ascii="Calibri" w:eastAsia="Calibri" w:hAnsi="Calibri" w:cs="Calibri"/>
                <w:color w:val="000000"/>
              </w:rPr>
              <w:t>21</w:t>
            </w:r>
          </w:p>
        </w:tc>
      </w:tr>
      <w:tr w:rsidR="006C7344" w:rsidRPr="005A0E38" w:rsidTr="00696EB8">
        <w:trPr>
          <w:trHeight w:val="636"/>
        </w:trPr>
        <w:tc>
          <w:tcPr>
            <w:tcW w:w="1336" w:type="dxa"/>
            <w:tcBorders>
              <w:top w:val="nil"/>
              <w:left w:val="single" w:sz="8" w:space="0" w:color="auto"/>
              <w:bottom w:val="single" w:sz="8" w:space="0" w:color="auto"/>
              <w:right w:val="single" w:sz="8" w:space="0" w:color="auto"/>
            </w:tcBorders>
            <w:shd w:val="clear" w:color="auto" w:fill="auto"/>
            <w:vAlign w:val="center"/>
            <w:hideMark/>
          </w:tcPr>
          <w:p w:rsidR="006C7344" w:rsidRPr="005A0E38" w:rsidRDefault="006C7344" w:rsidP="00866940">
            <w:pPr>
              <w:spacing w:line="240" w:lineRule="auto"/>
              <w:rPr>
                <w:rFonts w:ascii="Times New Roman" w:eastAsia="Times New Roman" w:hAnsi="Times New Roman" w:cs="Times New Roman"/>
                <w:color w:val="000000"/>
                <w:sz w:val="24"/>
                <w:szCs w:val="24"/>
              </w:rPr>
            </w:pPr>
            <w:proofErr w:type="spellStart"/>
            <w:r w:rsidRPr="005A0E38">
              <w:rPr>
                <w:rFonts w:ascii="Times New Roman" w:eastAsia="Times New Roman" w:hAnsi="Times New Roman" w:cs="Times New Roman"/>
                <w:color w:val="000000"/>
                <w:sz w:val="24"/>
                <w:szCs w:val="24"/>
              </w:rPr>
              <w:t>Latvia</w:t>
            </w:r>
            <w:proofErr w:type="spellEnd"/>
          </w:p>
        </w:tc>
        <w:tc>
          <w:tcPr>
            <w:tcW w:w="987"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47.3%</w:t>
            </w:r>
          </w:p>
        </w:tc>
        <w:tc>
          <w:tcPr>
            <w:tcW w:w="1483"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1.4%</w:t>
            </w:r>
          </w:p>
        </w:tc>
        <w:tc>
          <w:tcPr>
            <w:tcW w:w="1016"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10.8%</w:t>
            </w:r>
          </w:p>
        </w:tc>
        <w:tc>
          <w:tcPr>
            <w:tcW w:w="1376"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8.1%</w:t>
            </w:r>
          </w:p>
        </w:tc>
        <w:tc>
          <w:tcPr>
            <w:tcW w:w="875"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45.9%</w:t>
            </w:r>
          </w:p>
        </w:tc>
        <w:tc>
          <w:tcPr>
            <w:tcW w:w="875"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2.7%</w:t>
            </w:r>
          </w:p>
        </w:tc>
        <w:tc>
          <w:tcPr>
            <w:tcW w:w="763"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866940">
            <w:pPr>
              <w:spacing w:line="240" w:lineRule="auto"/>
              <w:jc w:val="right"/>
              <w:rPr>
                <w:rFonts w:ascii="Calibri" w:eastAsia="Times New Roman" w:hAnsi="Calibri" w:cs="Calibri"/>
                <w:color w:val="000000"/>
              </w:rPr>
            </w:pPr>
            <w:r w:rsidRPr="005A0E38">
              <w:rPr>
                <w:rFonts w:ascii="Calibri" w:eastAsia="Calibri" w:hAnsi="Calibri" w:cs="Calibri"/>
                <w:color w:val="000000"/>
              </w:rPr>
              <w:t>74</w:t>
            </w:r>
          </w:p>
        </w:tc>
      </w:tr>
      <w:tr w:rsidR="006C7344" w:rsidRPr="005A0E38" w:rsidTr="006C7344">
        <w:trPr>
          <w:trHeight w:val="636"/>
        </w:trPr>
        <w:tc>
          <w:tcPr>
            <w:tcW w:w="1336" w:type="dxa"/>
            <w:tcBorders>
              <w:top w:val="nil"/>
              <w:left w:val="single" w:sz="8" w:space="0" w:color="auto"/>
              <w:bottom w:val="single" w:sz="8" w:space="0" w:color="auto"/>
              <w:right w:val="single" w:sz="8" w:space="0" w:color="auto"/>
            </w:tcBorders>
            <w:shd w:val="clear" w:color="auto" w:fill="auto"/>
            <w:vAlign w:val="center"/>
            <w:hideMark/>
          </w:tcPr>
          <w:p w:rsidR="006C7344" w:rsidRPr="005A0E38" w:rsidRDefault="006C7344" w:rsidP="0076708A">
            <w:pPr>
              <w:spacing w:line="240" w:lineRule="auto"/>
              <w:rPr>
                <w:rFonts w:ascii="Times New Roman" w:eastAsia="Times New Roman" w:hAnsi="Times New Roman" w:cs="Times New Roman"/>
                <w:color w:val="000000"/>
                <w:sz w:val="24"/>
                <w:szCs w:val="24"/>
              </w:rPr>
            </w:pPr>
            <w:proofErr w:type="spellStart"/>
            <w:r w:rsidRPr="005A0E38">
              <w:rPr>
                <w:rFonts w:ascii="Times New Roman" w:eastAsia="Times New Roman" w:hAnsi="Times New Roman" w:cs="Times New Roman"/>
                <w:color w:val="000000"/>
                <w:sz w:val="24"/>
                <w:szCs w:val="24"/>
              </w:rPr>
              <w:t>Lithuania</w:t>
            </w:r>
            <w:proofErr w:type="spellEnd"/>
          </w:p>
        </w:tc>
        <w:tc>
          <w:tcPr>
            <w:tcW w:w="987"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66%</w:t>
            </w:r>
          </w:p>
        </w:tc>
        <w:tc>
          <w:tcPr>
            <w:tcW w:w="1483"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0.4%</w:t>
            </w:r>
          </w:p>
        </w:tc>
        <w:tc>
          <w:tcPr>
            <w:tcW w:w="1016"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4.9%</w:t>
            </w:r>
          </w:p>
        </w:tc>
        <w:tc>
          <w:tcPr>
            <w:tcW w:w="1376"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14.7%</w:t>
            </w:r>
          </w:p>
        </w:tc>
        <w:tc>
          <w:tcPr>
            <w:tcW w:w="875"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31.3%</w:t>
            </w:r>
          </w:p>
        </w:tc>
        <w:tc>
          <w:tcPr>
            <w:tcW w:w="875"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1.5%</w:t>
            </w:r>
          </w:p>
        </w:tc>
        <w:tc>
          <w:tcPr>
            <w:tcW w:w="763"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76708A">
            <w:pPr>
              <w:spacing w:line="240" w:lineRule="auto"/>
              <w:jc w:val="right"/>
              <w:rPr>
                <w:rFonts w:ascii="Calibri" w:eastAsia="Times New Roman" w:hAnsi="Calibri" w:cs="Calibri"/>
                <w:color w:val="000000"/>
              </w:rPr>
            </w:pPr>
            <w:r w:rsidRPr="005A0E38">
              <w:rPr>
                <w:rFonts w:ascii="Calibri" w:eastAsia="Calibri" w:hAnsi="Calibri" w:cs="Calibri"/>
                <w:color w:val="000000"/>
              </w:rPr>
              <w:t>265</w:t>
            </w:r>
          </w:p>
        </w:tc>
      </w:tr>
      <w:tr w:rsidR="006C7344" w:rsidRPr="005A0E38" w:rsidTr="006C7344">
        <w:trPr>
          <w:trHeight w:val="636"/>
        </w:trPr>
        <w:tc>
          <w:tcPr>
            <w:tcW w:w="1336" w:type="dxa"/>
            <w:tcBorders>
              <w:top w:val="nil"/>
              <w:left w:val="single" w:sz="8" w:space="0" w:color="auto"/>
              <w:bottom w:val="single" w:sz="8" w:space="0" w:color="auto"/>
              <w:right w:val="single" w:sz="8" w:space="0" w:color="auto"/>
            </w:tcBorders>
            <w:shd w:val="clear" w:color="auto" w:fill="auto"/>
            <w:vAlign w:val="center"/>
            <w:hideMark/>
          </w:tcPr>
          <w:p w:rsidR="006C7344" w:rsidRPr="005A0E38" w:rsidRDefault="006C7344" w:rsidP="005A0E38">
            <w:pPr>
              <w:spacing w:line="240" w:lineRule="auto"/>
              <w:rPr>
                <w:rFonts w:ascii="Times New Roman" w:eastAsia="Times New Roman" w:hAnsi="Times New Roman" w:cs="Times New Roman"/>
                <w:color w:val="000000"/>
                <w:sz w:val="24"/>
                <w:szCs w:val="24"/>
              </w:rPr>
            </w:pPr>
            <w:r w:rsidRPr="005A0E38">
              <w:rPr>
                <w:rFonts w:ascii="Times New Roman" w:eastAsia="Times New Roman" w:hAnsi="Times New Roman" w:cs="Times New Roman"/>
                <w:color w:val="000000"/>
                <w:sz w:val="24"/>
                <w:szCs w:val="24"/>
              </w:rPr>
              <w:t>Moldova</w:t>
            </w:r>
          </w:p>
        </w:tc>
        <w:tc>
          <w:tcPr>
            <w:tcW w:w="987"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87.2%</w:t>
            </w:r>
          </w:p>
        </w:tc>
        <w:tc>
          <w:tcPr>
            <w:tcW w:w="1483"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5A0E38">
            <w:pPr>
              <w:spacing w:line="240" w:lineRule="auto"/>
              <w:rPr>
                <w:rFonts w:ascii="Calibri" w:eastAsia="Times New Roman" w:hAnsi="Calibri" w:cs="Calibri"/>
                <w:color w:val="000000"/>
              </w:rPr>
            </w:pPr>
          </w:p>
        </w:tc>
        <w:tc>
          <w:tcPr>
            <w:tcW w:w="1016"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5.1%</w:t>
            </w:r>
          </w:p>
        </w:tc>
        <w:tc>
          <w:tcPr>
            <w:tcW w:w="1376"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10.3%</w:t>
            </w:r>
          </w:p>
        </w:tc>
        <w:tc>
          <w:tcPr>
            <w:tcW w:w="875"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19.2%</w:t>
            </w:r>
          </w:p>
        </w:tc>
        <w:tc>
          <w:tcPr>
            <w:tcW w:w="875"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3.8%</w:t>
            </w:r>
          </w:p>
        </w:tc>
        <w:tc>
          <w:tcPr>
            <w:tcW w:w="763"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5A0E38">
            <w:pPr>
              <w:spacing w:line="240" w:lineRule="auto"/>
              <w:jc w:val="right"/>
              <w:rPr>
                <w:rFonts w:ascii="Calibri" w:eastAsia="Times New Roman" w:hAnsi="Calibri" w:cs="Calibri"/>
                <w:color w:val="000000"/>
              </w:rPr>
            </w:pPr>
            <w:r w:rsidRPr="005A0E38">
              <w:rPr>
                <w:rFonts w:ascii="Calibri" w:eastAsia="Calibri" w:hAnsi="Calibri" w:cs="Calibri"/>
                <w:color w:val="000000"/>
              </w:rPr>
              <w:t>78</w:t>
            </w:r>
          </w:p>
        </w:tc>
      </w:tr>
      <w:tr w:rsidR="006C7344" w:rsidRPr="005A0E38" w:rsidTr="006C7344">
        <w:trPr>
          <w:trHeight w:val="636"/>
        </w:trPr>
        <w:tc>
          <w:tcPr>
            <w:tcW w:w="1336" w:type="dxa"/>
            <w:tcBorders>
              <w:top w:val="nil"/>
              <w:left w:val="single" w:sz="8" w:space="0" w:color="auto"/>
              <w:bottom w:val="single" w:sz="8" w:space="0" w:color="auto"/>
              <w:right w:val="single" w:sz="8" w:space="0" w:color="auto"/>
            </w:tcBorders>
            <w:shd w:val="clear" w:color="auto" w:fill="auto"/>
            <w:vAlign w:val="center"/>
            <w:hideMark/>
          </w:tcPr>
          <w:p w:rsidR="006C7344" w:rsidRPr="005A0E38" w:rsidRDefault="006C7344" w:rsidP="005A0E38">
            <w:pPr>
              <w:spacing w:line="240" w:lineRule="auto"/>
              <w:rPr>
                <w:rFonts w:ascii="Times New Roman" w:eastAsia="Times New Roman" w:hAnsi="Times New Roman" w:cs="Times New Roman"/>
                <w:color w:val="000000"/>
                <w:sz w:val="24"/>
                <w:szCs w:val="24"/>
              </w:rPr>
            </w:pPr>
            <w:proofErr w:type="spellStart"/>
            <w:r w:rsidRPr="005A0E38">
              <w:rPr>
                <w:rFonts w:ascii="Times New Roman" w:eastAsia="Times New Roman" w:hAnsi="Times New Roman" w:cs="Times New Roman"/>
                <w:color w:val="000000"/>
                <w:sz w:val="24"/>
                <w:szCs w:val="24"/>
              </w:rPr>
              <w:t>Tajikistan</w:t>
            </w:r>
            <w:proofErr w:type="spellEnd"/>
          </w:p>
        </w:tc>
        <w:tc>
          <w:tcPr>
            <w:tcW w:w="987"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100%</w:t>
            </w:r>
          </w:p>
        </w:tc>
        <w:tc>
          <w:tcPr>
            <w:tcW w:w="1483"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5A0E38">
            <w:pPr>
              <w:spacing w:line="240" w:lineRule="auto"/>
              <w:rPr>
                <w:rFonts w:ascii="Calibri" w:eastAsia="Times New Roman" w:hAnsi="Calibri" w:cs="Calibri"/>
                <w:color w:val="000000"/>
              </w:rPr>
            </w:pPr>
          </w:p>
        </w:tc>
        <w:tc>
          <w:tcPr>
            <w:tcW w:w="1016"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5A0E38">
            <w:pPr>
              <w:spacing w:line="240" w:lineRule="auto"/>
              <w:rPr>
                <w:rFonts w:ascii="Calibri" w:eastAsia="Times New Roman" w:hAnsi="Calibri" w:cs="Calibri"/>
                <w:color w:val="000000"/>
              </w:rPr>
            </w:pPr>
          </w:p>
        </w:tc>
        <w:tc>
          <w:tcPr>
            <w:tcW w:w="1376"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20%</w:t>
            </w:r>
          </w:p>
        </w:tc>
        <w:tc>
          <w:tcPr>
            <w:tcW w:w="875"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5A0E38">
            <w:pPr>
              <w:spacing w:line="240" w:lineRule="auto"/>
              <w:rPr>
                <w:rFonts w:ascii="Calibri" w:eastAsia="Times New Roman" w:hAnsi="Calibri" w:cs="Calibri"/>
                <w:color w:val="000000"/>
              </w:rPr>
            </w:pPr>
            <w:r w:rsidRPr="005A0E38">
              <w:rPr>
                <w:rFonts w:ascii="Calibri" w:eastAsia="Calibri" w:hAnsi="Calibri" w:cs="Calibri"/>
                <w:color w:val="000000"/>
              </w:rPr>
              <w:t> </w:t>
            </w:r>
          </w:p>
        </w:tc>
        <w:tc>
          <w:tcPr>
            <w:tcW w:w="875"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5</w:t>
            </w:r>
            <w:r w:rsidR="009F23E8" w:rsidRPr="005A0E38">
              <w:rPr>
                <w:rFonts w:ascii="Calibri" w:eastAsia="Calibri" w:hAnsi="Calibri" w:cs="Calibri"/>
                <w:color w:val="000000"/>
              </w:rPr>
              <w:t xml:space="preserve"> </w:t>
            </w:r>
            <w:r w:rsidRPr="005A0E38">
              <w:rPr>
                <w:rFonts w:ascii="Calibri" w:eastAsia="Calibri" w:hAnsi="Calibri" w:cs="Calibri"/>
                <w:color w:val="000000"/>
              </w:rPr>
              <w:t>%</w:t>
            </w:r>
          </w:p>
        </w:tc>
        <w:tc>
          <w:tcPr>
            <w:tcW w:w="763"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5A0E38">
            <w:pPr>
              <w:spacing w:line="240" w:lineRule="auto"/>
              <w:jc w:val="right"/>
              <w:rPr>
                <w:rFonts w:ascii="Calibri" w:eastAsia="Times New Roman" w:hAnsi="Calibri" w:cs="Calibri"/>
                <w:color w:val="000000"/>
              </w:rPr>
            </w:pPr>
            <w:r w:rsidRPr="005A0E38">
              <w:rPr>
                <w:rFonts w:ascii="Calibri" w:eastAsia="Calibri" w:hAnsi="Calibri" w:cs="Calibri"/>
                <w:color w:val="000000"/>
              </w:rPr>
              <w:t>20</w:t>
            </w:r>
          </w:p>
        </w:tc>
      </w:tr>
      <w:tr w:rsidR="006C7344" w:rsidRPr="005A0E38" w:rsidTr="006C7344">
        <w:trPr>
          <w:trHeight w:val="636"/>
        </w:trPr>
        <w:tc>
          <w:tcPr>
            <w:tcW w:w="1336" w:type="dxa"/>
            <w:tcBorders>
              <w:top w:val="nil"/>
              <w:left w:val="single" w:sz="8" w:space="0" w:color="auto"/>
              <w:bottom w:val="single" w:sz="8" w:space="0" w:color="auto"/>
              <w:right w:val="single" w:sz="8" w:space="0" w:color="auto"/>
            </w:tcBorders>
            <w:shd w:val="clear" w:color="auto" w:fill="auto"/>
            <w:vAlign w:val="center"/>
            <w:hideMark/>
          </w:tcPr>
          <w:p w:rsidR="006C7344" w:rsidRPr="005A0E38" w:rsidRDefault="006C7344" w:rsidP="005A0E38">
            <w:pPr>
              <w:spacing w:line="240" w:lineRule="auto"/>
              <w:rPr>
                <w:rFonts w:ascii="Times New Roman" w:eastAsia="Times New Roman" w:hAnsi="Times New Roman" w:cs="Times New Roman"/>
                <w:color w:val="000000"/>
                <w:sz w:val="24"/>
                <w:szCs w:val="24"/>
              </w:rPr>
            </w:pPr>
            <w:r w:rsidRPr="005A0E38">
              <w:rPr>
                <w:rFonts w:ascii="Times New Roman" w:eastAsia="Times New Roman" w:hAnsi="Times New Roman" w:cs="Times New Roman"/>
                <w:color w:val="000000"/>
                <w:sz w:val="24"/>
                <w:szCs w:val="24"/>
              </w:rPr>
              <w:t>Uzbekistan</w:t>
            </w:r>
          </w:p>
        </w:tc>
        <w:tc>
          <w:tcPr>
            <w:tcW w:w="987"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77.2%</w:t>
            </w:r>
          </w:p>
        </w:tc>
        <w:tc>
          <w:tcPr>
            <w:tcW w:w="1483"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2.2%</w:t>
            </w:r>
          </w:p>
        </w:tc>
        <w:tc>
          <w:tcPr>
            <w:tcW w:w="1016"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5.4%</w:t>
            </w:r>
          </w:p>
        </w:tc>
        <w:tc>
          <w:tcPr>
            <w:tcW w:w="1376"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6C7344">
            <w:pPr>
              <w:spacing w:line="240" w:lineRule="auto"/>
              <w:jc w:val="right"/>
              <w:rPr>
                <w:rFonts w:ascii="Calibri" w:eastAsia="Times New Roman" w:hAnsi="Calibri" w:cs="Calibri"/>
                <w:color w:val="000000"/>
              </w:rPr>
            </w:pPr>
            <w:r w:rsidRPr="005A0E38">
              <w:rPr>
                <w:rFonts w:ascii="Calibri" w:eastAsia="Calibri" w:hAnsi="Calibri" w:cs="Calibri"/>
                <w:color w:val="000000"/>
              </w:rPr>
              <w:t>34.8%</w:t>
            </w:r>
          </w:p>
        </w:tc>
        <w:tc>
          <w:tcPr>
            <w:tcW w:w="875"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27.2%</w:t>
            </w:r>
          </w:p>
        </w:tc>
        <w:tc>
          <w:tcPr>
            <w:tcW w:w="875"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9F23E8">
            <w:pPr>
              <w:spacing w:line="240" w:lineRule="auto"/>
              <w:jc w:val="right"/>
              <w:rPr>
                <w:rFonts w:ascii="Calibri" w:eastAsia="Times New Roman" w:hAnsi="Calibri" w:cs="Calibri"/>
                <w:color w:val="000000"/>
              </w:rPr>
            </w:pPr>
            <w:r w:rsidRPr="005A0E38">
              <w:rPr>
                <w:rFonts w:ascii="Calibri" w:eastAsia="Calibri" w:hAnsi="Calibri" w:cs="Calibri"/>
                <w:color w:val="000000"/>
              </w:rPr>
              <w:t>23.9%</w:t>
            </w:r>
          </w:p>
        </w:tc>
        <w:tc>
          <w:tcPr>
            <w:tcW w:w="763" w:type="dxa"/>
            <w:tcBorders>
              <w:top w:val="nil"/>
              <w:left w:val="nil"/>
              <w:bottom w:val="single" w:sz="8" w:space="0" w:color="auto"/>
              <w:right w:val="single" w:sz="8" w:space="0" w:color="auto"/>
            </w:tcBorders>
            <w:shd w:val="clear" w:color="auto" w:fill="auto"/>
            <w:vAlign w:val="center"/>
            <w:hideMark/>
          </w:tcPr>
          <w:p w:rsidR="006C7344" w:rsidRPr="005A0E38" w:rsidRDefault="006C7344" w:rsidP="005A0E38">
            <w:pPr>
              <w:spacing w:line="240" w:lineRule="auto"/>
              <w:jc w:val="right"/>
              <w:rPr>
                <w:rFonts w:ascii="Calibri" w:eastAsia="Times New Roman" w:hAnsi="Calibri" w:cs="Calibri"/>
                <w:color w:val="000000"/>
              </w:rPr>
            </w:pPr>
            <w:r w:rsidRPr="005A0E38">
              <w:rPr>
                <w:rFonts w:ascii="Calibri" w:eastAsia="Calibri" w:hAnsi="Calibri" w:cs="Calibri"/>
                <w:color w:val="000000"/>
              </w:rPr>
              <w:t>92</w:t>
            </w:r>
          </w:p>
        </w:tc>
      </w:tr>
    </w:tbl>
    <w:p w:rsidR="005A0E38" w:rsidRPr="00307792" w:rsidRDefault="005A0E38" w:rsidP="0033303F">
      <w:pPr>
        <w:pStyle w:val="10"/>
        <w:jc w:val="center"/>
        <w:rPr>
          <w:rFonts w:ascii="Times New Roman" w:eastAsia="Times New Roman" w:hAnsi="Times New Roman" w:cs="Times New Roman"/>
          <w:sz w:val="24"/>
          <w:szCs w:val="24"/>
          <w:lang w:val="en-US"/>
        </w:rPr>
      </w:pPr>
    </w:p>
    <w:p w:rsidR="002B3138" w:rsidRPr="00BC6A8B" w:rsidRDefault="002B3138">
      <w:pPr>
        <w:pStyle w:val="10"/>
        <w:rPr>
          <w:rFonts w:ascii="Times New Roman" w:eastAsia="Times New Roman" w:hAnsi="Times New Roman" w:cs="Times New Roman"/>
          <w:sz w:val="28"/>
          <w:szCs w:val="28"/>
          <w:lang w:val="en-US"/>
        </w:rPr>
      </w:pPr>
    </w:p>
    <w:p w:rsidR="002B3138" w:rsidRPr="00307792" w:rsidRDefault="004F30A1" w:rsidP="005A7CA7">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 xml:space="preserve">We also estimate the role of different countries in scientific production of small post-Soviet countries. The European </w:t>
      </w:r>
      <w:r w:rsidR="00DC314B">
        <w:rPr>
          <w:rFonts w:ascii="Times New Roman" w:eastAsia="Times New Roman" w:hAnsi="Times New Roman" w:cs="Times New Roman"/>
          <w:sz w:val="24"/>
          <w:szCs w:val="24"/>
          <w:lang w:val="en-US"/>
        </w:rPr>
        <w:t>projects</w:t>
      </w:r>
      <w:r w:rsidRPr="00307792">
        <w:rPr>
          <w:rFonts w:ascii="Times New Roman" w:eastAsia="Times New Roman" w:hAnsi="Times New Roman" w:cs="Times New Roman"/>
          <w:sz w:val="24"/>
          <w:szCs w:val="24"/>
          <w:lang w:val="en-US"/>
        </w:rPr>
        <w:t xml:space="preserve"> (EU), the United States (US), Germany, China, and Russia are the main foreign funders (</w:t>
      </w:r>
      <w:r w:rsidR="006C7344">
        <w:rPr>
          <w:rFonts w:ascii="Times New Roman" w:eastAsia="Times New Roman" w:hAnsi="Times New Roman" w:cs="Times New Roman"/>
          <w:sz w:val="24"/>
          <w:szCs w:val="24"/>
          <w:lang w:val="en-US"/>
        </w:rPr>
        <w:t>Figure 2</w:t>
      </w:r>
      <w:r w:rsidRPr="00307792">
        <w:rPr>
          <w:rFonts w:ascii="Times New Roman" w:eastAsia="Times New Roman" w:hAnsi="Times New Roman" w:cs="Times New Roman"/>
          <w:sz w:val="24"/>
          <w:szCs w:val="24"/>
          <w:lang w:val="en-US"/>
        </w:rPr>
        <w:t>). The EU and US are important sources of financial support for almost all analyzed countries. Baltic States are mostly financed by their local and EU sources. Germany's financial support is tangible for Kyrgyzstan, Moldova, Georgia, and Tajikistan. China is an important financing partner of Uzbekistan, Georgia, Kazakhstan and Tajikistan. Russia is prominent in Belarus, Azerbaijan, and Tajikistan. In Kazakhstan, Uzbekistan and Armenia their own funding sources are more often mentioned in the publications.</w:t>
      </w:r>
    </w:p>
    <w:p w:rsidR="00B802E7" w:rsidRDefault="00B802E7">
      <w:pPr>
        <w:rPr>
          <w:rFonts w:ascii="Times New Roman" w:eastAsia="Times New Roman" w:hAnsi="Times New Roman" w:cs="Times New Roman"/>
          <w:sz w:val="24"/>
          <w:szCs w:val="24"/>
          <w:lang w:val="en-US"/>
        </w:rPr>
      </w:pPr>
    </w:p>
    <w:p w:rsidR="00BC6A8B" w:rsidRDefault="00BC6A8B">
      <w:pPr>
        <w:rPr>
          <w:rFonts w:ascii="Times New Roman" w:eastAsia="Times New Roman" w:hAnsi="Times New Roman" w:cs="Times New Roman"/>
          <w:sz w:val="24"/>
          <w:szCs w:val="24"/>
          <w:lang w:val="en-US"/>
        </w:rPr>
      </w:pPr>
    </w:p>
    <w:p w:rsidR="00BC6A8B" w:rsidRDefault="00BC6A8B">
      <w:pPr>
        <w:rPr>
          <w:rFonts w:ascii="Times New Roman" w:eastAsia="Times New Roman" w:hAnsi="Times New Roman" w:cs="Times New Roman"/>
          <w:sz w:val="24"/>
          <w:szCs w:val="24"/>
          <w:lang w:val="en-US"/>
        </w:rPr>
      </w:pPr>
    </w:p>
    <w:p w:rsidR="00BC6A8B" w:rsidRDefault="00BC6A8B">
      <w:pPr>
        <w:rPr>
          <w:rFonts w:ascii="Times New Roman" w:eastAsia="Times New Roman" w:hAnsi="Times New Roman" w:cs="Times New Roman"/>
          <w:sz w:val="24"/>
          <w:szCs w:val="24"/>
          <w:lang w:val="en-US"/>
        </w:rPr>
      </w:pPr>
    </w:p>
    <w:p w:rsidR="00BC6A8B" w:rsidRDefault="00BC6A8B">
      <w:pPr>
        <w:rPr>
          <w:rFonts w:ascii="Times New Roman" w:eastAsia="Times New Roman" w:hAnsi="Times New Roman" w:cs="Times New Roman"/>
          <w:sz w:val="24"/>
          <w:szCs w:val="24"/>
          <w:lang w:val="en-US"/>
        </w:rPr>
      </w:pPr>
    </w:p>
    <w:p w:rsidR="00BC6A8B" w:rsidRDefault="00BC6A8B">
      <w:pPr>
        <w:rPr>
          <w:rFonts w:ascii="Times New Roman" w:eastAsia="Times New Roman" w:hAnsi="Times New Roman" w:cs="Times New Roman"/>
          <w:sz w:val="24"/>
          <w:szCs w:val="24"/>
          <w:lang w:val="en-US"/>
        </w:rPr>
      </w:pPr>
    </w:p>
    <w:p w:rsidR="00BC6A8B" w:rsidRDefault="00BC6A8B">
      <w:pPr>
        <w:rPr>
          <w:rFonts w:ascii="Times New Roman" w:eastAsia="Times New Roman" w:hAnsi="Times New Roman" w:cs="Times New Roman"/>
          <w:sz w:val="24"/>
          <w:szCs w:val="24"/>
          <w:lang w:val="en-US"/>
        </w:rPr>
      </w:pPr>
    </w:p>
    <w:p w:rsidR="00BC6A8B" w:rsidRDefault="00BC6A8B">
      <w:pPr>
        <w:rPr>
          <w:rFonts w:ascii="Times New Roman" w:eastAsia="Times New Roman" w:hAnsi="Times New Roman" w:cs="Times New Roman"/>
          <w:sz w:val="24"/>
          <w:szCs w:val="24"/>
          <w:lang w:val="en-US"/>
        </w:rPr>
      </w:pPr>
    </w:p>
    <w:p w:rsidR="002B3138" w:rsidRDefault="00B802E7" w:rsidP="00B802E7">
      <w:pPr>
        <w:pStyle w:val="10"/>
        <w:spacing w:line="240" w:lineRule="auto"/>
        <w:jc w:val="center"/>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lastRenderedPageBreak/>
        <w:t xml:space="preserve">Figure </w:t>
      </w:r>
      <w:r w:rsidR="006C7344">
        <w:rPr>
          <w:rFonts w:ascii="Times New Roman" w:eastAsia="Times New Roman" w:hAnsi="Times New Roman" w:cs="Times New Roman"/>
          <w:sz w:val="24"/>
          <w:szCs w:val="24"/>
          <w:lang w:val="en-US"/>
        </w:rPr>
        <w:t>2</w:t>
      </w:r>
      <w:r w:rsidR="004F30A1" w:rsidRPr="00307792">
        <w:rPr>
          <w:rFonts w:ascii="Times New Roman" w:eastAsia="Times New Roman" w:hAnsi="Times New Roman" w:cs="Times New Roman"/>
          <w:sz w:val="24"/>
          <w:szCs w:val="24"/>
          <w:lang w:val="en-US"/>
        </w:rPr>
        <w:t>.</w:t>
      </w:r>
      <w:proofErr w:type="gramEnd"/>
      <w:r w:rsidR="004F30A1" w:rsidRPr="00307792">
        <w:rPr>
          <w:rFonts w:ascii="Times New Roman" w:eastAsia="Times New Roman" w:hAnsi="Times New Roman" w:cs="Times New Roman"/>
          <w:sz w:val="24"/>
          <w:szCs w:val="24"/>
          <w:lang w:val="en-US"/>
        </w:rPr>
        <w:t xml:space="preserve"> Percentage of country’s publications that mention a funding country in their FAs, for top 20 mentioned source countries.</w:t>
      </w:r>
    </w:p>
    <w:p w:rsidR="00BC6A8B" w:rsidRPr="00307792" w:rsidRDefault="00BC6A8B" w:rsidP="00B802E7">
      <w:pPr>
        <w:pStyle w:val="10"/>
        <w:spacing w:line="240" w:lineRule="auto"/>
        <w:jc w:val="center"/>
        <w:rPr>
          <w:rFonts w:ascii="Times New Roman" w:eastAsia="Times New Roman" w:hAnsi="Times New Roman" w:cs="Times New Roman"/>
          <w:sz w:val="28"/>
          <w:szCs w:val="28"/>
          <w:lang w:val="en-US"/>
        </w:rPr>
      </w:pPr>
    </w:p>
    <w:p w:rsidR="002B3138" w:rsidRDefault="00B802E7" w:rsidP="00B802E7">
      <w:pPr>
        <w:pStyle w:val="10"/>
        <w:jc w:val="center"/>
        <w:rPr>
          <w:rFonts w:ascii="Times New Roman" w:eastAsia="Times New Roman" w:hAnsi="Times New Roman" w:cs="Times New Roman"/>
          <w:b/>
          <w:sz w:val="28"/>
          <w:szCs w:val="28"/>
        </w:rPr>
      </w:pPr>
      <w:r>
        <w:rPr>
          <w:noProof/>
        </w:rPr>
        <w:drawing>
          <wp:inline distT="0" distB="0" distL="0" distR="0">
            <wp:extent cx="4160520" cy="4177569"/>
            <wp:effectExtent l="0" t="0" r="0" b="0"/>
            <wp:docPr id="1" name="Рисунок 1"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стол&#10;&#10;Автоматически созданное описание"/>
                    <pic:cNvPicPr/>
                  </pic:nvPicPr>
                  <pic:blipFill>
                    <a:blip r:embed="rId11" cstate="print"/>
                    <a:stretch>
                      <a:fillRect/>
                    </a:stretch>
                  </pic:blipFill>
                  <pic:spPr>
                    <a:xfrm>
                      <a:off x="0" y="0"/>
                      <a:ext cx="4173172" cy="4190273"/>
                    </a:xfrm>
                    <a:prstGeom prst="rect">
                      <a:avLst/>
                    </a:prstGeom>
                  </pic:spPr>
                </pic:pic>
              </a:graphicData>
            </a:graphic>
          </wp:inline>
        </w:drawing>
      </w:r>
    </w:p>
    <w:p w:rsidR="002B3138" w:rsidRPr="00A44209" w:rsidRDefault="004F30A1" w:rsidP="00A44209">
      <w:pPr>
        <w:pStyle w:val="3"/>
        <w:keepLines w:val="0"/>
        <w:spacing w:before="0" w:after="0" w:line="240" w:lineRule="auto"/>
        <w:jc w:val="both"/>
        <w:rPr>
          <w:rFonts w:ascii="Times New Roman" w:eastAsia="Times New Roman" w:hAnsi="Times New Roman" w:cs="Times New Roman"/>
          <w:i/>
          <w:iCs/>
          <w:color w:val="auto"/>
          <w:sz w:val="24"/>
          <w:szCs w:val="24"/>
          <w:lang w:val="en-GB" w:eastAsia="sv-SE"/>
        </w:rPr>
      </w:pPr>
      <w:r w:rsidRPr="00A44209">
        <w:rPr>
          <w:rFonts w:ascii="Times New Roman" w:eastAsia="Times New Roman" w:hAnsi="Times New Roman" w:cs="Times New Roman"/>
          <w:i/>
          <w:iCs/>
          <w:color w:val="auto"/>
          <w:sz w:val="24"/>
          <w:szCs w:val="24"/>
          <w:lang w:val="en-GB" w:eastAsia="sv-SE"/>
        </w:rPr>
        <w:t>3.2 Attributing funding sources to authors</w:t>
      </w:r>
    </w:p>
    <w:p w:rsidR="002B3138" w:rsidRPr="005A7CA7" w:rsidRDefault="004F30A1" w:rsidP="005A7CA7">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We analyzed the authors' funding attribution to a particular source (</w:t>
      </w:r>
      <w:r w:rsidR="006C7344">
        <w:rPr>
          <w:rFonts w:ascii="Times New Roman" w:eastAsia="Times New Roman" w:hAnsi="Times New Roman" w:cs="Times New Roman"/>
          <w:sz w:val="24"/>
          <w:szCs w:val="24"/>
          <w:lang w:val="en-US"/>
        </w:rPr>
        <w:t>Figure</w:t>
      </w:r>
      <w:r w:rsidR="006C7344" w:rsidRPr="00307792">
        <w:rPr>
          <w:rFonts w:ascii="Times New Roman" w:eastAsia="Times New Roman" w:hAnsi="Times New Roman" w:cs="Times New Roman"/>
          <w:sz w:val="24"/>
          <w:szCs w:val="24"/>
          <w:lang w:val="en-US"/>
        </w:rPr>
        <w:t xml:space="preserve"> </w:t>
      </w:r>
      <w:r w:rsidR="006C7344">
        <w:rPr>
          <w:rFonts w:ascii="Times New Roman" w:eastAsia="Times New Roman" w:hAnsi="Times New Roman" w:cs="Times New Roman"/>
          <w:sz w:val="24"/>
          <w:szCs w:val="24"/>
          <w:lang w:val="en-US"/>
        </w:rPr>
        <w:t>3</w:t>
      </w:r>
      <w:r w:rsidRPr="00307792">
        <w:rPr>
          <w:rFonts w:ascii="Times New Roman" w:eastAsia="Times New Roman" w:hAnsi="Times New Roman" w:cs="Times New Roman"/>
          <w:sz w:val="24"/>
          <w:szCs w:val="24"/>
          <w:lang w:val="en-US"/>
        </w:rPr>
        <w:t>). We calculated the proportions of publications where: 1) funding is linked to the authors from the countries under study (local country) 2) funding is only linked to foreign co-authors 3) no funding is acknowledged 4) it is not known which of the co-authors received funding. The highest percentage of publications tied to local authors is observed in Estonia, Armenia, Latvia, and Uzbekistan. With that, Azerbaijan and Tajikistan have the highest proportion of funding tied to foreign authors. Kyrgyzstan has the highest percentage of papers with no linkage of funding sources to individual authors. Azerbaijan has the highest values of papers where fina</w:t>
      </w:r>
      <w:r w:rsidR="005A7CA7" w:rsidRPr="00307792">
        <w:rPr>
          <w:rFonts w:ascii="Times New Roman" w:eastAsia="Times New Roman" w:hAnsi="Times New Roman" w:cs="Times New Roman"/>
          <w:sz w:val="24"/>
          <w:szCs w:val="24"/>
          <w:lang w:val="en-US"/>
        </w:rPr>
        <w:t>ncial support is not mentioned.</w:t>
      </w:r>
    </w:p>
    <w:p w:rsidR="005A7CA7" w:rsidRDefault="005A7CA7" w:rsidP="005A7CA7">
      <w:pPr>
        <w:pStyle w:val="10"/>
        <w:spacing w:line="240" w:lineRule="auto"/>
        <w:jc w:val="both"/>
        <w:rPr>
          <w:rFonts w:ascii="Times New Roman" w:eastAsia="Times New Roman" w:hAnsi="Times New Roman" w:cs="Times New Roman"/>
          <w:sz w:val="24"/>
          <w:szCs w:val="24"/>
          <w:lang w:val="en-US"/>
        </w:rPr>
      </w:pPr>
    </w:p>
    <w:p w:rsidR="00BC6A8B" w:rsidRDefault="00BC6A8B" w:rsidP="005A7CA7">
      <w:pPr>
        <w:pStyle w:val="10"/>
        <w:spacing w:line="240" w:lineRule="auto"/>
        <w:jc w:val="both"/>
        <w:rPr>
          <w:rFonts w:ascii="Times New Roman" w:eastAsia="Times New Roman" w:hAnsi="Times New Roman" w:cs="Times New Roman"/>
          <w:sz w:val="24"/>
          <w:szCs w:val="24"/>
          <w:lang w:val="en-US"/>
        </w:rPr>
      </w:pPr>
    </w:p>
    <w:p w:rsidR="00BC6A8B" w:rsidRDefault="00BC6A8B" w:rsidP="005A7CA7">
      <w:pPr>
        <w:pStyle w:val="10"/>
        <w:spacing w:line="240" w:lineRule="auto"/>
        <w:jc w:val="both"/>
        <w:rPr>
          <w:rFonts w:ascii="Times New Roman" w:eastAsia="Times New Roman" w:hAnsi="Times New Roman" w:cs="Times New Roman"/>
          <w:sz w:val="24"/>
          <w:szCs w:val="24"/>
          <w:lang w:val="en-US"/>
        </w:rPr>
      </w:pPr>
    </w:p>
    <w:p w:rsidR="00BC6A8B" w:rsidRDefault="00BC6A8B" w:rsidP="005A7CA7">
      <w:pPr>
        <w:pStyle w:val="10"/>
        <w:spacing w:line="240" w:lineRule="auto"/>
        <w:jc w:val="both"/>
        <w:rPr>
          <w:rFonts w:ascii="Times New Roman" w:eastAsia="Times New Roman" w:hAnsi="Times New Roman" w:cs="Times New Roman"/>
          <w:sz w:val="24"/>
          <w:szCs w:val="24"/>
          <w:lang w:val="en-US"/>
        </w:rPr>
      </w:pPr>
    </w:p>
    <w:p w:rsidR="00BC6A8B" w:rsidRDefault="00BC6A8B" w:rsidP="005A7CA7">
      <w:pPr>
        <w:pStyle w:val="10"/>
        <w:spacing w:line="240" w:lineRule="auto"/>
        <w:jc w:val="both"/>
        <w:rPr>
          <w:rFonts w:ascii="Times New Roman" w:eastAsia="Times New Roman" w:hAnsi="Times New Roman" w:cs="Times New Roman"/>
          <w:sz w:val="24"/>
          <w:szCs w:val="24"/>
          <w:lang w:val="en-US"/>
        </w:rPr>
      </w:pPr>
    </w:p>
    <w:p w:rsidR="00BC6A8B" w:rsidRDefault="00BC6A8B" w:rsidP="005A7CA7">
      <w:pPr>
        <w:pStyle w:val="10"/>
        <w:spacing w:line="240" w:lineRule="auto"/>
        <w:jc w:val="both"/>
        <w:rPr>
          <w:rFonts w:ascii="Times New Roman" w:eastAsia="Times New Roman" w:hAnsi="Times New Roman" w:cs="Times New Roman"/>
          <w:sz w:val="24"/>
          <w:szCs w:val="24"/>
          <w:lang w:val="en-US"/>
        </w:rPr>
      </w:pPr>
    </w:p>
    <w:p w:rsidR="00BC6A8B" w:rsidRDefault="00BC6A8B" w:rsidP="005A7CA7">
      <w:pPr>
        <w:pStyle w:val="10"/>
        <w:spacing w:line="240" w:lineRule="auto"/>
        <w:jc w:val="both"/>
        <w:rPr>
          <w:rFonts w:ascii="Times New Roman" w:eastAsia="Times New Roman" w:hAnsi="Times New Roman" w:cs="Times New Roman"/>
          <w:sz w:val="24"/>
          <w:szCs w:val="24"/>
          <w:lang w:val="en-US"/>
        </w:rPr>
      </w:pPr>
    </w:p>
    <w:p w:rsidR="00BC6A8B" w:rsidRDefault="00BC6A8B" w:rsidP="005A7CA7">
      <w:pPr>
        <w:pStyle w:val="10"/>
        <w:spacing w:line="240" w:lineRule="auto"/>
        <w:jc w:val="both"/>
        <w:rPr>
          <w:rFonts w:ascii="Times New Roman" w:eastAsia="Times New Roman" w:hAnsi="Times New Roman" w:cs="Times New Roman"/>
          <w:sz w:val="24"/>
          <w:szCs w:val="24"/>
          <w:lang w:val="en-US"/>
        </w:rPr>
      </w:pPr>
    </w:p>
    <w:p w:rsidR="00BC6A8B" w:rsidRDefault="00BC6A8B" w:rsidP="005A7CA7">
      <w:pPr>
        <w:pStyle w:val="10"/>
        <w:spacing w:line="240" w:lineRule="auto"/>
        <w:jc w:val="both"/>
        <w:rPr>
          <w:rFonts w:ascii="Times New Roman" w:eastAsia="Times New Roman" w:hAnsi="Times New Roman" w:cs="Times New Roman"/>
          <w:sz w:val="24"/>
          <w:szCs w:val="24"/>
          <w:lang w:val="en-US"/>
        </w:rPr>
      </w:pPr>
    </w:p>
    <w:p w:rsidR="00BC6A8B" w:rsidRDefault="00BC6A8B" w:rsidP="005A7CA7">
      <w:pPr>
        <w:pStyle w:val="10"/>
        <w:spacing w:line="240" w:lineRule="auto"/>
        <w:jc w:val="both"/>
        <w:rPr>
          <w:rFonts w:ascii="Times New Roman" w:eastAsia="Times New Roman" w:hAnsi="Times New Roman" w:cs="Times New Roman"/>
          <w:sz w:val="24"/>
          <w:szCs w:val="24"/>
          <w:lang w:val="en-US"/>
        </w:rPr>
      </w:pPr>
    </w:p>
    <w:p w:rsidR="00BC6A8B" w:rsidRDefault="00BC6A8B" w:rsidP="005A7CA7">
      <w:pPr>
        <w:pStyle w:val="10"/>
        <w:spacing w:line="240" w:lineRule="auto"/>
        <w:jc w:val="both"/>
        <w:rPr>
          <w:rFonts w:ascii="Times New Roman" w:eastAsia="Times New Roman" w:hAnsi="Times New Roman" w:cs="Times New Roman"/>
          <w:sz w:val="24"/>
          <w:szCs w:val="24"/>
          <w:lang w:val="en-US"/>
        </w:rPr>
      </w:pPr>
    </w:p>
    <w:p w:rsidR="00BC6A8B" w:rsidRDefault="00BC6A8B" w:rsidP="005A7CA7">
      <w:pPr>
        <w:pStyle w:val="10"/>
        <w:spacing w:line="240" w:lineRule="auto"/>
        <w:jc w:val="both"/>
        <w:rPr>
          <w:rFonts w:ascii="Times New Roman" w:eastAsia="Times New Roman" w:hAnsi="Times New Roman" w:cs="Times New Roman"/>
          <w:sz w:val="24"/>
          <w:szCs w:val="24"/>
          <w:lang w:val="en-US"/>
        </w:rPr>
      </w:pPr>
    </w:p>
    <w:p w:rsidR="00BC6A8B" w:rsidRPr="005A7CA7" w:rsidRDefault="00BC6A8B" w:rsidP="005A7CA7">
      <w:pPr>
        <w:pStyle w:val="10"/>
        <w:spacing w:line="240" w:lineRule="auto"/>
        <w:jc w:val="both"/>
        <w:rPr>
          <w:rFonts w:ascii="Times New Roman" w:eastAsia="Times New Roman" w:hAnsi="Times New Roman" w:cs="Times New Roman"/>
          <w:sz w:val="24"/>
          <w:szCs w:val="24"/>
          <w:lang w:val="en-US"/>
        </w:rPr>
      </w:pPr>
    </w:p>
    <w:p w:rsidR="002B3138" w:rsidRDefault="006C7344" w:rsidP="006223AF">
      <w:pPr>
        <w:pStyle w:val="10"/>
        <w:jc w:val="center"/>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lastRenderedPageBreak/>
        <w:t>Figure</w:t>
      </w:r>
      <w:r w:rsidR="004F30A1" w:rsidRPr="0030779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3</w:t>
      </w:r>
      <w:r w:rsidR="004F30A1" w:rsidRPr="00307792">
        <w:rPr>
          <w:rFonts w:ascii="Times New Roman" w:eastAsia="Times New Roman" w:hAnsi="Times New Roman" w:cs="Times New Roman"/>
          <w:sz w:val="24"/>
          <w:szCs w:val="24"/>
          <w:lang w:val="en-US"/>
        </w:rPr>
        <w:t>.</w:t>
      </w:r>
      <w:proofErr w:type="gramEnd"/>
      <w:r w:rsidR="004F30A1" w:rsidRPr="00307792">
        <w:rPr>
          <w:rFonts w:ascii="Times New Roman" w:eastAsia="Times New Roman" w:hAnsi="Times New Roman" w:cs="Times New Roman"/>
          <w:sz w:val="24"/>
          <w:szCs w:val="24"/>
          <w:lang w:val="en-US"/>
        </w:rPr>
        <w:t xml:space="preserve"> Distribution of funding sources linked to authors in publications</w:t>
      </w:r>
      <w:r w:rsidR="006223AF" w:rsidRPr="00307792">
        <w:rPr>
          <w:rFonts w:ascii="Times New Roman" w:eastAsia="Times New Roman" w:hAnsi="Times New Roman" w:cs="Times New Roman"/>
          <w:sz w:val="24"/>
          <w:szCs w:val="24"/>
          <w:lang w:val="en-US"/>
        </w:rPr>
        <w:t>.</w:t>
      </w:r>
    </w:p>
    <w:p w:rsidR="00BC6A8B" w:rsidRDefault="00BC6A8B" w:rsidP="006223AF">
      <w:pPr>
        <w:pStyle w:val="10"/>
        <w:jc w:val="center"/>
        <w:rPr>
          <w:rFonts w:ascii="Times New Roman" w:eastAsia="Times New Roman" w:hAnsi="Times New Roman" w:cs="Times New Roman"/>
          <w:sz w:val="24"/>
          <w:szCs w:val="24"/>
          <w:lang w:val="en-US"/>
        </w:rPr>
      </w:pPr>
    </w:p>
    <w:p w:rsidR="005A0E38" w:rsidRPr="00307792" w:rsidRDefault="005A0E38" w:rsidP="006223AF">
      <w:pPr>
        <w:pStyle w:val="10"/>
        <w:jc w:val="center"/>
        <w:rPr>
          <w:rFonts w:ascii="Times New Roman" w:eastAsia="Times New Roman" w:hAnsi="Times New Roman" w:cs="Times New Roman"/>
          <w:sz w:val="24"/>
          <w:szCs w:val="24"/>
          <w:lang w:val="en-US"/>
        </w:rPr>
      </w:pPr>
      <w:r>
        <w:rPr>
          <w:noProof/>
        </w:rPr>
        <w:drawing>
          <wp:inline distT="0" distB="0" distL="0" distR="0">
            <wp:extent cx="4572000" cy="2743200"/>
            <wp:effectExtent l="0" t="0" r="0" b="0"/>
            <wp:docPr id="4" name="Диаграмма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F6BA93F-3A28-C6B0-5DF6-479873932C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3138" w:rsidRDefault="002B3138">
      <w:pPr>
        <w:pStyle w:val="10"/>
        <w:rPr>
          <w:color w:val="0B5394"/>
        </w:rPr>
      </w:pPr>
    </w:p>
    <w:p w:rsidR="00B802E7" w:rsidRDefault="004F30A1" w:rsidP="005A0E38">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We also analyze funding countries of sources attributed to authors (</w:t>
      </w:r>
      <w:r w:rsidR="006C7344">
        <w:rPr>
          <w:rFonts w:ascii="Times New Roman" w:eastAsia="Times New Roman" w:hAnsi="Times New Roman" w:cs="Times New Roman"/>
          <w:sz w:val="24"/>
          <w:szCs w:val="24"/>
          <w:lang w:val="en-US"/>
        </w:rPr>
        <w:t>Figure 4</w:t>
      </w:r>
      <w:r w:rsidR="006C7344" w:rsidRPr="00307792">
        <w:rPr>
          <w:rFonts w:ascii="Times New Roman" w:eastAsia="Times New Roman" w:hAnsi="Times New Roman" w:cs="Times New Roman"/>
          <w:sz w:val="24"/>
          <w:szCs w:val="24"/>
          <w:lang w:val="en-US"/>
        </w:rPr>
        <w:t>.</w:t>
      </w:r>
      <w:r w:rsidRPr="00307792">
        <w:rPr>
          <w:rFonts w:ascii="Times New Roman" w:eastAsia="Times New Roman" w:hAnsi="Times New Roman" w:cs="Times New Roman"/>
          <w:sz w:val="24"/>
          <w:szCs w:val="24"/>
          <w:lang w:val="en-US"/>
        </w:rPr>
        <w:t xml:space="preserve">). EU, US and Germany financial support </w:t>
      </w:r>
      <w:r w:rsidR="00316438" w:rsidRPr="00307792">
        <w:rPr>
          <w:rFonts w:ascii="Times New Roman" w:eastAsia="Times New Roman" w:hAnsi="Times New Roman" w:cs="Times New Roman"/>
          <w:sz w:val="24"/>
          <w:szCs w:val="24"/>
          <w:lang w:val="en-US"/>
        </w:rPr>
        <w:t xml:space="preserve">play important role </w:t>
      </w:r>
      <w:r w:rsidRPr="00307792">
        <w:rPr>
          <w:rFonts w:ascii="Times New Roman" w:eastAsia="Times New Roman" w:hAnsi="Times New Roman" w:cs="Times New Roman"/>
          <w:sz w:val="24"/>
          <w:szCs w:val="24"/>
          <w:lang w:val="en-US"/>
        </w:rPr>
        <w:t xml:space="preserve">in knowledge production. Russian and Chinese funding sources have also significant value for some countries. With that, the share of publications where concrete authors were supported by these countries is lower than for ‘whole’ publications (see </w:t>
      </w:r>
      <w:r w:rsidR="006C7344">
        <w:rPr>
          <w:rFonts w:ascii="Times New Roman" w:eastAsia="Times New Roman" w:hAnsi="Times New Roman" w:cs="Times New Roman"/>
          <w:sz w:val="24"/>
          <w:szCs w:val="24"/>
          <w:lang w:val="en-US"/>
        </w:rPr>
        <w:t>Figure 2</w:t>
      </w:r>
      <w:r w:rsidRPr="00307792">
        <w:rPr>
          <w:rFonts w:ascii="Times New Roman" w:eastAsia="Times New Roman" w:hAnsi="Times New Roman" w:cs="Times New Roman"/>
          <w:sz w:val="24"/>
          <w:szCs w:val="24"/>
          <w:lang w:val="en-US"/>
        </w:rPr>
        <w:t xml:space="preserve">). Notably, authors from analyzed countries rarely mentioned their own countries. For example, ‘whole’ publications of Estonia have approximately equal financing by EU and Estonia and do not have Estonian sources </w:t>
      </w:r>
      <w:r w:rsidR="005A7CA7" w:rsidRPr="00307792">
        <w:rPr>
          <w:rFonts w:ascii="Times New Roman" w:eastAsia="Times New Roman" w:hAnsi="Times New Roman" w:cs="Times New Roman"/>
          <w:sz w:val="24"/>
          <w:szCs w:val="24"/>
          <w:lang w:val="en-US"/>
        </w:rPr>
        <w:t>attributed to concrete authors.</w:t>
      </w:r>
    </w:p>
    <w:p w:rsidR="005A0E38" w:rsidRDefault="005A0E38"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BC6A8B" w:rsidRDefault="00BC6A8B" w:rsidP="005A0E38">
      <w:pPr>
        <w:pStyle w:val="10"/>
        <w:spacing w:line="240" w:lineRule="auto"/>
        <w:jc w:val="both"/>
        <w:rPr>
          <w:rFonts w:ascii="Times New Roman" w:eastAsia="Times New Roman" w:hAnsi="Times New Roman" w:cs="Times New Roman"/>
          <w:sz w:val="24"/>
          <w:szCs w:val="24"/>
          <w:lang w:val="en-US"/>
        </w:rPr>
      </w:pPr>
    </w:p>
    <w:p w:rsidR="002B3138" w:rsidRDefault="00B802E7" w:rsidP="00B802E7">
      <w:pPr>
        <w:pStyle w:val="10"/>
        <w:spacing w:line="240" w:lineRule="auto"/>
        <w:jc w:val="center"/>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lastRenderedPageBreak/>
        <w:t xml:space="preserve">Figure </w:t>
      </w:r>
      <w:r w:rsidR="006C7344">
        <w:rPr>
          <w:rFonts w:ascii="Times New Roman" w:eastAsia="Times New Roman" w:hAnsi="Times New Roman" w:cs="Times New Roman"/>
          <w:sz w:val="24"/>
          <w:szCs w:val="24"/>
          <w:lang w:val="en-US"/>
        </w:rPr>
        <w:t>4</w:t>
      </w:r>
      <w:r w:rsidR="004F30A1" w:rsidRPr="00307792">
        <w:rPr>
          <w:rFonts w:ascii="Times New Roman" w:eastAsia="Times New Roman" w:hAnsi="Times New Roman" w:cs="Times New Roman"/>
          <w:sz w:val="24"/>
          <w:szCs w:val="24"/>
          <w:lang w:val="en-US"/>
        </w:rPr>
        <w:t>.</w:t>
      </w:r>
      <w:proofErr w:type="gramEnd"/>
      <w:r w:rsidR="004F30A1" w:rsidRPr="00307792">
        <w:rPr>
          <w:rFonts w:ascii="Times New Roman" w:eastAsia="Times New Roman" w:hAnsi="Times New Roman" w:cs="Times New Roman"/>
          <w:sz w:val="24"/>
          <w:szCs w:val="24"/>
          <w:lang w:val="en-US"/>
        </w:rPr>
        <w:t xml:space="preserve"> Percentage of country’s publications that mention a foreign funding source in their FAs linked to the authors from the surveyed country, for top20 mentioned source countries.</w:t>
      </w:r>
    </w:p>
    <w:p w:rsidR="00BC6A8B" w:rsidRPr="00307792" w:rsidRDefault="00BC6A8B" w:rsidP="00B802E7">
      <w:pPr>
        <w:pStyle w:val="10"/>
        <w:spacing w:line="240" w:lineRule="auto"/>
        <w:jc w:val="center"/>
        <w:rPr>
          <w:rFonts w:ascii="Times New Roman" w:eastAsia="Times New Roman" w:hAnsi="Times New Roman" w:cs="Times New Roman"/>
          <w:sz w:val="28"/>
          <w:szCs w:val="28"/>
          <w:lang w:val="en-US"/>
        </w:rPr>
      </w:pPr>
    </w:p>
    <w:p w:rsidR="002B3138" w:rsidRDefault="00B802E7" w:rsidP="00B802E7">
      <w:pPr>
        <w:pStyle w:val="10"/>
        <w:jc w:val="center"/>
        <w:rPr>
          <w:rFonts w:ascii="Times New Roman" w:eastAsia="Times New Roman" w:hAnsi="Times New Roman" w:cs="Times New Roman"/>
          <w:sz w:val="28"/>
          <w:szCs w:val="28"/>
        </w:rPr>
      </w:pPr>
      <w:r>
        <w:rPr>
          <w:noProof/>
        </w:rPr>
        <w:drawing>
          <wp:inline distT="0" distB="0" distL="0" distR="0">
            <wp:extent cx="3995190" cy="4000500"/>
            <wp:effectExtent l="0" t="0" r="0" b="0"/>
            <wp:docPr id="2" name="Рисунок 2"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тол&#10;&#10;Автоматически созданное описание"/>
                    <pic:cNvPicPr/>
                  </pic:nvPicPr>
                  <pic:blipFill>
                    <a:blip r:embed="rId13" cstate="print"/>
                    <a:stretch>
                      <a:fillRect/>
                    </a:stretch>
                  </pic:blipFill>
                  <pic:spPr>
                    <a:xfrm>
                      <a:off x="0" y="0"/>
                      <a:ext cx="3999513" cy="4004829"/>
                    </a:xfrm>
                    <a:prstGeom prst="rect">
                      <a:avLst/>
                    </a:prstGeom>
                  </pic:spPr>
                </pic:pic>
              </a:graphicData>
            </a:graphic>
          </wp:inline>
        </w:drawing>
      </w:r>
    </w:p>
    <w:p w:rsidR="002B3138" w:rsidRPr="00A44209" w:rsidRDefault="00A44209" w:rsidP="00A44209">
      <w:pPr>
        <w:pStyle w:val="2"/>
        <w:spacing w:after="80"/>
        <w:jc w:val="both"/>
        <w:rPr>
          <w:rFonts w:ascii="Times New Roman" w:eastAsia="Times New Roman" w:hAnsi="Times New Roman" w:cs="Times New Roman"/>
          <w:b/>
          <w:bCs/>
          <w:sz w:val="24"/>
          <w:szCs w:val="24"/>
          <w:lang w:val="en-GB" w:eastAsia="sv-SE"/>
        </w:rPr>
      </w:pPr>
      <w:r>
        <w:rPr>
          <w:rFonts w:ascii="Times New Roman" w:eastAsia="Times New Roman" w:hAnsi="Times New Roman" w:cs="Times New Roman"/>
          <w:b/>
          <w:bCs/>
          <w:sz w:val="24"/>
          <w:szCs w:val="24"/>
          <w:lang w:val="en-GB" w:eastAsia="sv-SE"/>
        </w:rPr>
        <w:t xml:space="preserve">4. </w:t>
      </w:r>
      <w:r w:rsidR="004F30A1" w:rsidRPr="00A44209">
        <w:rPr>
          <w:rFonts w:ascii="Times New Roman" w:eastAsia="Times New Roman" w:hAnsi="Times New Roman" w:cs="Times New Roman"/>
          <w:b/>
          <w:bCs/>
          <w:sz w:val="24"/>
          <w:szCs w:val="24"/>
          <w:lang w:val="en-GB" w:eastAsia="sv-SE"/>
        </w:rPr>
        <w:t>Discussion and Conclusion</w:t>
      </w:r>
    </w:p>
    <w:p w:rsidR="002B3138" w:rsidRPr="005A7CA7" w:rsidRDefault="004F30A1" w:rsidP="006223AF">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 xml:space="preserve">Our preliminary findings are useful both from the methodological and cross-country\area studies perspectives. We observe that high-performing science in small post-Soviet countries are rarely funded by solely local sources. Foreign and international grants and programs have an important role. The share of commercial and charity sources is </w:t>
      </w:r>
      <w:r w:rsidRPr="00307792">
        <w:rPr>
          <w:rFonts w:ascii="Times New Roman" w:eastAsia="Times New Roman" w:hAnsi="Times New Roman" w:cs="Times New Roman"/>
          <w:sz w:val="24"/>
          <w:szCs w:val="24"/>
          <w:highlight w:val="white"/>
          <w:lang w:val="en-US"/>
        </w:rPr>
        <w:t xml:space="preserve">minimal, </w:t>
      </w:r>
      <w:r w:rsidRPr="00307792">
        <w:rPr>
          <w:rFonts w:ascii="Times New Roman" w:eastAsia="Times New Roman" w:hAnsi="Times New Roman" w:cs="Times New Roman"/>
          <w:sz w:val="24"/>
          <w:szCs w:val="24"/>
          <w:lang w:val="en-US"/>
        </w:rPr>
        <w:t>state grants prevail in domestic and foreign funding sources. We note the important role of EU, US, Germany, Russian and C</w:t>
      </w:r>
      <w:r w:rsidR="005A7CA7" w:rsidRPr="00307792">
        <w:rPr>
          <w:rFonts w:ascii="Times New Roman" w:eastAsia="Times New Roman" w:hAnsi="Times New Roman" w:cs="Times New Roman"/>
          <w:sz w:val="24"/>
          <w:szCs w:val="24"/>
          <w:lang w:val="en-US"/>
        </w:rPr>
        <w:t>hinese grants and programs.</w:t>
      </w:r>
    </w:p>
    <w:p w:rsidR="002B3138" w:rsidRPr="00307792" w:rsidRDefault="004F30A1" w:rsidP="006223AF">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We reveal that each analyzed country has its own profile of science funding conditioned social, economic and geography specific. For example, Kazakhstan and Latvia have quite a high share of intramural projects in domestic fina</w:t>
      </w:r>
      <w:r w:rsidR="005A7CA7" w:rsidRPr="00307792">
        <w:rPr>
          <w:rFonts w:ascii="Times New Roman" w:eastAsia="Times New Roman" w:hAnsi="Times New Roman" w:cs="Times New Roman"/>
          <w:sz w:val="24"/>
          <w:szCs w:val="24"/>
          <w:lang w:val="en-US"/>
        </w:rPr>
        <w:t xml:space="preserve">ncing. </w:t>
      </w:r>
      <w:r w:rsidRPr="00307792">
        <w:rPr>
          <w:rFonts w:ascii="Times New Roman" w:eastAsia="Times New Roman" w:hAnsi="Times New Roman" w:cs="Times New Roman"/>
          <w:sz w:val="24"/>
          <w:szCs w:val="24"/>
          <w:lang w:val="en-US"/>
        </w:rPr>
        <w:t xml:space="preserve">Georgia has a high share of foreign commercial funding. EU grants and projects have an important role not only for the Baltic States but also for Belarus, Uzbekistan, Moldova, and Georgia. Chinese financing has a significant impact in high-performance papers of Uzbekistan, Georgia and Tajikistan. </w:t>
      </w:r>
      <w:proofErr w:type="gramStart"/>
      <w:r w:rsidRPr="00307792">
        <w:rPr>
          <w:rFonts w:ascii="Times New Roman" w:eastAsia="Times New Roman" w:hAnsi="Times New Roman" w:cs="Times New Roman"/>
          <w:sz w:val="24"/>
          <w:szCs w:val="24"/>
          <w:lang w:val="en-US"/>
        </w:rPr>
        <w:t>Tajikistan  and</w:t>
      </w:r>
      <w:proofErr w:type="gramEnd"/>
      <w:r w:rsidRPr="00307792">
        <w:rPr>
          <w:rFonts w:ascii="Times New Roman" w:eastAsia="Times New Roman" w:hAnsi="Times New Roman" w:cs="Times New Roman"/>
          <w:sz w:val="24"/>
          <w:szCs w:val="24"/>
          <w:lang w:val="en-US"/>
        </w:rPr>
        <w:t xml:space="preserve"> Azerbaijan have the lowest values of funding linked to local authors. Azerbaijan has the highest share of funding attracted by foreign authors (48.8%). As expected, the role of foreign funding is usually higher for countries with lower relative GERD (Annex, tab. 1).</w:t>
      </w:r>
    </w:p>
    <w:p w:rsidR="002B3138" w:rsidRPr="00307792" w:rsidRDefault="004F30A1" w:rsidP="006223AF">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With that, our methodology approach reveals there are marked differences between linking funding sources to papers and linking them to authors from a studied country (</w:t>
      </w:r>
      <w:r w:rsidR="006C7344">
        <w:rPr>
          <w:rFonts w:ascii="Times New Roman" w:eastAsia="Times New Roman" w:hAnsi="Times New Roman" w:cs="Times New Roman"/>
          <w:sz w:val="24"/>
          <w:szCs w:val="24"/>
          <w:lang w:val="en-US"/>
        </w:rPr>
        <w:t>Figure</w:t>
      </w:r>
      <w:r w:rsidR="006C7344" w:rsidRPr="00307792">
        <w:rPr>
          <w:rFonts w:ascii="Times New Roman" w:eastAsia="Times New Roman" w:hAnsi="Times New Roman" w:cs="Times New Roman"/>
          <w:sz w:val="24"/>
          <w:szCs w:val="24"/>
          <w:lang w:val="en-US"/>
        </w:rPr>
        <w:t xml:space="preserve"> </w:t>
      </w:r>
      <w:r w:rsidR="006C7344">
        <w:rPr>
          <w:rFonts w:ascii="Times New Roman" w:eastAsia="Times New Roman" w:hAnsi="Times New Roman" w:cs="Times New Roman"/>
          <w:sz w:val="24"/>
          <w:szCs w:val="24"/>
          <w:lang w:val="en-US"/>
        </w:rPr>
        <w:t>2</w:t>
      </w:r>
      <w:r w:rsidRPr="00307792">
        <w:rPr>
          <w:rFonts w:ascii="Times New Roman" w:eastAsia="Times New Roman" w:hAnsi="Times New Roman" w:cs="Times New Roman"/>
          <w:sz w:val="24"/>
          <w:szCs w:val="24"/>
          <w:lang w:val="en-US"/>
        </w:rPr>
        <w:t xml:space="preserve"> </w:t>
      </w:r>
      <w:proofErr w:type="spellStart"/>
      <w:r w:rsidRPr="00307792">
        <w:rPr>
          <w:rFonts w:ascii="Times New Roman" w:eastAsia="Times New Roman" w:hAnsi="Times New Roman" w:cs="Times New Roman"/>
          <w:sz w:val="24"/>
          <w:szCs w:val="24"/>
          <w:lang w:val="en-US"/>
        </w:rPr>
        <w:t>vs</w:t>
      </w:r>
      <w:proofErr w:type="spellEnd"/>
      <w:r w:rsidRPr="00307792">
        <w:rPr>
          <w:rFonts w:ascii="Times New Roman" w:eastAsia="Times New Roman" w:hAnsi="Times New Roman" w:cs="Times New Roman"/>
          <w:sz w:val="24"/>
          <w:szCs w:val="24"/>
          <w:lang w:val="en-US"/>
        </w:rPr>
        <w:t xml:space="preserve"> </w:t>
      </w:r>
      <w:r w:rsidR="006C7344">
        <w:rPr>
          <w:rFonts w:ascii="Times New Roman" w:eastAsia="Times New Roman" w:hAnsi="Times New Roman" w:cs="Times New Roman"/>
          <w:sz w:val="24"/>
          <w:szCs w:val="24"/>
          <w:lang w:val="en-US"/>
        </w:rPr>
        <w:t>4</w:t>
      </w:r>
      <w:r w:rsidRPr="00307792">
        <w:rPr>
          <w:rFonts w:ascii="Times New Roman" w:eastAsia="Times New Roman" w:hAnsi="Times New Roman" w:cs="Times New Roman"/>
          <w:sz w:val="24"/>
          <w:szCs w:val="24"/>
          <w:lang w:val="en-US"/>
        </w:rPr>
        <w:t xml:space="preserve">). For example, for Kazakhstan the shares of papers mentioning funding from EU, US, DE, RU and CN are 13%, 27%, 11%, 13% and 12% respectively, but when we restrict this to funding linked to authors with Kazakh affiliations, figures drop to 7%, 20%, 10%, 7% and 4%, and </w:t>
      </w:r>
      <w:r w:rsidRPr="00307792">
        <w:rPr>
          <w:rFonts w:ascii="Times New Roman" w:eastAsia="Times New Roman" w:hAnsi="Times New Roman" w:cs="Times New Roman"/>
          <w:sz w:val="24"/>
          <w:szCs w:val="24"/>
          <w:lang w:val="en-US"/>
        </w:rPr>
        <w:lastRenderedPageBreak/>
        <w:t>even this is an overestimate because we treat unlinked sources as those linked to all authors. Such comparison yields a much more nuanced picture of funding amalgamations than the one recently presented for the same region using a traditional approach (</w:t>
      </w:r>
      <w:proofErr w:type="spellStart"/>
      <w:r w:rsidRPr="00307792">
        <w:rPr>
          <w:rFonts w:ascii="Times New Roman" w:eastAsia="Times New Roman" w:hAnsi="Times New Roman" w:cs="Times New Roman"/>
          <w:sz w:val="24"/>
          <w:szCs w:val="24"/>
          <w:lang w:val="en-US"/>
        </w:rPr>
        <w:t>Chankseliani</w:t>
      </w:r>
      <w:proofErr w:type="spellEnd"/>
      <w:r w:rsidR="001F4A6D">
        <w:rPr>
          <w:rFonts w:ascii="Times New Roman" w:eastAsia="Times New Roman" w:hAnsi="Times New Roman" w:cs="Times New Roman"/>
          <w:sz w:val="24"/>
          <w:szCs w:val="24"/>
          <w:lang w:val="en-US"/>
        </w:rPr>
        <w:t>,</w:t>
      </w:r>
      <w:r w:rsidRPr="00307792">
        <w:rPr>
          <w:rFonts w:ascii="Times New Roman" w:eastAsia="Times New Roman" w:hAnsi="Times New Roman" w:cs="Times New Roman"/>
          <w:sz w:val="24"/>
          <w:szCs w:val="24"/>
          <w:lang w:val="en-US"/>
        </w:rPr>
        <w:t xml:space="preserve"> 2023). We argue that this distinction is vital when making claims about funding sources especially for smaller countrie</w:t>
      </w:r>
      <w:r w:rsidR="006223AF" w:rsidRPr="00307792">
        <w:rPr>
          <w:rFonts w:ascii="Times New Roman" w:eastAsia="Times New Roman" w:hAnsi="Times New Roman" w:cs="Times New Roman"/>
          <w:sz w:val="24"/>
          <w:szCs w:val="24"/>
          <w:lang w:val="en-US"/>
        </w:rPr>
        <w:t>s with lower research capacity.</w:t>
      </w:r>
    </w:p>
    <w:p w:rsidR="002B3138" w:rsidRPr="00307792" w:rsidRDefault="004F30A1" w:rsidP="006223AF">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Our study is exploratory and based on papers in top journals, which means that we focus on a part of the national research landscape, which, although very important and visible, does not paint the whole picture. Omission of many-authored papers and papers in medical and SSH fields is also a limitation. We plan to build upon this investigation using a much larger dataset and ML-assisted NER tools to further study the complex interplay of fu</w:t>
      </w:r>
      <w:r w:rsidR="00A44209" w:rsidRPr="00307792">
        <w:rPr>
          <w:rFonts w:ascii="Times New Roman" w:eastAsia="Times New Roman" w:hAnsi="Times New Roman" w:cs="Times New Roman"/>
          <w:sz w:val="24"/>
          <w:szCs w:val="24"/>
          <w:lang w:val="en-US"/>
        </w:rPr>
        <w:t>nding and those who receive it.</w:t>
      </w:r>
    </w:p>
    <w:p w:rsidR="002B3138" w:rsidRPr="00307792" w:rsidRDefault="002B3138">
      <w:pPr>
        <w:pStyle w:val="10"/>
        <w:rPr>
          <w:color w:val="0B5394"/>
          <w:lang w:val="en-US"/>
        </w:rPr>
      </w:pPr>
    </w:p>
    <w:p w:rsidR="002B3138" w:rsidRPr="00307792" w:rsidRDefault="004F30A1">
      <w:pPr>
        <w:pStyle w:val="10"/>
        <w:rPr>
          <w:rFonts w:ascii="Times New Roman" w:eastAsia="Times New Roman" w:hAnsi="Times New Roman" w:cs="Times New Roman"/>
          <w:b/>
          <w:sz w:val="28"/>
          <w:szCs w:val="28"/>
          <w:lang w:val="en-US"/>
        </w:rPr>
      </w:pPr>
      <w:r w:rsidRPr="00307792">
        <w:rPr>
          <w:rFonts w:ascii="Times New Roman" w:eastAsia="Times New Roman" w:hAnsi="Times New Roman" w:cs="Times New Roman"/>
          <w:b/>
          <w:sz w:val="28"/>
          <w:szCs w:val="28"/>
          <w:lang w:val="en-US"/>
        </w:rPr>
        <w:t>Author roles</w:t>
      </w:r>
    </w:p>
    <w:p w:rsidR="002B3138" w:rsidRPr="00307792" w:rsidRDefault="004F30A1" w:rsidP="00A44209">
      <w:pPr>
        <w:pStyle w:val="10"/>
        <w:jc w:val="both"/>
        <w:rPr>
          <w:rFonts w:ascii="Times New Roman" w:eastAsia="Times New Roman" w:hAnsi="Times New Roman" w:cs="Times New Roman"/>
          <w:lang w:val="en-US"/>
        </w:rPr>
      </w:pPr>
      <w:r w:rsidRPr="00307792">
        <w:rPr>
          <w:rFonts w:ascii="Times New Roman" w:eastAsia="Times New Roman" w:hAnsi="Times New Roman" w:cs="Times New Roman"/>
          <w:lang w:val="en-US"/>
        </w:rPr>
        <w:t xml:space="preserve">Ivan </w:t>
      </w:r>
      <w:proofErr w:type="spellStart"/>
      <w:r w:rsidRPr="00307792">
        <w:rPr>
          <w:rFonts w:ascii="Times New Roman" w:eastAsia="Times New Roman" w:hAnsi="Times New Roman" w:cs="Times New Roman"/>
          <w:lang w:val="en-US"/>
        </w:rPr>
        <w:t>Sterligov</w:t>
      </w:r>
      <w:proofErr w:type="spellEnd"/>
      <w:r w:rsidRPr="00307792">
        <w:rPr>
          <w:rFonts w:ascii="Times New Roman" w:eastAsia="Times New Roman" w:hAnsi="Times New Roman" w:cs="Times New Roman"/>
          <w:lang w:val="en-US"/>
        </w:rPr>
        <w:t xml:space="preserve">, Anna </w:t>
      </w:r>
      <w:proofErr w:type="spellStart"/>
      <w:r w:rsidRPr="00307792">
        <w:rPr>
          <w:rFonts w:ascii="Times New Roman" w:eastAsia="Times New Roman" w:hAnsi="Times New Roman" w:cs="Times New Roman"/>
          <w:lang w:val="en-US"/>
        </w:rPr>
        <w:t>Panova</w:t>
      </w:r>
      <w:proofErr w:type="spellEnd"/>
      <w:r w:rsidRPr="00307792">
        <w:rPr>
          <w:rFonts w:ascii="Times New Roman" w:eastAsia="Times New Roman" w:hAnsi="Times New Roman" w:cs="Times New Roman"/>
          <w:lang w:val="en-US"/>
        </w:rPr>
        <w:t>, Natalia Matveeva: Conceptualization, Data curation, Methodology, Writing – original draft, Writing – review &amp; editing</w:t>
      </w:r>
      <w:r w:rsidR="00A44209" w:rsidRPr="00307792">
        <w:rPr>
          <w:rFonts w:ascii="Times New Roman" w:eastAsia="Times New Roman" w:hAnsi="Times New Roman" w:cs="Times New Roman"/>
          <w:lang w:val="en-US"/>
        </w:rPr>
        <w:t xml:space="preserve">. </w:t>
      </w:r>
      <w:r w:rsidRPr="00307792">
        <w:rPr>
          <w:rFonts w:ascii="Times New Roman" w:eastAsia="Times New Roman" w:hAnsi="Times New Roman" w:cs="Times New Roman"/>
          <w:lang w:val="en-US"/>
        </w:rPr>
        <w:t xml:space="preserve">All authors contributed equally. </w:t>
      </w:r>
    </w:p>
    <w:p w:rsidR="002B3138" w:rsidRPr="00307792" w:rsidRDefault="002B3138">
      <w:pPr>
        <w:pStyle w:val="10"/>
        <w:rPr>
          <w:rFonts w:ascii="Times New Roman" w:eastAsia="Times New Roman" w:hAnsi="Times New Roman" w:cs="Times New Roman"/>
          <w:sz w:val="28"/>
          <w:szCs w:val="28"/>
          <w:lang w:val="en-US"/>
        </w:rPr>
      </w:pPr>
    </w:p>
    <w:p w:rsidR="002B3138" w:rsidRPr="00307792" w:rsidRDefault="004F30A1">
      <w:pPr>
        <w:pStyle w:val="10"/>
        <w:pBdr>
          <w:top w:val="nil"/>
          <w:left w:val="nil"/>
          <w:bottom w:val="nil"/>
          <w:right w:val="nil"/>
          <w:between w:val="nil"/>
        </w:pBdr>
        <w:rPr>
          <w:rFonts w:ascii="Times New Roman" w:eastAsia="Times New Roman" w:hAnsi="Times New Roman" w:cs="Times New Roman"/>
          <w:b/>
          <w:sz w:val="28"/>
          <w:szCs w:val="28"/>
          <w:lang w:val="en-US"/>
        </w:rPr>
      </w:pPr>
      <w:r w:rsidRPr="00307792">
        <w:rPr>
          <w:rFonts w:ascii="Times New Roman" w:eastAsia="Times New Roman" w:hAnsi="Times New Roman" w:cs="Times New Roman"/>
          <w:b/>
          <w:sz w:val="28"/>
          <w:szCs w:val="28"/>
          <w:lang w:val="en-US"/>
        </w:rPr>
        <w:t>Competing interests</w:t>
      </w:r>
    </w:p>
    <w:p w:rsidR="002B3138" w:rsidRPr="00307792" w:rsidRDefault="004F30A1">
      <w:pPr>
        <w:pStyle w:val="10"/>
        <w:pBdr>
          <w:top w:val="nil"/>
          <w:left w:val="nil"/>
          <w:bottom w:val="nil"/>
          <w:right w:val="nil"/>
          <w:between w:val="nil"/>
        </w:pBdr>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The authors declare no competing interests.</w:t>
      </w:r>
    </w:p>
    <w:p w:rsidR="002B3138" w:rsidRPr="00307792" w:rsidRDefault="002B3138">
      <w:pPr>
        <w:pStyle w:val="10"/>
        <w:pBdr>
          <w:top w:val="nil"/>
          <w:left w:val="nil"/>
          <w:bottom w:val="nil"/>
          <w:right w:val="nil"/>
          <w:between w:val="nil"/>
        </w:pBdr>
        <w:rPr>
          <w:rFonts w:ascii="Times New Roman" w:eastAsia="Times New Roman" w:hAnsi="Times New Roman" w:cs="Times New Roman"/>
          <w:sz w:val="28"/>
          <w:szCs w:val="28"/>
          <w:lang w:val="en-US"/>
        </w:rPr>
      </w:pPr>
    </w:p>
    <w:p w:rsidR="002B3138" w:rsidRPr="00307792" w:rsidRDefault="004F30A1">
      <w:pPr>
        <w:pStyle w:val="10"/>
        <w:pBdr>
          <w:top w:val="nil"/>
          <w:left w:val="nil"/>
          <w:bottom w:val="nil"/>
          <w:right w:val="nil"/>
          <w:between w:val="nil"/>
        </w:pBdr>
        <w:rPr>
          <w:rFonts w:ascii="Times New Roman" w:eastAsia="Times New Roman" w:hAnsi="Times New Roman" w:cs="Times New Roman"/>
          <w:b/>
          <w:sz w:val="28"/>
          <w:szCs w:val="28"/>
          <w:lang w:val="en-US"/>
        </w:rPr>
      </w:pPr>
      <w:r w:rsidRPr="00307792">
        <w:rPr>
          <w:rFonts w:ascii="Times New Roman" w:eastAsia="Times New Roman" w:hAnsi="Times New Roman" w:cs="Times New Roman"/>
          <w:b/>
          <w:sz w:val="28"/>
          <w:szCs w:val="28"/>
          <w:lang w:val="en-US"/>
        </w:rPr>
        <w:t>Open Access and Data Availability</w:t>
      </w:r>
    </w:p>
    <w:p w:rsidR="002B3138" w:rsidRPr="00307792" w:rsidRDefault="004F30A1">
      <w:pPr>
        <w:pStyle w:val="10"/>
        <w:pBdr>
          <w:top w:val="nil"/>
          <w:left w:val="nil"/>
          <w:bottom w:val="nil"/>
          <w:right w:val="nil"/>
          <w:between w:val="nil"/>
        </w:pBdr>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 xml:space="preserve">The detailed classification of all papers along with their Scopus IDs is presented in the Annex, which is freely available at </w:t>
      </w:r>
      <w:proofErr w:type="spellStart"/>
      <w:r w:rsidRPr="00307792">
        <w:rPr>
          <w:rFonts w:ascii="Times New Roman" w:eastAsia="Times New Roman" w:hAnsi="Times New Roman" w:cs="Times New Roman"/>
          <w:sz w:val="24"/>
          <w:szCs w:val="24"/>
          <w:lang w:val="en-US"/>
        </w:rPr>
        <w:t>Zenodo</w:t>
      </w:r>
      <w:proofErr w:type="spellEnd"/>
      <w:r w:rsidRPr="00307792">
        <w:rPr>
          <w:rFonts w:ascii="Times New Roman" w:eastAsia="Times New Roman" w:hAnsi="Times New Roman" w:cs="Times New Roman"/>
          <w:sz w:val="24"/>
          <w:szCs w:val="24"/>
          <w:lang w:val="en-US"/>
        </w:rPr>
        <w:t xml:space="preserve">: </w:t>
      </w:r>
      <w:hyperlink r:id="rId14">
        <w:r w:rsidRPr="00307792">
          <w:rPr>
            <w:rFonts w:ascii="Times New Roman" w:eastAsia="Times New Roman" w:hAnsi="Times New Roman" w:cs="Times New Roman"/>
            <w:color w:val="1155CC"/>
            <w:sz w:val="24"/>
            <w:szCs w:val="24"/>
            <w:u w:val="single"/>
            <w:lang w:val="en-US"/>
          </w:rPr>
          <w:t>https://doi.org/10.5281/zenodo.7850131</w:t>
        </w:r>
      </w:hyperlink>
    </w:p>
    <w:p w:rsidR="002B3138" w:rsidRPr="00307792" w:rsidRDefault="004F30A1" w:rsidP="00A44209">
      <w:pPr>
        <w:pStyle w:val="10"/>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We do not disclose the FAs of individual papers because of the different policies and copyrights of va</w:t>
      </w:r>
      <w:r w:rsidR="009679A9" w:rsidRPr="00307792">
        <w:rPr>
          <w:rFonts w:ascii="Times New Roman" w:eastAsia="Times New Roman" w:hAnsi="Times New Roman" w:cs="Times New Roman"/>
          <w:sz w:val="24"/>
          <w:szCs w:val="24"/>
          <w:lang w:val="en-US"/>
        </w:rPr>
        <w:t>rious publishers.</w:t>
      </w:r>
    </w:p>
    <w:p w:rsidR="002B3138" w:rsidRPr="00307792" w:rsidRDefault="002B3138">
      <w:pPr>
        <w:pStyle w:val="10"/>
        <w:pBdr>
          <w:top w:val="nil"/>
          <w:left w:val="nil"/>
          <w:bottom w:val="nil"/>
          <w:right w:val="nil"/>
          <w:between w:val="nil"/>
        </w:pBdr>
        <w:rPr>
          <w:rFonts w:ascii="Times New Roman" w:eastAsia="Times New Roman" w:hAnsi="Times New Roman" w:cs="Times New Roman"/>
          <w:sz w:val="28"/>
          <w:szCs w:val="28"/>
          <w:lang w:val="en-US"/>
        </w:rPr>
      </w:pPr>
    </w:p>
    <w:p w:rsidR="002B3138" w:rsidRPr="00307792" w:rsidRDefault="004F30A1">
      <w:pPr>
        <w:pStyle w:val="10"/>
        <w:pBdr>
          <w:top w:val="nil"/>
          <w:left w:val="nil"/>
          <w:bottom w:val="nil"/>
          <w:right w:val="nil"/>
          <w:between w:val="nil"/>
        </w:pBdr>
        <w:rPr>
          <w:rFonts w:ascii="Times New Roman" w:eastAsia="Times New Roman" w:hAnsi="Times New Roman" w:cs="Times New Roman"/>
          <w:b/>
          <w:sz w:val="28"/>
          <w:szCs w:val="28"/>
          <w:lang w:val="en-US"/>
        </w:rPr>
      </w:pPr>
      <w:r w:rsidRPr="00307792">
        <w:rPr>
          <w:rFonts w:ascii="Times New Roman" w:eastAsia="Times New Roman" w:hAnsi="Times New Roman" w:cs="Times New Roman"/>
          <w:b/>
          <w:sz w:val="28"/>
          <w:szCs w:val="28"/>
          <w:lang w:val="en-US"/>
        </w:rPr>
        <w:t>Funding information</w:t>
      </w:r>
    </w:p>
    <w:p w:rsidR="002B3138" w:rsidRPr="00307792" w:rsidRDefault="004F30A1" w:rsidP="009679A9">
      <w:pPr>
        <w:pStyle w:val="10"/>
        <w:shd w:val="clear" w:color="auto" w:fill="FCFCFC"/>
        <w:spacing w:line="240" w:lineRule="auto"/>
        <w:jc w:val="both"/>
        <w:rPr>
          <w:rFonts w:ascii="Times New Roman" w:hAnsi="Times New Roman" w:cs="Times New Roman"/>
          <w:color w:val="0B5394"/>
          <w:sz w:val="24"/>
          <w:szCs w:val="24"/>
          <w:lang w:val="en-US"/>
        </w:rPr>
      </w:pPr>
      <w:r w:rsidRPr="00307792">
        <w:rPr>
          <w:rFonts w:ascii="Times New Roman" w:eastAsia="Times New Roman" w:hAnsi="Times New Roman" w:cs="Times New Roman"/>
          <w:sz w:val="24"/>
          <w:szCs w:val="24"/>
          <w:lang w:val="en-US"/>
        </w:rPr>
        <w:t>Data collection was supported by the Russian Science Foundation (Grant 20–18-00140). Anna Panova and Natalia Matveeva acknowledge the support of the HSE University Basic Research Program.</w:t>
      </w:r>
    </w:p>
    <w:p w:rsidR="002B3138" w:rsidRPr="00307792" w:rsidRDefault="002B3138">
      <w:pPr>
        <w:pStyle w:val="10"/>
        <w:rPr>
          <w:color w:val="0B5394"/>
          <w:lang w:val="en-US"/>
        </w:rPr>
      </w:pPr>
    </w:p>
    <w:p w:rsidR="002B3138" w:rsidRPr="001F4A6D" w:rsidRDefault="004F30A1">
      <w:pPr>
        <w:pStyle w:val="10"/>
        <w:rPr>
          <w:rFonts w:ascii="Times New Roman" w:eastAsia="Times New Roman" w:hAnsi="Times New Roman" w:cs="Times New Roman"/>
          <w:b/>
          <w:sz w:val="28"/>
          <w:szCs w:val="28"/>
          <w:lang w:val="en-US"/>
        </w:rPr>
      </w:pPr>
      <w:r w:rsidRPr="001F4A6D">
        <w:rPr>
          <w:rFonts w:ascii="Times New Roman" w:eastAsia="Times New Roman" w:hAnsi="Times New Roman" w:cs="Times New Roman"/>
          <w:b/>
          <w:sz w:val="28"/>
          <w:szCs w:val="28"/>
          <w:lang w:val="en-US"/>
        </w:rPr>
        <w:t>References</w:t>
      </w:r>
    </w:p>
    <w:p w:rsidR="009679A9" w:rsidRPr="001F4A6D" w:rsidRDefault="009679A9" w:rsidP="009679A9">
      <w:pPr>
        <w:pStyle w:val="10"/>
        <w:spacing w:line="240" w:lineRule="auto"/>
        <w:jc w:val="both"/>
        <w:rPr>
          <w:rFonts w:ascii="Times New Roman" w:eastAsia="Times New Roman" w:hAnsi="Times New Roman" w:cs="Times New Roman"/>
          <w:sz w:val="24"/>
          <w:szCs w:val="24"/>
          <w:lang w:val="en-US"/>
        </w:rPr>
      </w:pPr>
      <w:proofErr w:type="spellStart"/>
      <w:proofErr w:type="gramStart"/>
      <w:r w:rsidRPr="00307792">
        <w:rPr>
          <w:rFonts w:ascii="Times New Roman" w:hAnsi="Times New Roman" w:cs="Times New Roman"/>
          <w:color w:val="222222"/>
          <w:sz w:val="24"/>
          <w:szCs w:val="24"/>
          <w:shd w:val="clear" w:color="auto" w:fill="FFFFFF"/>
          <w:lang w:val="en-US"/>
        </w:rPr>
        <w:t>Aagaard</w:t>
      </w:r>
      <w:proofErr w:type="spellEnd"/>
      <w:r w:rsidRPr="00307792">
        <w:rPr>
          <w:rFonts w:ascii="Times New Roman" w:hAnsi="Times New Roman" w:cs="Times New Roman"/>
          <w:color w:val="222222"/>
          <w:sz w:val="24"/>
          <w:szCs w:val="24"/>
          <w:shd w:val="clear" w:color="auto" w:fill="FFFFFF"/>
          <w:lang w:val="en-US"/>
        </w:rPr>
        <w:t xml:space="preserve">, K., </w:t>
      </w:r>
      <w:proofErr w:type="spellStart"/>
      <w:r w:rsidRPr="00307792">
        <w:rPr>
          <w:rFonts w:ascii="Times New Roman" w:hAnsi="Times New Roman" w:cs="Times New Roman"/>
          <w:color w:val="222222"/>
          <w:sz w:val="24"/>
          <w:szCs w:val="24"/>
          <w:shd w:val="clear" w:color="auto" w:fill="FFFFFF"/>
          <w:lang w:val="en-US"/>
        </w:rPr>
        <w:t>Mongeon</w:t>
      </w:r>
      <w:proofErr w:type="spellEnd"/>
      <w:r w:rsidRPr="00307792">
        <w:rPr>
          <w:rFonts w:ascii="Times New Roman" w:hAnsi="Times New Roman" w:cs="Times New Roman"/>
          <w:color w:val="222222"/>
          <w:sz w:val="24"/>
          <w:szCs w:val="24"/>
          <w:shd w:val="clear" w:color="auto" w:fill="FFFFFF"/>
          <w:lang w:val="en-US"/>
        </w:rPr>
        <w:t>, P., Ramos-</w:t>
      </w:r>
      <w:proofErr w:type="spellStart"/>
      <w:r w:rsidRPr="00307792">
        <w:rPr>
          <w:rFonts w:ascii="Times New Roman" w:hAnsi="Times New Roman" w:cs="Times New Roman"/>
          <w:color w:val="222222"/>
          <w:sz w:val="24"/>
          <w:szCs w:val="24"/>
          <w:shd w:val="clear" w:color="auto" w:fill="FFFFFF"/>
          <w:lang w:val="en-US"/>
        </w:rPr>
        <w:t>Vielba</w:t>
      </w:r>
      <w:proofErr w:type="spellEnd"/>
      <w:r w:rsidRPr="00307792">
        <w:rPr>
          <w:rFonts w:ascii="Times New Roman" w:hAnsi="Times New Roman" w:cs="Times New Roman"/>
          <w:color w:val="222222"/>
          <w:sz w:val="24"/>
          <w:szCs w:val="24"/>
          <w:shd w:val="clear" w:color="auto" w:fill="FFFFFF"/>
          <w:lang w:val="en-US"/>
        </w:rPr>
        <w:t>, I., &amp; Thomas, D. A. (2021).</w:t>
      </w:r>
      <w:proofErr w:type="gramEnd"/>
      <w:r w:rsidRPr="00307792">
        <w:rPr>
          <w:rFonts w:ascii="Times New Roman" w:hAnsi="Times New Roman" w:cs="Times New Roman"/>
          <w:color w:val="222222"/>
          <w:sz w:val="24"/>
          <w:szCs w:val="24"/>
          <w:shd w:val="clear" w:color="auto" w:fill="FFFFFF"/>
          <w:lang w:val="en-US"/>
        </w:rPr>
        <w:t xml:space="preserve"> Getting to the bottom of research funding: Acknowledging the complexity of funding dynamics. </w:t>
      </w:r>
      <w:proofErr w:type="spellStart"/>
      <w:r w:rsidRPr="001F4A6D">
        <w:rPr>
          <w:rFonts w:ascii="Times New Roman" w:hAnsi="Times New Roman" w:cs="Times New Roman"/>
          <w:i/>
          <w:iCs/>
          <w:color w:val="222222"/>
          <w:sz w:val="24"/>
          <w:szCs w:val="24"/>
          <w:shd w:val="clear" w:color="auto" w:fill="FFFFFF"/>
          <w:lang w:val="en-US"/>
        </w:rPr>
        <w:t>Plos</w:t>
      </w:r>
      <w:proofErr w:type="spellEnd"/>
      <w:r w:rsidRPr="001F4A6D">
        <w:rPr>
          <w:rFonts w:ascii="Times New Roman" w:hAnsi="Times New Roman" w:cs="Times New Roman"/>
          <w:i/>
          <w:iCs/>
          <w:color w:val="222222"/>
          <w:sz w:val="24"/>
          <w:szCs w:val="24"/>
          <w:shd w:val="clear" w:color="auto" w:fill="FFFFFF"/>
          <w:lang w:val="en-US"/>
        </w:rPr>
        <w:t xml:space="preserve"> one</w:t>
      </w:r>
      <w:r w:rsidRPr="001F4A6D">
        <w:rPr>
          <w:rFonts w:ascii="Times New Roman" w:hAnsi="Times New Roman" w:cs="Times New Roman"/>
          <w:color w:val="222222"/>
          <w:sz w:val="24"/>
          <w:szCs w:val="24"/>
          <w:shd w:val="clear" w:color="auto" w:fill="FFFFFF"/>
          <w:lang w:val="en-US"/>
        </w:rPr>
        <w:t>, </w:t>
      </w:r>
      <w:r w:rsidRPr="001F4A6D">
        <w:rPr>
          <w:rFonts w:ascii="Times New Roman" w:hAnsi="Times New Roman" w:cs="Times New Roman"/>
          <w:i/>
          <w:iCs/>
          <w:color w:val="222222"/>
          <w:sz w:val="24"/>
          <w:szCs w:val="24"/>
          <w:shd w:val="clear" w:color="auto" w:fill="FFFFFF"/>
          <w:lang w:val="en-US"/>
        </w:rPr>
        <w:t>16</w:t>
      </w:r>
      <w:r w:rsidRPr="001F4A6D">
        <w:rPr>
          <w:rFonts w:ascii="Times New Roman" w:hAnsi="Times New Roman" w:cs="Times New Roman"/>
          <w:color w:val="222222"/>
          <w:sz w:val="24"/>
          <w:szCs w:val="24"/>
          <w:shd w:val="clear" w:color="auto" w:fill="FFFFFF"/>
          <w:lang w:val="en-US"/>
        </w:rPr>
        <w:t xml:space="preserve">(5), e0251488. </w:t>
      </w:r>
      <w:r w:rsidRPr="001F4A6D">
        <w:rPr>
          <w:rFonts w:ascii="Times New Roman" w:eastAsia="Times New Roman" w:hAnsi="Times New Roman" w:cs="Times New Roman"/>
          <w:sz w:val="24"/>
          <w:szCs w:val="24"/>
          <w:lang w:val="en-US"/>
        </w:rPr>
        <w:t>https://doi.org/10.1371/journal.pone.0251488</w:t>
      </w:r>
    </w:p>
    <w:p w:rsidR="009679A9" w:rsidRPr="001F4A6D" w:rsidRDefault="009679A9" w:rsidP="009679A9">
      <w:pPr>
        <w:pStyle w:val="10"/>
        <w:spacing w:line="240" w:lineRule="auto"/>
        <w:jc w:val="both"/>
        <w:rPr>
          <w:rFonts w:ascii="Times New Roman" w:hAnsi="Times New Roman" w:cs="Times New Roman"/>
          <w:sz w:val="24"/>
          <w:szCs w:val="24"/>
          <w:shd w:val="clear" w:color="auto" w:fill="FFFFFF"/>
          <w:lang w:val="en-US"/>
        </w:rPr>
      </w:pPr>
      <w:proofErr w:type="spellStart"/>
      <w:r w:rsidRPr="00307792">
        <w:rPr>
          <w:rFonts w:ascii="Times New Roman" w:hAnsi="Times New Roman" w:cs="Times New Roman"/>
          <w:sz w:val="24"/>
          <w:szCs w:val="24"/>
          <w:shd w:val="clear" w:color="auto" w:fill="FFFFFF"/>
          <w:lang w:val="en-US"/>
        </w:rPr>
        <w:t>Allik</w:t>
      </w:r>
      <w:proofErr w:type="spellEnd"/>
      <w:r w:rsidRPr="00307792">
        <w:rPr>
          <w:rFonts w:ascii="Times New Roman" w:hAnsi="Times New Roman" w:cs="Times New Roman"/>
          <w:sz w:val="24"/>
          <w:szCs w:val="24"/>
          <w:shd w:val="clear" w:color="auto" w:fill="FFFFFF"/>
          <w:lang w:val="en-US"/>
        </w:rPr>
        <w:t xml:space="preserve">, J. (2003). The quality of science in Estonia, Latvia, and Lithuania after the first decade of independence. </w:t>
      </w:r>
      <w:proofErr w:type="spellStart"/>
      <w:r w:rsidRPr="001F4A6D">
        <w:rPr>
          <w:rFonts w:ascii="Times New Roman" w:hAnsi="Times New Roman" w:cs="Times New Roman"/>
          <w:i/>
          <w:iCs/>
          <w:sz w:val="24"/>
          <w:szCs w:val="24"/>
          <w:shd w:val="clear" w:color="auto" w:fill="FFFFFF"/>
          <w:lang w:val="en-US"/>
        </w:rPr>
        <w:t>Trames</w:t>
      </w:r>
      <w:proofErr w:type="spellEnd"/>
      <w:r w:rsidRPr="001F4A6D">
        <w:rPr>
          <w:rFonts w:ascii="Times New Roman" w:hAnsi="Times New Roman" w:cs="Times New Roman"/>
          <w:sz w:val="24"/>
          <w:szCs w:val="24"/>
          <w:shd w:val="clear" w:color="auto" w:fill="FFFFFF"/>
          <w:lang w:val="en-US"/>
        </w:rPr>
        <w:t xml:space="preserve">, </w:t>
      </w:r>
      <w:r w:rsidRPr="001F4A6D">
        <w:rPr>
          <w:rFonts w:ascii="Times New Roman" w:hAnsi="Times New Roman" w:cs="Times New Roman"/>
          <w:i/>
          <w:iCs/>
          <w:sz w:val="24"/>
          <w:szCs w:val="24"/>
          <w:shd w:val="clear" w:color="auto" w:fill="FFFFFF"/>
          <w:lang w:val="en-US"/>
        </w:rPr>
        <w:t>7</w:t>
      </w:r>
      <w:r w:rsidRPr="001F4A6D">
        <w:rPr>
          <w:rFonts w:ascii="Times New Roman" w:hAnsi="Times New Roman" w:cs="Times New Roman"/>
          <w:sz w:val="24"/>
          <w:szCs w:val="24"/>
          <w:shd w:val="clear" w:color="auto" w:fill="FFFFFF"/>
          <w:lang w:val="en-US"/>
        </w:rPr>
        <w:t>(1), 40-52.</w:t>
      </w:r>
    </w:p>
    <w:p w:rsidR="009679A9" w:rsidRPr="009679A9" w:rsidRDefault="009679A9" w:rsidP="009679A9">
      <w:pPr>
        <w:pStyle w:val="10"/>
        <w:spacing w:line="240" w:lineRule="auto"/>
        <w:jc w:val="both"/>
        <w:rPr>
          <w:rFonts w:ascii="Times New Roman" w:hAnsi="Times New Roman" w:cs="Times New Roman"/>
          <w:sz w:val="24"/>
          <w:szCs w:val="24"/>
          <w:shd w:val="clear" w:color="auto" w:fill="FFFFFF"/>
        </w:rPr>
      </w:pPr>
      <w:proofErr w:type="spellStart"/>
      <w:proofErr w:type="gramStart"/>
      <w:r w:rsidRPr="00307792">
        <w:rPr>
          <w:rFonts w:ascii="Times New Roman" w:hAnsi="Times New Roman" w:cs="Times New Roman"/>
          <w:sz w:val="24"/>
          <w:szCs w:val="24"/>
          <w:shd w:val="clear" w:color="auto" w:fill="FFFFFF"/>
          <w:lang w:val="en-US"/>
        </w:rPr>
        <w:t>Álvarez</w:t>
      </w:r>
      <w:proofErr w:type="spellEnd"/>
      <w:r w:rsidRPr="00307792">
        <w:rPr>
          <w:rFonts w:ascii="Times New Roman" w:hAnsi="Times New Roman" w:cs="Times New Roman"/>
          <w:sz w:val="24"/>
          <w:szCs w:val="24"/>
          <w:shd w:val="clear" w:color="auto" w:fill="FFFFFF"/>
          <w:lang w:val="en-US"/>
        </w:rPr>
        <w:t xml:space="preserve">-Bornstein, B., &amp; </w:t>
      </w:r>
      <w:proofErr w:type="spellStart"/>
      <w:r w:rsidRPr="00307792">
        <w:rPr>
          <w:rFonts w:ascii="Times New Roman" w:hAnsi="Times New Roman" w:cs="Times New Roman"/>
          <w:sz w:val="24"/>
          <w:szCs w:val="24"/>
          <w:shd w:val="clear" w:color="auto" w:fill="FFFFFF"/>
          <w:lang w:val="en-US"/>
        </w:rPr>
        <w:t>Montesi</w:t>
      </w:r>
      <w:proofErr w:type="spellEnd"/>
      <w:r w:rsidRPr="00307792">
        <w:rPr>
          <w:rFonts w:ascii="Times New Roman" w:hAnsi="Times New Roman" w:cs="Times New Roman"/>
          <w:sz w:val="24"/>
          <w:szCs w:val="24"/>
          <w:shd w:val="clear" w:color="auto" w:fill="FFFFFF"/>
          <w:lang w:val="en-US"/>
        </w:rPr>
        <w:t>, M. (2020).</w:t>
      </w:r>
      <w:proofErr w:type="gramEnd"/>
      <w:r w:rsidRPr="00307792">
        <w:rPr>
          <w:rFonts w:ascii="Times New Roman" w:hAnsi="Times New Roman" w:cs="Times New Roman"/>
          <w:sz w:val="24"/>
          <w:szCs w:val="24"/>
          <w:shd w:val="clear" w:color="auto" w:fill="FFFFFF"/>
          <w:lang w:val="en-US"/>
        </w:rPr>
        <w:t xml:space="preserve"> Funding acknowledgements in scientific publications: A literature review. </w:t>
      </w:r>
      <w:proofErr w:type="spellStart"/>
      <w:r w:rsidRPr="009679A9">
        <w:rPr>
          <w:rFonts w:ascii="Times New Roman" w:hAnsi="Times New Roman" w:cs="Times New Roman"/>
          <w:i/>
          <w:iCs/>
          <w:sz w:val="24"/>
          <w:szCs w:val="24"/>
          <w:shd w:val="clear" w:color="auto" w:fill="FFFFFF"/>
        </w:rPr>
        <w:t>Research</w:t>
      </w:r>
      <w:proofErr w:type="spellEnd"/>
      <w:r w:rsidRPr="009679A9">
        <w:rPr>
          <w:rFonts w:ascii="Times New Roman" w:hAnsi="Times New Roman" w:cs="Times New Roman"/>
          <w:i/>
          <w:iCs/>
          <w:sz w:val="24"/>
          <w:szCs w:val="24"/>
          <w:shd w:val="clear" w:color="auto" w:fill="FFFFFF"/>
        </w:rPr>
        <w:t xml:space="preserve"> </w:t>
      </w:r>
      <w:proofErr w:type="spellStart"/>
      <w:r w:rsidRPr="009679A9">
        <w:rPr>
          <w:rFonts w:ascii="Times New Roman" w:hAnsi="Times New Roman" w:cs="Times New Roman"/>
          <w:i/>
          <w:iCs/>
          <w:sz w:val="24"/>
          <w:szCs w:val="24"/>
          <w:shd w:val="clear" w:color="auto" w:fill="FFFFFF"/>
        </w:rPr>
        <w:t>Evaluation</w:t>
      </w:r>
      <w:proofErr w:type="spellEnd"/>
      <w:r w:rsidRPr="009679A9">
        <w:rPr>
          <w:rFonts w:ascii="Times New Roman" w:hAnsi="Times New Roman" w:cs="Times New Roman"/>
          <w:sz w:val="24"/>
          <w:szCs w:val="24"/>
          <w:shd w:val="clear" w:color="auto" w:fill="FFFFFF"/>
        </w:rPr>
        <w:t xml:space="preserve">, </w:t>
      </w:r>
      <w:r w:rsidRPr="009679A9">
        <w:rPr>
          <w:rFonts w:ascii="Times New Roman" w:hAnsi="Times New Roman" w:cs="Times New Roman"/>
          <w:i/>
          <w:iCs/>
          <w:sz w:val="24"/>
          <w:szCs w:val="24"/>
          <w:shd w:val="clear" w:color="auto" w:fill="FFFFFF"/>
        </w:rPr>
        <w:t>29</w:t>
      </w:r>
      <w:r w:rsidRPr="009679A9">
        <w:rPr>
          <w:rFonts w:ascii="Times New Roman" w:hAnsi="Times New Roman" w:cs="Times New Roman"/>
          <w:sz w:val="24"/>
          <w:szCs w:val="24"/>
          <w:shd w:val="clear" w:color="auto" w:fill="FFFFFF"/>
        </w:rPr>
        <w:t>(4), 469-488.</w:t>
      </w:r>
    </w:p>
    <w:p w:rsidR="009679A9" w:rsidRPr="00307792" w:rsidRDefault="009679A9" w:rsidP="009679A9">
      <w:pPr>
        <w:pStyle w:val="10"/>
        <w:spacing w:line="240" w:lineRule="auto"/>
        <w:jc w:val="both"/>
        <w:rPr>
          <w:rFonts w:ascii="Times New Roman" w:hAnsi="Times New Roman" w:cs="Times New Roman"/>
          <w:sz w:val="24"/>
          <w:szCs w:val="24"/>
          <w:highlight w:val="white"/>
          <w:lang w:val="en-US"/>
        </w:rPr>
      </w:pPr>
      <w:proofErr w:type="spellStart"/>
      <w:r w:rsidRPr="00307792">
        <w:rPr>
          <w:rFonts w:ascii="Times New Roman" w:hAnsi="Times New Roman" w:cs="Times New Roman"/>
          <w:sz w:val="24"/>
          <w:szCs w:val="24"/>
          <w:highlight w:val="white"/>
          <w:lang w:val="en-US"/>
        </w:rPr>
        <w:t>Ashurov</w:t>
      </w:r>
      <w:proofErr w:type="spellEnd"/>
      <w:r w:rsidRPr="00307792">
        <w:rPr>
          <w:rFonts w:ascii="Times New Roman" w:hAnsi="Times New Roman" w:cs="Times New Roman"/>
          <w:sz w:val="24"/>
          <w:szCs w:val="24"/>
          <w:highlight w:val="white"/>
          <w:lang w:val="en-US"/>
        </w:rPr>
        <w:t xml:space="preserve">, D. (2020). The Problem of Financing Science and Its Effect on Brain Drain in Uzbekistan: A Retrospective View and the Perspectives for Solving. </w:t>
      </w:r>
      <w:r w:rsidRPr="00307792">
        <w:rPr>
          <w:rFonts w:ascii="Times New Roman" w:hAnsi="Times New Roman" w:cs="Times New Roman"/>
          <w:i/>
          <w:sz w:val="24"/>
          <w:szCs w:val="24"/>
          <w:highlight w:val="white"/>
          <w:lang w:val="en-US"/>
        </w:rPr>
        <w:t>Brain Drain vs Brain Circulation (Central Asia)</w:t>
      </w:r>
      <w:proofErr w:type="gramStart"/>
      <w:r w:rsidRPr="00307792">
        <w:rPr>
          <w:rFonts w:ascii="Times New Roman" w:hAnsi="Times New Roman" w:cs="Times New Roman"/>
          <w:i/>
          <w:sz w:val="24"/>
          <w:szCs w:val="24"/>
          <w:highlight w:val="white"/>
          <w:lang w:val="en-US"/>
        </w:rPr>
        <w:t>./</w:t>
      </w:r>
      <w:proofErr w:type="gramEnd"/>
      <w:r w:rsidRPr="00307792">
        <w:rPr>
          <w:rFonts w:ascii="Times New Roman" w:hAnsi="Times New Roman" w:cs="Times New Roman"/>
          <w:i/>
          <w:sz w:val="24"/>
          <w:szCs w:val="24"/>
          <w:highlight w:val="white"/>
          <w:lang w:val="en-US"/>
        </w:rPr>
        <w:t xml:space="preserve">Ed.: M. </w:t>
      </w:r>
      <w:proofErr w:type="spellStart"/>
      <w:r w:rsidRPr="00307792">
        <w:rPr>
          <w:rFonts w:ascii="Times New Roman" w:hAnsi="Times New Roman" w:cs="Times New Roman"/>
          <w:i/>
          <w:sz w:val="24"/>
          <w:szCs w:val="24"/>
          <w:highlight w:val="white"/>
          <w:lang w:val="en-US"/>
        </w:rPr>
        <w:t>Olimov</w:t>
      </w:r>
      <w:proofErr w:type="spellEnd"/>
      <w:r w:rsidRPr="00307792">
        <w:rPr>
          <w:rFonts w:ascii="Times New Roman" w:hAnsi="Times New Roman" w:cs="Times New Roman"/>
          <w:i/>
          <w:sz w:val="24"/>
          <w:szCs w:val="24"/>
          <w:highlight w:val="white"/>
          <w:lang w:val="en-US"/>
        </w:rPr>
        <w:t xml:space="preserve">, J. Grote &amp; B. </w:t>
      </w:r>
      <w:proofErr w:type="spellStart"/>
      <w:r w:rsidRPr="00307792">
        <w:rPr>
          <w:rFonts w:ascii="Times New Roman" w:hAnsi="Times New Roman" w:cs="Times New Roman"/>
          <w:i/>
          <w:sz w:val="24"/>
          <w:szCs w:val="24"/>
          <w:highlight w:val="white"/>
          <w:lang w:val="en-US"/>
        </w:rPr>
        <w:t>Gharleghi</w:t>
      </w:r>
      <w:proofErr w:type="spellEnd"/>
      <w:r w:rsidRPr="00307792">
        <w:rPr>
          <w:rFonts w:ascii="Times New Roman" w:hAnsi="Times New Roman" w:cs="Times New Roman"/>
          <w:i/>
          <w:sz w:val="24"/>
          <w:szCs w:val="24"/>
          <w:highlight w:val="white"/>
          <w:lang w:val="en-US"/>
        </w:rPr>
        <w:t>.–Hauppauge, NY, USA: Nova Science Publishers, Inc</w:t>
      </w:r>
      <w:r w:rsidRPr="00307792">
        <w:rPr>
          <w:rFonts w:ascii="Times New Roman" w:hAnsi="Times New Roman" w:cs="Times New Roman"/>
          <w:sz w:val="24"/>
          <w:szCs w:val="24"/>
          <w:highlight w:val="white"/>
          <w:lang w:val="en-US"/>
        </w:rPr>
        <w:t>.</w:t>
      </w:r>
    </w:p>
    <w:p w:rsidR="009679A9" w:rsidRPr="001F4A6D" w:rsidRDefault="009679A9" w:rsidP="009679A9">
      <w:pPr>
        <w:pStyle w:val="10"/>
        <w:spacing w:line="240" w:lineRule="auto"/>
        <w:jc w:val="both"/>
        <w:rPr>
          <w:rFonts w:ascii="Times New Roman" w:eastAsia="Times New Roman" w:hAnsi="Times New Roman" w:cs="Times New Roman"/>
          <w:sz w:val="24"/>
          <w:szCs w:val="24"/>
          <w:highlight w:val="white"/>
          <w:lang w:val="en-US"/>
        </w:rPr>
      </w:pPr>
      <w:r w:rsidRPr="00307792">
        <w:rPr>
          <w:rFonts w:ascii="Times New Roman" w:eastAsia="Times New Roman" w:hAnsi="Times New Roman" w:cs="Times New Roman"/>
          <w:sz w:val="24"/>
          <w:szCs w:val="24"/>
          <w:highlight w:val="white"/>
          <w:lang w:val="en-US"/>
        </w:rPr>
        <w:t>Ball, D. Y., &amp; Gerber, T. P. (2005). Russian Scientists and Rogue States: Does Western Assistance Reduce the Proliferation Threat</w:t>
      </w:r>
      <w:proofErr w:type="gramStart"/>
      <w:r w:rsidRPr="00307792">
        <w:rPr>
          <w:rFonts w:ascii="Times New Roman" w:eastAsia="Times New Roman" w:hAnsi="Times New Roman" w:cs="Times New Roman"/>
          <w:sz w:val="24"/>
          <w:szCs w:val="24"/>
          <w:highlight w:val="white"/>
          <w:lang w:val="en-US"/>
        </w:rPr>
        <w:t>?.</w:t>
      </w:r>
      <w:proofErr w:type="gramEnd"/>
      <w:r w:rsidRPr="00307792">
        <w:rPr>
          <w:rFonts w:ascii="Times New Roman" w:eastAsia="Times New Roman" w:hAnsi="Times New Roman" w:cs="Times New Roman"/>
          <w:sz w:val="24"/>
          <w:szCs w:val="24"/>
          <w:highlight w:val="white"/>
          <w:lang w:val="en-US"/>
        </w:rPr>
        <w:t xml:space="preserve"> </w:t>
      </w:r>
      <w:r w:rsidRPr="001F4A6D">
        <w:rPr>
          <w:rFonts w:ascii="Times New Roman" w:eastAsia="Times New Roman" w:hAnsi="Times New Roman" w:cs="Times New Roman"/>
          <w:i/>
          <w:sz w:val="24"/>
          <w:szCs w:val="24"/>
          <w:highlight w:val="white"/>
          <w:lang w:val="en-US"/>
        </w:rPr>
        <w:t>International Security</w:t>
      </w:r>
      <w:r w:rsidRPr="001F4A6D">
        <w:rPr>
          <w:rFonts w:ascii="Times New Roman" w:eastAsia="Times New Roman" w:hAnsi="Times New Roman" w:cs="Times New Roman"/>
          <w:sz w:val="24"/>
          <w:szCs w:val="24"/>
          <w:highlight w:val="white"/>
          <w:lang w:val="en-US"/>
        </w:rPr>
        <w:t>, 50-77.</w:t>
      </w:r>
    </w:p>
    <w:p w:rsidR="009679A9" w:rsidRPr="009679A9" w:rsidRDefault="009679A9" w:rsidP="009679A9">
      <w:pPr>
        <w:pStyle w:val="10"/>
        <w:spacing w:line="240" w:lineRule="auto"/>
        <w:jc w:val="both"/>
        <w:rPr>
          <w:rFonts w:ascii="Times New Roman" w:eastAsia="Times New Roman" w:hAnsi="Times New Roman" w:cs="Times New Roman"/>
          <w:sz w:val="24"/>
          <w:szCs w:val="24"/>
        </w:rPr>
      </w:pPr>
      <w:proofErr w:type="spellStart"/>
      <w:proofErr w:type="gramStart"/>
      <w:r w:rsidRPr="00307792">
        <w:rPr>
          <w:rFonts w:ascii="Times New Roman" w:hAnsi="Times New Roman" w:cs="Times New Roman"/>
          <w:sz w:val="24"/>
          <w:szCs w:val="24"/>
          <w:shd w:val="clear" w:color="auto" w:fill="FFFFFF"/>
          <w:lang w:val="en-US"/>
        </w:rPr>
        <w:t>Bendels</w:t>
      </w:r>
      <w:proofErr w:type="spellEnd"/>
      <w:r w:rsidRPr="00307792">
        <w:rPr>
          <w:rFonts w:ascii="Times New Roman" w:hAnsi="Times New Roman" w:cs="Times New Roman"/>
          <w:sz w:val="24"/>
          <w:szCs w:val="24"/>
          <w:shd w:val="clear" w:color="auto" w:fill="FFFFFF"/>
          <w:lang w:val="en-US"/>
        </w:rPr>
        <w:t xml:space="preserve">, M. H., Müller, R., </w:t>
      </w:r>
      <w:proofErr w:type="spellStart"/>
      <w:r w:rsidRPr="00307792">
        <w:rPr>
          <w:rFonts w:ascii="Times New Roman" w:hAnsi="Times New Roman" w:cs="Times New Roman"/>
          <w:sz w:val="24"/>
          <w:szCs w:val="24"/>
          <w:shd w:val="clear" w:color="auto" w:fill="FFFFFF"/>
          <w:lang w:val="en-US"/>
        </w:rPr>
        <w:t>Brueggmann</w:t>
      </w:r>
      <w:proofErr w:type="spellEnd"/>
      <w:r w:rsidRPr="00307792">
        <w:rPr>
          <w:rFonts w:ascii="Times New Roman" w:hAnsi="Times New Roman" w:cs="Times New Roman"/>
          <w:sz w:val="24"/>
          <w:szCs w:val="24"/>
          <w:shd w:val="clear" w:color="auto" w:fill="FFFFFF"/>
          <w:lang w:val="en-US"/>
        </w:rPr>
        <w:t xml:space="preserve">, D., &amp; </w:t>
      </w:r>
      <w:proofErr w:type="spellStart"/>
      <w:r w:rsidRPr="00307792">
        <w:rPr>
          <w:rFonts w:ascii="Times New Roman" w:hAnsi="Times New Roman" w:cs="Times New Roman"/>
          <w:sz w:val="24"/>
          <w:szCs w:val="24"/>
          <w:shd w:val="clear" w:color="auto" w:fill="FFFFFF"/>
          <w:lang w:val="en-US"/>
        </w:rPr>
        <w:t>Groneberg</w:t>
      </w:r>
      <w:proofErr w:type="spellEnd"/>
      <w:r w:rsidRPr="00307792">
        <w:rPr>
          <w:rFonts w:ascii="Times New Roman" w:hAnsi="Times New Roman" w:cs="Times New Roman"/>
          <w:sz w:val="24"/>
          <w:szCs w:val="24"/>
          <w:shd w:val="clear" w:color="auto" w:fill="FFFFFF"/>
          <w:lang w:val="en-US"/>
        </w:rPr>
        <w:t>, D. A. (2018).</w:t>
      </w:r>
      <w:proofErr w:type="gramEnd"/>
      <w:r w:rsidRPr="00307792">
        <w:rPr>
          <w:rFonts w:ascii="Times New Roman" w:hAnsi="Times New Roman" w:cs="Times New Roman"/>
          <w:sz w:val="24"/>
          <w:szCs w:val="24"/>
          <w:shd w:val="clear" w:color="auto" w:fill="FFFFFF"/>
          <w:lang w:val="en-US"/>
        </w:rPr>
        <w:t xml:space="preserve"> Gender disparities in high-quality research revealed by Nature Index journals. </w:t>
      </w:r>
      <w:proofErr w:type="spellStart"/>
      <w:r w:rsidRPr="009679A9">
        <w:rPr>
          <w:rFonts w:ascii="Times New Roman" w:hAnsi="Times New Roman" w:cs="Times New Roman"/>
          <w:i/>
          <w:iCs/>
          <w:sz w:val="24"/>
          <w:szCs w:val="24"/>
          <w:shd w:val="clear" w:color="auto" w:fill="FFFFFF"/>
        </w:rPr>
        <w:t>PloS</w:t>
      </w:r>
      <w:proofErr w:type="spellEnd"/>
      <w:r w:rsidRPr="009679A9">
        <w:rPr>
          <w:rFonts w:ascii="Times New Roman" w:hAnsi="Times New Roman" w:cs="Times New Roman"/>
          <w:i/>
          <w:iCs/>
          <w:sz w:val="24"/>
          <w:szCs w:val="24"/>
          <w:shd w:val="clear" w:color="auto" w:fill="FFFFFF"/>
        </w:rPr>
        <w:t xml:space="preserve"> </w:t>
      </w:r>
      <w:proofErr w:type="spellStart"/>
      <w:r w:rsidRPr="009679A9">
        <w:rPr>
          <w:rFonts w:ascii="Times New Roman" w:hAnsi="Times New Roman" w:cs="Times New Roman"/>
          <w:i/>
          <w:iCs/>
          <w:sz w:val="24"/>
          <w:szCs w:val="24"/>
          <w:shd w:val="clear" w:color="auto" w:fill="FFFFFF"/>
        </w:rPr>
        <w:t>one</w:t>
      </w:r>
      <w:proofErr w:type="spellEnd"/>
      <w:r w:rsidRPr="009679A9">
        <w:rPr>
          <w:rFonts w:ascii="Times New Roman" w:hAnsi="Times New Roman" w:cs="Times New Roman"/>
          <w:sz w:val="24"/>
          <w:szCs w:val="24"/>
          <w:shd w:val="clear" w:color="auto" w:fill="FFFFFF"/>
        </w:rPr>
        <w:t xml:space="preserve">, </w:t>
      </w:r>
      <w:r w:rsidRPr="009679A9">
        <w:rPr>
          <w:rFonts w:ascii="Times New Roman" w:hAnsi="Times New Roman" w:cs="Times New Roman"/>
          <w:i/>
          <w:iCs/>
          <w:sz w:val="24"/>
          <w:szCs w:val="24"/>
          <w:shd w:val="clear" w:color="auto" w:fill="FFFFFF"/>
        </w:rPr>
        <w:t>13</w:t>
      </w:r>
      <w:r w:rsidRPr="009679A9">
        <w:rPr>
          <w:rFonts w:ascii="Times New Roman" w:hAnsi="Times New Roman" w:cs="Times New Roman"/>
          <w:sz w:val="24"/>
          <w:szCs w:val="24"/>
          <w:shd w:val="clear" w:color="auto" w:fill="FFFFFF"/>
        </w:rPr>
        <w:t>(1), e0189136.</w:t>
      </w:r>
      <w:r w:rsidRPr="009679A9">
        <w:rPr>
          <w:rFonts w:ascii="Times New Roman" w:eastAsia="Times New Roman" w:hAnsi="Times New Roman" w:cs="Times New Roman"/>
          <w:sz w:val="24"/>
          <w:szCs w:val="24"/>
        </w:rPr>
        <w:t>, e0189136.</w:t>
      </w:r>
      <w:hyperlink r:id="rId15">
        <w:r w:rsidRPr="009679A9">
          <w:rPr>
            <w:rFonts w:ascii="Times New Roman" w:eastAsia="Times New Roman" w:hAnsi="Times New Roman" w:cs="Times New Roman"/>
            <w:sz w:val="24"/>
            <w:szCs w:val="24"/>
          </w:rPr>
          <w:t xml:space="preserve"> https://doi.org/10.1371/journal.pone.0189136</w:t>
        </w:r>
      </w:hyperlink>
    </w:p>
    <w:p w:rsidR="009679A9" w:rsidRPr="001F4A6D" w:rsidRDefault="009679A9" w:rsidP="009679A9">
      <w:pPr>
        <w:pStyle w:val="10"/>
        <w:spacing w:line="240" w:lineRule="auto"/>
        <w:jc w:val="both"/>
        <w:rPr>
          <w:rFonts w:ascii="Times New Roman" w:eastAsia="Times New Roman" w:hAnsi="Times New Roman" w:cs="Times New Roman"/>
          <w:sz w:val="24"/>
          <w:szCs w:val="24"/>
          <w:lang w:val="en-US"/>
        </w:rPr>
      </w:pPr>
      <w:proofErr w:type="spellStart"/>
      <w:r w:rsidRPr="00307792">
        <w:rPr>
          <w:rFonts w:ascii="Times New Roman" w:hAnsi="Times New Roman" w:cs="Times New Roman"/>
          <w:color w:val="222222"/>
          <w:sz w:val="24"/>
          <w:szCs w:val="24"/>
          <w:shd w:val="clear" w:color="auto" w:fill="FFFFFF"/>
          <w:lang w:val="en-US"/>
        </w:rPr>
        <w:lastRenderedPageBreak/>
        <w:t>Chankseliani</w:t>
      </w:r>
      <w:proofErr w:type="spellEnd"/>
      <w:r w:rsidRPr="00307792">
        <w:rPr>
          <w:rFonts w:ascii="Times New Roman" w:hAnsi="Times New Roman" w:cs="Times New Roman"/>
          <w:color w:val="222222"/>
          <w:sz w:val="24"/>
          <w:szCs w:val="24"/>
          <w:shd w:val="clear" w:color="auto" w:fill="FFFFFF"/>
          <w:lang w:val="en-US"/>
        </w:rPr>
        <w:t>, M. (2023). Who funds the production of globally visible research in the Global South</w:t>
      </w:r>
      <w:proofErr w:type="gramStart"/>
      <w:r w:rsidRPr="00307792">
        <w:rPr>
          <w:rFonts w:ascii="Times New Roman" w:hAnsi="Times New Roman" w:cs="Times New Roman"/>
          <w:color w:val="222222"/>
          <w:sz w:val="24"/>
          <w:szCs w:val="24"/>
          <w:shd w:val="clear" w:color="auto" w:fill="FFFFFF"/>
          <w:lang w:val="en-US"/>
        </w:rPr>
        <w:t>?.</w:t>
      </w:r>
      <w:proofErr w:type="gramEnd"/>
      <w:r w:rsidRPr="00307792">
        <w:rPr>
          <w:rFonts w:ascii="Times New Roman" w:hAnsi="Times New Roman" w:cs="Times New Roman"/>
          <w:color w:val="222222"/>
          <w:sz w:val="24"/>
          <w:szCs w:val="24"/>
          <w:shd w:val="clear" w:color="auto" w:fill="FFFFFF"/>
          <w:lang w:val="en-US"/>
        </w:rPr>
        <w:t xml:space="preserve"> </w:t>
      </w:r>
      <w:proofErr w:type="spellStart"/>
      <w:r w:rsidRPr="001F4A6D">
        <w:rPr>
          <w:rFonts w:ascii="Times New Roman" w:hAnsi="Times New Roman" w:cs="Times New Roman"/>
          <w:i/>
          <w:iCs/>
          <w:color w:val="222222"/>
          <w:sz w:val="24"/>
          <w:szCs w:val="24"/>
          <w:shd w:val="clear" w:color="auto" w:fill="FFFFFF"/>
          <w:lang w:val="en-US"/>
        </w:rPr>
        <w:t>Scientometrics</w:t>
      </w:r>
      <w:proofErr w:type="spellEnd"/>
      <w:r w:rsidRPr="001F4A6D">
        <w:rPr>
          <w:rFonts w:ascii="Times New Roman" w:hAnsi="Times New Roman" w:cs="Times New Roman"/>
          <w:color w:val="222222"/>
          <w:sz w:val="24"/>
          <w:szCs w:val="24"/>
          <w:shd w:val="clear" w:color="auto" w:fill="FFFFFF"/>
          <w:lang w:val="en-US"/>
        </w:rPr>
        <w:t xml:space="preserve">, </w:t>
      </w:r>
      <w:r w:rsidRPr="001F4A6D">
        <w:rPr>
          <w:rFonts w:ascii="Times New Roman" w:hAnsi="Times New Roman" w:cs="Times New Roman"/>
          <w:i/>
          <w:iCs/>
          <w:color w:val="222222"/>
          <w:sz w:val="24"/>
          <w:szCs w:val="24"/>
          <w:shd w:val="clear" w:color="auto" w:fill="FFFFFF"/>
          <w:lang w:val="en-US"/>
        </w:rPr>
        <w:t>128</w:t>
      </w:r>
      <w:r w:rsidRPr="001F4A6D">
        <w:rPr>
          <w:rFonts w:ascii="Times New Roman" w:hAnsi="Times New Roman" w:cs="Times New Roman"/>
          <w:color w:val="222222"/>
          <w:sz w:val="24"/>
          <w:szCs w:val="24"/>
          <w:shd w:val="clear" w:color="auto" w:fill="FFFFFF"/>
          <w:lang w:val="en-US"/>
        </w:rPr>
        <w:t xml:space="preserve">(1), 783-801. </w:t>
      </w:r>
      <w:r w:rsidRPr="001F4A6D">
        <w:rPr>
          <w:rFonts w:ascii="Times New Roman" w:eastAsia="Times New Roman" w:hAnsi="Times New Roman" w:cs="Times New Roman"/>
          <w:sz w:val="24"/>
          <w:szCs w:val="24"/>
          <w:lang w:val="en-US"/>
        </w:rPr>
        <w:t>https://doi.org/10.1007/s11192-022-04583-4</w:t>
      </w:r>
    </w:p>
    <w:p w:rsidR="009679A9" w:rsidRPr="001F4A6D" w:rsidRDefault="009679A9" w:rsidP="009679A9">
      <w:pPr>
        <w:pStyle w:val="10"/>
        <w:spacing w:line="240" w:lineRule="auto"/>
        <w:jc w:val="both"/>
        <w:rPr>
          <w:rFonts w:ascii="Times New Roman" w:hAnsi="Times New Roman" w:cs="Times New Roman"/>
          <w:sz w:val="24"/>
          <w:szCs w:val="24"/>
          <w:shd w:val="clear" w:color="auto" w:fill="FFFFFF"/>
          <w:lang w:val="en-US"/>
        </w:rPr>
      </w:pPr>
      <w:proofErr w:type="spellStart"/>
      <w:proofErr w:type="gramStart"/>
      <w:r w:rsidRPr="00307792">
        <w:rPr>
          <w:rFonts w:ascii="Times New Roman" w:hAnsi="Times New Roman" w:cs="Times New Roman"/>
          <w:sz w:val="24"/>
          <w:szCs w:val="24"/>
          <w:shd w:val="clear" w:color="auto" w:fill="FFFFFF"/>
          <w:lang w:val="en-US"/>
        </w:rPr>
        <w:t>Chankseliani</w:t>
      </w:r>
      <w:proofErr w:type="spellEnd"/>
      <w:r w:rsidRPr="00307792">
        <w:rPr>
          <w:rFonts w:ascii="Times New Roman" w:hAnsi="Times New Roman" w:cs="Times New Roman"/>
          <w:sz w:val="24"/>
          <w:szCs w:val="24"/>
          <w:shd w:val="clear" w:color="auto" w:fill="FFFFFF"/>
          <w:lang w:val="en-US"/>
        </w:rPr>
        <w:t xml:space="preserve">, M., </w:t>
      </w:r>
      <w:proofErr w:type="spellStart"/>
      <w:r w:rsidRPr="00307792">
        <w:rPr>
          <w:rFonts w:ascii="Times New Roman" w:hAnsi="Times New Roman" w:cs="Times New Roman"/>
          <w:sz w:val="24"/>
          <w:szCs w:val="24"/>
          <w:shd w:val="clear" w:color="auto" w:fill="FFFFFF"/>
          <w:lang w:val="en-US"/>
        </w:rPr>
        <w:t>Lovakov</w:t>
      </w:r>
      <w:proofErr w:type="spellEnd"/>
      <w:r w:rsidRPr="00307792">
        <w:rPr>
          <w:rFonts w:ascii="Times New Roman" w:hAnsi="Times New Roman" w:cs="Times New Roman"/>
          <w:sz w:val="24"/>
          <w:szCs w:val="24"/>
          <w:shd w:val="clear" w:color="auto" w:fill="FFFFFF"/>
          <w:lang w:val="en-US"/>
        </w:rPr>
        <w:t xml:space="preserve">, A., &amp; </w:t>
      </w:r>
      <w:proofErr w:type="spellStart"/>
      <w:r w:rsidRPr="00307792">
        <w:rPr>
          <w:rFonts w:ascii="Times New Roman" w:hAnsi="Times New Roman" w:cs="Times New Roman"/>
          <w:sz w:val="24"/>
          <w:szCs w:val="24"/>
          <w:shd w:val="clear" w:color="auto" w:fill="FFFFFF"/>
          <w:lang w:val="en-US"/>
        </w:rPr>
        <w:t>Pislyakov</w:t>
      </w:r>
      <w:proofErr w:type="spellEnd"/>
      <w:r w:rsidRPr="00307792">
        <w:rPr>
          <w:rFonts w:ascii="Times New Roman" w:hAnsi="Times New Roman" w:cs="Times New Roman"/>
          <w:sz w:val="24"/>
          <w:szCs w:val="24"/>
          <w:shd w:val="clear" w:color="auto" w:fill="FFFFFF"/>
          <w:lang w:val="en-US"/>
        </w:rPr>
        <w:t>, V. (2021).</w:t>
      </w:r>
      <w:proofErr w:type="gramEnd"/>
      <w:r w:rsidRPr="00307792">
        <w:rPr>
          <w:rFonts w:ascii="Times New Roman" w:hAnsi="Times New Roman" w:cs="Times New Roman"/>
          <w:sz w:val="24"/>
          <w:szCs w:val="24"/>
          <w:shd w:val="clear" w:color="auto" w:fill="FFFFFF"/>
          <w:lang w:val="en-US"/>
        </w:rPr>
        <w:t xml:space="preserve"> A big picture: bibliometric study of academic publications from post-Soviet countries. </w:t>
      </w:r>
      <w:proofErr w:type="spellStart"/>
      <w:r w:rsidRPr="001F4A6D">
        <w:rPr>
          <w:rFonts w:ascii="Times New Roman" w:hAnsi="Times New Roman" w:cs="Times New Roman"/>
          <w:i/>
          <w:iCs/>
          <w:sz w:val="24"/>
          <w:szCs w:val="24"/>
          <w:shd w:val="clear" w:color="auto" w:fill="FFFFFF"/>
          <w:lang w:val="en-US"/>
        </w:rPr>
        <w:t>Scientometrics</w:t>
      </w:r>
      <w:proofErr w:type="spellEnd"/>
      <w:r w:rsidRPr="001F4A6D">
        <w:rPr>
          <w:rFonts w:ascii="Times New Roman" w:hAnsi="Times New Roman" w:cs="Times New Roman"/>
          <w:sz w:val="24"/>
          <w:szCs w:val="24"/>
          <w:shd w:val="clear" w:color="auto" w:fill="FFFFFF"/>
          <w:lang w:val="en-US"/>
        </w:rPr>
        <w:t xml:space="preserve">, </w:t>
      </w:r>
      <w:r w:rsidRPr="001F4A6D">
        <w:rPr>
          <w:rFonts w:ascii="Times New Roman" w:hAnsi="Times New Roman" w:cs="Times New Roman"/>
          <w:i/>
          <w:iCs/>
          <w:sz w:val="24"/>
          <w:szCs w:val="24"/>
          <w:shd w:val="clear" w:color="auto" w:fill="FFFFFF"/>
          <w:lang w:val="en-US"/>
        </w:rPr>
        <w:t>126</w:t>
      </w:r>
      <w:r w:rsidRPr="001F4A6D">
        <w:rPr>
          <w:rFonts w:ascii="Times New Roman" w:hAnsi="Times New Roman" w:cs="Times New Roman"/>
          <w:sz w:val="24"/>
          <w:szCs w:val="24"/>
          <w:shd w:val="clear" w:color="auto" w:fill="FFFFFF"/>
          <w:lang w:val="en-US"/>
        </w:rPr>
        <w:t>(10), 8701-8730.</w:t>
      </w:r>
    </w:p>
    <w:p w:rsidR="009679A9" w:rsidRPr="00307792" w:rsidRDefault="009679A9" w:rsidP="009679A9">
      <w:pPr>
        <w:pStyle w:val="10"/>
        <w:spacing w:line="240" w:lineRule="auto"/>
        <w:jc w:val="both"/>
        <w:rPr>
          <w:rFonts w:ascii="Times New Roman" w:hAnsi="Times New Roman" w:cs="Times New Roman"/>
          <w:sz w:val="24"/>
          <w:szCs w:val="24"/>
          <w:shd w:val="clear" w:color="auto" w:fill="FFFFFF"/>
          <w:lang w:val="en-US"/>
        </w:rPr>
      </w:pPr>
      <w:proofErr w:type="gramStart"/>
      <w:r w:rsidRPr="00307792">
        <w:rPr>
          <w:rFonts w:ascii="Times New Roman" w:hAnsi="Times New Roman" w:cs="Times New Roman"/>
          <w:sz w:val="24"/>
          <w:szCs w:val="24"/>
          <w:shd w:val="clear" w:color="auto" w:fill="FFFFFF"/>
          <w:lang w:val="en-US"/>
        </w:rPr>
        <w:t>Costas, R., &amp; van Leeuwen, T. N. (2012).</w:t>
      </w:r>
      <w:proofErr w:type="gramEnd"/>
      <w:r w:rsidRPr="00307792">
        <w:rPr>
          <w:rFonts w:ascii="Times New Roman" w:hAnsi="Times New Roman" w:cs="Times New Roman"/>
          <w:sz w:val="24"/>
          <w:szCs w:val="24"/>
          <w:shd w:val="clear" w:color="auto" w:fill="FFFFFF"/>
          <w:lang w:val="en-US"/>
        </w:rPr>
        <w:t xml:space="preserve"> Approaching the “reward triangle”: General analysis of the presence of funding acknowledgments and “peer interactive communication” in scientific publications. </w:t>
      </w:r>
      <w:r w:rsidRPr="00307792">
        <w:rPr>
          <w:rFonts w:ascii="Times New Roman" w:hAnsi="Times New Roman" w:cs="Times New Roman"/>
          <w:i/>
          <w:iCs/>
          <w:sz w:val="24"/>
          <w:szCs w:val="24"/>
          <w:shd w:val="clear" w:color="auto" w:fill="FFFFFF"/>
          <w:lang w:val="en-US"/>
        </w:rPr>
        <w:t>Journal of the American Society for Information Science and Technology</w:t>
      </w:r>
      <w:r w:rsidRPr="00307792">
        <w:rPr>
          <w:rFonts w:ascii="Times New Roman" w:hAnsi="Times New Roman" w:cs="Times New Roman"/>
          <w:sz w:val="24"/>
          <w:szCs w:val="24"/>
          <w:shd w:val="clear" w:color="auto" w:fill="FFFFFF"/>
          <w:lang w:val="en-US"/>
        </w:rPr>
        <w:t xml:space="preserve">, </w:t>
      </w:r>
      <w:r w:rsidRPr="00307792">
        <w:rPr>
          <w:rFonts w:ascii="Times New Roman" w:hAnsi="Times New Roman" w:cs="Times New Roman"/>
          <w:i/>
          <w:iCs/>
          <w:sz w:val="24"/>
          <w:szCs w:val="24"/>
          <w:shd w:val="clear" w:color="auto" w:fill="FFFFFF"/>
          <w:lang w:val="en-US"/>
        </w:rPr>
        <w:t>63</w:t>
      </w:r>
      <w:r w:rsidRPr="00307792">
        <w:rPr>
          <w:rFonts w:ascii="Times New Roman" w:hAnsi="Times New Roman" w:cs="Times New Roman"/>
          <w:sz w:val="24"/>
          <w:szCs w:val="24"/>
          <w:shd w:val="clear" w:color="auto" w:fill="FFFFFF"/>
          <w:lang w:val="en-US"/>
        </w:rPr>
        <w:t>(8), 1647-1661.</w:t>
      </w:r>
    </w:p>
    <w:p w:rsidR="009679A9" w:rsidRPr="009679A9" w:rsidRDefault="009679A9" w:rsidP="009679A9">
      <w:pPr>
        <w:pStyle w:val="10"/>
        <w:spacing w:line="240" w:lineRule="auto"/>
        <w:jc w:val="both"/>
        <w:rPr>
          <w:rFonts w:ascii="Times New Roman" w:hAnsi="Times New Roman" w:cs="Times New Roman"/>
          <w:color w:val="222222"/>
          <w:sz w:val="24"/>
          <w:szCs w:val="24"/>
          <w:shd w:val="clear" w:color="auto" w:fill="FFFFFF"/>
        </w:rPr>
      </w:pPr>
      <w:r w:rsidRPr="00307792">
        <w:rPr>
          <w:rFonts w:ascii="Times New Roman" w:hAnsi="Times New Roman" w:cs="Times New Roman"/>
          <w:color w:val="222222"/>
          <w:sz w:val="24"/>
          <w:szCs w:val="24"/>
          <w:shd w:val="clear" w:color="auto" w:fill="FFFFFF"/>
          <w:lang w:val="en-US"/>
        </w:rPr>
        <w:t>Ganguli, I. (2017). Saving Soviet science: The impact of grants when government R&amp;D funding disappears. </w:t>
      </w:r>
      <w:proofErr w:type="spellStart"/>
      <w:r w:rsidRPr="009679A9">
        <w:rPr>
          <w:rFonts w:ascii="Times New Roman" w:hAnsi="Times New Roman" w:cs="Times New Roman"/>
          <w:i/>
          <w:iCs/>
          <w:color w:val="222222"/>
          <w:sz w:val="24"/>
          <w:szCs w:val="24"/>
          <w:shd w:val="clear" w:color="auto" w:fill="FFFFFF"/>
        </w:rPr>
        <w:t>American</w:t>
      </w:r>
      <w:proofErr w:type="spellEnd"/>
      <w:r w:rsidRPr="009679A9">
        <w:rPr>
          <w:rFonts w:ascii="Times New Roman" w:hAnsi="Times New Roman" w:cs="Times New Roman"/>
          <w:i/>
          <w:iCs/>
          <w:color w:val="222222"/>
          <w:sz w:val="24"/>
          <w:szCs w:val="24"/>
          <w:shd w:val="clear" w:color="auto" w:fill="FFFFFF"/>
        </w:rPr>
        <w:t xml:space="preserve"> </w:t>
      </w:r>
      <w:proofErr w:type="spellStart"/>
      <w:r w:rsidRPr="009679A9">
        <w:rPr>
          <w:rFonts w:ascii="Times New Roman" w:hAnsi="Times New Roman" w:cs="Times New Roman"/>
          <w:i/>
          <w:iCs/>
          <w:color w:val="222222"/>
          <w:sz w:val="24"/>
          <w:szCs w:val="24"/>
          <w:shd w:val="clear" w:color="auto" w:fill="FFFFFF"/>
        </w:rPr>
        <w:t>Economic</w:t>
      </w:r>
      <w:proofErr w:type="spellEnd"/>
      <w:r w:rsidRPr="009679A9">
        <w:rPr>
          <w:rFonts w:ascii="Times New Roman" w:hAnsi="Times New Roman" w:cs="Times New Roman"/>
          <w:i/>
          <w:iCs/>
          <w:color w:val="222222"/>
          <w:sz w:val="24"/>
          <w:szCs w:val="24"/>
          <w:shd w:val="clear" w:color="auto" w:fill="FFFFFF"/>
        </w:rPr>
        <w:t xml:space="preserve"> </w:t>
      </w:r>
      <w:proofErr w:type="spellStart"/>
      <w:r w:rsidRPr="009679A9">
        <w:rPr>
          <w:rFonts w:ascii="Times New Roman" w:hAnsi="Times New Roman" w:cs="Times New Roman"/>
          <w:i/>
          <w:iCs/>
          <w:color w:val="222222"/>
          <w:sz w:val="24"/>
          <w:szCs w:val="24"/>
          <w:shd w:val="clear" w:color="auto" w:fill="FFFFFF"/>
        </w:rPr>
        <w:t>Journal</w:t>
      </w:r>
      <w:proofErr w:type="spellEnd"/>
      <w:r w:rsidRPr="009679A9">
        <w:rPr>
          <w:rFonts w:ascii="Times New Roman" w:hAnsi="Times New Roman" w:cs="Times New Roman"/>
          <w:i/>
          <w:iCs/>
          <w:color w:val="222222"/>
          <w:sz w:val="24"/>
          <w:szCs w:val="24"/>
          <w:shd w:val="clear" w:color="auto" w:fill="FFFFFF"/>
        </w:rPr>
        <w:t xml:space="preserve">: </w:t>
      </w:r>
      <w:proofErr w:type="spellStart"/>
      <w:r w:rsidRPr="009679A9">
        <w:rPr>
          <w:rFonts w:ascii="Times New Roman" w:hAnsi="Times New Roman" w:cs="Times New Roman"/>
          <w:i/>
          <w:iCs/>
          <w:color w:val="222222"/>
          <w:sz w:val="24"/>
          <w:szCs w:val="24"/>
          <w:shd w:val="clear" w:color="auto" w:fill="FFFFFF"/>
        </w:rPr>
        <w:t>Applied</w:t>
      </w:r>
      <w:proofErr w:type="spellEnd"/>
      <w:r w:rsidRPr="009679A9">
        <w:rPr>
          <w:rFonts w:ascii="Times New Roman" w:hAnsi="Times New Roman" w:cs="Times New Roman"/>
          <w:i/>
          <w:iCs/>
          <w:color w:val="222222"/>
          <w:sz w:val="24"/>
          <w:szCs w:val="24"/>
          <w:shd w:val="clear" w:color="auto" w:fill="FFFFFF"/>
        </w:rPr>
        <w:t xml:space="preserve"> </w:t>
      </w:r>
      <w:proofErr w:type="spellStart"/>
      <w:r w:rsidRPr="009679A9">
        <w:rPr>
          <w:rFonts w:ascii="Times New Roman" w:hAnsi="Times New Roman" w:cs="Times New Roman"/>
          <w:i/>
          <w:iCs/>
          <w:color w:val="222222"/>
          <w:sz w:val="24"/>
          <w:szCs w:val="24"/>
          <w:shd w:val="clear" w:color="auto" w:fill="FFFFFF"/>
        </w:rPr>
        <w:t>Economics</w:t>
      </w:r>
      <w:proofErr w:type="spellEnd"/>
      <w:r w:rsidRPr="009679A9">
        <w:rPr>
          <w:rFonts w:ascii="Times New Roman" w:hAnsi="Times New Roman" w:cs="Times New Roman"/>
          <w:color w:val="222222"/>
          <w:sz w:val="24"/>
          <w:szCs w:val="24"/>
          <w:shd w:val="clear" w:color="auto" w:fill="FFFFFF"/>
        </w:rPr>
        <w:t xml:space="preserve">, </w:t>
      </w:r>
      <w:r w:rsidRPr="009679A9">
        <w:rPr>
          <w:rFonts w:ascii="Times New Roman" w:hAnsi="Times New Roman" w:cs="Times New Roman"/>
          <w:i/>
          <w:iCs/>
          <w:color w:val="222222"/>
          <w:sz w:val="24"/>
          <w:szCs w:val="24"/>
          <w:shd w:val="clear" w:color="auto" w:fill="FFFFFF"/>
        </w:rPr>
        <w:t>9</w:t>
      </w:r>
      <w:r w:rsidRPr="009679A9">
        <w:rPr>
          <w:rFonts w:ascii="Times New Roman" w:hAnsi="Times New Roman" w:cs="Times New Roman"/>
          <w:color w:val="222222"/>
          <w:sz w:val="24"/>
          <w:szCs w:val="24"/>
          <w:shd w:val="clear" w:color="auto" w:fill="FFFFFF"/>
        </w:rPr>
        <w:t>(2), 165-201.</w:t>
      </w:r>
    </w:p>
    <w:p w:rsidR="009679A9" w:rsidRPr="001F4A6D" w:rsidRDefault="009679A9" w:rsidP="009679A9">
      <w:pPr>
        <w:pStyle w:val="10"/>
        <w:spacing w:line="240" w:lineRule="auto"/>
        <w:jc w:val="both"/>
        <w:rPr>
          <w:rFonts w:ascii="Times New Roman" w:hAnsi="Times New Roman" w:cs="Times New Roman"/>
          <w:sz w:val="24"/>
          <w:szCs w:val="24"/>
          <w:shd w:val="clear" w:color="auto" w:fill="FFFFFF"/>
          <w:lang w:val="en-US"/>
        </w:rPr>
      </w:pPr>
      <w:r w:rsidRPr="00307792">
        <w:rPr>
          <w:rFonts w:ascii="Times New Roman" w:hAnsi="Times New Roman" w:cs="Times New Roman"/>
          <w:sz w:val="24"/>
          <w:szCs w:val="24"/>
          <w:shd w:val="clear" w:color="auto" w:fill="FFFFFF"/>
          <w:lang w:val="en-US"/>
        </w:rPr>
        <w:t xml:space="preserve">Ganguli, I. (2014). </w:t>
      </w:r>
      <w:proofErr w:type="gramStart"/>
      <w:r w:rsidRPr="00307792">
        <w:rPr>
          <w:rFonts w:ascii="Times New Roman" w:hAnsi="Times New Roman" w:cs="Times New Roman"/>
          <w:sz w:val="24"/>
          <w:szCs w:val="24"/>
          <w:shd w:val="clear" w:color="auto" w:fill="FFFFFF"/>
          <w:lang w:val="en-US"/>
        </w:rPr>
        <w:t>Scientific brain drain and human capital formation after the end of the Soviet Union.</w:t>
      </w:r>
      <w:proofErr w:type="gramEnd"/>
      <w:r w:rsidRPr="00307792">
        <w:rPr>
          <w:rFonts w:ascii="Times New Roman" w:hAnsi="Times New Roman" w:cs="Times New Roman"/>
          <w:sz w:val="24"/>
          <w:szCs w:val="24"/>
          <w:shd w:val="clear" w:color="auto" w:fill="FFFFFF"/>
          <w:lang w:val="en-US"/>
        </w:rPr>
        <w:t xml:space="preserve"> </w:t>
      </w:r>
      <w:r w:rsidRPr="001F4A6D">
        <w:rPr>
          <w:rFonts w:ascii="Times New Roman" w:hAnsi="Times New Roman" w:cs="Times New Roman"/>
          <w:i/>
          <w:iCs/>
          <w:sz w:val="24"/>
          <w:szCs w:val="24"/>
          <w:shd w:val="clear" w:color="auto" w:fill="FFFFFF"/>
          <w:lang w:val="en-US"/>
        </w:rPr>
        <w:t>International Migration</w:t>
      </w:r>
      <w:r w:rsidRPr="001F4A6D">
        <w:rPr>
          <w:rFonts w:ascii="Times New Roman" w:hAnsi="Times New Roman" w:cs="Times New Roman"/>
          <w:sz w:val="24"/>
          <w:szCs w:val="24"/>
          <w:shd w:val="clear" w:color="auto" w:fill="FFFFFF"/>
          <w:lang w:val="en-US"/>
        </w:rPr>
        <w:t xml:space="preserve">, </w:t>
      </w:r>
      <w:r w:rsidRPr="001F4A6D">
        <w:rPr>
          <w:rFonts w:ascii="Times New Roman" w:hAnsi="Times New Roman" w:cs="Times New Roman"/>
          <w:i/>
          <w:iCs/>
          <w:sz w:val="24"/>
          <w:szCs w:val="24"/>
          <w:shd w:val="clear" w:color="auto" w:fill="FFFFFF"/>
          <w:lang w:val="en-US"/>
        </w:rPr>
        <w:t>52</w:t>
      </w:r>
      <w:r w:rsidRPr="001F4A6D">
        <w:rPr>
          <w:rFonts w:ascii="Times New Roman" w:hAnsi="Times New Roman" w:cs="Times New Roman"/>
          <w:sz w:val="24"/>
          <w:szCs w:val="24"/>
          <w:shd w:val="clear" w:color="auto" w:fill="FFFFFF"/>
          <w:lang w:val="en-US"/>
        </w:rPr>
        <w:t>(5), 95-110.</w:t>
      </w:r>
    </w:p>
    <w:p w:rsidR="009679A9" w:rsidRPr="001F4A6D" w:rsidRDefault="009679A9" w:rsidP="009679A9">
      <w:pPr>
        <w:pStyle w:val="10"/>
        <w:spacing w:line="240" w:lineRule="auto"/>
        <w:jc w:val="both"/>
        <w:rPr>
          <w:rFonts w:ascii="Times New Roman" w:hAnsi="Times New Roman" w:cs="Times New Roman"/>
          <w:color w:val="222222"/>
          <w:sz w:val="24"/>
          <w:szCs w:val="24"/>
          <w:shd w:val="clear" w:color="auto" w:fill="FFFFFF"/>
          <w:lang w:val="en-US"/>
        </w:rPr>
      </w:pPr>
      <w:proofErr w:type="spellStart"/>
      <w:proofErr w:type="gramStart"/>
      <w:r w:rsidRPr="00307792">
        <w:rPr>
          <w:rFonts w:ascii="Times New Roman" w:hAnsi="Times New Roman" w:cs="Times New Roman"/>
          <w:color w:val="222222"/>
          <w:sz w:val="24"/>
          <w:szCs w:val="24"/>
          <w:shd w:val="clear" w:color="auto" w:fill="FFFFFF"/>
          <w:lang w:val="en-US"/>
        </w:rPr>
        <w:t>Gök</w:t>
      </w:r>
      <w:proofErr w:type="spellEnd"/>
      <w:r w:rsidRPr="00307792">
        <w:rPr>
          <w:rFonts w:ascii="Times New Roman" w:hAnsi="Times New Roman" w:cs="Times New Roman"/>
          <w:color w:val="222222"/>
          <w:sz w:val="24"/>
          <w:szCs w:val="24"/>
          <w:shd w:val="clear" w:color="auto" w:fill="FFFFFF"/>
          <w:lang w:val="en-US"/>
        </w:rPr>
        <w:t>, A., Rigby, J., &amp; Shapira, P. (2016).</w:t>
      </w:r>
      <w:proofErr w:type="gramEnd"/>
      <w:r w:rsidRPr="00307792">
        <w:rPr>
          <w:rFonts w:ascii="Times New Roman" w:hAnsi="Times New Roman" w:cs="Times New Roman"/>
          <w:color w:val="222222"/>
          <w:sz w:val="24"/>
          <w:szCs w:val="24"/>
          <w:shd w:val="clear" w:color="auto" w:fill="FFFFFF"/>
          <w:lang w:val="en-US"/>
        </w:rPr>
        <w:t xml:space="preserve"> The impact of research funding on scientific outputs: Evidence from six smaller European countries. </w:t>
      </w:r>
      <w:r w:rsidRPr="001F4A6D">
        <w:rPr>
          <w:rFonts w:ascii="Times New Roman" w:hAnsi="Times New Roman" w:cs="Times New Roman"/>
          <w:i/>
          <w:iCs/>
          <w:color w:val="222222"/>
          <w:sz w:val="24"/>
          <w:szCs w:val="24"/>
          <w:shd w:val="clear" w:color="auto" w:fill="FFFFFF"/>
          <w:lang w:val="en-US"/>
        </w:rPr>
        <w:t>Journal of the association for information science and technology</w:t>
      </w:r>
      <w:r w:rsidRPr="001F4A6D">
        <w:rPr>
          <w:rFonts w:ascii="Times New Roman" w:hAnsi="Times New Roman" w:cs="Times New Roman"/>
          <w:color w:val="222222"/>
          <w:sz w:val="24"/>
          <w:szCs w:val="24"/>
          <w:shd w:val="clear" w:color="auto" w:fill="FFFFFF"/>
          <w:lang w:val="en-US"/>
        </w:rPr>
        <w:t xml:space="preserve">, </w:t>
      </w:r>
      <w:r w:rsidRPr="001F4A6D">
        <w:rPr>
          <w:rFonts w:ascii="Times New Roman" w:hAnsi="Times New Roman" w:cs="Times New Roman"/>
          <w:i/>
          <w:iCs/>
          <w:color w:val="222222"/>
          <w:sz w:val="24"/>
          <w:szCs w:val="24"/>
          <w:shd w:val="clear" w:color="auto" w:fill="FFFFFF"/>
          <w:lang w:val="en-US"/>
        </w:rPr>
        <w:t>67</w:t>
      </w:r>
      <w:r w:rsidRPr="001F4A6D">
        <w:rPr>
          <w:rFonts w:ascii="Times New Roman" w:hAnsi="Times New Roman" w:cs="Times New Roman"/>
          <w:color w:val="222222"/>
          <w:sz w:val="24"/>
          <w:szCs w:val="24"/>
          <w:shd w:val="clear" w:color="auto" w:fill="FFFFFF"/>
          <w:lang w:val="en-US"/>
        </w:rPr>
        <w:t>(3), 715-730.</w:t>
      </w:r>
    </w:p>
    <w:p w:rsidR="009679A9" w:rsidRPr="00307792" w:rsidRDefault="009679A9" w:rsidP="009679A9">
      <w:pPr>
        <w:pStyle w:val="10"/>
        <w:spacing w:line="240" w:lineRule="auto"/>
        <w:jc w:val="both"/>
        <w:rPr>
          <w:rFonts w:ascii="Times New Roman" w:hAnsi="Times New Roman" w:cs="Times New Roman"/>
          <w:sz w:val="24"/>
          <w:szCs w:val="24"/>
          <w:shd w:val="clear" w:color="auto" w:fill="FFFFFF"/>
          <w:lang w:val="en-US"/>
        </w:rPr>
      </w:pPr>
      <w:r w:rsidRPr="00307792">
        <w:rPr>
          <w:rFonts w:ascii="Times New Roman" w:hAnsi="Times New Roman" w:cs="Times New Roman"/>
          <w:sz w:val="24"/>
          <w:szCs w:val="24"/>
          <w:shd w:val="clear" w:color="auto" w:fill="FFFFFF"/>
          <w:lang w:val="en-US"/>
        </w:rPr>
        <w:t xml:space="preserve">Graham, L. R. (1993). </w:t>
      </w:r>
      <w:r w:rsidRPr="00307792">
        <w:rPr>
          <w:rFonts w:ascii="Times New Roman" w:hAnsi="Times New Roman" w:cs="Times New Roman"/>
          <w:i/>
          <w:iCs/>
          <w:sz w:val="24"/>
          <w:szCs w:val="24"/>
          <w:shd w:val="clear" w:color="auto" w:fill="FFFFFF"/>
          <w:lang w:val="en-US"/>
        </w:rPr>
        <w:t>Science in Russia and the Soviet Union: A short history</w:t>
      </w:r>
      <w:r w:rsidRPr="00307792">
        <w:rPr>
          <w:rFonts w:ascii="Times New Roman" w:hAnsi="Times New Roman" w:cs="Times New Roman"/>
          <w:sz w:val="24"/>
          <w:szCs w:val="24"/>
          <w:shd w:val="clear" w:color="auto" w:fill="FFFFFF"/>
          <w:lang w:val="en-US"/>
        </w:rPr>
        <w:t>. Cambridge University Press.</w:t>
      </w:r>
    </w:p>
    <w:p w:rsidR="009679A9" w:rsidRPr="00307792" w:rsidRDefault="009679A9" w:rsidP="009679A9">
      <w:pPr>
        <w:pStyle w:val="10"/>
        <w:spacing w:line="240" w:lineRule="auto"/>
        <w:jc w:val="both"/>
        <w:rPr>
          <w:rFonts w:ascii="Times New Roman" w:hAnsi="Times New Roman" w:cs="Times New Roman"/>
          <w:sz w:val="24"/>
          <w:szCs w:val="24"/>
          <w:shd w:val="clear" w:color="auto" w:fill="FFFFFF"/>
          <w:lang w:val="en-US"/>
        </w:rPr>
      </w:pPr>
      <w:proofErr w:type="spellStart"/>
      <w:r w:rsidRPr="00307792">
        <w:rPr>
          <w:rFonts w:ascii="Times New Roman" w:hAnsi="Times New Roman" w:cs="Times New Roman"/>
          <w:sz w:val="24"/>
          <w:szCs w:val="24"/>
          <w:shd w:val="clear" w:color="auto" w:fill="FFFFFF"/>
          <w:lang w:val="en-US"/>
        </w:rPr>
        <w:t>Grassano</w:t>
      </w:r>
      <w:proofErr w:type="spellEnd"/>
      <w:r w:rsidRPr="00307792">
        <w:rPr>
          <w:rFonts w:ascii="Times New Roman" w:hAnsi="Times New Roman" w:cs="Times New Roman"/>
          <w:sz w:val="24"/>
          <w:szCs w:val="24"/>
          <w:shd w:val="clear" w:color="auto" w:fill="FFFFFF"/>
          <w:lang w:val="en-US"/>
        </w:rPr>
        <w:t xml:space="preserve">, N., Rotolo, D., Hutton, J., Lang, F., &amp; Hopkins, M. M. (2017). Funding data from publication acknowledgments: Coverage, uses, and limitations. </w:t>
      </w:r>
      <w:r w:rsidRPr="00307792">
        <w:rPr>
          <w:rFonts w:ascii="Times New Roman" w:hAnsi="Times New Roman" w:cs="Times New Roman"/>
          <w:i/>
          <w:iCs/>
          <w:sz w:val="24"/>
          <w:szCs w:val="24"/>
          <w:shd w:val="clear" w:color="auto" w:fill="FFFFFF"/>
          <w:lang w:val="en-US"/>
        </w:rPr>
        <w:t>Journal of the Association for Information Science and Technology</w:t>
      </w:r>
      <w:r w:rsidRPr="00307792">
        <w:rPr>
          <w:rFonts w:ascii="Times New Roman" w:hAnsi="Times New Roman" w:cs="Times New Roman"/>
          <w:sz w:val="24"/>
          <w:szCs w:val="24"/>
          <w:shd w:val="clear" w:color="auto" w:fill="FFFFFF"/>
          <w:lang w:val="en-US"/>
        </w:rPr>
        <w:t xml:space="preserve">, </w:t>
      </w:r>
      <w:r w:rsidRPr="00307792">
        <w:rPr>
          <w:rFonts w:ascii="Times New Roman" w:hAnsi="Times New Roman" w:cs="Times New Roman"/>
          <w:i/>
          <w:iCs/>
          <w:sz w:val="24"/>
          <w:szCs w:val="24"/>
          <w:shd w:val="clear" w:color="auto" w:fill="FFFFFF"/>
          <w:lang w:val="en-US"/>
        </w:rPr>
        <w:t>68</w:t>
      </w:r>
      <w:r w:rsidRPr="00307792">
        <w:rPr>
          <w:rFonts w:ascii="Times New Roman" w:hAnsi="Times New Roman" w:cs="Times New Roman"/>
          <w:sz w:val="24"/>
          <w:szCs w:val="24"/>
          <w:shd w:val="clear" w:color="auto" w:fill="FFFFFF"/>
          <w:lang w:val="en-US"/>
        </w:rPr>
        <w:t>(4), 999-1017.</w:t>
      </w:r>
    </w:p>
    <w:p w:rsidR="009679A9" w:rsidRPr="001F4A6D" w:rsidRDefault="009679A9" w:rsidP="009679A9">
      <w:pPr>
        <w:pStyle w:val="10"/>
        <w:spacing w:line="240" w:lineRule="auto"/>
        <w:jc w:val="both"/>
        <w:rPr>
          <w:rFonts w:ascii="Times New Roman" w:hAnsi="Times New Roman" w:cs="Times New Roman"/>
          <w:sz w:val="24"/>
          <w:szCs w:val="24"/>
          <w:highlight w:val="white"/>
          <w:lang w:val="en-US"/>
        </w:rPr>
      </w:pPr>
      <w:proofErr w:type="spellStart"/>
      <w:r w:rsidRPr="00307792">
        <w:rPr>
          <w:rFonts w:ascii="Times New Roman" w:hAnsi="Times New Roman" w:cs="Times New Roman"/>
          <w:sz w:val="24"/>
          <w:szCs w:val="24"/>
          <w:highlight w:val="white"/>
          <w:lang w:val="en-US"/>
        </w:rPr>
        <w:t>Kataeva</w:t>
      </w:r>
      <w:proofErr w:type="spellEnd"/>
      <w:r w:rsidRPr="00307792">
        <w:rPr>
          <w:rFonts w:ascii="Times New Roman" w:hAnsi="Times New Roman" w:cs="Times New Roman"/>
          <w:sz w:val="24"/>
          <w:szCs w:val="24"/>
          <w:highlight w:val="white"/>
          <w:lang w:val="en-US"/>
        </w:rPr>
        <w:t xml:space="preserve">, Z., &amp; DeYoung, A. J. (2018). Faculty challenges and barriers for research and publication in Tajik higher education. </w:t>
      </w:r>
      <w:r w:rsidRPr="001F4A6D">
        <w:rPr>
          <w:rFonts w:ascii="Times New Roman" w:hAnsi="Times New Roman" w:cs="Times New Roman"/>
          <w:i/>
          <w:sz w:val="24"/>
          <w:szCs w:val="24"/>
          <w:highlight w:val="white"/>
          <w:lang w:val="en-US"/>
        </w:rPr>
        <w:t>European Education</w:t>
      </w:r>
      <w:r w:rsidRPr="001F4A6D">
        <w:rPr>
          <w:rFonts w:ascii="Times New Roman" w:hAnsi="Times New Roman" w:cs="Times New Roman"/>
          <w:sz w:val="24"/>
          <w:szCs w:val="24"/>
          <w:highlight w:val="white"/>
          <w:lang w:val="en-US"/>
        </w:rPr>
        <w:t xml:space="preserve">, </w:t>
      </w:r>
      <w:r w:rsidRPr="001F4A6D">
        <w:rPr>
          <w:rFonts w:ascii="Times New Roman" w:hAnsi="Times New Roman" w:cs="Times New Roman"/>
          <w:i/>
          <w:sz w:val="24"/>
          <w:szCs w:val="24"/>
          <w:highlight w:val="white"/>
          <w:lang w:val="en-US"/>
        </w:rPr>
        <w:t>50</w:t>
      </w:r>
      <w:r w:rsidRPr="001F4A6D">
        <w:rPr>
          <w:rFonts w:ascii="Times New Roman" w:hAnsi="Times New Roman" w:cs="Times New Roman"/>
          <w:sz w:val="24"/>
          <w:szCs w:val="24"/>
          <w:highlight w:val="white"/>
          <w:lang w:val="en-US"/>
        </w:rPr>
        <w:t>(3), 249-265.</w:t>
      </w:r>
    </w:p>
    <w:p w:rsidR="009679A9" w:rsidRPr="00307792" w:rsidRDefault="009679A9" w:rsidP="009679A9">
      <w:pPr>
        <w:pStyle w:val="10"/>
        <w:spacing w:line="240" w:lineRule="auto"/>
        <w:jc w:val="both"/>
        <w:rPr>
          <w:rFonts w:ascii="Times New Roman" w:hAnsi="Times New Roman" w:cs="Times New Roman"/>
          <w:sz w:val="24"/>
          <w:szCs w:val="24"/>
          <w:highlight w:val="white"/>
          <w:lang w:val="en-US"/>
        </w:rPr>
      </w:pPr>
      <w:proofErr w:type="spellStart"/>
      <w:r w:rsidRPr="00307792">
        <w:rPr>
          <w:rFonts w:ascii="Times New Roman" w:eastAsia="Times New Roman" w:hAnsi="Times New Roman" w:cs="Times New Roman"/>
          <w:sz w:val="24"/>
          <w:szCs w:val="24"/>
          <w:lang w:val="en-US"/>
        </w:rPr>
        <w:t>Kazakevich</w:t>
      </w:r>
      <w:proofErr w:type="spellEnd"/>
      <w:r w:rsidRPr="00307792">
        <w:rPr>
          <w:rFonts w:ascii="Times New Roman" w:eastAsia="Times New Roman" w:hAnsi="Times New Roman" w:cs="Times New Roman"/>
          <w:sz w:val="24"/>
          <w:szCs w:val="24"/>
          <w:lang w:val="en-US"/>
        </w:rPr>
        <w:t xml:space="preserve"> A. &amp; </w:t>
      </w:r>
      <w:proofErr w:type="spellStart"/>
      <w:r w:rsidRPr="00307792">
        <w:rPr>
          <w:rFonts w:ascii="Times New Roman" w:eastAsia="Times New Roman" w:hAnsi="Times New Roman" w:cs="Times New Roman"/>
          <w:sz w:val="24"/>
          <w:szCs w:val="24"/>
          <w:lang w:val="en-US"/>
        </w:rPr>
        <w:t>Goroshko</w:t>
      </w:r>
      <w:proofErr w:type="spellEnd"/>
      <w:r w:rsidRPr="00307792">
        <w:rPr>
          <w:rFonts w:ascii="Times New Roman" w:eastAsia="Times New Roman" w:hAnsi="Times New Roman" w:cs="Times New Roman"/>
          <w:sz w:val="24"/>
          <w:szCs w:val="24"/>
          <w:lang w:val="en-US"/>
        </w:rPr>
        <w:t xml:space="preserve"> K. (2019) </w:t>
      </w:r>
      <w:r w:rsidRPr="00307792">
        <w:rPr>
          <w:rFonts w:ascii="Times New Roman" w:hAnsi="Times New Roman" w:cs="Times New Roman"/>
          <w:sz w:val="24"/>
          <w:szCs w:val="24"/>
          <w:highlight w:val="white"/>
          <w:lang w:val="en-US"/>
        </w:rPr>
        <w:t xml:space="preserve">Reform of the Research &amp; Development sector in Belarus: Challenges and possible solutions. Report.  https://palityka.org/wp-content/uploads/2019/05/Research-and-Development_2019_ru.pdf </w:t>
      </w:r>
    </w:p>
    <w:p w:rsidR="009679A9" w:rsidRPr="001F4A6D" w:rsidRDefault="009679A9" w:rsidP="009679A9">
      <w:pPr>
        <w:pStyle w:val="10"/>
        <w:spacing w:line="240" w:lineRule="auto"/>
        <w:jc w:val="both"/>
        <w:rPr>
          <w:rFonts w:ascii="Times New Roman" w:hAnsi="Times New Roman" w:cs="Times New Roman"/>
          <w:sz w:val="24"/>
          <w:szCs w:val="24"/>
          <w:highlight w:val="white"/>
          <w:lang w:val="en-US"/>
        </w:rPr>
      </w:pPr>
      <w:proofErr w:type="spellStart"/>
      <w:r w:rsidRPr="00307792">
        <w:rPr>
          <w:rFonts w:ascii="Times New Roman" w:hAnsi="Times New Roman" w:cs="Times New Roman"/>
          <w:sz w:val="24"/>
          <w:szCs w:val="24"/>
          <w:highlight w:val="white"/>
          <w:lang w:val="en-US"/>
        </w:rPr>
        <w:t>Kuzhabekova</w:t>
      </w:r>
      <w:proofErr w:type="spellEnd"/>
      <w:r w:rsidRPr="00307792">
        <w:rPr>
          <w:rFonts w:ascii="Times New Roman" w:hAnsi="Times New Roman" w:cs="Times New Roman"/>
          <w:sz w:val="24"/>
          <w:szCs w:val="24"/>
          <w:highlight w:val="white"/>
          <w:lang w:val="en-US"/>
        </w:rPr>
        <w:t xml:space="preserve">, A., &amp; </w:t>
      </w:r>
      <w:proofErr w:type="spellStart"/>
      <w:r w:rsidRPr="00307792">
        <w:rPr>
          <w:rFonts w:ascii="Times New Roman" w:hAnsi="Times New Roman" w:cs="Times New Roman"/>
          <w:sz w:val="24"/>
          <w:szCs w:val="24"/>
          <w:highlight w:val="white"/>
          <w:lang w:val="en-US"/>
        </w:rPr>
        <w:t>Mukhamejanova</w:t>
      </w:r>
      <w:proofErr w:type="spellEnd"/>
      <w:r w:rsidRPr="00307792">
        <w:rPr>
          <w:rFonts w:ascii="Times New Roman" w:hAnsi="Times New Roman" w:cs="Times New Roman"/>
          <w:sz w:val="24"/>
          <w:szCs w:val="24"/>
          <w:highlight w:val="white"/>
          <w:lang w:val="en-US"/>
        </w:rPr>
        <w:t xml:space="preserve">, D. (2017). Productive researchers in countries with limited research capacity: Researchers as agents in post-Soviet Kazakhstan. </w:t>
      </w:r>
      <w:r w:rsidRPr="001F4A6D">
        <w:rPr>
          <w:rFonts w:ascii="Times New Roman" w:hAnsi="Times New Roman" w:cs="Times New Roman"/>
          <w:i/>
          <w:sz w:val="24"/>
          <w:szCs w:val="24"/>
          <w:highlight w:val="white"/>
          <w:lang w:val="en-US"/>
        </w:rPr>
        <w:t>Studies in Graduate and Postdoctoral Education</w:t>
      </w:r>
      <w:r w:rsidRPr="001F4A6D">
        <w:rPr>
          <w:rFonts w:ascii="Times New Roman" w:hAnsi="Times New Roman" w:cs="Times New Roman"/>
          <w:sz w:val="24"/>
          <w:szCs w:val="24"/>
          <w:highlight w:val="white"/>
          <w:lang w:val="en-US"/>
        </w:rPr>
        <w:t xml:space="preserve">, </w:t>
      </w:r>
      <w:r w:rsidRPr="001F4A6D">
        <w:rPr>
          <w:rFonts w:ascii="Times New Roman" w:hAnsi="Times New Roman" w:cs="Times New Roman"/>
          <w:i/>
          <w:sz w:val="24"/>
          <w:szCs w:val="24"/>
          <w:highlight w:val="white"/>
          <w:lang w:val="en-US"/>
        </w:rPr>
        <w:t>8</w:t>
      </w:r>
      <w:r w:rsidRPr="001F4A6D">
        <w:rPr>
          <w:rFonts w:ascii="Times New Roman" w:hAnsi="Times New Roman" w:cs="Times New Roman"/>
          <w:sz w:val="24"/>
          <w:szCs w:val="24"/>
          <w:highlight w:val="white"/>
          <w:lang w:val="en-US"/>
        </w:rPr>
        <w:t>(1), 30-47.</w:t>
      </w:r>
    </w:p>
    <w:p w:rsidR="009679A9" w:rsidRPr="00307792" w:rsidRDefault="009679A9" w:rsidP="009679A9">
      <w:pPr>
        <w:pStyle w:val="10"/>
        <w:spacing w:line="240" w:lineRule="auto"/>
        <w:jc w:val="both"/>
        <w:rPr>
          <w:rFonts w:ascii="Times New Roman" w:hAnsi="Times New Roman" w:cs="Times New Roman"/>
          <w:sz w:val="24"/>
          <w:szCs w:val="24"/>
          <w:shd w:val="clear" w:color="auto" w:fill="FFFFFF"/>
          <w:lang w:val="en-US"/>
        </w:rPr>
      </w:pPr>
      <w:proofErr w:type="spellStart"/>
      <w:proofErr w:type="gramStart"/>
      <w:r w:rsidRPr="00307792">
        <w:rPr>
          <w:rFonts w:ascii="Times New Roman" w:hAnsi="Times New Roman" w:cs="Times New Roman"/>
          <w:sz w:val="24"/>
          <w:szCs w:val="24"/>
          <w:shd w:val="clear" w:color="auto" w:fill="FFFFFF"/>
          <w:lang w:val="en-US"/>
        </w:rPr>
        <w:t>Kyvik</w:t>
      </w:r>
      <w:proofErr w:type="spellEnd"/>
      <w:r w:rsidRPr="00307792">
        <w:rPr>
          <w:rFonts w:ascii="Times New Roman" w:hAnsi="Times New Roman" w:cs="Times New Roman"/>
          <w:sz w:val="24"/>
          <w:szCs w:val="24"/>
          <w:shd w:val="clear" w:color="auto" w:fill="FFFFFF"/>
          <w:lang w:val="en-US"/>
        </w:rPr>
        <w:t>, S., &amp; Larsen, I. M. (1997).</w:t>
      </w:r>
      <w:proofErr w:type="gramEnd"/>
      <w:r w:rsidRPr="00307792">
        <w:rPr>
          <w:rFonts w:ascii="Times New Roman" w:hAnsi="Times New Roman" w:cs="Times New Roman"/>
          <w:sz w:val="24"/>
          <w:szCs w:val="24"/>
          <w:shd w:val="clear" w:color="auto" w:fill="FFFFFF"/>
          <w:lang w:val="en-US"/>
        </w:rPr>
        <w:t xml:space="preserve"> The exchange of knowledge: A small country in the international research community. </w:t>
      </w:r>
      <w:r w:rsidRPr="00307792">
        <w:rPr>
          <w:rFonts w:ascii="Times New Roman" w:hAnsi="Times New Roman" w:cs="Times New Roman"/>
          <w:i/>
          <w:iCs/>
          <w:sz w:val="24"/>
          <w:szCs w:val="24"/>
          <w:shd w:val="clear" w:color="auto" w:fill="FFFFFF"/>
          <w:lang w:val="en-US"/>
        </w:rPr>
        <w:t>Science Communication</w:t>
      </w:r>
      <w:r w:rsidRPr="00307792">
        <w:rPr>
          <w:rFonts w:ascii="Times New Roman" w:hAnsi="Times New Roman" w:cs="Times New Roman"/>
          <w:sz w:val="24"/>
          <w:szCs w:val="24"/>
          <w:shd w:val="clear" w:color="auto" w:fill="FFFFFF"/>
          <w:lang w:val="en-US"/>
        </w:rPr>
        <w:t xml:space="preserve">, </w:t>
      </w:r>
      <w:r w:rsidRPr="00307792">
        <w:rPr>
          <w:rFonts w:ascii="Times New Roman" w:hAnsi="Times New Roman" w:cs="Times New Roman"/>
          <w:i/>
          <w:iCs/>
          <w:sz w:val="24"/>
          <w:szCs w:val="24"/>
          <w:shd w:val="clear" w:color="auto" w:fill="FFFFFF"/>
          <w:lang w:val="en-US"/>
        </w:rPr>
        <w:t>18</w:t>
      </w:r>
      <w:r w:rsidRPr="00307792">
        <w:rPr>
          <w:rFonts w:ascii="Times New Roman" w:hAnsi="Times New Roman" w:cs="Times New Roman"/>
          <w:sz w:val="24"/>
          <w:szCs w:val="24"/>
          <w:shd w:val="clear" w:color="auto" w:fill="FFFFFF"/>
          <w:lang w:val="en-US"/>
        </w:rPr>
        <w:t>(3), 238-264.</w:t>
      </w:r>
    </w:p>
    <w:p w:rsidR="009679A9" w:rsidRPr="001F4A6D" w:rsidRDefault="009679A9" w:rsidP="009679A9">
      <w:pPr>
        <w:pStyle w:val="10"/>
        <w:spacing w:line="240" w:lineRule="auto"/>
        <w:jc w:val="both"/>
        <w:rPr>
          <w:rFonts w:ascii="Times New Roman" w:hAnsi="Times New Roman" w:cs="Times New Roman"/>
          <w:sz w:val="24"/>
          <w:szCs w:val="24"/>
          <w:highlight w:val="white"/>
          <w:lang w:val="en-US"/>
        </w:rPr>
      </w:pPr>
      <w:proofErr w:type="spellStart"/>
      <w:r w:rsidRPr="00307792">
        <w:rPr>
          <w:rFonts w:ascii="Times New Roman" w:hAnsi="Times New Roman" w:cs="Times New Roman"/>
          <w:sz w:val="24"/>
          <w:szCs w:val="24"/>
          <w:highlight w:val="white"/>
          <w:lang w:val="en-US"/>
        </w:rPr>
        <w:t>Masso</w:t>
      </w:r>
      <w:proofErr w:type="spellEnd"/>
      <w:r w:rsidRPr="00307792">
        <w:rPr>
          <w:rFonts w:ascii="Times New Roman" w:hAnsi="Times New Roman" w:cs="Times New Roman"/>
          <w:sz w:val="24"/>
          <w:szCs w:val="24"/>
          <w:highlight w:val="white"/>
          <w:lang w:val="en-US"/>
        </w:rPr>
        <w:t xml:space="preserve">, J., &amp; </w:t>
      </w:r>
      <w:proofErr w:type="spellStart"/>
      <w:r w:rsidRPr="00307792">
        <w:rPr>
          <w:rFonts w:ascii="Times New Roman" w:hAnsi="Times New Roman" w:cs="Times New Roman"/>
          <w:sz w:val="24"/>
          <w:szCs w:val="24"/>
          <w:highlight w:val="white"/>
          <w:lang w:val="en-US"/>
        </w:rPr>
        <w:t>Ukrainski</w:t>
      </w:r>
      <w:proofErr w:type="spellEnd"/>
      <w:r w:rsidRPr="00307792">
        <w:rPr>
          <w:rFonts w:ascii="Times New Roman" w:hAnsi="Times New Roman" w:cs="Times New Roman"/>
          <w:sz w:val="24"/>
          <w:szCs w:val="24"/>
          <w:highlight w:val="white"/>
          <w:lang w:val="en-US"/>
        </w:rPr>
        <w:t xml:space="preserve">, K. (2009). Competition for public project funding in a small research system: the case of Estonia. </w:t>
      </w:r>
      <w:r w:rsidRPr="001F4A6D">
        <w:rPr>
          <w:rFonts w:ascii="Times New Roman" w:hAnsi="Times New Roman" w:cs="Times New Roman"/>
          <w:i/>
          <w:sz w:val="24"/>
          <w:szCs w:val="24"/>
          <w:highlight w:val="white"/>
          <w:lang w:val="en-US"/>
        </w:rPr>
        <w:t>Science and Public Policy</w:t>
      </w:r>
      <w:r w:rsidRPr="001F4A6D">
        <w:rPr>
          <w:rFonts w:ascii="Times New Roman" w:hAnsi="Times New Roman" w:cs="Times New Roman"/>
          <w:sz w:val="24"/>
          <w:szCs w:val="24"/>
          <w:highlight w:val="white"/>
          <w:lang w:val="en-US"/>
        </w:rPr>
        <w:t xml:space="preserve">, </w:t>
      </w:r>
      <w:r w:rsidRPr="001F4A6D">
        <w:rPr>
          <w:rFonts w:ascii="Times New Roman" w:hAnsi="Times New Roman" w:cs="Times New Roman"/>
          <w:i/>
          <w:sz w:val="24"/>
          <w:szCs w:val="24"/>
          <w:highlight w:val="white"/>
          <w:lang w:val="en-US"/>
        </w:rPr>
        <w:t>36</w:t>
      </w:r>
      <w:r w:rsidRPr="001F4A6D">
        <w:rPr>
          <w:rFonts w:ascii="Times New Roman" w:hAnsi="Times New Roman" w:cs="Times New Roman"/>
          <w:sz w:val="24"/>
          <w:szCs w:val="24"/>
          <w:highlight w:val="white"/>
          <w:lang w:val="en-US"/>
        </w:rPr>
        <w:t>(9), 683-695.</w:t>
      </w:r>
    </w:p>
    <w:p w:rsidR="009679A9" w:rsidRPr="001F4A6D" w:rsidRDefault="009679A9" w:rsidP="009679A9">
      <w:pPr>
        <w:pStyle w:val="10"/>
        <w:spacing w:line="240" w:lineRule="auto"/>
        <w:jc w:val="both"/>
        <w:rPr>
          <w:rFonts w:ascii="Times New Roman" w:hAnsi="Times New Roman" w:cs="Times New Roman"/>
          <w:sz w:val="24"/>
          <w:szCs w:val="24"/>
          <w:shd w:val="clear" w:color="auto" w:fill="FFFFFF"/>
          <w:lang w:val="en-US"/>
        </w:rPr>
      </w:pPr>
      <w:proofErr w:type="spellStart"/>
      <w:proofErr w:type="gramStart"/>
      <w:r w:rsidRPr="00307792">
        <w:rPr>
          <w:rFonts w:ascii="Times New Roman" w:hAnsi="Times New Roman" w:cs="Times New Roman"/>
          <w:sz w:val="24"/>
          <w:szCs w:val="24"/>
          <w:shd w:val="clear" w:color="auto" w:fill="FFFFFF"/>
          <w:lang w:val="en-US"/>
        </w:rPr>
        <w:t>Matveeva</w:t>
      </w:r>
      <w:proofErr w:type="spellEnd"/>
      <w:r w:rsidRPr="00307792">
        <w:rPr>
          <w:rFonts w:ascii="Times New Roman" w:hAnsi="Times New Roman" w:cs="Times New Roman"/>
          <w:sz w:val="24"/>
          <w:szCs w:val="24"/>
          <w:shd w:val="clear" w:color="auto" w:fill="FFFFFF"/>
          <w:lang w:val="en-US"/>
        </w:rPr>
        <w:t xml:space="preserve">, N., </w:t>
      </w:r>
      <w:proofErr w:type="spellStart"/>
      <w:r w:rsidRPr="00307792">
        <w:rPr>
          <w:rFonts w:ascii="Times New Roman" w:hAnsi="Times New Roman" w:cs="Times New Roman"/>
          <w:sz w:val="24"/>
          <w:szCs w:val="24"/>
          <w:shd w:val="clear" w:color="auto" w:fill="FFFFFF"/>
          <w:lang w:val="en-US"/>
        </w:rPr>
        <w:t>Sterligov</w:t>
      </w:r>
      <w:proofErr w:type="spellEnd"/>
      <w:r w:rsidRPr="00307792">
        <w:rPr>
          <w:rFonts w:ascii="Times New Roman" w:hAnsi="Times New Roman" w:cs="Times New Roman"/>
          <w:sz w:val="24"/>
          <w:szCs w:val="24"/>
          <w:shd w:val="clear" w:color="auto" w:fill="FFFFFF"/>
          <w:lang w:val="en-US"/>
        </w:rPr>
        <w:t xml:space="preserve">, I., &amp; </w:t>
      </w:r>
      <w:proofErr w:type="spellStart"/>
      <w:r w:rsidRPr="00307792">
        <w:rPr>
          <w:rFonts w:ascii="Times New Roman" w:hAnsi="Times New Roman" w:cs="Times New Roman"/>
          <w:sz w:val="24"/>
          <w:szCs w:val="24"/>
          <w:shd w:val="clear" w:color="auto" w:fill="FFFFFF"/>
          <w:lang w:val="en-US"/>
        </w:rPr>
        <w:t>Lovakov</w:t>
      </w:r>
      <w:proofErr w:type="spellEnd"/>
      <w:r w:rsidRPr="00307792">
        <w:rPr>
          <w:rFonts w:ascii="Times New Roman" w:hAnsi="Times New Roman" w:cs="Times New Roman"/>
          <w:sz w:val="24"/>
          <w:szCs w:val="24"/>
          <w:shd w:val="clear" w:color="auto" w:fill="FFFFFF"/>
          <w:lang w:val="en-US"/>
        </w:rPr>
        <w:t>, A. (2022).</w:t>
      </w:r>
      <w:proofErr w:type="gramEnd"/>
      <w:r w:rsidRPr="00307792">
        <w:rPr>
          <w:rFonts w:ascii="Times New Roman" w:hAnsi="Times New Roman" w:cs="Times New Roman"/>
          <w:sz w:val="24"/>
          <w:szCs w:val="24"/>
          <w:shd w:val="clear" w:color="auto" w:fill="FFFFFF"/>
          <w:lang w:val="en-US"/>
        </w:rPr>
        <w:t xml:space="preserve"> International scientific collaboration of post-Soviet countries: a bibliometric analysis. </w:t>
      </w:r>
      <w:proofErr w:type="spellStart"/>
      <w:r w:rsidRPr="001F4A6D">
        <w:rPr>
          <w:rFonts w:ascii="Times New Roman" w:hAnsi="Times New Roman" w:cs="Times New Roman"/>
          <w:i/>
          <w:iCs/>
          <w:sz w:val="24"/>
          <w:szCs w:val="24"/>
          <w:shd w:val="clear" w:color="auto" w:fill="FFFFFF"/>
          <w:lang w:val="en-US"/>
        </w:rPr>
        <w:t>Scientometrics</w:t>
      </w:r>
      <w:proofErr w:type="spellEnd"/>
      <w:r w:rsidRPr="001F4A6D">
        <w:rPr>
          <w:rFonts w:ascii="Times New Roman" w:hAnsi="Times New Roman" w:cs="Times New Roman"/>
          <w:sz w:val="24"/>
          <w:szCs w:val="24"/>
          <w:shd w:val="clear" w:color="auto" w:fill="FFFFFF"/>
          <w:lang w:val="en-US"/>
        </w:rPr>
        <w:t xml:space="preserve">, </w:t>
      </w:r>
      <w:r w:rsidRPr="001F4A6D">
        <w:rPr>
          <w:rFonts w:ascii="Times New Roman" w:hAnsi="Times New Roman" w:cs="Times New Roman"/>
          <w:i/>
          <w:iCs/>
          <w:sz w:val="24"/>
          <w:szCs w:val="24"/>
          <w:shd w:val="clear" w:color="auto" w:fill="FFFFFF"/>
          <w:lang w:val="en-US"/>
        </w:rPr>
        <w:t>127</w:t>
      </w:r>
      <w:r w:rsidRPr="001F4A6D">
        <w:rPr>
          <w:rFonts w:ascii="Times New Roman" w:hAnsi="Times New Roman" w:cs="Times New Roman"/>
          <w:sz w:val="24"/>
          <w:szCs w:val="24"/>
          <w:shd w:val="clear" w:color="auto" w:fill="FFFFFF"/>
          <w:lang w:val="en-US"/>
        </w:rPr>
        <w:t>(3), 1583-1607.</w:t>
      </w:r>
    </w:p>
    <w:p w:rsidR="009679A9" w:rsidRPr="001F4A6D" w:rsidRDefault="009679A9" w:rsidP="009679A9">
      <w:pPr>
        <w:pStyle w:val="10"/>
        <w:spacing w:line="240" w:lineRule="auto"/>
        <w:jc w:val="both"/>
        <w:rPr>
          <w:rFonts w:ascii="Times New Roman" w:hAnsi="Times New Roman" w:cs="Times New Roman"/>
          <w:sz w:val="24"/>
          <w:szCs w:val="24"/>
          <w:shd w:val="clear" w:color="auto" w:fill="FFFFFF"/>
          <w:lang w:val="en-US"/>
        </w:rPr>
      </w:pPr>
      <w:proofErr w:type="gramStart"/>
      <w:r w:rsidRPr="00307792">
        <w:rPr>
          <w:rFonts w:ascii="Times New Roman" w:hAnsi="Times New Roman" w:cs="Times New Roman"/>
          <w:sz w:val="24"/>
          <w:szCs w:val="24"/>
          <w:shd w:val="clear" w:color="auto" w:fill="FFFFFF"/>
          <w:lang w:val="en-US"/>
        </w:rPr>
        <w:t>Paul-Hus, A., Desrochers, N., &amp; Costas, R. (2016).</w:t>
      </w:r>
      <w:proofErr w:type="gramEnd"/>
      <w:r w:rsidRPr="00307792">
        <w:rPr>
          <w:rFonts w:ascii="Times New Roman" w:hAnsi="Times New Roman" w:cs="Times New Roman"/>
          <w:sz w:val="24"/>
          <w:szCs w:val="24"/>
          <w:shd w:val="clear" w:color="auto" w:fill="FFFFFF"/>
          <w:lang w:val="en-US"/>
        </w:rPr>
        <w:t xml:space="preserve"> Characterization, description, and considerations for the use of funding acknowledgement data in Web of Science. </w:t>
      </w:r>
      <w:proofErr w:type="spellStart"/>
      <w:r w:rsidRPr="001F4A6D">
        <w:rPr>
          <w:rFonts w:ascii="Times New Roman" w:hAnsi="Times New Roman" w:cs="Times New Roman"/>
          <w:i/>
          <w:iCs/>
          <w:sz w:val="24"/>
          <w:szCs w:val="24"/>
          <w:shd w:val="clear" w:color="auto" w:fill="FFFFFF"/>
          <w:lang w:val="en-US"/>
        </w:rPr>
        <w:t>Scientometrics</w:t>
      </w:r>
      <w:proofErr w:type="spellEnd"/>
      <w:r w:rsidRPr="001F4A6D">
        <w:rPr>
          <w:rFonts w:ascii="Times New Roman" w:hAnsi="Times New Roman" w:cs="Times New Roman"/>
          <w:sz w:val="24"/>
          <w:szCs w:val="24"/>
          <w:shd w:val="clear" w:color="auto" w:fill="FFFFFF"/>
          <w:lang w:val="en-US"/>
        </w:rPr>
        <w:t xml:space="preserve">, </w:t>
      </w:r>
      <w:r w:rsidRPr="001F4A6D">
        <w:rPr>
          <w:rFonts w:ascii="Times New Roman" w:hAnsi="Times New Roman" w:cs="Times New Roman"/>
          <w:i/>
          <w:iCs/>
          <w:sz w:val="24"/>
          <w:szCs w:val="24"/>
          <w:shd w:val="clear" w:color="auto" w:fill="FFFFFF"/>
          <w:lang w:val="en-US"/>
        </w:rPr>
        <w:t>108</w:t>
      </w:r>
      <w:r w:rsidRPr="001F4A6D">
        <w:rPr>
          <w:rFonts w:ascii="Times New Roman" w:hAnsi="Times New Roman" w:cs="Times New Roman"/>
          <w:sz w:val="24"/>
          <w:szCs w:val="24"/>
          <w:shd w:val="clear" w:color="auto" w:fill="FFFFFF"/>
          <w:lang w:val="en-US"/>
        </w:rPr>
        <w:t>, 167-182.</w:t>
      </w:r>
    </w:p>
    <w:p w:rsidR="009679A9" w:rsidRPr="00307792" w:rsidRDefault="009679A9" w:rsidP="009679A9">
      <w:pPr>
        <w:pStyle w:val="10"/>
        <w:spacing w:line="240" w:lineRule="auto"/>
        <w:jc w:val="both"/>
        <w:rPr>
          <w:rFonts w:ascii="Times New Roman" w:eastAsia="Times New Roman" w:hAnsi="Times New Roman" w:cs="Times New Roman"/>
          <w:sz w:val="24"/>
          <w:szCs w:val="24"/>
          <w:lang w:val="en-US"/>
        </w:rPr>
      </w:pPr>
      <w:proofErr w:type="spellStart"/>
      <w:proofErr w:type="gramStart"/>
      <w:r w:rsidRPr="00307792">
        <w:rPr>
          <w:rFonts w:ascii="Times New Roman" w:eastAsia="Times New Roman" w:hAnsi="Times New Roman" w:cs="Times New Roman"/>
          <w:sz w:val="24"/>
          <w:szCs w:val="24"/>
          <w:lang w:val="en-US"/>
        </w:rPr>
        <w:t>Petrovich</w:t>
      </w:r>
      <w:proofErr w:type="spellEnd"/>
      <w:r w:rsidRPr="00307792">
        <w:rPr>
          <w:rFonts w:ascii="Times New Roman" w:eastAsia="Times New Roman" w:hAnsi="Times New Roman" w:cs="Times New Roman"/>
          <w:sz w:val="24"/>
          <w:szCs w:val="24"/>
          <w:lang w:val="en-US"/>
        </w:rPr>
        <w:t>, E. Acknowledgments-based networks for mapping the social structure of research fields.</w:t>
      </w:r>
      <w:proofErr w:type="gramEnd"/>
      <w:r w:rsidRPr="00307792">
        <w:rPr>
          <w:rFonts w:ascii="Times New Roman" w:eastAsia="Times New Roman" w:hAnsi="Times New Roman" w:cs="Times New Roman"/>
          <w:sz w:val="24"/>
          <w:szCs w:val="24"/>
          <w:lang w:val="en-US"/>
        </w:rPr>
        <w:t xml:space="preserve"> A case study on recent analytic philosophy. </w:t>
      </w:r>
      <w:proofErr w:type="spellStart"/>
      <w:r w:rsidRPr="00307792">
        <w:rPr>
          <w:rFonts w:ascii="Times New Roman" w:eastAsia="Times New Roman" w:hAnsi="Times New Roman" w:cs="Times New Roman"/>
          <w:i/>
          <w:sz w:val="24"/>
          <w:szCs w:val="24"/>
          <w:lang w:val="en-US"/>
        </w:rPr>
        <w:t>Synthese</w:t>
      </w:r>
      <w:proofErr w:type="spellEnd"/>
      <w:r w:rsidRPr="00307792">
        <w:rPr>
          <w:rFonts w:ascii="Times New Roman" w:eastAsia="Times New Roman" w:hAnsi="Times New Roman" w:cs="Times New Roman"/>
          <w:sz w:val="24"/>
          <w:szCs w:val="24"/>
          <w:lang w:val="en-US"/>
        </w:rPr>
        <w:t xml:space="preserve"> 200, 204 (2022). https://doi.org/10.1007/s11229-022-03515-2</w:t>
      </w:r>
    </w:p>
    <w:p w:rsidR="009679A9" w:rsidRPr="00307792" w:rsidRDefault="009679A9" w:rsidP="009679A9">
      <w:pPr>
        <w:pStyle w:val="10"/>
        <w:spacing w:line="240" w:lineRule="auto"/>
        <w:jc w:val="both"/>
        <w:rPr>
          <w:rFonts w:ascii="Times New Roman" w:eastAsia="Times New Roman" w:hAnsi="Times New Roman" w:cs="Times New Roman"/>
          <w:sz w:val="24"/>
          <w:szCs w:val="24"/>
          <w:lang w:val="en-US"/>
        </w:rPr>
      </w:pPr>
      <w:proofErr w:type="spellStart"/>
      <w:r w:rsidRPr="00307792">
        <w:rPr>
          <w:rFonts w:ascii="Times New Roman" w:eastAsia="Times New Roman" w:hAnsi="Times New Roman" w:cs="Times New Roman"/>
          <w:sz w:val="24"/>
          <w:szCs w:val="24"/>
          <w:lang w:val="en-US"/>
        </w:rPr>
        <w:t>Rabkin</w:t>
      </w:r>
      <w:proofErr w:type="spellEnd"/>
      <w:r w:rsidRPr="00307792">
        <w:rPr>
          <w:rFonts w:ascii="Times New Roman" w:eastAsia="Times New Roman" w:hAnsi="Times New Roman" w:cs="Times New Roman"/>
          <w:sz w:val="24"/>
          <w:szCs w:val="24"/>
          <w:lang w:val="en-US"/>
        </w:rPr>
        <w:t xml:space="preserve">, Y. M., &amp; </w:t>
      </w:r>
      <w:proofErr w:type="spellStart"/>
      <w:r w:rsidRPr="00307792">
        <w:rPr>
          <w:rFonts w:ascii="Times New Roman" w:eastAsia="Times New Roman" w:hAnsi="Times New Roman" w:cs="Times New Roman"/>
          <w:sz w:val="24"/>
          <w:szCs w:val="24"/>
          <w:lang w:val="en-US"/>
        </w:rPr>
        <w:t>Mirskaya</w:t>
      </w:r>
      <w:proofErr w:type="spellEnd"/>
      <w:r w:rsidRPr="00307792">
        <w:rPr>
          <w:rFonts w:ascii="Times New Roman" w:eastAsia="Times New Roman" w:hAnsi="Times New Roman" w:cs="Times New Roman"/>
          <w:sz w:val="24"/>
          <w:szCs w:val="24"/>
          <w:lang w:val="en-US"/>
        </w:rPr>
        <w:t xml:space="preserve">, E. Z. (1993). Science and scientists in the post-Soviet disunion. </w:t>
      </w:r>
      <w:r w:rsidRPr="00307792">
        <w:rPr>
          <w:rFonts w:ascii="Times New Roman" w:eastAsia="Times New Roman" w:hAnsi="Times New Roman" w:cs="Times New Roman"/>
          <w:i/>
          <w:sz w:val="24"/>
          <w:szCs w:val="24"/>
          <w:lang w:val="en-US"/>
        </w:rPr>
        <w:t>Social Science Information</w:t>
      </w:r>
      <w:r w:rsidRPr="00307792">
        <w:rPr>
          <w:rFonts w:ascii="Times New Roman" w:eastAsia="Times New Roman" w:hAnsi="Times New Roman" w:cs="Times New Roman"/>
          <w:sz w:val="24"/>
          <w:szCs w:val="24"/>
          <w:lang w:val="en-US"/>
        </w:rPr>
        <w:t xml:space="preserve">, </w:t>
      </w:r>
      <w:r w:rsidRPr="00307792">
        <w:rPr>
          <w:rFonts w:ascii="Times New Roman" w:eastAsia="Times New Roman" w:hAnsi="Times New Roman" w:cs="Times New Roman"/>
          <w:i/>
          <w:sz w:val="24"/>
          <w:szCs w:val="24"/>
          <w:lang w:val="en-US"/>
        </w:rPr>
        <w:t>32</w:t>
      </w:r>
      <w:r w:rsidRPr="00307792">
        <w:rPr>
          <w:rFonts w:ascii="Times New Roman" w:eastAsia="Times New Roman" w:hAnsi="Times New Roman" w:cs="Times New Roman"/>
          <w:sz w:val="24"/>
          <w:szCs w:val="24"/>
          <w:lang w:val="en-US"/>
        </w:rPr>
        <w:t>(4), 553–579.</w:t>
      </w:r>
      <w:hyperlink r:id="rId16">
        <w:r w:rsidRPr="00307792">
          <w:rPr>
            <w:rFonts w:ascii="Times New Roman" w:eastAsia="Times New Roman" w:hAnsi="Times New Roman" w:cs="Times New Roman"/>
            <w:sz w:val="24"/>
            <w:szCs w:val="24"/>
            <w:lang w:val="en-US"/>
          </w:rPr>
          <w:t xml:space="preserve"> </w:t>
        </w:r>
      </w:hyperlink>
      <w:hyperlink r:id="rId17">
        <w:r w:rsidRPr="00307792">
          <w:rPr>
            <w:rFonts w:ascii="Times New Roman" w:eastAsia="Times New Roman" w:hAnsi="Times New Roman" w:cs="Times New Roman"/>
            <w:sz w:val="24"/>
            <w:szCs w:val="24"/>
            <w:u w:val="single"/>
            <w:lang w:val="en-US"/>
          </w:rPr>
          <w:t>https://doi.org/10.1177/053901893032004002</w:t>
        </w:r>
      </w:hyperlink>
    </w:p>
    <w:p w:rsidR="009679A9" w:rsidRPr="001F4A6D" w:rsidRDefault="009679A9" w:rsidP="009679A9">
      <w:pPr>
        <w:pStyle w:val="10"/>
        <w:spacing w:line="240" w:lineRule="auto"/>
        <w:jc w:val="both"/>
        <w:rPr>
          <w:rFonts w:ascii="Times New Roman" w:hAnsi="Times New Roman" w:cs="Times New Roman"/>
          <w:sz w:val="24"/>
          <w:szCs w:val="24"/>
          <w:shd w:val="clear" w:color="auto" w:fill="FFFFFF"/>
          <w:lang w:val="en-US"/>
        </w:rPr>
      </w:pPr>
      <w:r w:rsidRPr="00307792">
        <w:rPr>
          <w:rFonts w:ascii="Times New Roman" w:hAnsi="Times New Roman" w:cs="Times New Roman"/>
          <w:sz w:val="24"/>
          <w:szCs w:val="24"/>
          <w:shd w:val="clear" w:color="auto" w:fill="FFFFFF"/>
          <w:lang w:val="en-US"/>
        </w:rPr>
        <w:t>Rigby, J. (2011). Systematic grant and funding body acknowledgement data for publications: new dimensions and new controversies for research policy and evaluation. </w:t>
      </w:r>
      <w:r w:rsidRPr="001F4A6D">
        <w:rPr>
          <w:rFonts w:ascii="Times New Roman" w:hAnsi="Times New Roman" w:cs="Times New Roman"/>
          <w:i/>
          <w:iCs/>
          <w:sz w:val="24"/>
          <w:szCs w:val="24"/>
          <w:shd w:val="clear" w:color="auto" w:fill="FFFFFF"/>
          <w:lang w:val="en-US"/>
        </w:rPr>
        <w:t>Research Evaluation</w:t>
      </w:r>
      <w:r w:rsidRPr="001F4A6D">
        <w:rPr>
          <w:rFonts w:ascii="Times New Roman" w:hAnsi="Times New Roman" w:cs="Times New Roman"/>
          <w:sz w:val="24"/>
          <w:szCs w:val="24"/>
          <w:shd w:val="clear" w:color="auto" w:fill="FFFFFF"/>
          <w:lang w:val="en-US"/>
        </w:rPr>
        <w:t>, </w:t>
      </w:r>
      <w:r w:rsidRPr="001F4A6D">
        <w:rPr>
          <w:rFonts w:ascii="Times New Roman" w:hAnsi="Times New Roman" w:cs="Times New Roman"/>
          <w:i/>
          <w:iCs/>
          <w:sz w:val="24"/>
          <w:szCs w:val="24"/>
          <w:shd w:val="clear" w:color="auto" w:fill="FFFFFF"/>
          <w:lang w:val="en-US"/>
        </w:rPr>
        <w:t>20</w:t>
      </w:r>
      <w:r w:rsidRPr="001F4A6D">
        <w:rPr>
          <w:rFonts w:ascii="Times New Roman" w:hAnsi="Times New Roman" w:cs="Times New Roman"/>
          <w:sz w:val="24"/>
          <w:szCs w:val="24"/>
          <w:shd w:val="clear" w:color="auto" w:fill="FFFFFF"/>
          <w:lang w:val="en-US"/>
        </w:rPr>
        <w:t>(5), 365-375.</w:t>
      </w:r>
    </w:p>
    <w:p w:rsidR="009679A9" w:rsidRPr="00307792" w:rsidRDefault="009679A9" w:rsidP="009679A9">
      <w:pPr>
        <w:pStyle w:val="10"/>
        <w:spacing w:line="240" w:lineRule="auto"/>
        <w:jc w:val="both"/>
        <w:rPr>
          <w:rFonts w:ascii="Times New Roman" w:eastAsia="Times New Roman" w:hAnsi="Times New Roman" w:cs="Times New Roman"/>
          <w:sz w:val="24"/>
          <w:szCs w:val="24"/>
          <w:lang w:val="en-US"/>
        </w:rPr>
      </w:pPr>
      <w:proofErr w:type="gramStart"/>
      <w:r w:rsidRPr="00307792">
        <w:rPr>
          <w:rFonts w:ascii="Times New Roman" w:eastAsia="Times New Roman" w:hAnsi="Times New Roman" w:cs="Times New Roman"/>
          <w:sz w:val="24"/>
          <w:szCs w:val="24"/>
          <w:lang w:val="en-US"/>
        </w:rPr>
        <w:t>Rose, M. E., &amp; Georg, C. P. (2021).</w:t>
      </w:r>
      <w:proofErr w:type="gramEnd"/>
      <w:r w:rsidRPr="00307792">
        <w:rPr>
          <w:rFonts w:ascii="Times New Roman" w:eastAsia="Times New Roman" w:hAnsi="Times New Roman" w:cs="Times New Roman"/>
          <w:sz w:val="24"/>
          <w:szCs w:val="24"/>
          <w:lang w:val="en-US"/>
        </w:rPr>
        <w:t xml:space="preserve"> What 5,000 acknowledgements tell us about informal collaboration in financial economics. </w:t>
      </w:r>
      <w:r w:rsidRPr="00307792">
        <w:rPr>
          <w:rFonts w:ascii="Times New Roman" w:eastAsia="Times New Roman" w:hAnsi="Times New Roman" w:cs="Times New Roman"/>
          <w:i/>
          <w:sz w:val="24"/>
          <w:szCs w:val="24"/>
          <w:lang w:val="en-US"/>
        </w:rPr>
        <w:t>Research Policy</w:t>
      </w:r>
      <w:r w:rsidRPr="00307792">
        <w:rPr>
          <w:rFonts w:ascii="Times New Roman" w:eastAsia="Times New Roman" w:hAnsi="Times New Roman" w:cs="Times New Roman"/>
          <w:sz w:val="24"/>
          <w:szCs w:val="24"/>
          <w:lang w:val="en-US"/>
        </w:rPr>
        <w:t xml:space="preserve">, </w:t>
      </w:r>
      <w:r w:rsidRPr="00307792">
        <w:rPr>
          <w:rFonts w:ascii="Times New Roman" w:eastAsia="Times New Roman" w:hAnsi="Times New Roman" w:cs="Times New Roman"/>
          <w:i/>
          <w:sz w:val="24"/>
          <w:szCs w:val="24"/>
          <w:lang w:val="en-US"/>
        </w:rPr>
        <w:t>50</w:t>
      </w:r>
      <w:r w:rsidRPr="00307792">
        <w:rPr>
          <w:rFonts w:ascii="Times New Roman" w:eastAsia="Times New Roman" w:hAnsi="Times New Roman" w:cs="Times New Roman"/>
          <w:sz w:val="24"/>
          <w:szCs w:val="24"/>
          <w:lang w:val="en-US"/>
        </w:rPr>
        <w:t>(6), 104236.</w:t>
      </w:r>
    </w:p>
    <w:p w:rsidR="009679A9" w:rsidRPr="009679A9" w:rsidRDefault="009679A9" w:rsidP="009679A9">
      <w:pPr>
        <w:pStyle w:val="10"/>
        <w:spacing w:line="240" w:lineRule="auto"/>
        <w:jc w:val="both"/>
        <w:rPr>
          <w:rFonts w:ascii="Times New Roman" w:hAnsi="Times New Roman" w:cs="Times New Roman"/>
          <w:sz w:val="24"/>
          <w:szCs w:val="24"/>
          <w:highlight w:val="white"/>
        </w:rPr>
      </w:pPr>
      <w:proofErr w:type="spellStart"/>
      <w:r w:rsidRPr="00307792">
        <w:rPr>
          <w:rFonts w:ascii="Times New Roman" w:hAnsi="Times New Roman" w:cs="Times New Roman"/>
          <w:sz w:val="24"/>
          <w:szCs w:val="24"/>
          <w:highlight w:val="white"/>
          <w:lang w:val="en-US"/>
        </w:rPr>
        <w:t>Sabzalieva</w:t>
      </w:r>
      <w:proofErr w:type="spellEnd"/>
      <w:r w:rsidRPr="00307792">
        <w:rPr>
          <w:rFonts w:ascii="Times New Roman" w:hAnsi="Times New Roman" w:cs="Times New Roman"/>
          <w:sz w:val="24"/>
          <w:szCs w:val="24"/>
          <w:highlight w:val="white"/>
          <w:lang w:val="en-US"/>
        </w:rPr>
        <w:t xml:space="preserve">, E. (2020). Negotiating international research collaborations in Tajikistan. </w:t>
      </w:r>
      <w:proofErr w:type="spellStart"/>
      <w:r w:rsidRPr="009679A9">
        <w:rPr>
          <w:rFonts w:ascii="Times New Roman" w:hAnsi="Times New Roman" w:cs="Times New Roman"/>
          <w:i/>
          <w:sz w:val="24"/>
          <w:szCs w:val="24"/>
          <w:highlight w:val="white"/>
        </w:rPr>
        <w:t>Journal</w:t>
      </w:r>
      <w:proofErr w:type="spellEnd"/>
      <w:r w:rsidRPr="009679A9">
        <w:rPr>
          <w:rFonts w:ascii="Times New Roman" w:hAnsi="Times New Roman" w:cs="Times New Roman"/>
          <w:i/>
          <w:sz w:val="24"/>
          <w:szCs w:val="24"/>
          <w:highlight w:val="white"/>
        </w:rPr>
        <w:t xml:space="preserve"> </w:t>
      </w:r>
      <w:proofErr w:type="spellStart"/>
      <w:r w:rsidRPr="009679A9">
        <w:rPr>
          <w:rFonts w:ascii="Times New Roman" w:hAnsi="Times New Roman" w:cs="Times New Roman"/>
          <w:i/>
          <w:sz w:val="24"/>
          <w:szCs w:val="24"/>
          <w:highlight w:val="white"/>
        </w:rPr>
        <w:t>of</w:t>
      </w:r>
      <w:proofErr w:type="spellEnd"/>
      <w:r w:rsidRPr="009679A9">
        <w:rPr>
          <w:rFonts w:ascii="Times New Roman" w:hAnsi="Times New Roman" w:cs="Times New Roman"/>
          <w:i/>
          <w:sz w:val="24"/>
          <w:szCs w:val="24"/>
          <w:highlight w:val="white"/>
        </w:rPr>
        <w:t xml:space="preserve"> </w:t>
      </w:r>
      <w:proofErr w:type="spellStart"/>
      <w:r w:rsidRPr="009679A9">
        <w:rPr>
          <w:rFonts w:ascii="Times New Roman" w:hAnsi="Times New Roman" w:cs="Times New Roman"/>
          <w:i/>
          <w:sz w:val="24"/>
          <w:szCs w:val="24"/>
          <w:highlight w:val="white"/>
        </w:rPr>
        <w:t>Studies</w:t>
      </w:r>
      <w:proofErr w:type="spellEnd"/>
      <w:r w:rsidRPr="009679A9">
        <w:rPr>
          <w:rFonts w:ascii="Times New Roman" w:hAnsi="Times New Roman" w:cs="Times New Roman"/>
          <w:i/>
          <w:sz w:val="24"/>
          <w:szCs w:val="24"/>
          <w:highlight w:val="white"/>
        </w:rPr>
        <w:t xml:space="preserve"> </w:t>
      </w:r>
      <w:proofErr w:type="spellStart"/>
      <w:r w:rsidRPr="009679A9">
        <w:rPr>
          <w:rFonts w:ascii="Times New Roman" w:hAnsi="Times New Roman" w:cs="Times New Roman"/>
          <w:i/>
          <w:sz w:val="24"/>
          <w:szCs w:val="24"/>
          <w:highlight w:val="white"/>
        </w:rPr>
        <w:t>in</w:t>
      </w:r>
      <w:proofErr w:type="spellEnd"/>
      <w:r w:rsidRPr="009679A9">
        <w:rPr>
          <w:rFonts w:ascii="Times New Roman" w:hAnsi="Times New Roman" w:cs="Times New Roman"/>
          <w:i/>
          <w:sz w:val="24"/>
          <w:szCs w:val="24"/>
          <w:highlight w:val="white"/>
        </w:rPr>
        <w:t xml:space="preserve"> </w:t>
      </w:r>
      <w:proofErr w:type="spellStart"/>
      <w:r w:rsidRPr="009679A9">
        <w:rPr>
          <w:rFonts w:ascii="Times New Roman" w:hAnsi="Times New Roman" w:cs="Times New Roman"/>
          <w:i/>
          <w:sz w:val="24"/>
          <w:szCs w:val="24"/>
          <w:highlight w:val="white"/>
        </w:rPr>
        <w:t>International</w:t>
      </w:r>
      <w:proofErr w:type="spellEnd"/>
      <w:r w:rsidRPr="009679A9">
        <w:rPr>
          <w:rFonts w:ascii="Times New Roman" w:hAnsi="Times New Roman" w:cs="Times New Roman"/>
          <w:i/>
          <w:sz w:val="24"/>
          <w:szCs w:val="24"/>
          <w:highlight w:val="white"/>
        </w:rPr>
        <w:t xml:space="preserve"> Education</w:t>
      </w:r>
      <w:r w:rsidRPr="009679A9">
        <w:rPr>
          <w:rFonts w:ascii="Times New Roman" w:hAnsi="Times New Roman" w:cs="Times New Roman"/>
          <w:sz w:val="24"/>
          <w:szCs w:val="24"/>
          <w:highlight w:val="white"/>
        </w:rPr>
        <w:t xml:space="preserve">, </w:t>
      </w:r>
      <w:r w:rsidRPr="009679A9">
        <w:rPr>
          <w:rFonts w:ascii="Times New Roman" w:hAnsi="Times New Roman" w:cs="Times New Roman"/>
          <w:i/>
          <w:sz w:val="24"/>
          <w:szCs w:val="24"/>
          <w:highlight w:val="white"/>
        </w:rPr>
        <w:t>24</w:t>
      </w:r>
      <w:r w:rsidRPr="009679A9">
        <w:rPr>
          <w:rFonts w:ascii="Times New Roman" w:hAnsi="Times New Roman" w:cs="Times New Roman"/>
          <w:sz w:val="24"/>
          <w:szCs w:val="24"/>
          <w:highlight w:val="white"/>
        </w:rPr>
        <w:t>(1), 97-112.</w:t>
      </w:r>
    </w:p>
    <w:p w:rsidR="009679A9" w:rsidRPr="001F4A6D" w:rsidRDefault="009679A9" w:rsidP="009679A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highlight w:val="white"/>
          <w:lang w:val="en-US"/>
        </w:rPr>
        <w:lastRenderedPageBreak/>
        <w:t>Schott, T. (1992). Soviet science in the scientific world system: Was it autarchic, self-reliant, distinctive, isolated, peripheral, central</w:t>
      </w:r>
      <w:proofErr w:type="gramStart"/>
      <w:r w:rsidRPr="00307792">
        <w:rPr>
          <w:rFonts w:ascii="Times New Roman" w:eastAsia="Times New Roman" w:hAnsi="Times New Roman" w:cs="Times New Roman"/>
          <w:sz w:val="24"/>
          <w:szCs w:val="24"/>
          <w:highlight w:val="white"/>
          <w:lang w:val="en-US"/>
        </w:rPr>
        <w:t>?.</w:t>
      </w:r>
      <w:proofErr w:type="gramEnd"/>
      <w:r w:rsidRPr="00307792">
        <w:rPr>
          <w:rFonts w:ascii="Times New Roman" w:eastAsia="Times New Roman" w:hAnsi="Times New Roman" w:cs="Times New Roman"/>
          <w:sz w:val="24"/>
          <w:szCs w:val="24"/>
          <w:highlight w:val="white"/>
          <w:lang w:val="en-US"/>
        </w:rPr>
        <w:t xml:space="preserve"> </w:t>
      </w:r>
      <w:r w:rsidRPr="001F4A6D">
        <w:rPr>
          <w:rFonts w:ascii="Times New Roman" w:eastAsia="Times New Roman" w:hAnsi="Times New Roman" w:cs="Times New Roman"/>
          <w:i/>
          <w:sz w:val="24"/>
          <w:szCs w:val="24"/>
          <w:highlight w:val="white"/>
          <w:lang w:val="en-US"/>
        </w:rPr>
        <w:t>Knowledge</w:t>
      </w:r>
      <w:r w:rsidRPr="001F4A6D">
        <w:rPr>
          <w:rFonts w:ascii="Times New Roman" w:eastAsia="Times New Roman" w:hAnsi="Times New Roman" w:cs="Times New Roman"/>
          <w:sz w:val="24"/>
          <w:szCs w:val="24"/>
          <w:highlight w:val="white"/>
          <w:lang w:val="en-US"/>
        </w:rPr>
        <w:t xml:space="preserve">, </w:t>
      </w:r>
      <w:r w:rsidRPr="001F4A6D">
        <w:rPr>
          <w:rFonts w:ascii="Times New Roman" w:eastAsia="Times New Roman" w:hAnsi="Times New Roman" w:cs="Times New Roman"/>
          <w:i/>
          <w:sz w:val="24"/>
          <w:szCs w:val="24"/>
          <w:highlight w:val="white"/>
          <w:lang w:val="en-US"/>
        </w:rPr>
        <w:t>13</w:t>
      </w:r>
      <w:r w:rsidRPr="001F4A6D">
        <w:rPr>
          <w:rFonts w:ascii="Times New Roman" w:eastAsia="Times New Roman" w:hAnsi="Times New Roman" w:cs="Times New Roman"/>
          <w:sz w:val="24"/>
          <w:szCs w:val="24"/>
          <w:highlight w:val="white"/>
          <w:lang w:val="en-US"/>
        </w:rPr>
        <w:t>(4), 410-439.</w:t>
      </w:r>
    </w:p>
    <w:p w:rsidR="009679A9" w:rsidRPr="009679A9" w:rsidRDefault="009679A9" w:rsidP="009679A9">
      <w:pPr>
        <w:pStyle w:val="10"/>
        <w:spacing w:line="240" w:lineRule="auto"/>
        <w:jc w:val="both"/>
        <w:rPr>
          <w:rFonts w:ascii="Times New Roman" w:hAnsi="Times New Roman" w:cs="Times New Roman"/>
          <w:sz w:val="24"/>
          <w:szCs w:val="24"/>
          <w:highlight w:val="white"/>
        </w:rPr>
      </w:pPr>
      <w:proofErr w:type="spellStart"/>
      <w:r w:rsidRPr="00307792">
        <w:rPr>
          <w:rFonts w:ascii="Times New Roman" w:hAnsi="Times New Roman" w:cs="Times New Roman"/>
          <w:sz w:val="24"/>
          <w:szCs w:val="24"/>
          <w:highlight w:val="white"/>
          <w:lang w:val="en-US"/>
        </w:rPr>
        <w:t>Shamshhieva</w:t>
      </w:r>
      <w:proofErr w:type="spellEnd"/>
      <w:r w:rsidRPr="00307792">
        <w:rPr>
          <w:rFonts w:ascii="Times New Roman" w:hAnsi="Times New Roman" w:cs="Times New Roman"/>
          <w:sz w:val="24"/>
          <w:szCs w:val="24"/>
          <w:highlight w:val="white"/>
          <w:lang w:val="en-US"/>
        </w:rPr>
        <w:t xml:space="preserve">, R. (2022). Building research capacity in higher education: Perceptions of Faculty working in a state university in Kyrgyzstan. </w:t>
      </w:r>
      <w:hyperlink r:id="rId18">
        <w:r w:rsidRPr="009679A9">
          <w:rPr>
            <w:rFonts w:ascii="Times New Roman" w:hAnsi="Times New Roman" w:cs="Times New Roman"/>
            <w:sz w:val="24"/>
            <w:szCs w:val="24"/>
            <w:highlight w:val="white"/>
            <w:u w:val="single"/>
          </w:rPr>
          <w:t>https://nur.nu.edu.kz/bitstream/handle/123456789/6559/Thesis%20-%20Rakhat%20Shamshieva.pdf?sequence=1&amp;isAllowed=y</w:t>
        </w:r>
      </w:hyperlink>
    </w:p>
    <w:p w:rsidR="009679A9" w:rsidRPr="00307792" w:rsidRDefault="009679A9" w:rsidP="009679A9">
      <w:pPr>
        <w:pStyle w:val="10"/>
        <w:spacing w:line="240" w:lineRule="auto"/>
        <w:jc w:val="both"/>
        <w:rPr>
          <w:rFonts w:ascii="Times New Roman" w:eastAsia="Times New Roman" w:hAnsi="Times New Roman" w:cs="Times New Roman"/>
          <w:sz w:val="24"/>
          <w:szCs w:val="24"/>
          <w:lang w:val="en-US"/>
        </w:rPr>
      </w:pPr>
      <w:r w:rsidRPr="00307792">
        <w:rPr>
          <w:rFonts w:ascii="Times New Roman" w:eastAsia="Times New Roman" w:hAnsi="Times New Roman" w:cs="Times New Roman"/>
          <w:sz w:val="24"/>
          <w:szCs w:val="24"/>
          <w:lang w:val="en-US"/>
        </w:rPr>
        <w:t xml:space="preserve">Smirnova, N., Mayr, P. A comprehensive analysis of acknowledgement texts in Web of Science: a case study on four scientific domains. </w:t>
      </w:r>
      <w:proofErr w:type="spellStart"/>
      <w:r w:rsidRPr="00307792">
        <w:rPr>
          <w:rFonts w:ascii="Times New Roman" w:eastAsia="Times New Roman" w:hAnsi="Times New Roman" w:cs="Times New Roman"/>
          <w:i/>
          <w:sz w:val="24"/>
          <w:szCs w:val="24"/>
          <w:lang w:val="en-US"/>
        </w:rPr>
        <w:t>Scientometrics</w:t>
      </w:r>
      <w:proofErr w:type="spellEnd"/>
      <w:r w:rsidRPr="00307792">
        <w:rPr>
          <w:rFonts w:ascii="Times New Roman" w:eastAsia="Times New Roman" w:hAnsi="Times New Roman" w:cs="Times New Roman"/>
          <w:sz w:val="24"/>
          <w:szCs w:val="24"/>
          <w:lang w:val="en-US"/>
        </w:rPr>
        <w:t xml:space="preserve"> </w:t>
      </w:r>
      <w:r w:rsidRPr="00307792">
        <w:rPr>
          <w:rFonts w:ascii="Times New Roman" w:eastAsia="Times New Roman" w:hAnsi="Times New Roman" w:cs="Times New Roman"/>
          <w:b/>
          <w:sz w:val="24"/>
          <w:szCs w:val="24"/>
          <w:lang w:val="en-US"/>
        </w:rPr>
        <w:t>128</w:t>
      </w:r>
      <w:r w:rsidRPr="00307792">
        <w:rPr>
          <w:rFonts w:ascii="Times New Roman" w:eastAsia="Times New Roman" w:hAnsi="Times New Roman" w:cs="Times New Roman"/>
          <w:sz w:val="24"/>
          <w:szCs w:val="24"/>
          <w:lang w:val="en-US"/>
        </w:rPr>
        <w:t>, 709–734 (2023). https://doi.org/10.1007/s11192-022-04554-9</w:t>
      </w:r>
    </w:p>
    <w:p w:rsidR="009679A9" w:rsidRPr="001F4A6D" w:rsidRDefault="009679A9" w:rsidP="009679A9">
      <w:pPr>
        <w:pStyle w:val="10"/>
        <w:spacing w:line="240" w:lineRule="auto"/>
        <w:jc w:val="both"/>
        <w:rPr>
          <w:rFonts w:ascii="Times New Roman" w:eastAsia="Times New Roman" w:hAnsi="Times New Roman" w:cs="Times New Roman"/>
          <w:sz w:val="24"/>
          <w:szCs w:val="24"/>
          <w:lang w:val="en-US"/>
        </w:rPr>
      </w:pPr>
      <w:proofErr w:type="spellStart"/>
      <w:r w:rsidRPr="00307792">
        <w:rPr>
          <w:rFonts w:ascii="Times New Roman" w:eastAsia="Times New Roman" w:hAnsi="Times New Roman" w:cs="Times New Roman"/>
          <w:sz w:val="24"/>
          <w:szCs w:val="24"/>
          <w:lang w:val="en-US"/>
        </w:rPr>
        <w:t>Sterligov</w:t>
      </w:r>
      <w:proofErr w:type="spellEnd"/>
      <w:r w:rsidRPr="00307792">
        <w:rPr>
          <w:rFonts w:ascii="Times New Roman" w:eastAsia="Times New Roman" w:hAnsi="Times New Roman" w:cs="Times New Roman"/>
          <w:sz w:val="24"/>
          <w:szCs w:val="24"/>
          <w:lang w:val="en-US"/>
        </w:rPr>
        <w:t xml:space="preserve">, I. (2023) Before and After the Fall: Geography of Soviet and Post-Soviet Physics Surveyed via Leading Journals. </w:t>
      </w:r>
      <w:r w:rsidRPr="001F4A6D">
        <w:rPr>
          <w:rFonts w:ascii="Times New Roman" w:eastAsia="Times New Roman" w:hAnsi="Times New Roman" w:cs="Times New Roman"/>
          <w:i/>
          <w:sz w:val="24"/>
          <w:szCs w:val="24"/>
          <w:lang w:val="en-US"/>
        </w:rPr>
        <w:t>Physics in Perspective</w:t>
      </w:r>
      <w:r w:rsidRPr="001F4A6D">
        <w:rPr>
          <w:rFonts w:ascii="Times New Roman" w:eastAsia="Times New Roman" w:hAnsi="Times New Roman" w:cs="Times New Roman"/>
          <w:sz w:val="24"/>
          <w:szCs w:val="24"/>
          <w:lang w:val="en-US"/>
        </w:rPr>
        <w:t xml:space="preserve"> (forthcoming)</w:t>
      </w:r>
    </w:p>
    <w:p w:rsidR="009679A9" w:rsidRPr="001F4A6D" w:rsidRDefault="009679A9" w:rsidP="009679A9">
      <w:pPr>
        <w:pStyle w:val="10"/>
        <w:spacing w:line="240" w:lineRule="auto"/>
        <w:jc w:val="both"/>
        <w:rPr>
          <w:rFonts w:ascii="Times New Roman" w:eastAsia="Times New Roman" w:hAnsi="Times New Roman" w:cs="Times New Roman"/>
          <w:sz w:val="24"/>
          <w:szCs w:val="24"/>
          <w:lang w:val="en-US"/>
        </w:rPr>
      </w:pPr>
      <w:proofErr w:type="spellStart"/>
      <w:proofErr w:type="gramStart"/>
      <w:r w:rsidRPr="00307792">
        <w:rPr>
          <w:rFonts w:ascii="Times New Roman" w:hAnsi="Times New Roman" w:cs="Times New Roman"/>
          <w:sz w:val="24"/>
          <w:szCs w:val="24"/>
          <w:shd w:val="clear" w:color="auto" w:fill="FFFFFF"/>
          <w:lang w:val="en-US"/>
        </w:rPr>
        <w:t>Sterligov</w:t>
      </w:r>
      <w:proofErr w:type="spellEnd"/>
      <w:r w:rsidRPr="00307792">
        <w:rPr>
          <w:rFonts w:ascii="Times New Roman" w:hAnsi="Times New Roman" w:cs="Times New Roman"/>
          <w:sz w:val="24"/>
          <w:szCs w:val="24"/>
          <w:shd w:val="clear" w:color="auto" w:fill="FFFFFF"/>
          <w:lang w:val="en-US"/>
        </w:rPr>
        <w:t xml:space="preserve">, I. A., Savina, T. F., &amp; </w:t>
      </w:r>
      <w:proofErr w:type="spellStart"/>
      <w:r w:rsidRPr="00307792">
        <w:rPr>
          <w:rFonts w:ascii="Times New Roman" w:hAnsi="Times New Roman" w:cs="Times New Roman"/>
          <w:sz w:val="24"/>
          <w:szCs w:val="24"/>
          <w:shd w:val="clear" w:color="auto" w:fill="FFFFFF"/>
          <w:lang w:val="en-US"/>
        </w:rPr>
        <w:t>Chichkova</w:t>
      </w:r>
      <w:proofErr w:type="spellEnd"/>
      <w:r w:rsidRPr="00307792">
        <w:rPr>
          <w:rFonts w:ascii="Times New Roman" w:hAnsi="Times New Roman" w:cs="Times New Roman"/>
          <w:sz w:val="24"/>
          <w:szCs w:val="24"/>
          <w:shd w:val="clear" w:color="auto" w:fill="FFFFFF"/>
          <w:lang w:val="en-US"/>
        </w:rPr>
        <w:t>, A. O. (2020).</w:t>
      </w:r>
      <w:proofErr w:type="gramEnd"/>
      <w:r w:rsidRPr="00307792">
        <w:rPr>
          <w:rFonts w:ascii="Times New Roman" w:hAnsi="Times New Roman" w:cs="Times New Roman"/>
          <w:sz w:val="24"/>
          <w:szCs w:val="24"/>
          <w:shd w:val="clear" w:color="auto" w:fill="FFFFFF"/>
          <w:lang w:val="en-US"/>
        </w:rPr>
        <w:t xml:space="preserve"> A Study of Grant Support from Russian Scientific Foundations to Domestic Publications in Leading International Journals (based on Data from Scopus and Web of Science, the Russian Foundation for Basic Research, and the Russian Science Foundation). </w:t>
      </w:r>
      <w:r w:rsidRPr="001F4A6D">
        <w:rPr>
          <w:rFonts w:ascii="Times New Roman" w:hAnsi="Times New Roman" w:cs="Times New Roman"/>
          <w:i/>
          <w:iCs/>
          <w:sz w:val="24"/>
          <w:szCs w:val="24"/>
          <w:shd w:val="clear" w:color="auto" w:fill="FFFFFF"/>
          <w:lang w:val="en-US"/>
        </w:rPr>
        <w:t>Scientific and Technical Information Processing</w:t>
      </w:r>
      <w:r w:rsidRPr="001F4A6D">
        <w:rPr>
          <w:rFonts w:ascii="Times New Roman" w:hAnsi="Times New Roman" w:cs="Times New Roman"/>
          <w:sz w:val="24"/>
          <w:szCs w:val="24"/>
          <w:shd w:val="clear" w:color="auto" w:fill="FFFFFF"/>
          <w:lang w:val="en-US"/>
        </w:rPr>
        <w:t xml:space="preserve">, </w:t>
      </w:r>
      <w:r w:rsidRPr="001F4A6D">
        <w:rPr>
          <w:rFonts w:ascii="Times New Roman" w:hAnsi="Times New Roman" w:cs="Times New Roman"/>
          <w:i/>
          <w:iCs/>
          <w:sz w:val="24"/>
          <w:szCs w:val="24"/>
          <w:shd w:val="clear" w:color="auto" w:fill="FFFFFF"/>
          <w:lang w:val="en-US"/>
        </w:rPr>
        <w:t>47</w:t>
      </w:r>
      <w:r w:rsidRPr="001F4A6D">
        <w:rPr>
          <w:rFonts w:ascii="Times New Roman" w:hAnsi="Times New Roman" w:cs="Times New Roman"/>
          <w:sz w:val="24"/>
          <w:szCs w:val="24"/>
          <w:shd w:val="clear" w:color="auto" w:fill="FFFFFF"/>
          <w:lang w:val="en-US"/>
        </w:rPr>
        <w:t>, 36-55.</w:t>
      </w:r>
      <w:hyperlink r:id="rId19">
        <w:r w:rsidRPr="001F4A6D">
          <w:rPr>
            <w:rFonts w:ascii="Times New Roman" w:eastAsia="Times New Roman" w:hAnsi="Times New Roman" w:cs="Times New Roman"/>
            <w:sz w:val="24"/>
            <w:szCs w:val="24"/>
            <w:lang w:val="en-US"/>
          </w:rPr>
          <w:t xml:space="preserve"> https://doi.org/10.3103/S0147688220010074</w:t>
        </w:r>
      </w:hyperlink>
    </w:p>
    <w:p w:rsidR="009679A9" w:rsidRPr="00307792" w:rsidRDefault="009679A9" w:rsidP="009679A9">
      <w:pPr>
        <w:pStyle w:val="10"/>
        <w:spacing w:line="240" w:lineRule="auto"/>
        <w:jc w:val="both"/>
        <w:rPr>
          <w:rFonts w:ascii="Times New Roman" w:hAnsi="Times New Roman" w:cs="Times New Roman"/>
          <w:sz w:val="24"/>
          <w:szCs w:val="24"/>
          <w:shd w:val="clear" w:color="auto" w:fill="FFFFFF"/>
          <w:lang w:val="en-US"/>
        </w:rPr>
      </w:pPr>
      <w:proofErr w:type="gramStart"/>
      <w:r w:rsidRPr="00307792">
        <w:rPr>
          <w:rFonts w:ascii="Times New Roman" w:hAnsi="Times New Roman" w:cs="Times New Roman"/>
          <w:sz w:val="24"/>
          <w:szCs w:val="24"/>
          <w:shd w:val="clear" w:color="auto" w:fill="FFFFFF"/>
          <w:lang w:val="en-US"/>
        </w:rPr>
        <w:t>Tang, L., Hu, G., &amp; Liu, W. (2017).</w:t>
      </w:r>
      <w:proofErr w:type="gramEnd"/>
      <w:r w:rsidRPr="00307792">
        <w:rPr>
          <w:rFonts w:ascii="Times New Roman" w:hAnsi="Times New Roman" w:cs="Times New Roman"/>
          <w:sz w:val="24"/>
          <w:szCs w:val="24"/>
          <w:shd w:val="clear" w:color="auto" w:fill="FFFFFF"/>
          <w:lang w:val="en-US"/>
        </w:rPr>
        <w:t xml:space="preserve"> Funding acknowledgment analysis: Queries and caveats. </w:t>
      </w:r>
      <w:r w:rsidRPr="00307792">
        <w:rPr>
          <w:rFonts w:ascii="Times New Roman" w:hAnsi="Times New Roman" w:cs="Times New Roman"/>
          <w:i/>
          <w:iCs/>
          <w:sz w:val="24"/>
          <w:szCs w:val="24"/>
          <w:shd w:val="clear" w:color="auto" w:fill="FFFFFF"/>
          <w:lang w:val="en-US"/>
        </w:rPr>
        <w:t>Journal of the Association for Information Science and Technology</w:t>
      </w:r>
      <w:r w:rsidRPr="00307792">
        <w:rPr>
          <w:rFonts w:ascii="Times New Roman" w:hAnsi="Times New Roman" w:cs="Times New Roman"/>
          <w:sz w:val="24"/>
          <w:szCs w:val="24"/>
          <w:shd w:val="clear" w:color="auto" w:fill="FFFFFF"/>
          <w:lang w:val="en-US"/>
        </w:rPr>
        <w:t xml:space="preserve">, </w:t>
      </w:r>
      <w:r w:rsidRPr="00307792">
        <w:rPr>
          <w:rFonts w:ascii="Times New Roman" w:hAnsi="Times New Roman" w:cs="Times New Roman"/>
          <w:i/>
          <w:iCs/>
          <w:sz w:val="24"/>
          <w:szCs w:val="24"/>
          <w:shd w:val="clear" w:color="auto" w:fill="FFFFFF"/>
          <w:lang w:val="en-US"/>
        </w:rPr>
        <w:t>68</w:t>
      </w:r>
      <w:r w:rsidRPr="00307792">
        <w:rPr>
          <w:rFonts w:ascii="Times New Roman" w:hAnsi="Times New Roman" w:cs="Times New Roman"/>
          <w:sz w:val="24"/>
          <w:szCs w:val="24"/>
          <w:shd w:val="clear" w:color="auto" w:fill="FFFFFF"/>
          <w:lang w:val="en-US"/>
        </w:rPr>
        <w:t>(3), 790-794.</w:t>
      </w:r>
    </w:p>
    <w:p w:rsidR="009679A9" w:rsidRPr="00307792" w:rsidRDefault="009679A9" w:rsidP="009679A9">
      <w:pPr>
        <w:pStyle w:val="10"/>
        <w:spacing w:line="240" w:lineRule="auto"/>
        <w:jc w:val="both"/>
        <w:rPr>
          <w:rFonts w:ascii="Times New Roman" w:eastAsia="Times New Roman" w:hAnsi="Times New Roman" w:cs="Times New Roman"/>
          <w:sz w:val="24"/>
          <w:szCs w:val="24"/>
          <w:lang w:val="en-US"/>
        </w:rPr>
      </w:pPr>
      <w:proofErr w:type="spellStart"/>
      <w:r w:rsidRPr="00307792">
        <w:rPr>
          <w:rFonts w:ascii="Times New Roman" w:hAnsi="Times New Roman" w:cs="Times New Roman"/>
          <w:sz w:val="24"/>
          <w:szCs w:val="24"/>
          <w:shd w:val="clear" w:color="auto" w:fill="FFFFFF"/>
          <w:lang w:val="en-US"/>
        </w:rPr>
        <w:t>Tarkhan-Mouravi</w:t>
      </w:r>
      <w:proofErr w:type="spellEnd"/>
      <w:r w:rsidRPr="00307792">
        <w:rPr>
          <w:rFonts w:ascii="Times New Roman" w:hAnsi="Times New Roman" w:cs="Times New Roman"/>
          <w:sz w:val="24"/>
          <w:szCs w:val="24"/>
          <w:shd w:val="clear" w:color="auto" w:fill="FFFFFF"/>
          <w:lang w:val="en-US"/>
        </w:rPr>
        <w:t xml:space="preserve">, S. (2020). Traditional indicators inflate some countries’ scientific impact over 10 times. </w:t>
      </w:r>
      <w:proofErr w:type="spellStart"/>
      <w:r w:rsidRPr="00307792">
        <w:rPr>
          <w:rFonts w:ascii="Times New Roman" w:hAnsi="Times New Roman" w:cs="Times New Roman"/>
          <w:i/>
          <w:iCs/>
          <w:sz w:val="24"/>
          <w:szCs w:val="24"/>
          <w:shd w:val="clear" w:color="auto" w:fill="FFFFFF"/>
          <w:lang w:val="en-US"/>
        </w:rPr>
        <w:t>Scientometrics</w:t>
      </w:r>
      <w:proofErr w:type="spellEnd"/>
      <w:r w:rsidRPr="00307792">
        <w:rPr>
          <w:rFonts w:ascii="Times New Roman" w:hAnsi="Times New Roman" w:cs="Times New Roman"/>
          <w:sz w:val="24"/>
          <w:szCs w:val="24"/>
          <w:shd w:val="clear" w:color="auto" w:fill="FFFFFF"/>
          <w:lang w:val="en-US"/>
        </w:rPr>
        <w:t xml:space="preserve">, </w:t>
      </w:r>
      <w:r w:rsidRPr="00307792">
        <w:rPr>
          <w:rFonts w:ascii="Times New Roman" w:hAnsi="Times New Roman" w:cs="Times New Roman"/>
          <w:i/>
          <w:iCs/>
          <w:sz w:val="24"/>
          <w:szCs w:val="24"/>
          <w:shd w:val="clear" w:color="auto" w:fill="FFFFFF"/>
          <w:lang w:val="en-US"/>
        </w:rPr>
        <w:t>123</w:t>
      </w:r>
      <w:r w:rsidRPr="00307792">
        <w:rPr>
          <w:rFonts w:ascii="Times New Roman" w:hAnsi="Times New Roman" w:cs="Times New Roman"/>
          <w:sz w:val="24"/>
          <w:szCs w:val="24"/>
          <w:shd w:val="clear" w:color="auto" w:fill="FFFFFF"/>
          <w:lang w:val="en-US"/>
        </w:rPr>
        <w:t>(1), 337-356.</w:t>
      </w:r>
      <w:hyperlink r:id="rId20">
        <w:r w:rsidRPr="00307792">
          <w:rPr>
            <w:rFonts w:ascii="Times New Roman" w:eastAsia="Times New Roman" w:hAnsi="Times New Roman" w:cs="Times New Roman"/>
            <w:sz w:val="24"/>
            <w:szCs w:val="24"/>
            <w:lang w:val="en-US"/>
          </w:rPr>
          <w:t xml:space="preserve"> https://doi.org/10.1007/s11192-020-03372-1</w:t>
        </w:r>
      </w:hyperlink>
    </w:p>
    <w:p w:rsidR="009679A9" w:rsidRPr="001F4A6D" w:rsidRDefault="009679A9" w:rsidP="009679A9">
      <w:pPr>
        <w:pStyle w:val="10"/>
        <w:spacing w:line="240" w:lineRule="auto"/>
        <w:jc w:val="both"/>
        <w:rPr>
          <w:rFonts w:ascii="Times New Roman" w:hAnsi="Times New Roman" w:cs="Times New Roman"/>
          <w:sz w:val="24"/>
          <w:szCs w:val="24"/>
          <w:highlight w:val="white"/>
          <w:lang w:val="en-US"/>
        </w:rPr>
      </w:pPr>
      <w:proofErr w:type="spellStart"/>
      <w:r w:rsidRPr="00307792">
        <w:rPr>
          <w:rFonts w:ascii="Times New Roman" w:hAnsi="Times New Roman" w:cs="Times New Roman"/>
          <w:sz w:val="24"/>
          <w:szCs w:val="24"/>
          <w:highlight w:val="white"/>
          <w:lang w:val="en-US"/>
        </w:rPr>
        <w:t>Tõnismann</w:t>
      </w:r>
      <w:proofErr w:type="spellEnd"/>
      <w:r w:rsidRPr="00307792">
        <w:rPr>
          <w:rFonts w:ascii="Times New Roman" w:hAnsi="Times New Roman" w:cs="Times New Roman"/>
          <w:sz w:val="24"/>
          <w:szCs w:val="24"/>
          <w:highlight w:val="white"/>
          <w:lang w:val="en-US"/>
        </w:rPr>
        <w:t xml:space="preserve">, T. (2019). Paths of Baltic States public research funding 1989–2010: Between institutional heritage and </w:t>
      </w:r>
      <w:proofErr w:type="spellStart"/>
      <w:r w:rsidRPr="00307792">
        <w:rPr>
          <w:rFonts w:ascii="Times New Roman" w:hAnsi="Times New Roman" w:cs="Times New Roman"/>
          <w:sz w:val="24"/>
          <w:szCs w:val="24"/>
          <w:highlight w:val="white"/>
          <w:lang w:val="en-US"/>
        </w:rPr>
        <w:t>internationalisation</w:t>
      </w:r>
      <w:proofErr w:type="spellEnd"/>
      <w:r w:rsidRPr="00307792">
        <w:rPr>
          <w:rFonts w:ascii="Times New Roman" w:hAnsi="Times New Roman" w:cs="Times New Roman"/>
          <w:sz w:val="24"/>
          <w:szCs w:val="24"/>
          <w:highlight w:val="white"/>
          <w:lang w:val="en-US"/>
        </w:rPr>
        <w:t xml:space="preserve">. </w:t>
      </w:r>
      <w:r w:rsidRPr="001F4A6D">
        <w:rPr>
          <w:rFonts w:ascii="Times New Roman" w:hAnsi="Times New Roman" w:cs="Times New Roman"/>
          <w:i/>
          <w:sz w:val="24"/>
          <w:szCs w:val="24"/>
          <w:highlight w:val="white"/>
          <w:lang w:val="en-US"/>
        </w:rPr>
        <w:t>Science and Public Policy</w:t>
      </w:r>
      <w:r w:rsidRPr="001F4A6D">
        <w:rPr>
          <w:rFonts w:ascii="Times New Roman" w:hAnsi="Times New Roman" w:cs="Times New Roman"/>
          <w:sz w:val="24"/>
          <w:szCs w:val="24"/>
          <w:highlight w:val="white"/>
          <w:lang w:val="en-US"/>
        </w:rPr>
        <w:t xml:space="preserve">, </w:t>
      </w:r>
      <w:r w:rsidRPr="001F4A6D">
        <w:rPr>
          <w:rFonts w:ascii="Times New Roman" w:hAnsi="Times New Roman" w:cs="Times New Roman"/>
          <w:i/>
          <w:sz w:val="24"/>
          <w:szCs w:val="24"/>
          <w:highlight w:val="white"/>
          <w:lang w:val="en-US"/>
        </w:rPr>
        <w:t>46</w:t>
      </w:r>
      <w:r w:rsidRPr="001F4A6D">
        <w:rPr>
          <w:rFonts w:ascii="Times New Roman" w:hAnsi="Times New Roman" w:cs="Times New Roman"/>
          <w:sz w:val="24"/>
          <w:szCs w:val="24"/>
          <w:highlight w:val="white"/>
          <w:lang w:val="en-US"/>
        </w:rPr>
        <w:t>(3), 391-403.</w:t>
      </w:r>
    </w:p>
    <w:p w:rsidR="009679A9" w:rsidRPr="001F4A6D" w:rsidRDefault="009679A9" w:rsidP="009679A9">
      <w:pPr>
        <w:pStyle w:val="10"/>
        <w:spacing w:line="240" w:lineRule="auto"/>
        <w:jc w:val="both"/>
        <w:rPr>
          <w:rFonts w:ascii="Times New Roman" w:hAnsi="Times New Roman" w:cs="Times New Roman"/>
          <w:sz w:val="24"/>
          <w:szCs w:val="24"/>
          <w:shd w:val="clear" w:color="auto" w:fill="FFFFFF"/>
          <w:lang w:val="en-US"/>
        </w:rPr>
      </w:pPr>
      <w:proofErr w:type="gramStart"/>
      <w:r w:rsidRPr="00307792">
        <w:rPr>
          <w:rFonts w:ascii="Times New Roman" w:hAnsi="Times New Roman" w:cs="Times New Roman"/>
          <w:sz w:val="24"/>
          <w:szCs w:val="24"/>
          <w:shd w:val="clear" w:color="auto" w:fill="FFFFFF"/>
          <w:lang w:val="en-US"/>
        </w:rPr>
        <w:t xml:space="preserve">Wagner, C. S., </w:t>
      </w:r>
      <w:proofErr w:type="spellStart"/>
      <w:r w:rsidRPr="00307792">
        <w:rPr>
          <w:rFonts w:ascii="Times New Roman" w:hAnsi="Times New Roman" w:cs="Times New Roman"/>
          <w:sz w:val="24"/>
          <w:szCs w:val="24"/>
          <w:shd w:val="clear" w:color="auto" w:fill="FFFFFF"/>
          <w:lang w:val="en-US"/>
        </w:rPr>
        <w:t>Whetsell</w:t>
      </w:r>
      <w:proofErr w:type="spellEnd"/>
      <w:r w:rsidRPr="00307792">
        <w:rPr>
          <w:rFonts w:ascii="Times New Roman" w:hAnsi="Times New Roman" w:cs="Times New Roman"/>
          <w:sz w:val="24"/>
          <w:szCs w:val="24"/>
          <w:shd w:val="clear" w:color="auto" w:fill="FFFFFF"/>
          <w:lang w:val="en-US"/>
        </w:rPr>
        <w:t xml:space="preserve">, T. A., &amp; </w:t>
      </w:r>
      <w:proofErr w:type="spellStart"/>
      <w:r w:rsidRPr="00307792">
        <w:rPr>
          <w:rFonts w:ascii="Times New Roman" w:hAnsi="Times New Roman" w:cs="Times New Roman"/>
          <w:sz w:val="24"/>
          <w:szCs w:val="24"/>
          <w:shd w:val="clear" w:color="auto" w:fill="FFFFFF"/>
          <w:lang w:val="en-US"/>
        </w:rPr>
        <w:t>Leydesdorff</w:t>
      </w:r>
      <w:proofErr w:type="spellEnd"/>
      <w:r w:rsidRPr="00307792">
        <w:rPr>
          <w:rFonts w:ascii="Times New Roman" w:hAnsi="Times New Roman" w:cs="Times New Roman"/>
          <w:sz w:val="24"/>
          <w:szCs w:val="24"/>
          <w:shd w:val="clear" w:color="auto" w:fill="FFFFFF"/>
          <w:lang w:val="en-US"/>
        </w:rPr>
        <w:t>, L. (2017).</w:t>
      </w:r>
      <w:proofErr w:type="gramEnd"/>
      <w:r w:rsidRPr="00307792">
        <w:rPr>
          <w:rFonts w:ascii="Times New Roman" w:hAnsi="Times New Roman" w:cs="Times New Roman"/>
          <w:sz w:val="24"/>
          <w:szCs w:val="24"/>
          <w:shd w:val="clear" w:color="auto" w:fill="FFFFFF"/>
          <w:lang w:val="en-US"/>
        </w:rPr>
        <w:t xml:space="preserve"> Growth of international collaboration in science: revisiting six specialties. </w:t>
      </w:r>
      <w:proofErr w:type="spellStart"/>
      <w:r w:rsidRPr="001F4A6D">
        <w:rPr>
          <w:rFonts w:ascii="Times New Roman" w:hAnsi="Times New Roman" w:cs="Times New Roman"/>
          <w:i/>
          <w:iCs/>
          <w:sz w:val="24"/>
          <w:szCs w:val="24"/>
          <w:shd w:val="clear" w:color="auto" w:fill="FFFFFF"/>
          <w:lang w:val="en-US"/>
        </w:rPr>
        <w:t>Scientometrics</w:t>
      </w:r>
      <w:proofErr w:type="spellEnd"/>
      <w:r w:rsidRPr="001F4A6D">
        <w:rPr>
          <w:rFonts w:ascii="Times New Roman" w:hAnsi="Times New Roman" w:cs="Times New Roman"/>
          <w:sz w:val="24"/>
          <w:szCs w:val="24"/>
          <w:shd w:val="clear" w:color="auto" w:fill="FFFFFF"/>
          <w:lang w:val="en-US"/>
        </w:rPr>
        <w:t xml:space="preserve">, </w:t>
      </w:r>
      <w:r w:rsidRPr="001F4A6D">
        <w:rPr>
          <w:rFonts w:ascii="Times New Roman" w:hAnsi="Times New Roman" w:cs="Times New Roman"/>
          <w:i/>
          <w:iCs/>
          <w:sz w:val="24"/>
          <w:szCs w:val="24"/>
          <w:shd w:val="clear" w:color="auto" w:fill="FFFFFF"/>
          <w:lang w:val="en-US"/>
        </w:rPr>
        <w:t>110</w:t>
      </w:r>
      <w:r w:rsidRPr="001F4A6D">
        <w:rPr>
          <w:rFonts w:ascii="Times New Roman" w:hAnsi="Times New Roman" w:cs="Times New Roman"/>
          <w:sz w:val="24"/>
          <w:szCs w:val="24"/>
          <w:shd w:val="clear" w:color="auto" w:fill="FFFFFF"/>
          <w:lang w:val="en-US"/>
        </w:rPr>
        <w:t>, 1633-1652.</w:t>
      </w:r>
    </w:p>
    <w:p w:rsidR="009679A9" w:rsidRPr="001F4A6D" w:rsidRDefault="009679A9" w:rsidP="009679A9">
      <w:pPr>
        <w:pStyle w:val="10"/>
        <w:spacing w:line="240" w:lineRule="auto"/>
        <w:jc w:val="both"/>
        <w:rPr>
          <w:rFonts w:ascii="Times New Roman" w:eastAsia="Times New Roman" w:hAnsi="Times New Roman" w:cs="Times New Roman"/>
          <w:sz w:val="24"/>
          <w:szCs w:val="24"/>
          <w:highlight w:val="white"/>
          <w:lang w:val="en-US"/>
        </w:rPr>
      </w:pPr>
      <w:proofErr w:type="gramStart"/>
      <w:r w:rsidRPr="00307792">
        <w:rPr>
          <w:rFonts w:ascii="Times New Roman" w:hAnsi="Times New Roman" w:cs="Times New Roman"/>
          <w:sz w:val="24"/>
          <w:szCs w:val="24"/>
          <w:shd w:val="clear" w:color="auto" w:fill="FFFFFF"/>
          <w:lang w:val="en-US"/>
        </w:rPr>
        <w:t xml:space="preserve">Wang, L., Wang, X., </w:t>
      </w:r>
      <w:proofErr w:type="spellStart"/>
      <w:r w:rsidRPr="00307792">
        <w:rPr>
          <w:rFonts w:ascii="Times New Roman" w:hAnsi="Times New Roman" w:cs="Times New Roman"/>
          <w:sz w:val="24"/>
          <w:szCs w:val="24"/>
          <w:shd w:val="clear" w:color="auto" w:fill="FFFFFF"/>
          <w:lang w:val="en-US"/>
        </w:rPr>
        <w:t>Piro</w:t>
      </w:r>
      <w:proofErr w:type="spellEnd"/>
      <w:r w:rsidRPr="00307792">
        <w:rPr>
          <w:rFonts w:ascii="Times New Roman" w:hAnsi="Times New Roman" w:cs="Times New Roman"/>
          <w:sz w:val="24"/>
          <w:szCs w:val="24"/>
          <w:shd w:val="clear" w:color="auto" w:fill="FFFFFF"/>
          <w:lang w:val="en-US"/>
        </w:rPr>
        <w:t xml:space="preserve">, F. N., &amp; </w:t>
      </w:r>
      <w:proofErr w:type="spellStart"/>
      <w:r w:rsidRPr="00307792">
        <w:rPr>
          <w:rFonts w:ascii="Times New Roman" w:hAnsi="Times New Roman" w:cs="Times New Roman"/>
          <w:sz w:val="24"/>
          <w:szCs w:val="24"/>
          <w:shd w:val="clear" w:color="auto" w:fill="FFFFFF"/>
          <w:lang w:val="en-US"/>
        </w:rPr>
        <w:t>Philipsen</w:t>
      </w:r>
      <w:proofErr w:type="spellEnd"/>
      <w:r w:rsidRPr="00307792">
        <w:rPr>
          <w:rFonts w:ascii="Times New Roman" w:hAnsi="Times New Roman" w:cs="Times New Roman"/>
          <w:sz w:val="24"/>
          <w:szCs w:val="24"/>
          <w:shd w:val="clear" w:color="auto" w:fill="FFFFFF"/>
          <w:lang w:val="en-US"/>
        </w:rPr>
        <w:t>, N. J. (2020).</w:t>
      </w:r>
      <w:proofErr w:type="gramEnd"/>
      <w:r w:rsidRPr="00307792">
        <w:rPr>
          <w:rFonts w:ascii="Times New Roman" w:hAnsi="Times New Roman" w:cs="Times New Roman"/>
          <w:sz w:val="24"/>
          <w:szCs w:val="24"/>
          <w:shd w:val="clear" w:color="auto" w:fill="FFFFFF"/>
          <w:lang w:val="en-US"/>
        </w:rPr>
        <w:t xml:space="preserve"> The effect of competitive public funding on scientific output: A comparison between China and the EU. </w:t>
      </w:r>
      <w:r w:rsidRPr="001F4A6D">
        <w:rPr>
          <w:rFonts w:ascii="Times New Roman" w:hAnsi="Times New Roman" w:cs="Times New Roman"/>
          <w:i/>
          <w:iCs/>
          <w:sz w:val="24"/>
          <w:szCs w:val="24"/>
          <w:shd w:val="clear" w:color="auto" w:fill="FFFFFF"/>
          <w:lang w:val="en-US"/>
        </w:rPr>
        <w:t>Research Evaluation</w:t>
      </w:r>
      <w:r w:rsidRPr="001F4A6D">
        <w:rPr>
          <w:rFonts w:ascii="Times New Roman" w:hAnsi="Times New Roman" w:cs="Times New Roman"/>
          <w:sz w:val="24"/>
          <w:szCs w:val="24"/>
          <w:shd w:val="clear" w:color="auto" w:fill="FFFFFF"/>
          <w:lang w:val="en-US"/>
        </w:rPr>
        <w:t xml:space="preserve">, </w:t>
      </w:r>
      <w:r w:rsidRPr="001F4A6D">
        <w:rPr>
          <w:rFonts w:ascii="Times New Roman" w:hAnsi="Times New Roman" w:cs="Times New Roman"/>
          <w:i/>
          <w:iCs/>
          <w:sz w:val="24"/>
          <w:szCs w:val="24"/>
          <w:shd w:val="clear" w:color="auto" w:fill="FFFFFF"/>
          <w:lang w:val="en-US"/>
        </w:rPr>
        <w:t>29</w:t>
      </w:r>
      <w:r w:rsidRPr="001F4A6D">
        <w:rPr>
          <w:rFonts w:ascii="Times New Roman" w:hAnsi="Times New Roman" w:cs="Times New Roman"/>
          <w:sz w:val="24"/>
          <w:szCs w:val="24"/>
          <w:shd w:val="clear" w:color="auto" w:fill="FFFFFF"/>
          <w:lang w:val="en-US"/>
        </w:rPr>
        <w:t>(4), 418-429.</w:t>
      </w:r>
    </w:p>
    <w:p w:rsidR="009679A9" w:rsidRPr="009679A9" w:rsidRDefault="009679A9" w:rsidP="009679A9">
      <w:pPr>
        <w:pStyle w:val="10"/>
        <w:spacing w:line="240" w:lineRule="auto"/>
        <w:jc w:val="both"/>
        <w:rPr>
          <w:rFonts w:ascii="Times New Roman" w:eastAsia="Times New Roman" w:hAnsi="Times New Roman" w:cs="Times New Roman"/>
          <w:sz w:val="24"/>
          <w:szCs w:val="24"/>
          <w:highlight w:val="white"/>
        </w:rPr>
      </w:pPr>
      <w:proofErr w:type="gramStart"/>
      <w:r w:rsidRPr="00307792">
        <w:rPr>
          <w:rFonts w:ascii="Times New Roman" w:hAnsi="Times New Roman" w:cs="Times New Roman"/>
          <w:sz w:val="24"/>
          <w:szCs w:val="24"/>
          <w:shd w:val="clear" w:color="auto" w:fill="FFFFFF"/>
          <w:lang w:val="en-US"/>
        </w:rPr>
        <w:t>Wang, X., Liu, D., Ding, K., &amp; Wang, X. (2012).</w:t>
      </w:r>
      <w:proofErr w:type="gramEnd"/>
      <w:r w:rsidRPr="00307792">
        <w:rPr>
          <w:rFonts w:ascii="Times New Roman" w:hAnsi="Times New Roman" w:cs="Times New Roman"/>
          <w:sz w:val="24"/>
          <w:szCs w:val="24"/>
          <w:shd w:val="clear" w:color="auto" w:fill="FFFFFF"/>
          <w:lang w:val="en-US"/>
        </w:rPr>
        <w:t xml:space="preserve"> Science funding and research output: a study on 10 countries. </w:t>
      </w:r>
      <w:proofErr w:type="spellStart"/>
      <w:r w:rsidRPr="009679A9">
        <w:rPr>
          <w:rFonts w:ascii="Times New Roman" w:hAnsi="Times New Roman" w:cs="Times New Roman"/>
          <w:i/>
          <w:iCs/>
          <w:sz w:val="24"/>
          <w:szCs w:val="24"/>
          <w:shd w:val="clear" w:color="auto" w:fill="FFFFFF"/>
        </w:rPr>
        <w:t>Scientometrics</w:t>
      </w:r>
      <w:proofErr w:type="spellEnd"/>
      <w:r w:rsidRPr="009679A9">
        <w:rPr>
          <w:rFonts w:ascii="Times New Roman" w:hAnsi="Times New Roman" w:cs="Times New Roman"/>
          <w:sz w:val="24"/>
          <w:szCs w:val="24"/>
          <w:shd w:val="clear" w:color="auto" w:fill="FFFFFF"/>
        </w:rPr>
        <w:t xml:space="preserve">, </w:t>
      </w:r>
      <w:r w:rsidRPr="009679A9">
        <w:rPr>
          <w:rFonts w:ascii="Times New Roman" w:hAnsi="Times New Roman" w:cs="Times New Roman"/>
          <w:i/>
          <w:iCs/>
          <w:sz w:val="24"/>
          <w:szCs w:val="24"/>
          <w:shd w:val="clear" w:color="auto" w:fill="FFFFFF"/>
        </w:rPr>
        <w:t>91</w:t>
      </w:r>
      <w:r w:rsidRPr="009679A9">
        <w:rPr>
          <w:rFonts w:ascii="Times New Roman" w:hAnsi="Times New Roman" w:cs="Times New Roman"/>
          <w:sz w:val="24"/>
          <w:szCs w:val="24"/>
          <w:shd w:val="clear" w:color="auto" w:fill="FFFFFF"/>
        </w:rPr>
        <w:t>(2), 591-599.</w:t>
      </w:r>
    </w:p>
    <w:sectPr w:rsidR="009679A9" w:rsidRPr="009679A9" w:rsidSect="002B3138">
      <w:pgSz w:w="11909" w:h="16834"/>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9282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928237" w16cid:durableId="27ECE4AC"/>
</w16cid:commentsId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3635E"/>
    <w:multiLevelType w:val="multilevel"/>
    <w:tmpl w:val="ACD88AB4"/>
    <w:lvl w:ilvl="0">
      <w:start w:val="1"/>
      <w:numFmt w:val="bullet"/>
      <w:lvlText w:val="•"/>
      <w:lvlJc w:val="right"/>
      <w:pPr>
        <w:ind w:left="540" w:hanging="36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170" w:hanging="27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B3138"/>
    <w:rsid w:val="00060E18"/>
    <w:rsid w:val="001F4A6D"/>
    <w:rsid w:val="002B3138"/>
    <w:rsid w:val="00307792"/>
    <w:rsid w:val="00316438"/>
    <w:rsid w:val="0033303F"/>
    <w:rsid w:val="004F30A1"/>
    <w:rsid w:val="005A0E38"/>
    <w:rsid w:val="005A7CA7"/>
    <w:rsid w:val="006223AF"/>
    <w:rsid w:val="00660727"/>
    <w:rsid w:val="006C7344"/>
    <w:rsid w:val="00882655"/>
    <w:rsid w:val="009679A9"/>
    <w:rsid w:val="009F23E8"/>
    <w:rsid w:val="00A44209"/>
    <w:rsid w:val="00B802E7"/>
    <w:rsid w:val="00BC6A8B"/>
    <w:rsid w:val="00D55004"/>
    <w:rsid w:val="00DB6388"/>
    <w:rsid w:val="00DC314B"/>
    <w:rsid w:val="00E02477"/>
    <w:rsid w:val="00E71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EE0"/>
  </w:style>
  <w:style w:type="paragraph" w:styleId="1">
    <w:name w:val="heading 1"/>
    <w:basedOn w:val="10"/>
    <w:next w:val="10"/>
    <w:rsid w:val="002B3138"/>
    <w:pPr>
      <w:keepNext/>
      <w:keepLines/>
      <w:spacing w:before="400" w:after="120"/>
      <w:outlineLvl w:val="0"/>
    </w:pPr>
    <w:rPr>
      <w:sz w:val="40"/>
      <w:szCs w:val="40"/>
    </w:rPr>
  </w:style>
  <w:style w:type="paragraph" w:styleId="2">
    <w:name w:val="heading 2"/>
    <w:basedOn w:val="10"/>
    <w:next w:val="10"/>
    <w:rsid w:val="002B3138"/>
    <w:pPr>
      <w:keepNext/>
      <w:keepLines/>
      <w:spacing w:before="360" w:after="120"/>
      <w:outlineLvl w:val="1"/>
    </w:pPr>
    <w:rPr>
      <w:sz w:val="32"/>
      <w:szCs w:val="32"/>
    </w:rPr>
  </w:style>
  <w:style w:type="paragraph" w:styleId="3">
    <w:name w:val="heading 3"/>
    <w:basedOn w:val="10"/>
    <w:next w:val="10"/>
    <w:uiPriority w:val="99"/>
    <w:qFormat/>
    <w:rsid w:val="002B3138"/>
    <w:pPr>
      <w:keepNext/>
      <w:keepLines/>
      <w:spacing w:before="320" w:after="80"/>
      <w:outlineLvl w:val="2"/>
    </w:pPr>
    <w:rPr>
      <w:color w:val="434343"/>
      <w:sz w:val="28"/>
      <w:szCs w:val="28"/>
    </w:rPr>
  </w:style>
  <w:style w:type="paragraph" w:styleId="4">
    <w:name w:val="heading 4"/>
    <w:basedOn w:val="10"/>
    <w:next w:val="10"/>
    <w:rsid w:val="002B3138"/>
    <w:pPr>
      <w:keepNext/>
      <w:keepLines/>
      <w:spacing w:before="280" w:after="80"/>
      <w:outlineLvl w:val="3"/>
    </w:pPr>
    <w:rPr>
      <w:color w:val="666666"/>
      <w:sz w:val="24"/>
      <w:szCs w:val="24"/>
    </w:rPr>
  </w:style>
  <w:style w:type="paragraph" w:styleId="5">
    <w:name w:val="heading 5"/>
    <w:basedOn w:val="10"/>
    <w:next w:val="10"/>
    <w:rsid w:val="002B3138"/>
    <w:pPr>
      <w:keepNext/>
      <w:keepLines/>
      <w:spacing w:before="240" w:after="80"/>
      <w:outlineLvl w:val="4"/>
    </w:pPr>
    <w:rPr>
      <w:color w:val="666666"/>
    </w:rPr>
  </w:style>
  <w:style w:type="paragraph" w:styleId="6">
    <w:name w:val="heading 6"/>
    <w:basedOn w:val="10"/>
    <w:next w:val="10"/>
    <w:rsid w:val="002B313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B3138"/>
  </w:style>
  <w:style w:type="table" w:customStyle="1" w:styleId="TableNormal">
    <w:name w:val="Table Normal"/>
    <w:rsid w:val="002B3138"/>
    <w:tblPr>
      <w:tblCellMar>
        <w:top w:w="0" w:type="dxa"/>
        <w:left w:w="0" w:type="dxa"/>
        <w:bottom w:w="0" w:type="dxa"/>
        <w:right w:w="0" w:type="dxa"/>
      </w:tblCellMar>
    </w:tblPr>
  </w:style>
  <w:style w:type="paragraph" w:styleId="a3">
    <w:name w:val="Title"/>
    <w:basedOn w:val="10"/>
    <w:next w:val="10"/>
    <w:rsid w:val="002B3138"/>
    <w:pPr>
      <w:keepNext/>
      <w:keepLines/>
      <w:spacing w:after="60"/>
    </w:pPr>
    <w:rPr>
      <w:sz w:val="52"/>
      <w:szCs w:val="52"/>
    </w:rPr>
  </w:style>
  <w:style w:type="paragraph" w:styleId="a4">
    <w:name w:val="Subtitle"/>
    <w:basedOn w:val="10"/>
    <w:next w:val="10"/>
    <w:rsid w:val="002B3138"/>
    <w:pPr>
      <w:keepNext/>
      <w:keepLines/>
      <w:spacing w:after="320"/>
    </w:pPr>
    <w:rPr>
      <w:color w:val="666666"/>
      <w:sz w:val="30"/>
      <w:szCs w:val="30"/>
    </w:rPr>
  </w:style>
  <w:style w:type="table" w:customStyle="1" w:styleId="a5">
    <w:basedOn w:val="TableNormal"/>
    <w:rsid w:val="002B3138"/>
    <w:tblPr>
      <w:tblStyleRowBandSize w:val="1"/>
      <w:tblStyleColBandSize w:val="1"/>
      <w:tblCellMar>
        <w:top w:w="100" w:type="dxa"/>
        <w:left w:w="100" w:type="dxa"/>
        <w:bottom w:w="100" w:type="dxa"/>
        <w:right w:w="100" w:type="dxa"/>
      </w:tblCellMar>
    </w:tblPr>
  </w:style>
  <w:style w:type="table" w:customStyle="1" w:styleId="a6">
    <w:basedOn w:val="TableNormal"/>
    <w:rsid w:val="002B3138"/>
    <w:tblPr>
      <w:tblStyleRowBandSize w:val="1"/>
      <w:tblStyleColBandSize w:val="1"/>
      <w:tblCellMar>
        <w:top w:w="100" w:type="dxa"/>
        <w:left w:w="100" w:type="dxa"/>
        <w:bottom w:w="100" w:type="dxa"/>
        <w:right w:w="100" w:type="dxa"/>
      </w:tblCellMar>
    </w:tblPr>
  </w:style>
  <w:style w:type="table" w:customStyle="1" w:styleId="a7">
    <w:basedOn w:val="TableNormal"/>
    <w:rsid w:val="002B3138"/>
    <w:tblPr>
      <w:tblStyleRowBandSize w:val="1"/>
      <w:tblStyleColBandSize w:val="1"/>
      <w:tblCellMar>
        <w:top w:w="100" w:type="dxa"/>
        <w:left w:w="100" w:type="dxa"/>
        <w:bottom w:w="100" w:type="dxa"/>
        <w:right w:w="100" w:type="dxa"/>
      </w:tblCellMar>
    </w:tblPr>
  </w:style>
  <w:style w:type="table" w:customStyle="1" w:styleId="a8">
    <w:basedOn w:val="TableNormal"/>
    <w:rsid w:val="002B3138"/>
    <w:tblPr>
      <w:tblStyleRowBandSize w:val="1"/>
      <w:tblStyleColBandSize w:val="1"/>
      <w:tblCellMar>
        <w:top w:w="100" w:type="dxa"/>
        <w:left w:w="100" w:type="dxa"/>
        <w:bottom w:w="100" w:type="dxa"/>
        <w:right w:w="100" w:type="dxa"/>
      </w:tblCellMar>
    </w:tblPr>
  </w:style>
  <w:style w:type="table" w:customStyle="1" w:styleId="a9">
    <w:basedOn w:val="TableNormal"/>
    <w:rsid w:val="002B3138"/>
    <w:tblPr>
      <w:tblStyleRowBandSize w:val="1"/>
      <w:tblStyleColBandSize w:val="1"/>
      <w:tblCellMar>
        <w:top w:w="100" w:type="dxa"/>
        <w:left w:w="100" w:type="dxa"/>
        <w:bottom w:w="100" w:type="dxa"/>
        <w:right w:w="100" w:type="dxa"/>
      </w:tblCellMar>
    </w:tblPr>
  </w:style>
  <w:style w:type="table" w:customStyle="1" w:styleId="aa">
    <w:basedOn w:val="TableNormal"/>
    <w:rsid w:val="002B3138"/>
    <w:tblPr>
      <w:tblStyleRowBandSize w:val="1"/>
      <w:tblStyleColBandSize w:val="1"/>
      <w:tblCellMar>
        <w:top w:w="100" w:type="dxa"/>
        <w:left w:w="100" w:type="dxa"/>
        <w:bottom w:w="100" w:type="dxa"/>
        <w:right w:w="100" w:type="dxa"/>
      </w:tblCellMar>
    </w:tblPr>
  </w:style>
  <w:style w:type="table" w:customStyle="1" w:styleId="ab">
    <w:basedOn w:val="TableNormal"/>
    <w:rsid w:val="002B3138"/>
    <w:tblPr>
      <w:tblStyleRowBandSize w:val="1"/>
      <w:tblStyleColBandSize w:val="1"/>
      <w:tblCellMar>
        <w:top w:w="100" w:type="dxa"/>
        <w:left w:w="100" w:type="dxa"/>
        <w:bottom w:w="100" w:type="dxa"/>
        <w:right w:w="100" w:type="dxa"/>
      </w:tblCellMar>
    </w:tblPr>
  </w:style>
  <w:style w:type="table" w:customStyle="1" w:styleId="ac">
    <w:basedOn w:val="TableNormal"/>
    <w:rsid w:val="002B3138"/>
    <w:tblPr>
      <w:tblStyleRowBandSize w:val="1"/>
      <w:tblStyleColBandSize w:val="1"/>
      <w:tblCellMar>
        <w:top w:w="100" w:type="dxa"/>
        <w:left w:w="100" w:type="dxa"/>
        <w:bottom w:w="100" w:type="dxa"/>
        <w:right w:w="100" w:type="dxa"/>
      </w:tblCellMar>
    </w:tblPr>
  </w:style>
  <w:style w:type="paragraph" w:styleId="ad">
    <w:name w:val="annotation text"/>
    <w:basedOn w:val="a"/>
    <w:link w:val="ae"/>
    <w:uiPriority w:val="99"/>
    <w:semiHidden/>
    <w:unhideWhenUsed/>
    <w:rsid w:val="002B3138"/>
    <w:pPr>
      <w:spacing w:line="240" w:lineRule="auto"/>
    </w:pPr>
    <w:rPr>
      <w:sz w:val="20"/>
      <w:szCs w:val="20"/>
    </w:rPr>
  </w:style>
  <w:style w:type="character" w:customStyle="1" w:styleId="ae">
    <w:name w:val="Текст примечания Знак"/>
    <w:basedOn w:val="a0"/>
    <w:link w:val="ad"/>
    <w:uiPriority w:val="99"/>
    <w:semiHidden/>
    <w:rsid w:val="002B3138"/>
    <w:rPr>
      <w:sz w:val="20"/>
      <w:szCs w:val="20"/>
    </w:rPr>
  </w:style>
  <w:style w:type="character" w:styleId="af">
    <w:name w:val="annotation reference"/>
    <w:basedOn w:val="a0"/>
    <w:uiPriority w:val="99"/>
    <w:semiHidden/>
    <w:unhideWhenUsed/>
    <w:rsid w:val="002B3138"/>
    <w:rPr>
      <w:sz w:val="16"/>
      <w:szCs w:val="16"/>
    </w:rPr>
  </w:style>
  <w:style w:type="paragraph" w:styleId="af0">
    <w:name w:val="Balloon Text"/>
    <w:basedOn w:val="a"/>
    <w:link w:val="af1"/>
    <w:uiPriority w:val="99"/>
    <w:semiHidden/>
    <w:unhideWhenUsed/>
    <w:rsid w:val="004F30A1"/>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F30A1"/>
    <w:rPr>
      <w:rFonts w:ascii="Tahoma" w:hAnsi="Tahoma" w:cs="Tahoma"/>
      <w:sz w:val="16"/>
      <w:szCs w:val="16"/>
    </w:rPr>
  </w:style>
  <w:style w:type="character" w:styleId="af2">
    <w:name w:val="Hyperlink"/>
    <w:basedOn w:val="a0"/>
    <w:uiPriority w:val="99"/>
    <w:unhideWhenUsed/>
    <w:rsid w:val="00060E18"/>
    <w:rPr>
      <w:color w:val="0000FF" w:themeColor="hyperlink"/>
      <w:u w:val="single"/>
    </w:rPr>
  </w:style>
  <w:style w:type="table" w:styleId="af3">
    <w:name w:val="Table Grid"/>
    <w:basedOn w:val="a1"/>
    <w:uiPriority w:val="59"/>
    <w:rsid w:val="003330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annotation subject"/>
    <w:basedOn w:val="ad"/>
    <w:next w:val="ad"/>
    <w:link w:val="af5"/>
    <w:uiPriority w:val="99"/>
    <w:semiHidden/>
    <w:unhideWhenUsed/>
    <w:rsid w:val="006223AF"/>
    <w:rPr>
      <w:b/>
      <w:bCs/>
    </w:rPr>
  </w:style>
  <w:style w:type="character" w:customStyle="1" w:styleId="af5">
    <w:name w:val="Тема примечания Знак"/>
    <w:basedOn w:val="ae"/>
    <w:link w:val="af4"/>
    <w:uiPriority w:val="99"/>
    <w:semiHidden/>
    <w:rsid w:val="006223AF"/>
    <w:rPr>
      <w:b/>
      <w:bCs/>
      <w:sz w:val="20"/>
      <w:szCs w:val="20"/>
    </w:rPr>
  </w:style>
</w:styles>
</file>

<file path=word/webSettings.xml><?xml version="1.0" encoding="utf-8"?>
<w:webSettings xmlns:r="http://schemas.openxmlformats.org/officeDocument/2006/relationships" xmlns:w="http://schemas.openxmlformats.org/wordprocessingml/2006/main">
  <w:divs>
    <w:div w:id="1803690329">
      <w:bodyDiv w:val="1"/>
      <w:marLeft w:val="0"/>
      <w:marRight w:val="0"/>
      <w:marTop w:val="0"/>
      <w:marBottom w:val="0"/>
      <w:divBdr>
        <w:top w:val="none" w:sz="0" w:space="0" w:color="auto"/>
        <w:left w:val="none" w:sz="0" w:space="0" w:color="auto"/>
        <w:bottom w:val="none" w:sz="0" w:space="0" w:color="auto"/>
        <w:right w:val="none" w:sz="0" w:space="0" w:color="auto"/>
      </w:divBdr>
    </w:div>
    <w:div w:id="2135975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736-4713" TargetMode="External"/><Relationship Id="rId13" Type="http://schemas.openxmlformats.org/officeDocument/2006/relationships/image" Target="media/image2.png"/><Relationship Id="rId18" Type="http://schemas.openxmlformats.org/officeDocument/2006/relationships/hyperlink" Target="https://nur.nu.edu.kz/bitstream/handle/123456789/6559/Thesis%20-%20Rakhat%20Shamshieva.pdf?sequence=1&amp;isAllowed=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1-7274-9350" TargetMode="External"/><Relationship Id="rId12" Type="http://schemas.openxmlformats.org/officeDocument/2006/relationships/chart" Target="charts/chart2.xml"/><Relationship Id="rId17" Type="http://schemas.openxmlformats.org/officeDocument/2006/relationships/hyperlink" Target="https://doi.org/10.1177/053901893032004002" TargetMode="External"/><Relationship Id="rId2" Type="http://schemas.openxmlformats.org/officeDocument/2006/relationships/styles" Target="styles.xml"/><Relationship Id="rId16" Type="http://schemas.openxmlformats.org/officeDocument/2006/relationships/hyperlink" Target="https://doi.org/10.1177/053901893032004002" TargetMode="External"/><Relationship Id="rId20" Type="http://schemas.openxmlformats.org/officeDocument/2006/relationships/hyperlink" Target="https://doi.org/10.1007/s11192-020-03372-1" TargetMode="External"/><Relationship Id="rId1" Type="http://schemas.openxmlformats.org/officeDocument/2006/relationships/numbering" Target="numbering.xml"/><Relationship Id="rId6" Type="http://schemas.openxmlformats.org/officeDocument/2006/relationships/hyperlink" Target="mailto:nmatveeva@hse.ru" TargetMode="External"/><Relationship Id="rId11" Type="http://schemas.openxmlformats.org/officeDocument/2006/relationships/image" Target="media/image1.png"/><Relationship Id="rId24" Type="http://schemas.microsoft.com/office/2011/relationships/commentsExtended" Target="commentsExtended.xml"/><Relationship Id="rId5" Type="http://schemas.openxmlformats.org/officeDocument/2006/relationships/hyperlink" Target="https://orcid.org/0000-0002-6378-7088" TargetMode="External"/><Relationship Id="rId15" Type="http://schemas.openxmlformats.org/officeDocument/2006/relationships/hyperlink" Target="https://doi.org/10.1371/journal.pone.0189136" TargetMode="External"/><Relationship Id="rId23" Type="http://schemas.microsoft.com/office/2016/09/relationships/commentsIds" Target="commentsIds.xml"/><Relationship Id="rId10" Type="http://schemas.openxmlformats.org/officeDocument/2006/relationships/chart" Target="charts/chart1.xml"/><Relationship Id="rId19" Type="http://schemas.openxmlformats.org/officeDocument/2006/relationships/hyperlink" Target="https://doi.org/10.3103/S0147688220010074" TargetMode="External"/><Relationship Id="rId4" Type="http://schemas.openxmlformats.org/officeDocument/2006/relationships/webSettings" Target="webSettings.xml"/><Relationship Id="rId9" Type="http://schemas.openxmlformats.org/officeDocument/2006/relationships/hyperlink" Target="mailto:ivan.sterligov@gmail.com" TargetMode="External"/><Relationship Id="rId14" Type="http://schemas.openxmlformats.org/officeDocument/2006/relationships/hyperlink" Target="https://doi.org/10.5281/zenodo.7850131"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Foreign only</c:v>
                </c:pt>
              </c:strCache>
            </c:strRef>
          </c:tx>
          <c:spPr>
            <a:solidFill>
              <a:schemeClr val="accent1"/>
            </a:solidFill>
            <a:ln>
              <a:noFill/>
            </a:ln>
            <a:effectLst/>
          </c:spPr>
          <c:cat>
            <c:strRef>
              <c:f>Лист1!$A$2:$A$13</c:f>
              <c:strCache>
                <c:ptCount val="12"/>
                <c:pt idx="0">
                  <c:v>Armenia</c:v>
                </c:pt>
                <c:pt idx="1">
                  <c:v>Azerbaijan</c:v>
                </c:pt>
                <c:pt idx="2">
                  <c:v>Belarus</c:v>
                </c:pt>
                <c:pt idx="3">
                  <c:v>Estonia</c:v>
                </c:pt>
                <c:pt idx="4">
                  <c:v>Georgia</c:v>
                </c:pt>
                <c:pt idx="5">
                  <c:v>Kyrgyzstan</c:v>
                </c:pt>
                <c:pt idx="6">
                  <c:v>Kazakhstan</c:v>
                </c:pt>
                <c:pt idx="7">
                  <c:v>Lithuania</c:v>
                </c:pt>
                <c:pt idx="8">
                  <c:v>Latvia</c:v>
                </c:pt>
                <c:pt idx="9">
                  <c:v>Moldova</c:v>
                </c:pt>
                <c:pt idx="10">
                  <c:v>Tajikistan</c:v>
                </c:pt>
                <c:pt idx="11">
                  <c:v>Uzbekistan</c:v>
                </c:pt>
              </c:strCache>
            </c:strRef>
          </c:cat>
          <c:val>
            <c:numRef>
              <c:f>Лист1!$B$2:$B$13</c:f>
              <c:numCache>
                <c:formatCode>0.00%</c:formatCode>
                <c:ptCount val="12"/>
                <c:pt idx="0">
                  <c:v>0.40400000000000008</c:v>
                </c:pt>
                <c:pt idx="1">
                  <c:v>0.71000000000000019</c:v>
                </c:pt>
                <c:pt idx="2">
                  <c:v>0.61300000000000021</c:v>
                </c:pt>
                <c:pt idx="3">
                  <c:v>0.28500000000000009</c:v>
                </c:pt>
                <c:pt idx="4">
                  <c:v>0.61700000000000021</c:v>
                </c:pt>
                <c:pt idx="5">
                  <c:v>0.95200000000000018</c:v>
                </c:pt>
                <c:pt idx="6">
                  <c:v>0.30900000000000011</c:v>
                </c:pt>
                <c:pt idx="7">
                  <c:v>0.54300000000000004</c:v>
                </c:pt>
                <c:pt idx="8">
                  <c:v>0.45900000000000002</c:v>
                </c:pt>
                <c:pt idx="9">
                  <c:v>0.69200000000000017</c:v>
                </c:pt>
                <c:pt idx="10">
                  <c:v>0.9</c:v>
                </c:pt>
                <c:pt idx="11">
                  <c:v>0.29300000000000009</c:v>
                </c:pt>
              </c:numCache>
            </c:numRef>
          </c:val>
          <c:extLst xmlns:c16r2="http://schemas.microsoft.com/office/drawing/2015/06/chart">
            <c:ext xmlns:c16="http://schemas.microsoft.com/office/drawing/2014/chart" uri="{C3380CC4-5D6E-409C-BE32-E72D297353CC}">
              <c16:uniqueId val="{00000000-20BA-45B6-8BDB-1A1C65BF67EA}"/>
            </c:ext>
          </c:extLst>
        </c:ser>
        <c:ser>
          <c:idx val="1"/>
          <c:order val="1"/>
          <c:tx>
            <c:strRef>
              <c:f>Лист1!$C$1</c:f>
              <c:strCache>
                <c:ptCount val="1"/>
                <c:pt idx="0">
                  <c:v>Local only</c:v>
                </c:pt>
              </c:strCache>
            </c:strRef>
          </c:tx>
          <c:spPr>
            <a:solidFill>
              <a:schemeClr val="accent2"/>
            </a:solidFill>
            <a:ln>
              <a:noFill/>
            </a:ln>
            <a:effectLst/>
          </c:spPr>
          <c:cat>
            <c:strRef>
              <c:f>Лист1!$A$2:$A$13</c:f>
              <c:strCache>
                <c:ptCount val="12"/>
                <c:pt idx="0">
                  <c:v>Armenia</c:v>
                </c:pt>
                <c:pt idx="1">
                  <c:v>Azerbaijan</c:v>
                </c:pt>
                <c:pt idx="2">
                  <c:v>Belarus</c:v>
                </c:pt>
                <c:pt idx="3">
                  <c:v>Estonia</c:v>
                </c:pt>
                <c:pt idx="4">
                  <c:v>Georgia</c:v>
                </c:pt>
                <c:pt idx="5">
                  <c:v>Kyrgyzstan</c:v>
                </c:pt>
                <c:pt idx="6">
                  <c:v>Kazakhstan</c:v>
                </c:pt>
                <c:pt idx="7">
                  <c:v>Lithuania</c:v>
                </c:pt>
                <c:pt idx="8">
                  <c:v>Latvia</c:v>
                </c:pt>
                <c:pt idx="9">
                  <c:v>Moldova</c:v>
                </c:pt>
                <c:pt idx="10">
                  <c:v>Tajikistan</c:v>
                </c:pt>
                <c:pt idx="11">
                  <c:v>Uzbekistan</c:v>
                </c:pt>
              </c:strCache>
            </c:strRef>
          </c:cat>
          <c:val>
            <c:numRef>
              <c:f>Лист1!$C$2:$C$13</c:f>
              <c:numCache>
                <c:formatCode>General</c:formatCode>
                <c:ptCount val="12"/>
                <c:pt idx="0" formatCode="0.00%">
                  <c:v>0.17600000000000005</c:v>
                </c:pt>
                <c:pt idx="2" formatCode="0.00%">
                  <c:v>3.9000000000000014E-2</c:v>
                </c:pt>
                <c:pt idx="3" formatCode="0.00%">
                  <c:v>3.3000000000000002E-2</c:v>
                </c:pt>
                <c:pt idx="4" formatCode="0.00%">
                  <c:v>7.4000000000000024E-2</c:v>
                </c:pt>
                <c:pt idx="6" formatCode="0.00%">
                  <c:v>0.129</c:v>
                </c:pt>
                <c:pt idx="7" formatCode="0.00%">
                  <c:v>0.14000000000000001</c:v>
                </c:pt>
                <c:pt idx="8" formatCode="0.00%">
                  <c:v>8.1000000000000016E-2</c:v>
                </c:pt>
                <c:pt idx="11" formatCode="0.00%">
                  <c:v>5.400000000000002E-2</c:v>
                </c:pt>
              </c:numCache>
            </c:numRef>
          </c:val>
          <c:extLst xmlns:c16r2="http://schemas.microsoft.com/office/drawing/2015/06/chart">
            <c:ext xmlns:c16="http://schemas.microsoft.com/office/drawing/2014/chart" uri="{C3380CC4-5D6E-409C-BE32-E72D297353CC}">
              <c16:uniqueId val="{00000001-20BA-45B6-8BDB-1A1C65BF67EA}"/>
            </c:ext>
          </c:extLst>
        </c:ser>
        <c:ser>
          <c:idx val="2"/>
          <c:order val="2"/>
          <c:tx>
            <c:strRef>
              <c:f>Лист1!$D$1</c:f>
              <c:strCache>
                <c:ptCount val="1"/>
                <c:pt idx="0">
                  <c:v>Mixed</c:v>
                </c:pt>
              </c:strCache>
            </c:strRef>
          </c:tx>
          <c:spPr>
            <a:solidFill>
              <a:schemeClr val="accent3"/>
            </a:solidFill>
            <a:ln>
              <a:noFill/>
            </a:ln>
            <a:effectLst/>
          </c:spPr>
          <c:cat>
            <c:strRef>
              <c:f>Лист1!$A$2:$A$13</c:f>
              <c:strCache>
                <c:ptCount val="12"/>
                <c:pt idx="0">
                  <c:v>Armenia</c:v>
                </c:pt>
                <c:pt idx="1">
                  <c:v>Azerbaijan</c:v>
                </c:pt>
                <c:pt idx="2">
                  <c:v>Belarus</c:v>
                </c:pt>
                <c:pt idx="3">
                  <c:v>Estonia</c:v>
                </c:pt>
                <c:pt idx="4">
                  <c:v>Georgia</c:v>
                </c:pt>
                <c:pt idx="5">
                  <c:v>Kyrgyzstan</c:v>
                </c:pt>
                <c:pt idx="6">
                  <c:v>Kazakhstan</c:v>
                </c:pt>
                <c:pt idx="7">
                  <c:v>Lithuania</c:v>
                </c:pt>
                <c:pt idx="8">
                  <c:v>Latvia</c:v>
                </c:pt>
                <c:pt idx="9">
                  <c:v>Moldova</c:v>
                </c:pt>
                <c:pt idx="10">
                  <c:v>Tajikistan</c:v>
                </c:pt>
                <c:pt idx="11">
                  <c:v>Uzbekistan</c:v>
                </c:pt>
              </c:strCache>
            </c:strRef>
          </c:cat>
          <c:val>
            <c:numRef>
              <c:f>Лист1!$D$2:$D$13</c:f>
              <c:numCache>
                <c:formatCode>0.00%</c:formatCode>
                <c:ptCount val="12"/>
                <c:pt idx="0">
                  <c:v>0.41900000000000009</c:v>
                </c:pt>
                <c:pt idx="1">
                  <c:v>0.29000000000000009</c:v>
                </c:pt>
                <c:pt idx="2">
                  <c:v>0.34800000000000014</c:v>
                </c:pt>
                <c:pt idx="3">
                  <c:v>0.68200000000000027</c:v>
                </c:pt>
                <c:pt idx="4">
                  <c:v>0.30900000000000011</c:v>
                </c:pt>
                <c:pt idx="5">
                  <c:v>4.8000000000000015E-2</c:v>
                </c:pt>
                <c:pt idx="6">
                  <c:v>0.56200000000000028</c:v>
                </c:pt>
                <c:pt idx="7">
                  <c:v>0.31700000000000012</c:v>
                </c:pt>
                <c:pt idx="8">
                  <c:v>0.45900000000000002</c:v>
                </c:pt>
                <c:pt idx="9">
                  <c:v>0.30800000000000011</c:v>
                </c:pt>
                <c:pt idx="10">
                  <c:v>0.1</c:v>
                </c:pt>
                <c:pt idx="11">
                  <c:v>0.65200000000000025</c:v>
                </c:pt>
              </c:numCache>
            </c:numRef>
          </c:val>
          <c:extLst xmlns:c16r2="http://schemas.microsoft.com/office/drawing/2015/06/chart">
            <c:ext xmlns:c16="http://schemas.microsoft.com/office/drawing/2014/chart" uri="{C3380CC4-5D6E-409C-BE32-E72D297353CC}">
              <c16:uniqueId val="{00000002-20BA-45B6-8BDB-1A1C65BF67EA}"/>
            </c:ext>
          </c:extLst>
        </c:ser>
        <c:gapWidth val="219"/>
        <c:overlap val="100"/>
        <c:axId val="376165888"/>
        <c:axId val="376582144"/>
      </c:barChart>
      <c:scatterChart>
        <c:scatterStyle val="lineMarker"/>
        <c:ser>
          <c:idx val="3"/>
          <c:order val="3"/>
          <c:tx>
            <c:strRef>
              <c:f>Лист1!$E$1</c:f>
              <c:strCache>
                <c:ptCount val="1"/>
                <c:pt idx="0">
                  <c:v>Total</c:v>
                </c:pt>
              </c:strCache>
            </c:strRef>
          </c:tx>
          <c:spPr>
            <a:ln w="25400" cap="rnd">
              <a:noFill/>
              <a:round/>
            </a:ln>
            <a:effectLst/>
          </c:spPr>
          <c:marker>
            <c:symbol val="circle"/>
            <c:size val="5"/>
            <c:spPr>
              <a:solidFill>
                <a:srgbClr val="FFC000"/>
              </a:solidFill>
              <a:ln w="9525">
                <a:solidFill>
                  <a:srgbClr val="FFC000"/>
                </a:solidFill>
              </a:ln>
              <a:effectLst/>
            </c:spPr>
          </c:marker>
          <c:xVal>
            <c:strRef>
              <c:f>Лист1!$A$2:$A$13</c:f>
              <c:strCache>
                <c:ptCount val="12"/>
                <c:pt idx="0">
                  <c:v>Armenia</c:v>
                </c:pt>
                <c:pt idx="1">
                  <c:v>Azerbaijan</c:v>
                </c:pt>
                <c:pt idx="2">
                  <c:v>Belarus</c:v>
                </c:pt>
                <c:pt idx="3">
                  <c:v>Estonia</c:v>
                </c:pt>
                <c:pt idx="4">
                  <c:v>Georgia</c:v>
                </c:pt>
                <c:pt idx="5">
                  <c:v>Kyrgyzstan</c:v>
                </c:pt>
                <c:pt idx="6">
                  <c:v>Kazakhstan</c:v>
                </c:pt>
                <c:pt idx="7">
                  <c:v>Lithuania</c:v>
                </c:pt>
                <c:pt idx="8">
                  <c:v>Latvia</c:v>
                </c:pt>
                <c:pt idx="9">
                  <c:v>Moldova</c:v>
                </c:pt>
                <c:pt idx="10">
                  <c:v>Tajikistan</c:v>
                </c:pt>
                <c:pt idx="11">
                  <c:v>Uzbekistan</c:v>
                </c:pt>
              </c:strCache>
            </c:strRef>
          </c:xVal>
          <c:yVal>
            <c:numRef>
              <c:f>Лист1!$E$2:$E$13</c:f>
              <c:numCache>
                <c:formatCode>General</c:formatCode>
                <c:ptCount val="12"/>
                <c:pt idx="0">
                  <c:v>136</c:v>
                </c:pt>
                <c:pt idx="1">
                  <c:v>31</c:v>
                </c:pt>
                <c:pt idx="2">
                  <c:v>155</c:v>
                </c:pt>
                <c:pt idx="3">
                  <c:v>572</c:v>
                </c:pt>
                <c:pt idx="4">
                  <c:v>162</c:v>
                </c:pt>
                <c:pt idx="5">
                  <c:v>21</c:v>
                </c:pt>
                <c:pt idx="6">
                  <c:v>194</c:v>
                </c:pt>
                <c:pt idx="7">
                  <c:v>265</c:v>
                </c:pt>
                <c:pt idx="8">
                  <c:v>74</c:v>
                </c:pt>
                <c:pt idx="9">
                  <c:v>78</c:v>
                </c:pt>
                <c:pt idx="10">
                  <c:v>20</c:v>
                </c:pt>
                <c:pt idx="11">
                  <c:v>92</c:v>
                </c:pt>
              </c:numCache>
            </c:numRef>
          </c:yVal>
          <c:extLst xmlns:c16r2="http://schemas.microsoft.com/office/drawing/2015/06/chart">
            <c:ext xmlns:c16="http://schemas.microsoft.com/office/drawing/2014/chart" uri="{C3380CC4-5D6E-409C-BE32-E72D297353CC}">
              <c16:uniqueId val="{00000003-20BA-45B6-8BDB-1A1C65BF67EA}"/>
            </c:ext>
          </c:extLst>
        </c:ser>
        <c:axId val="379143680"/>
        <c:axId val="376585216"/>
      </c:scatterChart>
      <c:catAx>
        <c:axId val="3761658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6582144"/>
        <c:crosses val="autoZero"/>
        <c:auto val="1"/>
        <c:lblAlgn val="ctr"/>
        <c:lblOffset val="100"/>
      </c:catAx>
      <c:valAx>
        <c:axId val="376582144"/>
        <c:scaling>
          <c:orientation val="minMax"/>
          <c:max val="1"/>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6165888"/>
        <c:crosses val="autoZero"/>
        <c:crossBetween val="between"/>
      </c:valAx>
      <c:valAx>
        <c:axId val="376585216"/>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143680"/>
        <c:crosses val="max"/>
        <c:crossBetween val="midCat"/>
      </c:valAx>
      <c:valAx>
        <c:axId val="379143680"/>
        <c:scaling>
          <c:orientation val="minMax"/>
        </c:scaling>
        <c:delete val="1"/>
        <c:axPos val="b"/>
        <c:numFmt formatCode="General" sourceLinked="1"/>
        <c:tickLblPos val="none"/>
        <c:crossAx val="376585216"/>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stacked"/>
        <c:ser>
          <c:idx val="0"/>
          <c:order val="0"/>
          <c:tx>
            <c:strRef>
              <c:f>Лист2!$B$1</c:f>
              <c:strCache>
                <c:ptCount val="1"/>
                <c:pt idx="0">
                  <c:v>linked to local authors</c:v>
                </c:pt>
              </c:strCache>
            </c:strRef>
          </c:tx>
          <c:spPr>
            <a:solidFill>
              <a:schemeClr val="accent1"/>
            </a:solidFill>
            <a:ln>
              <a:noFill/>
            </a:ln>
            <a:effectLst/>
          </c:spPr>
          <c:cat>
            <c:strRef>
              <c:f>Лист2!$A$2:$A$13</c:f>
              <c:strCache>
                <c:ptCount val="12"/>
                <c:pt idx="0">
                  <c:v>Armenia</c:v>
                </c:pt>
                <c:pt idx="1">
                  <c:v>Azerbaijan</c:v>
                </c:pt>
                <c:pt idx="2">
                  <c:v>Belarus</c:v>
                </c:pt>
                <c:pt idx="3">
                  <c:v>Estonia</c:v>
                </c:pt>
                <c:pt idx="4">
                  <c:v>Georgia</c:v>
                </c:pt>
                <c:pt idx="5">
                  <c:v>Kyrgyzstan</c:v>
                </c:pt>
                <c:pt idx="6">
                  <c:v>Kazakhstan</c:v>
                </c:pt>
                <c:pt idx="7">
                  <c:v>Lithuania</c:v>
                </c:pt>
                <c:pt idx="8">
                  <c:v>Latvia</c:v>
                </c:pt>
                <c:pt idx="9">
                  <c:v>Moldova</c:v>
                </c:pt>
                <c:pt idx="10">
                  <c:v>Tajikistan</c:v>
                </c:pt>
                <c:pt idx="11">
                  <c:v>Uzbekistan</c:v>
                </c:pt>
              </c:strCache>
            </c:strRef>
          </c:cat>
          <c:val>
            <c:numRef>
              <c:f>Лист2!$B$2:$B$13</c:f>
              <c:numCache>
                <c:formatCode>0.00%</c:formatCode>
                <c:ptCount val="12"/>
                <c:pt idx="0">
                  <c:v>0.61000000000000021</c:v>
                </c:pt>
                <c:pt idx="1">
                  <c:v>9.8000000000000032E-2</c:v>
                </c:pt>
                <c:pt idx="2">
                  <c:v>0.26300000000000001</c:v>
                </c:pt>
                <c:pt idx="3">
                  <c:v>0.64400000000000024</c:v>
                </c:pt>
                <c:pt idx="4">
                  <c:v>0.41700000000000009</c:v>
                </c:pt>
                <c:pt idx="5">
                  <c:v>0.23800000000000004</c:v>
                </c:pt>
                <c:pt idx="6">
                  <c:v>0.53400000000000003</c:v>
                </c:pt>
                <c:pt idx="7">
                  <c:v>0.42300000000000015</c:v>
                </c:pt>
                <c:pt idx="8">
                  <c:v>0.59199999999999997</c:v>
                </c:pt>
                <c:pt idx="9">
                  <c:v>0.35000000000000009</c:v>
                </c:pt>
                <c:pt idx="10">
                  <c:v>4.8000000000000001E-2</c:v>
                </c:pt>
                <c:pt idx="11">
                  <c:v>0.58099999999999996</c:v>
                </c:pt>
              </c:numCache>
            </c:numRef>
          </c:val>
          <c:extLst xmlns:c16r2="http://schemas.microsoft.com/office/drawing/2015/06/chart">
            <c:ext xmlns:c16="http://schemas.microsoft.com/office/drawing/2014/chart" uri="{C3380CC4-5D6E-409C-BE32-E72D297353CC}">
              <c16:uniqueId val="{00000000-391F-459A-A291-3EFD932E73F2}"/>
            </c:ext>
          </c:extLst>
        </c:ser>
        <c:ser>
          <c:idx val="1"/>
          <c:order val="1"/>
          <c:tx>
            <c:strRef>
              <c:f>Лист2!$C$1</c:f>
              <c:strCache>
                <c:ptCount val="1"/>
                <c:pt idx="0">
                  <c:v>linked to foreign authors only</c:v>
                </c:pt>
              </c:strCache>
            </c:strRef>
          </c:tx>
          <c:spPr>
            <a:solidFill>
              <a:schemeClr val="accent2"/>
            </a:solidFill>
            <a:ln>
              <a:noFill/>
            </a:ln>
            <a:effectLst/>
          </c:spPr>
          <c:cat>
            <c:strRef>
              <c:f>Лист2!$A$2:$A$13</c:f>
              <c:strCache>
                <c:ptCount val="12"/>
                <c:pt idx="0">
                  <c:v>Armenia</c:v>
                </c:pt>
                <c:pt idx="1">
                  <c:v>Azerbaijan</c:v>
                </c:pt>
                <c:pt idx="2">
                  <c:v>Belarus</c:v>
                </c:pt>
                <c:pt idx="3">
                  <c:v>Estonia</c:v>
                </c:pt>
                <c:pt idx="4">
                  <c:v>Georgia</c:v>
                </c:pt>
                <c:pt idx="5">
                  <c:v>Kyrgyzstan</c:v>
                </c:pt>
                <c:pt idx="6">
                  <c:v>Kazakhstan</c:v>
                </c:pt>
                <c:pt idx="7">
                  <c:v>Lithuania</c:v>
                </c:pt>
                <c:pt idx="8">
                  <c:v>Latvia</c:v>
                </c:pt>
                <c:pt idx="9">
                  <c:v>Moldova</c:v>
                </c:pt>
                <c:pt idx="10">
                  <c:v>Tajikistan</c:v>
                </c:pt>
                <c:pt idx="11">
                  <c:v>Uzbekistan</c:v>
                </c:pt>
              </c:strCache>
            </c:strRef>
          </c:cat>
          <c:val>
            <c:numRef>
              <c:f>Лист2!$C$2:$C$13</c:f>
              <c:numCache>
                <c:formatCode>0.00%</c:formatCode>
                <c:ptCount val="12"/>
                <c:pt idx="0">
                  <c:v>0.14300000000000004</c:v>
                </c:pt>
                <c:pt idx="1">
                  <c:v>0.48800000000000016</c:v>
                </c:pt>
                <c:pt idx="2">
                  <c:v>0.222</c:v>
                </c:pt>
                <c:pt idx="3">
                  <c:v>0.15700000000000006</c:v>
                </c:pt>
                <c:pt idx="4">
                  <c:v>0.17900000000000005</c:v>
                </c:pt>
                <c:pt idx="5">
                  <c:v>9.5000000000000029E-2</c:v>
                </c:pt>
                <c:pt idx="6">
                  <c:v>0.20400000000000001</c:v>
                </c:pt>
                <c:pt idx="7">
                  <c:v>0.24500000000000005</c:v>
                </c:pt>
                <c:pt idx="8">
                  <c:v>0.11799999999999998</c:v>
                </c:pt>
                <c:pt idx="9">
                  <c:v>0.26300000000000001</c:v>
                </c:pt>
                <c:pt idx="10">
                  <c:v>0.38100000000000012</c:v>
                </c:pt>
                <c:pt idx="11">
                  <c:v>0.24700000000000005</c:v>
                </c:pt>
              </c:numCache>
            </c:numRef>
          </c:val>
          <c:extLst xmlns:c16r2="http://schemas.microsoft.com/office/drawing/2015/06/chart">
            <c:ext xmlns:c16="http://schemas.microsoft.com/office/drawing/2014/chart" uri="{C3380CC4-5D6E-409C-BE32-E72D297353CC}">
              <c16:uniqueId val="{00000001-391F-459A-A291-3EFD932E73F2}"/>
            </c:ext>
          </c:extLst>
        </c:ser>
        <c:ser>
          <c:idx val="2"/>
          <c:order val="2"/>
          <c:tx>
            <c:strRef>
              <c:f>Лист2!$D$1</c:f>
              <c:strCache>
                <c:ptCount val="1"/>
                <c:pt idx="0">
                  <c:v>funding no linked to authors</c:v>
                </c:pt>
              </c:strCache>
            </c:strRef>
          </c:tx>
          <c:spPr>
            <a:solidFill>
              <a:schemeClr val="accent3"/>
            </a:solidFill>
            <a:ln>
              <a:noFill/>
            </a:ln>
            <a:effectLst/>
          </c:spPr>
          <c:cat>
            <c:strRef>
              <c:f>Лист2!$A$2:$A$13</c:f>
              <c:strCache>
                <c:ptCount val="12"/>
                <c:pt idx="0">
                  <c:v>Armenia</c:v>
                </c:pt>
                <c:pt idx="1">
                  <c:v>Azerbaijan</c:v>
                </c:pt>
                <c:pt idx="2">
                  <c:v>Belarus</c:v>
                </c:pt>
                <c:pt idx="3">
                  <c:v>Estonia</c:v>
                </c:pt>
                <c:pt idx="4">
                  <c:v>Georgia</c:v>
                </c:pt>
                <c:pt idx="5">
                  <c:v>Kyrgyzstan</c:v>
                </c:pt>
                <c:pt idx="6">
                  <c:v>Kazakhstan</c:v>
                </c:pt>
                <c:pt idx="7">
                  <c:v>Lithuania</c:v>
                </c:pt>
                <c:pt idx="8">
                  <c:v>Latvia</c:v>
                </c:pt>
                <c:pt idx="9">
                  <c:v>Moldova</c:v>
                </c:pt>
                <c:pt idx="10">
                  <c:v>Tajikistan</c:v>
                </c:pt>
                <c:pt idx="11">
                  <c:v>Uzbekistan</c:v>
                </c:pt>
              </c:strCache>
            </c:strRef>
          </c:cat>
          <c:val>
            <c:numRef>
              <c:f>Лист2!$D$2:$D$13</c:f>
              <c:numCache>
                <c:formatCode>0.00%</c:formatCode>
                <c:ptCount val="12"/>
                <c:pt idx="0">
                  <c:v>0.13</c:v>
                </c:pt>
                <c:pt idx="1">
                  <c:v>0.17100000000000001</c:v>
                </c:pt>
                <c:pt idx="2">
                  <c:v>0.443</c:v>
                </c:pt>
                <c:pt idx="3">
                  <c:v>0.15400000000000005</c:v>
                </c:pt>
                <c:pt idx="4">
                  <c:v>0.36900000000000016</c:v>
                </c:pt>
                <c:pt idx="5">
                  <c:v>0.66700000000000026</c:v>
                </c:pt>
                <c:pt idx="6">
                  <c:v>0.20400000000000001</c:v>
                </c:pt>
                <c:pt idx="7">
                  <c:v>0.29900000000000015</c:v>
                </c:pt>
                <c:pt idx="8">
                  <c:v>0.26300000000000001</c:v>
                </c:pt>
                <c:pt idx="9">
                  <c:v>0.36300000000000016</c:v>
                </c:pt>
                <c:pt idx="10">
                  <c:v>0.52400000000000002</c:v>
                </c:pt>
                <c:pt idx="11">
                  <c:v>0.161</c:v>
                </c:pt>
              </c:numCache>
            </c:numRef>
          </c:val>
          <c:extLst xmlns:c16r2="http://schemas.microsoft.com/office/drawing/2015/06/chart">
            <c:ext xmlns:c16="http://schemas.microsoft.com/office/drawing/2014/chart" uri="{C3380CC4-5D6E-409C-BE32-E72D297353CC}">
              <c16:uniqueId val="{00000002-391F-459A-A291-3EFD932E73F2}"/>
            </c:ext>
          </c:extLst>
        </c:ser>
        <c:ser>
          <c:idx val="3"/>
          <c:order val="3"/>
          <c:tx>
            <c:strRef>
              <c:f>Лист2!$E$1</c:f>
              <c:strCache>
                <c:ptCount val="1"/>
                <c:pt idx="0">
                  <c:v>no funding specified</c:v>
                </c:pt>
              </c:strCache>
            </c:strRef>
          </c:tx>
          <c:spPr>
            <a:solidFill>
              <a:schemeClr val="accent4"/>
            </a:solidFill>
            <a:ln>
              <a:noFill/>
            </a:ln>
            <a:effectLst/>
          </c:spPr>
          <c:cat>
            <c:strRef>
              <c:f>Лист2!$A$2:$A$13</c:f>
              <c:strCache>
                <c:ptCount val="12"/>
                <c:pt idx="0">
                  <c:v>Armenia</c:v>
                </c:pt>
                <c:pt idx="1">
                  <c:v>Azerbaijan</c:v>
                </c:pt>
                <c:pt idx="2">
                  <c:v>Belarus</c:v>
                </c:pt>
                <c:pt idx="3">
                  <c:v>Estonia</c:v>
                </c:pt>
                <c:pt idx="4">
                  <c:v>Georgia</c:v>
                </c:pt>
                <c:pt idx="5">
                  <c:v>Kyrgyzstan</c:v>
                </c:pt>
                <c:pt idx="6">
                  <c:v>Kazakhstan</c:v>
                </c:pt>
                <c:pt idx="7">
                  <c:v>Lithuania</c:v>
                </c:pt>
                <c:pt idx="8">
                  <c:v>Latvia</c:v>
                </c:pt>
                <c:pt idx="9">
                  <c:v>Moldova</c:v>
                </c:pt>
                <c:pt idx="10">
                  <c:v>Tajikistan</c:v>
                </c:pt>
                <c:pt idx="11">
                  <c:v>Uzbekistan</c:v>
                </c:pt>
              </c:strCache>
            </c:strRef>
          </c:cat>
          <c:val>
            <c:numRef>
              <c:f>Лист2!$E$2:$E$13</c:f>
              <c:numCache>
                <c:formatCode>0.00%</c:formatCode>
                <c:ptCount val="12"/>
                <c:pt idx="0">
                  <c:v>0.11700000000000002</c:v>
                </c:pt>
                <c:pt idx="1">
                  <c:v>0.24400000000000005</c:v>
                </c:pt>
                <c:pt idx="2">
                  <c:v>7.1999999999999995E-2</c:v>
                </c:pt>
                <c:pt idx="3">
                  <c:v>4.5000000000000012E-2</c:v>
                </c:pt>
                <c:pt idx="4">
                  <c:v>3.5999999999999997E-2</c:v>
                </c:pt>
                <c:pt idx="6">
                  <c:v>5.8000000000000003E-2</c:v>
                </c:pt>
                <c:pt idx="7">
                  <c:v>3.3000000000000002E-2</c:v>
                </c:pt>
                <c:pt idx="8">
                  <c:v>2.5999999999999999E-2</c:v>
                </c:pt>
                <c:pt idx="9">
                  <c:v>2.5000000000000001E-2</c:v>
                </c:pt>
                <c:pt idx="10">
                  <c:v>4.8000000000000001E-2</c:v>
                </c:pt>
                <c:pt idx="11">
                  <c:v>1.0999999999999998E-2</c:v>
                </c:pt>
              </c:numCache>
            </c:numRef>
          </c:val>
          <c:extLst xmlns:c16r2="http://schemas.microsoft.com/office/drawing/2015/06/chart">
            <c:ext xmlns:c16="http://schemas.microsoft.com/office/drawing/2014/chart" uri="{C3380CC4-5D6E-409C-BE32-E72D297353CC}">
              <c16:uniqueId val="{00000003-391F-459A-A291-3EFD932E73F2}"/>
            </c:ext>
          </c:extLst>
        </c:ser>
        <c:overlap val="100"/>
        <c:axId val="376172544"/>
        <c:axId val="376174080"/>
      </c:barChart>
      <c:catAx>
        <c:axId val="3761725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6174080"/>
        <c:crosses val="autoZero"/>
        <c:auto val="1"/>
        <c:lblAlgn val="ctr"/>
        <c:lblOffset val="100"/>
      </c:catAx>
      <c:valAx>
        <c:axId val="376174080"/>
        <c:scaling>
          <c:orientation val="minMax"/>
          <c:max val="1"/>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61725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4326</Words>
  <Characters>24662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2023-04-21T09:53:00Z</dcterms:created>
  <dcterms:modified xsi:type="dcterms:W3CDTF">2023-04-21T09:53:00Z</dcterms:modified>
</cp:coreProperties>
</file>