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3798343" w:rsidR="00AD6D2D" w:rsidRPr="00542798" w:rsidRDefault="00796B11" w:rsidP="00542798">
      <w:pPr>
        <w:pStyle w:val="Overskrift1"/>
        <w:jc w:val="center"/>
      </w:pPr>
      <w:r>
        <w:t xml:space="preserve">An institutional implementation of the new </w:t>
      </w:r>
      <w:r w:rsidR="00B42851">
        <w:t xml:space="preserve">European </w:t>
      </w:r>
      <w:r>
        <w:t>reform of research assessment</w:t>
      </w:r>
    </w:p>
    <w:p w14:paraId="1448DA63" w14:textId="77777777" w:rsidR="00AD6D2D" w:rsidRPr="00AD6D2D" w:rsidRDefault="00AD6D2D" w:rsidP="00542798">
      <w:pPr>
        <w:jc w:val="center"/>
      </w:pPr>
    </w:p>
    <w:p w14:paraId="49EED032" w14:textId="16E245C9" w:rsidR="00AD6D2D" w:rsidRPr="00B42851" w:rsidRDefault="00796B11" w:rsidP="00542798">
      <w:pPr>
        <w:jc w:val="center"/>
      </w:pPr>
      <w:r w:rsidRPr="00796B11">
        <w:t>Kathrine Bjerg Bennike</w:t>
      </w:r>
      <w:r w:rsidR="00AD6D2D" w:rsidRPr="00AD6D2D">
        <w:rPr>
          <w:vertAlign w:val="superscript"/>
        </w:rPr>
        <w:t>*</w:t>
      </w:r>
      <w:r w:rsidR="00AD6D2D" w:rsidRPr="00AD6D2D">
        <w:t xml:space="preserve">, </w:t>
      </w:r>
      <w:r w:rsidRPr="00796B11">
        <w:t xml:space="preserve">Poul Meier </w:t>
      </w:r>
      <w:r w:rsidR="0035605A" w:rsidRPr="00796B11">
        <w:t>Melchiorsen</w:t>
      </w:r>
      <w:r w:rsidR="0035605A" w:rsidRPr="00AD6D2D">
        <w:rPr>
          <w:vertAlign w:val="superscript"/>
        </w:rPr>
        <w:t>*</w:t>
      </w:r>
      <w:r w:rsidR="00AD6D2D" w:rsidRPr="00B42851">
        <w:rPr>
          <w:vertAlign w:val="superscript"/>
        </w:rPr>
        <w:t>*</w:t>
      </w:r>
      <w:r w:rsidR="0035605A" w:rsidRPr="00B42851">
        <w:t xml:space="preserve">, </w:t>
      </w:r>
      <w:r w:rsidR="00AD6D2D" w:rsidRPr="00B42851">
        <w:t xml:space="preserve">and </w:t>
      </w:r>
      <w:r w:rsidRPr="00B42851">
        <w:t>Gunnar Sivertsen</w:t>
      </w:r>
      <w:r w:rsidR="00AD6D2D" w:rsidRPr="00B42851">
        <w:rPr>
          <w:vertAlign w:val="superscript"/>
        </w:rPr>
        <w:t>**</w:t>
      </w:r>
      <w:r w:rsidRPr="00B42851">
        <w:rPr>
          <w:vertAlign w:val="superscript"/>
        </w:rPr>
        <w:t>*</w:t>
      </w:r>
    </w:p>
    <w:p w14:paraId="69B5EBE6" w14:textId="77777777" w:rsidR="00AD6D2D" w:rsidRPr="00B42851" w:rsidRDefault="00AD6D2D" w:rsidP="00542798">
      <w:pPr>
        <w:jc w:val="center"/>
        <w:rPr>
          <w:sz w:val="20"/>
          <w:szCs w:val="20"/>
        </w:rPr>
      </w:pPr>
    </w:p>
    <w:p w14:paraId="0327B950" w14:textId="0530D1F9" w:rsidR="00AD6D2D" w:rsidRPr="00B42851" w:rsidRDefault="00AD6D2D" w:rsidP="00542798">
      <w:pPr>
        <w:jc w:val="center"/>
        <w:rPr>
          <w:i/>
          <w:iCs/>
          <w:sz w:val="20"/>
          <w:szCs w:val="20"/>
        </w:rPr>
      </w:pPr>
      <w:r w:rsidRPr="00B42851">
        <w:rPr>
          <w:sz w:val="20"/>
          <w:szCs w:val="20"/>
          <w:vertAlign w:val="superscript"/>
        </w:rPr>
        <w:t>*</w:t>
      </w:r>
      <w:r w:rsidR="00796B11" w:rsidRPr="00B42851">
        <w:t xml:space="preserve"> </w:t>
      </w:r>
      <w:hyperlink r:id="rId10" w:history="1">
        <w:r w:rsidR="006E3C31" w:rsidRPr="00B42851">
          <w:rPr>
            <w:rStyle w:val="Hyperkobling"/>
            <w:i/>
            <w:iCs/>
            <w:sz w:val="20"/>
            <w:szCs w:val="20"/>
          </w:rPr>
          <w:t>kbb@aub.aau.dk</w:t>
        </w:r>
      </w:hyperlink>
    </w:p>
    <w:p w14:paraId="02014997" w14:textId="77777777" w:rsidR="00796B11" w:rsidRDefault="00796B11" w:rsidP="00542798">
      <w:pPr>
        <w:jc w:val="center"/>
        <w:rPr>
          <w:sz w:val="20"/>
          <w:szCs w:val="20"/>
        </w:rPr>
      </w:pPr>
      <w:r w:rsidRPr="00796B11">
        <w:rPr>
          <w:sz w:val="20"/>
          <w:szCs w:val="20"/>
        </w:rPr>
        <w:t xml:space="preserve">0000-0002-3498-2677 </w:t>
      </w:r>
    </w:p>
    <w:p w14:paraId="0F7AF4B5" w14:textId="2AC27B4F" w:rsidR="00AD6D2D" w:rsidRDefault="00796B11" w:rsidP="00542798">
      <w:pPr>
        <w:jc w:val="center"/>
        <w:rPr>
          <w:sz w:val="20"/>
          <w:szCs w:val="20"/>
        </w:rPr>
      </w:pPr>
      <w:r w:rsidRPr="00796B11">
        <w:rPr>
          <w:sz w:val="20"/>
          <w:szCs w:val="20"/>
        </w:rPr>
        <w:t>VBN Team, Aalborg University Library, Aalborg, Denmark</w:t>
      </w:r>
    </w:p>
    <w:p w14:paraId="0B854903" w14:textId="77777777" w:rsidR="00796B11" w:rsidRPr="00AD6D2D" w:rsidRDefault="00796B11" w:rsidP="00542798">
      <w:pPr>
        <w:jc w:val="center"/>
        <w:rPr>
          <w:sz w:val="20"/>
          <w:szCs w:val="20"/>
        </w:rPr>
      </w:pPr>
    </w:p>
    <w:p w14:paraId="4D6DE168" w14:textId="53383672" w:rsidR="006E3C31" w:rsidRDefault="00AD6D2D" w:rsidP="00542798">
      <w:pPr>
        <w:jc w:val="center"/>
        <w:rPr>
          <w:i/>
          <w:iCs/>
          <w:sz w:val="20"/>
          <w:szCs w:val="20"/>
        </w:rPr>
      </w:pPr>
      <w:r w:rsidRPr="00796B11">
        <w:rPr>
          <w:sz w:val="20"/>
          <w:szCs w:val="20"/>
          <w:vertAlign w:val="superscript"/>
        </w:rPr>
        <w:t>**</w:t>
      </w:r>
      <w:r w:rsidRPr="00796B11">
        <w:rPr>
          <w:i/>
          <w:iCs/>
          <w:sz w:val="20"/>
          <w:szCs w:val="20"/>
        </w:rPr>
        <w:t xml:space="preserve"> </w:t>
      </w:r>
      <w:hyperlink r:id="rId11" w:history="1">
        <w:r w:rsidR="006E3C31" w:rsidRPr="00522D0E">
          <w:rPr>
            <w:rStyle w:val="Hyperkobling"/>
            <w:i/>
            <w:iCs/>
            <w:sz w:val="20"/>
            <w:szCs w:val="20"/>
          </w:rPr>
          <w:t>pmm@aub.aau.dk</w:t>
        </w:r>
      </w:hyperlink>
    </w:p>
    <w:p w14:paraId="5E4A448C" w14:textId="459F3395" w:rsidR="00AD6D2D" w:rsidRPr="0035605A" w:rsidRDefault="00796B11" w:rsidP="00542798">
      <w:pPr>
        <w:jc w:val="center"/>
        <w:rPr>
          <w:sz w:val="20"/>
          <w:szCs w:val="20"/>
          <w:lang w:val="en-US"/>
        </w:rPr>
      </w:pPr>
      <w:r w:rsidRPr="0035605A">
        <w:rPr>
          <w:sz w:val="20"/>
          <w:szCs w:val="20"/>
          <w:lang w:val="en-US"/>
        </w:rPr>
        <w:t>0000-0002-3751-9821</w:t>
      </w:r>
      <w:r w:rsidR="00AD6D2D" w:rsidRPr="0035605A">
        <w:rPr>
          <w:sz w:val="20"/>
          <w:szCs w:val="20"/>
          <w:lang w:val="en-US"/>
        </w:rPr>
        <w:t xml:space="preserve"> </w:t>
      </w:r>
    </w:p>
    <w:p w14:paraId="3ADABD76" w14:textId="76AC6C8A" w:rsidR="00796B11" w:rsidRDefault="00796B11" w:rsidP="00796B11">
      <w:pPr>
        <w:jc w:val="center"/>
        <w:rPr>
          <w:sz w:val="20"/>
          <w:szCs w:val="20"/>
        </w:rPr>
      </w:pPr>
      <w:r w:rsidRPr="00796B11">
        <w:rPr>
          <w:sz w:val="20"/>
          <w:szCs w:val="20"/>
        </w:rPr>
        <w:t>VBN Team, Aalborg University Library, Aalborg, Denmark</w:t>
      </w:r>
    </w:p>
    <w:p w14:paraId="4FCCEB9C" w14:textId="77777777" w:rsidR="00796B11" w:rsidRDefault="00796B11" w:rsidP="00796B11">
      <w:pPr>
        <w:jc w:val="center"/>
        <w:rPr>
          <w:sz w:val="20"/>
          <w:szCs w:val="20"/>
        </w:rPr>
      </w:pPr>
    </w:p>
    <w:p w14:paraId="52D237EF" w14:textId="70AC6F66" w:rsidR="00796B11" w:rsidRDefault="00796B11" w:rsidP="00796B11">
      <w:pPr>
        <w:jc w:val="center"/>
        <w:rPr>
          <w:i/>
          <w:iCs/>
          <w:sz w:val="20"/>
          <w:szCs w:val="20"/>
        </w:rPr>
      </w:pPr>
      <w:r>
        <w:rPr>
          <w:i/>
          <w:iCs/>
          <w:sz w:val="20"/>
          <w:szCs w:val="20"/>
        </w:rPr>
        <w:t xml:space="preserve"> </w:t>
      </w:r>
      <w:r w:rsidRPr="00B62F7F">
        <w:rPr>
          <w:i/>
          <w:iCs/>
          <w:sz w:val="20"/>
          <w:szCs w:val="20"/>
          <w:vertAlign w:val="superscript"/>
        </w:rPr>
        <w:t>***</w:t>
      </w:r>
      <w:r>
        <w:rPr>
          <w:i/>
          <w:iCs/>
          <w:sz w:val="20"/>
          <w:szCs w:val="20"/>
        </w:rPr>
        <w:t xml:space="preserve"> </w:t>
      </w:r>
      <w:hyperlink r:id="rId12" w:history="1">
        <w:r w:rsidRPr="00522D0E">
          <w:rPr>
            <w:rStyle w:val="Hyperkobling"/>
            <w:i/>
            <w:iCs/>
            <w:sz w:val="20"/>
            <w:szCs w:val="20"/>
          </w:rPr>
          <w:t>gunnar.sivertsen@nifu.no</w:t>
        </w:r>
      </w:hyperlink>
    </w:p>
    <w:p w14:paraId="0C355FE4" w14:textId="77777777" w:rsidR="00796B11" w:rsidRPr="00796B11" w:rsidRDefault="00796B11" w:rsidP="00796B11">
      <w:pPr>
        <w:jc w:val="center"/>
        <w:rPr>
          <w:sz w:val="20"/>
          <w:szCs w:val="20"/>
          <w:lang w:val="en-US"/>
        </w:rPr>
      </w:pPr>
      <w:r w:rsidRPr="00796B11">
        <w:rPr>
          <w:sz w:val="20"/>
          <w:szCs w:val="20"/>
          <w:lang w:val="en-US"/>
        </w:rPr>
        <w:t>0000-0003-1020-3189</w:t>
      </w:r>
    </w:p>
    <w:p w14:paraId="31891784" w14:textId="274E5095" w:rsidR="00796B11" w:rsidRDefault="00796B11" w:rsidP="00796B11">
      <w:pPr>
        <w:jc w:val="center"/>
        <w:rPr>
          <w:sz w:val="20"/>
          <w:szCs w:val="20"/>
        </w:rPr>
      </w:pPr>
      <w:r>
        <w:rPr>
          <w:sz w:val="20"/>
          <w:szCs w:val="20"/>
        </w:rPr>
        <w:t>Nordic Institute for Studies in Innovation, Research and Education (NIFU), Oslo, Norway</w:t>
      </w:r>
    </w:p>
    <w:p w14:paraId="0F0414F3" w14:textId="77777777" w:rsidR="00796B11" w:rsidRDefault="00796B11" w:rsidP="00796B11">
      <w:pPr>
        <w:jc w:val="center"/>
        <w:rPr>
          <w:sz w:val="20"/>
          <w:szCs w:val="20"/>
        </w:rPr>
      </w:pPr>
    </w:p>
    <w:p w14:paraId="18EAD8F9" w14:textId="77777777" w:rsidR="008168F4" w:rsidRPr="00D96243" w:rsidRDefault="008168F4" w:rsidP="00542798">
      <w:pPr>
        <w:jc w:val="center"/>
      </w:pPr>
    </w:p>
    <w:p w14:paraId="04927CB0" w14:textId="3FF61CA2" w:rsidR="008168F4" w:rsidRDefault="008168F4" w:rsidP="00542798">
      <w:pPr>
        <w:jc w:val="center"/>
      </w:pPr>
    </w:p>
    <w:p w14:paraId="151B02EA" w14:textId="735D704B" w:rsidR="00143C80" w:rsidRPr="00143C80" w:rsidRDefault="00143C80" w:rsidP="00CB15AC">
      <w:pPr>
        <w:jc w:val="both"/>
        <w:rPr>
          <w:b/>
          <w:bCs/>
          <w:sz w:val="20"/>
          <w:szCs w:val="20"/>
        </w:rPr>
      </w:pPr>
      <w:r w:rsidRPr="00143C80">
        <w:rPr>
          <w:b/>
          <w:bCs/>
        </w:rPr>
        <w:t>Abstract</w:t>
      </w:r>
    </w:p>
    <w:p w14:paraId="349571DF" w14:textId="2147EF7C" w:rsidR="00143C80" w:rsidRDefault="00185592" w:rsidP="00B62F7F">
      <w:pPr>
        <w:jc w:val="both"/>
        <w:rPr>
          <w:sz w:val="20"/>
          <w:szCs w:val="20"/>
        </w:rPr>
      </w:pPr>
      <w:r w:rsidRPr="00185592">
        <w:rPr>
          <w:sz w:val="20"/>
          <w:szCs w:val="20"/>
        </w:rPr>
        <w:t xml:space="preserve">The Agreement on Reforming Research Assessment </w:t>
      </w:r>
      <w:r w:rsidRPr="00143C80">
        <w:rPr>
          <w:sz w:val="20"/>
          <w:szCs w:val="20"/>
        </w:rPr>
        <w:t>(Coalition for Advancing Research Assessment, 2022)</w:t>
      </w:r>
      <w:r w:rsidRPr="00185592">
        <w:rPr>
          <w:sz w:val="20"/>
          <w:szCs w:val="20"/>
        </w:rPr>
        <w:t xml:space="preserve"> </w:t>
      </w:r>
      <w:r>
        <w:rPr>
          <w:sz w:val="20"/>
          <w:szCs w:val="20"/>
        </w:rPr>
        <w:t>a</w:t>
      </w:r>
      <w:r w:rsidRPr="00185592">
        <w:rPr>
          <w:sz w:val="20"/>
          <w:szCs w:val="20"/>
        </w:rPr>
        <w:t xml:space="preserve">ddresses </w:t>
      </w:r>
      <w:r>
        <w:rPr>
          <w:sz w:val="20"/>
          <w:szCs w:val="20"/>
        </w:rPr>
        <w:t xml:space="preserve">the assessment </w:t>
      </w:r>
      <w:r w:rsidRPr="00185592">
        <w:rPr>
          <w:sz w:val="20"/>
          <w:szCs w:val="20"/>
        </w:rPr>
        <w:t xml:space="preserve">of </w:t>
      </w:r>
      <w:r>
        <w:rPr>
          <w:sz w:val="20"/>
          <w:szCs w:val="20"/>
        </w:rPr>
        <w:t xml:space="preserve">researchers, </w:t>
      </w:r>
      <w:r w:rsidRPr="00185592">
        <w:rPr>
          <w:sz w:val="20"/>
          <w:szCs w:val="20"/>
        </w:rPr>
        <w:t>research proposals</w:t>
      </w:r>
      <w:r>
        <w:rPr>
          <w:sz w:val="20"/>
          <w:szCs w:val="20"/>
        </w:rPr>
        <w:t xml:space="preserve">, and research performing </w:t>
      </w:r>
      <w:r w:rsidRPr="00185592">
        <w:rPr>
          <w:sz w:val="20"/>
          <w:szCs w:val="20"/>
        </w:rPr>
        <w:t>organizations and units.</w:t>
      </w:r>
      <w:r>
        <w:rPr>
          <w:sz w:val="20"/>
          <w:szCs w:val="20"/>
        </w:rPr>
        <w:t xml:space="preserve"> </w:t>
      </w:r>
      <w:r w:rsidR="00B62F7F">
        <w:rPr>
          <w:sz w:val="20"/>
          <w:szCs w:val="20"/>
        </w:rPr>
        <w:t xml:space="preserve">Our contribution is relevant for the assessment of units within organizations. We describe how </w:t>
      </w:r>
      <w:r w:rsidRPr="00143C80">
        <w:rPr>
          <w:sz w:val="20"/>
          <w:szCs w:val="20"/>
        </w:rPr>
        <w:t xml:space="preserve">the main </w:t>
      </w:r>
      <w:r>
        <w:rPr>
          <w:sz w:val="20"/>
          <w:szCs w:val="20"/>
        </w:rPr>
        <w:t xml:space="preserve">principles and </w:t>
      </w:r>
      <w:r w:rsidRPr="00143C80">
        <w:rPr>
          <w:sz w:val="20"/>
          <w:szCs w:val="20"/>
        </w:rPr>
        <w:t xml:space="preserve">requirements of the Agreement </w:t>
      </w:r>
      <w:r w:rsidR="00B62F7F">
        <w:rPr>
          <w:sz w:val="20"/>
          <w:szCs w:val="20"/>
        </w:rPr>
        <w:t xml:space="preserve">have inspired </w:t>
      </w:r>
      <w:r w:rsidR="00491953">
        <w:rPr>
          <w:sz w:val="20"/>
          <w:szCs w:val="20"/>
        </w:rPr>
        <w:t>a</w:t>
      </w:r>
      <w:r w:rsidR="00B42851">
        <w:rPr>
          <w:sz w:val="20"/>
          <w:szCs w:val="20"/>
        </w:rPr>
        <w:t xml:space="preserve"> </w:t>
      </w:r>
      <w:r w:rsidR="00491953">
        <w:rPr>
          <w:sz w:val="20"/>
          <w:szCs w:val="20"/>
        </w:rPr>
        <w:t>n</w:t>
      </w:r>
      <w:r w:rsidR="00B42851">
        <w:rPr>
          <w:sz w:val="20"/>
          <w:szCs w:val="20"/>
        </w:rPr>
        <w:t>ew</w:t>
      </w:r>
      <w:r>
        <w:rPr>
          <w:sz w:val="20"/>
          <w:szCs w:val="20"/>
        </w:rPr>
        <w:t xml:space="preserve"> </w:t>
      </w:r>
      <w:r w:rsidR="00143C80" w:rsidRPr="00143C80">
        <w:rPr>
          <w:sz w:val="20"/>
          <w:szCs w:val="20"/>
        </w:rPr>
        <w:t xml:space="preserve">institutional-level framework </w:t>
      </w:r>
      <w:r w:rsidR="00B42851">
        <w:rPr>
          <w:sz w:val="20"/>
          <w:szCs w:val="20"/>
        </w:rPr>
        <w:t xml:space="preserve">at Aalborg University (DK) </w:t>
      </w:r>
      <w:r>
        <w:rPr>
          <w:sz w:val="20"/>
          <w:szCs w:val="20"/>
        </w:rPr>
        <w:t xml:space="preserve">with the aim to </w:t>
      </w:r>
      <w:r w:rsidR="00143C80" w:rsidRPr="00143C80">
        <w:rPr>
          <w:sz w:val="20"/>
          <w:szCs w:val="20"/>
        </w:rPr>
        <w:t xml:space="preserve">deliver data, statistics, and indicators to support </w:t>
      </w:r>
      <w:r>
        <w:rPr>
          <w:sz w:val="20"/>
          <w:szCs w:val="20"/>
        </w:rPr>
        <w:t xml:space="preserve">internal </w:t>
      </w:r>
      <w:r w:rsidR="00143C80" w:rsidRPr="00143C80">
        <w:rPr>
          <w:sz w:val="20"/>
          <w:szCs w:val="20"/>
        </w:rPr>
        <w:t>strategic development, research assessment and resource allocation</w:t>
      </w:r>
      <w:r>
        <w:rPr>
          <w:sz w:val="20"/>
          <w:szCs w:val="20"/>
        </w:rPr>
        <w:t>.</w:t>
      </w:r>
      <w:r w:rsidR="00B62F7F">
        <w:rPr>
          <w:sz w:val="20"/>
          <w:szCs w:val="20"/>
        </w:rPr>
        <w:t xml:space="preserve"> </w:t>
      </w:r>
      <w:r w:rsidR="00B42851">
        <w:rPr>
          <w:sz w:val="20"/>
          <w:szCs w:val="20"/>
        </w:rPr>
        <w:t xml:space="preserve">The </w:t>
      </w:r>
      <w:r w:rsidR="00B62F7F">
        <w:rPr>
          <w:sz w:val="20"/>
          <w:szCs w:val="20"/>
        </w:rPr>
        <w:t xml:space="preserve">framework </w:t>
      </w:r>
      <w:r w:rsidR="00B42851">
        <w:rPr>
          <w:sz w:val="20"/>
          <w:szCs w:val="20"/>
        </w:rPr>
        <w:t xml:space="preserve">was designed </w:t>
      </w:r>
      <w:r w:rsidR="00B62F7F">
        <w:rPr>
          <w:sz w:val="20"/>
          <w:szCs w:val="20"/>
        </w:rPr>
        <w:t>on request from the rectorate</w:t>
      </w:r>
      <w:r w:rsidR="00953410">
        <w:rPr>
          <w:sz w:val="20"/>
          <w:szCs w:val="20"/>
        </w:rPr>
        <w:t xml:space="preserve"> </w:t>
      </w:r>
      <w:r w:rsidR="00983582">
        <w:rPr>
          <w:sz w:val="20"/>
          <w:szCs w:val="20"/>
        </w:rPr>
        <w:t xml:space="preserve">and </w:t>
      </w:r>
      <w:r w:rsidR="00B62F7F" w:rsidRPr="00B62F7F">
        <w:rPr>
          <w:sz w:val="20"/>
          <w:szCs w:val="20"/>
        </w:rPr>
        <w:t>in collaboration with the deans of the four faculties</w:t>
      </w:r>
      <w:r w:rsidR="00953410">
        <w:rPr>
          <w:sz w:val="20"/>
          <w:szCs w:val="20"/>
        </w:rPr>
        <w:t xml:space="preserve"> with feedback from their project steering group</w:t>
      </w:r>
      <w:r w:rsidR="00701159">
        <w:rPr>
          <w:sz w:val="20"/>
          <w:szCs w:val="20"/>
        </w:rPr>
        <w:t xml:space="preserve"> </w:t>
      </w:r>
      <w:r w:rsidR="00261E9B" w:rsidRPr="00261E9B">
        <w:rPr>
          <w:sz w:val="20"/>
          <w:szCs w:val="20"/>
        </w:rPr>
        <w:t>and the university’s representative bodies</w:t>
      </w:r>
      <w:r w:rsidR="00983582">
        <w:rPr>
          <w:sz w:val="20"/>
          <w:szCs w:val="20"/>
        </w:rPr>
        <w:t xml:space="preserve">. </w:t>
      </w:r>
    </w:p>
    <w:p w14:paraId="79A4FBCF" w14:textId="77777777" w:rsidR="00143C80" w:rsidRPr="00D96243" w:rsidRDefault="00143C80" w:rsidP="00CB15AC">
      <w:pPr>
        <w:jc w:val="both"/>
      </w:pPr>
    </w:p>
    <w:p w14:paraId="02C61035" w14:textId="77777777" w:rsidR="008168F4" w:rsidRPr="00D96243" w:rsidRDefault="000C25AF">
      <w:pPr>
        <w:pStyle w:val="Overskrift2"/>
        <w:jc w:val="both"/>
      </w:pPr>
      <w:r w:rsidRPr="00D96243">
        <w:t xml:space="preserve">1. </w:t>
      </w:r>
      <w:r w:rsidR="008168F4" w:rsidRPr="00D96243">
        <w:t>Introduction</w:t>
      </w:r>
    </w:p>
    <w:p w14:paraId="7F456B79" w14:textId="0F27CEEE" w:rsidR="00B42851" w:rsidRDefault="00491953" w:rsidP="001E6C61">
      <w:pPr>
        <w:jc w:val="both"/>
        <w:rPr>
          <w:iCs/>
        </w:rPr>
      </w:pPr>
      <w:r>
        <w:rPr>
          <w:iCs/>
        </w:rPr>
        <w:t xml:space="preserve">We describe an institutional-level </w:t>
      </w:r>
      <w:r w:rsidRPr="001E6C61">
        <w:rPr>
          <w:iCs/>
        </w:rPr>
        <w:t>framework</w:t>
      </w:r>
      <w:r>
        <w:rPr>
          <w:iCs/>
        </w:rPr>
        <w:t xml:space="preserve"> </w:t>
      </w:r>
      <w:r w:rsidRPr="00491953">
        <w:rPr>
          <w:iCs/>
        </w:rPr>
        <w:t xml:space="preserve">with the aim to deliver data, statistics, and indicators to support internal strategic development, research assessment and resource allocation </w:t>
      </w:r>
      <w:r w:rsidR="00EE2783">
        <w:rPr>
          <w:iCs/>
        </w:rPr>
        <w:t>within a university</w:t>
      </w:r>
      <w:r w:rsidR="00B4175C">
        <w:rPr>
          <w:iCs/>
        </w:rPr>
        <w:t>, in our case Aalborg University in Denmark</w:t>
      </w:r>
      <w:r w:rsidR="00EE2783">
        <w:rPr>
          <w:iCs/>
        </w:rPr>
        <w:t xml:space="preserve">. The units of assessment are the </w:t>
      </w:r>
      <w:r>
        <w:rPr>
          <w:iCs/>
        </w:rPr>
        <w:t xml:space="preserve">faculties and </w:t>
      </w:r>
      <w:r w:rsidR="00EE2783">
        <w:rPr>
          <w:iCs/>
        </w:rPr>
        <w:t xml:space="preserve">their </w:t>
      </w:r>
      <w:r>
        <w:rPr>
          <w:iCs/>
        </w:rPr>
        <w:t>departments</w:t>
      </w:r>
      <w:r w:rsidR="00EE2783">
        <w:rPr>
          <w:iCs/>
        </w:rPr>
        <w:t>, not the individual researchers</w:t>
      </w:r>
      <w:r>
        <w:rPr>
          <w:iCs/>
        </w:rPr>
        <w:t xml:space="preserve">. </w:t>
      </w:r>
    </w:p>
    <w:p w14:paraId="1824C5AD" w14:textId="77777777" w:rsidR="00B42851" w:rsidRDefault="00B42851" w:rsidP="001E6C61">
      <w:pPr>
        <w:jc w:val="both"/>
        <w:rPr>
          <w:iCs/>
        </w:rPr>
      </w:pPr>
    </w:p>
    <w:p w14:paraId="0B1CB97A" w14:textId="6341EE40" w:rsidR="002262D8" w:rsidRDefault="00491953" w:rsidP="00CF31B8">
      <w:pPr>
        <w:jc w:val="both"/>
        <w:rPr>
          <w:iCs/>
        </w:rPr>
      </w:pPr>
      <w:r>
        <w:rPr>
          <w:iCs/>
        </w:rPr>
        <w:t xml:space="preserve">The </w:t>
      </w:r>
      <w:r w:rsidR="00EE2783">
        <w:rPr>
          <w:iCs/>
        </w:rPr>
        <w:t xml:space="preserve">new </w:t>
      </w:r>
      <w:r>
        <w:rPr>
          <w:iCs/>
        </w:rPr>
        <w:t xml:space="preserve">framework </w:t>
      </w:r>
      <w:r w:rsidR="00B4175C">
        <w:rPr>
          <w:iCs/>
        </w:rPr>
        <w:t>i</w:t>
      </w:r>
      <w:r w:rsidR="00EE2783">
        <w:rPr>
          <w:iCs/>
        </w:rPr>
        <w:t xml:space="preserve">s </w:t>
      </w:r>
      <w:r>
        <w:rPr>
          <w:iCs/>
        </w:rPr>
        <w:t>inspired by t</w:t>
      </w:r>
      <w:r w:rsidR="001E6C61" w:rsidRPr="001E6C61">
        <w:rPr>
          <w:iCs/>
        </w:rPr>
        <w:t>he Agreement on Reforming Research Assessment (Coalition for Advancing Research Assessment, 2022</w:t>
      </w:r>
      <w:r w:rsidR="004431E6">
        <w:rPr>
          <w:iCs/>
        </w:rPr>
        <w:t xml:space="preserve"> – hereinafter: the Agreement</w:t>
      </w:r>
      <w:r w:rsidR="001E6C61" w:rsidRPr="001E6C61">
        <w:rPr>
          <w:iCs/>
        </w:rPr>
        <w:t>)</w:t>
      </w:r>
      <w:r>
        <w:rPr>
          <w:iCs/>
        </w:rPr>
        <w:t>, which</w:t>
      </w:r>
      <w:r w:rsidR="001E6C61">
        <w:rPr>
          <w:iCs/>
        </w:rPr>
        <w:t xml:space="preserve"> </w:t>
      </w:r>
      <w:r w:rsidR="001E6C61" w:rsidRPr="001E6C61">
        <w:rPr>
          <w:iCs/>
        </w:rPr>
        <w:t xml:space="preserve">seeks to “induce a research culture that recognises </w:t>
      </w:r>
      <w:r w:rsidR="001E6C61" w:rsidRPr="001E6C61">
        <w:rPr>
          <w:b/>
          <w:bCs/>
          <w:iCs/>
        </w:rPr>
        <w:t>collaboration, openness, and engagement with society</w:t>
      </w:r>
      <w:r w:rsidR="001E6C61" w:rsidRPr="001E6C61">
        <w:rPr>
          <w:iCs/>
        </w:rPr>
        <w:t xml:space="preserve">” by recognizing “the </w:t>
      </w:r>
      <w:r w:rsidR="001E6C61" w:rsidRPr="001E6C61">
        <w:rPr>
          <w:b/>
          <w:bCs/>
          <w:iCs/>
        </w:rPr>
        <w:t>diverse</w:t>
      </w:r>
      <w:r w:rsidR="001E6C61" w:rsidRPr="001E6C61">
        <w:rPr>
          <w:iCs/>
        </w:rPr>
        <w:t xml:space="preserve"> outputs, practices and activities that maximise the </w:t>
      </w:r>
      <w:r w:rsidR="001E6C61" w:rsidRPr="001E6C61">
        <w:rPr>
          <w:b/>
          <w:bCs/>
          <w:iCs/>
        </w:rPr>
        <w:t>quality and impact</w:t>
      </w:r>
      <w:r w:rsidR="001E6C61" w:rsidRPr="001E6C61">
        <w:rPr>
          <w:iCs/>
        </w:rPr>
        <w:t xml:space="preserve"> of research”. The words thereby emphasized </w:t>
      </w:r>
      <w:r w:rsidR="00EE2783">
        <w:rPr>
          <w:iCs/>
        </w:rPr>
        <w:t xml:space="preserve">indicate the main </w:t>
      </w:r>
      <w:r w:rsidR="00CD0056">
        <w:rPr>
          <w:iCs/>
        </w:rPr>
        <w:t xml:space="preserve">elements of </w:t>
      </w:r>
      <w:r w:rsidR="00B4175C">
        <w:rPr>
          <w:iCs/>
        </w:rPr>
        <w:t>the framework</w:t>
      </w:r>
      <w:r w:rsidR="00CD0056">
        <w:rPr>
          <w:iCs/>
        </w:rPr>
        <w:t xml:space="preserve"> as </w:t>
      </w:r>
      <w:r w:rsidR="00CF31B8" w:rsidRPr="00CF31B8">
        <w:rPr>
          <w:iCs/>
        </w:rPr>
        <w:t xml:space="preserve">visualized in </w:t>
      </w:r>
      <w:r w:rsidR="00CF31B8" w:rsidRPr="00CD0056">
        <w:rPr>
          <w:i/>
        </w:rPr>
        <w:t>Figure 1</w:t>
      </w:r>
      <w:r w:rsidR="00CF31B8" w:rsidRPr="00CF31B8">
        <w:rPr>
          <w:iCs/>
        </w:rPr>
        <w:t xml:space="preserve">. </w:t>
      </w:r>
    </w:p>
    <w:p w14:paraId="669E48AD" w14:textId="77777777" w:rsidR="002262D8" w:rsidRDefault="002262D8" w:rsidP="002262D8">
      <w:pPr>
        <w:jc w:val="both"/>
        <w:rPr>
          <w:iCs/>
        </w:rPr>
      </w:pPr>
    </w:p>
    <w:p w14:paraId="7CBE0C3C" w14:textId="5106D6D6" w:rsidR="002262D8" w:rsidRDefault="002262D8" w:rsidP="002262D8">
      <w:pPr>
        <w:jc w:val="both"/>
        <w:rPr>
          <w:iCs/>
        </w:rPr>
      </w:pPr>
      <w:r w:rsidRPr="00CF31B8">
        <w:rPr>
          <w:iCs/>
        </w:rPr>
        <w:t>The left-hand side with “</w:t>
      </w:r>
      <w:r>
        <w:rPr>
          <w:iCs/>
        </w:rPr>
        <w:t>Publication points”</w:t>
      </w:r>
      <w:r w:rsidRPr="00CF31B8">
        <w:rPr>
          <w:iCs/>
        </w:rPr>
        <w:t xml:space="preserve"> represents a bibliometric indicator that </w:t>
      </w:r>
      <w:r w:rsidR="00050CA8">
        <w:rPr>
          <w:iCs/>
        </w:rPr>
        <w:t xml:space="preserve">balances </w:t>
      </w:r>
      <w:r w:rsidR="00BC5C0D">
        <w:rPr>
          <w:iCs/>
        </w:rPr>
        <w:t xml:space="preserve">the measurement of </w:t>
      </w:r>
      <w:r w:rsidR="00050CA8">
        <w:rPr>
          <w:iCs/>
        </w:rPr>
        <w:t xml:space="preserve">publication output and citation impact </w:t>
      </w:r>
      <w:r w:rsidR="00BC5C0D">
        <w:rPr>
          <w:iCs/>
        </w:rPr>
        <w:t>across all fields</w:t>
      </w:r>
      <w:r w:rsidR="001A6BC1">
        <w:rPr>
          <w:iCs/>
        </w:rPr>
        <w:t xml:space="preserve">. </w:t>
      </w:r>
      <w:r w:rsidR="00222178">
        <w:rPr>
          <w:iCs/>
        </w:rPr>
        <w:t>It is comparable and may serve internal resource allocation</w:t>
      </w:r>
      <w:r w:rsidR="009A12DE">
        <w:rPr>
          <w:iCs/>
        </w:rPr>
        <w:t xml:space="preserve">, and it is designed to </w:t>
      </w:r>
      <w:r>
        <w:rPr>
          <w:iCs/>
        </w:rPr>
        <w:t>ensure “</w:t>
      </w:r>
      <w:r w:rsidRPr="002262D8">
        <w:rPr>
          <w:iCs/>
        </w:rPr>
        <w:t>responsibly used quantitative indicators where appropriate</w:t>
      </w:r>
      <w:r>
        <w:rPr>
          <w:iCs/>
        </w:rPr>
        <w:t xml:space="preserve">”, as called for in the Agreement. </w:t>
      </w:r>
      <w:r w:rsidRPr="00CF31B8">
        <w:rPr>
          <w:iCs/>
        </w:rPr>
        <w:t xml:space="preserve">The right-hand side of </w:t>
      </w:r>
      <w:r w:rsidRPr="002262D8">
        <w:rPr>
          <w:i/>
        </w:rPr>
        <w:t>Figure 1</w:t>
      </w:r>
      <w:r w:rsidRPr="00CF31B8">
        <w:rPr>
          <w:iCs/>
        </w:rPr>
        <w:t xml:space="preserve"> represents the broader range of activities and competences called for in the </w:t>
      </w:r>
      <w:r>
        <w:rPr>
          <w:iCs/>
        </w:rPr>
        <w:t>A</w:t>
      </w:r>
      <w:r w:rsidRPr="00CF31B8">
        <w:rPr>
          <w:iCs/>
        </w:rPr>
        <w:t>greement. Here, the emphasis is on societal interaction: collaboration with society, visibility in society, and open research practices.</w:t>
      </w:r>
      <w:r>
        <w:rPr>
          <w:iCs/>
        </w:rPr>
        <w:t xml:space="preserve"> We start by explaining th</w:t>
      </w:r>
      <w:r w:rsidR="00A33677">
        <w:rPr>
          <w:iCs/>
        </w:rPr>
        <w:t>is</w:t>
      </w:r>
      <w:r>
        <w:rPr>
          <w:iCs/>
        </w:rPr>
        <w:t xml:space="preserve"> latter part of the framework.</w:t>
      </w:r>
    </w:p>
    <w:p w14:paraId="2EDA8960" w14:textId="0E6CA6E3" w:rsidR="00755D7C" w:rsidRDefault="00755D7C">
      <w:pPr>
        <w:rPr>
          <w:iCs/>
        </w:rPr>
      </w:pPr>
      <w:r>
        <w:rPr>
          <w:iCs/>
        </w:rPr>
        <w:br w:type="page"/>
      </w:r>
    </w:p>
    <w:p w14:paraId="5D833624" w14:textId="53B9C751" w:rsidR="002262D8" w:rsidRPr="00CF31B8" w:rsidRDefault="002262D8" w:rsidP="002262D8">
      <w:pPr>
        <w:jc w:val="center"/>
        <w:rPr>
          <w:iCs/>
        </w:rPr>
      </w:pPr>
      <w:r w:rsidRPr="00CF31B8">
        <w:rPr>
          <w:iCs/>
        </w:rPr>
        <w:lastRenderedPageBreak/>
        <w:t xml:space="preserve">Figure 1. The Aalborg Framework to promote </w:t>
      </w:r>
      <w:r>
        <w:rPr>
          <w:iCs/>
        </w:rPr>
        <w:t>research quality, collaboration, openness, and engagement with society.</w:t>
      </w:r>
    </w:p>
    <w:p w14:paraId="540EF96A" w14:textId="07C8A2CD" w:rsidR="002262D8" w:rsidRDefault="002262D8" w:rsidP="002262D8">
      <w:pPr>
        <w:jc w:val="both"/>
        <w:rPr>
          <w:iCs/>
        </w:rPr>
      </w:pPr>
    </w:p>
    <w:p w14:paraId="58B026D7" w14:textId="5CFAFDE4" w:rsidR="002262D8" w:rsidRDefault="00A90D52" w:rsidP="002262D8">
      <w:pPr>
        <w:jc w:val="both"/>
        <w:rPr>
          <w:iCs/>
        </w:rPr>
      </w:pPr>
      <w:r w:rsidRPr="00A90D52">
        <w:rPr>
          <w:iCs/>
          <w:noProof/>
        </w:rPr>
        <w:drawing>
          <wp:inline distT="0" distB="0" distL="0" distR="0" wp14:anchorId="23EB08B8" wp14:editId="646FD882">
            <wp:extent cx="5760085" cy="226758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3"/>
                    <a:stretch>
                      <a:fillRect/>
                    </a:stretch>
                  </pic:blipFill>
                  <pic:spPr>
                    <a:xfrm>
                      <a:off x="0" y="0"/>
                      <a:ext cx="5760085" cy="2267585"/>
                    </a:xfrm>
                    <a:prstGeom prst="rect">
                      <a:avLst/>
                    </a:prstGeom>
                  </pic:spPr>
                </pic:pic>
              </a:graphicData>
            </a:graphic>
          </wp:inline>
        </w:drawing>
      </w:r>
    </w:p>
    <w:p w14:paraId="5B1737A9" w14:textId="26C86E83" w:rsidR="002262D8" w:rsidRPr="00CF31B8" w:rsidRDefault="002262D8" w:rsidP="002262D8">
      <w:pPr>
        <w:jc w:val="both"/>
        <w:rPr>
          <w:iCs/>
        </w:rPr>
      </w:pPr>
    </w:p>
    <w:p w14:paraId="05E49BDC" w14:textId="5297D765" w:rsidR="002262D8" w:rsidRDefault="002262D8" w:rsidP="00CF31B8">
      <w:pPr>
        <w:jc w:val="both"/>
        <w:rPr>
          <w:iCs/>
        </w:rPr>
      </w:pPr>
    </w:p>
    <w:p w14:paraId="4744E911" w14:textId="6500BDD2" w:rsidR="002262D8" w:rsidRDefault="002262D8" w:rsidP="002262D8">
      <w:pPr>
        <w:pStyle w:val="Overskrift2"/>
        <w:jc w:val="both"/>
      </w:pPr>
      <w:r>
        <w:t>2</w:t>
      </w:r>
      <w:r w:rsidRPr="00D96243">
        <w:t xml:space="preserve">. </w:t>
      </w:r>
      <w:r>
        <w:t>Statistics on societal interactions and open research practices</w:t>
      </w:r>
    </w:p>
    <w:p w14:paraId="61974A9B" w14:textId="0F214D23" w:rsidR="00045BBE" w:rsidRDefault="00D4562C" w:rsidP="00D4562C">
      <w:pPr>
        <w:jc w:val="both"/>
        <w:rPr>
          <w:iCs/>
        </w:rPr>
      </w:pPr>
      <w:r>
        <w:rPr>
          <w:iCs/>
        </w:rPr>
        <w:t>S</w:t>
      </w:r>
      <w:r w:rsidRPr="00CF31B8">
        <w:rPr>
          <w:iCs/>
        </w:rPr>
        <w:t xml:space="preserve">ocietal interaction </w:t>
      </w:r>
      <w:r w:rsidR="001642A0">
        <w:rPr>
          <w:iCs/>
        </w:rPr>
        <w:t xml:space="preserve">(often called ‘impact’) </w:t>
      </w:r>
      <w:r>
        <w:rPr>
          <w:iCs/>
        </w:rPr>
        <w:t xml:space="preserve">is </w:t>
      </w:r>
      <w:r w:rsidRPr="00CF31B8">
        <w:rPr>
          <w:iCs/>
        </w:rPr>
        <w:t xml:space="preserve">not easily measured or documented (Bornmann, 2013; </w:t>
      </w:r>
      <w:r w:rsidR="00A41BE6">
        <w:rPr>
          <w:iCs/>
        </w:rPr>
        <w:t>Sivertsen &amp; Meijer, 20</w:t>
      </w:r>
      <w:r w:rsidR="008B3C14">
        <w:rPr>
          <w:iCs/>
        </w:rPr>
        <w:t>20</w:t>
      </w:r>
      <w:r w:rsidR="00A41BE6">
        <w:rPr>
          <w:iCs/>
        </w:rPr>
        <w:t xml:space="preserve">; </w:t>
      </w:r>
      <w:r w:rsidRPr="00CF31B8">
        <w:rPr>
          <w:iCs/>
        </w:rPr>
        <w:t>Thelwall, 2021)</w:t>
      </w:r>
      <w:r w:rsidR="00A41BE6">
        <w:rPr>
          <w:iCs/>
        </w:rPr>
        <w:t xml:space="preserve">. </w:t>
      </w:r>
      <w:r w:rsidR="00810515">
        <w:rPr>
          <w:iCs/>
        </w:rPr>
        <w:t xml:space="preserve">Open research practices have the same problem. </w:t>
      </w:r>
      <w:r w:rsidR="008B02E3">
        <w:rPr>
          <w:iCs/>
        </w:rPr>
        <w:t xml:space="preserve">Examples and narratives need </w:t>
      </w:r>
      <w:r w:rsidR="00AB51C3">
        <w:rPr>
          <w:iCs/>
        </w:rPr>
        <w:t xml:space="preserve">to be based on evidence (Hill, 2016). </w:t>
      </w:r>
      <w:r w:rsidR="00DB63EA">
        <w:rPr>
          <w:iCs/>
        </w:rPr>
        <w:t xml:space="preserve">Institutional or national research information systems are promising </w:t>
      </w:r>
      <w:r w:rsidR="00EA7EC0">
        <w:rPr>
          <w:iCs/>
        </w:rPr>
        <w:t>solutions to this problem (Siv</w:t>
      </w:r>
      <w:r w:rsidR="00FE172D">
        <w:rPr>
          <w:iCs/>
        </w:rPr>
        <w:t>ertsen, 2019; Sivertsen &amp; Rushforth, 2022)</w:t>
      </w:r>
      <w:r w:rsidR="000A318E">
        <w:rPr>
          <w:iCs/>
        </w:rPr>
        <w:t xml:space="preserve">. </w:t>
      </w:r>
      <w:r w:rsidR="006E56F6">
        <w:rPr>
          <w:iCs/>
        </w:rPr>
        <w:t xml:space="preserve">Aalborg University </w:t>
      </w:r>
      <w:r w:rsidR="000249CF">
        <w:rPr>
          <w:iCs/>
        </w:rPr>
        <w:t xml:space="preserve">applies </w:t>
      </w:r>
      <w:r w:rsidR="006E56F6" w:rsidRPr="006E56F6">
        <w:rPr>
          <w:i/>
        </w:rPr>
        <w:t>Pure</w:t>
      </w:r>
      <w:r w:rsidR="006E56F6">
        <w:rPr>
          <w:iCs/>
        </w:rPr>
        <w:t>, a</w:t>
      </w:r>
      <w:r w:rsidR="00954C07">
        <w:rPr>
          <w:iCs/>
        </w:rPr>
        <w:t>n institutional research information</w:t>
      </w:r>
      <w:r w:rsidR="006E56F6">
        <w:rPr>
          <w:iCs/>
        </w:rPr>
        <w:t xml:space="preserve"> system originally developed on our campus and </w:t>
      </w:r>
      <w:r w:rsidR="00E7734E">
        <w:rPr>
          <w:iCs/>
        </w:rPr>
        <w:t xml:space="preserve">then </w:t>
      </w:r>
      <w:r w:rsidR="006E56F6">
        <w:rPr>
          <w:iCs/>
        </w:rPr>
        <w:t xml:space="preserve">commercialized by Elsevier for the world market. </w:t>
      </w:r>
    </w:p>
    <w:p w14:paraId="5A7F76BE" w14:textId="77777777" w:rsidR="00045BBE" w:rsidRDefault="00045BBE" w:rsidP="00D4562C">
      <w:pPr>
        <w:jc w:val="both"/>
        <w:rPr>
          <w:iCs/>
        </w:rPr>
      </w:pPr>
    </w:p>
    <w:p w14:paraId="596D7BCB" w14:textId="6670F51F" w:rsidR="006E56F6" w:rsidRDefault="006E56F6" w:rsidP="00D4562C">
      <w:pPr>
        <w:jc w:val="both"/>
        <w:rPr>
          <w:iCs/>
        </w:rPr>
      </w:pPr>
      <w:r w:rsidRPr="00E7734E">
        <w:rPr>
          <w:i/>
        </w:rPr>
        <w:t>Pure</w:t>
      </w:r>
      <w:r>
        <w:rPr>
          <w:iCs/>
        </w:rPr>
        <w:t xml:space="preserve"> is designed to register a broad range of research activities </w:t>
      </w:r>
      <w:r w:rsidR="00E7734E">
        <w:rPr>
          <w:iCs/>
        </w:rPr>
        <w:t xml:space="preserve">among the employees in categories prioritized by their departments. Our new framework prioritizes relevant categories for the documentation of societal interaction and open research. </w:t>
      </w:r>
      <w:r w:rsidR="00A93738">
        <w:rPr>
          <w:iCs/>
        </w:rPr>
        <w:t>W</w:t>
      </w:r>
      <w:r>
        <w:rPr>
          <w:iCs/>
        </w:rPr>
        <w:t xml:space="preserve">e have </w:t>
      </w:r>
      <w:r w:rsidR="00A93738">
        <w:rPr>
          <w:iCs/>
        </w:rPr>
        <w:t xml:space="preserve">also </w:t>
      </w:r>
      <w:r>
        <w:rPr>
          <w:iCs/>
        </w:rPr>
        <w:t xml:space="preserve">extended the system </w:t>
      </w:r>
      <w:r w:rsidR="00E7734E">
        <w:rPr>
          <w:iCs/>
        </w:rPr>
        <w:t>b</w:t>
      </w:r>
      <w:r w:rsidR="00D4562C" w:rsidRPr="00CF31B8">
        <w:rPr>
          <w:iCs/>
        </w:rPr>
        <w:t xml:space="preserve">y establishing a quality-assured database of media coverage of </w:t>
      </w:r>
      <w:r w:rsidR="007A48AA">
        <w:rPr>
          <w:iCs/>
        </w:rPr>
        <w:t>the university’s</w:t>
      </w:r>
      <w:r w:rsidR="00D4562C" w:rsidRPr="00CF31B8">
        <w:rPr>
          <w:iCs/>
        </w:rPr>
        <w:t xml:space="preserve"> achievements in research as well as a database of patents originating from the university. </w:t>
      </w:r>
    </w:p>
    <w:p w14:paraId="38CC2E69" w14:textId="77777777" w:rsidR="006E56F6" w:rsidRDefault="006E56F6" w:rsidP="00D4562C">
      <w:pPr>
        <w:jc w:val="both"/>
        <w:rPr>
          <w:iCs/>
        </w:rPr>
      </w:pPr>
    </w:p>
    <w:p w14:paraId="0146F01E" w14:textId="525F81FA" w:rsidR="004C5B0D" w:rsidRDefault="00E7734E" w:rsidP="0059418E">
      <w:pPr>
        <w:jc w:val="both"/>
        <w:rPr>
          <w:iCs/>
        </w:rPr>
      </w:pPr>
      <w:r>
        <w:rPr>
          <w:iCs/>
        </w:rPr>
        <w:t xml:space="preserve">It must be recognized, however, that even </w:t>
      </w:r>
      <w:r w:rsidR="00F0665D">
        <w:rPr>
          <w:iCs/>
        </w:rPr>
        <w:t xml:space="preserve">when partly solving </w:t>
      </w:r>
      <w:r>
        <w:rPr>
          <w:iCs/>
        </w:rPr>
        <w:t>the documentation problem</w:t>
      </w:r>
      <w:r w:rsidR="00736A88">
        <w:rPr>
          <w:iCs/>
        </w:rPr>
        <w:t xml:space="preserve">, </w:t>
      </w:r>
      <w:r>
        <w:rPr>
          <w:iCs/>
        </w:rPr>
        <w:t xml:space="preserve">it is difficult to </w:t>
      </w:r>
      <w:r w:rsidR="00D4562C" w:rsidRPr="00CF31B8">
        <w:rPr>
          <w:iCs/>
        </w:rPr>
        <w:t xml:space="preserve">provide </w:t>
      </w:r>
      <w:r w:rsidR="00D4562C" w:rsidRPr="00E7734E">
        <w:rPr>
          <w:i/>
        </w:rPr>
        <w:t>comparable</w:t>
      </w:r>
      <w:r w:rsidR="00D4562C" w:rsidRPr="00CF31B8">
        <w:rPr>
          <w:iCs/>
        </w:rPr>
        <w:t xml:space="preserve"> indicators of societal interaction </w:t>
      </w:r>
      <w:r>
        <w:rPr>
          <w:iCs/>
        </w:rPr>
        <w:t xml:space="preserve">and open research </w:t>
      </w:r>
      <w:r w:rsidR="00D4562C" w:rsidRPr="00CF31B8">
        <w:rPr>
          <w:iCs/>
        </w:rPr>
        <w:t xml:space="preserve">at department level. </w:t>
      </w:r>
      <w:r w:rsidR="00DF6F12">
        <w:rPr>
          <w:iCs/>
        </w:rPr>
        <w:t>M</w:t>
      </w:r>
      <w:r w:rsidR="00D4562C" w:rsidRPr="00CF31B8">
        <w:rPr>
          <w:iCs/>
        </w:rPr>
        <w:t>edia coverage</w:t>
      </w:r>
      <w:r w:rsidR="00615F47">
        <w:rPr>
          <w:iCs/>
        </w:rPr>
        <w:t xml:space="preserve"> and patenting</w:t>
      </w:r>
      <w:r w:rsidR="00DF6F12">
        <w:rPr>
          <w:iCs/>
        </w:rPr>
        <w:t>, for example,</w:t>
      </w:r>
      <w:r w:rsidR="00D4562C" w:rsidRPr="00CF31B8">
        <w:rPr>
          <w:iCs/>
        </w:rPr>
        <w:t xml:space="preserve"> var</w:t>
      </w:r>
      <w:r w:rsidR="00615F47">
        <w:rPr>
          <w:iCs/>
        </w:rPr>
        <w:t>y</w:t>
      </w:r>
      <w:r w:rsidR="00D4562C" w:rsidRPr="00CF31B8">
        <w:rPr>
          <w:iCs/>
        </w:rPr>
        <w:t xml:space="preserve"> among fields and neither of them </w:t>
      </w:r>
      <w:r w:rsidR="00507C9C">
        <w:rPr>
          <w:iCs/>
        </w:rPr>
        <w:t xml:space="preserve">may </w:t>
      </w:r>
      <w:r w:rsidR="00D4562C" w:rsidRPr="00CF31B8">
        <w:rPr>
          <w:iCs/>
        </w:rPr>
        <w:t xml:space="preserve">provide the complete picture </w:t>
      </w:r>
      <w:r>
        <w:rPr>
          <w:iCs/>
        </w:rPr>
        <w:t xml:space="preserve">of societal interaction </w:t>
      </w:r>
      <w:r w:rsidR="00D4562C" w:rsidRPr="00CF31B8">
        <w:rPr>
          <w:iCs/>
        </w:rPr>
        <w:t>(Thelwall, 2021).</w:t>
      </w:r>
      <w:r>
        <w:rPr>
          <w:iCs/>
        </w:rPr>
        <w:t xml:space="preserve"> </w:t>
      </w:r>
      <w:r w:rsidR="00507C9C">
        <w:rPr>
          <w:iCs/>
        </w:rPr>
        <w:t>With whom, how, and for what purposes societal interaction can be expected to occur, also basically differs among fields of research (Sivertsen &amp; Meijer, 20</w:t>
      </w:r>
      <w:r w:rsidR="008B3C14">
        <w:rPr>
          <w:iCs/>
        </w:rPr>
        <w:t>20</w:t>
      </w:r>
      <w:r w:rsidR="00507C9C">
        <w:rPr>
          <w:iCs/>
        </w:rPr>
        <w:t>). For this reason, the term ‘</w:t>
      </w:r>
      <w:r w:rsidR="00507C9C" w:rsidRPr="005C1459">
        <w:rPr>
          <w:i/>
        </w:rPr>
        <w:t>statistics</w:t>
      </w:r>
      <w:r w:rsidR="00507C9C">
        <w:rPr>
          <w:iCs/>
        </w:rPr>
        <w:t xml:space="preserve">’, not ‘indicators’, is used on the right-hand side in </w:t>
      </w:r>
      <w:r w:rsidR="00507C9C" w:rsidRPr="00507C9C">
        <w:rPr>
          <w:i/>
        </w:rPr>
        <w:t>Figure 1</w:t>
      </w:r>
      <w:r w:rsidR="00507C9C">
        <w:rPr>
          <w:iCs/>
        </w:rPr>
        <w:t xml:space="preserve">. Statistics </w:t>
      </w:r>
      <w:r w:rsidR="00011A64">
        <w:rPr>
          <w:iCs/>
        </w:rPr>
        <w:t>may</w:t>
      </w:r>
      <w:r w:rsidR="00507C9C">
        <w:rPr>
          <w:iCs/>
        </w:rPr>
        <w:t xml:space="preserve"> </w:t>
      </w:r>
      <w:r w:rsidR="009A6C16">
        <w:rPr>
          <w:iCs/>
        </w:rPr>
        <w:t xml:space="preserve">inform </w:t>
      </w:r>
      <w:r w:rsidR="009A6C16" w:rsidRPr="00CF31B8">
        <w:rPr>
          <w:iCs/>
        </w:rPr>
        <w:t>strategy development</w:t>
      </w:r>
      <w:r w:rsidR="0059418E">
        <w:rPr>
          <w:iCs/>
        </w:rPr>
        <w:t>, performance agreements</w:t>
      </w:r>
      <w:r w:rsidR="009A6C16" w:rsidRPr="00CF31B8">
        <w:rPr>
          <w:iCs/>
        </w:rPr>
        <w:t xml:space="preserve"> and annual reports at the department level</w:t>
      </w:r>
      <w:r w:rsidR="009A6C16">
        <w:rPr>
          <w:iCs/>
        </w:rPr>
        <w:t xml:space="preserve"> </w:t>
      </w:r>
      <w:r w:rsidR="00011A64">
        <w:rPr>
          <w:iCs/>
        </w:rPr>
        <w:t xml:space="preserve">without being comparable across units. </w:t>
      </w:r>
    </w:p>
    <w:p w14:paraId="7670C65B" w14:textId="77777777" w:rsidR="0059418E" w:rsidRDefault="0059418E" w:rsidP="00D4562C">
      <w:pPr>
        <w:jc w:val="both"/>
        <w:rPr>
          <w:iCs/>
        </w:rPr>
      </w:pPr>
    </w:p>
    <w:p w14:paraId="5A61FC1D" w14:textId="05D46B5E" w:rsidR="004C5B0D" w:rsidRDefault="003D6D68" w:rsidP="00D4562C">
      <w:pPr>
        <w:jc w:val="both"/>
        <w:rPr>
          <w:iCs/>
        </w:rPr>
      </w:pPr>
      <w:r w:rsidRPr="00011A64">
        <w:rPr>
          <w:iCs/>
        </w:rPr>
        <w:t>The Agreement on Reforming Research Assessment</w:t>
      </w:r>
      <w:r>
        <w:rPr>
          <w:iCs/>
        </w:rPr>
        <w:t xml:space="preserve"> </w:t>
      </w:r>
      <w:r w:rsidR="00C525AC">
        <w:rPr>
          <w:iCs/>
        </w:rPr>
        <w:t xml:space="preserve">uses the terms ‘indicators’ and ‘metrics’ throughout, but not the term </w:t>
      </w:r>
      <w:r w:rsidR="00011A64">
        <w:rPr>
          <w:iCs/>
        </w:rPr>
        <w:t>‘</w:t>
      </w:r>
      <w:proofErr w:type="gramStart"/>
      <w:r w:rsidR="00224518">
        <w:rPr>
          <w:iCs/>
        </w:rPr>
        <w:t>statistics’</w:t>
      </w:r>
      <w:proofErr w:type="gramEnd"/>
      <w:r w:rsidR="004C5B0D">
        <w:rPr>
          <w:iCs/>
        </w:rPr>
        <w:t xml:space="preserve">. </w:t>
      </w:r>
      <w:r w:rsidR="00224518">
        <w:rPr>
          <w:iCs/>
        </w:rPr>
        <w:t xml:space="preserve">With </w:t>
      </w:r>
      <w:r w:rsidR="004C5B0D">
        <w:rPr>
          <w:iCs/>
        </w:rPr>
        <w:t>the Agreement’s ambition to guide organizational-level as well as individual-level assessments, the term is probably needed (Sivertsen &amp; Rushfor</w:t>
      </w:r>
      <w:r w:rsidR="00224518">
        <w:rPr>
          <w:iCs/>
        </w:rPr>
        <w:t>th</w:t>
      </w:r>
      <w:r w:rsidR="004C5B0D">
        <w:rPr>
          <w:iCs/>
        </w:rPr>
        <w:t>, 2022).</w:t>
      </w:r>
    </w:p>
    <w:p w14:paraId="039117D5" w14:textId="7540445C" w:rsidR="008B4591" w:rsidRDefault="008B4591" w:rsidP="00D4562C">
      <w:pPr>
        <w:jc w:val="both"/>
        <w:rPr>
          <w:iCs/>
          <w:lang w:val="en-US"/>
        </w:rPr>
      </w:pPr>
    </w:p>
    <w:p w14:paraId="3D8B63B3" w14:textId="277CA19F" w:rsidR="0010097D" w:rsidRDefault="0010097D" w:rsidP="00D4562C">
      <w:pPr>
        <w:jc w:val="both"/>
        <w:rPr>
          <w:iCs/>
          <w:lang w:val="en-US"/>
        </w:rPr>
      </w:pPr>
    </w:p>
    <w:p w14:paraId="73511132" w14:textId="77777777" w:rsidR="0010097D" w:rsidRPr="008B4591" w:rsidRDefault="0010097D" w:rsidP="00D4562C">
      <w:pPr>
        <w:jc w:val="both"/>
        <w:rPr>
          <w:iCs/>
          <w:lang w:val="en-US"/>
        </w:rPr>
      </w:pPr>
    </w:p>
    <w:p w14:paraId="2D6BFD2C" w14:textId="745E8B9B" w:rsidR="00D535F8" w:rsidRDefault="00F44A40" w:rsidP="00D535F8">
      <w:pPr>
        <w:jc w:val="both"/>
        <w:rPr>
          <w:b/>
          <w:bCs/>
          <w:iCs/>
        </w:rPr>
      </w:pPr>
      <w:r w:rsidRPr="00F44A40">
        <w:rPr>
          <w:b/>
          <w:bCs/>
          <w:iCs/>
        </w:rPr>
        <w:lastRenderedPageBreak/>
        <w:t>3. The bibliometric indicator</w:t>
      </w:r>
    </w:p>
    <w:p w14:paraId="20D10004" w14:textId="1A7621B3" w:rsidR="000E529B" w:rsidRDefault="000E529B" w:rsidP="00D535F8">
      <w:pPr>
        <w:jc w:val="both"/>
        <w:rPr>
          <w:iCs/>
        </w:rPr>
      </w:pPr>
      <w:r w:rsidRPr="00CF31B8">
        <w:rPr>
          <w:iCs/>
        </w:rPr>
        <w:t>The left-hand side with “</w:t>
      </w:r>
      <w:r>
        <w:rPr>
          <w:iCs/>
        </w:rPr>
        <w:t>Publication points”</w:t>
      </w:r>
      <w:r w:rsidRPr="00CF31B8">
        <w:rPr>
          <w:iCs/>
        </w:rPr>
        <w:t xml:space="preserve"> represents a further development of the bibliometric indicator that served national and internal performance-based resource allocation in Denmark until 2022 (Aagaard, 2018).</w:t>
      </w:r>
      <w:r w:rsidR="001F578C">
        <w:rPr>
          <w:iCs/>
        </w:rPr>
        <w:t xml:space="preserve"> </w:t>
      </w:r>
      <w:r w:rsidR="007D434A">
        <w:rPr>
          <w:iCs/>
        </w:rPr>
        <w:t xml:space="preserve">Unlike most other </w:t>
      </w:r>
      <w:r w:rsidR="00580DD9">
        <w:rPr>
          <w:iCs/>
        </w:rPr>
        <w:t xml:space="preserve">bibliometric </w:t>
      </w:r>
      <w:r w:rsidR="007D434A">
        <w:rPr>
          <w:iCs/>
        </w:rPr>
        <w:t xml:space="preserve">indicators, </w:t>
      </w:r>
      <w:r w:rsidR="00A2350B">
        <w:rPr>
          <w:iCs/>
        </w:rPr>
        <w:t xml:space="preserve">but similarly to its </w:t>
      </w:r>
      <w:r w:rsidR="00FF48AC">
        <w:rPr>
          <w:iCs/>
        </w:rPr>
        <w:t>Finnish</w:t>
      </w:r>
      <w:r w:rsidR="00B61925">
        <w:rPr>
          <w:iCs/>
        </w:rPr>
        <w:t xml:space="preserve"> (Pölönen, 2018) and </w:t>
      </w:r>
      <w:r w:rsidR="00A2350B">
        <w:rPr>
          <w:iCs/>
        </w:rPr>
        <w:t xml:space="preserve">Norwegian </w:t>
      </w:r>
      <w:r w:rsidR="00C31699">
        <w:rPr>
          <w:iCs/>
        </w:rPr>
        <w:t>(Sivertsen, 2018)</w:t>
      </w:r>
      <w:r w:rsidR="00B61925">
        <w:rPr>
          <w:iCs/>
        </w:rPr>
        <w:t xml:space="preserve"> counterparts</w:t>
      </w:r>
      <w:r w:rsidR="00A2350B">
        <w:rPr>
          <w:iCs/>
        </w:rPr>
        <w:t xml:space="preserve">, the Danish bibliometric indicator </w:t>
      </w:r>
      <w:r w:rsidR="00C31699">
        <w:rPr>
          <w:iCs/>
        </w:rPr>
        <w:t xml:space="preserve">was developed and maintained in collaboration with </w:t>
      </w:r>
      <w:r w:rsidR="009C4173">
        <w:rPr>
          <w:iCs/>
        </w:rPr>
        <w:t xml:space="preserve">the academic communities, it was </w:t>
      </w:r>
      <w:r w:rsidR="00DA3098">
        <w:rPr>
          <w:iCs/>
        </w:rPr>
        <w:t>inclusive in fully r</w:t>
      </w:r>
      <w:r w:rsidR="00227B2B">
        <w:rPr>
          <w:iCs/>
        </w:rPr>
        <w:t xml:space="preserve">epresenting </w:t>
      </w:r>
      <w:r w:rsidR="00BF1046">
        <w:rPr>
          <w:iCs/>
        </w:rPr>
        <w:t>all scholarly publication formats and languages used in all fields of research, and it was balanced</w:t>
      </w:r>
      <w:r w:rsidR="002865E1">
        <w:rPr>
          <w:iCs/>
        </w:rPr>
        <w:t xml:space="preserve"> by </w:t>
      </w:r>
      <w:r w:rsidR="00D8080E">
        <w:rPr>
          <w:iCs/>
        </w:rPr>
        <w:t>providing a</w:t>
      </w:r>
      <w:r w:rsidR="003F00F5">
        <w:rPr>
          <w:iCs/>
        </w:rPr>
        <w:t xml:space="preserve"> comparable </w:t>
      </w:r>
      <w:r w:rsidR="00D8080E">
        <w:rPr>
          <w:iCs/>
        </w:rPr>
        <w:t xml:space="preserve">measurement </w:t>
      </w:r>
      <w:r w:rsidR="00D573B6">
        <w:rPr>
          <w:iCs/>
        </w:rPr>
        <w:t xml:space="preserve">of research activity </w:t>
      </w:r>
      <w:r w:rsidR="003F00F5">
        <w:rPr>
          <w:iCs/>
        </w:rPr>
        <w:t xml:space="preserve">across all fields. </w:t>
      </w:r>
      <w:r w:rsidR="00586854">
        <w:rPr>
          <w:iCs/>
        </w:rPr>
        <w:t xml:space="preserve">It was, however, criticised </w:t>
      </w:r>
      <w:r w:rsidR="00840AED">
        <w:rPr>
          <w:iCs/>
        </w:rPr>
        <w:t xml:space="preserve">for </w:t>
      </w:r>
      <w:r w:rsidR="00D573B6">
        <w:rPr>
          <w:iCs/>
        </w:rPr>
        <w:t xml:space="preserve">not covering citation impact, </w:t>
      </w:r>
      <w:r w:rsidR="0005019A">
        <w:rPr>
          <w:iCs/>
        </w:rPr>
        <w:t>and, with reference to</w:t>
      </w:r>
      <w:r w:rsidR="00931DAC" w:rsidRPr="00CF31B8">
        <w:rPr>
          <w:iCs/>
        </w:rPr>
        <w:t xml:space="preserve"> the San Francisco Declaration on Research Assessment (DORA, 2012)</w:t>
      </w:r>
      <w:r w:rsidR="001647BC">
        <w:rPr>
          <w:iCs/>
        </w:rPr>
        <w:t>,</w:t>
      </w:r>
      <w:r w:rsidR="00931DAC" w:rsidRPr="00CF31B8">
        <w:rPr>
          <w:iCs/>
        </w:rPr>
        <w:t xml:space="preserve"> </w:t>
      </w:r>
      <w:r w:rsidR="0005019A">
        <w:rPr>
          <w:iCs/>
        </w:rPr>
        <w:t xml:space="preserve">for </w:t>
      </w:r>
      <w:r w:rsidR="00931DAC" w:rsidRPr="00CF31B8">
        <w:rPr>
          <w:iCs/>
        </w:rPr>
        <w:t xml:space="preserve">focusing on </w:t>
      </w:r>
      <w:r w:rsidR="003327E5">
        <w:rPr>
          <w:iCs/>
        </w:rPr>
        <w:t xml:space="preserve">the </w:t>
      </w:r>
      <w:r w:rsidR="00986C9E">
        <w:rPr>
          <w:iCs/>
        </w:rPr>
        <w:t xml:space="preserve">publication channel </w:t>
      </w:r>
      <w:r w:rsidR="00560E6E">
        <w:rPr>
          <w:iCs/>
        </w:rPr>
        <w:t xml:space="preserve">instead of the value of the </w:t>
      </w:r>
      <w:r w:rsidR="001647BC">
        <w:rPr>
          <w:iCs/>
        </w:rPr>
        <w:t xml:space="preserve">individual publication. </w:t>
      </w:r>
    </w:p>
    <w:p w14:paraId="01F39CEC" w14:textId="77777777" w:rsidR="000E529B" w:rsidRPr="00F44A40" w:rsidRDefault="000E529B" w:rsidP="00D535F8">
      <w:pPr>
        <w:jc w:val="both"/>
        <w:rPr>
          <w:b/>
          <w:bCs/>
          <w:iCs/>
        </w:rPr>
      </w:pPr>
    </w:p>
    <w:p w14:paraId="5090313C" w14:textId="2F274378" w:rsidR="004C5B0D" w:rsidRPr="008B4591" w:rsidRDefault="00D535F8" w:rsidP="00D31018">
      <w:pPr>
        <w:jc w:val="both"/>
        <w:rPr>
          <w:iCs/>
          <w:lang w:val="en-US"/>
        </w:rPr>
      </w:pPr>
      <w:r w:rsidRPr="00CF31B8">
        <w:rPr>
          <w:iCs/>
        </w:rPr>
        <w:t xml:space="preserve">Our solution </w:t>
      </w:r>
      <w:r w:rsidR="00CB455E">
        <w:rPr>
          <w:iCs/>
        </w:rPr>
        <w:t xml:space="preserve">introduces citation impact to the </w:t>
      </w:r>
      <w:r w:rsidR="00B56D2C">
        <w:rPr>
          <w:iCs/>
        </w:rPr>
        <w:t xml:space="preserve">publication </w:t>
      </w:r>
      <w:r w:rsidR="00CB455E">
        <w:rPr>
          <w:iCs/>
        </w:rPr>
        <w:t>indicator</w:t>
      </w:r>
      <w:r w:rsidR="00B56D2C">
        <w:rPr>
          <w:iCs/>
        </w:rPr>
        <w:t xml:space="preserve"> and removes the focus on </w:t>
      </w:r>
      <w:r w:rsidR="00EE4957">
        <w:rPr>
          <w:iCs/>
        </w:rPr>
        <w:t>the venue of the publication</w:t>
      </w:r>
      <w:r w:rsidR="00B56D2C">
        <w:rPr>
          <w:iCs/>
        </w:rPr>
        <w:t xml:space="preserve">. </w:t>
      </w:r>
      <w:r w:rsidR="00EE4957">
        <w:rPr>
          <w:iCs/>
        </w:rPr>
        <w:t xml:space="preserve">The solution </w:t>
      </w:r>
      <w:r w:rsidRPr="00CF31B8">
        <w:rPr>
          <w:iCs/>
        </w:rPr>
        <w:t xml:space="preserve">is based </w:t>
      </w:r>
      <w:r w:rsidR="00EE4957">
        <w:rPr>
          <w:iCs/>
        </w:rPr>
        <w:t xml:space="preserve">on </w:t>
      </w:r>
      <w:r w:rsidRPr="00CF31B8">
        <w:rPr>
          <w:iCs/>
        </w:rPr>
        <w:t>a proposal first presented at the STI Conference in Valencia in 2016 (Sivertsen, 2016) and in a report to the Danish Ministry of Research and Education (</w:t>
      </w:r>
      <w:proofErr w:type="spellStart"/>
      <w:r w:rsidRPr="00CF31B8">
        <w:rPr>
          <w:iCs/>
        </w:rPr>
        <w:t>Uddannelses</w:t>
      </w:r>
      <w:proofErr w:type="spellEnd"/>
      <w:r w:rsidRPr="00CF31B8">
        <w:rPr>
          <w:iCs/>
        </w:rPr>
        <w:t xml:space="preserve">- </w:t>
      </w:r>
      <w:proofErr w:type="spellStart"/>
      <w:r w:rsidRPr="00CF31B8">
        <w:rPr>
          <w:iCs/>
        </w:rPr>
        <w:t>og</w:t>
      </w:r>
      <w:proofErr w:type="spellEnd"/>
      <w:r w:rsidRPr="00CF31B8">
        <w:rPr>
          <w:iCs/>
        </w:rPr>
        <w:t xml:space="preserve"> </w:t>
      </w:r>
      <w:proofErr w:type="spellStart"/>
      <w:r w:rsidRPr="00CF31B8">
        <w:rPr>
          <w:iCs/>
        </w:rPr>
        <w:t>forskningsministeriet</w:t>
      </w:r>
      <w:proofErr w:type="spellEnd"/>
      <w:r>
        <w:rPr>
          <w:iCs/>
        </w:rPr>
        <w:t>,</w:t>
      </w:r>
      <w:r w:rsidRPr="00CF31B8">
        <w:rPr>
          <w:iCs/>
        </w:rPr>
        <w:t xml:space="preserve"> 2019). Field-normalized citations counts (Waltman &amp; van Eck, 2015) are added </w:t>
      </w:r>
      <w:r w:rsidR="00770123">
        <w:rPr>
          <w:iCs/>
        </w:rPr>
        <w:t xml:space="preserve">with an influence </w:t>
      </w:r>
      <w:r w:rsidR="00597BB2">
        <w:rPr>
          <w:iCs/>
        </w:rPr>
        <w:t xml:space="preserve">on the score reflecting the </w:t>
      </w:r>
      <w:r w:rsidR="00770123">
        <w:rPr>
          <w:iCs/>
        </w:rPr>
        <w:t xml:space="preserve">degree </w:t>
      </w:r>
      <w:r w:rsidR="00597BB2">
        <w:rPr>
          <w:iCs/>
        </w:rPr>
        <w:t xml:space="preserve">of coverage of </w:t>
      </w:r>
      <w:r w:rsidR="00770123">
        <w:rPr>
          <w:iCs/>
        </w:rPr>
        <w:t xml:space="preserve">the publications </w:t>
      </w:r>
      <w:r w:rsidR="00597BB2">
        <w:rPr>
          <w:iCs/>
        </w:rPr>
        <w:t xml:space="preserve">of the field in the citation database. </w:t>
      </w:r>
      <w:r w:rsidR="003E5732">
        <w:rPr>
          <w:iCs/>
        </w:rPr>
        <w:t xml:space="preserve">The indicator is still inclusive by covering all scholarly publication practices in all fields. The </w:t>
      </w:r>
      <w:r w:rsidR="00C91321">
        <w:rPr>
          <w:iCs/>
        </w:rPr>
        <w:t xml:space="preserve">method for calculating </w:t>
      </w:r>
      <w:r w:rsidR="006D0A07">
        <w:rPr>
          <w:iCs/>
        </w:rPr>
        <w:t>the contribution</w:t>
      </w:r>
      <w:r w:rsidR="003E5732">
        <w:rPr>
          <w:iCs/>
        </w:rPr>
        <w:t>s</w:t>
      </w:r>
      <w:r w:rsidR="006D0A07">
        <w:rPr>
          <w:iCs/>
        </w:rPr>
        <w:t xml:space="preserve"> of co-authors </w:t>
      </w:r>
      <w:r w:rsidR="003E5732">
        <w:rPr>
          <w:iCs/>
        </w:rPr>
        <w:t xml:space="preserve">ensures </w:t>
      </w:r>
      <w:r w:rsidR="00D31018">
        <w:rPr>
          <w:iCs/>
        </w:rPr>
        <w:t>comparability across</w:t>
      </w:r>
      <w:r w:rsidRPr="00CF31B8">
        <w:rPr>
          <w:iCs/>
        </w:rPr>
        <w:t xml:space="preserve"> all fields of research (Sivertsen et al., 2019)</w:t>
      </w:r>
      <w:r w:rsidR="00D31018">
        <w:rPr>
          <w:iCs/>
        </w:rPr>
        <w:t xml:space="preserve">. </w:t>
      </w:r>
      <w:r w:rsidR="00FF05B5">
        <w:rPr>
          <w:iCs/>
        </w:rPr>
        <w:t>The construction of the indicator</w:t>
      </w:r>
      <w:r w:rsidR="00D86026">
        <w:rPr>
          <w:iCs/>
        </w:rPr>
        <w:t xml:space="preserve"> makes it applicable </w:t>
      </w:r>
      <w:r w:rsidR="0090762B">
        <w:rPr>
          <w:iCs/>
        </w:rPr>
        <w:t xml:space="preserve">only at the department level or </w:t>
      </w:r>
      <w:r w:rsidR="002F29CA">
        <w:rPr>
          <w:iCs/>
        </w:rPr>
        <w:t xml:space="preserve">at higher levels of aggregation. </w:t>
      </w:r>
      <w:r w:rsidR="00F63DFE">
        <w:rPr>
          <w:iCs/>
        </w:rPr>
        <w:t>For technical reasons, i</w:t>
      </w:r>
      <w:r w:rsidR="002F29CA">
        <w:rPr>
          <w:iCs/>
        </w:rPr>
        <w:t xml:space="preserve">t is not possible </w:t>
      </w:r>
      <w:r w:rsidR="002D3C7C">
        <w:rPr>
          <w:iCs/>
        </w:rPr>
        <w:t xml:space="preserve">to </w:t>
      </w:r>
      <w:r w:rsidR="00D41382">
        <w:rPr>
          <w:iCs/>
        </w:rPr>
        <w:t xml:space="preserve">calculate the indicator at the level of individual researchers. </w:t>
      </w:r>
      <w:r w:rsidR="00ED0012">
        <w:rPr>
          <w:iCs/>
        </w:rPr>
        <w:t xml:space="preserve">Hence, the indicator </w:t>
      </w:r>
      <w:r w:rsidR="00F555B3">
        <w:rPr>
          <w:iCs/>
        </w:rPr>
        <w:t>is designed to ensure “</w:t>
      </w:r>
      <w:r w:rsidR="00F555B3" w:rsidRPr="002262D8">
        <w:rPr>
          <w:iCs/>
        </w:rPr>
        <w:t>responsibly used quantitative indicators where appropriate</w:t>
      </w:r>
      <w:r w:rsidR="00F555B3">
        <w:rPr>
          <w:iCs/>
        </w:rPr>
        <w:t>”, as called for in the Agreement.</w:t>
      </w:r>
    </w:p>
    <w:p w14:paraId="29084153" w14:textId="77777777" w:rsidR="00D535F8" w:rsidRDefault="00D535F8" w:rsidP="004C5B0D">
      <w:pPr>
        <w:pStyle w:val="Overskrift2"/>
        <w:jc w:val="both"/>
      </w:pPr>
    </w:p>
    <w:p w14:paraId="4432C16C" w14:textId="7A7AF47E" w:rsidR="004C5B0D" w:rsidRDefault="00427092" w:rsidP="004C5B0D">
      <w:pPr>
        <w:pStyle w:val="Overskrift2"/>
        <w:jc w:val="both"/>
      </w:pPr>
      <w:r>
        <w:t>4</w:t>
      </w:r>
      <w:r w:rsidR="004C5B0D" w:rsidRPr="00D96243">
        <w:t xml:space="preserve">. </w:t>
      </w:r>
      <w:r w:rsidR="00FF412A">
        <w:t>A modification of existing practices</w:t>
      </w:r>
    </w:p>
    <w:p w14:paraId="170E2BD9" w14:textId="71D5D4D3" w:rsidR="000F6984" w:rsidRDefault="009D79A1" w:rsidP="0010097D">
      <w:pPr>
        <w:jc w:val="both"/>
      </w:pPr>
      <w:r>
        <w:t xml:space="preserve">The new framework </w:t>
      </w:r>
      <w:r w:rsidR="008B7C76">
        <w:t xml:space="preserve">does not impose fundamental changes on Aalborg University. </w:t>
      </w:r>
      <w:r w:rsidR="00761460">
        <w:t xml:space="preserve">For several reasons, the inspiration from </w:t>
      </w:r>
      <w:r w:rsidR="00903D9B">
        <w:t>the Agreement</w:t>
      </w:r>
      <w:r w:rsidR="003A19F0">
        <w:t xml:space="preserve"> has been welcomed throughout the organization</w:t>
      </w:r>
      <w:r w:rsidR="0056499E">
        <w:t xml:space="preserve">, and there </w:t>
      </w:r>
      <w:r w:rsidR="008E69F2">
        <w:t xml:space="preserve">has been </w:t>
      </w:r>
      <w:r w:rsidR="0056499E">
        <w:t xml:space="preserve">consensus </w:t>
      </w:r>
      <w:r w:rsidR="00C7273B">
        <w:t xml:space="preserve">about the framework </w:t>
      </w:r>
      <w:r w:rsidR="002C2776">
        <w:t xml:space="preserve">so far in the implementation process. </w:t>
      </w:r>
    </w:p>
    <w:p w14:paraId="099B0130" w14:textId="77777777" w:rsidR="00761460" w:rsidRPr="000F6984" w:rsidRDefault="00761460" w:rsidP="0010097D">
      <w:pPr>
        <w:jc w:val="both"/>
      </w:pPr>
    </w:p>
    <w:p w14:paraId="574CC71F" w14:textId="55379328" w:rsidR="00C3294E" w:rsidRDefault="00EF07FD" w:rsidP="0010097D">
      <w:pPr>
        <w:jc w:val="both"/>
      </w:pPr>
      <w:r>
        <w:t>The vision of the Agreement “</w:t>
      </w:r>
      <w:r w:rsidR="00C3294E" w:rsidRPr="00C3294E">
        <w:t>is that the assessment of research, researchers and research organisations recognises the diverse outputs, practices and activities that maximise the quality and impact of research</w:t>
      </w:r>
      <w:r>
        <w:t>”</w:t>
      </w:r>
      <w:r w:rsidR="00C3294E" w:rsidRPr="00C3294E">
        <w:t>.</w:t>
      </w:r>
      <w:r>
        <w:t xml:space="preserve"> This vision corresponds well </w:t>
      </w:r>
      <w:r w:rsidR="004351F5">
        <w:t xml:space="preserve">to the self-defined official aims of </w:t>
      </w:r>
    </w:p>
    <w:p w14:paraId="51207CB3" w14:textId="263255FE" w:rsidR="004C5B0D" w:rsidRDefault="00915FA0" w:rsidP="0010097D">
      <w:pPr>
        <w:jc w:val="both"/>
      </w:pPr>
      <w:r>
        <w:t>Aalborg University</w:t>
      </w:r>
      <w:r w:rsidR="007B5FCC">
        <w:t xml:space="preserve"> as “a</w:t>
      </w:r>
      <w:r w:rsidR="00DD0911">
        <w:t xml:space="preserve"> mission-oriented university</w:t>
      </w:r>
      <w:r w:rsidR="007B5FCC">
        <w:t xml:space="preserve">”: </w:t>
      </w:r>
      <w:r w:rsidR="000D7055">
        <w:t>“</w:t>
      </w:r>
      <w:r w:rsidR="00DD0911">
        <w:t>Through partnerships with the outside world, we strive to contribute to missions where we have strong research insight. We strive to play an active role in finding solutions to current – and future – global challenges and make a difference to the world around us.</w:t>
      </w:r>
      <w:r w:rsidR="000D7055">
        <w:t>”</w:t>
      </w:r>
    </w:p>
    <w:p w14:paraId="45CB5E29" w14:textId="77777777" w:rsidR="000D7055" w:rsidRDefault="000D7055" w:rsidP="0010097D">
      <w:pPr>
        <w:jc w:val="both"/>
      </w:pPr>
    </w:p>
    <w:p w14:paraId="1E639B1F" w14:textId="7B7A6D94" w:rsidR="000C580C" w:rsidRDefault="00363B20" w:rsidP="0010097D">
      <w:pPr>
        <w:jc w:val="both"/>
      </w:pPr>
      <w:r>
        <w:t xml:space="preserve">Aalborg University (as the other seven Danish universities) </w:t>
      </w:r>
      <w:r w:rsidR="00394E67">
        <w:t>receive</w:t>
      </w:r>
      <w:r>
        <w:t>s</w:t>
      </w:r>
      <w:r w:rsidR="00394E67">
        <w:t xml:space="preserve"> </w:t>
      </w:r>
      <w:r w:rsidR="004424F0">
        <w:t xml:space="preserve">a </w:t>
      </w:r>
      <w:r w:rsidR="00241B51">
        <w:t xml:space="preserve">relatively </w:t>
      </w:r>
      <w:r w:rsidR="004424F0">
        <w:t xml:space="preserve">high </w:t>
      </w:r>
      <w:r w:rsidR="00CD58D6">
        <w:t>proportion</w:t>
      </w:r>
      <w:r w:rsidR="004424F0">
        <w:t xml:space="preserve"> of </w:t>
      </w:r>
      <w:r w:rsidR="00394E67">
        <w:t>block funding</w:t>
      </w:r>
      <w:r w:rsidR="004424F0">
        <w:t xml:space="preserve"> </w:t>
      </w:r>
      <w:r w:rsidR="00CD58D6">
        <w:t xml:space="preserve">which also includes resources for </w:t>
      </w:r>
      <w:r w:rsidR="00EB194F">
        <w:t>research</w:t>
      </w:r>
      <w:r w:rsidR="002C3DF3">
        <w:t xml:space="preserve"> to be spent internally</w:t>
      </w:r>
      <w:r w:rsidR="00EB194F">
        <w:t xml:space="preserve">. </w:t>
      </w:r>
      <w:r w:rsidR="0052256C">
        <w:t xml:space="preserve">The degree of autonomy is also </w:t>
      </w:r>
      <w:r w:rsidR="00241B51">
        <w:t>relatively high</w:t>
      </w:r>
      <w:r w:rsidR="005D39DB">
        <w:t xml:space="preserve">. How </w:t>
      </w:r>
      <w:r w:rsidR="00225EAE">
        <w:t xml:space="preserve">to further </w:t>
      </w:r>
      <w:r w:rsidR="00A91024">
        <w:t xml:space="preserve">allocate the resources </w:t>
      </w:r>
      <w:r w:rsidR="00800E7A">
        <w:t xml:space="preserve">from the rectorate via </w:t>
      </w:r>
      <w:r w:rsidR="00A60D3E">
        <w:t>the faculties down to the d</w:t>
      </w:r>
      <w:r w:rsidR="005D39DB">
        <w:t xml:space="preserve">epartments </w:t>
      </w:r>
      <w:r w:rsidR="000C580C">
        <w:t xml:space="preserve">is up to the university to decide. </w:t>
      </w:r>
      <w:r w:rsidR="00114E43">
        <w:t xml:space="preserve">The allocation is partly based on indicators, partly on performance agreements, and partly on </w:t>
      </w:r>
      <w:r w:rsidR="00216E91">
        <w:t xml:space="preserve">strategic priorities decided </w:t>
      </w:r>
      <w:r w:rsidR="00DC36AE">
        <w:t>by formally responsible bodies at different levels</w:t>
      </w:r>
      <w:r w:rsidR="00471526">
        <w:t xml:space="preserve"> within the university</w:t>
      </w:r>
      <w:r w:rsidR="00DC36AE">
        <w:t xml:space="preserve">. </w:t>
      </w:r>
      <w:r w:rsidR="00B06FDC">
        <w:t xml:space="preserve">The new framework does not change </w:t>
      </w:r>
      <w:r w:rsidR="00052D95">
        <w:t>these procedures</w:t>
      </w:r>
      <w:r w:rsidR="004D1F4D">
        <w:t>. With the inspiration from the Agreement</w:t>
      </w:r>
      <w:r w:rsidR="00052D95">
        <w:t xml:space="preserve">, it only modifies </w:t>
      </w:r>
      <w:r w:rsidR="00737034">
        <w:t>the existing procedures</w:t>
      </w:r>
      <w:r w:rsidR="00052D95">
        <w:t xml:space="preserve"> by </w:t>
      </w:r>
      <w:r w:rsidR="00785C85">
        <w:t xml:space="preserve">further developing the bibliometric </w:t>
      </w:r>
      <w:r w:rsidR="00494B6D">
        <w:t>indicator so far used for reallocation</w:t>
      </w:r>
      <w:r w:rsidR="002F1B42">
        <w:t>,</w:t>
      </w:r>
      <w:r w:rsidR="00494B6D">
        <w:t xml:space="preserve"> and by providing new </w:t>
      </w:r>
      <w:r w:rsidR="00C22AD3">
        <w:t xml:space="preserve">sources and </w:t>
      </w:r>
      <w:r w:rsidR="00494B6D">
        <w:t xml:space="preserve">forms of statistics for </w:t>
      </w:r>
      <w:r w:rsidR="00D7623D">
        <w:t xml:space="preserve">performance agreements and </w:t>
      </w:r>
      <w:r w:rsidR="00494B6D">
        <w:t>strategic dev</w:t>
      </w:r>
      <w:r w:rsidR="00D7623D">
        <w:t>elopment.</w:t>
      </w:r>
    </w:p>
    <w:p w14:paraId="2356A255" w14:textId="77777777" w:rsidR="00737034" w:rsidRDefault="00737034" w:rsidP="00DD0911"/>
    <w:p w14:paraId="211D18E4" w14:textId="77777777" w:rsidR="00BD54B7" w:rsidRDefault="00A3561D" w:rsidP="0010097D">
      <w:pPr>
        <w:jc w:val="both"/>
      </w:pPr>
      <w:r>
        <w:t xml:space="preserve">None of the modified </w:t>
      </w:r>
      <w:r w:rsidR="00053E2D">
        <w:t>annual</w:t>
      </w:r>
      <w:r w:rsidR="00717C54">
        <w:t xml:space="preserve"> </w:t>
      </w:r>
      <w:r>
        <w:t xml:space="preserve">procedures </w:t>
      </w:r>
      <w:r w:rsidR="00717C54">
        <w:t xml:space="preserve">for resource allocation and strategic </w:t>
      </w:r>
      <w:r w:rsidR="00053E2D">
        <w:t xml:space="preserve">development </w:t>
      </w:r>
      <w:r w:rsidR="00C9464E">
        <w:t xml:space="preserve">at the organizational level </w:t>
      </w:r>
      <w:r>
        <w:t xml:space="preserve">will include </w:t>
      </w:r>
      <w:r w:rsidR="002172D4">
        <w:t xml:space="preserve">peer review by external experts. </w:t>
      </w:r>
      <w:r w:rsidR="007676A0">
        <w:t xml:space="preserve">This decision </w:t>
      </w:r>
      <w:r w:rsidR="005E0893">
        <w:t xml:space="preserve">is mainly practical, not principal, but it </w:t>
      </w:r>
      <w:r w:rsidR="002F1B42">
        <w:t>could be perceived a</w:t>
      </w:r>
      <w:r w:rsidR="007676A0">
        <w:t xml:space="preserve">s contradicting </w:t>
      </w:r>
      <w:r w:rsidR="00B43E74">
        <w:t>the second</w:t>
      </w:r>
      <w:r w:rsidR="000F06D8">
        <w:t xml:space="preserve"> of the four core </w:t>
      </w:r>
      <w:r w:rsidR="002D4775">
        <w:t>commitments of the Agreement: “</w:t>
      </w:r>
      <w:r w:rsidR="002172D4" w:rsidRPr="002172D4">
        <w:t>Base research assessment primarily on qualitative evaluation for which peer review is central, supported by responsible use of quantitative indicators</w:t>
      </w:r>
      <w:r w:rsidR="0035711D">
        <w:t>.</w:t>
      </w:r>
      <w:r w:rsidR="002D4775">
        <w:t>”</w:t>
      </w:r>
      <w:r w:rsidR="006C4744">
        <w:t xml:space="preserve"> It is normal practice in the Nordic countries to follow this principle </w:t>
      </w:r>
      <w:r w:rsidR="001D05DC">
        <w:t>in all contexts where individual researchers are applying for recruitment or promotion</w:t>
      </w:r>
      <w:r w:rsidR="00E33AFB">
        <w:t xml:space="preserve"> and in all contexts where </w:t>
      </w:r>
      <w:r w:rsidR="00BE1429">
        <w:t xml:space="preserve">there is an assessment of </w:t>
      </w:r>
      <w:r w:rsidR="00E33AFB">
        <w:t xml:space="preserve">individual applications for </w:t>
      </w:r>
      <w:r w:rsidR="00BE1429">
        <w:t xml:space="preserve">external funding. </w:t>
      </w:r>
    </w:p>
    <w:p w14:paraId="5377B670" w14:textId="77777777" w:rsidR="00BD54B7" w:rsidRDefault="00BD54B7" w:rsidP="0010097D">
      <w:pPr>
        <w:jc w:val="both"/>
      </w:pPr>
    </w:p>
    <w:p w14:paraId="18738867" w14:textId="360BC145" w:rsidR="00FB403A" w:rsidRDefault="00BE1429" w:rsidP="0010097D">
      <w:pPr>
        <w:jc w:val="both"/>
      </w:pPr>
      <w:r>
        <w:t xml:space="preserve">At the </w:t>
      </w:r>
      <w:r w:rsidR="00CA4E39">
        <w:t xml:space="preserve">organizational level, however, </w:t>
      </w:r>
      <w:r w:rsidR="00257F4E">
        <w:t xml:space="preserve">the tradition in the Nordic countries is to use </w:t>
      </w:r>
      <w:r w:rsidR="002C1745">
        <w:t xml:space="preserve">research assessment based on external peer review for </w:t>
      </w:r>
      <w:r w:rsidR="002C1745" w:rsidRPr="002C1745">
        <w:rPr>
          <w:i/>
          <w:iCs/>
        </w:rPr>
        <w:t>formative</w:t>
      </w:r>
      <w:r w:rsidR="002C1745">
        <w:t xml:space="preserve"> purposes only</w:t>
      </w:r>
      <w:r w:rsidR="00052AB9">
        <w:t xml:space="preserve"> without implications for resource allocation. </w:t>
      </w:r>
      <w:r w:rsidR="00E307E9">
        <w:t xml:space="preserve">The funding of organisations </w:t>
      </w:r>
      <w:r w:rsidR="00BB0F6B">
        <w:t xml:space="preserve">is </w:t>
      </w:r>
      <w:r w:rsidR="00E307E9">
        <w:t xml:space="preserve">instead based on </w:t>
      </w:r>
      <w:r w:rsidR="00877658" w:rsidRPr="00877658">
        <w:rPr>
          <w:i/>
          <w:iCs/>
        </w:rPr>
        <w:t>summative</w:t>
      </w:r>
      <w:r w:rsidR="00877658">
        <w:t xml:space="preserve"> assessments with the use of </w:t>
      </w:r>
      <w:r w:rsidR="00EF282E">
        <w:t xml:space="preserve">performance </w:t>
      </w:r>
      <w:r w:rsidR="00E307E9">
        <w:t xml:space="preserve">indicators, </w:t>
      </w:r>
      <w:r w:rsidR="00EF282E">
        <w:t xml:space="preserve">other </w:t>
      </w:r>
      <w:r w:rsidR="00E307E9">
        <w:t>explicit criteria, and performance agreements</w:t>
      </w:r>
      <w:r w:rsidR="0063059A">
        <w:t xml:space="preserve"> (Sivertsen, 2023)</w:t>
      </w:r>
      <w:r w:rsidR="00E307E9">
        <w:t xml:space="preserve">. </w:t>
      </w:r>
      <w:r w:rsidR="00395199">
        <w:t>The Nordic countries thereby</w:t>
      </w:r>
      <w:r w:rsidR="00D1101E">
        <w:t xml:space="preserve"> differ</w:t>
      </w:r>
      <w:r w:rsidR="00395199">
        <w:t xml:space="preserve"> from the </w:t>
      </w:r>
      <w:r w:rsidR="00466FB0">
        <w:t xml:space="preserve">United Kingdom’s </w:t>
      </w:r>
      <w:r w:rsidR="00856E48">
        <w:t xml:space="preserve">unique combination </w:t>
      </w:r>
      <w:r w:rsidR="001A6F06">
        <w:t>of research assessment and resource allocation in the Research Excellence Framework</w:t>
      </w:r>
      <w:r w:rsidR="00D1101E">
        <w:t xml:space="preserve"> (Sivertsen, 2017)</w:t>
      </w:r>
      <w:r w:rsidR="00AD25AD">
        <w:t>.</w:t>
      </w:r>
      <w:r w:rsidR="008D7145">
        <w:t xml:space="preserve"> </w:t>
      </w:r>
      <w:r w:rsidR="0041774F">
        <w:t xml:space="preserve">There is need for further discussion </w:t>
      </w:r>
      <w:r w:rsidR="00B43E74">
        <w:t xml:space="preserve">of how the second of the four commitments in the Agreement applies to </w:t>
      </w:r>
      <w:r w:rsidR="00B45E3E">
        <w:t xml:space="preserve">summative versus formative research assessment at the </w:t>
      </w:r>
      <w:r w:rsidR="00B45E3E" w:rsidRPr="0021754A">
        <w:rPr>
          <w:i/>
          <w:iCs/>
        </w:rPr>
        <w:t>organizational</w:t>
      </w:r>
      <w:r w:rsidR="00B45E3E">
        <w:t xml:space="preserve"> level (Sivertsen &amp; Rushforth, 2022).</w:t>
      </w:r>
    </w:p>
    <w:p w14:paraId="1B121C84" w14:textId="77777777" w:rsidR="00FB403A" w:rsidRDefault="00FB403A" w:rsidP="0010097D">
      <w:pPr>
        <w:jc w:val="both"/>
      </w:pPr>
    </w:p>
    <w:p w14:paraId="51FB18A7" w14:textId="4A8A26EB" w:rsidR="00737034" w:rsidRDefault="00DE18CA" w:rsidP="0010097D">
      <w:pPr>
        <w:jc w:val="both"/>
      </w:pPr>
      <w:r>
        <w:t xml:space="preserve">The new framework </w:t>
      </w:r>
      <w:r w:rsidR="009A3250">
        <w:t xml:space="preserve">at Aalborg University is </w:t>
      </w:r>
      <w:r w:rsidR="008811EB">
        <w:t>an early</w:t>
      </w:r>
      <w:r w:rsidR="009A3250">
        <w:t xml:space="preserve"> implementation of the Agreement </w:t>
      </w:r>
      <w:r w:rsidR="00603553">
        <w:t>which</w:t>
      </w:r>
      <w:r w:rsidR="007A5A80">
        <w:t xml:space="preserve"> can be expected to create experiences and discussions about how the core principles will work in practice. </w:t>
      </w:r>
      <w:r w:rsidR="00A85DEF">
        <w:t>Some early-stage reflections will conclude this paper.</w:t>
      </w:r>
      <w:r w:rsidR="00BC6CBE">
        <w:t xml:space="preserve"> </w:t>
      </w:r>
    </w:p>
    <w:p w14:paraId="2BB85431" w14:textId="77777777" w:rsidR="00A85DEF" w:rsidRDefault="00A85DEF" w:rsidP="00B45E3E"/>
    <w:p w14:paraId="062EA9E0" w14:textId="1B3F14FC" w:rsidR="00A85DEF" w:rsidRPr="00A85DEF" w:rsidRDefault="00A85DEF" w:rsidP="00B45E3E">
      <w:pPr>
        <w:rPr>
          <w:b/>
          <w:bCs/>
        </w:rPr>
      </w:pPr>
      <w:r w:rsidRPr="00A85DEF">
        <w:rPr>
          <w:b/>
          <w:bCs/>
        </w:rPr>
        <w:t xml:space="preserve">5. </w:t>
      </w:r>
      <w:r w:rsidR="00E83FE3">
        <w:rPr>
          <w:b/>
          <w:bCs/>
        </w:rPr>
        <w:t>Bibliometric m</w:t>
      </w:r>
      <w:r w:rsidRPr="00A85DEF">
        <w:rPr>
          <w:b/>
          <w:bCs/>
        </w:rPr>
        <w:t>easurement</w:t>
      </w:r>
    </w:p>
    <w:p w14:paraId="43A80C30" w14:textId="7DAFE580" w:rsidR="00B6553B" w:rsidRDefault="000959D6" w:rsidP="000959D6">
      <w:pPr>
        <w:jc w:val="both"/>
      </w:pPr>
      <w:r>
        <w:t>In the process of measuring</w:t>
      </w:r>
      <w:r w:rsidR="00632972">
        <w:t xml:space="preserve"> research</w:t>
      </w:r>
      <w:r w:rsidR="00A3275F">
        <w:t>,</w:t>
      </w:r>
      <w:r>
        <w:t xml:space="preserve"> some elements of research practice are lifted out of context and examined</w:t>
      </w:r>
      <w:r w:rsidR="00632972">
        <w:t xml:space="preserve"> while </w:t>
      </w:r>
      <w:r>
        <w:t xml:space="preserve">other elements are </w:t>
      </w:r>
      <w:r w:rsidR="0091478D">
        <w:t xml:space="preserve">overlooked. </w:t>
      </w:r>
      <w:r w:rsidR="00302F1D">
        <w:t xml:space="preserve">James Vincent writes in his </w:t>
      </w:r>
      <w:r>
        <w:t>book on the history of measurement</w:t>
      </w:r>
      <w:r w:rsidR="00302F1D">
        <w:t>:</w:t>
      </w:r>
      <w:r>
        <w:t xml:space="preserve"> “Measurement is a tool that reinforces what we find important in life, what we think is worth paying attention to” (Vincent, 2022; p</w:t>
      </w:r>
      <w:r w:rsidR="00D77AB6">
        <w:t>.</w:t>
      </w:r>
      <w:r>
        <w:t xml:space="preserve"> 19). On the other hand, measurement and evaluation </w:t>
      </w:r>
      <w:r w:rsidR="00AF7326">
        <w:t xml:space="preserve">can be experienced as </w:t>
      </w:r>
      <w:r>
        <w:t>“not a noble presence but a repressive tyrant” (p</w:t>
      </w:r>
      <w:r w:rsidR="003E7AC5">
        <w:t>.</w:t>
      </w:r>
      <w:r>
        <w:t xml:space="preserve"> 18). </w:t>
      </w:r>
      <w:r w:rsidR="00B6553B">
        <w:t xml:space="preserve">Excessive measurement and management </w:t>
      </w:r>
      <w:r w:rsidR="00373570">
        <w:t>are</w:t>
      </w:r>
      <w:r w:rsidR="00B6553B">
        <w:t xml:space="preserve"> also well described </w:t>
      </w:r>
      <w:r w:rsidR="00A50396">
        <w:t>by Berg &amp; Seeber (2016) in the book</w:t>
      </w:r>
      <w:r w:rsidR="00B6553B">
        <w:t xml:space="preserve"> </w:t>
      </w:r>
      <w:r w:rsidR="00A50396">
        <w:t>“</w:t>
      </w:r>
      <w:r w:rsidR="00B6553B">
        <w:t>The Slow Professor”</w:t>
      </w:r>
      <w:r w:rsidR="00373570">
        <w:t>, but mostly wi</w:t>
      </w:r>
      <w:r w:rsidR="00137594">
        <w:t>th</w:t>
      </w:r>
      <w:r w:rsidR="00373570">
        <w:t xml:space="preserve"> relevance for the </w:t>
      </w:r>
      <w:r w:rsidR="00A81DE5">
        <w:t xml:space="preserve">individual level which we avoid by </w:t>
      </w:r>
      <w:r w:rsidR="00774563">
        <w:t xml:space="preserve">designing a framework for the </w:t>
      </w:r>
      <w:r w:rsidR="00B6553B">
        <w:t xml:space="preserve">department level </w:t>
      </w:r>
      <w:r w:rsidR="00774563">
        <w:t>and an indicator that cannot be used below this level.</w:t>
      </w:r>
    </w:p>
    <w:p w14:paraId="0C483492" w14:textId="77777777" w:rsidR="00B6553B" w:rsidRDefault="00B6553B" w:rsidP="000959D6">
      <w:pPr>
        <w:jc w:val="both"/>
      </w:pPr>
    </w:p>
    <w:p w14:paraId="78E79346" w14:textId="54568B9C" w:rsidR="000959D6" w:rsidRDefault="00BC459E" w:rsidP="000959D6">
      <w:pPr>
        <w:jc w:val="both"/>
        <w:rPr>
          <w:iCs/>
        </w:rPr>
      </w:pPr>
      <w:r>
        <w:t>Still, m</w:t>
      </w:r>
      <w:r w:rsidR="000959D6">
        <w:t xml:space="preserve">easurement is a tool of control </w:t>
      </w:r>
      <w:r w:rsidR="008B2F01">
        <w:t>which</w:t>
      </w:r>
      <w:r w:rsidR="000959D6">
        <w:t xml:space="preserve"> imposes limits on life. Excessive measurement and inappropriate measurement </w:t>
      </w:r>
      <w:r w:rsidR="00F61AFD">
        <w:t>(</w:t>
      </w:r>
      <w:r>
        <w:t xml:space="preserve">Vincent, 2022, </w:t>
      </w:r>
      <w:r w:rsidR="000959D6">
        <w:t>p. 321)</w:t>
      </w:r>
      <w:r w:rsidR="00630E29">
        <w:t xml:space="preserve"> are the problems </w:t>
      </w:r>
      <w:r w:rsidR="000D032E">
        <w:t xml:space="preserve">now </w:t>
      </w:r>
      <w:r w:rsidR="00630E29">
        <w:t>addressed by the Agreement</w:t>
      </w:r>
      <w:r w:rsidR="000959D6">
        <w:t xml:space="preserve">. </w:t>
      </w:r>
      <w:r w:rsidR="00D26F73">
        <w:t xml:space="preserve">It calls for </w:t>
      </w:r>
      <w:r w:rsidR="00A3661D">
        <w:t>the abandonment of “</w:t>
      </w:r>
      <w:r w:rsidR="000959D6">
        <w:t>inappropriate uses in research assessment of journal- and publication-based metrics”</w:t>
      </w:r>
      <w:r w:rsidR="000D06B6">
        <w:t xml:space="preserve"> in the third core commitment</w:t>
      </w:r>
      <w:r w:rsidR="000959D6">
        <w:rPr>
          <w:iCs/>
        </w:rPr>
        <w:t>.</w:t>
      </w:r>
      <w:r w:rsidR="000D06B6">
        <w:rPr>
          <w:iCs/>
        </w:rPr>
        <w:t xml:space="preserve"> How does this principle apply on the Aalborg framework?</w:t>
      </w:r>
    </w:p>
    <w:p w14:paraId="6709E47B" w14:textId="77777777" w:rsidR="000959D6" w:rsidRDefault="000959D6" w:rsidP="000959D6">
      <w:pPr>
        <w:jc w:val="both"/>
      </w:pPr>
    </w:p>
    <w:p w14:paraId="73F4BB71" w14:textId="54591286" w:rsidR="00A95D86" w:rsidRDefault="00D1313F" w:rsidP="00AE1CBC">
      <w:pPr>
        <w:jc w:val="both"/>
        <w:rPr>
          <w:iCs/>
        </w:rPr>
      </w:pPr>
      <w:r>
        <w:rPr>
          <w:iCs/>
        </w:rPr>
        <w:t xml:space="preserve">As explained in section 3, </w:t>
      </w:r>
      <w:r w:rsidR="008D03AC">
        <w:rPr>
          <w:iCs/>
        </w:rPr>
        <w:t xml:space="preserve">inspired not only by the Agreement, but also by DORA, </w:t>
      </w:r>
      <w:r>
        <w:rPr>
          <w:iCs/>
        </w:rPr>
        <w:t>o</w:t>
      </w:r>
      <w:r w:rsidRPr="00CF31B8">
        <w:rPr>
          <w:iCs/>
        </w:rPr>
        <w:t xml:space="preserve">ur solution </w:t>
      </w:r>
      <w:r>
        <w:rPr>
          <w:iCs/>
        </w:rPr>
        <w:t>introduces citation impact to the publication indicator and removes the focus on the venue of the publication</w:t>
      </w:r>
      <w:r w:rsidR="00CF2951">
        <w:rPr>
          <w:iCs/>
        </w:rPr>
        <w:t xml:space="preserve">, thereby changing the weight from </w:t>
      </w:r>
      <w:r w:rsidR="00261971">
        <w:rPr>
          <w:iCs/>
        </w:rPr>
        <w:t xml:space="preserve">a </w:t>
      </w:r>
      <w:r w:rsidR="00CF2951">
        <w:rPr>
          <w:iCs/>
        </w:rPr>
        <w:t xml:space="preserve">journal-based to </w:t>
      </w:r>
      <w:r w:rsidR="00261971">
        <w:rPr>
          <w:iCs/>
        </w:rPr>
        <w:t xml:space="preserve">a </w:t>
      </w:r>
      <w:r w:rsidR="00CF2951">
        <w:rPr>
          <w:iCs/>
        </w:rPr>
        <w:t xml:space="preserve">publication-based </w:t>
      </w:r>
      <w:r w:rsidR="009F03E1">
        <w:rPr>
          <w:iCs/>
        </w:rPr>
        <w:t>indicator.</w:t>
      </w:r>
      <w:r w:rsidR="00261971">
        <w:rPr>
          <w:iCs/>
        </w:rPr>
        <w:t xml:space="preserve"> The </w:t>
      </w:r>
      <w:r w:rsidR="00DF5E0B">
        <w:rPr>
          <w:iCs/>
        </w:rPr>
        <w:t xml:space="preserve">level of the journal (as assessed by expert panels, not by Journal Impact Factors) </w:t>
      </w:r>
      <w:r w:rsidR="007A76CF">
        <w:rPr>
          <w:iCs/>
        </w:rPr>
        <w:t>is no longer part of the measurement and only provided as statistical information for strategic development</w:t>
      </w:r>
      <w:r w:rsidR="00FD603C">
        <w:rPr>
          <w:iCs/>
        </w:rPr>
        <w:t xml:space="preserve"> in the right-hand side of </w:t>
      </w:r>
      <w:r w:rsidR="00FD603C" w:rsidRPr="00FD603C">
        <w:rPr>
          <w:i/>
        </w:rPr>
        <w:t>Figure 1</w:t>
      </w:r>
      <w:r w:rsidR="00FD603C">
        <w:rPr>
          <w:iCs/>
        </w:rPr>
        <w:t>.</w:t>
      </w:r>
      <w:r w:rsidR="007A76CF">
        <w:rPr>
          <w:iCs/>
        </w:rPr>
        <w:t xml:space="preserve"> </w:t>
      </w:r>
      <w:r w:rsidR="00CA23FA">
        <w:rPr>
          <w:iCs/>
        </w:rPr>
        <w:t xml:space="preserve">There was agreement on the continuing need for this information, not </w:t>
      </w:r>
      <w:r w:rsidR="00CC7A90">
        <w:rPr>
          <w:iCs/>
        </w:rPr>
        <w:t>for assessing individual publications or researchers, but for assessing the varying quality of journals and their editorial procedures.</w:t>
      </w:r>
      <w:r w:rsidR="003E3AE8">
        <w:rPr>
          <w:iCs/>
        </w:rPr>
        <w:t xml:space="preserve"> </w:t>
      </w:r>
      <w:r w:rsidR="00031C69">
        <w:rPr>
          <w:iCs/>
        </w:rPr>
        <w:t xml:space="preserve">At the same time, we have developed an indicator for direct measurement and comparison which is inclusive </w:t>
      </w:r>
      <w:r w:rsidR="00A95D86">
        <w:rPr>
          <w:iCs/>
        </w:rPr>
        <w:t xml:space="preserve">and </w:t>
      </w:r>
      <w:r w:rsidR="00031C69">
        <w:rPr>
          <w:iCs/>
        </w:rPr>
        <w:t>balanced.</w:t>
      </w:r>
    </w:p>
    <w:p w14:paraId="7660303D" w14:textId="69F617FE" w:rsidR="00AE1CBC" w:rsidRPr="007F2D47" w:rsidRDefault="003E3AE8" w:rsidP="00AE1CBC">
      <w:pPr>
        <w:jc w:val="both"/>
        <w:rPr>
          <w:iCs/>
        </w:rPr>
      </w:pPr>
      <w:r>
        <w:rPr>
          <w:iCs/>
        </w:rPr>
        <w:lastRenderedPageBreak/>
        <w:t xml:space="preserve">We leave it open for discussion whether </w:t>
      </w:r>
      <w:r w:rsidR="00A95D86">
        <w:rPr>
          <w:iCs/>
        </w:rPr>
        <w:t xml:space="preserve">there is </w:t>
      </w:r>
      <w:r w:rsidR="000959D6" w:rsidRPr="00CA1F6B">
        <w:rPr>
          <w:i/>
          <w:iCs/>
        </w:rPr>
        <w:t>inappropriate</w:t>
      </w:r>
      <w:r w:rsidR="000959D6">
        <w:t xml:space="preserve"> use</w:t>
      </w:r>
      <w:r w:rsidR="00C7492A">
        <w:t xml:space="preserve"> of journal- and </w:t>
      </w:r>
      <w:r w:rsidR="0033190B">
        <w:t>publication-based</w:t>
      </w:r>
      <w:r w:rsidR="00C7492A">
        <w:t xml:space="preserve"> metrics</w:t>
      </w:r>
      <w:r w:rsidR="00A95D86">
        <w:t xml:space="preserve"> in the new framework</w:t>
      </w:r>
      <w:r w:rsidR="00C7492A">
        <w:t>.</w:t>
      </w:r>
      <w:r w:rsidR="00BC459E">
        <w:t xml:space="preserve"> </w:t>
      </w:r>
      <w:r w:rsidR="009B1EB8">
        <w:t xml:space="preserve">Our model </w:t>
      </w:r>
      <w:r w:rsidR="00AE1CBC">
        <w:rPr>
          <w:lang w:val="en-US"/>
        </w:rPr>
        <w:t xml:space="preserve">is dynamic and may be adjusted if needed. </w:t>
      </w:r>
      <w:r w:rsidR="00AE1CBC" w:rsidRPr="00011A64">
        <w:rPr>
          <w:iCs/>
        </w:rPr>
        <w:t xml:space="preserve">The Agreement </w:t>
      </w:r>
      <w:r w:rsidR="00AE1CBC">
        <w:rPr>
          <w:lang w:val="en-US"/>
        </w:rPr>
        <w:t xml:space="preserve">encourages </w:t>
      </w:r>
      <w:r w:rsidR="00AE1CBC">
        <w:rPr>
          <w:iCs/>
        </w:rPr>
        <w:t>that practises are evaluated when new insights and evidence is present</w:t>
      </w:r>
      <w:r w:rsidR="004853DA">
        <w:rPr>
          <w:iCs/>
        </w:rPr>
        <w:t xml:space="preserve">. </w:t>
      </w:r>
      <w:r w:rsidR="00AE1CBC">
        <w:rPr>
          <w:iCs/>
        </w:rPr>
        <w:t>This principle is also laid out in another guide to research evaluation, the Leiden Manifesto: “</w:t>
      </w:r>
      <w:r w:rsidR="00AE1CBC" w:rsidRPr="007F2D47">
        <w:rPr>
          <w:iCs/>
        </w:rPr>
        <w:t>Scrutinize indicators regularly and</w:t>
      </w:r>
      <w:r w:rsidR="00AE1CBC">
        <w:rPr>
          <w:iCs/>
        </w:rPr>
        <w:t xml:space="preserve"> </w:t>
      </w:r>
      <w:r w:rsidR="00AE1CBC" w:rsidRPr="007F2D47">
        <w:rPr>
          <w:iCs/>
        </w:rPr>
        <w:t>update them</w:t>
      </w:r>
      <w:r w:rsidR="00AE1CBC">
        <w:rPr>
          <w:iCs/>
        </w:rPr>
        <w:t>” (Hicks et al, 2015).</w:t>
      </w:r>
    </w:p>
    <w:p w14:paraId="63157C95" w14:textId="77777777" w:rsidR="00CF31B8" w:rsidRDefault="00CF31B8" w:rsidP="00CF31B8">
      <w:pPr>
        <w:jc w:val="both"/>
        <w:rPr>
          <w:iCs/>
        </w:rPr>
      </w:pPr>
    </w:p>
    <w:p w14:paraId="7FA2A6BA" w14:textId="5CA6BB75" w:rsidR="008C55C5" w:rsidRPr="008C55C5" w:rsidRDefault="00495519" w:rsidP="008C55C5">
      <w:pPr>
        <w:jc w:val="both"/>
        <w:rPr>
          <w:b/>
          <w:bCs/>
          <w:iCs/>
        </w:rPr>
      </w:pPr>
      <w:r>
        <w:rPr>
          <w:b/>
          <w:bCs/>
          <w:iCs/>
        </w:rPr>
        <w:t>6</w:t>
      </w:r>
      <w:r w:rsidR="008C55C5" w:rsidRPr="008C55C5">
        <w:rPr>
          <w:b/>
          <w:bCs/>
          <w:iCs/>
        </w:rPr>
        <w:t xml:space="preserve">. </w:t>
      </w:r>
      <w:r w:rsidR="002C0655">
        <w:rPr>
          <w:b/>
          <w:bCs/>
          <w:iCs/>
        </w:rPr>
        <w:t xml:space="preserve">Local implementation </w:t>
      </w:r>
      <w:r w:rsidR="00AD6B09">
        <w:rPr>
          <w:b/>
          <w:bCs/>
          <w:iCs/>
        </w:rPr>
        <w:t xml:space="preserve">of </w:t>
      </w:r>
      <w:r w:rsidR="0055141C">
        <w:rPr>
          <w:b/>
          <w:bCs/>
          <w:iCs/>
        </w:rPr>
        <w:t>an international agreement</w:t>
      </w:r>
    </w:p>
    <w:p w14:paraId="13B17FEA" w14:textId="45FD8332" w:rsidR="001B4ED8" w:rsidRDefault="008C55C5" w:rsidP="00994ACE">
      <w:pPr>
        <w:jc w:val="both"/>
        <w:rPr>
          <w:iCs/>
        </w:rPr>
      </w:pPr>
      <w:r>
        <w:rPr>
          <w:iCs/>
        </w:rPr>
        <w:t xml:space="preserve">DORA, </w:t>
      </w:r>
      <w:r w:rsidR="002F35AA">
        <w:rPr>
          <w:iCs/>
        </w:rPr>
        <w:t xml:space="preserve">the </w:t>
      </w:r>
      <w:r>
        <w:rPr>
          <w:iCs/>
        </w:rPr>
        <w:t>Leiden</w:t>
      </w:r>
      <w:r w:rsidR="002F35AA">
        <w:rPr>
          <w:iCs/>
        </w:rPr>
        <w:t xml:space="preserve"> </w:t>
      </w:r>
      <w:r w:rsidR="00F628FC">
        <w:rPr>
          <w:iCs/>
        </w:rPr>
        <w:t>M</w:t>
      </w:r>
      <w:r w:rsidR="002F35AA">
        <w:rPr>
          <w:iCs/>
        </w:rPr>
        <w:t>anifest</w:t>
      </w:r>
      <w:r w:rsidR="0055141C">
        <w:rPr>
          <w:iCs/>
        </w:rPr>
        <w:t>o</w:t>
      </w:r>
      <w:r w:rsidR="002F35AA">
        <w:rPr>
          <w:iCs/>
        </w:rPr>
        <w:t>,</w:t>
      </w:r>
      <w:r>
        <w:rPr>
          <w:iCs/>
        </w:rPr>
        <w:t xml:space="preserve"> and </w:t>
      </w:r>
      <w:r w:rsidR="0055141C">
        <w:rPr>
          <w:iCs/>
        </w:rPr>
        <w:t>recently the Agreement</w:t>
      </w:r>
      <w:r w:rsidR="00685395">
        <w:rPr>
          <w:iCs/>
        </w:rPr>
        <w:t>,</w:t>
      </w:r>
      <w:r w:rsidR="0055141C">
        <w:rPr>
          <w:iCs/>
        </w:rPr>
        <w:t xml:space="preserve"> </w:t>
      </w:r>
      <w:r>
        <w:rPr>
          <w:iCs/>
        </w:rPr>
        <w:t xml:space="preserve">are examples </w:t>
      </w:r>
      <w:r w:rsidR="00007915">
        <w:rPr>
          <w:iCs/>
        </w:rPr>
        <w:t xml:space="preserve">of </w:t>
      </w:r>
      <w:r>
        <w:rPr>
          <w:iCs/>
        </w:rPr>
        <w:t xml:space="preserve">international </w:t>
      </w:r>
      <w:r w:rsidR="00457C9C">
        <w:rPr>
          <w:iCs/>
        </w:rPr>
        <w:t xml:space="preserve">initiatives and </w:t>
      </w:r>
      <w:r w:rsidR="00685395">
        <w:rPr>
          <w:iCs/>
        </w:rPr>
        <w:t xml:space="preserve">agreements </w:t>
      </w:r>
      <w:r w:rsidR="00E70205">
        <w:rPr>
          <w:iCs/>
        </w:rPr>
        <w:t xml:space="preserve">aimed at changing research assessment </w:t>
      </w:r>
      <w:r w:rsidR="00007915">
        <w:rPr>
          <w:iCs/>
        </w:rPr>
        <w:t xml:space="preserve">practices </w:t>
      </w:r>
      <w:r w:rsidR="00BF257A">
        <w:rPr>
          <w:iCs/>
        </w:rPr>
        <w:t>i</w:t>
      </w:r>
      <w:r w:rsidR="00007915">
        <w:rPr>
          <w:iCs/>
        </w:rPr>
        <w:t xml:space="preserve">n </w:t>
      </w:r>
      <w:r w:rsidR="00BF257A">
        <w:rPr>
          <w:iCs/>
        </w:rPr>
        <w:t xml:space="preserve">local </w:t>
      </w:r>
      <w:r w:rsidR="00007915">
        <w:rPr>
          <w:iCs/>
        </w:rPr>
        <w:t>contexts</w:t>
      </w:r>
      <w:r w:rsidR="00BF257A">
        <w:rPr>
          <w:iCs/>
        </w:rPr>
        <w:t>.</w:t>
      </w:r>
      <w:r w:rsidR="006532FE">
        <w:rPr>
          <w:iCs/>
        </w:rPr>
        <w:t xml:space="preserve"> </w:t>
      </w:r>
      <w:r w:rsidR="00406A4C">
        <w:rPr>
          <w:iCs/>
        </w:rPr>
        <w:t xml:space="preserve">Such agreements </w:t>
      </w:r>
      <w:r w:rsidR="003F3630">
        <w:rPr>
          <w:iCs/>
        </w:rPr>
        <w:t xml:space="preserve">often </w:t>
      </w:r>
      <w:r w:rsidR="005C3201">
        <w:rPr>
          <w:iCs/>
        </w:rPr>
        <w:t xml:space="preserve">rely on </w:t>
      </w:r>
      <w:r w:rsidR="003F3630">
        <w:rPr>
          <w:iCs/>
        </w:rPr>
        <w:t>broader</w:t>
      </w:r>
      <w:r w:rsidR="005C3201">
        <w:rPr>
          <w:iCs/>
        </w:rPr>
        <w:t xml:space="preserve"> normative ideas</w:t>
      </w:r>
      <w:r w:rsidR="003F3630">
        <w:rPr>
          <w:iCs/>
        </w:rPr>
        <w:t xml:space="preserve"> </w:t>
      </w:r>
      <w:r w:rsidR="00D96CFC">
        <w:rPr>
          <w:iCs/>
        </w:rPr>
        <w:t xml:space="preserve">and ambitions </w:t>
      </w:r>
      <w:r w:rsidR="003D70E8">
        <w:rPr>
          <w:iCs/>
        </w:rPr>
        <w:fldChar w:fldCharType="begin"/>
      </w:r>
      <w:r w:rsidR="005C25C7">
        <w:rPr>
          <w:iCs/>
        </w:rPr>
        <w:instrText xml:space="preserve"> ADDIN ZOTERO_ITEM CSL_CITATION {"citationID":"TBy36oUM","properties":{"formattedCitation":"(Finnemore and Sikkink 1998; Zwingel 2017)","plainCitation":"(Finnemore and Sikkink 1998; Zwingel 2017)","noteIndex":0},"citationItems":[{"id":702,"uris":["http://zotero.org/users/2003876/items/GYVE5AAT"],"itemData":{"id":702,"type":"article-journal","abstract":"Norms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two.","container-title":"International Organization","DOI":"10.1162/002081898550789","ISSN":"1531-5088, 0020-8183","issue":"4","language":"en","page":"887-917","source":"Cambridge Core","title":"International Norm Dynamics and Political Change","volume":"52","author":[{"family":"Finnemore","given":"Martha"},{"family":"Sikkink","given":"Kathryn"}],"issued":{"date-parts":[["1998"]],"season":"ed"}}},{"id":430,"uris":["http://zotero.org/users/2003876/items/BQKEBQ9D"],"itemData":{"id":430,"type":"article-journal","abstract":"The article makes two claims regarding women’s rights and their domestic implementation: First, ongoing international debates have created both agreement and contestation regarding the meaning of women’s rights. Hence, the concept is ‘in motion’. Second, this has led to diverse forms of domestic engagement with this set of norms. These processes have two components, the first being the translation between situated meanings, the second the actual implementation of the concept, a dynamic that remains principally incomplete. To elucidate these claims, the article first presents translation dynamics in the work of the CEDAW Committee, and then traces translation efforts in Finland and Chile, two culturally distinct States parties to the Convention.","container-title":"Third World Thematics: A TWQ Journal","DOI":"10.1080/23802014.2017.1365625","ISSN":"2380-2014","issue":"5","page":"675-690","source":"Taylor and Francis+NEJM","title":"Women’s rights norms as content-in-motion and incomplete practice","volume":"2","author":[{"family":"Zwingel","given":"Susanne"}],"issued":{"date-parts":[["2017",9,3]]}}}],"schema":"https://github.com/citation-style-language/schema/raw/master/csl-citation.json"} </w:instrText>
      </w:r>
      <w:r w:rsidR="003D70E8">
        <w:rPr>
          <w:iCs/>
        </w:rPr>
        <w:fldChar w:fldCharType="separate"/>
      </w:r>
      <w:r w:rsidR="005C25C7" w:rsidRPr="005C25C7">
        <w:t>(Finnemore and Sikkink 1998; Zwingel 2017)</w:t>
      </w:r>
      <w:r w:rsidR="003D70E8">
        <w:rPr>
          <w:iCs/>
        </w:rPr>
        <w:fldChar w:fldCharType="end"/>
      </w:r>
      <w:r w:rsidR="00D96CFC">
        <w:rPr>
          <w:iCs/>
        </w:rPr>
        <w:t xml:space="preserve">, in this case, e.g., </w:t>
      </w:r>
      <w:r w:rsidR="00114B5D">
        <w:rPr>
          <w:iCs/>
        </w:rPr>
        <w:t>the</w:t>
      </w:r>
      <w:r w:rsidR="00742436">
        <w:rPr>
          <w:iCs/>
        </w:rPr>
        <w:t xml:space="preserve"> focus of open science, </w:t>
      </w:r>
      <w:r w:rsidR="00114B5D">
        <w:rPr>
          <w:iCs/>
        </w:rPr>
        <w:t xml:space="preserve">the </w:t>
      </w:r>
      <w:r w:rsidR="00742436">
        <w:rPr>
          <w:iCs/>
        </w:rPr>
        <w:t>FAIR principles, and the sharing of knowledge</w:t>
      </w:r>
      <w:r w:rsidR="00B35785">
        <w:rPr>
          <w:iCs/>
        </w:rPr>
        <w:t xml:space="preserve"> </w:t>
      </w:r>
      <w:r w:rsidR="00B35785">
        <w:rPr>
          <w:iCs/>
        </w:rPr>
        <w:fldChar w:fldCharType="begin"/>
      </w:r>
      <w:r w:rsidR="00B35785">
        <w:rPr>
          <w:iCs/>
        </w:rPr>
        <w:instrText xml:space="preserve"> ADDIN ZOTERO_ITEM CSL_CITATION {"citationID":"SsCNKHgG","properties":{"formattedCitation":"(European Commission. Directorate General for Research and Innovation. 2017)","plainCitation":"(European Commission. Directorate General for Research and Innovation. 2017)","noteIndex":0},"citationItems":[{"id":2358,"uris":["http://zotero.org/users/2003876/items/QF5TYNAH"],"itemData":{"id":2358,"type":"book","event-place":"LU","language":"en","publisher":"Publications Office","publisher-place":"LU","source":"DOI.org (CSL JSON)","title":"Evaluation of research careers fully acknowledging Open Science practices: rewards, incentives and/or recognition for researchers practicing Open Science.","title-short":"Evaluation of research careers fully acknowledging Open Science practices","URL":"https://data.europa.eu/doi/10.2777/75255","author":[{"literal":"European Commission. Directorate General for Research and Innovation."}],"accessed":{"date-parts":[["2022",12,5]]},"issued":{"date-parts":[["2017"]]}}}],"schema":"https://github.com/citation-style-language/schema/raw/master/csl-citation.json"} </w:instrText>
      </w:r>
      <w:r w:rsidR="00B35785">
        <w:rPr>
          <w:iCs/>
        </w:rPr>
        <w:fldChar w:fldCharType="separate"/>
      </w:r>
      <w:r w:rsidR="00B35785" w:rsidRPr="00B35785">
        <w:t>(European Commission. Directorate General for Research and Innovation. 2017)</w:t>
      </w:r>
      <w:r w:rsidR="00B35785">
        <w:rPr>
          <w:iCs/>
        </w:rPr>
        <w:fldChar w:fldCharType="end"/>
      </w:r>
      <w:r w:rsidR="00742436">
        <w:rPr>
          <w:iCs/>
        </w:rPr>
        <w:t xml:space="preserve">. </w:t>
      </w:r>
      <w:r w:rsidR="00277126">
        <w:rPr>
          <w:iCs/>
        </w:rPr>
        <w:t xml:space="preserve">The Agreement’s </w:t>
      </w:r>
      <w:r w:rsidR="006C2590">
        <w:rPr>
          <w:iCs/>
        </w:rPr>
        <w:t xml:space="preserve">focus on alternative methods and a broader diversity of outputs demonstrates the EU’s ambition to challenge the use of solely quantitative </w:t>
      </w:r>
      <w:r w:rsidR="001806D7">
        <w:rPr>
          <w:iCs/>
        </w:rPr>
        <w:t>indicators</w:t>
      </w:r>
      <w:r w:rsidR="006C2590">
        <w:rPr>
          <w:iCs/>
        </w:rPr>
        <w:t xml:space="preserve"> and in general </w:t>
      </w:r>
      <w:r w:rsidR="001806D7">
        <w:rPr>
          <w:iCs/>
        </w:rPr>
        <w:t xml:space="preserve">to </w:t>
      </w:r>
      <w:r w:rsidR="006C2590">
        <w:rPr>
          <w:iCs/>
        </w:rPr>
        <w:t xml:space="preserve">introduce a more responsible use of metrics in research assessments. </w:t>
      </w:r>
      <w:r w:rsidR="00E92344">
        <w:rPr>
          <w:iCs/>
        </w:rPr>
        <w:t xml:space="preserve">However, as </w:t>
      </w:r>
      <w:r w:rsidR="00A14840">
        <w:rPr>
          <w:iCs/>
        </w:rPr>
        <w:t>indicated</w:t>
      </w:r>
      <w:r w:rsidR="00E92344">
        <w:rPr>
          <w:iCs/>
        </w:rPr>
        <w:t xml:space="preserve"> by </w:t>
      </w:r>
      <w:r w:rsidR="003D70E8">
        <w:rPr>
          <w:iCs/>
        </w:rPr>
        <w:t>Sivertsen &amp; Rushford (2022)</w:t>
      </w:r>
      <w:r w:rsidR="00166343">
        <w:rPr>
          <w:iCs/>
        </w:rPr>
        <w:t xml:space="preserve">, </w:t>
      </w:r>
      <w:r w:rsidR="00A14840">
        <w:rPr>
          <w:iCs/>
        </w:rPr>
        <w:t xml:space="preserve">the </w:t>
      </w:r>
      <w:r w:rsidR="0043348A">
        <w:rPr>
          <w:iCs/>
        </w:rPr>
        <w:t xml:space="preserve">more concrete </w:t>
      </w:r>
      <w:r w:rsidR="006C2970">
        <w:rPr>
          <w:iCs/>
        </w:rPr>
        <w:t xml:space="preserve">implications of the normative requirements of the </w:t>
      </w:r>
      <w:r w:rsidR="00A14840">
        <w:rPr>
          <w:iCs/>
        </w:rPr>
        <w:t xml:space="preserve">Agreement </w:t>
      </w:r>
      <w:r w:rsidR="006C2970">
        <w:rPr>
          <w:iCs/>
        </w:rPr>
        <w:t>still need to be developed</w:t>
      </w:r>
      <w:r w:rsidR="003252EA">
        <w:rPr>
          <w:iCs/>
        </w:rPr>
        <w:t xml:space="preserve">, and the </w:t>
      </w:r>
      <w:r w:rsidR="00CE1F33">
        <w:rPr>
          <w:iCs/>
        </w:rPr>
        <w:t xml:space="preserve">translation of the norms from </w:t>
      </w:r>
      <w:r w:rsidR="009311A7">
        <w:rPr>
          <w:iCs/>
        </w:rPr>
        <w:t xml:space="preserve">the supranational to the </w:t>
      </w:r>
      <w:r w:rsidR="00CE1F33">
        <w:rPr>
          <w:iCs/>
        </w:rPr>
        <w:t>local</w:t>
      </w:r>
      <w:r w:rsidR="009311A7">
        <w:rPr>
          <w:iCs/>
        </w:rPr>
        <w:t xml:space="preserve"> level</w:t>
      </w:r>
      <w:r w:rsidR="00973801">
        <w:rPr>
          <w:iCs/>
        </w:rPr>
        <w:t xml:space="preserve"> might be challenging</w:t>
      </w:r>
      <w:r w:rsidR="009311A7">
        <w:rPr>
          <w:iCs/>
        </w:rPr>
        <w:t xml:space="preserve">. </w:t>
      </w:r>
      <w:r w:rsidR="00C90A02">
        <w:rPr>
          <w:iCs/>
        </w:rPr>
        <w:t xml:space="preserve"> </w:t>
      </w:r>
    </w:p>
    <w:p w14:paraId="49B6F19C" w14:textId="0A5FD992" w:rsidR="00F87A47" w:rsidRDefault="00F87A47" w:rsidP="00994ACE">
      <w:pPr>
        <w:jc w:val="both"/>
        <w:rPr>
          <w:iCs/>
        </w:rPr>
      </w:pPr>
    </w:p>
    <w:p w14:paraId="6B5A9960" w14:textId="048B82ED" w:rsidR="00F87A47" w:rsidRDefault="00F87A47" w:rsidP="00F87A47">
      <w:pPr>
        <w:jc w:val="both"/>
        <w:rPr>
          <w:iCs/>
        </w:rPr>
      </w:pPr>
      <w:proofErr w:type="spellStart"/>
      <w:r>
        <w:rPr>
          <w:iCs/>
        </w:rPr>
        <w:t>Finnemore</w:t>
      </w:r>
      <w:proofErr w:type="spellEnd"/>
      <w:r>
        <w:rPr>
          <w:iCs/>
        </w:rPr>
        <w:t xml:space="preserve"> and </w:t>
      </w:r>
      <w:proofErr w:type="spellStart"/>
      <w:r>
        <w:rPr>
          <w:iCs/>
        </w:rPr>
        <w:t>Sikkink</w:t>
      </w:r>
      <w:proofErr w:type="spellEnd"/>
      <w:r>
        <w:rPr>
          <w:iCs/>
        </w:rPr>
        <w:t xml:space="preserve"> (1998) argue that “</w:t>
      </w:r>
      <w:r w:rsidRPr="006E3538">
        <w:rPr>
          <w:i/>
        </w:rPr>
        <w:t>new norms never enter a normative vacuum but instead emerge in a highly contested normative space where they must compete with other norms and perceptions of interest</w:t>
      </w:r>
      <w:r>
        <w:rPr>
          <w:iCs/>
        </w:rPr>
        <w:t xml:space="preserve">” </w:t>
      </w:r>
      <w:r>
        <w:rPr>
          <w:iCs/>
        </w:rPr>
        <w:fldChar w:fldCharType="begin"/>
      </w:r>
      <w:r>
        <w:rPr>
          <w:iCs/>
        </w:rPr>
        <w:instrText xml:space="preserve"> ADDIN ZOTERO_ITEM CSL_CITATION {"citationID":"Zj7IyHx5","properties":{"formattedCitation":"(Finnemore and Sikkink 1998, 989)","plainCitation":"(Finnemore and Sikkink 1998, 989)","noteIndex":0},"citationItems":[{"id":702,"uris":["http://zotero.org/users/2003876/items/GYVE5AAT"],"itemData":{"id":702,"type":"article-journal","abstract":"Norms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two.","container-title":"International Organization","DOI":"10.1162/002081898550789","ISSN":"1531-5088, 0020-8183","issue":"4","language":"en","page":"887-917","source":"Cambridge Core","title":"International Norm Dynamics and Political Change","volume":"52","author":[{"family":"Finnemore","given":"Martha"},{"family":"Sikkink","given":"Kathryn"}],"issued":{"date-parts":[["1998"]],"season":"ed"}},"locator":"989","label":"page"}],"schema":"https://github.com/citation-style-language/schema/raw/master/csl-citation.json"} </w:instrText>
      </w:r>
      <w:r>
        <w:rPr>
          <w:iCs/>
        </w:rPr>
        <w:fldChar w:fldCharType="separate"/>
      </w:r>
      <w:r w:rsidRPr="00E35EDD">
        <w:t>(Finnemore and Sikkink 1998, 989)</w:t>
      </w:r>
      <w:r>
        <w:rPr>
          <w:iCs/>
        </w:rPr>
        <w:fldChar w:fldCharType="end"/>
      </w:r>
      <w:r w:rsidRPr="009C0B11">
        <w:rPr>
          <w:iCs/>
        </w:rPr>
        <w:t xml:space="preserve">. </w:t>
      </w:r>
      <w:r>
        <w:rPr>
          <w:iCs/>
        </w:rPr>
        <w:t xml:space="preserve">In other words, </w:t>
      </w:r>
      <w:r w:rsidRPr="009C0B11">
        <w:rPr>
          <w:iCs/>
        </w:rPr>
        <w:t xml:space="preserve">normative contestation </w:t>
      </w:r>
      <w:r>
        <w:rPr>
          <w:iCs/>
        </w:rPr>
        <w:t>or resistance is important for how we relate the “</w:t>
      </w:r>
      <w:r w:rsidRPr="009C0B11">
        <w:rPr>
          <w:iCs/>
        </w:rPr>
        <w:t>logic of appropriateness’’ to norms</w:t>
      </w:r>
      <w:r>
        <w:rPr>
          <w:iCs/>
        </w:rPr>
        <w:t xml:space="preserve"> and the creation of </w:t>
      </w:r>
      <w:r w:rsidR="00E60093">
        <w:rPr>
          <w:iCs/>
        </w:rPr>
        <w:t xml:space="preserve">new </w:t>
      </w:r>
      <w:r>
        <w:rPr>
          <w:iCs/>
        </w:rPr>
        <w:t>norms</w:t>
      </w:r>
      <w:r w:rsidRPr="009C0B11">
        <w:rPr>
          <w:iCs/>
        </w:rPr>
        <w:t>.</w:t>
      </w:r>
      <w:r>
        <w:rPr>
          <w:iCs/>
        </w:rPr>
        <w:t xml:space="preserve"> Hence, to </w:t>
      </w:r>
      <w:r w:rsidRPr="009C0B11">
        <w:rPr>
          <w:iCs/>
        </w:rPr>
        <w:t>promote a new norm</w:t>
      </w:r>
      <w:r>
        <w:rPr>
          <w:iCs/>
        </w:rPr>
        <w:t>, th</w:t>
      </w:r>
      <w:r w:rsidR="00E60093">
        <w:rPr>
          <w:iCs/>
        </w:rPr>
        <w:t>e</w:t>
      </w:r>
      <w:r>
        <w:rPr>
          <w:iCs/>
        </w:rPr>
        <w:t xml:space="preserve"> process needs to “</w:t>
      </w:r>
      <w:r w:rsidRPr="008408D1">
        <w:rPr>
          <w:i/>
        </w:rPr>
        <w:t>take place within the standards of “appropriateness” defined by prior norms</w:t>
      </w:r>
      <w:r>
        <w:rPr>
          <w:iCs/>
        </w:rPr>
        <w:t xml:space="preserve">” </w:t>
      </w:r>
      <w:r>
        <w:rPr>
          <w:iCs/>
        </w:rPr>
        <w:fldChar w:fldCharType="begin"/>
      </w:r>
      <w:r>
        <w:rPr>
          <w:iCs/>
        </w:rPr>
        <w:instrText xml:space="preserve"> ADDIN ZOTERO_ITEM CSL_CITATION {"citationID":"uYJzrADx","properties":{"formattedCitation":"(Finnemore and Sikkink 1998, 989)","plainCitation":"(Finnemore and Sikkink 1998, 989)","noteIndex":0},"citationItems":[{"id":702,"uris":["http://zotero.org/users/2003876/items/GYVE5AAT"],"itemData":{"id":702,"type":"article-journal","abstract":"Norms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two.","container-title":"International Organization","DOI":"10.1162/002081898550789","ISSN":"1531-5088, 0020-8183","issue":"4","language":"en","page":"887-917","source":"Cambridge Core","title":"International Norm Dynamics and Political Change","volume":"52","author":[{"family":"Finnemore","given":"Martha"},{"family":"Sikkink","given":"Kathryn"}],"issued":{"date-parts":[["1998"]],"season":"ed"}},"locator":"989","label":"page"}],"schema":"https://github.com/citation-style-language/schema/raw/master/csl-citation.json"} </w:instrText>
      </w:r>
      <w:r>
        <w:rPr>
          <w:iCs/>
        </w:rPr>
        <w:fldChar w:fldCharType="separate"/>
      </w:r>
      <w:r w:rsidRPr="00E35EDD">
        <w:t>(Finnemore and Sikkink 1998, 989)</w:t>
      </w:r>
      <w:r>
        <w:rPr>
          <w:iCs/>
        </w:rPr>
        <w:fldChar w:fldCharType="end"/>
      </w:r>
      <w:r w:rsidRPr="009C0B11">
        <w:rPr>
          <w:iCs/>
        </w:rPr>
        <w:t xml:space="preserve">. </w:t>
      </w:r>
      <w:r>
        <w:rPr>
          <w:iCs/>
        </w:rPr>
        <w:t xml:space="preserve">Further, to challenge </w:t>
      </w:r>
      <w:r w:rsidRPr="009C0B11">
        <w:rPr>
          <w:iCs/>
        </w:rPr>
        <w:t xml:space="preserve">existing logics of appropriateness, </w:t>
      </w:r>
      <w:r>
        <w:rPr>
          <w:iCs/>
        </w:rPr>
        <w:t xml:space="preserve">the new normative ideas may </w:t>
      </w:r>
      <w:r w:rsidR="007D2D7C">
        <w:rPr>
          <w:iCs/>
        </w:rPr>
        <w:t xml:space="preserve">even </w:t>
      </w:r>
      <w:r w:rsidRPr="009C0B11">
        <w:rPr>
          <w:iCs/>
        </w:rPr>
        <w:t xml:space="preserve">need to be explicitly </w:t>
      </w:r>
      <w:r>
        <w:rPr>
          <w:iCs/>
        </w:rPr>
        <w:t>“</w:t>
      </w:r>
      <w:r w:rsidRPr="009C0B11">
        <w:rPr>
          <w:iCs/>
        </w:rPr>
        <w:t>inappropriate</w:t>
      </w:r>
      <w:r>
        <w:rPr>
          <w:iCs/>
        </w:rPr>
        <w:t xml:space="preserve">”. </w:t>
      </w:r>
    </w:p>
    <w:p w14:paraId="1A2A7F19" w14:textId="77777777" w:rsidR="00F87A47" w:rsidRDefault="00F87A47" w:rsidP="00994ACE">
      <w:pPr>
        <w:jc w:val="both"/>
        <w:rPr>
          <w:iCs/>
        </w:rPr>
      </w:pPr>
    </w:p>
    <w:p w14:paraId="4C96466B" w14:textId="4F9593B5" w:rsidR="00C723D9" w:rsidRDefault="002E6CFC" w:rsidP="00FD2114">
      <w:pPr>
        <w:jc w:val="both"/>
        <w:rPr>
          <w:iCs/>
        </w:rPr>
      </w:pPr>
      <w:r>
        <w:rPr>
          <w:iCs/>
        </w:rPr>
        <w:t xml:space="preserve">The argument could </w:t>
      </w:r>
      <w:r w:rsidR="00B548AA">
        <w:rPr>
          <w:iCs/>
        </w:rPr>
        <w:t xml:space="preserve">be turned to cover the opposite direction of implementation: If </w:t>
      </w:r>
      <w:r w:rsidR="00697618">
        <w:rPr>
          <w:iCs/>
        </w:rPr>
        <w:t xml:space="preserve">accepted and implemented at Aalborg University, </w:t>
      </w:r>
      <w:r w:rsidR="00320054">
        <w:rPr>
          <w:iCs/>
        </w:rPr>
        <w:t xml:space="preserve">would it be possible to use the ideas and practices of the </w:t>
      </w:r>
      <w:r w:rsidR="002A1AE0">
        <w:rPr>
          <w:iCs/>
        </w:rPr>
        <w:t xml:space="preserve">new framework (and the inspiration from the Agreement) </w:t>
      </w:r>
      <w:r w:rsidR="00C70A55">
        <w:rPr>
          <w:iCs/>
        </w:rPr>
        <w:t xml:space="preserve">for an implementation </w:t>
      </w:r>
      <w:r w:rsidR="00320054">
        <w:rPr>
          <w:iCs/>
        </w:rPr>
        <w:t xml:space="preserve">at a national level </w:t>
      </w:r>
      <w:r w:rsidR="00A3367A">
        <w:rPr>
          <w:iCs/>
        </w:rPr>
        <w:t xml:space="preserve">where </w:t>
      </w:r>
      <w:r w:rsidR="00320054">
        <w:rPr>
          <w:iCs/>
        </w:rPr>
        <w:t>comparable research assessments</w:t>
      </w:r>
      <w:r w:rsidR="00A3367A">
        <w:rPr>
          <w:iCs/>
        </w:rPr>
        <w:t xml:space="preserve"> are needed as well? </w:t>
      </w:r>
      <w:r w:rsidR="006D620C">
        <w:rPr>
          <w:iCs/>
        </w:rPr>
        <w:t xml:space="preserve">Could the </w:t>
      </w:r>
      <w:r w:rsidR="00320054">
        <w:rPr>
          <w:iCs/>
        </w:rPr>
        <w:t>local applicability</w:t>
      </w:r>
      <w:r w:rsidR="006D620C">
        <w:rPr>
          <w:iCs/>
        </w:rPr>
        <w:t xml:space="preserve"> of the framework </w:t>
      </w:r>
      <w:r w:rsidR="00320054">
        <w:rPr>
          <w:iCs/>
        </w:rPr>
        <w:t>be translated to a more aggregated level</w:t>
      </w:r>
      <w:r w:rsidR="006D620C">
        <w:rPr>
          <w:iCs/>
        </w:rPr>
        <w:t>?</w:t>
      </w:r>
      <w:r w:rsidR="007E6519">
        <w:rPr>
          <w:iCs/>
        </w:rPr>
        <w:t xml:space="preserve"> </w:t>
      </w:r>
      <w:r w:rsidR="00FD2114">
        <w:rPr>
          <w:iCs/>
        </w:rPr>
        <w:t>After the governmental dismissal of the Danish bibliometric indicator</w:t>
      </w:r>
      <w:r w:rsidR="00C723D9">
        <w:rPr>
          <w:iCs/>
        </w:rPr>
        <w:t xml:space="preserve"> </w:t>
      </w:r>
      <w:r w:rsidR="00FD2114">
        <w:rPr>
          <w:iCs/>
        </w:rPr>
        <w:t xml:space="preserve">at the national level, there is still need </w:t>
      </w:r>
      <w:r w:rsidR="00DB65E8">
        <w:rPr>
          <w:iCs/>
        </w:rPr>
        <w:t xml:space="preserve">for legitimate criteria for funding allocation and </w:t>
      </w:r>
      <w:r w:rsidR="00BF23FA">
        <w:rPr>
          <w:iCs/>
        </w:rPr>
        <w:t xml:space="preserve">for new sources and forms of statistics that cover </w:t>
      </w:r>
      <w:r w:rsidR="0076604A">
        <w:rPr>
          <w:iCs/>
        </w:rPr>
        <w:t>a broader array of research activities including societal interaction and open research</w:t>
      </w:r>
      <w:r w:rsidR="00DB65E8">
        <w:rPr>
          <w:iCs/>
        </w:rPr>
        <w:t>.</w:t>
      </w:r>
    </w:p>
    <w:p w14:paraId="1458841B" w14:textId="77777777" w:rsidR="00CA6854" w:rsidRDefault="00CA6854" w:rsidP="009C0B11">
      <w:pPr>
        <w:jc w:val="both"/>
        <w:rPr>
          <w:iCs/>
        </w:rPr>
      </w:pPr>
    </w:p>
    <w:p w14:paraId="0B31E3E2" w14:textId="1458BD05" w:rsidR="00BC2174" w:rsidRDefault="001E665E" w:rsidP="00875999">
      <w:pPr>
        <w:jc w:val="both"/>
        <w:rPr>
          <w:iCs/>
        </w:rPr>
      </w:pPr>
      <w:r>
        <w:rPr>
          <w:iCs/>
        </w:rPr>
        <w:t xml:space="preserve">Again, relying on </w:t>
      </w:r>
      <w:r w:rsidR="00AD2C6D">
        <w:rPr>
          <w:iCs/>
        </w:rPr>
        <w:t xml:space="preserve">norm translation theory, the answer to the question probably depends on </w:t>
      </w:r>
      <w:r w:rsidR="00E70ABC">
        <w:rPr>
          <w:iCs/>
        </w:rPr>
        <w:t xml:space="preserve">the acceptance </w:t>
      </w:r>
      <w:r w:rsidR="00120169">
        <w:rPr>
          <w:iCs/>
        </w:rPr>
        <w:t xml:space="preserve">at the national level of </w:t>
      </w:r>
      <w:r w:rsidR="00593892">
        <w:rPr>
          <w:iCs/>
        </w:rPr>
        <w:t xml:space="preserve">normative </w:t>
      </w:r>
      <w:r w:rsidR="00120169">
        <w:rPr>
          <w:iCs/>
        </w:rPr>
        <w:t>ideas that were originally translated from the supranational level</w:t>
      </w:r>
      <w:r w:rsidR="00593892">
        <w:rPr>
          <w:iCs/>
        </w:rPr>
        <w:t xml:space="preserve"> where the</w:t>
      </w:r>
      <w:r w:rsidR="00FE4146">
        <w:rPr>
          <w:iCs/>
        </w:rPr>
        <w:t xml:space="preserve">ir development </w:t>
      </w:r>
      <w:r w:rsidR="0052652A">
        <w:rPr>
          <w:iCs/>
        </w:rPr>
        <w:t xml:space="preserve">was </w:t>
      </w:r>
      <w:r w:rsidR="00593892">
        <w:rPr>
          <w:iCs/>
        </w:rPr>
        <w:t xml:space="preserve">supported by the European Commission, Science </w:t>
      </w:r>
      <w:r w:rsidR="0052652A">
        <w:rPr>
          <w:iCs/>
        </w:rPr>
        <w:t>Europe,</w:t>
      </w:r>
      <w:r w:rsidR="00593892">
        <w:rPr>
          <w:iCs/>
        </w:rPr>
        <w:t xml:space="preserve"> and </w:t>
      </w:r>
      <w:r w:rsidR="00FE4146">
        <w:rPr>
          <w:iCs/>
        </w:rPr>
        <w:t>the European University Association.</w:t>
      </w:r>
      <w:r w:rsidR="0052652A">
        <w:rPr>
          <w:iCs/>
        </w:rPr>
        <w:t xml:space="preserve"> </w:t>
      </w:r>
      <w:r w:rsidR="00981832">
        <w:rPr>
          <w:iCs/>
        </w:rPr>
        <w:t>D</w:t>
      </w:r>
      <w:r w:rsidR="0014050D">
        <w:rPr>
          <w:iCs/>
        </w:rPr>
        <w:t>anish organizations</w:t>
      </w:r>
      <w:r w:rsidR="00981832">
        <w:rPr>
          <w:iCs/>
        </w:rPr>
        <w:t xml:space="preserve"> </w:t>
      </w:r>
      <w:r w:rsidR="00B82CD5">
        <w:rPr>
          <w:iCs/>
        </w:rPr>
        <w:t xml:space="preserve">are active </w:t>
      </w:r>
      <w:r w:rsidR="004F0E03">
        <w:rPr>
          <w:iCs/>
        </w:rPr>
        <w:t xml:space="preserve">at the European level and will readily recognize the </w:t>
      </w:r>
      <w:r w:rsidR="008E6711">
        <w:rPr>
          <w:iCs/>
        </w:rPr>
        <w:t xml:space="preserve">Agreement’s </w:t>
      </w:r>
      <w:r w:rsidR="004F0E03">
        <w:rPr>
          <w:iCs/>
        </w:rPr>
        <w:t>main principles of broadening the basis for research assessment</w:t>
      </w:r>
      <w:r w:rsidR="004209A3">
        <w:rPr>
          <w:iCs/>
        </w:rPr>
        <w:t xml:space="preserve"> and introducing responsible use of indicators</w:t>
      </w:r>
      <w:r w:rsidR="00875999">
        <w:rPr>
          <w:iCs/>
        </w:rPr>
        <w:t xml:space="preserve">. </w:t>
      </w:r>
      <w:r w:rsidR="009F7F38">
        <w:rPr>
          <w:iCs/>
        </w:rPr>
        <w:t xml:space="preserve">The fact that the new framework has been received and implemented at Aalborg University without much resistance </w:t>
      </w:r>
      <w:r w:rsidR="00FD38D7">
        <w:rPr>
          <w:iCs/>
        </w:rPr>
        <w:t xml:space="preserve">is an indication that </w:t>
      </w:r>
      <w:r w:rsidR="00DC1E5A">
        <w:rPr>
          <w:iCs/>
        </w:rPr>
        <w:t>a more general organizational-level implementation of the Agreement is within reach.</w:t>
      </w:r>
      <w:r w:rsidR="00BC2174">
        <w:rPr>
          <w:iCs/>
        </w:rPr>
        <w:t xml:space="preserve"> </w:t>
      </w:r>
    </w:p>
    <w:p w14:paraId="48462483" w14:textId="77777777" w:rsidR="00CA6854" w:rsidRDefault="00CA6854" w:rsidP="00CA6854">
      <w:pPr>
        <w:jc w:val="both"/>
        <w:rPr>
          <w:iCs/>
        </w:rPr>
      </w:pPr>
    </w:p>
    <w:p w14:paraId="1F390F05" w14:textId="697C6621" w:rsidR="002262D8" w:rsidRPr="00A428B4" w:rsidRDefault="00224814" w:rsidP="00CF31B8">
      <w:pPr>
        <w:jc w:val="both"/>
        <w:rPr>
          <w:b/>
          <w:bCs/>
          <w:iCs/>
        </w:rPr>
      </w:pPr>
      <w:r>
        <w:rPr>
          <w:b/>
          <w:bCs/>
          <w:iCs/>
        </w:rPr>
        <w:t>7</w:t>
      </w:r>
      <w:r w:rsidR="000959D6" w:rsidRPr="00A428B4">
        <w:rPr>
          <w:b/>
          <w:bCs/>
          <w:iCs/>
        </w:rPr>
        <w:t xml:space="preserve">. </w:t>
      </w:r>
      <w:r>
        <w:rPr>
          <w:b/>
          <w:bCs/>
          <w:iCs/>
        </w:rPr>
        <w:t>Conclusion</w:t>
      </w:r>
    </w:p>
    <w:p w14:paraId="188EFBF0" w14:textId="57B85614" w:rsidR="00D651B7" w:rsidRDefault="00FD64A1" w:rsidP="00CF31B8">
      <w:pPr>
        <w:jc w:val="both"/>
        <w:rPr>
          <w:iCs/>
        </w:rPr>
      </w:pPr>
      <w:r>
        <w:rPr>
          <w:iCs/>
        </w:rPr>
        <w:t xml:space="preserve">As pointed out by Sivertsen &amp; Rushforth (2022), </w:t>
      </w:r>
      <w:r w:rsidR="009E3CEE">
        <w:rPr>
          <w:iCs/>
        </w:rPr>
        <w:t>t</w:t>
      </w:r>
      <w:r w:rsidR="00CF31B8" w:rsidRPr="00CF31B8">
        <w:rPr>
          <w:iCs/>
        </w:rPr>
        <w:t>he Agreement’s approach to research assessment</w:t>
      </w:r>
      <w:r w:rsidR="009E3CEE">
        <w:rPr>
          <w:iCs/>
        </w:rPr>
        <w:t xml:space="preserve"> at the o</w:t>
      </w:r>
      <w:r w:rsidR="00CF31B8" w:rsidRPr="00CF31B8">
        <w:rPr>
          <w:iCs/>
        </w:rPr>
        <w:t xml:space="preserve">rganizational </w:t>
      </w:r>
      <w:r w:rsidR="009E3CEE">
        <w:rPr>
          <w:iCs/>
        </w:rPr>
        <w:t xml:space="preserve">level </w:t>
      </w:r>
      <w:r w:rsidR="00CF31B8" w:rsidRPr="00CF31B8">
        <w:rPr>
          <w:iCs/>
        </w:rPr>
        <w:t>is so far less developed</w:t>
      </w:r>
      <w:r w:rsidR="00B83102">
        <w:rPr>
          <w:iCs/>
        </w:rPr>
        <w:t xml:space="preserve"> than for the contexts for </w:t>
      </w:r>
      <w:r w:rsidR="00B83102">
        <w:rPr>
          <w:iCs/>
        </w:rPr>
        <w:lastRenderedPageBreak/>
        <w:t>individual level assessment</w:t>
      </w:r>
      <w:r w:rsidR="00CF31B8" w:rsidRPr="00CF31B8">
        <w:rPr>
          <w:iCs/>
        </w:rPr>
        <w:t xml:space="preserve">. </w:t>
      </w:r>
      <w:r w:rsidR="00804EC7">
        <w:rPr>
          <w:iCs/>
        </w:rPr>
        <w:t>S</w:t>
      </w:r>
      <w:r w:rsidR="00CF31B8" w:rsidRPr="00CF31B8">
        <w:rPr>
          <w:iCs/>
        </w:rPr>
        <w:t>tatistical information and indicators</w:t>
      </w:r>
      <w:r w:rsidR="00804EC7">
        <w:rPr>
          <w:iCs/>
        </w:rPr>
        <w:t xml:space="preserve"> are </w:t>
      </w:r>
      <w:r w:rsidR="00CF31B8" w:rsidRPr="00CF31B8">
        <w:rPr>
          <w:iCs/>
        </w:rPr>
        <w:t xml:space="preserve">addressed by the Agreement with </w:t>
      </w:r>
      <w:r w:rsidR="0051372B" w:rsidRPr="00CF31B8">
        <w:rPr>
          <w:iCs/>
        </w:rPr>
        <w:t>scepticism</w:t>
      </w:r>
      <w:r w:rsidR="00CF31B8" w:rsidRPr="00CF31B8">
        <w:rPr>
          <w:iCs/>
        </w:rPr>
        <w:t xml:space="preserve">, </w:t>
      </w:r>
      <w:r w:rsidR="009C10E2">
        <w:rPr>
          <w:iCs/>
        </w:rPr>
        <w:t>but they c</w:t>
      </w:r>
      <w:r w:rsidR="00CF31B8" w:rsidRPr="00CF31B8">
        <w:rPr>
          <w:iCs/>
        </w:rPr>
        <w:t xml:space="preserve">an be more adequate </w:t>
      </w:r>
      <w:r w:rsidR="009C10E2">
        <w:rPr>
          <w:iCs/>
        </w:rPr>
        <w:t xml:space="preserve">at the organizational level </w:t>
      </w:r>
      <w:r w:rsidR="00CF31B8" w:rsidRPr="00CF31B8">
        <w:rPr>
          <w:iCs/>
        </w:rPr>
        <w:t xml:space="preserve">than at the individual level. A careful use of indicators and statistics can even be </w:t>
      </w:r>
      <w:r w:rsidR="000554F6">
        <w:rPr>
          <w:iCs/>
        </w:rPr>
        <w:t xml:space="preserve">regarded as more </w:t>
      </w:r>
      <w:r w:rsidR="00CF31B8" w:rsidRPr="00CF31B8">
        <w:rPr>
          <w:iCs/>
        </w:rPr>
        <w:t xml:space="preserve">responsible and transparent </w:t>
      </w:r>
      <w:r w:rsidR="000554F6">
        <w:rPr>
          <w:iCs/>
        </w:rPr>
        <w:t xml:space="preserve">than </w:t>
      </w:r>
      <w:r w:rsidR="00611F08">
        <w:rPr>
          <w:iCs/>
        </w:rPr>
        <w:t>decisions taken in closed rooms</w:t>
      </w:r>
      <w:r w:rsidR="000814C4">
        <w:rPr>
          <w:iCs/>
        </w:rPr>
        <w:t xml:space="preserve">. </w:t>
      </w:r>
      <w:r w:rsidR="00DD1D32">
        <w:rPr>
          <w:iCs/>
        </w:rPr>
        <w:t>T</w:t>
      </w:r>
      <w:r w:rsidR="00CF31B8" w:rsidRPr="00CF31B8">
        <w:rPr>
          <w:iCs/>
        </w:rPr>
        <w:t xml:space="preserve">he Aalborg framework </w:t>
      </w:r>
      <w:r w:rsidR="00D651B7">
        <w:rPr>
          <w:iCs/>
        </w:rPr>
        <w:t>might be</w:t>
      </w:r>
      <w:r w:rsidR="00DD1D32">
        <w:rPr>
          <w:iCs/>
        </w:rPr>
        <w:t xml:space="preserve"> an early test </w:t>
      </w:r>
      <w:r w:rsidR="00D651B7">
        <w:rPr>
          <w:iCs/>
        </w:rPr>
        <w:t xml:space="preserve">of how the Agreement can be further developed in this direction. </w:t>
      </w:r>
    </w:p>
    <w:p w14:paraId="1F2D1CFF" w14:textId="77777777" w:rsidR="000814C4" w:rsidRDefault="000814C4" w:rsidP="00CF31B8">
      <w:pPr>
        <w:jc w:val="both"/>
        <w:rPr>
          <w:iCs/>
        </w:rPr>
      </w:pPr>
    </w:p>
    <w:p w14:paraId="395D1172" w14:textId="42731F66" w:rsidR="000814C4" w:rsidRDefault="000814C4" w:rsidP="00CF31B8">
      <w:pPr>
        <w:jc w:val="both"/>
        <w:rPr>
          <w:b/>
          <w:bCs/>
        </w:rPr>
      </w:pPr>
      <w:r w:rsidRPr="007C30D8">
        <w:rPr>
          <w:b/>
          <w:bCs/>
        </w:rPr>
        <w:t>Author contributions</w:t>
      </w:r>
    </w:p>
    <w:p w14:paraId="6F1E1850" w14:textId="42973EC2" w:rsidR="000814C4" w:rsidRDefault="000814C4" w:rsidP="00CF31B8">
      <w:pPr>
        <w:jc w:val="both"/>
      </w:pPr>
      <w:r>
        <w:t xml:space="preserve">All three authors collaborated on all parts of the paper. We also worked together on the development of the new Aalborg framework and on the report in Danish which is presently the basis for the local discussion, decision, and implementation process. </w:t>
      </w:r>
      <w:r w:rsidR="00944EA8">
        <w:t>We have no competing int</w:t>
      </w:r>
      <w:r w:rsidR="007D44B7">
        <w:t xml:space="preserve">erests in the development </w:t>
      </w:r>
      <w:r w:rsidR="00F431FB">
        <w:t xml:space="preserve">of the framework or in </w:t>
      </w:r>
      <w:r w:rsidR="007D44B7">
        <w:t xml:space="preserve">writing </w:t>
      </w:r>
      <w:r w:rsidR="00F431FB">
        <w:t>the final report or this paper</w:t>
      </w:r>
      <w:r w:rsidR="007D44B7">
        <w:t>.</w:t>
      </w:r>
    </w:p>
    <w:p w14:paraId="6619D87B" w14:textId="77777777" w:rsidR="000814C4" w:rsidRDefault="000814C4" w:rsidP="00CF31B8">
      <w:pPr>
        <w:jc w:val="both"/>
      </w:pPr>
    </w:p>
    <w:p w14:paraId="7910FB3D" w14:textId="77777777" w:rsidR="000814C4" w:rsidRPr="007A59E1" w:rsidRDefault="000814C4" w:rsidP="000814C4">
      <w:pPr>
        <w:jc w:val="both"/>
        <w:rPr>
          <w:b/>
          <w:bCs/>
        </w:rPr>
      </w:pPr>
      <w:r>
        <w:rPr>
          <w:b/>
          <w:bCs/>
        </w:rPr>
        <w:t>O</w:t>
      </w:r>
      <w:r w:rsidRPr="007A59E1">
        <w:rPr>
          <w:b/>
          <w:bCs/>
        </w:rPr>
        <w:t>pen science practices</w:t>
      </w:r>
    </w:p>
    <w:p w14:paraId="06294A38" w14:textId="52189861" w:rsidR="000814C4" w:rsidRPr="000814C4" w:rsidRDefault="00953410" w:rsidP="00CF31B8">
      <w:pPr>
        <w:jc w:val="both"/>
        <w:rPr>
          <w:iCs/>
        </w:rPr>
      </w:pPr>
      <w:r w:rsidRPr="00953410">
        <w:rPr>
          <w:iCs/>
        </w:rPr>
        <w:t xml:space="preserve">The framework was designed on request from the rectorate </w:t>
      </w:r>
      <w:r w:rsidR="00701159">
        <w:rPr>
          <w:iCs/>
        </w:rPr>
        <w:t xml:space="preserve">and </w:t>
      </w:r>
      <w:r w:rsidRPr="00953410">
        <w:rPr>
          <w:iCs/>
        </w:rPr>
        <w:t>in collaboration with the deans of the four faculties with feedback from their project steering group and the university’s representative bodies</w:t>
      </w:r>
      <w:r w:rsidR="00701159">
        <w:rPr>
          <w:iCs/>
        </w:rPr>
        <w:t xml:space="preserve">. </w:t>
      </w:r>
    </w:p>
    <w:p w14:paraId="53F15F26" w14:textId="77777777" w:rsidR="008B3C14" w:rsidRPr="00CF31B8" w:rsidRDefault="008B3C14" w:rsidP="00CF31B8">
      <w:pPr>
        <w:jc w:val="both"/>
        <w:rPr>
          <w:iCs/>
        </w:rPr>
      </w:pPr>
    </w:p>
    <w:p w14:paraId="22FA635C" w14:textId="77777777" w:rsidR="00CF31B8" w:rsidRPr="008B3C14" w:rsidRDefault="00CF31B8" w:rsidP="00CF31B8">
      <w:pPr>
        <w:jc w:val="both"/>
        <w:rPr>
          <w:b/>
          <w:bCs/>
          <w:iCs/>
        </w:rPr>
      </w:pPr>
      <w:r w:rsidRPr="008B3C14">
        <w:rPr>
          <w:b/>
          <w:bCs/>
          <w:iCs/>
        </w:rPr>
        <w:t>References</w:t>
      </w:r>
    </w:p>
    <w:p w14:paraId="2C28464E" w14:textId="77777777" w:rsidR="008B3C14" w:rsidRPr="00CF31B8" w:rsidRDefault="008B3C14" w:rsidP="00CF31B8">
      <w:pPr>
        <w:jc w:val="both"/>
        <w:rPr>
          <w:iCs/>
        </w:rPr>
      </w:pPr>
    </w:p>
    <w:p w14:paraId="6C7C91E0" w14:textId="77777777" w:rsidR="008B3C14" w:rsidRPr="00CF31B8" w:rsidRDefault="008B3C14" w:rsidP="00CF31B8">
      <w:pPr>
        <w:jc w:val="both"/>
        <w:rPr>
          <w:iCs/>
        </w:rPr>
      </w:pPr>
      <w:r w:rsidRPr="00CF31B8">
        <w:rPr>
          <w:iCs/>
        </w:rPr>
        <w:t>Aagaard, K. (2018). Performance-based Research Funding in Denmark: The Adoption and Translation of the Norwegian Model. Journal of Data and Information Science, 3(4), 20–30.</w:t>
      </w:r>
    </w:p>
    <w:p w14:paraId="28CC6657" w14:textId="46785D81" w:rsidR="008B3C14" w:rsidRDefault="008B3C14" w:rsidP="00CF31B8">
      <w:pPr>
        <w:jc w:val="both"/>
        <w:rPr>
          <w:iCs/>
        </w:rPr>
      </w:pPr>
    </w:p>
    <w:p w14:paraId="4F41384C" w14:textId="77777777" w:rsidR="00137594" w:rsidRPr="00741838" w:rsidRDefault="00137594" w:rsidP="00137594">
      <w:pPr>
        <w:jc w:val="both"/>
        <w:rPr>
          <w:iCs/>
          <w:lang w:val="en-US"/>
        </w:rPr>
      </w:pPr>
      <w:r w:rsidRPr="00741838">
        <w:rPr>
          <w:iCs/>
          <w:lang w:val="en-US"/>
        </w:rPr>
        <w:t>Berg, M.,</w:t>
      </w:r>
      <w:r>
        <w:rPr>
          <w:iCs/>
          <w:lang w:val="en-US"/>
        </w:rPr>
        <w:t xml:space="preserve"> &amp;</w:t>
      </w:r>
      <w:r w:rsidRPr="00741838">
        <w:rPr>
          <w:iCs/>
          <w:lang w:val="en-US"/>
        </w:rPr>
        <w:t xml:space="preserve"> Seeber, B. K. (2016). The Slow Professor: Challenging the Culture of Speed in the Academy</w:t>
      </w:r>
      <w:r>
        <w:rPr>
          <w:iCs/>
          <w:lang w:val="en-US"/>
        </w:rPr>
        <w:t>. University of Toronto Press</w:t>
      </w:r>
    </w:p>
    <w:p w14:paraId="4FBAA5D3" w14:textId="77777777" w:rsidR="00137594" w:rsidRDefault="00137594" w:rsidP="00CF31B8">
      <w:pPr>
        <w:jc w:val="both"/>
        <w:rPr>
          <w:iCs/>
        </w:rPr>
      </w:pPr>
    </w:p>
    <w:p w14:paraId="01F5349E" w14:textId="6E8DC48F" w:rsidR="008B3C14" w:rsidRDefault="008B3C14" w:rsidP="00CF31B8">
      <w:pPr>
        <w:jc w:val="both"/>
        <w:rPr>
          <w:iCs/>
        </w:rPr>
      </w:pPr>
      <w:r w:rsidRPr="00CF31B8">
        <w:rPr>
          <w:iCs/>
        </w:rPr>
        <w:t xml:space="preserve">Bornmann, L. (2013). What is societal impact of research and how can it be assessed? a literature survey. Journal of the Association for Information Science and Technology, 64: 217-233. </w:t>
      </w:r>
    </w:p>
    <w:p w14:paraId="5AF5B235" w14:textId="77777777" w:rsidR="00193008" w:rsidRDefault="00193008" w:rsidP="00CF31B8">
      <w:pPr>
        <w:jc w:val="both"/>
        <w:rPr>
          <w:iCs/>
        </w:rPr>
      </w:pPr>
    </w:p>
    <w:p w14:paraId="36F036CA" w14:textId="6466E896" w:rsidR="008B3C14" w:rsidRPr="00CF31B8" w:rsidRDefault="008B3C14" w:rsidP="00CF31B8">
      <w:pPr>
        <w:jc w:val="both"/>
        <w:rPr>
          <w:iCs/>
        </w:rPr>
      </w:pPr>
      <w:r>
        <w:rPr>
          <w:iCs/>
        </w:rPr>
        <w:t>C</w:t>
      </w:r>
      <w:r w:rsidRPr="00CF31B8">
        <w:rPr>
          <w:iCs/>
        </w:rPr>
        <w:t>oalition for Advancing Research Assessment. 2022. “Agreement on Reforming Research Assessment”. The European Commission. https://coara.eu/agreement/the-agreement-full-text/.</w:t>
      </w:r>
    </w:p>
    <w:p w14:paraId="096AD095" w14:textId="77777777" w:rsidR="008B3C14" w:rsidRDefault="008B3C14" w:rsidP="00CF31B8">
      <w:pPr>
        <w:jc w:val="both"/>
        <w:rPr>
          <w:iCs/>
        </w:rPr>
      </w:pPr>
    </w:p>
    <w:p w14:paraId="3872AF5D" w14:textId="6F0E0F38" w:rsidR="008B3C14" w:rsidRPr="00CF31B8" w:rsidRDefault="008B3C14" w:rsidP="00CF31B8">
      <w:pPr>
        <w:jc w:val="both"/>
        <w:rPr>
          <w:iCs/>
        </w:rPr>
      </w:pPr>
      <w:r w:rsidRPr="00CF31B8">
        <w:rPr>
          <w:iCs/>
        </w:rPr>
        <w:t xml:space="preserve">DORA. 2012. “San Francisco Declaration on Research Assessment”. Declaration on Research Assessment. https://sfdora.org/read/ </w:t>
      </w:r>
    </w:p>
    <w:p w14:paraId="19BF6DB5" w14:textId="41FFD590" w:rsidR="008B3C14" w:rsidRDefault="008B3C14" w:rsidP="008B3C14">
      <w:pPr>
        <w:jc w:val="both"/>
      </w:pPr>
    </w:p>
    <w:p w14:paraId="350A7EC5" w14:textId="395A7C65" w:rsidR="009F3484" w:rsidRDefault="009F3484" w:rsidP="008B3C14">
      <w:pPr>
        <w:jc w:val="both"/>
      </w:pPr>
      <w:proofErr w:type="spellStart"/>
      <w:r w:rsidRPr="009F3484">
        <w:t>Finnemore</w:t>
      </w:r>
      <w:proofErr w:type="spellEnd"/>
      <w:r w:rsidRPr="009F3484">
        <w:t>, M</w:t>
      </w:r>
      <w:r>
        <w:t xml:space="preserve">. &amp; </w:t>
      </w:r>
      <w:proofErr w:type="spellStart"/>
      <w:r w:rsidRPr="009F3484">
        <w:t>Sikkink</w:t>
      </w:r>
      <w:proofErr w:type="spellEnd"/>
      <w:r>
        <w:t xml:space="preserve"> K.</w:t>
      </w:r>
      <w:r w:rsidRPr="009F3484">
        <w:t xml:space="preserve"> </w:t>
      </w:r>
      <w:r>
        <w:t>(</w:t>
      </w:r>
      <w:r w:rsidRPr="009F3484">
        <w:t>1998</w:t>
      </w:r>
      <w:r>
        <w:t>)</w:t>
      </w:r>
      <w:r w:rsidRPr="009F3484">
        <w:t xml:space="preserve">. “International Norm Dynamics and Political Change.” International Organization 52 (4): 887–917. </w:t>
      </w:r>
      <w:hyperlink r:id="rId14" w:history="1">
        <w:r w:rsidRPr="009F3484">
          <w:rPr>
            <w:rStyle w:val="Hyperkobling"/>
            <w:color w:val="auto"/>
            <w:u w:val="none"/>
          </w:rPr>
          <w:t>doi.org/10.1162/002081898550789</w:t>
        </w:r>
      </w:hyperlink>
      <w:r w:rsidRPr="009F3484">
        <w:t>.</w:t>
      </w:r>
    </w:p>
    <w:p w14:paraId="255488AE" w14:textId="77777777" w:rsidR="009F3484" w:rsidRDefault="009F3484" w:rsidP="008B3C14">
      <w:pPr>
        <w:jc w:val="both"/>
      </w:pPr>
    </w:p>
    <w:p w14:paraId="0EB0D7D9" w14:textId="0B55740E" w:rsidR="00137594" w:rsidRDefault="00137594" w:rsidP="008B3C14">
      <w:pPr>
        <w:jc w:val="both"/>
      </w:pPr>
      <w:r w:rsidRPr="00137594">
        <w:t xml:space="preserve">Hicks, D., Wouters, P., Waltman, L. et al. </w:t>
      </w:r>
      <w:r w:rsidR="004C3B28">
        <w:t xml:space="preserve">(2015) </w:t>
      </w:r>
      <w:r w:rsidRPr="00137594">
        <w:t>Bibliometrics: The Leiden Manifesto for research metrics. Nature 520, 429–431</w:t>
      </w:r>
      <w:r w:rsidR="004C3B28">
        <w:t xml:space="preserve">. </w:t>
      </w:r>
      <w:r w:rsidRPr="00137594">
        <w:t>doi.org/10.1038/520429a</w:t>
      </w:r>
    </w:p>
    <w:p w14:paraId="2A4F5F18" w14:textId="77777777" w:rsidR="00137594" w:rsidRDefault="00137594" w:rsidP="008B3C14">
      <w:pPr>
        <w:jc w:val="both"/>
      </w:pPr>
    </w:p>
    <w:p w14:paraId="22BE544F" w14:textId="2A55B82F" w:rsidR="008B3C14" w:rsidRDefault="008B3C14" w:rsidP="008B3C14">
      <w:pPr>
        <w:jc w:val="both"/>
      </w:pPr>
      <w:r w:rsidRPr="00931623">
        <w:t>Hill, S (2016). Assessing (for) impact: future assessment of the societal impact of research. Palgrave Communications. 2:16073</w:t>
      </w:r>
      <w:r w:rsidR="004C3B28">
        <w:t xml:space="preserve">. </w:t>
      </w:r>
      <w:r w:rsidRPr="00931623">
        <w:t xml:space="preserve"> </w:t>
      </w:r>
      <w:proofErr w:type="spellStart"/>
      <w:r w:rsidRPr="00931623">
        <w:t>doi</w:t>
      </w:r>
      <w:proofErr w:type="spellEnd"/>
      <w:r w:rsidRPr="00931623">
        <w:t>: 10.1057/</w:t>
      </w:r>
      <w:proofErr w:type="spellStart"/>
      <w:r w:rsidRPr="00931623">
        <w:t>palcomms</w:t>
      </w:r>
      <w:proofErr w:type="spellEnd"/>
      <w:r w:rsidRPr="00931623">
        <w:t>. 2016.73.</w:t>
      </w:r>
    </w:p>
    <w:p w14:paraId="42F1FF15" w14:textId="77777777" w:rsidR="008B3C14" w:rsidRDefault="008B3C14" w:rsidP="008B3C14">
      <w:pPr>
        <w:jc w:val="both"/>
      </w:pPr>
    </w:p>
    <w:p w14:paraId="7870CCB5" w14:textId="0E05575A" w:rsidR="004431E6" w:rsidRDefault="004431E6" w:rsidP="00CF31B8">
      <w:pPr>
        <w:jc w:val="both"/>
        <w:rPr>
          <w:iCs/>
        </w:rPr>
      </w:pPr>
      <w:r w:rsidRPr="004431E6">
        <w:rPr>
          <w:iCs/>
        </w:rPr>
        <w:t>Pölönen, J. (2018). Applications of, and Experiences with, the Norwegian Model in Finland. Journal of Data and Information Science, 3(4), 31–44.</w:t>
      </w:r>
    </w:p>
    <w:p w14:paraId="320C5534" w14:textId="77777777" w:rsidR="004431E6" w:rsidRDefault="004431E6" w:rsidP="00CF31B8">
      <w:pPr>
        <w:jc w:val="both"/>
        <w:rPr>
          <w:iCs/>
        </w:rPr>
      </w:pPr>
    </w:p>
    <w:p w14:paraId="12857CA3" w14:textId="735E019D" w:rsidR="008B3C14" w:rsidRDefault="008B3C14" w:rsidP="00CF31B8">
      <w:pPr>
        <w:jc w:val="both"/>
        <w:rPr>
          <w:iCs/>
        </w:rPr>
      </w:pPr>
      <w:r w:rsidRPr="00CF31B8">
        <w:rPr>
          <w:iCs/>
        </w:rPr>
        <w:t xml:space="preserve">Sivertsen, G. (2016). A bibliometric indicator with a balanced representation of all fields. In </w:t>
      </w:r>
      <w:proofErr w:type="spellStart"/>
      <w:r w:rsidRPr="00CF31B8">
        <w:rPr>
          <w:iCs/>
        </w:rPr>
        <w:t>Ràfols</w:t>
      </w:r>
      <w:proofErr w:type="spellEnd"/>
      <w:r w:rsidRPr="00CF31B8">
        <w:rPr>
          <w:iCs/>
        </w:rPr>
        <w:t xml:space="preserve">, I., </w:t>
      </w:r>
      <w:proofErr w:type="spellStart"/>
      <w:r w:rsidRPr="00CF31B8">
        <w:rPr>
          <w:iCs/>
        </w:rPr>
        <w:t>Mollas</w:t>
      </w:r>
      <w:proofErr w:type="spellEnd"/>
      <w:r w:rsidRPr="00CF31B8">
        <w:rPr>
          <w:iCs/>
        </w:rPr>
        <w:t xml:space="preserve">-Gallart, J., Castro-Martínez, E., Woolley, R. (Eds.), Proceedings of the 21ST </w:t>
      </w:r>
      <w:r w:rsidRPr="00CF31B8">
        <w:rPr>
          <w:iCs/>
        </w:rPr>
        <w:lastRenderedPageBreak/>
        <w:t xml:space="preserve">International Conference on Science and Technology Indicators </w:t>
      </w:r>
      <w:r w:rsidR="004C3B28">
        <w:rPr>
          <w:iCs/>
        </w:rPr>
        <w:t>(</w:t>
      </w:r>
      <w:r w:rsidRPr="00CF31B8">
        <w:rPr>
          <w:iCs/>
        </w:rPr>
        <w:t xml:space="preserve">910-914). Valencia: Editorial </w:t>
      </w:r>
      <w:proofErr w:type="spellStart"/>
      <w:r w:rsidRPr="00CF31B8">
        <w:rPr>
          <w:iCs/>
        </w:rPr>
        <w:t>Universitat</w:t>
      </w:r>
      <w:proofErr w:type="spellEnd"/>
      <w:r w:rsidRPr="00CF31B8">
        <w:rPr>
          <w:iCs/>
        </w:rPr>
        <w:t xml:space="preserve"> </w:t>
      </w:r>
      <w:proofErr w:type="spellStart"/>
      <w:r w:rsidRPr="00CF31B8">
        <w:rPr>
          <w:iCs/>
        </w:rPr>
        <w:t>Politècnica</w:t>
      </w:r>
      <w:proofErr w:type="spellEnd"/>
      <w:r w:rsidRPr="00CF31B8">
        <w:rPr>
          <w:iCs/>
        </w:rPr>
        <w:t xml:space="preserve"> de </w:t>
      </w:r>
      <w:proofErr w:type="spellStart"/>
      <w:r w:rsidRPr="00CF31B8">
        <w:rPr>
          <w:iCs/>
        </w:rPr>
        <w:t>València</w:t>
      </w:r>
      <w:proofErr w:type="spellEnd"/>
      <w:r w:rsidRPr="00CF31B8">
        <w:rPr>
          <w:iCs/>
        </w:rPr>
        <w:t>.</w:t>
      </w:r>
    </w:p>
    <w:p w14:paraId="2996CD00" w14:textId="77777777" w:rsidR="00646FA9" w:rsidRDefault="00646FA9" w:rsidP="00CF31B8">
      <w:pPr>
        <w:jc w:val="both"/>
        <w:rPr>
          <w:iCs/>
        </w:rPr>
      </w:pPr>
    </w:p>
    <w:p w14:paraId="456C43AF" w14:textId="4543947B" w:rsidR="00646FA9" w:rsidRDefault="00646FA9" w:rsidP="00CF31B8">
      <w:pPr>
        <w:jc w:val="both"/>
        <w:rPr>
          <w:iCs/>
        </w:rPr>
      </w:pPr>
      <w:r w:rsidRPr="00646FA9">
        <w:rPr>
          <w:iCs/>
        </w:rPr>
        <w:t>Sivertsen, G. (2017). Unique, but still best practice? The Research Excellence Framework (REF) from an international perspective. Palgrave Communications, 3: 17078, doi:10.1057/palcomms.2017.78</w:t>
      </w:r>
    </w:p>
    <w:p w14:paraId="45302AD9" w14:textId="77777777" w:rsidR="004431E6" w:rsidRDefault="004431E6" w:rsidP="00CF31B8">
      <w:pPr>
        <w:jc w:val="both"/>
        <w:rPr>
          <w:iCs/>
        </w:rPr>
      </w:pPr>
    </w:p>
    <w:p w14:paraId="6DF2E8EC" w14:textId="16E54065" w:rsidR="004431E6" w:rsidRDefault="004431E6" w:rsidP="00CF31B8">
      <w:pPr>
        <w:jc w:val="both"/>
        <w:rPr>
          <w:iCs/>
        </w:rPr>
      </w:pPr>
      <w:r w:rsidRPr="004431E6">
        <w:rPr>
          <w:iCs/>
        </w:rPr>
        <w:t>Sivertsen, G. (2018). The Norwegian Model in Norway. Journal of Data and Information Science, 3(4), 2-18.</w:t>
      </w:r>
    </w:p>
    <w:p w14:paraId="6B343631" w14:textId="77777777" w:rsidR="00CF0BB0" w:rsidRDefault="00CF0BB0" w:rsidP="00CF31B8">
      <w:pPr>
        <w:jc w:val="both"/>
        <w:rPr>
          <w:iCs/>
        </w:rPr>
      </w:pPr>
    </w:p>
    <w:p w14:paraId="78D8F09F" w14:textId="359096C7" w:rsidR="00CF0BB0" w:rsidRPr="00CF31B8" w:rsidRDefault="00CF0BB0" w:rsidP="00CF31B8">
      <w:pPr>
        <w:jc w:val="both"/>
        <w:rPr>
          <w:iCs/>
        </w:rPr>
      </w:pPr>
      <w:r w:rsidRPr="00CF0BB0">
        <w:rPr>
          <w:iCs/>
        </w:rPr>
        <w:t xml:space="preserve">Sivertsen, G. (2019). Developing Current Research Information Systems (CRIS) as Data Sources for Studies of Research. In Glänzel, W., Moed, H.F., </w:t>
      </w:r>
      <w:proofErr w:type="spellStart"/>
      <w:r w:rsidRPr="00CF0BB0">
        <w:rPr>
          <w:iCs/>
        </w:rPr>
        <w:t>Schmoch</w:t>
      </w:r>
      <w:proofErr w:type="spellEnd"/>
      <w:r w:rsidRPr="00CF0BB0">
        <w:rPr>
          <w:iCs/>
        </w:rPr>
        <w:t>, U., Thelwall, M. (Eds.), Springer Handbook of Science and Technology Indicators (</w:t>
      </w:r>
      <w:r w:rsidR="004C3B28">
        <w:rPr>
          <w:iCs/>
        </w:rPr>
        <w:t xml:space="preserve">pp. </w:t>
      </w:r>
      <w:r w:rsidRPr="00CF0BB0">
        <w:rPr>
          <w:iCs/>
        </w:rPr>
        <w:t>667-683). Cham: Springer.</w:t>
      </w:r>
    </w:p>
    <w:p w14:paraId="2026521F" w14:textId="77777777" w:rsidR="008B3C14" w:rsidRDefault="008B3C14" w:rsidP="008B3C14">
      <w:pPr>
        <w:jc w:val="both"/>
      </w:pPr>
    </w:p>
    <w:p w14:paraId="194AAB1C" w14:textId="7929376A" w:rsidR="008B3C14" w:rsidRDefault="008B3C14" w:rsidP="00CF31B8">
      <w:pPr>
        <w:jc w:val="both"/>
        <w:rPr>
          <w:iCs/>
        </w:rPr>
      </w:pPr>
      <w:r w:rsidRPr="00CF31B8">
        <w:rPr>
          <w:iCs/>
        </w:rPr>
        <w:t>Sivertsen, G., Rousseau, R., Zhang, L. (2019). Measuring Scientific Production with Modified Fractional Counting. Journal of Informetrics, 13(2): 679-694.</w:t>
      </w:r>
    </w:p>
    <w:p w14:paraId="42A4AFFB" w14:textId="77777777" w:rsidR="00646FA9" w:rsidRDefault="00646FA9" w:rsidP="00CF31B8">
      <w:pPr>
        <w:jc w:val="both"/>
        <w:rPr>
          <w:iCs/>
        </w:rPr>
      </w:pPr>
    </w:p>
    <w:p w14:paraId="243E36A7" w14:textId="77777777" w:rsidR="00646FA9" w:rsidRDefault="00646FA9" w:rsidP="00646FA9">
      <w:pPr>
        <w:jc w:val="both"/>
      </w:pPr>
      <w:r w:rsidRPr="00931623">
        <w:t>Sivertsen, G., &amp; Meijer, I. (20</w:t>
      </w:r>
      <w:r>
        <w:t>20</w:t>
      </w:r>
      <w:r w:rsidRPr="00931623">
        <w:t>). Normal versus extraordinary societal impact: how to understand, evaluate, and improve research activities in their relations to society? Research Evaluation</w:t>
      </w:r>
      <w:r>
        <w:t>,</w:t>
      </w:r>
      <w:r w:rsidRPr="008B3C14">
        <w:t xml:space="preserve"> 66–70</w:t>
      </w:r>
      <w:r>
        <w:t>.</w:t>
      </w:r>
    </w:p>
    <w:p w14:paraId="74ACCCEB" w14:textId="77777777" w:rsidR="00646FA9" w:rsidRPr="00CF31B8" w:rsidRDefault="00646FA9" w:rsidP="00CF31B8">
      <w:pPr>
        <w:jc w:val="both"/>
        <w:rPr>
          <w:iCs/>
        </w:rPr>
      </w:pPr>
    </w:p>
    <w:p w14:paraId="13940172" w14:textId="05D9F1FA" w:rsidR="00646FA9" w:rsidRDefault="00646FA9" w:rsidP="00646FA9">
      <w:pPr>
        <w:jc w:val="both"/>
      </w:pPr>
      <w:r>
        <w:t xml:space="preserve">Sivertsen, G. &amp; Rushforth, A. (2022). </w:t>
      </w:r>
      <w:r w:rsidRPr="008B3C14">
        <w:t>The new European reform of research assessment</w:t>
      </w:r>
      <w:r>
        <w:t xml:space="preserve">. </w:t>
      </w:r>
      <w:r w:rsidRPr="008B3C14">
        <w:t>R-QUEST Policy Brief no. 7</w:t>
      </w:r>
      <w:r>
        <w:t xml:space="preserve"> </w:t>
      </w:r>
      <w:hyperlink r:id="rId15" w:history="1">
        <w:r w:rsidR="007B23FE" w:rsidRPr="00AC52EC">
          <w:rPr>
            <w:rStyle w:val="Hyperkobling"/>
          </w:rPr>
          <w:t>https://www.r-quest.no/policy-briefs/</w:t>
        </w:r>
      </w:hyperlink>
    </w:p>
    <w:p w14:paraId="7D93D05B" w14:textId="77777777" w:rsidR="007B23FE" w:rsidRDefault="007B23FE" w:rsidP="00646FA9">
      <w:pPr>
        <w:jc w:val="both"/>
      </w:pPr>
    </w:p>
    <w:p w14:paraId="3A2BEA18" w14:textId="764C1FFB" w:rsidR="007B23FE" w:rsidRPr="00173EAD" w:rsidRDefault="007B23FE" w:rsidP="00646FA9">
      <w:pPr>
        <w:jc w:val="both"/>
      </w:pPr>
      <w:r w:rsidRPr="007B23FE">
        <w:t xml:space="preserve">Sivertsen, G. (2023). Performance-based research funding and its impacts on research organizations. In: </w:t>
      </w:r>
      <w:proofErr w:type="spellStart"/>
      <w:r w:rsidRPr="007B23FE">
        <w:t>Lepori</w:t>
      </w:r>
      <w:proofErr w:type="spellEnd"/>
      <w:r w:rsidRPr="007B23FE">
        <w:t xml:space="preserve"> B., Jongbloed B., and Hicks D. (Eds). Handbook of Public Research Funding, Edward Elgar Publishing, pp. 90-107.</w:t>
      </w:r>
    </w:p>
    <w:p w14:paraId="6331C8FF" w14:textId="77777777" w:rsidR="008B3C14" w:rsidRDefault="008B3C14" w:rsidP="00CF31B8">
      <w:pPr>
        <w:jc w:val="both"/>
        <w:rPr>
          <w:iCs/>
        </w:rPr>
      </w:pPr>
    </w:p>
    <w:p w14:paraId="6093064B" w14:textId="55B3863E" w:rsidR="008B3C14" w:rsidRPr="008B4591" w:rsidRDefault="008B3C14" w:rsidP="00CF31B8">
      <w:pPr>
        <w:jc w:val="both"/>
        <w:rPr>
          <w:iCs/>
          <w:lang w:val="da-DK"/>
        </w:rPr>
      </w:pPr>
      <w:r w:rsidRPr="00CF31B8">
        <w:rPr>
          <w:iCs/>
        </w:rPr>
        <w:t xml:space="preserve">Thelwall, M. (2021). Measuring societal impacts of research with </w:t>
      </w:r>
      <w:proofErr w:type="spellStart"/>
      <w:r w:rsidRPr="00CF31B8">
        <w:rPr>
          <w:iCs/>
        </w:rPr>
        <w:t>altmetrics</w:t>
      </w:r>
      <w:proofErr w:type="spellEnd"/>
      <w:r w:rsidRPr="00CF31B8">
        <w:rPr>
          <w:iCs/>
        </w:rPr>
        <w:t xml:space="preserve">? </w:t>
      </w:r>
      <w:r w:rsidRPr="008B4591">
        <w:rPr>
          <w:iCs/>
          <w:lang w:val="da-DK"/>
        </w:rPr>
        <w:t xml:space="preserve">Common problems and mistakes. Journal of Economic Surveys, 35: 1302-1314. </w:t>
      </w:r>
    </w:p>
    <w:p w14:paraId="6C42AC8F" w14:textId="77777777" w:rsidR="008B3C14" w:rsidRDefault="008B3C14" w:rsidP="00CF31B8">
      <w:pPr>
        <w:jc w:val="both"/>
        <w:rPr>
          <w:iCs/>
          <w:lang w:val="da-DK"/>
        </w:rPr>
      </w:pPr>
    </w:p>
    <w:p w14:paraId="03656323" w14:textId="0E54E5C0" w:rsidR="008B3C14" w:rsidRDefault="008B3C14" w:rsidP="00CF31B8">
      <w:pPr>
        <w:jc w:val="both"/>
        <w:rPr>
          <w:iCs/>
          <w:lang w:val="da-DK"/>
        </w:rPr>
      </w:pPr>
      <w:r w:rsidRPr="00CF31B8">
        <w:rPr>
          <w:iCs/>
          <w:lang w:val="da-DK"/>
        </w:rPr>
        <w:t xml:space="preserve">Uddannelses- og Forskningsministeriet. 2019. Fremtidssikring af forskningskvalitet - Ekspertudvalget for resultatbaseret fordeling af basismidler til forskning. </w:t>
      </w:r>
      <w:r w:rsidRPr="008B4591">
        <w:rPr>
          <w:iCs/>
          <w:lang w:val="da-DK"/>
        </w:rPr>
        <w:t>København K.: Uddannelses- og Forskningsministeriet.</w:t>
      </w:r>
    </w:p>
    <w:p w14:paraId="69FEA13B" w14:textId="687C5442" w:rsidR="00137594" w:rsidRDefault="00137594" w:rsidP="00CF31B8">
      <w:pPr>
        <w:jc w:val="both"/>
        <w:rPr>
          <w:iCs/>
          <w:lang w:val="da-DK"/>
        </w:rPr>
      </w:pPr>
    </w:p>
    <w:p w14:paraId="04B9638A" w14:textId="1B05CCCF" w:rsidR="00137594" w:rsidRPr="009D72D5" w:rsidRDefault="00137594" w:rsidP="00CF31B8">
      <w:pPr>
        <w:jc w:val="both"/>
        <w:rPr>
          <w:iCs/>
          <w:lang w:val="en-US"/>
        </w:rPr>
      </w:pPr>
      <w:r w:rsidRPr="0010097D">
        <w:rPr>
          <w:iCs/>
          <w:lang w:val="da-DK"/>
        </w:rPr>
        <w:t xml:space="preserve">Vincent, J (2022). Beyond Measure: The Hidden History of Measurement. </w:t>
      </w:r>
      <w:r w:rsidRPr="009D72D5">
        <w:rPr>
          <w:iCs/>
          <w:lang w:val="en-US"/>
        </w:rPr>
        <w:t>London. Faber &amp; Faber Limited</w:t>
      </w:r>
    </w:p>
    <w:p w14:paraId="1D3B4E94" w14:textId="77777777" w:rsidR="008B3C14" w:rsidRPr="009D72D5" w:rsidRDefault="008B3C14" w:rsidP="00CF31B8">
      <w:pPr>
        <w:jc w:val="both"/>
        <w:rPr>
          <w:iCs/>
          <w:lang w:val="en-US"/>
        </w:rPr>
      </w:pPr>
    </w:p>
    <w:p w14:paraId="6398DACD" w14:textId="54E2D612" w:rsidR="008B3C14" w:rsidRDefault="008B3C14" w:rsidP="00CF31B8">
      <w:pPr>
        <w:jc w:val="both"/>
        <w:rPr>
          <w:iCs/>
        </w:rPr>
      </w:pPr>
      <w:r w:rsidRPr="009D72D5">
        <w:rPr>
          <w:iCs/>
          <w:lang w:val="en-US"/>
        </w:rPr>
        <w:t xml:space="preserve">Waltman, L., van Eck, N.J. (2015). </w:t>
      </w:r>
      <w:r w:rsidRPr="00CF31B8">
        <w:rPr>
          <w:iCs/>
        </w:rPr>
        <w:t>Field-normalized citation impact indicators and the choice of an appropriate counting method. Journal of Informetrics, 9(4), 872-894.</w:t>
      </w:r>
    </w:p>
    <w:p w14:paraId="08D3B52C" w14:textId="759E7753" w:rsidR="008B3C14" w:rsidRDefault="008B3C14" w:rsidP="001E6C61">
      <w:pPr>
        <w:jc w:val="both"/>
        <w:rPr>
          <w:iCs/>
        </w:rPr>
      </w:pPr>
    </w:p>
    <w:p w14:paraId="43811985" w14:textId="3C3134F0" w:rsidR="009F3484" w:rsidRDefault="009F3484" w:rsidP="004C3B28">
      <w:pPr>
        <w:rPr>
          <w:iCs/>
        </w:rPr>
      </w:pPr>
      <w:proofErr w:type="spellStart"/>
      <w:r w:rsidRPr="009F3484">
        <w:rPr>
          <w:iCs/>
        </w:rPr>
        <w:t>Zwingel</w:t>
      </w:r>
      <w:proofErr w:type="spellEnd"/>
      <w:r w:rsidRPr="009F3484">
        <w:rPr>
          <w:iCs/>
        </w:rPr>
        <w:t>, S</w:t>
      </w:r>
      <w:r>
        <w:rPr>
          <w:iCs/>
        </w:rPr>
        <w:t>. (</w:t>
      </w:r>
      <w:r w:rsidRPr="009F3484">
        <w:rPr>
          <w:iCs/>
        </w:rPr>
        <w:t>2017</w:t>
      </w:r>
      <w:r>
        <w:rPr>
          <w:iCs/>
        </w:rPr>
        <w:t>)</w:t>
      </w:r>
      <w:r w:rsidRPr="009F3484">
        <w:rPr>
          <w:iCs/>
        </w:rPr>
        <w:t xml:space="preserve">. “Women’s Rights Norms as Content-in-Motion and Incomplete Practice.” Third World </w:t>
      </w:r>
      <w:proofErr w:type="spellStart"/>
      <w:r w:rsidRPr="009F3484">
        <w:rPr>
          <w:iCs/>
        </w:rPr>
        <w:t>Thematics</w:t>
      </w:r>
      <w:proofErr w:type="spellEnd"/>
      <w:r w:rsidRPr="009F3484">
        <w:rPr>
          <w:iCs/>
        </w:rPr>
        <w:t>: A TWQ Journal 2 (5):</w:t>
      </w:r>
      <w:r w:rsidR="004C3B28">
        <w:rPr>
          <w:iCs/>
        </w:rPr>
        <w:t xml:space="preserve"> </w:t>
      </w:r>
      <w:r w:rsidRPr="009F3484">
        <w:rPr>
          <w:iCs/>
        </w:rPr>
        <w:t>675–90.</w:t>
      </w:r>
      <w:r>
        <w:rPr>
          <w:iCs/>
        </w:rPr>
        <w:t xml:space="preserve"> doi.org/10.1080/23802014.2017.1365625.</w:t>
      </w:r>
    </w:p>
    <w:p w14:paraId="139B825D" w14:textId="77777777" w:rsidR="008B3C14" w:rsidRDefault="008B3C14" w:rsidP="001E6C61">
      <w:pPr>
        <w:jc w:val="both"/>
        <w:rPr>
          <w:iCs/>
        </w:rPr>
      </w:pPr>
    </w:p>
    <w:p w14:paraId="6915C807" w14:textId="77777777" w:rsidR="00DF037E" w:rsidRDefault="00DF037E">
      <w:pPr>
        <w:jc w:val="both"/>
      </w:pPr>
    </w:p>
    <w:sectPr w:rsidR="00DF037E"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9F1A" w14:textId="77777777" w:rsidR="003D50FC" w:rsidRDefault="003D50FC">
      <w:r>
        <w:separator/>
      </w:r>
    </w:p>
  </w:endnote>
  <w:endnote w:type="continuationSeparator" w:id="0">
    <w:p w14:paraId="6E84BE00" w14:textId="77777777" w:rsidR="003D50FC" w:rsidRDefault="003D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9655" w14:textId="77777777" w:rsidR="003D50FC" w:rsidRDefault="003D50FC">
      <w:r>
        <w:separator/>
      </w:r>
    </w:p>
  </w:footnote>
  <w:footnote w:type="continuationSeparator" w:id="0">
    <w:p w14:paraId="1CC0FF8A" w14:textId="77777777" w:rsidR="003D50FC" w:rsidRDefault="003D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07915"/>
    <w:rsid w:val="00011A64"/>
    <w:rsid w:val="00012415"/>
    <w:rsid w:val="00015A7B"/>
    <w:rsid w:val="00016081"/>
    <w:rsid w:val="00017E9F"/>
    <w:rsid w:val="000224AE"/>
    <w:rsid w:val="00022F49"/>
    <w:rsid w:val="000249CF"/>
    <w:rsid w:val="00031C69"/>
    <w:rsid w:val="00045BBE"/>
    <w:rsid w:val="000478D3"/>
    <w:rsid w:val="00047EA7"/>
    <w:rsid w:val="0005019A"/>
    <w:rsid w:val="00050CA8"/>
    <w:rsid w:val="00052AB9"/>
    <w:rsid w:val="00052D95"/>
    <w:rsid w:val="00052E3A"/>
    <w:rsid w:val="00053E2D"/>
    <w:rsid w:val="0005460D"/>
    <w:rsid w:val="000554F6"/>
    <w:rsid w:val="000574E2"/>
    <w:rsid w:val="00062E6E"/>
    <w:rsid w:val="00065B74"/>
    <w:rsid w:val="00066FBE"/>
    <w:rsid w:val="0007324D"/>
    <w:rsid w:val="00075AF7"/>
    <w:rsid w:val="00077816"/>
    <w:rsid w:val="000814C4"/>
    <w:rsid w:val="00081D4D"/>
    <w:rsid w:val="000850CC"/>
    <w:rsid w:val="00091595"/>
    <w:rsid w:val="00093969"/>
    <w:rsid w:val="00094E04"/>
    <w:rsid w:val="000959D6"/>
    <w:rsid w:val="000A0333"/>
    <w:rsid w:val="000A2344"/>
    <w:rsid w:val="000A318E"/>
    <w:rsid w:val="000A4A9F"/>
    <w:rsid w:val="000A7D48"/>
    <w:rsid w:val="000B257D"/>
    <w:rsid w:val="000B323A"/>
    <w:rsid w:val="000B42A5"/>
    <w:rsid w:val="000B60E2"/>
    <w:rsid w:val="000C0E34"/>
    <w:rsid w:val="000C1967"/>
    <w:rsid w:val="000C25AF"/>
    <w:rsid w:val="000C38C7"/>
    <w:rsid w:val="000C580C"/>
    <w:rsid w:val="000D032E"/>
    <w:rsid w:val="000D06B6"/>
    <w:rsid w:val="000D460F"/>
    <w:rsid w:val="000D7055"/>
    <w:rsid w:val="000E529B"/>
    <w:rsid w:val="000F06D8"/>
    <w:rsid w:val="000F6691"/>
    <w:rsid w:val="000F6984"/>
    <w:rsid w:val="0010097D"/>
    <w:rsid w:val="00102B3D"/>
    <w:rsid w:val="00105061"/>
    <w:rsid w:val="00105A1D"/>
    <w:rsid w:val="00112206"/>
    <w:rsid w:val="001134D8"/>
    <w:rsid w:val="001138CA"/>
    <w:rsid w:val="00114B5D"/>
    <w:rsid w:val="00114E43"/>
    <w:rsid w:val="00120169"/>
    <w:rsid w:val="00122012"/>
    <w:rsid w:val="00137594"/>
    <w:rsid w:val="001402B3"/>
    <w:rsid w:val="0014050D"/>
    <w:rsid w:val="00143C80"/>
    <w:rsid w:val="00157749"/>
    <w:rsid w:val="001607FA"/>
    <w:rsid w:val="00161230"/>
    <w:rsid w:val="001642A0"/>
    <w:rsid w:val="001647BC"/>
    <w:rsid w:val="00166343"/>
    <w:rsid w:val="00166D27"/>
    <w:rsid w:val="00167421"/>
    <w:rsid w:val="00173EAD"/>
    <w:rsid w:val="00175488"/>
    <w:rsid w:val="001806D7"/>
    <w:rsid w:val="00185592"/>
    <w:rsid w:val="00186CF6"/>
    <w:rsid w:val="00193008"/>
    <w:rsid w:val="001A6BC1"/>
    <w:rsid w:val="001A6F06"/>
    <w:rsid w:val="001B4ED8"/>
    <w:rsid w:val="001D05DC"/>
    <w:rsid w:val="001D08F7"/>
    <w:rsid w:val="001D4C64"/>
    <w:rsid w:val="001D7CC8"/>
    <w:rsid w:val="001E568F"/>
    <w:rsid w:val="001E6290"/>
    <w:rsid w:val="001E665E"/>
    <w:rsid w:val="001E6C61"/>
    <w:rsid w:val="001E7BDB"/>
    <w:rsid w:val="001F332D"/>
    <w:rsid w:val="001F578C"/>
    <w:rsid w:val="001F7644"/>
    <w:rsid w:val="001F7936"/>
    <w:rsid w:val="0020033E"/>
    <w:rsid w:val="00202745"/>
    <w:rsid w:val="00206CFD"/>
    <w:rsid w:val="002127DC"/>
    <w:rsid w:val="00216E91"/>
    <w:rsid w:val="002172D4"/>
    <w:rsid w:val="0021754A"/>
    <w:rsid w:val="00222178"/>
    <w:rsid w:val="0022290C"/>
    <w:rsid w:val="00224518"/>
    <w:rsid w:val="00224814"/>
    <w:rsid w:val="00225EAE"/>
    <w:rsid w:val="002262D8"/>
    <w:rsid w:val="00227B2B"/>
    <w:rsid w:val="00233848"/>
    <w:rsid w:val="00241B51"/>
    <w:rsid w:val="002570BB"/>
    <w:rsid w:val="00257F4E"/>
    <w:rsid w:val="00260B55"/>
    <w:rsid w:val="00261971"/>
    <w:rsid w:val="00261E9B"/>
    <w:rsid w:val="00264F48"/>
    <w:rsid w:val="00276CC7"/>
    <w:rsid w:val="00277126"/>
    <w:rsid w:val="0028410F"/>
    <w:rsid w:val="002865E1"/>
    <w:rsid w:val="0029109C"/>
    <w:rsid w:val="00291BD4"/>
    <w:rsid w:val="0029211E"/>
    <w:rsid w:val="00293DA3"/>
    <w:rsid w:val="002943CA"/>
    <w:rsid w:val="002A1AE0"/>
    <w:rsid w:val="002B1950"/>
    <w:rsid w:val="002B248C"/>
    <w:rsid w:val="002C0655"/>
    <w:rsid w:val="002C0AF9"/>
    <w:rsid w:val="002C0FA2"/>
    <w:rsid w:val="002C1745"/>
    <w:rsid w:val="002C2776"/>
    <w:rsid w:val="002C342A"/>
    <w:rsid w:val="002C3DF3"/>
    <w:rsid w:val="002C42CE"/>
    <w:rsid w:val="002D1B17"/>
    <w:rsid w:val="002D33F7"/>
    <w:rsid w:val="002D3BE4"/>
    <w:rsid w:val="002D3C7C"/>
    <w:rsid w:val="002D4775"/>
    <w:rsid w:val="002D710E"/>
    <w:rsid w:val="002E6CFC"/>
    <w:rsid w:val="002E7904"/>
    <w:rsid w:val="002F0385"/>
    <w:rsid w:val="002F1B42"/>
    <w:rsid w:val="002F243C"/>
    <w:rsid w:val="002F29CA"/>
    <w:rsid w:val="002F35AA"/>
    <w:rsid w:val="002F5FD2"/>
    <w:rsid w:val="00302F1D"/>
    <w:rsid w:val="00310C0B"/>
    <w:rsid w:val="0031202E"/>
    <w:rsid w:val="003124AD"/>
    <w:rsid w:val="003127D0"/>
    <w:rsid w:val="00314ADC"/>
    <w:rsid w:val="00320054"/>
    <w:rsid w:val="00320C5D"/>
    <w:rsid w:val="003252EA"/>
    <w:rsid w:val="00325CFD"/>
    <w:rsid w:val="0033190B"/>
    <w:rsid w:val="003327E5"/>
    <w:rsid w:val="00345E92"/>
    <w:rsid w:val="00346A57"/>
    <w:rsid w:val="00351AF2"/>
    <w:rsid w:val="0035307C"/>
    <w:rsid w:val="0035605A"/>
    <w:rsid w:val="00357021"/>
    <w:rsid w:val="0035711D"/>
    <w:rsid w:val="00363B20"/>
    <w:rsid w:val="003679B2"/>
    <w:rsid w:val="00370126"/>
    <w:rsid w:val="00371ACD"/>
    <w:rsid w:val="00373570"/>
    <w:rsid w:val="00382F1B"/>
    <w:rsid w:val="00383A87"/>
    <w:rsid w:val="00386A33"/>
    <w:rsid w:val="00387850"/>
    <w:rsid w:val="00390253"/>
    <w:rsid w:val="00394E67"/>
    <w:rsid w:val="00395199"/>
    <w:rsid w:val="003960AE"/>
    <w:rsid w:val="00397DAC"/>
    <w:rsid w:val="003A19F0"/>
    <w:rsid w:val="003B1455"/>
    <w:rsid w:val="003B4400"/>
    <w:rsid w:val="003B6383"/>
    <w:rsid w:val="003C30AF"/>
    <w:rsid w:val="003C4345"/>
    <w:rsid w:val="003C5313"/>
    <w:rsid w:val="003C6EF5"/>
    <w:rsid w:val="003C76AF"/>
    <w:rsid w:val="003D1C80"/>
    <w:rsid w:val="003D50FC"/>
    <w:rsid w:val="003D6D68"/>
    <w:rsid w:val="003D70E8"/>
    <w:rsid w:val="003E2C9D"/>
    <w:rsid w:val="003E3AE8"/>
    <w:rsid w:val="003E5732"/>
    <w:rsid w:val="003E7AC5"/>
    <w:rsid w:val="003F00F5"/>
    <w:rsid w:val="003F3630"/>
    <w:rsid w:val="004029B3"/>
    <w:rsid w:val="00402C81"/>
    <w:rsid w:val="004057FC"/>
    <w:rsid w:val="00406A4C"/>
    <w:rsid w:val="004145DC"/>
    <w:rsid w:val="00416CC4"/>
    <w:rsid w:val="0041774F"/>
    <w:rsid w:val="00420106"/>
    <w:rsid w:val="004209A3"/>
    <w:rsid w:val="00426D1D"/>
    <w:rsid w:val="00427092"/>
    <w:rsid w:val="00427459"/>
    <w:rsid w:val="00430FC6"/>
    <w:rsid w:val="0043348A"/>
    <w:rsid w:val="004351F5"/>
    <w:rsid w:val="0044073E"/>
    <w:rsid w:val="004424F0"/>
    <w:rsid w:val="004431E6"/>
    <w:rsid w:val="00445337"/>
    <w:rsid w:val="00445A23"/>
    <w:rsid w:val="00446BEF"/>
    <w:rsid w:val="00451AA5"/>
    <w:rsid w:val="0045560F"/>
    <w:rsid w:val="00457C9C"/>
    <w:rsid w:val="00466FB0"/>
    <w:rsid w:val="00471526"/>
    <w:rsid w:val="004725C8"/>
    <w:rsid w:val="00475931"/>
    <w:rsid w:val="00476505"/>
    <w:rsid w:val="00482B94"/>
    <w:rsid w:val="004853DA"/>
    <w:rsid w:val="00491953"/>
    <w:rsid w:val="00494B6D"/>
    <w:rsid w:val="00495519"/>
    <w:rsid w:val="004971AB"/>
    <w:rsid w:val="004A2ECA"/>
    <w:rsid w:val="004B24AE"/>
    <w:rsid w:val="004C3B28"/>
    <w:rsid w:val="004C5B0D"/>
    <w:rsid w:val="004C767B"/>
    <w:rsid w:val="004D1F4D"/>
    <w:rsid w:val="004D4532"/>
    <w:rsid w:val="004E212B"/>
    <w:rsid w:val="004E56AC"/>
    <w:rsid w:val="004E727D"/>
    <w:rsid w:val="004F0E03"/>
    <w:rsid w:val="004F4CAE"/>
    <w:rsid w:val="004F612A"/>
    <w:rsid w:val="0050567D"/>
    <w:rsid w:val="00507C9C"/>
    <w:rsid w:val="00510826"/>
    <w:rsid w:val="005110DD"/>
    <w:rsid w:val="0051372B"/>
    <w:rsid w:val="005170CD"/>
    <w:rsid w:val="005172F9"/>
    <w:rsid w:val="00517FCF"/>
    <w:rsid w:val="0052256C"/>
    <w:rsid w:val="00522BF8"/>
    <w:rsid w:val="0052652A"/>
    <w:rsid w:val="005301D0"/>
    <w:rsid w:val="00532C65"/>
    <w:rsid w:val="0053603D"/>
    <w:rsid w:val="0054026B"/>
    <w:rsid w:val="00542798"/>
    <w:rsid w:val="0054666D"/>
    <w:rsid w:val="0055141C"/>
    <w:rsid w:val="00554E8F"/>
    <w:rsid w:val="00555773"/>
    <w:rsid w:val="00560323"/>
    <w:rsid w:val="00560E6E"/>
    <w:rsid w:val="005614D5"/>
    <w:rsid w:val="0056499E"/>
    <w:rsid w:val="00570E3F"/>
    <w:rsid w:val="00572E3E"/>
    <w:rsid w:val="005736CB"/>
    <w:rsid w:val="0057717C"/>
    <w:rsid w:val="00580DD9"/>
    <w:rsid w:val="00586854"/>
    <w:rsid w:val="0058753E"/>
    <w:rsid w:val="00593892"/>
    <w:rsid w:val="0059418E"/>
    <w:rsid w:val="00595181"/>
    <w:rsid w:val="00595AC4"/>
    <w:rsid w:val="00596F60"/>
    <w:rsid w:val="00597BA0"/>
    <w:rsid w:val="00597BB2"/>
    <w:rsid w:val="005A1BF2"/>
    <w:rsid w:val="005B3511"/>
    <w:rsid w:val="005C1459"/>
    <w:rsid w:val="005C25C7"/>
    <w:rsid w:val="005C2AF7"/>
    <w:rsid w:val="005C3201"/>
    <w:rsid w:val="005C6A9C"/>
    <w:rsid w:val="005D39DB"/>
    <w:rsid w:val="005E0893"/>
    <w:rsid w:val="005E6AAB"/>
    <w:rsid w:val="00603553"/>
    <w:rsid w:val="00605A07"/>
    <w:rsid w:val="00606575"/>
    <w:rsid w:val="0060712B"/>
    <w:rsid w:val="00611F08"/>
    <w:rsid w:val="00614ED0"/>
    <w:rsid w:val="00615F47"/>
    <w:rsid w:val="00616494"/>
    <w:rsid w:val="0063059A"/>
    <w:rsid w:val="00630E29"/>
    <w:rsid w:val="00632972"/>
    <w:rsid w:val="0063363B"/>
    <w:rsid w:val="00644E40"/>
    <w:rsid w:val="00646543"/>
    <w:rsid w:val="00646FA9"/>
    <w:rsid w:val="00647A0B"/>
    <w:rsid w:val="006510F8"/>
    <w:rsid w:val="006513C3"/>
    <w:rsid w:val="00651E0F"/>
    <w:rsid w:val="00652873"/>
    <w:rsid w:val="006532FE"/>
    <w:rsid w:val="006609A8"/>
    <w:rsid w:val="0066157A"/>
    <w:rsid w:val="00662AF1"/>
    <w:rsid w:val="00663AC3"/>
    <w:rsid w:val="00681AAA"/>
    <w:rsid w:val="00684B8B"/>
    <w:rsid w:val="00685395"/>
    <w:rsid w:val="0069005E"/>
    <w:rsid w:val="00697618"/>
    <w:rsid w:val="006A3370"/>
    <w:rsid w:val="006B216D"/>
    <w:rsid w:val="006C2590"/>
    <w:rsid w:val="006C2970"/>
    <w:rsid w:val="006C40B1"/>
    <w:rsid w:val="006C4744"/>
    <w:rsid w:val="006C7584"/>
    <w:rsid w:val="006D0A07"/>
    <w:rsid w:val="006D14F4"/>
    <w:rsid w:val="006D620C"/>
    <w:rsid w:val="006E3538"/>
    <w:rsid w:val="006E3C31"/>
    <w:rsid w:val="006E3FD1"/>
    <w:rsid w:val="006E56F6"/>
    <w:rsid w:val="006E7E5A"/>
    <w:rsid w:val="006F487B"/>
    <w:rsid w:val="00701159"/>
    <w:rsid w:val="00704155"/>
    <w:rsid w:val="007042BB"/>
    <w:rsid w:val="007053E7"/>
    <w:rsid w:val="007155F7"/>
    <w:rsid w:val="0071611D"/>
    <w:rsid w:val="00717C54"/>
    <w:rsid w:val="007228AC"/>
    <w:rsid w:val="007330B1"/>
    <w:rsid w:val="0073347A"/>
    <w:rsid w:val="00736A88"/>
    <w:rsid w:val="00737034"/>
    <w:rsid w:val="00737C87"/>
    <w:rsid w:val="0074177C"/>
    <w:rsid w:val="00742436"/>
    <w:rsid w:val="00746795"/>
    <w:rsid w:val="00755D7C"/>
    <w:rsid w:val="00761460"/>
    <w:rsid w:val="007625EF"/>
    <w:rsid w:val="00762864"/>
    <w:rsid w:val="0076587B"/>
    <w:rsid w:val="0076604A"/>
    <w:rsid w:val="007676A0"/>
    <w:rsid w:val="00770123"/>
    <w:rsid w:val="00774563"/>
    <w:rsid w:val="0077796D"/>
    <w:rsid w:val="00780EC7"/>
    <w:rsid w:val="00785C85"/>
    <w:rsid w:val="0078754B"/>
    <w:rsid w:val="00796B11"/>
    <w:rsid w:val="007A42E7"/>
    <w:rsid w:val="007A48AA"/>
    <w:rsid w:val="007A59E1"/>
    <w:rsid w:val="007A5A80"/>
    <w:rsid w:val="007A76CF"/>
    <w:rsid w:val="007B23FE"/>
    <w:rsid w:val="007B5FCC"/>
    <w:rsid w:val="007C23A1"/>
    <w:rsid w:val="007C30D8"/>
    <w:rsid w:val="007D2A59"/>
    <w:rsid w:val="007D2D7C"/>
    <w:rsid w:val="007D434A"/>
    <w:rsid w:val="007D44B7"/>
    <w:rsid w:val="007E24E0"/>
    <w:rsid w:val="007E6519"/>
    <w:rsid w:val="007F1BD9"/>
    <w:rsid w:val="007F3BBB"/>
    <w:rsid w:val="007F57FB"/>
    <w:rsid w:val="00800369"/>
    <w:rsid w:val="00800E7A"/>
    <w:rsid w:val="00804EC7"/>
    <w:rsid w:val="00810515"/>
    <w:rsid w:val="00810FA5"/>
    <w:rsid w:val="00813E5C"/>
    <w:rsid w:val="008168F4"/>
    <w:rsid w:val="00823AF0"/>
    <w:rsid w:val="00835B6B"/>
    <w:rsid w:val="00837DB1"/>
    <w:rsid w:val="008408D1"/>
    <w:rsid w:val="00840AED"/>
    <w:rsid w:val="008513BF"/>
    <w:rsid w:val="00852334"/>
    <w:rsid w:val="00852926"/>
    <w:rsid w:val="00856E48"/>
    <w:rsid w:val="008618F8"/>
    <w:rsid w:val="008662C3"/>
    <w:rsid w:val="00870B16"/>
    <w:rsid w:val="00872AB9"/>
    <w:rsid w:val="00875999"/>
    <w:rsid w:val="00877658"/>
    <w:rsid w:val="008811EB"/>
    <w:rsid w:val="008B02E3"/>
    <w:rsid w:val="008B12A6"/>
    <w:rsid w:val="008B2F01"/>
    <w:rsid w:val="008B375C"/>
    <w:rsid w:val="008B3C14"/>
    <w:rsid w:val="008B4591"/>
    <w:rsid w:val="008B7C76"/>
    <w:rsid w:val="008C2573"/>
    <w:rsid w:val="008C52D4"/>
    <w:rsid w:val="008C55C5"/>
    <w:rsid w:val="008D03AC"/>
    <w:rsid w:val="008D1950"/>
    <w:rsid w:val="008D49E0"/>
    <w:rsid w:val="008D7145"/>
    <w:rsid w:val="008E3F52"/>
    <w:rsid w:val="008E5795"/>
    <w:rsid w:val="008E6711"/>
    <w:rsid w:val="008E69F2"/>
    <w:rsid w:val="008E6E34"/>
    <w:rsid w:val="008F1E72"/>
    <w:rsid w:val="008F2C66"/>
    <w:rsid w:val="008F5A88"/>
    <w:rsid w:val="008F6633"/>
    <w:rsid w:val="008F783D"/>
    <w:rsid w:val="009012FE"/>
    <w:rsid w:val="00903D9B"/>
    <w:rsid w:val="0090762B"/>
    <w:rsid w:val="00913D4E"/>
    <w:rsid w:val="0091478D"/>
    <w:rsid w:val="00915294"/>
    <w:rsid w:val="00915FA0"/>
    <w:rsid w:val="00927ECF"/>
    <w:rsid w:val="009302E1"/>
    <w:rsid w:val="009311A7"/>
    <w:rsid w:val="00931623"/>
    <w:rsid w:val="00931DAC"/>
    <w:rsid w:val="0093532C"/>
    <w:rsid w:val="00944EA8"/>
    <w:rsid w:val="009501DD"/>
    <w:rsid w:val="00953410"/>
    <w:rsid w:val="00953BA1"/>
    <w:rsid w:val="009549BA"/>
    <w:rsid w:val="00954C07"/>
    <w:rsid w:val="00962921"/>
    <w:rsid w:val="009737E3"/>
    <w:rsid w:val="00973801"/>
    <w:rsid w:val="00973D07"/>
    <w:rsid w:val="00981832"/>
    <w:rsid w:val="00983582"/>
    <w:rsid w:val="00986C9E"/>
    <w:rsid w:val="00993D92"/>
    <w:rsid w:val="00994680"/>
    <w:rsid w:val="00994ACE"/>
    <w:rsid w:val="009A12DE"/>
    <w:rsid w:val="009A1E7B"/>
    <w:rsid w:val="009A3250"/>
    <w:rsid w:val="009A6C16"/>
    <w:rsid w:val="009B1EB8"/>
    <w:rsid w:val="009B2D7E"/>
    <w:rsid w:val="009B5F67"/>
    <w:rsid w:val="009C0B11"/>
    <w:rsid w:val="009C10E2"/>
    <w:rsid w:val="009C4173"/>
    <w:rsid w:val="009D026B"/>
    <w:rsid w:val="009D72D5"/>
    <w:rsid w:val="009D79A1"/>
    <w:rsid w:val="009E23BF"/>
    <w:rsid w:val="009E2E81"/>
    <w:rsid w:val="009E3CEE"/>
    <w:rsid w:val="009E4C54"/>
    <w:rsid w:val="009F03E1"/>
    <w:rsid w:val="009F2359"/>
    <w:rsid w:val="009F3484"/>
    <w:rsid w:val="009F7F38"/>
    <w:rsid w:val="00A07C47"/>
    <w:rsid w:val="00A114AB"/>
    <w:rsid w:val="00A14840"/>
    <w:rsid w:val="00A216DA"/>
    <w:rsid w:val="00A22AC2"/>
    <w:rsid w:val="00A2350B"/>
    <w:rsid w:val="00A3275F"/>
    <w:rsid w:val="00A33677"/>
    <w:rsid w:val="00A3367A"/>
    <w:rsid w:val="00A3561D"/>
    <w:rsid w:val="00A3661D"/>
    <w:rsid w:val="00A40DD3"/>
    <w:rsid w:val="00A41BE6"/>
    <w:rsid w:val="00A428B4"/>
    <w:rsid w:val="00A4362D"/>
    <w:rsid w:val="00A50396"/>
    <w:rsid w:val="00A57F38"/>
    <w:rsid w:val="00A60D3E"/>
    <w:rsid w:val="00A71714"/>
    <w:rsid w:val="00A81DE5"/>
    <w:rsid w:val="00A85DEF"/>
    <w:rsid w:val="00A90D52"/>
    <w:rsid w:val="00A91024"/>
    <w:rsid w:val="00A93738"/>
    <w:rsid w:val="00A95D86"/>
    <w:rsid w:val="00A96B02"/>
    <w:rsid w:val="00AA1481"/>
    <w:rsid w:val="00AB2736"/>
    <w:rsid w:val="00AB51C3"/>
    <w:rsid w:val="00AC140C"/>
    <w:rsid w:val="00AD2309"/>
    <w:rsid w:val="00AD25AD"/>
    <w:rsid w:val="00AD2C6D"/>
    <w:rsid w:val="00AD3532"/>
    <w:rsid w:val="00AD39EF"/>
    <w:rsid w:val="00AD53B6"/>
    <w:rsid w:val="00AD6B09"/>
    <w:rsid w:val="00AD6D2D"/>
    <w:rsid w:val="00AE1CBC"/>
    <w:rsid w:val="00AE7776"/>
    <w:rsid w:val="00AF2859"/>
    <w:rsid w:val="00AF7326"/>
    <w:rsid w:val="00B01BB1"/>
    <w:rsid w:val="00B06CDE"/>
    <w:rsid w:val="00B06FDC"/>
    <w:rsid w:val="00B16715"/>
    <w:rsid w:val="00B16E8E"/>
    <w:rsid w:val="00B223C2"/>
    <w:rsid w:val="00B277F5"/>
    <w:rsid w:val="00B35785"/>
    <w:rsid w:val="00B35DB9"/>
    <w:rsid w:val="00B3654B"/>
    <w:rsid w:val="00B4175C"/>
    <w:rsid w:val="00B42851"/>
    <w:rsid w:val="00B42E85"/>
    <w:rsid w:val="00B43E74"/>
    <w:rsid w:val="00B45E3E"/>
    <w:rsid w:val="00B548AA"/>
    <w:rsid w:val="00B5494B"/>
    <w:rsid w:val="00B56D2C"/>
    <w:rsid w:val="00B5776F"/>
    <w:rsid w:val="00B61925"/>
    <w:rsid w:val="00B62F7F"/>
    <w:rsid w:val="00B63DFC"/>
    <w:rsid w:val="00B652E1"/>
    <w:rsid w:val="00B6553B"/>
    <w:rsid w:val="00B71AD5"/>
    <w:rsid w:val="00B73A76"/>
    <w:rsid w:val="00B73A77"/>
    <w:rsid w:val="00B74618"/>
    <w:rsid w:val="00B82CD5"/>
    <w:rsid w:val="00B83102"/>
    <w:rsid w:val="00B868DF"/>
    <w:rsid w:val="00B90235"/>
    <w:rsid w:val="00BA4144"/>
    <w:rsid w:val="00BA59EF"/>
    <w:rsid w:val="00BA68EE"/>
    <w:rsid w:val="00BA6F1A"/>
    <w:rsid w:val="00BB0F6B"/>
    <w:rsid w:val="00BB28ED"/>
    <w:rsid w:val="00BB2E42"/>
    <w:rsid w:val="00BC2174"/>
    <w:rsid w:val="00BC2363"/>
    <w:rsid w:val="00BC459E"/>
    <w:rsid w:val="00BC5C0D"/>
    <w:rsid w:val="00BC6CBE"/>
    <w:rsid w:val="00BD2667"/>
    <w:rsid w:val="00BD4C35"/>
    <w:rsid w:val="00BD54B7"/>
    <w:rsid w:val="00BE1429"/>
    <w:rsid w:val="00BE29C0"/>
    <w:rsid w:val="00BF1046"/>
    <w:rsid w:val="00BF23FA"/>
    <w:rsid w:val="00BF257A"/>
    <w:rsid w:val="00BF277F"/>
    <w:rsid w:val="00C0000D"/>
    <w:rsid w:val="00C06D28"/>
    <w:rsid w:val="00C101A6"/>
    <w:rsid w:val="00C213E6"/>
    <w:rsid w:val="00C22AD3"/>
    <w:rsid w:val="00C31699"/>
    <w:rsid w:val="00C3294E"/>
    <w:rsid w:val="00C3437E"/>
    <w:rsid w:val="00C437DD"/>
    <w:rsid w:val="00C44BF6"/>
    <w:rsid w:val="00C525AC"/>
    <w:rsid w:val="00C53ABC"/>
    <w:rsid w:val="00C56621"/>
    <w:rsid w:val="00C60ECC"/>
    <w:rsid w:val="00C6489E"/>
    <w:rsid w:val="00C6669D"/>
    <w:rsid w:val="00C70A55"/>
    <w:rsid w:val="00C723D9"/>
    <w:rsid w:val="00C7273B"/>
    <w:rsid w:val="00C7492A"/>
    <w:rsid w:val="00C76479"/>
    <w:rsid w:val="00C765BD"/>
    <w:rsid w:val="00C86E38"/>
    <w:rsid w:val="00C90A02"/>
    <w:rsid w:val="00C90B76"/>
    <w:rsid w:val="00C91321"/>
    <w:rsid w:val="00C9464E"/>
    <w:rsid w:val="00CA1357"/>
    <w:rsid w:val="00CA23FA"/>
    <w:rsid w:val="00CA37F0"/>
    <w:rsid w:val="00CA4E39"/>
    <w:rsid w:val="00CA6854"/>
    <w:rsid w:val="00CA76C7"/>
    <w:rsid w:val="00CB0C61"/>
    <w:rsid w:val="00CB15AC"/>
    <w:rsid w:val="00CB455E"/>
    <w:rsid w:val="00CB6152"/>
    <w:rsid w:val="00CB7631"/>
    <w:rsid w:val="00CB7BCF"/>
    <w:rsid w:val="00CC28DE"/>
    <w:rsid w:val="00CC7A90"/>
    <w:rsid w:val="00CD0056"/>
    <w:rsid w:val="00CD0920"/>
    <w:rsid w:val="00CD58D6"/>
    <w:rsid w:val="00CE1F33"/>
    <w:rsid w:val="00CE3C45"/>
    <w:rsid w:val="00CE70E2"/>
    <w:rsid w:val="00CF0BB0"/>
    <w:rsid w:val="00CF2951"/>
    <w:rsid w:val="00CF31B8"/>
    <w:rsid w:val="00CF44BA"/>
    <w:rsid w:val="00CF6F54"/>
    <w:rsid w:val="00CF7B4B"/>
    <w:rsid w:val="00D00AAB"/>
    <w:rsid w:val="00D02002"/>
    <w:rsid w:val="00D03AD4"/>
    <w:rsid w:val="00D1101E"/>
    <w:rsid w:val="00D1313F"/>
    <w:rsid w:val="00D132FE"/>
    <w:rsid w:val="00D16BC6"/>
    <w:rsid w:val="00D17E51"/>
    <w:rsid w:val="00D21277"/>
    <w:rsid w:val="00D2447D"/>
    <w:rsid w:val="00D269CF"/>
    <w:rsid w:val="00D26F73"/>
    <w:rsid w:val="00D31018"/>
    <w:rsid w:val="00D314CF"/>
    <w:rsid w:val="00D34688"/>
    <w:rsid w:val="00D37786"/>
    <w:rsid w:val="00D41382"/>
    <w:rsid w:val="00D4562C"/>
    <w:rsid w:val="00D50395"/>
    <w:rsid w:val="00D506B5"/>
    <w:rsid w:val="00D535F8"/>
    <w:rsid w:val="00D54C10"/>
    <w:rsid w:val="00D54E25"/>
    <w:rsid w:val="00D5520D"/>
    <w:rsid w:val="00D573B6"/>
    <w:rsid w:val="00D651B7"/>
    <w:rsid w:val="00D65F13"/>
    <w:rsid w:val="00D7623D"/>
    <w:rsid w:val="00D77AB6"/>
    <w:rsid w:val="00D8080E"/>
    <w:rsid w:val="00D837D9"/>
    <w:rsid w:val="00D86026"/>
    <w:rsid w:val="00D9303B"/>
    <w:rsid w:val="00D96243"/>
    <w:rsid w:val="00D96CFC"/>
    <w:rsid w:val="00DA1B6A"/>
    <w:rsid w:val="00DA3098"/>
    <w:rsid w:val="00DB40B2"/>
    <w:rsid w:val="00DB63EA"/>
    <w:rsid w:val="00DB65E8"/>
    <w:rsid w:val="00DC105B"/>
    <w:rsid w:val="00DC1E5A"/>
    <w:rsid w:val="00DC36AE"/>
    <w:rsid w:val="00DC6FB5"/>
    <w:rsid w:val="00DD0911"/>
    <w:rsid w:val="00DD1D32"/>
    <w:rsid w:val="00DE0E40"/>
    <w:rsid w:val="00DE18CA"/>
    <w:rsid w:val="00DE5BD2"/>
    <w:rsid w:val="00DE6782"/>
    <w:rsid w:val="00DF037E"/>
    <w:rsid w:val="00DF2DC3"/>
    <w:rsid w:val="00DF4176"/>
    <w:rsid w:val="00DF5E0B"/>
    <w:rsid w:val="00DF6F12"/>
    <w:rsid w:val="00E00116"/>
    <w:rsid w:val="00E02710"/>
    <w:rsid w:val="00E03487"/>
    <w:rsid w:val="00E077DB"/>
    <w:rsid w:val="00E265A4"/>
    <w:rsid w:val="00E307E9"/>
    <w:rsid w:val="00E32A1D"/>
    <w:rsid w:val="00E33403"/>
    <w:rsid w:val="00E33AFB"/>
    <w:rsid w:val="00E34C97"/>
    <w:rsid w:val="00E35EDD"/>
    <w:rsid w:val="00E44280"/>
    <w:rsid w:val="00E501C4"/>
    <w:rsid w:val="00E50A3D"/>
    <w:rsid w:val="00E55FBC"/>
    <w:rsid w:val="00E60093"/>
    <w:rsid w:val="00E70205"/>
    <w:rsid w:val="00E70ABC"/>
    <w:rsid w:val="00E7703F"/>
    <w:rsid w:val="00E7734E"/>
    <w:rsid w:val="00E83FE3"/>
    <w:rsid w:val="00E92344"/>
    <w:rsid w:val="00EA02BC"/>
    <w:rsid w:val="00EA23D7"/>
    <w:rsid w:val="00EA4D79"/>
    <w:rsid w:val="00EA6D4C"/>
    <w:rsid w:val="00EA7E9B"/>
    <w:rsid w:val="00EA7EC0"/>
    <w:rsid w:val="00EB1190"/>
    <w:rsid w:val="00EB194F"/>
    <w:rsid w:val="00EB5C09"/>
    <w:rsid w:val="00EC04B8"/>
    <w:rsid w:val="00EC286B"/>
    <w:rsid w:val="00EC7804"/>
    <w:rsid w:val="00ED0012"/>
    <w:rsid w:val="00ED1F5B"/>
    <w:rsid w:val="00ED27EB"/>
    <w:rsid w:val="00EE2783"/>
    <w:rsid w:val="00EE4097"/>
    <w:rsid w:val="00EE4957"/>
    <w:rsid w:val="00EE4AC8"/>
    <w:rsid w:val="00EE791C"/>
    <w:rsid w:val="00EF07FD"/>
    <w:rsid w:val="00EF2082"/>
    <w:rsid w:val="00EF282E"/>
    <w:rsid w:val="00EF3656"/>
    <w:rsid w:val="00EF7787"/>
    <w:rsid w:val="00F047FA"/>
    <w:rsid w:val="00F0578C"/>
    <w:rsid w:val="00F0665D"/>
    <w:rsid w:val="00F11F2D"/>
    <w:rsid w:val="00F11FF9"/>
    <w:rsid w:val="00F13510"/>
    <w:rsid w:val="00F233ED"/>
    <w:rsid w:val="00F25426"/>
    <w:rsid w:val="00F26093"/>
    <w:rsid w:val="00F2758B"/>
    <w:rsid w:val="00F35953"/>
    <w:rsid w:val="00F37D2C"/>
    <w:rsid w:val="00F42FCA"/>
    <w:rsid w:val="00F431FB"/>
    <w:rsid w:val="00F44A40"/>
    <w:rsid w:val="00F463E0"/>
    <w:rsid w:val="00F54118"/>
    <w:rsid w:val="00F555B3"/>
    <w:rsid w:val="00F57975"/>
    <w:rsid w:val="00F61AFD"/>
    <w:rsid w:val="00F628FC"/>
    <w:rsid w:val="00F63DFE"/>
    <w:rsid w:val="00F659DB"/>
    <w:rsid w:val="00F71364"/>
    <w:rsid w:val="00F729E0"/>
    <w:rsid w:val="00F735FA"/>
    <w:rsid w:val="00F74276"/>
    <w:rsid w:val="00F74CE2"/>
    <w:rsid w:val="00F776E3"/>
    <w:rsid w:val="00F834E1"/>
    <w:rsid w:val="00F8756A"/>
    <w:rsid w:val="00F87A47"/>
    <w:rsid w:val="00F87D1D"/>
    <w:rsid w:val="00F909B9"/>
    <w:rsid w:val="00F92089"/>
    <w:rsid w:val="00FA08AF"/>
    <w:rsid w:val="00FA4F33"/>
    <w:rsid w:val="00FB2E6C"/>
    <w:rsid w:val="00FB403A"/>
    <w:rsid w:val="00FB5D71"/>
    <w:rsid w:val="00FC5B83"/>
    <w:rsid w:val="00FC6051"/>
    <w:rsid w:val="00FD2114"/>
    <w:rsid w:val="00FD22EC"/>
    <w:rsid w:val="00FD38D7"/>
    <w:rsid w:val="00FD603C"/>
    <w:rsid w:val="00FD64A1"/>
    <w:rsid w:val="00FE172D"/>
    <w:rsid w:val="00FE4146"/>
    <w:rsid w:val="00FE52F4"/>
    <w:rsid w:val="00FE5CA9"/>
    <w:rsid w:val="00FE63AC"/>
    <w:rsid w:val="00FE673F"/>
    <w:rsid w:val="00FF05B5"/>
    <w:rsid w:val="00FF1830"/>
    <w:rsid w:val="00FF412A"/>
    <w:rsid w:val="00FF4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Overskrift1">
    <w:name w:val="heading 1"/>
    <w:basedOn w:val="Normal"/>
    <w:next w:val="Normal"/>
    <w:link w:val="Overskrift1Tegn"/>
    <w:uiPriority w:val="99"/>
    <w:qFormat/>
    <w:pPr>
      <w:keepNext/>
      <w:outlineLvl w:val="0"/>
    </w:pPr>
    <w:rPr>
      <w:sz w:val="36"/>
      <w:szCs w:val="36"/>
    </w:rPr>
  </w:style>
  <w:style w:type="paragraph" w:styleId="Overskrift2">
    <w:name w:val="heading 2"/>
    <w:basedOn w:val="Normal"/>
    <w:next w:val="Normal"/>
    <w:link w:val="Overskrift2Tegn"/>
    <w:uiPriority w:val="99"/>
    <w:qFormat/>
    <w:pPr>
      <w:keepNext/>
      <w:outlineLvl w:val="1"/>
    </w:pPr>
    <w:rPr>
      <w:b/>
      <w:bCs/>
    </w:rPr>
  </w:style>
  <w:style w:type="paragraph" w:styleId="Overskrift3">
    <w:name w:val="heading 3"/>
    <w:basedOn w:val="Normal"/>
    <w:next w:val="Normal"/>
    <w:link w:val="Overskrift3Tegn"/>
    <w:uiPriority w:val="99"/>
    <w:qFormat/>
    <w:pPr>
      <w:keepNext/>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Pr>
      <w:rFonts w:ascii="Cambria" w:eastAsia="Times New Roman" w:hAnsi="Cambria" w:cs="Times New Roman"/>
      <w:b/>
      <w:bCs/>
      <w:kern w:val="32"/>
      <w:sz w:val="32"/>
      <w:szCs w:val="32"/>
      <w:lang w:val="en-GB" w:eastAsia="sv-SE"/>
    </w:rPr>
  </w:style>
  <w:style w:type="character" w:customStyle="1" w:styleId="Overskrift2Tegn">
    <w:name w:val="Overskrift 2 Tegn"/>
    <w:link w:val="Overskrift2"/>
    <w:uiPriority w:val="9"/>
    <w:semiHidden/>
    <w:locked/>
    <w:rPr>
      <w:rFonts w:ascii="Cambria" w:eastAsia="Times New Roman" w:hAnsi="Cambria" w:cs="Times New Roman"/>
      <w:b/>
      <w:bCs/>
      <w:i/>
      <w:iCs/>
      <w:sz w:val="28"/>
      <w:szCs w:val="28"/>
      <w:lang w:val="en-GB" w:eastAsia="sv-SE"/>
    </w:rPr>
  </w:style>
  <w:style w:type="character" w:customStyle="1" w:styleId="Overskrift3Tegn">
    <w:name w:val="Overskrift 3 Tegn"/>
    <w:link w:val="Overskrift3"/>
    <w:uiPriority w:val="9"/>
    <w:semiHidden/>
    <w:locked/>
    <w:rPr>
      <w:rFonts w:ascii="Cambria" w:eastAsia="Times New Roman" w:hAnsi="Cambria" w:cs="Times New Roman"/>
      <w:b/>
      <w:bCs/>
      <w:sz w:val="26"/>
      <w:szCs w:val="26"/>
      <w:lang w:val="en-GB" w:eastAsia="sv-SE"/>
    </w:rPr>
  </w:style>
  <w:style w:type="character" w:styleId="Hyperkobling">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rdtekst2">
    <w:name w:val="Body Text 2"/>
    <w:basedOn w:val="Normal"/>
    <w:link w:val="Brdtekst2Tegn"/>
    <w:uiPriority w:val="99"/>
    <w:pPr>
      <w:jc w:val="both"/>
    </w:pPr>
  </w:style>
  <w:style w:type="character" w:customStyle="1" w:styleId="Brdtekst2Tegn">
    <w:name w:val="Brødtekst 2 Tegn"/>
    <w:link w:val="Brdtekst2"/>
    <w:uiPriority w:val="99"/>
    <w:semiHidden/>
    <w:locked/>
    <w:rPr>
      <w:rFonts w:cs="Times New Roman"/>
      <w:sz w:val="24"/>
      <w:szCs w:val="24"/>
      <w:lang w:val="en-GB" w:eastAsia="sv-SE"/>
    </w:rPr>
  </w:style>
  <w:style w:type="paragraph" w:styleId="Brdtekst">
    <w:name w:val="Body Text"/>
    <w:basedOn w:val="Normal"/>
    <w:link w:val="BrdtekstTegn"/>
    <w:uiPriority w:val="99"/>
    <w:rPr>
      <w:color w:val="0000FF"/>
    </w:rPr>
  </w:style>
  <w:style w:type="character" w:customStyle="1" w:styleId="BrdtekstTegn">
    <w:name w:val="Brødtekst Tegn"/>
    <w:link w:val="Brdteks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tnotetekst">
    <w:name w:val="footnote text"/>
    <w:basedOn w:val="Normal"/>
    <w:link w:val="FotnotetekstTegn"/>
    <w:uiPriority w:val="99"/>
    <w:semiHidden/>
    <w:rsid w:val="000C1967"/>
    <w:rPr>
      <w:sz w:val="20"/>
      <w:szCs w:val="20"/>
    </w:rPr>
  </w:style>
  <w:style w:type="character" w:customStyle="1" w:styleId="FotnotetekstTegn">
    <w:name w:val="Fotnotetekst Tegn"/>
    <w:link w:val="Fotnotetekst"/>
    <w:uiPriority w:val="99"/>
    <w:semiHidden/>
    <w:locked/>
    <w:rPr>
      <w:rFonts w:cs="Times New Roman"/>
      <w:sz w:val="20"/>
      <w:szCs w:val="20"/>
      <w:lang w:val="en-GB" w:eastAsia="sv-SE"/>
    </w:rPr>
  </w:style>
  <w:style w:type="character" w:styleId="Fotnotereferanse">
    <w:name w:val="footnote reference"/>
    <w:uiPriority w:val="99"/>
    <w:semiHidden/>
    <w:rsid w:val="000C1967"/>
    <w:rPr>
      <w:rFonts w:cs="Times New Roman"/>
      <w:vertAlign w:val="superscript"/>
    </w:rPr>
  </w:style>
  <w:style w:type="character" w:styleId="Fulgthyperkobling">
    <w:name w:val="FollowedHyperlink"/>
    <w:uiPriority w:val="99"/>
    <w:semiHidden/>
    <w:unhideWhenUsed/>
    <w:rsid w:val="00AD53B6"/>
    <w:rPr>
      <w:rFonts w:cs="Times New Roman"/>
      <w:color w:val="800080"/>
      <w:u w:val="single"/>
    </w:rPr>
  </w:style>
  <w:style w:type="character" w:styleId="Merknadsreferanse">
    <w:name w:val="annotation reference"/>
    <w:uiPriority w:val="99"/>
    <w:semiHidden/>
    <w:unhideWhenUsed/>
    <w:rsid w:val="001402B3"/>
    <w:rPr>
      <w:rFonts w:cs="Times New Roman"/>
      <w:sz w:val="16"/>
      <w:szCs w:val="16"/>
    </w:rPr>
  </w:style>
  <w:style w:type="paragraph" w:styleId="Merknadstekst">
    <w:name w:val="annotation text"/>
    <w:basedOn w:val="Normal"/>
    <w:link w:val="MerknadstekstTegn"/>
    <w:uiPriority w:val="99"/>
    <w:semiHidden/>
    <w:unhideWhenUsed/>
    <w:rsid w:val="001402B3"/>
    <w:rPr>
      <w:sz w:val="20"/>
      <w:szCs w:val="20"/>
    </w:rPr>
  </w:style>
  <w:style w:type="character" w:customStyle="1" w:styleId="MerknadstekstTegn">
    <w:name w:val="Merknadstekst Tegn"/>
    <w:link w:val="Merknadstekst"/>
    <w:uiPriority w:val="99"/>
    <w:semiHidden/>
    <w:locked/>
    <w:rsid w:val="001402B3"/>
    <w:rPr>
      <w:rFonts w:cs="Times New Roman"/>
      <w:sz w:val="20"/>
      <w:szCs w:val="20"/>
      <w:lang w:val="en-GB" w:eastAsia="sv-SE"/>
    </w:rPr>
  </w:style>
  <w:style w:type="paragraph" w:styleId="Kommentaremne">
    <w:name w:val="annotation subject"/>
    <w:basedOn w:val="Merknadstekst"/>
    <w:next w:val="Merknadstekst"/>
    <w:link w:val="KommentaremneTegn"/>
    <w:uiPriority w:val="99"/>
    <w:semiHidden/>
    <w:unhideWhenUsed/>
    <w:rsid w:val="001402B3"/>
    <w:rPr>
      <w:b/>
      <w:bCs/>
    </w:rPr>
  </w:style>
  <w:style w:type="character" w:customStyle="1" w:styleId="KommentaremneTegn">
    <w:name w:val="Kommentaremne Tegn"/>
    <w:link w:val="Kommentaremne"/>
    <w:uiPriority w:val="99"/>
    <w:semiHidden/>
    <w:locked/>
    <w:rsid w:val="001402B3"/>
    <w:rPr>
      <w:rFonts w:cs="Times New Roman"/>
      <w:b/>
      <w:bCs/>
      <w:sz w:val="20"/>
      <w:szCs w:val="20"/>
      <w:lang w:val="en-GB" w:eastAsia="sv-SE"/>
    </w:rPr>
  </w:style>
  <w:style w:type="paragraph" w:styleId="Bobletekst">
    <w:name w:val="Balloon Text"/>
    <w:basedOn w:val="Normal"/>
    <w:link w:val="BobletekstTegn"/>
    <w:uiPriority w:val="99"/>
    <w:semiHidden/>
    <w:unhideWhenUsed/>
    <w:rsid w:val="001402B3"/>
    <w:rPr>
      <w:rFonts w:ascii="Tahoma" w:hAnsi="Tahoma" w:cs="Tahoma"/>
      <w:sz w:val="16"/>
      <w:szCs w:val="16"/>
    </w:rPr>
  </w:style>
  <w:style w:type="character" w:customStyle="1" w:styleId="BobletekstTegn">
    <w:name w:val="Bobletekst Tegn"/>
    <w:link w:val="Bobletekst"/>
    <w:uiPriority w:val="99"/>
    <w:semiHidden/>
    <w:locked/>
    <w:rsid w:val="001402B3"/>
    <w:rPr>
      <w:rFonts w:ascii="Tahoma" w:hAnsi="Tahoma" w:cs="Tahoma"/>
      <w:sz w:val="16"/>
      <w:szCs w:val="16"/>
      <w:lang w:val="en-GB" w:eastAsia="sv-SE"/>
    </w:rPr>
  </w:style>
  <w:style w:type="paragraph" w:styleId="Topptekst">
    <w:name w:val="header"/>
    <w:basedOn w:val="Normal"/>
    <w:link w:val="TopptekstTegn"/>
    <w:uiPriority w:val="99"/>
    <w:unhideWhenUsed/>
    <w:rsid w:val="00B73A77"/>
    <w:pPr>
      <w:tabs>
        <w:tab w:val="center" w:pos="4536"/>
        <w:tab w:val="right" w:pos="9072"/>
      </w:tabs>
    </w:pPr>
  </w:style>
  <w:style w:type="character" w:customStyle="1" w:styleId="TopptekstTegn">
    <w:name w:val="Topptekst Tegn"/>
    <w:link w:val="Topptekst"/>
    <w:uiPriority w:val="99"/>
    <w:rsid w:val="00B73A77"/>
    <w:rPr>
      <w:sz w:val="24"/>
      <w:szCs w:val="24"/>
      <w:lang w:val="en-GB" w:eastAsia="sv-SE"/>
    </w:rPr>
  </w:style>
  <w:style w:type="paragraph" w:styleId="Bunntekst">
    <w:name w:val="footer"/>
    <w:basedOn w:val="Normal"/>
    <w:link w:val="BunntekstTegn"/>
    <w:uiPriority w:val="99"/>
    <w:unhideWhenUsed/>
    <w:rsid w:val="00B73A77"/>
    <w:pPr>
      <w:tabs>
        <w:tab w:val="center" w:pos="4536"/>
        <w:tab w:val="right" w:pos="9072"/>
      </w:tabs>
    </w:pPr>
  </w:style>
  <w:style w:type="character" w:customStyle="1" w:styleId="BunntekstTegn">
    <w:name w:val="Bunntekst Tegn"/>
    <w:link w:val="Bunntekst"/>
    <w:uiPriority w:val="99"/>
    <w:rsid w:val="00B73A77"/>
    <w:rPr>
      <w:sz w:val="24"/>
      <w:szCs w:val="24"/>
      <w:lang w:val="en-GB" w:eastAsia="sv-SE"/>
    </w:rPr>
  </w:style>
  <w:style w:type="character" w:styleId="Ulstomtale">
    <w:name w:val="Unresolved Mention"/>
    <w:uiPriority w:val="99"/>
    <w:semiHidden/>
    <w:unhideWhenUsed/>
    <w:rsid w:val="00813E5C"/>
    <w:rPr>
      <w:color w:val="605E5C"/>
      <w:shd w:val="clear" w:color="auto" w:fill="E1DFDD"/>
    </w:rPr>
  </w:style>
  <w:style w:type="paragraph" w:styleId="Tittel">
    <w:name w:val="Title"/>
    <w:basedOn w:val="Normal"/>
    <w:next w:val="Normal"/>
    <w:link w:val="TittelTegn"/>
    <w:uiPriority w:val="10"/>
    <w:qFormat/>
    <w:rsid w:val="008B3C14"/>
    <w:pPr>
      <w:spacing w:before="240" w:after="60"/>
      <w:jc w:val="center"/>
      <w:outlineLvl w:val="0"/>
    </w:pPr>
    <w:rPr>
      <w:rFonts w:ascii="Calibri Light" w:hAnsi="Calibri Light"/>
      <w:b/>
      <w:bCs/>
      <w:kern w:val="28"/>
      <w:sz w:val="32"/>
      <w:szCs w:val="32"/>
    </w:rPr>
  </w:style>
  <w:style w:type="character" w:customStyle="1" w:styleId="TittelTegn">
    <w:name w:val="Tittel Tegn"/>
    <w:link w:val="Tittel"/>
    <w:uiPriority w:val="10"/>
    <w:rsid w:val="008B3C14"/>
    <w:rPr>
      <w:rFonts w:ascii="Calibri Light" w:eastAsia="Times New Roman" w:hAnsi="Calibri Light" w:cs="Times New Roman"/>
      <w:b/>
      <w:bCs/>
      <w:kern w:val="28"/>
      <w:sz w:val="32"/>
      <w:szCs w:val="32"/>
      <w:lang w:val="en-GB" w:eastAsia="sv-SE"/>
    </w:rPr>
  </w:style>
  <w:style w:type="paragraph" w:styleId="Bibliografi">
    <w:name w:val="Bibliography"/>
    <w:basedOn w:val="Normal"/>
    <w:next w:val="Normal"/>
    <w:uiPriority w:val="37"/>
    <w:semiHidden/>
    <w:unhideWhenUsed/>
    <w:rsid w:val="009F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nnar.sivertsen@nifu.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mm@aub.aau.dk" TargetMode="External"/><Relationship Id="rId5" Type="http://schemas.openxmlformats.org/officeDocument/2006/relationships/styles" Target="styles.xml"/><Relationship Id="rId15" Type="http://schemas.openxmlformats.org/officeDocument/2006/relationships/hyperlink" Target="https://www.r-quest.no/policy-briefs/" TargetMode="External"/><Relationship Id="rId10" Type="http://schemas.openxmlformats.org/officeDocument/2006/relationships/hyperlink" Target="mailto:kbb@aub.aau.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62/0020818985507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TotalTime>
  <Pages>7</Pages>
  <Words>4471</Words>
  <Characters>25489</Characters>
  <Application>Microsoft Office Word</Application>
  <DocSecurity>0</DocSecurity>
  <Lines>212</Lines>
  <Paragraphs>59</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STI 2023 paper template</vt:lpstr>
      <vt:lpstr>STI 2023 paper template</vt:lpstr>
      <vt:lpstr>STI 2023 paper template</vt:lpstr>
    </vt:vector>
  </TitlesOfParts>
  <Company/>
  <LinksUpToDate>false</LinksUpToDate>
  <CharactersWithSpaces>29901</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Gunnar Sivertsen</cp:lastModifiedBy>
  <cp:revision>2</cp:revision>
  <cp:lastPrinted>2023-04-21T08:52:00Z</cp:lastPrinted>
  <dcterms:created xsi:type="dcterms:W3CDTF">2023-04-21T11:11:00Z</dcterms:created>
  <dcterms:modified xsi:type="dcterms:W3CDTF">2023-04-21T11:11:00Z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id="bNXzMscQ"/&gt;&lt;style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