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2698F360" w:rsidR="00AD6D2D" w:rsidRPr="00542798" w:rsidRDefault="13078A9B" w:rsidP="00542798">
      <w:pPr>
        <w:pStyle w:val="Heading1"/>
        <w:jc w:val="center"/>
      </w:pPr>
      <w:r>
        <w:t xml:space="preserve">Roadmap </w:t>
      </w:r>
      <w:r w:rsidR="621493E3">
        <w:t>for</w:t>
      </w:r>
      <w:r>
        <w:t xml:space="preserve"> Open Science</w:t>
      </w:r>
      <w:r w:rsidR="30BEA797">
        <w:t xml:space="preserve">: </w:t>
      </w:r>
      <w:r w:rsidR="30CCB6E4">
        <w:br/>
      </w:r>
      <w:r w:rsidR="30BEA797">
        <w:t>An analysis of open science action plans</w:t>
      </w:r>
      <w:r w:rsidR="0CC93BBC">
        <w:t xml:space="preserve"> by Canadian federal science departments</w:t>
      </w:r>
    </w:p>
    <w:p w14:paraId="267B9C96" w14:textId="75CDE233" w:rsidR="00AD6D2D" w:rsidRPr="00AD6D2D" w:rsidRDefault="68478C1A" w:rsidP="11F5B2F3">
      <w:pPr>
        <w:pStyle w:val="002-Authors"/>
        <w:rPr>
          <w:rFonts w:eastAsia="Times New Roman"/>
        </w:rPr>
      </w:pPr>
      <w:r w:rsidRPr="00CE2DA4">
        <w:rPr>
          <w:rFonts w:eastAsia="Times New Roman"/>
          <w:color w:val="000000"/>
        </w:rPr>
        <w:t>Chantal Ripp</w:t>
      </w:r>
      <w:r w:rsidR="397C0244" w:rsidRPr="00CE2DA4">
        <w:rPr>
          <w:rFonts w:eastAsia="Times New Roman"/>
          <w:color w:val="000000"/>
          <w:vertAlign w:val="superscript"/>
        </w:rPr>
        <w:t>*</w:t>
      </w:r>
      <w:r w:rsidRPr="00CE2DA4">
        <w:rPr>
          <w:rFonts w:eastAsia="Times New Roman"/>
          <w:color w:val="000000"/>
        </w:rPr>
        <w:t xml:space="preserve"> and Stefanie Haustein</w:t>
      </w:r>
      <w:r w:rsidR="705018EB" w:rsidRPr="00CE2DA4">
        <w:rPr>
          <w:rFonts w:eastAsia="Times New Roman"/>
          <w:color w:val="000000"/>
          <w:vertAlign w:val="superscript"/>
        </w:rPr>
        <w:t>**</w:t>
      </w:r>
    </w:p>
    <w:p w14:paraId="49EED032" w14:textId="5EB3A142" w:rsidR="00AD6D2D" w:rsidRPr="00AD6D2D" w:rsidRDefault="00AD6D2D" w:rsidP="3E01852A">
      <w:pPr>
        <w:jc w:val="center"/>
        <w:rPr>
          <w:vertAlign w:val="superscript"/>
        </w:rPr>
      </w:pPr>
    </w:p>
    <w:p w14:paraId="49FF5024" w14:textId="766BADB8" w:rsidR="4BEF17C3" w:rsidRPr="00CE2DA4" w:rsidRDefault="4BEF17C3" w:rsidP="442DFDDF">
      <w:pPr>
        <w:pStyle w:val="003-Email"/>
        <w:rPr>
          <w:rFonts w:eastAsia="Times New Roman"/>
          <w:color w:val="000000"/>
        </w:rPr>
      </w:pPr>
      <w:r w:rsidRPr="00CE2DA4">
        <w:rPr>
          <w:rFonts w:eastAsia="Times New Roman"/>
          <w:color w:val="000000"/>
          <w:vertAlign w:val="superscript"/>
        </w:rPr>
        <w:t xml:space="preserve"> </w:t>
      </w:r>
      <w:r w:rsidR="02FFA9F6" w:rsidRPr="00CE2DA4">
        <w:rPr>
          <w:rFonts w:eastAsia="Times New Roman"/>
          <w:color w:val="000000"/>
          <w:vertAlign w:val="superscript"/>
        </w:rPr>
        <w:t>*</w:t>
      </w:r>
      <w:hyperlink r:id="rId8" w:history="1">
        <w:r w:rsidRPr="442DFDDF">
          <w:rPr>
            <w:rStyle w:val="Hyperlink"/>
            <w:rFonts w:eastAsia="Times New Roman"/>
          </w:rPr>
          <w:t>chantal.ripp@uottawa.ca</w:t>
        </w:r>
      </w:hyperlink>
      <w:r w:rsidRPr="00CE2DA4">
        <w:rPr>
          <w:rFonts w:eastAsia="Times New Roman"/>
          <w:color w:val="000000"/>
        </w:rPr>
        <w:t xml:space="preserve"> </w:t>
      </w:r>
    </w:p>
    <w:p w14:paraId="40D31924" w14:textId="36D44FF4" w:rsidR="29ABA7DB" w:rsidRPr="00CE2DA4" w:rsidRDefault="29ABA7DB" w:rsidP="6CA52507">
      <w:pPr>
        <w:pStyle w:val="004-Affiliation"/>
        <w:rPr>
          <w:rFonts w:eastAsia="Times New Roman"/>
          <w:color w:val="000000"/>
        </w:rPr>
      </w:pPr>
      <w:r w:rsidRPr="00CE2DA4">
        <w:rPr>
          <w:rFonts w:eastAsia="Times New Roman"/>
          <w:color w:val="000000"/>
        </w:rPr>
        <w:t>https://orcid.org/0000-0003-3544-8158</w:t>
      </w:r>
    </w:p>
    <w:p w14:paraId="087BA40C" w14:textId="08527799" w:rsidR="4BEF17C3" w:rsidRPr="00CE2DA4" w:rsidRDefault="4BEF17C3" w:rsidP="442DFDDF">
      <w:pPr>
        <w:pStyle w:val="004-Affiliation"/>
        <w:rPr>
          <w:rFonts w:eastAsia="Times New Roman"/>
          <w:color w:val="000000"/>
        </w:rPr>
      </w:pPr>
      <w:r w:rsidRPr="00CE2DA4">
        <w:rPr>
          <w:rFonts w:eastAsia="Times New Roman"/>
          <w:color w:val="000000"/>
        </w:rPr>
        <w:t>University of Ottawa, School of Information Studies, Scholarly Communications Lab, Canada</w:t>
      </w:r>
    </w:p>
    <w:p w14:paraId="30CC42D6" w14:textId="5EC2CF18" w:rsidR="4BEF17C3" w:rsidRPr="00CE2DA4" w:rsidRDefault="0B51F876" w:rsidP="442DFDDF">
      <w:pPr>
        <w:pStyle w:val="003-Email"/>
        <w:rPr>
          <w:rFonts w:eastAsia="Times New Roman"/>
          <w:color w:val="000000"/>
        </w:rPr>
      </w:pPr>
      <w:r w:rsidRPr="00CE2DA4">
        <w:rPr>
          <w:rFonts w:eastAsia="Times New Roman"/>
          <w:color w:val="000000"/>
          <w:vertAlign w:val="superscript"/>
        </w:rPr>
        <w:t>**</w:t>
      </w:r>
      <w:hyperlink r:id="rId9" w:history="1">
        <w:r w:rsidR="4BEF17C3" w:rsidRPr="442DFDDF">
          <w:rPr>
            <w:rStyle w:val="Hyperlink"/>
            <w:rFonts w:eastAsia="Times New Roman"/>
          </w:rPr>
          <w:t>stefanie.haustein@uottawa.ca</w:t>
        </w:r>
      </w:hyperlink>
    </w:p>
    <w:p w14:paraId="021C1400" w14:textId="3658E58D" w:rsidR="6158D676" w:rsidRPr="00822572" w:rsidRDefault="00000000" w:rsidP="00CE2DA4">
      <w:pPr>
        <w:jc w:val="center"/>
        <w:rPr>
          <w:rStyle w:val="Hyperlink"/>
        </w:rPr>
      </w:pPr>
      <w:hyperlink r:id="rId10" w:history="1">
        <w:r w:rsidR="6158D676" w:rsidRPr="6CA52507">
          <w:rPr>
            <w:rStyle w:val="Hyperlink"/>
            <w:sz w:val="20"/>
            <w:szCs w:val="20"/>
          </w:rPr>
          <w:t>https://orcid.org/0000-0003-0157-1430</w:t>
        </w:r>
      </w:hyperlink>
    </w:p>
    <w:p w14:paraId="22B0DF98" w14:textId="45B20CD1" w:rsidR="4BEF17C3" w:rsidRPr="00CE2DA4" w:rsidRDefault="4BEF17C3" w:rsidP="442DFDDF">
      <w:pPr>
        <w:pStyle w:val="004-Affiliation"/>
        <w:rPr>
          <w:rFonts w:eastAsia="Times New Roman"/>
          <w:color w:val="000000"/>
        </w:rPr>
      </w:pPr>
      <w:r w:rsidRPr="00CE2DA4">
        <w:rPr>
          <w:rFonts w:eastAsia="Times New Roman"/>
          <w:color w:val="000000"/>
        </w:rPr>
        <w:t>University of Ottawa, School of Information Studies, Scholarly Communications Lab, Canada</w:t>
      </w:r>
    </w:p>
    <w:p w14:paraId="5B7D114A" w14:textId="2336B7CC" w:rsidR="4BEF17C3" w:rsidRPr="00CE2DA4" w:rsidRDefault="4BEF17C3" w:rsidP="11F5B2F3">
      <w:pPr>
        <w:pStyle w:val="004-Affiliation"/>
        <w:rPr>
          <w:rFonts w:eastAsia="Times New Roman"/>
          <w:color w:val="000000"/>
          <w:lang w:val="fr-CA"/>
        </w:rPr>
      </w:pPr>
      <w:r w:rsidRPr="00CE2DA4">
        <w:rPr>
          <w:rFonts w:eastAsia="Times New Roman"/>
          <w:color w:val="000000"/>
          <w:lang w:val="fr-CA"/>
        </w:rPr>
        <w:t>Université du Québec à Montréal, Observatoire des Sciences et des Technologies (OST), Centre</w:t>
      </w:r>
    </w:p>
    <w:p w14:paraId="5555929C" w14:textId="5A6BDAFD" w:rsidR="4BEF17C3" w:rsidRPr="00CE2DA4" w:rsidRDefault="4BEF17C3" w:rsidP="442DFDDF">
      <w:pPr>
        <w:pStyle w:val="004-Affiliation"/>
        <w:rPr>
          <w:rFonts w:eastAsia="Times New Roman"/>
          <w:color w:val="000000"/>
          <w:lang w:val="fr-CA"/>
        </w:rPr>
      </w:pPr>
      <w:r w:rsidRPr="00CE2DA4">
        <w:rPr>
          <w:rFonts w:eastAsia="Times New Roman"/>
          <w:color w:val="000000"/>
          <w:lang w:val="fr-CA"/>
        </w:rPr>
        <w:t>Interuniversitaire de Recherche sur la Science et la Technologie (CIRST), Canada</w:t>
      </w:r>
    </w:p>
    <w:p w14:paraId="6A253300" w14:textId="6994D0F9" w:rsidR="11F5B2F3" w:rsidRPr="00822572" w:rsidRDefault="11F5B2F3" w:rsidP="11F5B2F3">
      <w:pPr>
        <w:jc w:val="center"/>
        <w:rPr>
          <w:sz w:val="20"/>
          <w:szCs w:val="20"/>
          <w:lang w:val="fr-CA"/>
        </w:rPr>
      </w:pPr>
    </w:p>
    <w:p w14:paraId="18EAD8F9" w14:textId="77777777" w:rsidR="008168F4" w:rsidRPr="00822572" w:rsidRDefault="008168F4" w:rsidP="00542798">
      <w:pPr>
        <w:jc w:val="center"/>
        <w:rPr>
          <w:lang w:val="fr-CA"/>
        </w:rPr>
      </w:pPr>
    </w:p>
    <w:p w14:paraId="04927CB0" w14:textId="7C23530F" w:rsidR="008168F4" w:rsidRPr="000E3840" w:rsidRDefault="00CE2DA4" w:rsidP="00CE2DA4">
      <w:pPr>
        <w:rPr>
          <w:b/>
          <w:bCs/>
          <w:lang w:val="en-CA"/>
        </w:rPr>
      </w:pPr>
      <w:r w:rsidRPr="000E3840">
        <w:rPr>
          <w:b/>
          <w:bCs/>
          <w:lang w:val="en-CA"/>
        </w:rPr>
        <w:t>Abstract</w:t>
      </w:r>
    </w:p>
    <w:p w14:paraId="2866B086" w14:textId="01038D5D" w:rsidR="00CE2DA4" w:rsidRDefault="00CE2DA4" w:rsidP="00CE2DA4">
      <w:pPr>
        <w:rPr>
          <w:lang w:val="en-CA"/>
        </w:rPr>
      </w:pPr>
      <w:r w:rsidRPr="00CE2DA4">
        <w:rPr>
          <w:lang w:val="en-CA"/>
        </w:rPr>
        <w:t xml:space="preserve">This research-in-progress paper examines the implementation of open science (OS) in Canada by federal science-based departments and agencies (SBDAs), following the release of the Roadmap for Open Science (ROS) in February 2020. The paper presents initial findings of a study that explores how SBDAs have engaged in open access (OA) before the ROS came into force in January 2022, the approaches and rationales </w:t>
      </w:r>
      <w:r>
        <w:rPr>
          <w:lang w:val="en-CA"/>
        </w:rPr>
        <w:t>SBDAs</w:t>
      </w:r>
      <w:r w:rsidRPr="00CE2DA4">
        <w:rPr>
          <w:lang w:val="en-CA"/>
        </w:rPr>
        <w:t xml:space="preserve"> adopt to meet the ROS requirements</w:t>
      </w:r>
      <w:r>
        <w:rPr>
          <w:lang w:val="en-CA"/>
        </w:rPr>
        <w:t xml:space="preserve"> in their respective OS action plans</w:t>
      </w:r>
      <w:r w:rsidRPr="00CE2DA4">
        <w:rPr>
          <w:lang w:val="en-CA"/>
        </w:rPr>
        <w:t>. The paper employs bibliometric analysis to contextualize the findings of the content analysis</w:t>
      </w:r>
      <w:r>
        <w:rPr>
          <w:lang w:val="en-CA"/>
        </w:rPr>
        <w:t xml:space="preserve"> on SBDA OS action plans</w:t>
      </w:r>
      <w:r w:rsidRPr="00CE2DA4">
        <w:rPr>
          <w:lang w:val="en-CA"/>
        </w:rPr>
        <w:t xml:space="preserve">. The </w:t>
      </w:r>
      <w:r w:rsidR="00DF7588">
        <w:rPr>
          <w:lang w:val="en-CA"/>
        </w:rPr>
        <w:t>results are examined</w:t>
      </w:r>
      <w:r w:rsidRPr="00CE2DA4">
        <w:rPr>
          <w:lang w:val="en-CA"/>
        </w:rPr>
        <w:t xml:space="preserve"> by ROS recommendations that directly affect SBDAs, including consultations with federal scientists, OA publication, FAIR data, and research assessment. The paper provides valuable insights into how the government understands and implements OS activities in Canada and how it intends to address obstacles impeding access to federal research.</w:t>
      </w:r>
    </w:p>
    <w:p w14:paraId="35319929" w14:textId="77777777" w:rsidR="00CE2DA4" w:rsidRPr="00CE2DA4" w:rsidRDefault="00CE2DA4" w:rsidP="00CE2DA4">
      <w:pPr>
        <w:rPr>
          <w:lang w:val="en-CA"/>
        </w:rPr>
      </w:pPr>
    </w:p>
    <w:p w14:paraId="02C61035" w14:textId="77777777" w:rsidR="008168F4" w:rsidRPr="00D96243" w:rsidRDefault="000C25AF">
      <w:pPr>
        <w:pStyle w:val="Heading2"/>
        <w:jc w:val="both"/>
      </w:pPr>
      <w:r>
        <w:t xml:space="preserve">1. </w:t>
      </w:r>
      <w:r w:rsidR="008168F4">
        <w:t>Introduction</w:t>
      </w:r>
    </w:p>
    <w:p w14:paraId="0481A1C1" w14:textId="63C7422D" w:rsidR="72262446" w:rsidRPr="00CE2DA4" w:rsidRDefault="4D3A081A" w:rsidP="00822572">
      <w:pPr>
        <w:jc w:val="both"/>
        <w:rPr>
          <w:color w:val="000000"/>
        </w:rPr>
      </w:pPr>
      <w:r w:rsidRPr="00CE2DA4">
        <w:rPr>
          <w:color w:val="000000"/>
        </w:rPr>
        <w:t xml:space="preserve">To tackle the complex scientific and societal challenges today, many funders, governments and international organizations argue that science needs to be more transparent, accessible and inclusive. </w:t>
      </w:r>
      <w:r w:rsidR="1D09184E" w:rsidRPr="00CE2DA4">
        <w:rPr>
          <w:color w:val="000000"/>
        </w:rPr>
        <w:t xml:space="preserve">The practice of open science is firmly secured in the values of sharing and collaboration to advance opportunities for innovation and participation in the co-creation of knowledge </w:t>
      </w:r>
      <w:r w:rsidR="00CE2DA4" w:rsidRPr="00CE2DA4">
        <w:rPr>
          <w:color w:val="000000"/>
          <w:lang w:val="en-US"/>
        </w:rPr>
        <w:fldChar w:fldCharType="begin"/>
      </w:r>
      <w:r w:rsidR="00CE2DA4" w:rsidRPr="00CE2DA4">
        <w:rPr>
          <w:color w:val="000000"/>
          <w:lang w:val="en-US"/>
        </w:rPr>
        <w:instrText xml:space="preserve"> ADDIN ZOTERO_ITEM CSL_CITATION {"citationID":"IWlB17BW","properties":{"formattedCitation":"(UNESCO, 2021)","plainCitation":"(UNESCO, 2021)","noteIndex":0},"citationItems":[{"id":3551,"uris":["http://zotero.org/users/6331029/items/P73RVAWR"],"itemData":{"id":3551,"type":"webpage","abstract":"At the 40th session of UNESCO’s General Conference (2019), 193 Members States tasked the Organization with the development of an international standard-setting instrument on Open Science in the form of a UNESCO Recommendation on Open Science to be adopted by Member States in 2021.","title":"UNESCO Recommendation on Open Science","URL":"https://en.unesco.org/science-sustainable-future/open-science/recommendation","author":[{"family":"UNESCO","given":""}],"issued":{"date-parts":[["2021",11]]}}}],"schema":"https://github.com/citation-style-language/schema/raw/master/csl-citation.json"} </w:instrText>
      </w:r>
      <w:r w:rsidR="00CE2DA4" w:rsidRPr="00CE2DA4">
        <w:rPr>
          <w:color w:val="000000"/>
          <w:lang w:val="en-US"/>
        </w:rPr>
        <w:fldChar w:fldCharType="separate"/>
      </w:r>
      <w:r w:rsidR="00CE2DA4" w:rsidRPr="00CE2DA4">
        <w:t>(UNESCO, 2021)</w:t>
      </w:r>
      <w:r w:rsidR="00CE2DA4" w:rsidRPr="00CE2DA4">
        <w:rPr>
          <w:color w:val="000000"/>
          <w:lang w:val="en-US"/>
        </w:rPr>
        <w:fldChar w:fldCharType="end"/>
      </w:r>
      <w:r w:rsidR="1D09184E" w:rsidRPr="00CE2DA4">
        <w:rPr>
          <w:color w:val="000000"/>
        </w:rPr>
        <w:t xml:space="preserve">. </w:t>
      </w:r>
      <w:r w:rsidRPr="00CE2DA4">
        <w:rPr>
          <w:color w:val="000000"/>
        </w:rPr>
        <w:t xml:space="preserve">The European Commission, the Organisation for Economic Cooperation and Development (OECD), the United Nations, the World Bank, and the United Nations Educational, Scientific and Cultural Organization (UNESCO), among many more recognize the importance of open science and have released formal statements and recommendations to support its adoption </w:t>
      </w:r>
      <w:r w:rsidR="00CE2DA4" w:rsidRPr="00CE2DA4">
        <w:rPr>
          <w:color w:val="000000"/>
        </w:rPr>
        <w:fldChar w:fldCharType="begin"/>
      </w:r>
      <w:r w:rsidR="00CE2DA4" w:rsidRPr="00CE2DA4">
        <w:rPr>
          <w:color w:val="000000"/>
        </w:rPr>
        <w:instrText xml:space="preserve"> ADDIN ZOTERO_ITEM CSL_CITATION {"citationID":"6YnM86mB","properties":{"formattedCitation":"(OECD Council, 2021; UNESCO, 2021)","plainCitation":"(OECD Council, 2021; UNESCO, 2021)","noteIndex":0},"citationItems":[{"id":3658,"uris":["http://zotero.org/users/6331029/items/YUKUG2BT"],"itemData":{"id":3658,"type":"webpage","title":"Recommendation of the OECD Council concerning Access to Research Data from Public Funding","URL":"https://www.oecd.org/sti/recommendation-access-to-research-data-from-public-funding.htm","author":[{"family":"OECD Council","given":""}],"accessed":{"date-parts":[["2022",12,1]]},"issued":{"date-parts":[["2021",1,20]]}}},{"id":3551,"uris":["http://zotero.org/users/6331029/items/P73RVAWR"],"itemData":{"id":3551,"type":"webpage","abstract":"At the 40th session of UNESCO’s General Conference (2019), 193 Members States tasked the Organization with the development of an international standard-setting instrument on Open Science in the form of a UNESCO Recommendation on Open Science to be adopted by Member States in 2021.","title":"UNESCO Recommendation on Open Science","URL":"https://en.unesco.org/science-sustainable-future/open-science/recommendation","author":[{"family":"UNESCO","given":""}],"issued":{"date-parts":[["2021",11]]}}}],"schema":"https://github.com/citation-style-language/schema/raw/master/csl-citation.json"} </w:instrText>
      </w:r>
      <w:r w:rsidR="00CE2DA4" w:rsidRPr="00CE2DA4">
        <w:rPr>
          <w:color w:val="000000"/>
        </w:rPr>
        <w:fldChar w:fldCharType="separate"/>
      </w:r>
      <w:r w:rsidR="00CE2DA4" w:rsidRPr="00CE2DA4">
        <w:t>(OECD Council, 2021; UNESCO, 2021)</w:t>
      </w:r>
      <w:r w:rsidR="00CE2DA4" w:rsidRPr="00CE2DA4">
        <w:rPr>
          <w:color w:val="000000"/>
        </w:rPr>
        <w:fldChar w:fldCharType="end"/>
      </w:r>
      <w:r w:rsidRPr="00CE2DA4">
        <w:rPr>
          <w:color w:val="000000"/>
        </w:rPr>
        <w:t xml:space="preserve">. </w:t>
      </w:r>
    </w:p>
    <w:p w14:paraId="5D5CD8B1" w14:textId="6E3A1C6E" w:rsidR="72262446" w:rsidRPr="00CE2DA4" w:rsidRDefault="72262446" w:rsidP="00822572">
      <w:pPr>
        <w:jc w:val="both"/>
        <w:rPr>
          <w:color w:val="000000"/>
        </w:rPr>
      </w:pPr>
    </w:p>
    <w:p w14:paraId="15BD3882" w14:textId="129EF7AF" w:rsidR="72262446" w:rsidRPr="00CE2DA4" w:rsidRDefault="4D3A081A" w:rsidP="00822572">
      <w:pPr>
        <w:jc w:val="both"/>
        <w:rPr>
          <w:color w:val="000000"/>
        </w:rPr>
      </w:pPr>
      <w:r w:rsidRPr="00CE2DA4">
        <w:rPr>
          <w:color w:val="000000"/>
        </w:rPr>
        <w:t xml:space="preserve">At the same time, national governments and public funding agencies have gradually adopted policies that promote open science </w:t>
      </w:r>
      <w:r w:rsidR="3BC22AE5" w:rsidRPr="00CE2DA4">
        <w:rPr>
          <w:color w:val="000000"/>
        </w:rPr>
        <w:t xml:space="preserve">(OS) </w:t>
      </w:r>
      <w:r w:rsidRPr="00CE2DA4">
        <w:rPr>
          <w:color w:val="000000"/>
        </w:rPr>
        <w:t xml:space="preserve">principles, including open access (OA) to scientific articles and access to data from research. </w:t>
      </w:r>
      <w:r w:rsidR="425E93E9" w:rsidRPr="00CE2DA4">
        <w:rPr>
          <w:color w:val="000000"/>
        </w:rPr>
        <w:t xml:space="preserve">Most recently, the White House announced that all US federal funded research </w:t>
      </w:r>
      <w:r w:rsidR="1ACB2731" w:rsidRPr="00CE2DA4">
        <w:rPr>
          <w:color w:val="000000"/>
        </w:rPr>
        <w:t>must</w:t>
      </w:r>
      <w:r w:rsidR="425E93E9" w:rsidRPr="00CE2DA4">
        <w:rPr>
          <w:color w:val="000000"/>
        </w:rPr>
        <w:t xml:space="preserve"> be published immediately OA and underlying data be </w:t>
      </w:r>
      <w:r w:rsidR="734CF7FF" w:rsidRPr="00CE2DA4">
        <w:rPr>
          <w:color w:val="000000"/>
        </w:rPr>
        <w:t>made available at the time of publication</w:t>
      </w:r>
      <w:r w:rsidR="17F08F8B" w:rsidRPr="00CE2DA4">
        <w:rPr>
          <w:color w:val="000000"/>
        </w:rPr>
        <w:t xml:space="preserve"> </w:t>
      </w:r>
      <w:r w:rsidR="00CE2DA4" w:rsidRPr="00CE2DA4">
        <w:rPr>
          <w:color w:val="000000"/>
        </w:rPr>
        <w:fldChar w:fldCharType="begin"/>
      </w:r>
      <w:r w:rsidR="00CE2DA4" w:rsidRPr="00CE2DA4">
        <w:rPr>
          <w:color w:val="000000"/>
        </w:rPr>
        <w:instrText xml:space="preserve"> ADDIN ZOTERO_ITEM CSL_CITATION {"citationID":"ltbIqfaz","properties":{"formattedCitation":"(White House Office of Science and Technology Policy (OSTP), 2022)","plainCitation":"(White House Office of Science and Technology Policy (OSTP), 2022)","noteIndex":0},"citationItems":[{"id":4283,"uris":["http://zotero.org/users/6331029/items/V5RXZJE4"],"itemData":{"id":4283,"type":"document","title":"Ensuring Free, Immediate, and Equitable Access to Federally Funded Research Memorandum","title-short":"Nelson Memo","URL":"https://www.whitehouse.gov/wp-content/uploads/2022/08/08-2022-OSTP-Public-Access-Memo.pdf","author":[{"family":"White House Office of Science and Technology Policy (OSTP)","given":""}],"accessed":{"date-parts":[["2023",4,20]]},"issued":{"date-parts":[["2022",8,25]]}}}],"schema":"https://github.com/citation-style-language/schema/raw/master/csl-citation.json"} </w:instrText>
      </w:r>
      <w:r w:rsidR="00CE2DA4" w:rsidRPr="00CE2DA4">
        <w:rPr>
          <w:color w:val="000000"/>
        </w:rPr>
        <w:fldChar w:fldCharType="separate"/>
      </w:r>
      <w:r w:rsidR="00CE2DA4" w:rsidRPr="00CE2DA4">
        <w:t>(White House Office of Science and Technology Policy, 2022)</w:t>
      </w:r>
      <w:r w:rsidR="00CE2DA4" w:rsidRPr="00CE2DA4">
        <w:rPr>
          <w:color w:val="000000"/>
        </w:rPr>
        <w:fldChar w:fldCharType="end"/>
      </w:r>
      <w:r w:rsidR="734CF7FF" w:rsidRPr="00CE2DA4">
        <w:rPr>
          <w:color w:val="000000"/>
        </w:rPr>
        <w:t>.</w:t>
      </w:r>
      <w:r w:rsidR="425E93E9" w:rsidRPr="00CE2DA4">
        <w:rPr>
          <w:color w:val="000000"/>
        </w:rPr>
        <w:t xml:space="preserve"> </w:t>
      </w:r>
    </w:p>
    <w:p w14:paraId="346D1B75" w14:textId="76BB8EBE" w:rsidR="11F5B2F3" w:rsidRPr="00CE2DA4" w:rsidRDefault="11F5B2F3" w:rsidP="00822572">
      <w:pPr>
        <w:jc w:val="both"/>
        <w:rPr>
          <w:color w:val="000000"/>
        </w:rPr>
      </w:pPr>
    </w:p>
    <w:p w14:paraId="15FC639C" w14:textId="64AE5391" w:rsidR="3258C3DD" w:rsidRPr="00CE2DA4" w:rsidRDefault="4D3A081A" w:rsidP="00822572">
      <w:pPr>
        <w:jc w:val="both"/>
        <w:rPr>
          <w:color w:val="000000"/>
          <w:lang w:val="en-CA"/>
        </w:rPr>
      </w:pPr>
      <w:r w:rsidRPr="00CE2DA4">
        <w:rPr>
          <w:color w:val="000000"/>
          <w:lang w:val="en-CA"/>
        </w:rPr>
        <w:lastRenderedPageBreak/>
        <w:t>Within the Canadian context,</w:t>
      </w:r>
      <w:r w:rsidR="4FE934FB" w:rsidRPr="00CE2DA4">
        <w:rPr>
          <w:color w:val="000000"/>
          <w:lang w:val="en-CA"/>
        </w:rPr>
        <w:t xml:space="preserve"> the federal funding bodies have OA </w:t>
      </w:r>
      <w:r w:rsidR="5FD60DC4" w:rsidRPr="00CE2DA4">
        <w:rPr>
          <w:color w:val="000000"/>
          <w:lang w:val="en-CA"/>
        </w:rPr>
        <w:t>and</w:t>
      </w:r>
      <w:r w:rsidR="4FE934FB" w:rsidRPr="00CE2DA4">
        <w:rPr>
          <w:color w:val="000000"/>
          <w:lang w:val="en-CA"/>
        </w:rPr>
        <w:t xml:space="preserve"> research data management </w:t>
      </w:r>
      <w:r w:rsidR="33848B6D" w:rsidRPr="00CE2DA4">
        <w:rPr>
          <w:color w:val="000000"/>
          <w:lang w:val="en-CA"/>
        </w:rPr>
        <w:t>policies in place, while t</w:t>
      </w:r>
      <w:r w:rsidR="0AEF9E80" w:rsidRPr="00CE2DA4">
        <w:rPr>
          <w:color w:val="000000"/>
          <w:lang w:val="en-CA"/>
        </w:rPr>
        <w:t>he Quebec provincial funder joined Plan S in 2021</w:t>
      </w:r>
      <w:r w:rsidR="00CE2DA4" w:rsidRPr="00CE2DA4">
        <w:rPr>
          <w:color w:val="000000"/>
          <w:lang w:val="en-CA"/>
        </w:rPr>
        <w:t xml:space="preserve"> </w:t>
      </w:r>
      <w:r w:rsidR="00CE2DA4" w:rsidRPr="00CE2DA4">
        <w:rPr>
          <w:color w:val="000000"/>
          <w:lang w:val="en-CA"/>
        </w:rPr>
        <w:fldChar w:fldCharType="begin"/>
      </w:r>
      <w:r w:rsidR="00CE2DA4" w:rsidRPr="00CE2DA4">
        <w:rPr>
          <w:color w:val="000000"/>
          <w:lang w:val="en-CA"/>
        </w:rPr>
        <w:instrText xml:space="preserve"> ADDIN ZOTERO_ITEM CSL_CITATION {"citationID":"Pn1Nk3dI","properties":{"formattedCitation":"(Birsan, 2021)","plainCitation":"(Birsan, 2021)","noteIndex":0},"citationItems":[{"id":4295,"uris":["http://zotero.org/users/6331029/items/RHL2JJC3"],"itemData":{"id":4295,"type":"webpage","container-title":"Fonds de recherche du Québec","language":"en-US","title":"The Fonds de recherche du Québec support open science by joining cOAlition S","URL":"https://frq.gouv.qc.ca/en/les-fonds-de-recherche-du-quebec-appuient-la-science-ouverte-en-joignant-la-coalition-s/","author":[{"family":"Birsan","given":"Gabriela"}],"accessed":{"date-parts":[["2023",4,21]]},"issued":{"date-parts":[["2021",6,1]]}}}],"schema":"https://github.com/citation-style-language/schema/raw/master/csl-citation.json"} </w:instrText>
      </w:r>
      <w:r w:rsidR="00CE2DA4" w:rsidRPr="00CE2DA4">
        <w:rPr>
          <w:color w:val="000000"/>
          <w:lang w:val="en-CA"/>
        </w:rPr>
        <w:fldChar w:fldCharType="separate"/>
      </w:r>
      <w:r w:rsidR="00CE2DA4" w:rsidRPr="00CE2DA4">
        <w:t>(Birsan, 2021)</w:t>
      </w:r>
      <w:r w:rsidR="00CE2DA4" w:rsidRPr="00CE2DA4">
        <w:rPr>
          <w:color w:val="000000"/>
          <w:lang w:val="en-CA"/>
        </w:rPr>
        <w:fldChar w:fldCharType="end"/>
      </w:r>
      <w:r w:rsidR="4FE934FB" w:rsidRPr="00CE2DA4">
        <w:rPr>
          <w:color w:val="000000"/>
          <w:lang w:val="en-CA"/>
        </w:rPr>
        <w:t>.</w:t>
      </w:r>
      <w:r w:rsidRPr="00CE2DA4">
        <w:rPr>
          <w:color w:val="000000"/>
          <w:lang w:val="en-CA"/>
        </w:rPr>
        <w:t xml:space="preserve"> </w:t>
      </w:r>
      <w:r w:rsidR="3258C3DD" w:rsidRPr="00CE2DA4">
        <w:rPr>
          <w:color w:val="000000"/>
          <w:lang w:val="en-CA"/>
        </w:rPr>
        <w:t xml:space="preserve">In February 2020, </w:t>
      </w:r>
      <w:r w:rsidRPr="00CE2DA4">
        <w:rPr>
          <w:color w:val="000000"/>
          <w:lang w:val="en-CA"/>
        </w:rPr>
        <w:t xml:space="preserve">Canada's Chief Science Advisor released the federal </w:t>
      </w:r>
      <w:r w:rsidRPr="00CE2DA4">
        <w:rPr>
          <w:i/>
          <w:iCs/>
          <w:color w:val="000000"/>
          <w:lang w:val="en-CA"/>
        </w:rPr>
        <w:t>Roadmap for Open Science</w:t>
      </w:r>
      <w:r w:rsidRPr="00CE2DA4">
        <w:rPr>
          <w:color w:val="000000"/>
          <w:lang w:val="en-CA"/>
        </w:rPr>
        <w:t xml:space="preserve"> </w:t>
      </w:r>
      <w:r w:rsidR="647594F3" w:rsidRPr="00CE2DA4">
        <w:rPr>
          <w:color w:val="000000"/>
          <w:lang w:val="en-CA"/>
        </w:rPr>
        <w:t xml:space="preserve">(ROS) </w:t>
      </w:r>
      <w:r w:rsidRPr="00CE2DA4">
        <w:rPr>
          <w:color w:val="000000"/>
          <w:lang w:val="en-CA"/>
        </w:rPr>
        <w:t xml:space="preserve">with the overarching goal of making </w:t>
      </w:r>
      <w:r w:rsidR="7C097ECB" w:rsidRPr="00CE2DA4">
        <w:rPr>
          <w:color w:val="000000"/>
          <w:lang w:val="en-CA"/>
        </w:rPr>
        <w:t xml:space="preserve">research conducted by federal scientists </w:t>
      </w:r>
      <w:r w:rsidRPr="00CE2DA4">
        <w:rPr>
          <w:color w:val="000000"/>
          <w:lang w:val="en-CA"/>
        </w:rPr>
        <w:t xml:space="preserve">openly available </w:t>
      </w:r>
      <w:r w:rsidR="00CE2DA4" w:rsidRPr="00CE2DA4">
        <w:rPr>
          <w:color w:val="000000"/>
          <w:lang w:val="en-US"/>
        </w:rPr>
        <w:fldChar w:fldCharType="begin"/>
      </w:r>
      <w:r w:rsidR="00CE2DA4" w:rsidRPr="00CE2DA4">
        <w:rPr>
          <w:color w:val="000000"/>
          <w:lang w:val="en-US"/>
        </w:rPr>
        <w:instrText xml:space="preserve"> ADDIN ZOTERO_ITEM CSL_CITATION {"citationID":"lTkmfpsn","properties":{"formattedCitation":"(Office of the Chief Science Advisory, 2020)","plainCitation":"(Office of the Chief Science Advisory, 2020)","noteIndex":0},"citationItems":[{"id":1858,"uris":["http://zotero.org/users/6331029/items/6M5ZM6FM"],"itemData":{"id":1858,"type":"document","abstract":"This Roadmap outlines next steps that should be taken to make federal science open to all, while respecting privacy, security, ethical considerations and appropriate intellectual property protection. It has been informed by the work of the Open Science Roadmap Advisory Committee, chaired by Leslie Weir. The Committee worked diligently under tight timelines and delivered unanimous principles that guided my recommendations. The Roadmap was further refined thanks to the thoughtful feedback received from the federal departments, agencies and granting councils.","title":"Roadmap for Open Science","URL":"https://science.gc.ca/eic/site/063.nsf/eng/h_97992.html","author":[{"family":"Office of the Chief Science Advisory","given":""}],"accessed":{"date-parts":[["2022",11,8]]},"issued":{"date-parts":[["2020",2]]}}}],"schema":"https://github.com/citation-style-language/schema/raw/master/csl-citation.json"} </w:instrText>
      </w:r>
      <w:r w:rsidR="00CE2DA4" w:rsidRPr="00CE2DA4">
        <w:rPr>
          <w:color w:val="000000"/>
          <w:lang w:val="en-US"/>
        </w:rPr>
        <w:fldChar w:fldCharType="separate"/>
      </w:r>
      <w:r w:rsidR="00CE2DA4" w:rsidRPr="00CE2DA4">
        <w:t>(Office of the Chief Science Advisory, 2020)</w:t>
      </w:r>
      <w:r w:rsidR="00CE2DA4" w:rsidRPr="00CE2DA4">
        <w:rPr>
          <w:color w:val="000000"/>
          <w:lang w:val="en-US"/>
        </w:rPr>
        <w:fldChar w:fldCharType="end"/>
      </w:r>
      <w:r w:rsidRPr="00CE2DA4">
        <w:rPr>
          <w:color w:val="000000"/>
          <w:lang w:val="en-CA"/>
        </w:rPr>
        <w:t xml:space="preserve">. </w:t>
      </w:r>
      <w:r w:rsidR="34224CA8" w:rsidRPr="00CE2DA4">
        <w:rPr>
          <w:color w:val="000000"/>
          <w:lang w:val="en-CA"/>
        </w:rPr>
        <w:t>The Roadmap</w:t>
      </w:r>
      <w:r w:rsidR="47459280" w:rsidRPr="00CE2DA4">
        <w:rPr>
          <w:color w:val="000000"/>
          <w:lang w:val="en-CA"/>
        </w:rPr>
        <w:t>’</w:t>
      </w:r>
      <w:r w:rsidR="34224CA8" w:rsidRPr="00CE2DA4">
        <w:rPr>
          <w:color w:val="000000"/>
          <w:lang w:val="en-CA"/>
        </w:rPr>
        <w:t xml:space="preserve">s primary recommendations for federal science-based departments and agencies (SBDAs) </w:t>
      </w:r>
      <w:r w:rsidR="5D2022CB" w:rsidRPr="00CE2DA4">
        <w:rPr>
          <w:color w:val="000000"/>
          <w:lang w:val="en-CA"/>
        </w:rPr>
        <w:t>are</w:t>
      </w:r>
      <w:r w:rsidR="34224CA8" w:rsidRPr="00CE2DA4">
        <w:rPr>
          <w:color w:val="000000"/>
          <w:lang w:val="en-CA"/>
        </w:rPr>
        <w:t>:</w:t>
      </w:r>
    </w:p>
    <w:p w14:paraId="31D47E67" w14:textId="15AC63AC" w:rsidR="16D13026" w:rsidRPr="00CE2DA4" w:rsidRDefault="16D13026" w:rsidP="00822572">
      <w:pPr>
        <w:pStyle w:val="ListParagraph"/>
        <w:numPr>
          <w:ilvl w:val="0"/>
          <w:numId w:val="11"/>
        </w:numPr>
        <w:jc w:val="both"/>
        <w:rPr>
          <w:color w:val="000000"/>
          <w:lang w:val="en-CA"/>
        </w:rPr>
      </w:pPr>
      <w:r w:rsidRPr="00CE2DA4">
        <w:rPr>
          <w:color w:val="000000"/>
          <w:lang w:val="en-CA"/>
        </w:rPr>
        <w:t>To e</w:t>
      </w:r>
      <w:r w:rsidR="5D32A2D4" w:rsidRPr="00CE2DA4">
        <w:rPr>
          <w:color w:val="000000"/>
          <w:lang w:val="en-CA"/>
        </w:rPr>
        <w:t xml:space="preserve">ngage their departmental scientific community to identify challenges and opportunities </w:t>
      </w:r>
      <w:r w:rsidR="3CE4200B" w:rsidRPr="00CE2DA4">
        <w:rPr>
          <w:color w:val="000000"/>
          <w:lang w:val="en-CA"/>
        </w:rPr>
        <w:t xml:space="preserve">of </w:t>
      </w:r>
      <w:r w:rsidR="65BDFFAA" w:rsidRPr="00CE2DA4">
        <w:rPr>
          <w:color w:val="000000"/>
          <w:lang w:val="en-CA"/>
        </w:rPr>
        <w:t>OS</w:t>
      </w:r>
      <w:r w:rsidR="5C973236" w:rsidRPr="00CE2DA4">
        <w:rPr>
          <w:color w:val="000000"/>
          <w:lang w:val="en-CA"/>
        </w:rPr>
        <w:t xml:space="preserve"> [</w:t>
      </w:r>
      <w:r w:rsidR="410AA191" w:rsidRPr="00CE2DA4">
        <w:rPr>
          <w:color w:val="000000"/>
          <w:lang w:val="en-CA"/>
        </w:rPr>
        <w:t>ROS recommendation 2</w:t>
      </w:r>
      <w:r w:rsidR="5C973236" w:rsidRPr="00CE2DA4">
        <w:rPr>
          <w:color w:val="000000"/>
          <w:lang w:val="en-CA"/>
        </w:rPr>
        <w:t>]</w:t>
      </w:r>
      <w:r w:rsidR="5D32A2D4" w:rsidRPr="00CE2DA4">
        <w:rPr>
          <w:color w:val="000000"/>
          <w:lang w:val="en-CA"/>
        </w:rPr>
        <w:t>;</w:t>
      </w:r>
    </w:p>
    <w:p w14:paraId="406F7D52" w14:textId="11786E6A" w:rsidR="5D32A2D4" w:rsidRPr="00CE2DA4" w:rsidRDefault="5D32A2D4" w:rsidP="00822572">
      <w:pPr>
        <w:pStyle w:val="ListParagraph"/>
        <w:numPr>
          <w:ilvl w:val="0"/>
          <w:numId w:val="11"/>
        </w:numPr>
        <w:jc w:val="both"/>
        <w:rPr>
          <w:color w:val="000000"/>
          <w:lang w:val="en-CA"/>
        </w:rPr>
      </w:pPr>
      <w:r w:rsidRPr="00CE2DA4">
        <w:rPr>
          <w:color w:val="000000"/>
          <w:lang w:val="en-CA"/>
        </w:rPr>
        <w:t xml:space="preserve">Make </w:t>
      </w:r>
      <w:r w:rsidR="2EE623AE" w:rsidRPr="00CE2DA4">
        <w:rPr>
          <w:color w:val="000000"/>
          <w:lang w:val="en-CA"/>
        </w:rPr>
        <w:t>scholarly articles authored or co-authored by federal scientists</w:t>
      </w:r>
      <w:r w:rsidRPr="00CE2DA4">
        <w:rPr>
          <w:color w:val="000000"/>
          <w:lang w:val="en-CA"/>
        </w:rPr>
        <w:t xml:space="preserve"> published in scholarly journals </w:t>
      </w:r>
      <w:r w:rsidR="64D7F871" w:rsidRPr="00CE2DA4">
        <w:rPr>
          <w:color w:val="000000"/>
          <w:lang w:val="en-CA"/>
        </w:rPr>
        <w:t>OA</w:t>
      </w:r>
      <w:r w:rsidRPr="00CE2DA4">
        <w:rPr>
          <w:color w:val="000000"/>
          <w:lang w:val="en-CA"/>
        </w:rPr>
        <w:t xml:space="preserve"> without an embargo period</w:t>
      </w:r>
      <w:r w:rsidR="22FD40E4" w:rsidRPr="00CE2DA4">
        <w:rPr>
          <w:color w:val="000000"/>
          <w:lang w:val="en-CA"/>
        </w:rPr>
        <w:t xml:space="preserve"> [</w:t>
      </w:r>
      <w:r w:rsidR="61AC15E1" w:rsidRPr="00CE2DA4">
        <w:rPr>
          <w:color w:val="000000"/>
          <w:lang w:val="en-CA"/>
        </w:rPr>
        <w:t xml:space="preserve">ROS recommendation </w:t>
      </w:r>
      <w:r w:rsidR="04C62F19" w:rsidRPr="00CE2DA4">
        <w:rPr>
          <w:color w:val="000000"/>
          <w:lang w:val="en-CA"/>
        </w:rPr>
        <w:t>4</w:t>
      </w:r>
      <w:r w:rsidR="22FD40E4" w:rsidRPr="00CE2DA4">
        <w:rPr>
          <w:color w:val="000000"/>
          <w:lang w:val="en-CA"/>
        </w:rPr>
        <w:t>]</w:t>
      </w:r>
      <w:r w:rsidRPr="00CE2DA4">
        <w:rPr>
          <w:color w:val="000000"/>
          <w:lang w:val="en-CA"/>
        </w:rPr>
        <w:t>;</w:t>
      </w:r>
      <w:r w:rsidR="4F93B115" w:rsidRPr="00CE2DA4">
        <w:rPr>
          <w:color w:val="000000"/>
          <w:lang w:val="en-CA"/>
        </w:rPr>
        <w:t xml:space="preserve"> and</w:t>
      </w:r>
    </w:p>
    <w:p w14:paraId="35CEA90A" w14:textId="03D98974" w:rsidR="5D32A2D4" w:rsidRPr="00CE2DA4" w:rsidRDefault="5D32A2D4" w:rsidP="00822572">
      <w:pPr>
        <w:pStyle w:val="ListParagraph"/>
        <w:numPr>
          <w:ilvl w:val="0"/>
          <w:numId w:val="11"/>
        </w:numPr>
        <w:jc w:val="both"/>
        <w:rPr>
          <w:color w:val="000000"/>
          <w:lang w:val="en-CA"/>
        </w:rPr>
      </w:pPr>
      <w:r w:rsidRPr="00CE2DA4">
        <w:rPr>
          <w:color w:val="000000"/>
          <w:lang w:val="en-CA"/>
        </w:rPr>
        <w:t>Develop strategies to ensure that scientific data is FAIR (Findable, Accessible, Interoperable, and Reusable)</w:t>
      </w:r>
      <w:r w:rsidR="3EC06F58" w:rsidRPr="00CE2DA4">
        <w:rPr>
          <w:color w:val="000000"/>
          <w:lang w:val="en-CA"/>
        </w:rPr>
        <w:t xml:space="preserve"> [</w:t>
      </w:r>
      <w:r w:rsidR="0A6D2B9B" w:rsidRPr="00CE2DA4">
        <w:rPr>
          <w:color w:val="000000"/>
          <w:lang w:val="en-CA"/>
        </w:rPr>
        <w:t xml:space="preserve">ROS recommendation </w:t>
      </w:r>
      <w:r w:rsidR="083EF782" w:rsidRPr="00CE2DA4">
        <w:rPr>
          <w:color w:val="000000"/>
          <w:lang w:val="en-CA"/>
        </w:rPr>
        <w:t>5</w:t>
      </w:r>
      <w:r w:rsidR="3EC06F58" w:rsidRPr="00CE2DA4">
        <w:rPr>
          <w:color w:val="000000"/>
          <w:lang w:val="en-CA"/>
        </w:rPr>
        <w:t>]</w:t>
      </w:r>
      <w:r w:rsidRPr="00CE2DA4">
        <w:rPr>
          <w:color w:val="000000"/>
          <w:lang w:val="en-CA"/>
        </w:rPr>
        <w:t>;</w:t>
      </w:r>
    </w:p>
    <w:p w14:paraId="57F278E3" w14:textId="5430A36F" w:rsidR="676CBA40" w:rsidRPr="00CE2DA4" w:rsidRDefault="676CBA40" w:rsidP="00822572">
      <w:pPr>
        <w:pStyle w:val="ListParagraph"/>
        <w:numPr>
          <w:ilvl w:val="0"/>
          <w:numId w:val="11"/>
        </w:numPr>
        <w:jc w:val="both"/>
        <w:rPr>
          <w:color w:val="000000"/>
          <w:lang w:val="en-CA"/>
        </w:rPr>
      </w:pPr>
      <w:r w:rsidRPr="00CE2DA4">
        <w:rPr>
          <w:color w:val="000000"/>
          <w:lang w:val="en-CA"/>
        </w:rPr>
        <w:t xml:space="preserve">Develop an </w:t>
      </w:r>
      <w:r w:rsidR="24D61B87" w:rsidRPr="00CE2DA4">
        <w:rPr>
          <w:color w:val="000000"/>
          <w:lang w:val="en-CA"/>
        </w:rPr>
        <w:t>OS</w:t>
      </w:r>
      <w:r w:rsidRPr="00CE2DA4">
        <w:rPr>
          <w:color w:val="000000"/>
          <w:lang w:val="en-CA"/>
        </w:rPr>
        <w:t xml:space="preserve"> Action Plan describing how they intend to meet the recommendations set out in the Roadmap</w:t>
      </w:r>
      <w:r w:rsidR="553D0BFF" w:rsidRPr="00CE2DA4">
        <w:rPr>
          <w:color w:val="000000"/>
          <w:lang w:val="en-CA"/>
        </w:rPr>
        <w:t xml:space="preserve"> [ROS recommendation </w:t>
      </w:r>
      <w:r w:rsidR="17AE69BA" w:rsidRPr="00CE2DA4">
        <w:rPr>
          <w:color w:val="000000"/>
          <w:lang w:val="en-CA"/>
        </w:rPr>
        <w:t>3</w:t>
      </w:r>
      <w:r w:rsidR="553D0BFF" w:rsidRPr="00CE2DA4">
        <w:rPr>
          <w:color w:val="000000"/>
          <w:lang w:val="en-CA"/>
        </w:rPr>
        <w:t>]</w:t>
      </w:r>
      <w:r w:rsidRPr="00CE2DA4">
        <w:rPr>
          <w:color w:val="000000"/>
          <w:lang w:val="en-CA"/>
        </w:rPr>
        <w:t>;</w:t>
      </w:r>
    </w:p>
    <w:p w14:paraId="1A712979" w14:textId="5C2A89B3" w:rsidR="3E01852A" w:rsidRPr="00CE2DA4" w:rsidRDefault="3E01852A" w:rsidP="00822572">
      <w:pPr>
        <w:jc w:val="both"/>
        <w:rPr>
          <w:color w:val="000000"/>
          <w:lang w:val="en-CA"/>
        </w:rPr>
      </w:pPr>
    </w:p>
    <w:p w14:paraId="18195CB2" w14:textId="4ADECE17" w:rsidR="36E22876" w:rsidRDefault="36E22876" w:rsidP="00822572">
      <w:pPr>
        <w:jc w:val="both"/>
      </w:pPr>
      <w:r>
        <w:t xml:space="preserve">The </w:t>
      </w:r>
      <w:r w:rsidR="740079B2">
        <w:t xml:space="preserve">ROS </w:t>
      </w:r>
      <w:r>
        <w:t xml:space="preserve">and individual departmental action plans </w:t>
      </w:r>
      <w:r w:rsidRPr="442DFDDF">
        <w:t xml:space="preserve">provide an opportunity to critically examine how the government understands </w:t>
      </w:r>
      <w:r w:rsidR="743B3587" w:rsidRPr="442DFDDF">
        <w:t xml:space="preserve">and implements </w:t>
      </w:r>
      <w:r w:rsidR="3FC7E49D" w:rsidRPr="442DFDDF">
        <w:t>OS</w:t>
      </w:r>
      <w:r w:rsidRPr="442DFDDF">
        <w:t xml:space="preserve"> activities in Canada and how it intends to address obstacles impeding access to federal research.</w:t>
      </w:r>
      <w:r w:rsidR="3D36AF70" w:rsidRPr="442DFDDF">
        <w:t xml:space="preserve"> </w:t>
      </w:r>
      <w:r w:rsidR="5AB11E9F" w:rsidRPr="00CE2DA4">
        <w:rPr>
          <w:color w:val="000000"/>
        </w:rPr>
        <w:t>This</w:t>
      </w:r>
      <w:r w:rsidR="3A33800A" w:rsidRPr="00CE2DA4">
        <w:rPr>
          <w:color w:val="000000"/>
        </w:rPr>
        <w:t xml:space="preserve"> </w:t>
      </w:r>
      <w:r w:rsidR="5AB11E9F" w:rsidRPr="00CE2DA4">
        <w:rPr>
          <w:color w:val="000000"/>
        </w:rPr>
        <w:t>research-in-progress paper presents initial results that</w:t>
      </w:r>
      <w:r w:rsidR="3C46A578" w:rsidRPr="442DFDDF">
        <w:t xml:space="preserve"> </w:t>
      </w:r>
      <w:r w:rsidRPr="442DFDDF">
        <w:t xml:space="preserve">explores the following questions: (1) </w:t>
      </w:r>
      <w:r w:rsidR="5AE12112" w:rsidRPr="442DFDDF">
        <w:t xml:space="preserve">how have SBDAs engaged in OA prior to </w:t>
      </w:r>
      <w:r w:rsidR="5119B872" w:rsidRPr="442DFDDF">
        <w:t>ROS</w:t>
      </w:r>
      <w:r w:rsidR="5AE12112" w:rsidRPr="442DFDDF">
        <w:t xml:space="preserve"> coming into force</w:t>
      </w:r>
      <w:r w:rsidR="26D25D46" w:rsidRPr="442DFDDF">
        <w:t xml:space="preserve"> in January 2022</w:t>
      </w:r>
      <w:r w:rsidR="5AE12112" w:rsidRPr="442DFDDF">
        <w:t xml:space="preserve">?; (2) </w:t>
      </w:r>
      <w:r w:rsidR="36E70688" w:rsidRPr="442DFDDF">
        <w:t>w</w:t>
      </w:r>
      <w:r w:rsidRPr="442DFDDF">
        <w:t xml:space="preserve">hat are the approaches, rationales and instruments that SBDAs plan to adopt to satisfy the </w:t>
      </w:r>
      <w:r w:rsidR="1A9290B4" w:rsidRPr="442DFDDF">
        <w:t xml:space="preserve">ROS </w:t>
      </w:r>
      <w:r w:rsidRPr="442DFDDF">
        <w:t>requirements</w:t>
      </w:r>
      <w:r w:rsidR="738A2B06" w:rsidRPr="442DFDDF">
        <w:t>?</w:t>
      </w:r>
      <w:r w:rsidRPr="442DFDDF">
        <w:t xml:space="preserve">; </w:t>
      </w:r>
      <w:r w:rsidR="58C657D8" w:rsidRPr="442DFDDF">
        <w:t xml:space="preserve">and </w:t>
      </w:r>
      <w:r w:rsidRPr="442DFDDF">
        <w:t>(</w:t>
      </w:r>
      <w:r w:rsidR="57AFBF9C" w:rsidRPr="442DFDDF">
        <w:t>3</w:t>
      </w:r>
      <w:r w:rsidRPr="442DFDDF">
        <w:t xml:space="preserve">) </w:t>
      </w:r>
      <w:r w:rsidR="0A798C5C" w:rsidRPr="442DFDDF">
        <w:t>how do they differ</w:t>
      </w:r>
      <w:r w:rsidRPr="442DFDDF">
        <w:t xml:space="preserve"> between SBDAs</w:t>
      </w:r>
      <w:r w:rsidR="7D0F0C99" w:rsidRPr="442DFDDF">
        <w:t>?</w:t>
      </w:r>
      <w:r w:rsidR="76F9A6CA" w:rsidRPr="442DFDDF">
        <w:t xml:space="preserve"> </w:t>
      </w:r>
    </w:p>
    <w:p w14:paraId="1D0272A8" w14:textId="1BFCB5AD" w:rsidR="3E01852A" w:rsidRDefault="3E01852A" w:rsidP="00822572">
      <w:pPr>
        <w:jc w:val="both"/>
      </w:pPr>
    </w:p>
    <w:p w14:paraId="42CA0BBA" w14:textId="2E704CC7" w:rsidR="45F09D64" w:rsidRDefault="6A70C2A0" w:rsidP="00822572">
      <w:pPr>
        <w:jc w:val="both"/>
      </w:pPr>
      <w:r w:rsidRPr="442DFDDF">
        <w:rPr>
          <w:b/>
          <w:bCs/>
        </w:rPr>
        <w:t>2</w:t>
      </w:r>
      <w:r w:rsidR="5CB1907C" w:rsidRPr="442DFDDF">
        <w:rPr>
          <w:b/>
          <w:bCs/>
        </w:rPr>
        <w:t xml:space="preserve">. </w:t>
      </w:r>
      <w:r w:rsidR="45F09D64" w:rsidRPr="442DFDDF">
        <w:rPr>
          <w:b/>
          <w:bCs/>
        </w:rPr>
        <w:t>Methodology</w:t>
      </w:r>
      <w:r w:rsidR="7943B289" w:rsidRPr="442DFDDF">
        <w:rPr>
          <w:b/>
          <w:bCs/>
        </w:rPr>
        <w:t xml:space="preserve"> </w:t>
      </w:r>
    </w:p>
    <w:p w14:paraId="71E5193E" w14:textId="64A76D2D" w:rsidR="1E7B87F8" w:rsidRPr="00CE2DA4" w:rsidRDefault="1E7B87F8" w:rsidP="00822572">
      <w:pPr>
        <w:jc w:val="both"/>
        <w:rPr>
          <w:color w:val="000000"/>
          <w:lang w:val="en-US"/>
        </w:rPr>
      </w:pPr>
      <w:r>
        <w:t xml:space="preserve">This study uses a </w:t>
      </w:r>
      <w:r w:rsidR="4E8EFEE9">
        <w:t xml:space="preserve">sequential </w:t>
      </w:r>
      <w:r>
        <w:t>mixed-methods approach to investigate</w:t>
      </w:r>
      <w:r w:rsidR="23F03BB0">
        <w:t xml:space="preserve"> current publication </w:t>
      </w:r>
      <w:r w:rsidR="5B55BDD4">
        <w:t>behaviours</w:t>
      </w:r>
      <w:r w:rsidR="23F03BB0">
        <w:t xml:space="preserve"> of federal scientists and how we may interpret</w:t>
      </w:r>
      <w:r>
        <w:t xml:space="preserve"> </w:t>
      </w:r>
      <w:r w:rsidR="3E7251D9">
        <w:t xml:space="preserve">potential impacts of </w:t>
      </w:r>
      <w:r w:rsidR="3AC25DDB">
        <w:t xml:space="preserve">a newly implemented </w:t>
      </w:r>
      <w:r w:rsidR="1F06DDF0">
        <w:t>OS</w:t>
      </w:r>
      <w:r>
        <w:t xml:space="preserve"> policy</w:t>
      </w:r>
      <w:r w:rsidR="08C4BC5C">
        <w:t>.</w:t>
      </w:r>
      <w:r>
        <w:t xml:space="preserve"> </w:t>
      </w:r>
      <w:r w:rsidR="57C13196">
        <w:t xml:space="preserve">We </w:t>
      </w:r>
      <w:r w:rsidR="3588AD00">
        <w:t xml:space="preserve">first </w:t>
      </w:r>
      <w:r w:rsidR="57C13196">
        <w:t xml:space="preserve">used </w:t>
      </w:r>
      <w:r w:rsidR="4590C3E3">
        <w:t xml:space="preserve">bibliometric analysis to ground our understanding of current </w:t>
      </w:r>
      <w:r w:rsidR="5445E717">
        <w:t xml:space="preserve">SBDA publication patterns </w:t>
      </w:r>
      <w:r w:rsidR="4590C3E3">
        <w:t xml:space="preserve">and </w:t>
      </w:r>
      <w:r w:rsidR="4F37CF4C">
        <w:t xml:space="preserve">then </w:t>
      </w:r>
      <w:r w:rsidR="0B06B3DB">
        <w:t xml:space="preserve">carried out </w:t>
      </w:r>
      <w:r w:rsidR="4590C3E3">
        <w:t xml:space="preserve">a </w:t>
      </w:r>
      <w:r w:rsidR="57C13196">
        <w:t xml:space="preserve">content analysis </w:t>
      </w:r>
      <w:r w:rsidR="1B066464">
        <w:t>of</w:t>
      </w:r>
      <w:r w:rsidR="57C13196">
        <w:t xml:space="preserve"> SBDA action plans. The results of the study will establish a framework for future analyses of the </w:t>
      </w:r>
      <w:r w:rsidR="668F80D6">
        <w:t xml:space="preserve">policy change and its effect on OS practices </w:t>
      </w:r>
      <w:r w:rsidR="48811E93">
        <w:t>by Canadian federal scientists</w:t>
      </w:r>
      <w:r w:rsidR="57C13196">
        <w:t>.</w:t>
      </w:r>
      <w:r w:rsidR="22748C38">
        <w:t xml:space="preserve"> </w:t>
      </w:r>
    </w:p>
    <w:p w14:paraId="54CD85FD" w14:textId="4A255577" w:rsidR="1E7B87F8" w:rsidRPr="00CE2DA4" w:rsidRDefault="1E7B87F8" w:rsidP="00822572">
      <w:pPr>
        <w:jc w:val="both"/>
        <w:rPr>
          <w:color w:val="000000"/>
          <w:lang w:val="en-US"/>
        </w:rPr>
      </w:pPr>
    </w:p>
    <w:p w14:paraId="0669C02E" w14:textId="32E8CC2C" w:rsidR="11F5B2F3" w:rsidRPr="00822572" w:rsidRDefault="4769A18D" w:rsidP="00822572">
      <w:pPr>
        <w:jc w:val="both"/>
        <w:rPr>
          <w:i/>
          <w:iCs/>
        </w:rPr>
      </w:pPr>
      <w:r w:rsidRPr="00822572">
        <w:rPr>
          <w:i/>
          <w:iCs/>
        </w:rPr>
        <w:t>2.1 Bibliometric and co-authorship analysis</w:t>
      </w:r>
    </w:p>
    <w:p w14:paraId="424232C6" w14:textId="3FCA2DAA" w:rsidR="11F5B2F3" w:rsidRPr="00CE2DA4" w:rsidRDefault="7A0459DD" w:rsidP="00822572">
      <w:pPr>
        <w:spacing w:line="259" w:lineRule="auto"/>
        <w:jc w:val="both"/>
        <w:rPr>
          <w:color w:val="000000"/>
        </w:rPr>
      </w:pPr>
      <w:r>
        <w:t>B</w:t>
      </w:r>
      <w:r w:rsidR="3E3DE971">
        <w:t>ibliographic metadata was retrieved from Web of Science</w:t>
      </w:r>
      <w:r w:rsidR="3A7D7300">
        <w:t xml:space="preserve"> (WoS),</w:t>
      </w:r>
      <w:r w:rsidR="3C46A578">
        <w:t xml:space="preserve"> </w:t>
      </w:r>
      <w:r w:rsidR="518FB17A" w:rsidRPr="00CE2DA4">
        <w:rPr>
          <w:color w:val="000000"/>
        </w:rPr>
        <w:t xml:space="preserve">by </w:t>
      </w:r>
      <w:r w:rsidR="76C549E3" w:rsidRPr="00CE2DA4">
        <w:rPr>
          <w:color w:val="000000"/>
        </w:rPr>
        <w:t>searching organizational affiliations of the</w:t>
      </w:r>
      <w:r w:rsidR="4769A18D" w:rsidRPr="00CE2DA4">
        <w:rPr>
          <w:color w:val="000000"/>
        </w:rPr>
        <w:t xml:space="preserve"> </w:t>
      </w:r>
      <w:r w:rsidR="27D3912C" w:rsidRPr="00CE2DA4">
        <w:rPr>
          <w:color w:val="000000"/>
        </w:rPr>
        <w:t xml:space="preserve">ten </w:t>
      </w:r>
      <w:r w:rsidR="4769A18D" w:rsidRPr="00CE2DA4">
        <w:rPr>
          <w:color w:val="000000"/>
        </w:rPr>
        <w:t>SBDAs that produced an action plan</w:t>
      </w:r>
      <w:r w:rsidR="00822572" w:rsidRPr="00CE2DA4">
        <w:rPr>
          <w:color w:val="000000"/>
        </w:rPr>
        <w:t xml:space="preserve"> </w:t>
      </w:r>
      <w:r w:rsidR="2DE8D14C" w:rsidRPr="00CE2DA4">
        <w:rPr>
          <w:color w:val="000000"/>
        </w:rPr>
        <w:t>for the years</w:t>
      </w:r>
      <w:r w:rsidR="4769A18D" w:rsidRPr="00CE2DA4">
        <w:rPr>
          <w:color w:val="000000"/>
        </w:rPr>
        <w:t xml:space="preserve"> 2017 to 2021. OA status, including Gold, Hybrid, and Green OA, is provided at the article-level in WoS based on information provided by Unpaywall. Within the OA status, article-level OA of all versions are identified when multiple versions of an article are available (e.g., gold and green, hybrid and green).</w:t>
      </w:r>
      <w:r w:rsidR="04863F57" w:rsidRPr="00CE2DA4">
        <w:rPr>
          <w:color w:val="000000"/>
        </w:rPr>
        <w:t xml:space="preserve"> </w:t>
      </w:r>
      <w:r w:rsidR="3C46A578" w:rsidRPr="00CE2DA4">
        <w:rPr>
          <w:color w:val="000000"/>
        </w:rPr>
        <w:t xml:space="preserve"> </w:t>
      </w:r>
      <w:r w:rsidR="04863F57" w:rsidRPr="00CE2DA4">
        <w:rPr>
          <w:color w:val="000000"/>
        </w:rPr>
        <w:t xml:space="preserve"> </w:t>
      </w:r>
    </w:p>
    <w:p w14:paraId="7DF6F72E" w14:textId="25EC532B" w:rsidR="11F5B2F3" w:rsidRDefault="11F5B2F3" w:rsidP="00822572">
      <w:pPr>
        <w:jc w:val="both"/>
        <w:rPr>
          <w:b/>
          <w:bCs/>
        </w:rPr>
      </w:pPr>
    </w:p>
    <w:p w14:paraId="072DC113" w14:textId="498E5C8F" w:rsidR="76560458" w:rsidRPr="00CE2DA4" w:rsidRDefault="4769A18D" w:rsidP="00822572">
      <w:pPr>
        <w:jc w:val="both"/>
        <w:rPr>
          <w:i/>
          <w:iCs/>
          <w:color w:val="000000"/>
          <w:lang w:val="en-US"/>
        </w:rPr>
      </w:pPr>
      <w:r w:rsidRPr="00CE2DA4">
        <w:rPr>
          <w:i/>
          <w:iCs/>
          <w:color w:val="000000"/>
          <w:lang w:val="en-US"/>
        </w:rPr>
        <w:t>2</w:t>
      </w:r>
      <w:r w:rsidR="08056D38" w:rsidRPr="00CE2DA4">
        <w:rPr>
          <w:i/>
          <w:iCs/>
          <w:color w:val="000000"/>
          <w:lang w:val="en-US"/>
        </w:rPr>
        <w:t>.</w:t>
      </w:r>
      <w:r w:rsidR="089F7409" w:rsidRPr="00CE2DA4">
        <w:rPr>
          <w:i/>
          <w:iCs/>
          <w:color w:val="000000"/>
          <w:lang w:val="en-US"/>
        </w:rPr>
        <w:t>2</w:t>
      </w:r>
      <w:r w:rsidR="08056D38" w:rsidRPr="00CE2DA4">
        <w:rPr>
          <w:i/>
          <w:iCs/>
          <w:color w:val="000000"/>
          <w:lang w:val="en-US"/>
        </w:rPr>
        <w:t xml:space="preserve"> Content analysis of SBDA </w:t>
      </w:r>
      <w:r w:rsidR="362E5BB0" w:rsidRPr="00CE2DA4">
        <w:rPr>
          <w:i/>
          <w:iCs/>
          <w:color w:val="000000"/>
          <w:lang w:val="en-US"/>
        </w:rPr>
        <w:t>a</w:t>
      </w:r>
      <w:r w:rsidR="08056D38" w:rsidRPr="00CE2DA4">
        <w:rPr>
          <w:i/>
          <w:iCs/>
          <w:color w:val="000000"/>
          <w:lang w:val="en-US"/>
        </w:rPr>
        <w:t>ction plans</w:t>
      </w:r>
    </w:p>
    <w:p w14:paraId="21B6A50A" w14:textId="50127400" w:rsidR="78C9CC6F" w:rsidRPr="00CE2DA4" w:rsidRDefault="7F5B60A1" w:rsidP="00822572">
      <w:pPr>
        <w:jc w:val="both"/>
        <w:rPr>
          <w:color w:val="000000"/>
          <w:lang w:val="en-US"/>
        </w:rPr>
      </w:pPr>
      <w:r w:rsidRPr="00CE2DA4">
        <w:rPr>
          <w:color w:val="000000"/>
          <w:lang w:val="en-US"/>
        </w:rPr>
        <w:t>The study analy</w:t>
      </w:r>
      <w:r w:rsidR="6A5ACF78" w:rsidRPr="00CE2DA4">
        <w:rPr>
          <w:color w:val="000000"/>
          <w:lang w:val="en-US"/>
        </w:rPr>
        <w:t>z</w:t>
      </w:r>
      <w:r w:rsidRPr="00CE2DA4">
        <w:rPr>
          <w:color w:val="000000"/>
          <w:lang w:val="en-US"/>
        </w:rPr>
        <w:t>es the ten publicly available SBDA action plans available at the time of this inquiry</w:t>
      </w:r>
      <w:r w:rsidR="7FC7AB4F" w:rsidRPr="00CE2DA4">
        <w:rPr>
          <w:color w:val="000000"/>
          <w:lang w:val="en-US"/>
        </w:rPr>
        <w:t xml:space="preserve"> using content analysis</w:t>
      </w:r>
      <w:r w:rsidRPr="00CE2DA4">
        <w:rPr>
          <w:color w:val="000000"/>
          <w:lang w:val="en-US"/>
        </w:rPr>
        <w:t>. The documents were collected from the</w:t>
      </w:r>
      <w:r w:rsidR="7AEDBFF3" w:rsidRPr="00CE2DA4">
        <w:rPr>
          <w:color w:val="000000"/>
          <w:lang w:val="en-US"/>
        </w:rPr>
        <w:t xml:space="preserve"> Office of the Chief Science Advisory</w:t>
      </w:r>
      <w:r w:rsidRPr="00CE2DA4">
        <w:rPr>
          <w:color w:val="000000"/>
          <w:lang w:val="en-US"/>
        </w:rPr>
        <w:t xml:space="preserve"> website </w:t>
      </w:r>
      <w:r w:rsidR="00FD7C32">
        <w:rPr>
          <w:color w:val="000000"/>
          <w:lang w:val="en-US"/>
        </w:rPr>
        <w:fldChar w:fldCharType="begin"/>
      </w:r>
      <w:r w:rsidR="00FD7C32">
        <w:rPr>
          <w:color w:val="000000"/>
          <w:lang w:val="en-US"/>
        </w:rPr>
        <w:instrText xml:space="preserve"> ADDIN ZOTERO_ITEM CSL_CITATION {"citationID":"zlcDetwq","properties":{"formattedCitation":"(Government of Canada, 2022)","plainCitation":"(Government of Canada, 2022)","noteIndex":0},"citationItems":[{"id":4297,"uris":["http://zotero.org/users/6331029/items/ZDDNA3AT"],"itemData":{"id":4297,"type":"webpage","abstract":"Open Science: Government of Canada's departmental initiatives","language":"eng","note":"Last Modified: 2022-06-30","title":"Departmental open science action plans","URL":"https://science.gc.ca/site/science/en/open-science-helping-make-science-accessible-all-canadians/departmental-open-science-action-plans","author":[{"family":"Government of Canada","given":"Innovation"}],"accessed":{"date-parts":[["2023",4,21]]},"issued":{"date-parts":[["2022",6,30]]}}}],"schema":"https://github.com/citation-style-language/schema/raw/master/csl-citation.json"} </w:instrText>
      </w:r>
      <w:r w:rsidR="00FD7C32">
        <w:rPr>
          <w:color w:val="000000"/>
          <w:lang w:val="en-US"/>
        </w:rPr>
        <w:fldChar w:fldCharType="separate"/>
      </w:r>
      <w:r w:rsidR="00FD7C32" w:rsidRPr="00FD7C32">
        <w:t>(Government of Canada, 2022)</w:t>
      </w:r>
      <w:r w:rsidR="00FD7C32">
        <w:rPr>
          <w:color w:val="000000"/>
          <w:lang w:val="en-US"/>
        </w:rPr>
        <w:fldChar w:fldCharType="end"/>
      </w:r>
      <w:r w:rsidRPr="00CE2DA4">
        <w:rPr>
          <w:color w:val="000000"/>
          <w:lang w:val="en-US"/>
        </w:rPr>
        <w:t>.</w:t>
      </w:r>
      <w:r w:rsidR="3D36AF70" w:rsidRPr="00CE2DA4">
        <w:rPr>
          <w:color w:val="000000"/>
          <w:lang w:val="en-US"/>
        </w:rPr>
        <w:t xml:space="preserve"> </w:t>
      </w:r>
      <w:r w:rsidRPr="00CE2DA4">
        <w:rPr>
          <w:color w:val="000000"/>
          <w:lang w:val="en-US"/>
        </w:rPr>
        <w:t xml:space="preserve">The </w:t>
      </w:r>
      <w:r w:rsidR="3C7E6D4B" w:rsidRPr="00CE2DA4">
        <w:rPr>
          <w:color w:val="000000"/>
          <w:lang w:val="en-US"/>
        </w:rPr>
        <w:t>codebook (Table 1) was developed</w:t>
      </w:r>
      <w:r w:rsidR="21DD12D3" w:rsidRPr="00CE2DA4">
        <w:rPr>
          <w:color w:val="000000"/>
          <w:lang w:val="en-US"/>
        </w:rPr>
        <w:t xml:space="preserve"> </w:t>
      </w:r>
      <w:r w:rsidR="00822572" w:rsidRPr="00CE2DA4">
        <w:rPr>
          <w:color w:val="000000"/>
          <w:lang w:val="en-US"/>
        </w:rPr>
        <w:t>inductively</w:t>
      </w:r>
      <w:r w:rsidRPr="00CE2DA4">
        <w:rPr>
          <w:color w:val="000000"/>
          <w:lang w:val="en-US"/>
        </w:rPr>
        <w:t xml:space="preserve"> based on the </w:t>
      </w:r>
      <w:r w:rsidR="69966BE8" w:rsidRPr="00CE2DA4">
        <w:rPr>
          <w:color w:val="000000"/>
          <w:lang w:val="en-US"/>
        </w:rPr>
        <w:t xml:space="preserve">ROS </w:t>
      </w:r>
      <w:r w:rsidRPr="00CE2DA4">
        <w:rPr>
          <w:color w:val="000000"/>
          <w:lang w:val="en-US"/>
        </w:rPr>
        <w:t>recommendations</w:t>
      </w:r>
      <w:r w:rsidR="72363625" w:rsidRPr="00CE2DA4">
        <w:rPr>
          <w:color w:val="000000"/>
          <w:lang w:val="en-US"/>
        </w:rPr>
        <w:t xml:space="preserve"> and then expanded </w:t>
      </w:r>
      <w:r w:rsidR="00822572" w:rsidRPr="00CE2DA4">
        <w:rPr>
          <w:color w:val="000000"/>
          <w:lang w:val="en-US"/>
        </w:rPr>
        <w:t>deductively</w:t>
      </w:r>
      <w:r w:rsidR="72363625" w:rsidRPr="00CE2DA4">
        <w:rPr>
          <w:color w:val="000000"/>
          <w:lang w:val="en-US"/>
        </w:rPr>
        <w:t xml:space="preserve"> by </w:t>
      </w:r>
      <w:r w:rsidRPr="00CE2DA4">
        <w:rPr>
          <w:color w:val="000000"/>
          <w:lang w:val="en-US"/>
        </w:rPr>
        <w:t>reading a</w:t>
      </w:r>
      <w:r w:rsidR="387B245A" w:rsidRPr="00CE2DA4">
        <w:rPr>
          <w:color w:val="000000"/>
          <w:lang w:val="en-US"/>
        </w:rPr>
        <w:t>ction</w:t>
      </w:r>
      <w:r w:rsidRPr="00CE2DA4">
        <w:rPr>
          <w:color w:val="000000"/>
          <w:lang w:val="en-US"/>
        </w:rPr>
        <w:t xml:space="preserve"> plans</w:t>
      </w:r>
      <w:r w:rsidR="7FA7F05A" w:rsidRPr="00CE2DA4">
        <w:rPr>
          <w:color w:val="000000"/>
          <w:lang w:val="en-US"/>
        </w:rPr>
        <w:t xml:space="preserve"> and examin</w:t>
      </w:r>
      <w:r w:rsidR="532B0EB5" w:rsidRPr="00CE2DA4">
        <w:rPr>
          <w:color w:val="000000"/>
          <w:lang w:val="en-US"/>
        </w:rPr>
        <w:t>ing</w:t>
      </w:r>
      <w:r w:rsidR="7FA7F05A" w:rsidRPr="00CE2DA4">
        <w:rPr>
          <w:color w:val="000000"/>
          <w:lang w:val="en-US"/>
        </w:rPr>
        <w:t xml:space="preserve"> </w:t>
      </w:r>
      <w:r w:rsidR="682C1FE6" w:rsidRPr="00CE2DA4">
        <w:rPr>
          <w:color w:val="000000"/>
          <w:lang w:val="en-US"/>
        </w:rPr>
        <w:t xml:space="preserve">publication patterns from the </w:t>
      </w:r>
      <w:r w:rsidR="7FA7F05A" w:rsidRPr="00CE2DA4">
        <w:rPr>
          <w:color w:val="000000"/>
          <w:lang w:val="en-US"/>
        </w:rPr>
        <w:t>bibliometric analysis</w:t>
      </w:r>
      <w:r w:rsidR="000E3840">
        <w:rPr>
          <w:color w:val="000000"/>
          <w:lang w:val="en-US"/>
        </w:rPr>
        <w:t xml:space="preserve"> (Ripp, 2023)</w:t>
      </w:r>
      <w:r w:rsidRPr="00CE2DA4">
        <w:rPr>
          <w:color w:val="000000"/>
          <w:lang w:val="en-US"/>
        </w:rPr>
        <w:t xml:space="preserve">. </w:t>
      </w:r>
      <w:r w:rsidR="3C46A578" w:rsidRPr="00CE2DA4">
        <w:rPr>
          <w:color w:val="000000"/>
          <w:lang w:val="en-US"/>
        </w:rPr>
        <w:t xml:space="preserve"> </w:t>
      </w:r>
      <w:r w:rsidR="13118927" w:rsidRPr="00CE2DA4">
        <w:rPr>
          <w:color w:val="000000"/>
          <w:lang w:val="en-US"/>
        </w:rPr>
        <w:t xml:space="preserve">Some discrepancies were observed </w:t>
      </w:r>
      <w:r w:rsidR="7EC5A89E" w:rsidRPr="00CE2DA4">
        <w:rPr>
          <w:color w:val="000000"/>
          <w:lang w:val="en-US"/>
        </w:rPr>
        <w:t>with respect to terminology used to differentiate between types of OA</w:t>
      </w:r>
      <w:r w:rsidR="13118927" w:rsidRPr="00CE2DA4">
        <w:rPr>
          <w:color w:val="000000"/>
          <w:lang w:val="en-US"/>
        </w:rPr>
        <w:t xml:space="preserve">. </w:t>
      </w:r>
      <w:r w:rsidR="00822572" w:rsidRPr="00822572">
        <w:rPr>
          <w:color w:val="000000"/>
          <w:lang w:val="en-US"/>
        </w:rPr>
        <w:t>Within the plans, preprints focus on early communication prior to peer review and are therefore described as distinct from Green OA.</w:t>
      </w:r>
      <w:r w:rsidR="00822572">
        <w:rPr>
          <w:color w:val="000000"/>
          <w:lang w:val="en-US"/>
        </w:rPr>
        <w:t xml:space="preserve"> </w:t>
      </w:r>
      <w:r w:rsidR="1430DB71" w:rsidRPr="00CE2DA4">
        <w:rPr>
          <w:color w:val="000000"/>
          <w:lang w:val="en-US"/>
        </w:rPr>
        <w:t>T</w:t>
      </w:r>
      <w:r w:rsidR="7B75B537" w:rsidRPr="00CE2DA4">
        <w:rPr>
          <w:color w:val="000000"/>
          <w:lang w:val="en-US"/>
        </w:rPr>
        <w:t>he decision was to use</w:t>
      </w:r>
      <w:r w:rsidR="26E06C7B" w:rsidRPr="00CE2DA4">
        <w:rPr>
          <w:color w:val="000000"/>
          <w:lang w:val="en-US"/>
        </w:rPr>
        <w:t xml:space="preserve"> </w:t>
      </w:r>
      <w:r w:rsidR="7B75B537" w:rsidRPr="00CE2DA4">
        <w:rPr>
          <w:color w:val="000000"/>
          <w:lang w:val="en-US"/>
        </w:rPr>
        <w:t xml:space="preserve">the </w:t>
      </w:r>
      <w:r w:rsidR="7B75B537" w:rsidRPr="00CE2DA4">
        <w:rPr>
          <w:color w:val="000000"/>
          <w:lang w:val="en-US"/>
        </w:rPr>
        <w:lastRenderedPageBreak/>
        <w:t xml:space="preserve">code </w:t>
      </w:r>
      <w:r w:rsidR="647EB19B" w:rsidRPr="00CE2DA4">
        <w:rPr>
          <w:color w:val="000000"/>
          <w:lang w:val="en-US"/>
        </w:rPr>
        <w:t>‘</w:t>
      </w:r>
      <w:r w:rsidR="7B75B537" w:rsidRPr="00CE2DA4">
        <w:rPr>
          <w:color w:val="000000"/>
          <w:lang w:val="en-US"/>
        </w:rPr>
        <w:t>publisher route</w:t>
      </w:r>
      <w:r w:rsidR="016CFE39" w:rsidRPr="00CE2DA4">
        <w:rPr>
          <w:color w:val="000000"/>
          <w:lang w:val="en-US"/>
        </w:rPr>
        <w:t>’</w:t>
      </w:r>
      <w:r w:rsidR="7B75B537" w:rsidRPr="00CE2DA4">
        <w:rPr>
          <w:color w:val="000000"/>
          <w:lang w:val="en-US"/>
        </w:rPr>
        <w:t xml:space="preserve"> to denote instances of </w:t>
      </w:r>
      <w:r w:rsidR="5A16895B" w:rsidRPr="00CE2DA4">
        <w:rPr>
          <w:color w:val="000000"/>
          <w:lang w:val="en-US"/>
        </w:rPr>
        <w:t>G</w:t>
      </w:r>
      <w:r w:rsidR="7B75B537" w:rsidRPr="00CE2DA4">
        <w:rPr>
          <w:color w:val="000000"/>
          <w:lang w:val="en-US"/>
        </w:rPr>
        <w:t>old</w:t>
      </w:r>
      <w:r w:rsidR="0487B616" w:rsidRPr="00CE2DA4">
        <w:rPr>
          <w:color w:val="000000"/>
          <w:lang w:val="en-US"/>
        </w:rPr>
        <w:t xml:space="preserve"> or</w:t>
      </w:r>
      <w:r w:rsidR="7B75B537" w:rsidRPr="00CE2DA4">
        <w:rPr>
          <w:color w:val="000000"/>
          <w:lang w:val="en-US"/>
        </w:rPr>
        <w:t xml:space="preserve"> </w:t>
      </w:r>
      <w:r w:rsidR="01EBDBD1" w:rsidRPr="00CE2DA4">
        <w:rPr>
          <w:color w:val="000000"/>
          <w:lang w:val="en-US"/>
        </w:rPr>
        <w:t>H</w:t>
      </w:r>
      <w:r w:rsidR="7B75B537" w:rsidRPr="00CE2DA4">
        <w:rPr>
          <w:color w:val="000000"/>
          <w:lang w:val="en-US"/>
        </w:rPr>
        <w:t>ybrid OA route</w:t>
      </w:r>
      <w:r w:rsidR="22B07684" w:rsidRPr="00CE2DA4">
        <w:rPr>
          <w:color w:val="000000"/>
          <w:lang w:val="en-US"/>
        </w:rPr>
        <w:t>s</w:t>
      </w:r>
      <w:r w:rsidR="7B75B537" w:rsidRPr="00CE2DA4">
        <w:rPr>
          <w:color w:val="000000"/>
          <w:lang w:val="en-US"/>
        </w:rPr>
        <w:t xml:space="preserve"> in SBDA action plans. </w:t>
      </w:r>
      <w:r w:rsidR="00822572" w:rsidRPr="00CE2DA4">
        <w:rPr>
          <w:color w:val="000000"/>
          <w:lang w:val="en-US"/>
        </w:rPr>
        <w:t xml:space="preserve"> </w:t>
      </w:r>
    </w:p>
    <w:p w14:paraId="79628345" w14:textId="77777777" w:rsidR="00822572" w:rsidRPr="00CE2DA4" w:rsidRDefault="00822572" w:rsidP="00822572">
      <w:pPr>
        <w:jc w:val="both"/>
        <w:rPr>
          <w:color w:val="000000"/>
          <w:lang w:val="en-US"/>
        </w:rPr>
      </w:pPr>
    </w:p>
    <w:p w14:paraId="7F8A42C3" w14:textId="18E6FB0D" w:rsidR="5FE33271" w:rsidRPr="00CE2DA4" w:rsidRDefault="5FE33271" w:rsidP="442DFDDF">
      <w:pPr>
        <w:jc w:val="center"/>
        <w:rPr>
          <w:color w:val="000000"/>
          <w:lang w:val="en-US"/>
        </w:rPr>
      </w:pPr>
      <w:r w:rsidRPr="00CE2DA4">
        <w:rPr>
          <w:color w:val="000000"/>
          <w:lang w:val="en-US"/>
        </w:rPr>
        <w:t>Table 1. Codebook used in content analysis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4455"/>
        <w:gridCol w:w="4455"/>
      </w:tblGrid>
      <w:tr w:rsidR="11F5B2F3" w14:paraId="226C0140" w14:textId="77777777" w:rsidTr="00CE2DA4">
        <w:trPr>
          <w:trHeight w:val="300"/>
          <w:jc w:val="center"/>
        </w:trPr>
        <w:tc>
          <w:tcPr>
            <w:tcW w:w="8910" w:type="dxa"/>
            <w:gridSpan w:val="2"/>
            <w:shd w:val="clear" w:color="auto" w:fill="auto"/>
          </w:tcPr>
          <w:p w14:paraId="63C1BEC3" w14:textId="3ADEB0B9" w:rsidR="11F5B2F3" w:rsidRPr="00CE2DA4" w:rsidRDefault="05016690" w:rsidP="00CE2DA4">
            <w:pPr>
              <w:jc w:val="center"/>
              <w:rPr>
                <w:b/>
                <w:bCs/>
                <w:color w:val="000000"/>
                <w:lang w:val="en-US"/>
              </w:rPr>
            </w:pPr>
            <w:r w:rsidRPr="00CE2DA4">
              <w:rPr>
                <w:b/>
                <w:bCs/>
                <w:color w:val="000000"/>
                <w:lang w:val="en-US"/>
              </w:rPr>
              <w:t>Codes</w:t>
            </w:r>
            <w:r w:rsidR="53C21282" w:rsidRPr="00CE2DA4">
              <w:rPr>
                <w:b/>
                <w:bCs/>
                <w:color w:val="000000"/>
                <w:lang w:val="en-US"/>
              </w:rPr>
              <w:t xml:space="preserve"> </w:t>
            </w:r>
            <w:r w:rsidR="00AF9EFF" w:rsidRPr="00CE2DA4">
              <w:rPr>
                <w:b/>
                <w:bCs/>
                <w:color w:val="000000"/>
                <w:lang w:val="en-US"/>
              </w:rPr>
              <w:t>/Sub-codes</w:t>
            </w:r>
          </w:p>
        </w:tc>
      </w:tr>
      <w:tr w:rsidR="11F5B2F3" w14:paraId="197C7430" w14:textId="77777777" w:rsidTr="00CE2DA4">
        <w:trPr>
          <w:trHeight w:val="1590"/>
          <w:jc w:val="center"/>
        </w:trPr>
        <w:tc>
          <w:tcPr>
            <w:tcW w:w="4455" w:type="dxa"/>
            <w:shd w:val="clear" w:color="auto" w:fill="auto"/>
          </w:tcPr>
          <w:p w14:paraId="655AD9DB" w14:textId="51E58E91" w:rsidR="11F5B2F3" w:rsidRPr="00CE2DA4" w:rsidRDefault="11F5B2F3" w:rsidP="11F5B2F3">
            <w:pPr>
              <w:rPr>
                <w:color w:val="000000"/>
                <w:lang w:val="en-US"/>
              </w:rPr>
            </w:pPr>
            <w:r w:rsidRPr="00CE2DA4">
              <w:rPr>
                <w:color w:val="000000"/>
                <w:lang w:val="en-US"/>
              </w:rPr>
              <w:t>Consultations</w:t>
            </w:r>
          </w:p>
          <w:p w14:paraId="76D4CB63" w14:textId="489B0BDA" w:rsidR="11F5B2F3" w:rsidRPr="00CE2DA4" w:rsidRDefault="11F5B2F3" w:rsidP="00CE2DA4">
            <w:pPr>
              <w:pStyle w:val="ListParagraph"/>
              <w:numPr>
                <w:ilvl w:val="0"/>
                <w:numId w:val="9"/>
              </w:numPr>
              <w:rPr>
                <w:color w:val="000000"/>
                <w:lang w:val="en-US"/>
              </w:rPr>
            </w:pPr>
            <w:r w:rsidRPr="00CE2DA4">
              <w:rPr>
                <w:color w:val="000000"/>
                <w:lang w:val="en-US"/>
              </w:rPr>
              <w:t>Internal</w:t>
            </w:r>
          </w:p>
          <w:p w14:paraId="4CD22CA8" w14:textId="48FE61D8" w:rsidR="11F5B2F3" w:rsidRPr="00CE2DA4" w:rsidRDefault="11F5B2F3" w:rsidP="00CE2DA4">
            <w:pPr>
              <w:pStyle w:val="ListParagraph"/>
              <w:numPr>
                <w:ilvl w:val="0"/>
                <w:numId w:val="9"/>
              </w:numPr>
              <w:rPr>
                <w:color w:val="000000"/>
                <w:lang w:val="en-US"/>
              </w:rPr>
            </w:pPr>
            <w:r w:rsidRPr="00CE2DA4">
              <w:rPr>
                <w:color w:val="000000"/>
                <w:lang w:val="en-US"/>
              </w:rPr>
              <w:t>External</w:t>
            </w:r>
          </w:p>
        </w:tc>
        <w:tc>
          <w:tcPr>
            <w:tcW w:w="4455" w:type="dxa"/>
            <w:shd w:val="clear" w:color="auto" w:fill="auto"/>
          </w:tcPr>
          <w:p w14:paraId="73E2F496" w14:textId="7081BC93" w:rsidR="5C02841A" w:rsidRPr="00CE2DA4" w:rsidRDefault="15DF0345" w:rsidP="11F5B2F3">
            <w:pPr>
              <w:rPr>
                <w:color w:val="000000"/>
                <w:lang w:val="en-US"/>
              </w:rPr>
            </w:pPr>
            <w:r w:rsidRPr="00CE2DA4">
              <w:rPr>
                <w:color w:val="000000"/>
                <w:lang w:val="en-US"/>
              </w:rPr>
              <w:t>Data</w:t>
            </w:r>
          </w:p>
          <w:p w14:paraId="11334F32" w14:textId="69D57C49" w:rsidR="4B58D5AE" w:rsidRPr="00CE2DA4" w:rsidRDefault="4B58D5AE" w:rsidP="00CE2DA4">
            <w:pPr>
              <w:pStyle w:val="ListParagraph"/>
              <w:numPr>
                <w:ilvl w:val="0"/>
                <w:numId w:val="5"/>
              </w:numPr>
              <w:spacing w:line="259" w:lineRule="auto"/>
              <w:rPr>
                <w:color w:val="000000"/>
                <w:lang w:val="en-US"/>
              </w:rPr>
            </w:pPr>
            <w:r w:rsidRPr="00CE2DA4">
              <w:rPr>
                <w:color w:val="000000"/>
                <w:lang w:val="en-US"/>
              </w:rPr>
              <w:t>Departmental s</w:t>
            </w:r>
            <w:r w:rsidR="477413BF" w:rsidRPr="00CE2DA4">
              <w:rPr>
                <w:color w:val="000000"/>
                <w:lang w:val="en-US"/>
              </w:rPr>
              <w:t>cientific data (mandated to collect)</w:t>
            </w:r>
          </w:p>
          <w:p w14:paraId="634868CF" w14:textId="10538385" w:rsidR="477413BF" w:rsidRPr="00CE2DA4" w:rsidRDefault="763FA497" w:rsidP="00CE2DA4">
            <w:pPr>
              <w:pStyle w:val="ListParagraph"/>
              <w:numPr>
                <w:ilvl w:val="0"/>
                <w:numId w:val="5"/>
              </w:numPr>
              <w:spacing w:line="259" w:lineRule="auto"/>
              <w:rPr>
                <w:color w:val="000000"/>
                <w:lang w:val="en-US"/>
              </w:rPr>
            </w:pPr>
            <w:r w:rsidRPr="00CE2DA4">
              <w:rPr>
                <w:color w:val="000000"/>
                <w:lang w:val="en-US"/>
              </w:rPr>
              <w:t>Research data (</w:t>
            </w:r>
            <w:r w:rsidR="5CD1FCF9" w:rsidRPr="00CE2DA4">
              <w:rPr>
                <w:color w:val="000000"/>
                <w:lang w:val="en-US"/>
              </w:rPr>
              <w:t>researcher produced</w:t>
            </w:r>
            <w:r w:rsidRPr="00CE2DA4">
              <w:rPr>
                <w:color w:val="000000"/>
                <w:lang w:val="en-US"/>
              </w:rPr>
              <w:t>)</w:t>
            </w:r>
          </w:p>
          <w:p w14:paraId="0BF462F7" w14:textId="534BDA33" w:rsidR="5C02841A" w:rsidRPr="00CE2DA4" w:rsidRDefault="15DF0345" w:rsidP="00CE2DA4">
            <w:pPr>
              <w:pStyle w:val="ListParagraph"/>
              <w:numPr>
                <w:ilvl w:val="0"/>
                <w:numId w:val="5"/>
              </w:numPr>
              <w:rPr>
                <w:color w:val="000000"/>
                <w:lang w:val="en-US"/>
              </w:rPr>
            </w:pPr>
            <w:r w:rsidRPr="00CE2DA4">
              <w:rPr>
                <w:color w:val="000000"/>
                <w:lang w:val="en-US"/>
              </w:rPr>
              <w:t>FAIR</w:t>
            </w:r>
            <w:r w:rsidR="2AC7C828" w:rsidRPr="00CE2DA4">
              <w:rPr>
                <w:color w:val="000000"/>
                <w:lang w:val="en-US"/>
              </w:rPr>
              <w:t xml:space="preserve"> principles</w:t>
            </w:r>
          </w:p>
          <w:p w14:paraId="66C9DB75" w14:textId="5F338A78" w:rsidR="5C02841A" w:rsidRPr="00CE2DA4" w:rsidRDefault="15DF0345" w:rsidP="00CE2DA4">
            <w:pPr>
              <w:pStyle w:val="ListParagraph"/>
              <w:numPr>
                <w:ilvl w:val="0"/>
                <w:numId w:val="5"/>
              </w:numPr>
              <w:rPr>
                <w:color w:val="000000"/>
                <w:lang w:val="en-US"/>
              </w:rPr>
            </w:pPr>
            <w:r w:rsidRPr="00CE2DA4">
              <w:rPr>
                <w:color w:val="000000"/>
                <w:lang w:val="en-US"/>
              </w:rPr>
              <w:t>Data management</w:t>
            </w:r>
          </w:p>
          <w:p w14:paraId="3F53E59D" w14:textId="21E642AA" w:rsidR="5C02841A" w:rsidRPr="00CE2DA4" w:rsidRDefault="2FBDBD53" w:rsidP="00CE2DA4">
            <w:pPr>
              <w:pStyle w:val="ListParagraph"/>
              <w:numPr>
                <w:ilvl w:val="1"/>
                <w:numId w:val="5"/>
              </w:numPr>
              <w:rPr>
                <w:color w:val="000000"/>
                <w:lang w:val="en-US"/>
              </w:rPr>
            </w:pPr>
            <w:r w:rsidRPr="00CE2DA4">
              <w:rPr>
                <w:color w:val="000000"/>
                <w:lang w:val="en-US"/>
              </w:rPr>
              <w:t>Data management plans</w:t>
            </w:r>
          </w:p>
          <w:p w14:paraId="3F66163B" w14:textId="47B0708A" w:rsidR="5C02841A" w:rsidRPr="00CE2DA4" w:rsidRDefault="2FBDBD53" w:rsidP="00CE2DA4">
            <w:pPr>
              <w:pStyle w:val="ListParagraph"/>
              <w:numPr>
                <w:ilvl w:val="1"/>
                <w:numId w:val="5"/>
              </w:numPr>
              <w:rPr>
                <w:color w:val="000000"/>
                <w:lang w:val="en-US"/>
              </w:rPr>
            </w:pPr>
            <w:r w:rsidRPr="00CE2DA4">
              <w:rPr>
                <w:color w:val="000000"/>
                <w:lang w:val="en-US"/>
              </w:rPr>
              <w:t>Metadata standards</w:t>
            </w:r>
          </w:p>
        </w:tc>
      </w:tr>
      <w:tr w:rsidR="11F5B2F3" w14:paraId="4615704A" w14:textId="77777777" w:rsidTr="00CE2DA4">
        <w:trPr>
          <w:trHeight w:val="300"/>
          <w:jc w:val="center"/>
        </w:trPr>
        <w:tc>
          <w:tcPr>
            <w:tcW w:w="4455" w:type="dxa"/>
            <w:shd w:val="clear" w:color="auto" w:fill="auto"/>
          </w:tcPr>
          <w:p w14:paraId="0AF9C7B0" w14:textId="496C44BA" w:rsidR="11F5B2F3" w:rsidRPr="00CE2DA4" w:rsidRDefault="11F5B2F3" w:rsidP="11F5B2F3">
            <w:pPr>
              <w:rPr>
                <w:color w:val="000000"/>
                <w:lang w:val="en-US"/>
              </w:rPr>
            </w:pPr>
            <w:r w:rsidRPr="00CE2DA4">
              <w:rPr>
                <w:color w:val="000000"/>
                <w:lang w:val="en-US"/>
              </w:rPr>
              <w:t xml:space="preserve">Barriers </w:t>
            </w:r>
          </w:p>
          <w:p w14:paraId="3D9CBF86" w14:textId="23438F20" w:rsidR="11F5B2F3" w:rsidRPr="00CE2DA4" w:rsidRDefault="11F5B2F3" w:rsidP="00CE2DA4">
            <w:pPr>
              <w:pStyle w:val="ListParagraph"/>
              <w:numPr>
                <w:ilvl w:val="0"/>
                <w:numId w:val="8"/>
              </w:numPr>
              <w:rPr>
                <w:color w:val="000000"/>
                <w:lang w:val="en-US"/>
              </w:rPr>
            </w:pPr>
            <w:r w:rsidRPr="00CE2DA4">
              <w:rPr>
                <w:color w:val="000000"/>
                <w:lang w:val="en-US"/>
              </w:rPr>
              <w:t>APCs</w:t>
            </w:r>
          </w:p>
          <w:p w14:paraId="76675C26" w14:textId="20E42FDB" w:rsidR="11F5B2F3" w:rsidRPr="00CE2DA4" w:rsidRDefault="11F5B2F3" w:rsidP="00CE2DA4">
            <w:pPr>
              <w:pStyle w:val="ListParagraph"/>
              <w:numPr>
                <w:ilvl w:val="0"/>
                <w:numId w:val="8"/>
              </w:numPr>
              <w:rPr>
                <w:color w:val="000000"/>
                <w:lang w:val="en-US"/>
              </w:rPr>
            </w:pPr>
            <w:r w:rsidRPr="00CE2DA4">
              <w:rPr>
                <w:color w:val="000000"/>
                <w:lang w:val="en-US"/>
              </w:rPr>
              <w:t>Data processing</w:t>
            </w:r>
          </w:p>
          <w:p w14:paraId="22FA2A29" w14:textId="52CCCA22" w:rsidR="11F5B2F3" w:rsidRPr="00CE2DA4" w:rsidRDefault="11F5B2F3" w:rsidP="00CE2DA4">
            <w:pPr>
              <w:pStyle w:val="ListParagraph"/>
              <w:numPr>
                <w:ilvl w:val="0"/>
                <w:numId w:val="8"/>
              </w:numPr>
              <w:rPr>
                <w:color w:val="000000"/>
                <w:lang w:val="en-US"/>
              </w:rPr>
            </w:pPr>
            <w:r w:rsidRPr="00CE2DA4">
              <w:rPr>
                <w:color w:val="000000"/>
                <w:lang w:val="en-US"/>
              </w:rPr>
              <w:t xml:space="preserve">Language </w:t>
            </w:r>
          </w:p>
          <w:p w14:paraId="31D69BC5" w14:textId="42E9E50C" w:rsidR="11F5B2F3" w:rsidRPr="00CE2DA4" w:rsidRDefault="11F5B2F3" w:rsidP="00CE2DA4">
            <w:pPr>
              <w:pStyle w:val="ListParagraph"/>
              <w:numPr>
                <w:ilvl w:val="0"/>
                <w:numId w:val="8"/>
              </w:numPr>
              <w:rPr>
                <w:color w:val="000000"/>
                <w:lang w:val="en-US"/>
              </w:rPr>
            </w:pPr>
            <w:r w:rsidRPr="00CE2DA4">
              <w:rPr>
                <w:color w:val="000000"/>
                <w:lang w:val="en-US"/>
              </w:rPr>
              <w:t>Lack of policies/guidelines</w:t>
            </w:r>
          </w:p>
          <w:p w14:paraId="19DEBBA4" w14:textId="339D950C" w:rsidR="11F5B2F3" w:rsidRPr="00CE2DA4" w:rsidRDefault="11F5B2F3" w:rsidP="00CE2DA4">
            <w:pPr>
              <w:pStyle w:val="ListParagraph"/>
              <w:numPr>
                <w:ilvl w:val="0"/>
                <w:numId w:val="8"/>
              </w:numPr>
              <w:rPr>
                <w:color w:val="000000"/>
                <w:lang w:val="en-US"/>
              </w:rPr>
            </w:pPr>
            <w:r w:rsidRPr="00CE2DA4">
              <w:rPr>
                <w:color w:val="000000"/>
                <w:lang w:val="en-US"/>
              </w:rPr>
              <w:t>Infrastructure needs</w:t>
            </w:r>
          </w:p>
          <w:p w14:paraId="600E3820" w14:textId="1561CBD7" w:rsidR="11F5B2F3" w:rsidRPr="00CE2DA4" w:rsidRDefault="11F5B2F3" w:rsidP="00CE2DA4">
            <w:pPr>
              <w:pStyle w:val="ListParagraph"/>
              <w:numPr>
                <w:ilvl w:val="0"/>
                <w:numId w:val="8"/>
              </w:numPr>
              <w:rPr>
                <w:color w:val="000000"/>
                <w:lang w:val="en-US"/>
              </w:rPr>
            </w:pPr>
            <w:r w:rsidRPr="00CE2DA4">
              <w:rPr>
                <w:color w:val="000000"/>
                <w:lang w:val="en-US"/>
              </w:rPr>
              <w:t>IP concerns</w:t>
            </w:r>
          </w:p>
          <w:p w14:paraId="2047EFC4" w14:textId="6D243B09" w:rsidR="11F5B2F3" w:rsidRPr="00CE2DA4" w:rsidRDefault="11F5B2F3" w:rsidP="00CE2DA4">
            <w:pPr>
              <w:pStyle w:val="ListParagraph"/>
              <w:numPr>
                <w:ilvl w:val="0"/>
                <w:numId w:val="8"/>
              </w:numPr>
              <w:rPr>
                <w:color w:val="000000"/>
                <w:lang w:val="en-US"/>
              </w:rPr>
            </w:pPr>
            <w:r w:rsidRPr="00CE2DA4">
              <w:rPr>
                <w:color w:val="000000"/>
                <w:lang w:val="en-US"/>
              </w:rPr>
              <w:t>Security/Confidential</w:t>
            </w:r>
          </w:p>
        </w:tc>
        <w:tc>
          <w:tcPr>
            <w:tcW w:w="4455" w:type="dxa"/>
            <w:shd w:val="clear" w:color="auto" w:fill="auto"/>
          </w:tcPr>
          <w:p w14:paraId="00ADB688" w14:textId="66FCD0CE" w:rsidR="15485271" w:rsidRPr="00CE2DA4" w:rsidRDefault="0566A717" w:rsidP="11F5B2F3">
            <w:pPr>
              <w:rPr>
                <w:color w:val="000000"/>
                <w:lang w:val="en-US"/>
              </w:rPr>
            </w:pPr>
            <w:r w:rsidRPr="00CE2DA4">
              <w:rPr>
                <w:color w:val="000000"/>
                <w:lang w:val="en-US"/>
              </w:rPr>
              <w:t>Research assessment</w:t>
            </w:r>
          </w:p>
          <w:p w14:paraId="045DDCF9" w14:textId="5F03C1B9" w:rsidR="15485271" w:rsidRPr="00CE2DA4" w:rsidRDefault="0566A717" w:rsidP="00CE2DA4">
            <w:pPr>
              <w:pStyle w:val="ListParagraph"/>
              <w:numPr>
                <w:ilvl w:val="0"/>
                <w:numId w:val="4"/>
              </w:numPr>
              <w:rPr>
                <w:color w:val="444444"/>
                <w:lang w:val="en-US"/>
              </w:rPr>
            </w:pPr>
            <w:r w:rsidRPr="00CE2DA4">
              <w:rPr>
                <w:color w:val="444444"/>
                <w:lang w:val="en-US"/>
              </w:rPr>
              <w:t>Career Progression Management Framework</w:t>
            </w:r>
          </w:p>
          <w:p w14:paraId="20CB437F" w14:textId="59D4C2BF" w:rsidR="11F5B2F3" w:rsidRPr="00CE2DA4" w:rsidRDefault="11F5B2F3" w:rsidP="11F5B2F3">
            <w:pPr>
              <w:rPr>
                <w:color w:val="000000"/>
                <w:lang w:val="en-US"/>
              </w:rPr>
            </w:pPr>
          </w:p>
          <w:p w14:paraId="420D006F" w14:textId="043FD3C0" w:rsidR="11F5B2F3" w:rsidRPr="00CE2DA4" w:rsidRDefault="11F5B2F3" w:rsidP="11F5B2F3">
            <w:pPr>
              <w:rPr>
                <w:color w:val="000000"/>
                <w:lang w:val="en-US"/>
              </w:rPr>
            </w:pPr>
          </w:p>
        </w:tc>
      </w:tr>
      <w:tr w:rsidR="11F5B2F3" w14:paraId="625F5F5E" w14:textId="77777777" w:rsidTr="00CE2DA4">
        <w:trPr>
          <w:trHeight w:val="300"/>
          <w:jc w:val="center"/>
        </w:trPr>
        <w:tc>
          <w:tcPr>
            <w:tcW w:w="4455" w:type="dxa"/>
            <w:shd w:val="clear" w:color="auto" w:fill="auto"/>
          </w:tcPr>
          <w:p w14:paraId="1F5A7E0D" w14:textId="72EABB67" w:rsidR="11F5B2F3" w:rsidRPr="00CE2DA4" w:rsidRDefault="13786D8F" w:rsidP="11F5B2F3">
            <w:pPr>
              <w:rPr>
                <w:color w:val="000000"/>
                <w:lang w:val="en-US"/>
              </w:rPr>
            </w:pPr>
            <w:r w:rsidRPr="00CE2DA4">
              <w:rPr>
                <w:color w:val="000000"/>
                <w:lang w:val="en-US"/>
              </w:rPr>
              <w:t>Open Access</w:t>
            </w:r>
          </w:p>
          <w:p w14:paraId="63AEB3C2" w14:textId="749A2AD6" w:rsidR="60A6B19D" w:rsidRPr="00CE2DA4" w:rsidRDefault="0B006A2B" w:rsidP="00CE2DA4">
            <w:pPr>
              <w:pStyle w:val="ListParagraph"/>
              <w:numPr>
                <w:ilvl w:val="0"/>
                <w:numId w:val="6"/>
              </w:numPr>
              <w:spacing w:line="259" w:lineRule="auto"/>
              <w:rPr>
                <w:color w:val="000000"/>
                <w:lang w:val="en-US"/>
              </w:rPr>
            </w:pPr>
            <w:r w:rsidRPr="00CE2DA4">
              <w:rPr>
                <w:color w:val="000000"/>
                <w:lang w:val="en-US"/>
              </w:rPr>
              <w:t>R</w:t>
            </w:r>
            <w:r w:rsidR="60ABF78B" w:rsidRPr="00CE2DA4">
              <w:rPr>
                <w:color w:val="000000"/>
                <w:lang w:val="en-US"/>
              </w:rPr>
              <w:t>epository</w:t>
            </w:r>
            <w:r w:rsidR="27D27830" w:rsidRPr="00CE2DA4">
              <w:rPr>
                <w:color w:val="000000"/>
                <w:lang w:val="en-US"/>
              </w:rPr>
              <w:t xml:space="preserve"> route</w:t>
            </w:r>
            <w:r w:rsidR="60ABF78B" w:rsidRPr="00CE2DA4">
              <w:rPr>
                <w:color w:val="000000"/>
                <w:lang w:val="en-US"/>
              </w:rPr>
              <w:t xml:space="preserve"> (</w:t>
            </w:r>
            <w:r w:rsidR="4448DF57" w:rsidRPr="00CE2DA4">
              <w:rPr>
                <w:color w:val="000000"/>
                <w:lang w:val="en-US"/>
              </w:rPr>
              <w:t>Gree</w:t>
            </w:r>
            <w:r w:rsidR="44219F6D" w:rsidRPr="00CE2DA4">
              <w:rPr>
                <w:color w:val="000000"/>
                <w:lang w:val="en-US"/>
              </w:rPr>
              <w:t>n</w:t>
            </w:r>
            <w:r w:rsidR="60ABF78B" w:rsidRPr="00CE2DA4">
              <w:rPr>
                <w:color w:val="000000"/>
                <w:lang w:val="en-US"/>
              </w:rPr>
              <w:t>)</w:t>
            </w:r>
          </w:p>
          <w:p w14:paraId="314767C2" w14:textId="3043E0CF" w:rsidR="2E3DEDAD" w:rsidRPr="00CE2DA4" w:rsidRDefault="2E3DEDAD" w:rsidP="00CE2DA4">
            <w:pPr>
              <w:pStyle w:val="ListParagraph"/>
              <w:numPr>
                <w:ilvl w:val="0"/>
                <w:numId w:val="6"/>
              </w:numPr>
              <w:spacing w:line="259" w:lineRule="auto"/>
              <w:rPr>
                <w:color w:val="000000"/>
                <w:lang w:val="en-US"/>
              </w:rPr>
            </w:pPr>
            <w:r w:rsidRPr="00CE2DA4">
              <w:rPr>
                <w:color w:val="000000"/>
                <w:lang w:val="en-US"/>
              </w:rPr>
              <w:t>Publisher route</w:t>
            </w:r>
            <w:r w:rsidR="62B75734" w:rsidRPr="00CE2DA4">
              <w:rPr>
                <w:color w:val="000000"/>
                <w:lang w:val="en-US"/>
              </w:rPr>
              <w:t xml:space="preserve"> (Gold &amp; Hybrid)</w:t>
            </w:r>
          </w:p>
          <w:p w14:paraId="3E4731DA" w14:textId="5BAC1B24" w:rsidR="11F5B2F3" w:rsidRPr="00CE2DA4" w:rsidRDefault="3944058C" w:rsidP="00CE2DA4">
            <w:pPr>
              <w:pStyle w:val="ListParagraph"/>
              <w:numPr>
                <w:ilvl w:val="0"/>
                <w:numId w:val="6"/>
              </w:numPr>
              <w:rPr>
                <w:color w:val="000000"/>
                <w:lang w:val="en-US"/>
              </w:rPr>
            </w:pPr>
            <w:r w:rsidRPr="00CE2DA4">
              <w:rPr>
                <w:color w:val="000000"/>
                <w:lang w:val="en-US"/>
              </w:rPr>
              <w:t>Preprint</w:t>
            </w:r>
            <w:r w:rsidR="16016210" w:rsidRPr="00CE2DA4">
              <w:rPr>
                <w:color w:val="000000"/>
                <w:lang w:val="en-US"/>
              </w:rPr>
              <w:t xml:space="preserve"> (pre </w:t>
            </w:r>
            <w:r w:rsidR="642992CD" w:rsidRPr="00CE2DA4">
              <w:rPr>
                <w:color w:val="000000"/>
                <w:lang w:val="en-US"/>
              </w:rPr>
              <w:t>peer review</w:t>
            </w:r>
            <w:r w:rsidR="16016210" w:rsidRPr="00CE2DA4">
              <w:rPr>
                <w:color w:val="000000"/>
                <w:lang w:val="en-US"/>
              </w:rPr>
              <w:t>)</w:t>
            </w:r>
          </w:p>
          <w:p w14:paraId="314EE726" w14:textId="40BB7B17" w:rsidR="5F1AE172" w:rsidRPr="00CE2DA4" w:rsidRDefault="19FE61B0" w:rsidP="00CE2DA4">
            <w:pPr>
              <w:pStyle w:val="ListParagraph"/>
              <w:numPr>
                <w:ilvl w:val="0"/>
                <w:numId w:val="6"/>
              </w:numPr>
              <w:rPr>
                <w:color w:val="000000"/>
                <w:lang w:val="en-US"/>
              </w:rPr>
            </w:pPr>
            <w:r w:rsidRPr="00CE2DA4">
              <w:rPr>
                <w:color w:val="000000"/>
                <w:lang w:val="en-US"/>
              </w:rPr>
              <w:t>Guidance</w:t>
            </w:r>
            <w:r w:rsidR="58BD7D35" w:rsidRPr="00CE2DA4">
              <w:rPr>
                <w:color w:val="000000"/>
                <w:lang w:val="en-US"/>
              </w:rPr>
              <w:t xml:space="preserve"> and policies</w:t>
            </w:r>
          </w:p>
          <w:p w14:paraId="2480BCD7" w14:textId="2973548C" w:rsidR="11F5B2F3" w:rsidRPr="00CE2DA4" w:rsidRDefault="6BA0B01B" w:rsidP="00CE2DA4">
            <w:pPr>
              <w:pStyle w:val="ListParagraph"/>
              <w:numPr>
                <w:ilvl w:val="0"/>
                <w:numId w:val="6"/>
              </w:numPr>
              <w:rPr>
                <w:color w:val="000000"/>
                <w:lang w:val="en-US"/>
              </w:rPr>
            </w:pPr>
            <w:r w:rsidRPr="00CE2DA4">
              <w:rPr>
                <w:color w:val="000000"/>
                <w:lang w:val="en-US"/>
              </w:rPr>
              <w:t>OA funding</w:t>
            </w:r>
          </w:p>
          <w:p w14:paraId="16937755" w14:textId="481C47CC" w:rsidR="11F5B2F3" w:rsidRPr="00CE2DA4" w:rsidRDefault="44B36BF0" w:rsidP="00CE2DA4">
            <w:pPr>
              <w:pStyle w:val="ListParagraph"/>
              <w:numPr>
                <w:ilvl w:val="1"/>
                <w:numId w:val="6"/>
              </w:numPr>
              <w:rPr>
                <w:color w:val="000000"/>
                <w:lang w:val="en-US"/>
              </w:rPr>
            </w:pPr>
            <w:r w:rsidRPr="00CE2DA4">
              <w:rPr>
                <w:color w:val="000000"/>
                <w:lang w:val="en-US"/>
              </w:rPr>
              <w:t xml:space="preserve">Central </w:t>
            </w:r>
          </w:p>
          <w:p w14:paraId="1C133D71" w14:textId="281CBBDD" w:rsidR="11F5B2F3" w:rsidRPr="00CE2DA4" w:rsidRDefault="11F5B2F3" w:rsidP="00CE2DA4">
            <w:pPr>
              <w:pStyle w:val="ListParagraph"/>
              <w:numPr>
                <w:ilvl w:val="1"/>
                <w:numId w:val="6"/>
              </w:numPr>
              <w:rPr>
                <w:color w:val="000000"/>
                <w:lang w:val="en-US"/>
              </w:rPr>
            </w:pPr>
            <w:r w:rsidRPr="00CE2DA4">
              <w:rPr>
                <w:color w:val="000000"/>
                <w:lang w:val="en-US"/>
              </w:rPr>
              <w:t>Project funds</w:t>
            </w:r>
          </w:p>
          <w:p w14:paraId="72FF64B7" w14:textId="4534EC24" w:rsidR="11F5B2F3" w:rsidRPr="00CE2DA4" w:rsidRDefault="06A5B324" w:rsidP="00CE2DA4">
            <w:pPr>
              <w:pStyle w:val="ListParagraph"/>
              <w:numPr>
                <w:ilvl w:val="1"/>
                <w:numId w:val="6"/>
              </w:numPr>
              <w:rPr>
                <w:color w:val="000000"/>
                <w:lang w:val="en-US"/>
              </w:rPr>
            </w:pPr>
            <w:r w:rsidRPr="00CE2DA4">
              <w:rPr>
                <w:color w:val="000000"/>
                <w:lang w:val="en-US"/>
              </w:rPr>
              <w:t>Transformative agreement</w:t>
            </w:r>
            <w:r w:rsidR="4B07844B" w:rsidRPr="00CE2DA4">
              <w:rPr>
                <w:color w:val="000000"/>
                <w:lang w:val="en-US"/>
              </w:rPr>
              <w:t>s</w:t>
            </w:r>
          </w:p>
        </w:tc>
        <w:tc>
          <w:tcPr>
            <w:tcW w:w="4455" w:type="dxa"/>
            <w:shd w:val="clear" w:color="auto" w:fill="auto"/>
          </w:tcPr>
          <w:p w14:paraId="7B2D37A1" w14:textId="6AF7D6C2" w:rsidR="088F3EA9" w:rsidRPr="00CE2DA4" w:rsidRDefault="088F3EA9" w:rsidP="557C86D2">
            <w:pPr>
              <w:rPr>
                <w:color w:val="000000"/>
                <w:lang w:val="en-US"/>
              </w:rPr>
            </w:pPr>
            <w:r w:rsidRPr="00CE2DA4">
              <w:rPr>
                <w:color w:val="000000"/>
                <w:lang w:val="en-US"/>
              </w:rPr>
              <w:t>Persistent Identifiers</w:t>
            </w:r>
          </w:p>
          <w:p w14:paraId="3F084F01" w14:textId="32387453" w:rsidR="088F3EA9" w:rsidRPr="00CE2DA4" w:rsidRDefault="088F3EA9" w:rsidP="00CE2DA4">
            <w:pPr>
              <w:pStyle w:val="ListParagraph"/>
              <w:numPr>
                <w:ilvl w:val="0"/>
                <w:numId w:val="2"/>
              </w:numPr>
              <w:rPr>
                <w:color w:val="000000"/>
                <w:lang w:val="en-US"/>
              </w:rPr>
            </w:pPr>
            <w:r w:rsidRPr="00CE2DA4">
              <w:rPr>
                <w:color w:val="000000"/>
                <w:lang w:val="en-US"/>
              </w:rPr>
              <w:t>ORCID</w:t>
            </w:r>
          </w:p>
          <w:p w14:paraId="53834CD4" w14:textId="77A14429" w:rsidR="088F3EA9" w:rsidRPr="00CE2DA4" w:rsidRDefault="088F3EA9" w:rsidP="00CE2DA4">
            <w:pPr>
              <w:pStyle w:val="ListParagraph"/>
              <w:numPr>
                <w:ilvl w:val="0"/>
                <w:numId w:val="2"/>
              </w:numPr>
              <w:rPr>
                <w:color w:val="000000"/>
                <w:lang w:val="en-US"/>
              </w:rPr>
            </w:pPr>
            <w:r w:rsidRPr="00CE2DA4">
              <w:rPr>
                <w:color w:val="000000"/>
                <w:lang w:val="en-US"/>
              </w:rPr>
              <w:t>DOIs</w:t>
            </w:r>
          </w:p>
          <w:p w14:paraId="38FA1ECA" w14:textId="33C50794" w:rsidR="557C86D2" w:rsidRPr="00CE2DA4" w:rsidRDefault="557C86D2" w:rsidP="557C86D2">
            <w:pPr>
              <w:rPr>
                <w:color w:val="000000"/>
                <w:highlight w:val="yellow"/>
                <w:lang w:val="en-US"/>
              </w:rPr>
            </w:pPr>
          </w:p>
          <w:p w14:paraId="1EC28D31" w14:textId="693F063C" w:rsidR="11F5B2F3" w:rsidRPr="00CE2DA4" w:rsidRDefault="11F5B2F3" w:rsidP="11F5B2F3">
            <w:pPr>
              <w:rPr>
                <w:color w:val="000000"/>
                <w:lang w:val="en-US"/>
              </w:rPr>
            </w:pPr>
          </w:p>
        </w:tc>
      </w:tr>
      <w:tr w:rsidR="11F5B2F3" w14:paraId="733BCD65" w14:textId="77777777" w:rsidTr="00CE2DA4">
        <w:trPr>
          <w:trHeight w:val="300"/>
          <w:jc w:val="center"/>
        </w:trPr>
        <w:tc>
          <w:tcPr>
            <w:tcW w:w="4455" w:type="dxa"/>
            <w:shd w:val="clear" w:color="auto" w:fill="auto"/>
          </w:tcPr>
          <w:p w14:paraId="25708101" w14:textId="55C848DB" w:rsidR="11F5B2F3" w:rsidRPr="00CE2DA4" w:rsidRDefault="11F5B2F3" w:rsidP="11F5B2F3">
            <w:pPr>
              <w:rPr>
                <w:color w:val="000000"/>
                <w:lang w:val="en-US"/>
              </w:rPr>
            </w:pPr>
            <w:r w:rsidRPr="00CE2DA4">
              <w:rPr>
                <w:color w:val="000000"/>
                <w:lang w:val="en-US"/>
              </w:rPr>
              <w:t>Authorship</w:t>
            </w:r>
          </w:p>
          <w:p w14:paraId="6127B280" w14:textId="054F0F1C" w:rsidR="11F5B2F3" w:rsidRPr="00CE2DA4" w:rsidRDefault="11F5B2F3" w:rsidP="00CE2DA4">
            <w:pPr>
              <w:pStyle w:val="ListParagraph"/>
              <w:numPr>
                <w:ilvl w:val="0"/>
                <w:numId w:val="5"/>
              </w:numPr>
              <w:rPr>
                <w:color w:val="000000"/>
                <w:lang w:val="en-US"/>
              </w:rPr>
            </w:pPr>
            <w:r w:rsidRPr="00CE2DA4">
              <w:rPr>
                <w:color w:val="000000"/>
                <w:lang w:val="en-US"/>
              </w:rPr>
              <w:t>Intramural</w:t>
            </w:r>
          </w:p>
          <w:p w14:paraId="03BBA468" w14:textId="2AC13EBF" w:rsidR="11F5B2F3" w:rsidRPr="00CE2DA4" w:rsidRDefault="11F5B2F3" w:rsidP="00CE2DA4">
            <w:pPr>
              <w:pStyle w:val="ListParagraph"/>
              <w:numPr>
                <w:ilvl w:val="0"/>
                <w:numId w:val="5"/>
              </w:numPr>
              <w:rPr>
                <w:color w:val="000000"/>
                <w:lang w:val="en-US"/>
              </w:rPr>
            </w:pPr>
            <w:r w:rsidRPr="00CE2DA4">
              <w:rPr>
                <w:color w:val="000000"/>
                <w:lang w:val="en-US"/>
              </w:rPr>
              <w:t>Extramural</w:t>
            </w:r>
          </w:p>
        </w:tc>
        <w:tc>
          <w:tcPr>
            <w:tcW w:w="4455" w:type="dxa"/>
            <w:shd w:val="clear" w:color="auto" w:fill="auto"/>
          </w:tcPr>
          <w:p w14:paraId="323344D7" w14:textId="71D84942" w:rsidR="5D63C304" w:rsidRPr="00CE2DA4" w:rsidRDefault="5D63C304" w:rsidP="557C86D2">
            <w:pPr>
              <w:pStyle w:val="ListParagraph"/>
              <w:rPr>
                <w:color w:val="000000"/>
                <w:lang w:val="en-US"/>
              </w:rPr>
            </w:pPr>
          </w:p>
        </w:tc>
      </w:tr>
    </w:tbl>
    <w:p w14:paraId="5ECA2BF6" w14:textId="53E8F3E6" w:rsidR="78C9CC6F" w:rsidRDefault="78C9CC6F" w:rsidP="11F5B2F3"/>
    <w:p w14:paraId="61E843EE" w14:textId="15711629" w:rsidR="09CE28E2" w:rsidRDefault="3C46A578" w:rsidP="00822572">
      <w:pPr>
        <w:jc w:val="both"/>
      </w:pPr>
      <w:r w:rsidRPr="00CE2DA4">
        <w:rPr>
          <w:color w:val="000000"/>
          <w:lang w:val="en-US"/>
        </w:rPr>
        <w:t xml:space="preserve"> </w:t>
      </w:r>
    </w:p>
    <w:p w14:paraId="14F28E57" w14:textId="39F7E6B5" w:rsidR="78C9CC6F" w:rsidRPr="00CE2DA4" w:rsidRDefault="166616C8" w:rsidP="00822572">
      <w:pPr>
        <w:jc w:val="both"/>
        <w:rPr>
          <w:b/>
          <w:bCs/>
          <w:color w:val="000000"/>
          <w:lang w:val="en-US"/>
        </w:rPr>
      </w:pPr>
      <w:r w:rsidRPr="00CE2DA4">
        <w:rPr>
          <w:b/>
          <w:bCs/>
          <w:color w:val="000000"/>
          <w:lang w:val="en-US"/>
        </w:rPr>
        <w:t>3</w:t>
      </w:r>
      <w:r w:rsidR="229D8274" w:rsidRPr="00CE2DA4">
        <w:rPr>
          <w:b/>
          <w:bCs/>
          <w:color w:val="000000"/>
          <w:lang w:val="en-US"/>
        </w:rPr>
        <w:t xml:space="preserve">. </w:t>
      </w:r>
      <w:r w:rsidR="08DB3F73" w:rsidRPr="00CE2DA4">
        <w:rPr>
          <w:b/>
          <w:bCs/>
          <w:color w:val="000000"/>
          <w:lang w:val="en-US"/>
        </w:rPr>
        <w:t>Initial findings</w:t>
      </w:r>
    </w:p>
    <w:p w14:paraId="2AEF7A71" w14:textId="498C4789" w:rsidR="793E2799" w:rsidRPr="00CE2DA4" w:rsidRDefault="3FAA9BF0" w:rsidP="442DFDDF">
      <w:pPr>
        <w:jc w:val="both"/>
        <w:rPr>
          <w:color w:val="000000"/>
          <w:lang w:val="en-US"/>
        </w:rPr>
      </w:pPr>
      <w:r w:rsidRPr="00CE2DA4">
        <w:rPr>
          <w:color w:val="000000"/>
          <w:lang w:val="en-US"/>
        </w:rPr>
        <w:t xml:space="preserve">We first present the bibliometric results to contextualize the findings of the content analysis. The content analysis results are subdivided by recommendations that </w:t>
      </w:r>
      <w:r w:rsidR="12B413E3" w:rsidRPr="00CE2DA4">
        <w:rPr>
          <w:color w:val="000000"/>
          <w:lang w:val="en-US"/>
        </w:rPr>
        <w:t xml:space="preserve">directly affected </w:t>
      </w:r>
      <w:r w:rsidRPr="00CE2DA4">
        <w:rPr>
          <w:color w:val="000000"/>
          <w:lang w:val="en-US"/>
        </w:rPr>
        <w:t>SBDAs, namely consultations with federal scientists [ROS recommendation 2], OA publication [ROS recommendation 4], and FAIR data [ROS recommendation 5] in addition to findings on research assessment.</w:t>
      </w:r>
      <w:r w:rsidR="3C46A578" w:rsidRPr="00CE2DA4">
        <w:rPr>
          <w:color w:val="000000"/>
          <w:lang w:val="en-US"/>
        </w:rPr>
        <w:t xml:space="preserve"> </w:t>
      </w:r>
    </w:p>
    <w:p w14:paraId="611C1BC9" w14:textId="3E978117" w:rsidR="30D1EC5E" w:rsidRPr="00CE2DA4" w:rsidRDefault="30D1EC5E" w:rsidP="00822572">
      <w:pPr>
        <w:jc w:val="both"/>
        <w:rPr>
          <w:color w:val="000000"/>
          <w:lang w:val="en-US"/>
        </w:rPr>
      </w:pPr>
    </w:p>
    <w:p w14:paraId="4FFACD9F" w14:textId="25A12737" w:rsidR="2405DE89" w:rsidRPr="00CE2DA4" w:rsidRDefault="2405DE89" w:rsidP="00822572">
      <w:pPr>
        <w:jc w:val="both"/>
        <w:rPr>
          <w:i/>
          <w:iCs/>
          <w:color w:val="000000"/>
          <w:lang w:val="en-US"/>
        </w:rPr>
      </w:pPr>
      <w:r w:rsidRPr="00CE2DA4">
        <w:rPr>
          <w:i/>
          <w:iCs/>
          <w:color w:val="000000"/>
          <w:lang w:val="en-US"/>
        </w:rPr>
        <w:t>3.1 Bibliometric analysis</w:t>
      </w:r>
    </w:p>
    <w:p w14:paraId="4F394485" w14:textId="088018FE" w:rsidR="2405DE89" w:rsidRDefault="2405DE89" w:rsidP="00822572">
      <w:pPr>
        <w:jc w:val="both"/>
      </w:pPr>
      <w:r>
        <w:t xml:space="preserve">The Canadian federal government performs science and technology activities and works closely with cross-sector partners, often in shared collaborative facilities, in Canada and abroad </w:t>
      </w:r>
      <w:r w:rsidR="00FD7C32">
        <w:fldChar w:fldCharType="begin"/>
      </w:r>
      <w:r w:rsidR="00FC6F00">
        <w:instrText xml:space="preserve"> ADDIN ZOTERO_ITEM CSL_CITATION {"citationID":"iDiUspK4","properties":{"formattedCitation":"(Government of Canada, 2023)","plainCitation":"(Government of Canada, 2023)","noteIndex":0},"citationItems":[{"id":4299,"uris":["http://zotero.org/users/6331029/items/DY2U6QSB"],"itemData":{"id":4299,"type":"webpage","abstract":"Chief Science Advisor Annual Report 2020-21","language":"eng","note":"Last Modified: 2023-04-13","title":"Chief Science Advisor Annual Report 2020-21","URL":"https://science.gc.ca/site/science/en/office-chief-science-advisor/annual-reports/chief-science-advisor-annual-report-2020-21","author":[{"family":"Government of Canada","given":"Innovation"}],"accessed":{"date-parts":[["2023",4,21]]},"issued":{"date-parts":[["2023",4,13]]}}}],"schema":"https://github.com/citation-style-language/schema/raw/master/csl-citation.json"} </w:instrText>
      </w:r>
      <w:r w:rsidR="00FD7C32">
        <w:fldChar w:fldCharType="separate"/>
      </w:r>
      <w:r w:rsidR="00FC6F00" w:rsidRPr="00FC6F00">
        <w:t>(Government of Canada, 2023)</w:t>
      </w:r>
      <w:r w:rsidR="00FD7C32">
        <w:fldChar w:fldCharType="end"/>
      </w:r>
      <w:r w:rsidR="6049F03D">
        <w:t>, which is confirmed by the high collaboration rates observed for all ten SBDAs (Table 2)</w:t>
      </w:r>
      <w:r>
        <w:t>.</w:t>
      </w:r>
      <w:r w:rsidR="3C46A578">
        <w:t xml:space="preserve"> </w:t>
      </w:r>
      <w:r>
        <w:t xml:space="preserve"> </w:t>
      </w:r>
    </w:p>
    <w:p w14:paraId="01FB03FD" w14:textId="7DB16693" w:rsidR="793E2799" w:rsidRDefault="793E2799" w:rsidP="442DFDDF">
      <w:pPr>
        <w:jc w:val="both"/>
      </w:pPr>
    </w:p>
    <w:p w14:paraId="57E86B12" w14:textId="77777777" w:rsidR="004A329C" w:rsidRDefault="004A329C" w:rsidP="442DFDDF">
      <w:pPr>
        <w:jc w:val="center"/>
      </w:pPr>
    </w:p>
    <w:p w14:paraId="3A508686" w14:textId="3A1F2558" w:rsidR="793E2799" w:rsidRPr="00822572" w:rsidRDefault="022BEAC8" w:rsidP="442DFDDF">
      <w:pPr>
        <w:jc w:val="center"/>
      </w:pPr>
      <w:r w:rsidRPr="00822572">
        <w:t>Table 2</w:t>
      </w:r>
      <w:r w:rsidRPr="442DFDDF">
        <w:t>.</w:t>
      </w:r>
      <w:r w:rsidRPr="00822572">
        <w:t xml:space="preserve"> </w:t>
      </w:r>
      <w:r w:rsidR="6D171D05" w:rsidRPr="442DFDDF">
        <w:t xml:space="preserve">Publication output </w:t>
      </w:r>
      <w:r w:rsidRPr="00822572">
        <w:t>2017-2021</w:t>
      </w:r>
      <w:r w:rsidR="12C0B842" w:rsidRPr="442DFDDF">
        <w:t>, OA status and recommended</w:t>
      </w:r>
      <w:r w:rsidR="1E4F4DAE" w:rsidRPr="442DFDDF">
        <w:t xml:space="preserve"> priority</w:t>
      </w:r>
      <w:r w:rsidR="12C0B842" w:rsidRPr="442DFDDF">
        <w:t xml:space="preserve"> OA route from action plan per SBDA</w:t>
      </w:r>
      <w:r w:rsidRPr="00822572">
        <w:t>.</w:t>
      </w:r>
    </w:p>
    <w:tbl>
      <w:tblPr>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2089"/>
        <w:gridCol w:w="1402"/>
        <w:gridCol w:w="1115"/>
        <w:gridCol w:w="1272"/>
        <w:gridCol w:w="809"/>
        <w:gridCol w:w="812"/>
        <w:gridCol w:w="855"/>
        <w:gridCol w:w="783"/>
      </w:tblGrid>
      <w:tr w:rsidR="00FD7C32" w14:paraId="760E213A" w14:textId="77777777" w:rsidTr="00CE2DA4">
        <w:trPr>
          <w:trHeight w:val="690"/>
          <w:jc w:val="center"/>
        </w:trPr>
        <w:tc>
          <w:tcPr>
            <w:tcW w:w="2109" w:type="dxa"/>
            <w:shd w:val="clear" w:color="auto" w:fill="auto"/>
          </w:tcPr>
          <w:p w14:paraId="3DD124C8" w14:textId="17AB53BB" w:rsidR="11F5B2F3" w:rsidRPr="00CE2DA4" w:rsidRDefault="24031886" w:rsidP="442DFDDF">
            <w:pPr>
              <w:rPr>
                <w:b/>
                <w:bCs/>
                <w:color w:val="000000"/>
                <w:sz w:val="20"/>
                <w:szCs w:val="20"/>
              </w:rPr>
            </w:pPr>
            <w:r w:rsidRPr="00CE2DA4">
              <w:rPr>
                <w:b/>
                <w:bCs/>
                <w:color w:val="000000"/>
                <w:sz w:val="20"/>
                <w:szCs w:val="20"/>
              </w:rPr>
              <w:t>SBDA</w:t>
            </w:r>
          </w:p>
        </w:tc>
        <w:tc>
          <w:tcPr>
            <w:tcW w:w="1410" w:type="dxa"/>
            <w:shd w:val="clear" w:color="auto" w:fill="auto"/>
          </w:tcPr>
          <w:p w14:paraId="5079890F" w14:textId="49A757EC" w:rsidR="1AE5701D" w:rsidRPr="00CE2DA4" w:rsidRDefault="772C04DB" w:rsidP="00CE2DA4">
            <w:pPr>
              <w:jc w:val="center"/>
              <w:rPr>
                <w:b/>
                <w:bCs/>
                <w:color w:val="000000"/>
                <w:sz w:val="20"/>
                <w:szCs w:val="20"/>
              </w:rPr>
            </w:pPr>
            <w:r w:rsidRPr="00CE2DA4">
              <w:rPr>
                <w:b/>
                <w:bCs/>
                <w:color w:val="000000"/>
                <w:sz w:val="20"/>
                <w:szCs w:val="20"/>
              </w:rPr>
              <w:t xml:space="preserve">Priority </w:t>
            </w:r>
            <w:r w:rsidR="5EEEB1D2" w:rsidRPr="00CE2DA4">
              <w:rPr>
                <w:b/>
                <w:bCs/>
                <w:color w:val="000000"/>
                <w:sz w:val="20"/>
                <w:szCs w:val="20"/>
              </w:rPr>
              <w:t xml:space="preserve">OA route [findings from content analysis] </w:t>
            </w:r>
          </w:p>
        </w:tc>
        <w:tc>
          <w:tcPr>
            <w:tcW w:w="1125" w:type="dxa"/>
            <w:shd w:val="clear" w:color="auto" w:fill="auto"/>
          </w:tcPr>
          <w:p w14:paraId="7DBB537C" w14:textId="4E50759D" w:rsidR="793E2799" w:rsidRPr="00CE2DA4" w:rsidRDefault="77A14331" w:rsidP="00CE2DA4">
            <w:pPr>
              <w:jc w:val="center"/>
              <w:rPr>
                <w:b/>
                <w:bCs/>
                <w:color w:val="000000"/>
                <w:sz w:val="20"/>
                <w:szCs w:val="20"/>
              </w:rPr>
            </w:pPr>
            <w:r w:rsidRPr="00CE2DA4">
              <w:rPr>
                <w:b/>
                <w:bCs/>
                <w:color w:val="000000"/>
                <w:sz w:val="20"/>
                <w:szCs w:val="20"/>
              </w:rPr>
              <w:t>Total count</w:t>
            </w:r>
          </w:p>
        </w:tc>
        <w:tc>
          <w:tcPr>
            <w:tcW w:w="1230" w:type="dxa"/>
            <w:shd w:val="clear" w:color="auto" w:fill="auto"/>
          </w:tcPr>
          <w:p w14:paraId="6535114F" w14:textId="3EA06FF8" w:rsidR="793E2799" w:rsidRPr="00CE2DA4" w:rsidRDefault="77A14331" w:rsidP="00CE2DA4">
            <w:pPr>
              <w:jc w:val="center"/>
              <w:rPr>
                <w:b/>
                <w:bCs/>
                <w:color w:val="000000"/>
                <w:sz w:val="20"/>
                <w:szCs w:val="20"/>
              </w:rPr>
            </w:pPr>
            <w:r w:rsidRPr="00CE2DA4">
              <w:rPr>
                <w:b/>
                <w:bCs/>
                <w:color w:val="000000"/>
                <w:sz w:val="20"/>
                <w:szCs w:val="20"/>
              </w:rPr>
              <w:t>Institutional Co-authored publications (%)</w:t>
            </w:r>
          </w:p>
        </w:tc>
        <w:tc>
          <w:tcPr>
            <w:tcW w:w="810" w:type="dxa"/>
            <w:shd w:val="clear" w:color="auto" w:fill="auto"/>
          </w:tcPr>
          <w:p w14:paraId="1EA7AA13" w14:textId="4738BC7A" w:rsidR="793E2799" w:rsidRPr="00CE2DA4" w:rsidRDefault="77A14331" w:rsidP="00CE2DA4">
            <w:pPr>
              <w:jc w:val="center"/>
              <w:rPr>
                <w:b/>
                <w:bCs/>
                <w:color w:val="000000"/>
                <w:sz w:val="20"/>
                <w:szCs w:val="20"/>
              </w:rPr>
            </w:pPr>
            <w:r w:rsidRPr="00CE2DA4">
              <w:rPr>
                <w:b/>
                <w:bCs/>
                <w:color w:val="000000"/>
                <w:sz w:val="20"/>
                <w:szCs w:val="20"/>
              </w:rPr>
              <w:t>Any Open Access (%)</w:t>
            </w:r>
          </w:p>
        </w:tc>
        <w:tc>
          <w:tcPr>
            <w:tcW w:w="814" w:type="dxa"/>
            <w:shd w:val="clear" w:color="auto" w:fill="auto"/>
          </w:tcPr>
          <w:p w14:paraId="14E55568" w14:textId="4502E2D1" w:rsidR="793E2799" w:rsidRPr="00CE2DA4" w:rsidRDefault="77A14331" w:rsidP="00CE2DA4">
            <w:pPr>
              <w:jc w:val="center"/>
              <w:rPr>
                <w:b/>
                <w:bCs/>
                <w:color w:val="000000"/>
                <w:sz w:val="20"/>
                <w:szCs w:val="20"/>
              </w:rPr>
            </w:pPr>
            <w:r w:rsidRPr="00CE2DA4">
              <w:rPr>
                <w:b/>
                <w:bCs/>
                <w:color w:val="000000"/>
                <w:sz w:val="20"/>
                <w:szCs w:val="20"/>
              </w:rPr>
              <w:t>Gold (%)</w:t>
            </w:r>
          </w:p>
        </w:tc>
        <w:tc>
          <w:tcPr>
            <w:tcW w:w="855" w:type="dxa"/>
            <w:shd w:val="clear" w:color="auto" w:fill="auto"/>
          </w:tcPr>
          <w:p w14:paraId="397E46AE" w14:textId="64E18D40" w:rsidR="793E2799" w:rsidRPr="00CE2DA4" w:rsidRDefault="77A14331" w:rsidP="00CE2DA4">
            <w:pPr>
              <w:jc w:val="center"/>
              <w:rPr>
                <w:b/>
                <w:bCs/>
                <w:color w:val="000000"/>
                <w:sz w:val="20"/>
                <w:szCs w:val="20"/>
              </w:rPr>
            </w:pPr>
            <w:r w:rsidRPr="00CE2DA4">
              <w:rPr>
                <w:b/>
                <w:bCs/>
                <w:color w:val="000000"/>
                <w:sz w:val="20"/>
                <w:szCs w:val="20"/>
              </w:rPr>
              <w:t>Hybrid (%)</w:t>
            </w:r>
          </w:p>
        </w:tc>
        <w:tc>
          <w:tcPr>
            <w:tcW w:w="784" w:type="dxa"/>
            <w:shd w:val="clear" w:color="auto" w:fill="auto"/>
          </w:tcPr>
          <w:p w14:paraId="30453992" w14:textId="5CB7AEC8" w:rsidR="793E2799" w:rsidRPr="00CE2DA4" w:rsidRDefault="77A14331" w:rsidP="00CE2DA4">
            <w:pPr>
              <w:jc w:val="center"/>
              <w:rPr>
                <w:b/>
                <w:bCs/>
                <w:color w:val="000000"/>
                <w:sz w:val="20"/>
                <w:szCs w:val="20"/>
              </w:rPr>
            </w:pPr>
            <w:r w:rsidRPr="00CE2DA4">
              <w:rPr>
                <w:b/>
                <w:bCs/>
                <w:color w:val="000000"/>
                <w:sz w:val="20"/>
                <w:szCs w:val="20"/>
              </w:rPr>
              <w:t>Green (%)</w:t>
            </w:r>
          </w:p>
        </w:tc>
      </w:tr>
      <w:tr w:rsidR="00FD7C32" w14:paraId="6E53AC86" w14:textId="77777777" w:rsidTr="00CE2DA4">
        <w:trPr>
          <w:trHeight w:val="300"/>
          <w:jc w:val="center"/>
        </w:trPr>
        <w:tc>
          <w:tcPr>
            <w:tcW w:w="2109" w:type="dxa"/>
            <w:shd w:val="clear" w:color="auto" w:fill="auto"/>
          </w:tcPr>
          <w:p w14:paraId="4D20D543" w14:textId="22D34740" w:rsidR="793E2799" w:rsidRPr="00CE2DA4" w:rsidRDefault="793E2799" w:rsidP="793E2799">
            <w:pPr>
              <w:rPr>
                <w:color w:val="000000"/>
                <w:sz w:val="20"/>
                <w:szCs w:val="20"/>
                <w:lang w:val="en-US"/>
              </w:rPr>
            </w:pPr>
            <w:r w:rsidRPr="00CE2DA4">
              <w:rPr>
                <w:color w:val="000000"/>
                <w:sz w:val="20"/>
                <w:szCs w:val="20"/>
                <w:lang w:val="en-US"/>
              </w:rPr>
              <w:t>Agriculture and Agri-Food Canada (AAFC)</w:t>
            </w:r>
          </w:p>
        </w:tc>
        <w:tc>
          <w:tcPr>
            <w:tcW w:w="1410" w:type="dxa"/>
            <w:shd w:val="clear" w:color="auto" w:fill="auto"/>
          </w:tcPr>
          <w:p w14:paraId="0A13121A" w14:textId="47B910F3" w:rsidR="12C9D802" w:rsidRPr="00CE2DA4" w:rsidRDefault="129165D1" w:rsidP="2540E8BF">
            <w:pPr>
              <w:rPr>
                <w:color w:val="000000"/>
                <w:sz w:val="20"/>
                <w:szCs w:val="20"/>
                <w:lang w:val="en-US"/>
              </w:rPr>
            </w:pPr>
            <w:r w:rsidRPr="00CE2DA4">
              <w:rPr>
                <w:color w:val="000000"/>
                <w:sz w:val="20"/>
                <w:szCs w:val="20"/>
                <w:lang w:val="en-US"/>
              </w:rPr>
              <w:t>Repository route</w:t>
            </w:r>
            <w:r w:rsidR="5AEBBE1D" w:rsidRPr="00CE2DA4">
              <w:rPr>
                <w:color w:val="000000"/>
                <w:sz w:val="20"/>
                <w:szCs w:val="20"/>
                <w:lang w:val="en-US"/>
              </w:rPr>
              <w:t xml:space="preserve"> (Green)</w:t>
            </w:r>
          </w:p>
        </w:tc>
        <w:tc>
          <w:tcPr>
            <w:tcW w:w="1125" w:type="dxa"/>
            <w:shd w:val="clear" w:color="auto" w:fill="auto"/>
          </w:tcPr>
          <w:p w14:paraId="10CBD2B1" w14:textId="47F57563" w:rsidR="793E2799" w:rsidRPr="00CE2DA4" w:rsidRDefault="793E2799" w:rsidP="00CE2DA4">
            <w:pPr>
              <w:jc w:val="right"/>
              <w:rPr>
                <w:color w:val="000000"/>
                <w:sz w:val="20"/>
                <w:szCs w:val="20"/>
              </w:rPr>
            </w:pPr>
            <w:r w:rsidRPr="00CE2DA4">
              <w:rPr>
                <w:color w:val="000000"/>
                <w:sz w:val="20"/>
                <w:szCs w:val="20"/>
              </w:rPr>
              <w:t>5,636</w:t>
            </w:r>
          </w:p>
        </w:tc>
        <w:tc>
          <w:tcPr>
            <w:tcW w:w="1230" w:type="dxa"/>
            <w:shd w:val="clear" w:color="auto" w:fill="auto"/>
          </w:tcPr>
          <w:p w14:paraId="302D9790" w14:textId="122F24A9" w:rsidR="793E2799" w:rsidRPr="00CE2DA4" w:rsidRDefault="793E2799" w:rsidP="00CE2DA4">
            <w:pPr>
              <w:jc w:val="right"/>
              <w:rPr>
                <w:color w:val="000000"/>
                <w:sz w:val="20"/>
                <w:szCs w:val="20"/>
              </w:rPr>
            </w:pPr>
            <w:r w:rsidRPr="00CE2DA4">
              <w:rPr>
                <w:color w:val="000000"/>
                <w:sz w:val="20"/>
                <w:szCs w:val="20"/>
              </w:rPr>
              <w:t>78.1%</w:t>
            </w:r>
          </w:p>
        </w:tc>
        <w:tc>
          <w:tcPr>
            <w:tcW w:w="810" w:type="dxa"/>
            <w:shd w:val="clear" w:color="auto" w:fill="auto"/>
          </w:tcPr>
          <w:p w14:paraId="0B5F47F8" w14:textId="46539E1F" w:rsidR="793E2799" w:rsidRPr="00CE2DA4" w:rsidRDefault="793E2799" w:rsidP="00CE2DA4">
            <w:pPr>
              <w:jc w:val="right"/>
              <w:rPr>
                <w:color w:val="000000"/>
                <w:sz w:val="20"/>
                <w:szCs w:val="20"/>
              </w:rPr>
            </w:pPr>
            <w:r w:rsidRPr="00CE2DA4">
              <w:rPr>
                <w:color w:val="000000"/>
                <w:sz w:val="20"/>
                <w:szCs w:val="20"/>
              </w:rPr>
              <w:t>48.4%</w:t>
            </w:r>
          </w:p>
        </w:tc>
        <w:tc>
          <w:tcPr>
            <w:tcW w:w="814" w:type="dxa"/>
            <w:shd w:val="clear" w:color="auto" w:fill="auto"/>
          </w:tcPr>
          <w:p w14:paraId="06697C58" w14:textId="75A98718" w:rsidR="793E2799" w:rsidRPr="00CE2DA4" w:rsidRDefault="793E2799" w:rsidP="00CE2DA4">
            <w:pPr>
              <w:jc w:val="right"/>
              <w:rPr>
                <w:color w:val="000000"/>
                <w:sz w:val="20"/>
                <w:szCs w:val="20"/>
              </w:rPr>
            </w:pPr>
            <w:r w:rsidRPr="00CE2DA4">
              <w:rPr>
                <w:color w:val="000000"/>
                <w:sz w:val="20"/>
                <w:szCs w:val="20"/>
              </w:rPr>
              <w:t>26.5%</w:t>
            </w:r>
          </w:p>
        </w:tc>
        <w:tc>
          <w:tcPr>
            <w:tcW w:w="855" w:type="dxa"/>
            <w:shd w:val="clear" w:color="auto" w:fill="auto"/>
          </w:tcPr>
          <w:p w14:paraId="5B8F631C" w14:textId="3F84F6A5" w:rsidR="793E2799" w:rsidRPr="00CE2DA4" w:rsidRDefault="793E2799" w:rsidP="00CE2DA4">
            <w:pPr>
              <w:jc w:val="right"/>
              <w:rPr>
                <w:color w:val="000000"/>
                <w:sz w:val="20"/>
                <w:szCs w:val="20"/>
              </w:rPr>
            </w:pPr>
            <w:r w:rsidRPr="00CE2DA4">
              <w:rPr>
                <w:color w:val="000000"/>
                <w:sz w:val="20"/>
                <w:szCs w:val="20"/>
              </w:rPr>
              <w:t>8.7%</w:t>
            </w:r>
          </w:p>
        </w:tc>
        <w:tc>
          <w:tcPr>
            <w:tcW w:w="784" w:type="dxa"/>
            <w:shd w:val="clear" w:color="auto" w:fill="auto"/>
          </w:tcPr>
          <w:p w14:paraId="364F2021" w14:textId="55C7E38C" w:rsidR="793E2799" w:rsidRPr="00CE2DA4" w:rsidRDefault="793E2799" w:rsidP="793E2799">
            <w:pPr>
              <w:rPr>
                <w:color w:val="000000"/>
                <w:sz w:val="20"/>
                <w:szCs w:val="20"/>
              </w:rPr>
            </w:pPr>
            <w:r w:rsidRPr="00CE2DA4">
              <w:rPr>
                <w:color w:val="000000"/>
                <w:sz w:val="20"/>
                <w:szCs w:val="20"/>
              </w:rPr>
              <w:t>34.4%</w:t>
            </w:r>
          </w:p>
        </w:tc>
      </w:tr>
      <w:tr w:rsidR="00FD7C32" w14:paraId="1AF80460" w14:textId="77777777" w:rsidTr="00CE2DA4">
        <w:trPr>
          <w:trHeight w:val="723"/>
          <w:jc w:val="center"/>
        </w:trPr>
        <w:tc>
          <w:tcPr>
            <w:tcW w:w="2109" w:type="dxa"/>
            <w:shd w:val="clear" w:color="auto" w:fill="auto"/>
          </w:tcPr>
          <w:p w14:paraId="3EDB09EF" w14:textId="0AC02A1E" w:rsidR="793E2799" w:rsidRPr="00CE2DA4" w:rsidRDefault="793E2799" w:rsidP="793E2799">
            <w:pPr>
              <w:rPr>
                <w:color w:val="000000"/>
                <w:sz w:val="20"/>
                <w:szCs w:val="20"/>
                <w:lang w:val="en-US"/>
              </w:rPr>
            </w:pPr>
            <w:r w:rsidRPr="00CE2DA4">
              <w:rPr>
                <w:color w:val="000000"/>
                <w:sz w:val="20"/>
                <w:szCs w:val="20"/>
                <w:lang w:val="en-US"/>
              </w:rPr>
              <w:t>Canadian Food Inspection Agency (CFIA)</w:t>
            </w:r>
          </w:p>
        </w:tc>
        <w:tc>
          <w:tcPr>
            <w:tcW w:w="1410" w:type="dxa"/>
            <w:shd w:val="clear" w:color="auto" w:fill="auto"/>
          </w:tcPr>
          <w:p w14:paraId="2FB7BCE7" w14:textId="535A8462" w:rsidR="65D34FF4" w:rsidRPr="00CE2DA4" w:rsidRDefault="65D34FF4" w:rsidP="2540E8BF">
            <w:pPr>
              <w:rPr>
                <w:color w:val="000000"/>
                <w:sz w:val="20"/>
                <w:szCs w:val="20"/>
                <w:lang w:val="en-US"/>
              </w:rPr>
            </w:pPr>
            <w:r w:rsidRPr="00CE2DA4">
              <w:rPr>
                <w:color w:val="000000"/>
                <w:sz w:val="20"/>
                <w:szCs w:val="20"/>
                <w:lang w:val="en-US"/>
              </w:rPr>
              <w:t xml:space="preserve">Preprint </w:t>
            </w:r>
          </w:p>
        </w:tc>
        <w:tc>
          <w:tcPr>
            <w:tcW w:w="1125" w:type="dxa"/>
            <w:shd w:val="clear" w:color="auto" w:fill="auto"/>
          </w:tcPr>
          <w:p w14:paraId="01F15803" w14:textId="71383B64" w:rsidR="793E2799" w:rsidRPr="00CE2DA4" w:rsidRDefault="793E2799" w:rsidP="00CE2DA4">
            <w:pPr>
              <w:jc w:val="right"/>
              <w:rPr>
                <w:color w:val="000000"/>
                <w:sz w:val="20"/>
                <w:szCs w:val="20"/>
              </w:rPr>
            </w:pPr>
            <w:r w:rsidRPr="00CE2DA4">
              <w:rPr>
                <w:color w:val="000000"/>
                <w:sz w:val="20"/>
                <w:szCs w:val="20"/>
              </w:rPr>
              <w:t>555</w:t>
            </w:r>
          </w:p>
        </w:tc>
        <w:tc>
          <w:tcPr>
            <w:tcW w:w="1230" w:type="dxa"/>
            <w:shd w:val="clear" w:color="auto" w:fill="auto"/>
          </w:tcPr>
          <w:p w14:paraId="31897601" w14:textId="4BE6ACB1" w:rsidR="793E2799" w:rsidRPr="00CE2DA4" w:rsidRDefault="793E2799" w:rsidP="00CE2DA4">
            <w:pPr>
              <w:jc w:val="right"/>
              <w:rPr>
                <w:color w:val="000000"/>
                <w:sz w:val="20"/>
                <w:szCs w:val="20"/>
              </w:rPr>
            </w:pPr>
            <w:r w:rsidRPr="00CE2DA4">
              <w:rPr>
                <w:color w:val="000000"/>
                <w:sz w:val="20"/>
                <w:szCs w:val="20"/>
              </w:rPr>
              <w:t>82.3%</w:t>
            </w:r>
          </w:p>
        </w:tc>
        <w:tc>
          <w:tcPr>
            <w:tcW w:w="810" w:type="dxa"/>
            <w:shd w:val="clear" w:color="auto" w:fill="auto"/>
          </w:tcPr>
          <w:p w14:paraId="72476A1F" w14:textId="2D19D12E" w:rsidR="793E2799" w:rsidRPr="00CE2DA4" w:rsidRDefault="793E2799" w:rsidP="00CE2DA4">
            <w:pPr>
              <w:jc w:val="right"/>
              <w:rPr>
                <w:color w:val="000000"/>
                <w:sz w:val="20"/>
                <w:szCs w:val="20"/>
              </w:rPr>
            </w:pPr>
            <w:r w:rsidRPr="00CE2DA4">
              <w:rPr>
                <w:color w:val="000000"/>
                <w:sz w:val="20"/>
                <w:szCs w:val="20"/>
              </w:rPr>
              <w:t>61.6%</w:t>
            </w:r>
          </w:p>
        </w:tc>
        <w:tc>
          <w:tcPr>
            <w:tcW w:w="814" w:type="dxa"/>
            <w:shd w:val="clear" w:color="auto" w:fill="auto"/>
          </w:tcPr>
          <w:p w14:paraId="14DE0395" w14:textId="41D15424" w:rsidR="793E2799" w:rsidRPr="00CE2DA4" w:rsidRDefault="793E2799" w:rsidP="00CE2DA4">
            <w:pPr>
              <w:jc w:val="right"/>
              <w:rPr>
                <w:color w:val="000000"/>
                <w:sz w:val="20"/>
                <w:szCs w:val="20"/>
              </w:rPr>
            </w:pPr>
            <w:r w:rsidRPr="00CE2DA4">
              <w:rPr>
                <w:color w:val="000000"/>
                <w:sz w:val="20"/>
                <w:szCs w:val="20"/>
              </w:rPr>
              <w:t>40.5%</w:t>
            </w:r>
          </w:p>
        </w:tc>
        <w:tc>
          <w:tcPr>
            <w:tcW w:w="855" w:type="dxa"/>
            <w:shd w:val="clear" w:color="auto" w:fill="auto"/>
          </w:tcPr>
          <w:p w14:paraId="66313E39" w14:textId="022EBC10" w:rsidR="793E2799" w:rsidRPr="00CE2DA4" w:rsidRDefault="793E2799" w:rsidP="00CE2DA4">
            <w:pPr>
              <w:jc w:val="right"/>
              <w:rPr>
                <w:color w:val="000000"/>
                <w:sz w:val="20"/>
                <w:szCs w:val="20"/>
              </w:rPr>
            </w:pPr>
            <w:r w:rsidRPr="00CE2DA4">
              <w:rPr>
                <w:color w:val="000000"/>
                <w:sz w:val="20"/>
                <w:szCs w:val="20"/>
              </w:rPr>
              <w:t>9.6%</w:t>
            </w:r>
          </w:p>
        </w:tc>
        <w:tc>
          <w:tcPr>
            <w:tcW w:w="784" w:type="dxa"/>
            <w:shd w:val="clear" w:color="auto" w:fill="auto"/>
          </w:tcPr>
          <w:p w14:paraId="247828D2" w14:textId="4A2E3F96" w:rsidR="793E2799" w:rsidRPr="00CE2DA4" w:rsidRDefault="793E2799" w:rsidP="793E2799">
            <w:pPr>
              <w:rPr>
                <w:color w:val="000000"/>
                <w:sz w:val="20"/>
                <w:szCs w:val="20"/>
              </w:rPr>
            </w:pPr>
            <w:r w:rsidRPr="00CE2DA4">
              <w:rPr>
                <w:color w:val="000000"/>
                <w:sz w:val="20"/>
                <w:szCs w:val="20"/>
              </w:rPr>
              <w:t>47.0%</w:t>
            </w:r>
          </w:p>
        </w:tc>
      </w:tr>
      <w:tr w:rsidR="00FD7C32" w14:paraId="610C05C9" w14:textId="77777777" w:rsidTr="00CE2DA4">
        <w:trPr>
          <w:trHeight w:val="300"/>
          <w:jc w:val="center"/>
        </w:trPr>
        <w:tc>
          <w:tcPr>
            <w:tcW w:w="2109" w:type="dxa"/>
            <w:shd w:val="clear" w:color="auto" w:fill="auto"/>
          </w:tcPr>
          <w:p w14:paraId="78D00A7B" w14:textId="4FA82DF6" w:rsidR="793E2799" w:rsidRPr="00CE2DA4" w:rsidRDefault="793E2799" w:rsidP="793E2799">
            <w:pPr>
              <w:rPr>
                <w:color w:val="000000"/>
                <w:sz w:val="20"/>
                <w:szCs w:val="20"/>
                <w:lang w:val="en-US"/>
              </w:rPr>
            </w:pPr>
            <w:r w:rsidRPr="00CE2DA4">
              <w:rPr>
                <w:color w:val="000000"/>
                <w:sz w:val="20"/>
                <w:szCs w:val="20"/>
                <w:lang w:val="en-US"/>
              </w:rPr>
              <w:t>Canadian Space Agency (CSA)</w:t>
            </w:r>
          </w:p>
        </w:tc>
        <w:tc>
          <w:tcPr>
            <w:tcW w:w="1410" w:type="dxa"/>
            <w:shd w:val="clear" w:color="auto" w:fill="auto"/>
          </w:tcPr>
          <w:p w14:paraId="1FE58D0D" w14:textId="21CC18EA" w:rsidR="7A3AB47A" w:rsidRPr="00CE2DA4" w:rsidRDefault="21E7BF48" w:rsidP="2540E8BF">
            <w:pPr>
              <w:rPr>
                <w:color w:val="000000"/>
                <w:sz w:val="20"/>
                <w:szCs w:val="20"/>
                <w:lang w:val="en-US"/>
              </w:rPr>
            </w:pPr>
            <w:r w:rsidRPr="00CE2DA4">
              <w:rPr>
                <w:color w:val="000000"/>
                <w:sz w:val="20"/>
                <w:szCs w:val="20"/>
                <w:lang w:val="en-US"/>
              </w:rPr>
              <w:t>Repository route</w:t>
            </w:r>
            <w:r w:rsidR="0D77D268" w:rsidRPr="00CE2DA4">
              <w:rPr>
                <w:color w:val="000000"/>
                <w:sz w:val="20"/>
                <w:szCs w:val="20"/>
                <w:lang w:val="en-US"/>
              </w:rPr>
              <w:t xml:space="preserve"> (Green)</w:t>
            </w:r>
          </w:p>
        </w:tc>
        <w:tc>
          <w:tcPr>
            <w:tcW w:w="1125" w:type="dxa"/>
            <w:shd w:val="clear" w:color="auto" w:fill="auto"/>
          </w:tcPr>
          <w:p w14:paraId="5D2355C3" w14:textId="2F1BED42" w:rsidR="793E2799" w:rsidRPr="00CE2DA4" w:rsidRDefault="793E2799" w:rsidP="00CE2DA4">
            <w:pPr>
              <w:jc w:val="right"/>
              <w:rPr>
                <w:color w:val="000000"/>
                <w:sz w:val="20"/>
                <w:szCs w:val="20"/>
              </w:rPr>
            </w:pPr>
            <w:r w:rsidRPr="00CE2DA4">
              <w:rPr>
                <w:color w:val="000000"/>
                <w:sz w:val="20"/>
                <w:szCs w:val="20"/>
              </w:rPr>
              <w:t>90</w:t>
            </w:r>
          </w:p>
        </w:tc>
        <w:tc>
          <w:tcPr>
            <w:tcW w:w="1230" w:type="dxa"/>
            <w:shd w:val="clear" w:color="auto" w:fill="auto"/>
          </w:tcPr>
          <w:p w14:paraId="5AAEB48A" w14:textId="4B493D65" w:rsidR="793E2799" w:rsidRPr="00CE2DA4" w:rsidRDefault="793E2799" w:rsidP="00CE2DA4">
            <w:pPr>
              <w:jc w:val="right"/>
              <w:rPr>
                <w:color w:val="000000"/>
                <w:sz w:val="20"/>
                <w:szCs w:val="20"/>
              </w:rPr>
            </w:pPr>
            <w:r w:rsidRPr="00CE2DA4">
              <w:rPr>
                <w:color w:val="000000"/>
                <w:sz w:val="20"/>
                <w:szCs w:val="20"/>
              </w:rPr>
              <w:t>84.4%</w:t>
            </w:r>
          </w:p>
        </w:tc>
        <w:tc>
          <w:tcPr>
            <w:tcW w:w="810" w:type="dxa"/>
            <w:shd w:val="clear" w:color="auto" w:fill="auto"/>
          </w:tcPr>
          <w:p w14:paraId="5E0250D1" w14:textId="34B3DC95" w:rsidR="793E2799" w:rsidRPr="00CE2DA4" w:rsidRDefault="793E2799" w:rsidP="00CE2DA4">
            <w:pPr>
              <w:jc w:val="right"/>
              <w:rPr>
                <w:color w:val="000000"/>
                <w:sz w:val="20"/>
                <w:szCs w:val="20"/>
              </w:rPr>
            </w:pPr>
            <w:r w:rsidRPr="00CE2DA4">
              <w:rPr>
                <w:color w:val="000000"/>
                <w:sz w:val="20"/>
                <w:szCs w:val="20"/>
              </w:rPr>
              <w:t>33.3%</w:t>
            </w:r>
          </w:p>
        </w:tc>
        <w:tc>
          <w:tcPr>
            <w:tcW w:w="814" w:type="dxa"/>
            <w:shd w:val="clear" w:color="auto" w:fill="auto"/>
          </w:tcPr>
          <w:p w14:paraId="60794E65" w14:textId="0F0C30DC" w:rsidR="793E2799" w:rsidRPr="00CE2DA4" w:rsidRDefault="793E2799" w:rsidP="00CE2DA4">
            <w:pPr>
              <w:jc w:val="right"/>
              <w:rPr>
                <w:color w:val="000000"/>
                <w:sz w:val="20"/>
                <w:szCs w:val="20"/>
              </w:rPr>
            </w:pPr>
            <w:r w:rsidRPr="00CE2DA4">
              <w:rPr>
                <w:color w:val="000000"/>
                <w:sz w:val="20"/>
                <w:szCs w:val="20"/>
              </w:rPr>
              <w:t>11.1%</w:t>
            </w:r>
          </w:p>
        </w:tc>
        <w:tc>
          <w:tcPr>
            <w:tcW w:w="855" w:type="dxa"/>
            <w:shd w:val="clear" w:color="auto" w:fill="auto"/>
          </w:tcPr>
          <w:p w14:paraId="3DAC184C" w14:textId="62D45C5B" w:rsidR="793E2799" w:rsidRPr="00CE2DA4" w:rsidRDefault="793E2799" w:rsidP="00CE2DA4">
            <w:pPr>
              <w:jc w:val="right"/>
              <w:rPr>
                <w:color w:val="000000"/>
                <w:sz w:val="20"/>
                <w:szCs w:val="20"/>
              </w:rPr>
            </w:pPr>
            <w:r w:rsidRPr="00CE2DA4">
              <w:rPr>
                <w:color w:val="000000"/>
                <w:sz w:val="20"/>
                <w:szCs w:val="20"/>
              </w:rPr>
              <w:t>7.8%</w:t>
            </w:r>
          </w:p>
        </w:tc>
        <w:tc>
          <w:tcPr>
            <w:tcW w:w="784" w:type="dxa"/>
            <w:shd w:val="clear" w:color="auto" w:fill="auto"/>
          </w:tcPr>
          <w:p w14:paraId="5FAC8742" w14:textId="50023801" w:rsidR="793E2799" w:rsidRPr="00CE2DA4" w:rsidRDefault="793E2799" w:rsidP="793E2799">
            <w:pPr>
              <w:rPr>
                <w:color w:val="000000"/>
                <w:sz w:val="20"/>
                <w:szCs w:val="20"/>
              </w:rPr>
            </w:pPr>
            <w:r w:rsidRPr="00CE2DA4">
              <w:rPr>
                <w:color w:val="000000"/>
                <w:sz w:val="20"/>
                <w:szCs w:val="20"/>
              </w:rPr>
              <w:t>26.7%</w:t>
            </w:r>
          </w:p>
        </w:tc>
      </w:tr>
      <w:tr w:rsidR="00FD7C32" w14:paraId="5E78956A" w14:textId="77777777" w:rsidTr="00CE2DA4">
        <w:trPr>
          <w:trHeight w:val="300"/>
          <w:jc w:val="center"/>
        </w:trPr>
        <w:tc>
          <w:tcPr>
            <w:tcW w:w="2109" w:type="dxa"/>
            <w:shd w:val="clear" w:color="auto" w:fill="auto"/>
          </w:tcPr>
          <w:p w14:paraId="01B39013" w14:textId="1C207772" w:rsidR="793E2799" w:rsidRPr="00CE2DA4" w:rsidRDefault="793E2799" w:rsidP="793E2799">
            <w:pPr>
              <w:rPr>
                <w:color w:val="000000"/>
                <w:sz w:val="20"/>
                <w:szCs w:val="20"/>
                <w:lang w:val="en-US"/>
              </w:rPr>
            </w:pPr>
            <w:r w:rsidRPr="00CE2DA4">
              <w:rPr>
                <w:color w:val="000000"/>
                <w:sz w:val="20"/>
                <w:szCs w:val="20"/>
                <w:lang w:val="en-US"/>
              </w:rPr>
              <w:t>Department of National Defence (DND)</w:t>
            </w:r>
          </w:p>
          <w:p w14:paraId="05B508C5" w14:textId="03AE26C7" w:rsidR="793E2799" w:rsidRPr="00CE2DA4" w:rsidRDefault="793E2799" w:rsidP="793E2799">
            <w:pPr>
              <w:rPr>
                <w:color w:val="000000"/>
                <w:sz w:val="20"/>
                <w:szCs w:val="20"/>
              </w:rPr>
            </w:pPr>
          </w:p>
        </w:tc>
        <w:tc>
          <w:tcPr>
            <w:tcW w:w="1410" w:type="dxa"/>
            <w:shd w:val="clear" w:color="auto" w:fill="auto"/>
          </w:tcPr>
          <w:p w14:paraId="0ECA7771" w14:textId="2DE48C4B" w:rsidR="6C39E658" w:rsidRPr="00CE2DA4" w:rsidRDefault="3A3E30B6" w:rsidP="2540E8BF">
            <w:pPr>
              <w:rPr>
                <w:color w:val="000000"/>
                <w:sz w:val="20"/>
                <w:szCs w:val="20"/>
                <w:lang w:val="en-US"/>
              </w:rPr>
            </w:pPr>
            <w:r w:rsidRPr="00CE2DA4">
              <w:rPr>
                <w:color w:val="000000"/>
                <w:sz w:val="20"/>
                <w:szCs w:val="20"/>
                <w:lang w:val="en-US"/>
              </w:rPr>
              <w:t>Preprint</w:t>
            </w:r>
            <w:r w:rsidR="551446C8" w:rsidRPr="00CE2DA4">
              <w:rPr>
                <w:color w:val="000000"/>
                <w:sz w:val="20"/>
                <w:szCs w:val="20"/>
                <w:lang w:val="en-US"/>
              </w:rPr>
              <w:t>;</w:t>
            </w:r>
            <w:r w:rsidRPr="00CE2DA4">
              <w:rPr>
                <w:color w:val="000000"/>
                <w:sz w:val="20"/>
                <w:szCs w:val="20"/>
                <w:lang w:val="en-US"/>
              </w:rPr>
              <w:t xml:space="preserve"> Publisher route</w:t>
            </w:r>
          </w:p>
        </w:tc>
        <w:tc>
          <w:tcPr>
            <w:tcW w:w="1125" w:type="dxa"/>
            <w:shd w:val="clear" w:color="auto" w:fill="auto"/>
          </w:tcPr>
          <w:p w14:paraId="0F9D5AE6" w14:textId="77B796FF" w:rsidR="793E2799" w:rsidRPr="00CE2DA4" w:rsidRDefault="793E2799" w:rsidP="00CE2DA4">
            <w:pPr>
              <w:jc w:val="right"/>
              <w:rPr>
                <w:color w:val="000000"/>
                <w:sz w:val="20"/>
                <w:szCs w:val="20"/>
              </w:rPr>
            </w:pPr>
            <w:r w:rsidRPr="00CE2DA4">
              <w:rPr>
                <w:color w:val="000000"/>
                <w:sz w:val="20"/>
                <w:szCs w:val="20"/>
              </w:rPr>
              <w:t>636</w:t>
            </w:r>
          </w:p>
        </w:tc>
        <w:tc>
          <w:tcPr>
            <w:tcW w:w="1230" w:type="dxa"/>
            <w:shd w:val="clear" w:color="auto" w:fill="auto"/>
          </w:tcPr>
          <w:p w14:paraId="08797B31" w14:textId="2D4DFE2F" w:rsidR="793E2799" w:rsidRPr="00CE2DA4" w:rsidRDefault="793E2799" w:rsidP="00CE2DA4">
            <w:pPr>
              <w:jc w:val="right"/>
              <w:rPr>
                <w:color w:val="000000"/>
                <w:sz w:val="20"/>
                <w:szCs w:val="20"/>
              </w:rPr>
            </w:pPr>
            <w:r w:rsidRPr="00CE2DA4">
              <w:rPr>
                <w:color w:val="000000"/>
                <w:sz w:val="20"/>
                <w:szCs w:val="20"/>
              </w:rPr>
              <w:t>73.7%</w:t>
            </w:r>
          </w:p>
        </w:tc>
        <w:tc>
          <w:tcPr>
            <w:tcW w:w="810" w:type="dxa"/>
            <w:shd w:val="clear" w:color="auto" w:fill="auto"/>
          </w:tcPr>
          <w:p w14:paraId="687A41FE" w14:textId="5B697DA5" w:rsidR="793E2799" w:rsidRPr="00CE2DA4" w:rsidRDefault="793E2799" w:rsidP="00CE2DA4">
            <w:pPr>
              <w:jc w:val="right"/>
              <w:rPr>
                <w:color w:val="000000"/>
                <w:sz w:val="20"/>
                <w:szCs w:val="20"/>
              </w:rPr>
            </w:pPr>
            <w:r w:rsidRPr="00CE2DA4">
              <w:rPr>
                <w:color w:val="000000"/>
                <w:sz w:val="20"/>
                <w:szCs w:val="20"/>
              </w:rPr>
              <w:t>31.5%</w:t>
            </w:r>
          </w:p>
        </w:tc>
        <w:tc>
          <w:tcPr>
            <w:tcW w:w="814" w:type="dxa"/>
            <w:shd w:val="clear" w:color="auto" w:fill="auto"/>
          </w:tcPr>
          <w:p w14:paraId="6411D4EA" w14:textId="1BB3090C" w:rsidR="793E2799" w:rsidRPr="00CE2DA4" w:rsidRDefault="793E2799" w:rsidP="00CE2DA4">
            <w:pPr>
              <w:jc w:val="right"/>
              <w:rPr>
                <w:color w:val="000000"/>
                <w:sz w:val="20"/>
                <w:szCs w:val="20"/>
              </w:rPr>
            </w:pPr>
            <w:r w:rsidRPr="00CE2DA4">
              <w:rPr>
                <w:color w:val="000000"/>
                <w:sz w:val="20"/>
                <w:szCs w:val="20"/>
              </w:rPr>
              <w:t>14.2%</w:t>
            </w:r>
          </w:p>
        </w:tc>
        <w:tc>
          <w:tcPr>
            <w:tcW w:w="855" w:type="dxa"/>
            <w:shd w:val="clear" w:color="auto" w:fill="auto"/>
          </w:tcPr>
          <w:p w14:paraId="3CFF3208" w14:textId="1072DCB6" w:rsidR="793E2799" w:rsidRPr="00CE2DA4" w:rsidRDefault="793E2799" w:rsidP="00CE2DA4">
            <w:pPr>
              <w:jc w:val="right"/>
              <w:rPr>
                <w:color w:val="000000"/>
                <w:sz w:val="20"/>
                <w:szCs w:val="20"/>
              </w:rPr>
            </w:pPr>
            <w:r w:rsidRPr="00CE2DA4">
              <w:rPr>
                <w:color w:val="000000"/>
                <w:sz w:val="20"/>
                <w:szCs w:val="20"/>
              </w:rPr>
              <w:t>4.6%</w:t>
            </w:r>
          </w:p>
        </w:tc>
        <w:tc>
          <w:tcPr>
            <w:tcW w:w="784" w:type="dxa"/>
            <w:shd w:val="clear" w:color="auto" w:fill="auto"/>
          </w:tcPr>
          <w:p w14:paraId="33321A35" w14:textId="142026D8" w:rsidR="793E2799" w:rsidRPr="00CE2DA4" w:rsidRDefault="793E2799" w:rsidP="793E2799">
            <w:pPr>
              <w:rPr>
                <w:color w:val="000000"/>
                <w:sz w:val="20"/>
                <w:szCs w:val="20"/>
              </w:rPr>
            </w:pPr>
            <w:r w:rsidRPr="00CE2DA4">
              <w:rPr>
                <w:color w:val="000000"/>
                <w:sz w:val="20"/>
                <w:szCs w:val="20"/>
              </w:rPr>
              <w:t>20.1%</w:t>
            </w:r>
          </w:p>
        </w:tc>
      </w:tr>
      <w:tr w:rsidR="00FD7C32" w14:paraId="46A2012E" w14:textId="77777777" w:rsidTr="00CE2DA4">
        <w:trPr>
          <w:trHeight w:val="982"/>
          <w:jc w:val="center"/>
        </w:trPr>
        <w:tc>
          <w:tcPr>
            <w:tcW w:w="2109" w:type="dxa"/>
            <w:shd w:val="clear" w:color="auto" w:fill="auto"/>
          </w:tcPr>
          <w:p w14:paraId="6D71AE22" w14:textId="317B2E73" w:rsidR="793E2799" w:rsidRPr="00CE2DA4" w:rsidRDefault="793E2799" w:rsidP="793E2799">
            <w:pPr>
              <w:rPr>
                <w:color w:val="000000"/>
                <w:sz w:val="20"/>
                <w:szCs w:val="20"/>
                <w:lang w:val="en-US"/>
              </w:rPr>
            </w:pPr>
            <w:r w:rsidRPr="00CE2DA4">
              <w:rPr>
                <w:color w:val="000000"/>
                <w:sz w:val="20"/>
                <w:szCs w:val="20"/>
                <w:lang w:val="en-US"/>
              </w:rPr>
              <w:t>Environment and Climate Change Canada (ECCC)</w:t>
            </w:r>
          </w:p>
        </w:tc>
        <w:tc>
          <w:tcPr>
            <w:tcW w:w="1410" w:type="dxa"/>
            <w:shd w:val="clear" w:color="auto" w:fill="auto"/>
          </w:tcPr>
          <w:p w14:paraId="203C1593" w14:textId="33E6F76F" w:rsidR="25369177" w:rsidRPr="00CE2DA4" w:rsidRDefault="58E49293" w:rsidP="2540E8BF">
            <w:pPr>
              <w:rPr>
                <w:color w:val="000000"/>
                <w:sz w:val="20"/>
                <w:szCs w:val="20"/>
                <w:lang w:val="en-US"/>
              </w:rPr>
            </w:pPr>
            <w:r w:rsidRPr="00CE2DA4">
              <w:rPr>
                <w:color w:val="000000"/>
                <w:sz w:val="20"/>
                <w:szCs w:val="20"/>
                <w:lang w:val="en-US"/>
              </w:rPr>
              <w:t>Repository route</w:t>
            </w:r>
            <w:r w:rsidR="6945CC81" w:rsidRPr="00CE2DA4">
              <w:rPr>
                <w:color w:val="000000"/>
                <w:sz w:val="20"/>
                <w:szCs w:val="20"/>
                <w:lang w:val="en-US"/>
              </w:rPr>
              <w:t xml:space="preserve"> (Green)</w:t>
            </w:r>
          </w:p>
        </w:tc>
        <w:tc>
          <w:tcPr>
            <w:tcW w:w="1125" w:type="dxa"/>
            <w:shd w:val="clear" w:color="auto" w:fill="auto"/>
          </w:tcPr>
          <w:p w14:paraId="311DA93A" w14:textId="6722961F" w:rsidR="793E2799" w:rsidRPr="00CE2DA4" w:rsidRDefault="793E2799" w:rsidP="00CE2DA4">
            <w:pPr>
              <w:jc w:val="right"/>
              <w:rPr>
                <w:color w:val="000000"/>
                <w:sz w:val="20"/>
                <w:szCs w:val="20"/>
              </w:rPr>
            </w:pPr>
            <w:r w:rsidRPr="00CE2DA4">
              <w:rPr>
                <w:color w:val="000000"/>
                <w:sz w:val="20"/>
                <w:szCs w:val="20"/>
              </w:rPr>
              <w:t>4,014</w:t>
            </w:r>
          </w:p>
        </w:tc>
        <w:tc>
          <w:tcPr>
            <w:tcW w:w="1230" w:type="dxa"/>
            <w:shd w:val="clear" w:color="auto" w:fill="auto"/>
          </w:tcPr>
          <w:p w14:paraId="4930EEA8" w14:textId="3B9C38F9" w:rsidR="793E2799" w:rsidRPr="00CE2DA4" w:rsidRDefault="793E2799" w:rsidP="00CE2DA4">
            <w:pPr>
              <w:jc w:val="right"/>
              <w:rPr>
                <w:color w:val="000000"/>
                <w:sz w:val="20"/>
                <w:szCs w:val="20"/>
              </w:rPr>
            </w:pPr>
            <w:r w:rsidRPr="00CE2DA4">
              <w:rPr>
                <w:color w:val="000000"/>
                <w:sz w:val="20"/>
                <w:szCs w:val="20"/>
              </w:rPr>
              <w:t>86.2%</w:t>
            </w:r>
          </w:p>
        </w:tc>
        <w:tc>
          <w:tcPr>
            <w:tcW w:w="810" w:type="dxa"/>
            <w:shd w:val="clear" w:color="auto" w:fill="auto"/>
          </w:tcPr>
          <w:p w14:paraId="7A2F2FEC" w14:textId="7DC68498" w:rsidR="793E2799" w:rsidRPr="00CE2DA4" w:rsidRDefault="793E2799" w:rsidP="00CE2DA4">
            <w:pPr>
              <w:jc w:val="right"/>
              <w:rPr>
                <w:color w:val="000000"/>
                <w:sz w:val="20"/>
                <w:szCs w:val="20"/>
              </w:rPr>
            </w:pPr>
            <w:r w:rsidRPr="00CE2DA4">
              <w:rPr>
                <w:color w:val="000000"/>
                <w:sz w:val="20"/>
                <w:szCs w:val="20"/>
              </w:rPr>
              <w:t>57.4%</w:t>
            </w:r>
          </w:p>
        </w:tc>
        <w:tc>
          <w:tcPr>
            <w:tcW w:w="814" w:type="dxa"/>
            <w:shd w:val="clear" w:color="auto" w:fill="auto"/>
          </w:tcPr>
          <w:p w14:paraId="35970572" w14:textId="0DFB34D6" w:rsidR="793E2799" w:rsidRPr="00CE2DA4" w:rsidRDefault="793E2799" w:rsidP="00CE2DA4">
            <w:pPr>
              <w:jc w:val="right"/>
              <w:rPr>
                <w:color w:val="000000"/>
                <w:sz w:val="20"/>
                <w:szCs w:val="20"/>
              </w:rPr>
            </w:pPr>
            <w:r w:rsidRPr="00CE2DA4">
              <w:rPr>
                <w:color w:val="000000"/>
                <w:sz w:val="20"/>
                <w:szCs w:val="20"/>
              </w:rPr>
              <w:t>28.4%</w:t>
            </w:r>
          </w:p>
        </w:tc>
        <w:tc>
          <w:tcPr>
            <w:tcW w:w="855" w:type="dxa"/>
            <w:shd w:val="clear" w:color="auto" w:fill="auto"/>
          </w:tcPr>
          <w:p w14:paraId="0111564D" w14:textId="507EFF34" w:rsidR="793E2799" w:rsidRPr="00CE2DA4" w:rsidRDefault="793E2799" w:rsidP="00CE2DA4">
            <w:pPr>
              <w:jc w:val="right"/>
              <w:rPr>
                <w:color w:val="000000"/>
                <w:sz w:val="20"/>
                <w:szCs w:val="20"/>
              </w:rPr>
            </w:pPr>
            <w:r w:rsidRPr="00CE2DA4">
              <w:rPr>
                <w:color w:val="000000"/>
                <w:sz w:val="20"/>
                <w:szCs w:val="20"/>
              </w:rPr>
              <w:t>14.2%</w:t>
            </w:r>
          </w:p>
        </w:tc>
        <w:tc>
          <w:tcPr>
            <w:tcW w:w="784" w:type="dxa"/>
            <w:shd w:val="clear" w:color="auto" w:fill="auto"/>
          </w:tcPr>
          <w:p w14:paraId="5D539951" w14:textId="127164FB" w:rsidR="793E2799" w:rsidRPr="00CE2DA4" w:rsidRDefault="793E2799" w:rsidP="793E2799">
            <w:pPr>
              <w:rPr>
                <w:color w:val="000000"/>
                <w:sz w:val="20"/>
                <w:szCs w:val="20"/>
              </w:rPr>
            </w:pPr>
            <w:r w:rsidRPr="00CE2DA4">
              <w:rPr>
                <w:color w:val="000000"/>
                <w:sz w:val="20"/>
                <w:szCs w:val="20"/>
              </w:rPr>
              <w:t>37.9%</w:t>
            </w:r>
          </w:p>
        </w:tc>
      </w:tr>
      <w:tr w:rsidR="00FD7C32" w14:paraId="7C2BAA25" w14:textId="77777777" w:rsidTr="00CE2DA4">
        <w:trPr>
          <w:trHeight w:val="300"/>
          <w:jc w:val="center"/>
        </w:trPr>
        <w:tc>
          <w:tcPr>
            <w:tcW w:w="2109" w:type="dxa"/>
            <w:shd w:val="clear" w:color="auto" w:fill="auto"/>
          </w:tcPr>
          <w:p w14:paraId="5FEF9B6E" w14:textId="6A11B9B5" w:rsidR="793E2799" w:rsidRPr="00CE2DA4" w:rsidRDefault="793E2799" w:rsidP="793E2799">
            <w:pPr>
              <w:rPr>
                <w:color w:val="000000"/>
                <w:sz w:val="20"/>
                <w:szCs w:val="20"/>
                <w:lang w:val="en-US"/>
              </w:rPr>
            </w:pPr>
            <w:r w:rsidRPr="00CE2DA4">
              <w:rPr>
                <w:color w:val="000000"/>
                <w:sz w:val="20"/>
                <w:szCs w:val="20"/>
                <w:lang w:val="en-US"/>
              </w:rPr>
              <w:t>Health Canada (HC)</w:t>
            </w:r>
          </w:p>
        </w:tc>
        <w:tc>
          <w:tcPr>
            <w:tcW w:w="1410" w:type="dxa"/>
            <w:shd w:val="clear" w:color="auto" w:fill="auto"/>
          </w:tcPr>
          <w:p w14:paraId="43D2FF7E" w14:textId="3EAF1D2A" w:rsidR="451CD9DB" w:rsidRPr="00CE2DA4" w:rsidRDefault="502ADD54" w:rsidP="2540E8BF">
            <w:pPr>
              <w:rPr>
                <w:color w:val="000000"/>
                <w:sz w:val="20"/>
                <w:szCs w:val="20"/>
                <w:lang w:val="en-US"/>
              </w:rPr>
            </w:pPr>
            <w:r w:rsidRPr="00CE2DA4">
              <w:rPr>
                <w:color w:val="000000"/>
                <w:sz w:val="20"/>
                <w:szCs w:val="20"/>
                <w:lang w:val="en-US"/>
              </w:rPr>
              <w:t>Repository route</w:t>
            </w:r>
            <w:r w:rsidR="6837F558" w:rsidRPr="00CE2DA4">
              <w:rPr>
                <w:color w:val="000000"/>
                <w:sz w:val="20"/>
                <w:szCs w:val="20"/>
                <w:lang w:val="en-US"/>
              </w:rPr>
              <w:t xml:space="preserve"> (Green)</w:t>
            </w:r>
          </w:p>
        </w:tc>
        <w:tc>
          <w:tcPr>
            <w:tcW w:w="1125" w:type="dxa"/>
            <w:shd w:val="clear" w:color="auto" w:fill="auto"/>
          </w:tcPr>
          <w:p w14:paraId="173303E9" w14:textId="27FDE3B6" w:rsidR="793E2799" w:rsidRPr="00CE2DA4" w:rsidRDefault="793E2799" w:rsidP="00CE2DA4">
            <w:pPr>
              <w:jc w:val="right"/>
              <w:rPr>
                <w:color w:val="000000"/>
                <w:sz w:val="20"/>
                <w:szCs w:val="20"/>
              </w:rPr>
            </w:pPr>
            <w:r w:rsidRPr="00CE2DA4">
              <w:rPr>
                <w:color w:val="000000"/>
                <w:sz w:val="20"/>
                <w:szCs w:val="20"/>
              </w:rPr>
              <w:t>1,277</w:t>
            </w:r>
          </w:p>
        </w:tc>
        <w:tc>
          <w:tcPr>
            <w:tcW w:w="1230" w:type="dxa"/>
            <w:shd w:val="clear" w:color="auto" w:fill="auto"/>
          </w:tcPr>
          <w:p w14:paraId="3BA520AD" w14:textId="4DB36685" w:rsidR="793E2799" w:rsidRPr="00CE2DA4" w:rsidRDefault="793E2799" w:rsidP="00CE2DA4">
            <w:pPr>
              <w:jc w:val="right"/>
              <w:rPr>
                <w:color w:val="000000"/>
                <w:sz w:val="20"/>
                <w:szCs w:val="20"/>
              </w:rPr>
            </w:pPr>
            <w:r w:rsidRPr="00CE2DA4">
              <w:rPr>
                <w:color w:val="000000"/>
                <w:sz w:val="20"/>
                <w:szCs w:val="20"/>
              </w:rPr>
              <w:t>77.7%</w:t>
            </w:r>
          </w:p>
        </w:tc>
        <w:tc>
          <w:tcPr>
            <w:tcW w:w="810" w:type="dxa"/>
            <w:shd w:val="clear" w:color="auto" w:fill="auto"/>
          </w:tcPr>
          <w:p w14:paraId="583CBD60" w14:textId="45E7F679" w:rsidR="793E2799" w:rsidRPr="00CE2DA4" w:rsidRDefault="793E2799" w:rsidP="00CE2DA4">
            <w:pPr>
              <w:jc w:val="right"/>
              <w:rPr>
                <w:color w:val="000000"/>
                <w:sz w:val="20"/>
                <w:szCs w:val="20"/>
              </w:rPr>
            </w:pPr>
            <w:r w:rsidRPr="00CE2DA4">
              <w:rPr>
                <w:color w:val="000000"/>
                <w:sz w:val="20"/>
                <w:szCs w:val="20"/>
              </w:rPr>
              <w:t>60.6%</w:t>
            </w:r>
          </w:p>
        </w:tc>
        <w:tc>
          <w:tcPr>
            <w:tcW w:w="814" w:type="dxa"/>
            <w:shd w:val="clear" w:color="auto" w:fill="auto"/>
          </w:tcPr>
          <w:p w14:paraId="3A372621" w14:textId="526CE09F" w:rsidR="793E2799" w:rsidRPr="00CE2DA4" w:rsidRDefault="793E2799" w:rsidP="00CE2DA4">
            <w:pPr>
              <w:jc w:val="right"/>
              <w:rPr>
                <w:color w:val="000000"/>
                <w:sz w:val="20"/>
                <w:szCs w:val="20"/>
              </w:rPr>
            </w:pPr>
            <w:r w:rsidRPr="00CE2DA4">
              <w:rPr>
                <w:color w:val="000000"/>
                <w:sz w:val="20"/>
                <w:szCs w:val="20"/>
              </w:rPr>
              <w:t>23.5%</w:t>
            </w:r>
          </w:p>
        </w:tc>
        <w:tc>
          <w:tcPr>
            <w:tcW w:w="855" w:type="dxa"/>
            <w:shd w:val="clear" w:color="auto" w:fill="auto"/>
          </w:tcPr>
          <w:p w14:paraId="0FEE4615" w14:textId="1BA43EC8" w:rsidR="793E2799" w:rsidRPr="00CE2DA4" w:rsidRDefault="793E2799" w:rsidP="00CE2DA4">
            <w:pPr>
              <w:jc w:val="right"/>
              <w:rPr>
                <w:color w:val="000000"/>
                <w:sz w:val="20"/>
                <w:szCs w:val="20"/>
              </w:rPr>
            </w:pPr>
            <w:r w:rsidRPr="00CE2DA4">
              <w:rPr>
                <w:color w:val="000000"/>
                <w:sz w:val="20"/>
                <w:szCs w:val="20"/>
              </w:rPr>
              <w:t>22.2%</w:t>
            </w:r>
          </w:p>
        </w:tc>
        <w:tc>
          <w:tcPr>
            <w:tcW w:w="784" w:type="dxa"/>
            <w:shd w:val="clear" w:color="auto" w:fill="auto"/>
          </w:tcPr>
          <w:p w14:paraId="775D8446" w14:textId="50611CDE" w:rsidR="793E2799" w:rsidRPr="00CE2DA4" w:rsidRDefault="793E2799" w:rsidP="793E2799">
            <w:pPr>
              <w:rPr>
                <w:color w:val="000000"/>
                <w:sz w:val="20"/>
                <w:szCs w:val="20"/>
              </w:rPr>
            </w:pPr>
            <w:r w:rsidRPr="00CE2DA4">
              <w:rPr>
                <w:color w:val="000000"/>
                <w:sz w:val="20"/>
                <w:szCs w:val="20"/>
              </w:rPr>
              <w:t>41.1%</w:t>
            </w:r>
          </w:p>
        </w:tc>
      </w:tr>
      <w:tr w:rsidR="00FD7C32" w14:paraId="2BD7706F" w14:textId="77777777" w:rsidTr="00CE2DA4">
        <w:trPr>
          <w:trHeight w:val="300"/>
          <w:jc w:val="center"/>
        </w:trPr>
        <w:tc>
          <w:tcPr>
            <w:tcW w:w="2109" w:type="dxa"/>
            <w:shd w:val="clear" w:color="auto" w:fill="auto"/>
          </w:tcPr>
          <w:p w14:paraId="0EA8F556" w14:textId="39D9A25F" w:rsidR="793E2799" w:rsidRPr="00CE2DA4" w:rsidRDefault="53F94819" w:rsidP="793E2799">
            <w:pPr>
              <w:rPr>
                <w:color w:val="000000"/>
                <w:sz w:val="20"/>
                <w:szCs w:val="20"/>
                <w:lang w:val="en-US"/>
              </w:rPr>
            </w:pPr>
            <w:r w:rsidRPr="00CE2DA4">
              <w:rPr>
                <w:color w:val="000000"/>
                <w:sz w:val="20"/>
                <w:szCs w:val="20"/>
                <w:lang w:val="en-US"/>
              </w:rPr>
              <w:t>National Research Council (NRC)</w:t>
            </w:r>
          </w:p>
        </w:tc>
        <w:tc>
          <w:tcPr>
            <w:tcW w:w="1410" w:type="dxa"/>
            <w:shd w:val="clear" w:color="auto" w:fill="auto"/>
          </w:tcPr>
          <w:p w14:paraId="588C030E" w14:textId="6A0556CA" w:rsidR="5CC46661" w:rsidRPr="00CE2DA4" w:rsidRDefault="71177BD8" w:rsidP="2540E8BF">
            <w:pPr>
              <w:rPr>
                <w:color w:val="000000"/>
                <w:sz w:val="20"/>
                <w:szCs w:val="20"/>
                <w:lang w:val="en-US"/>
              </w:rPr>
            </w:pPr>
            <w:r w:rsidRPr="00CE2DA4">
              <w:rPr>
                <w:color w:val="000000"/>
                <w:sz w:val="20"/>
                <w:szCs w:val="20"/>
                <w:lang w:val="en-US"/>
              </w:rPr>
              <w:t>Repository route</w:t>
            </w:r>
            <w:r w:rsidR="4ED8A671" w:rsidRPr="00CE2DA4">
              <w:rPr>
                <w:color w:val="000000"/>
                <w:sz w:val="20"/>
                <w:szCs w:val="20"/>
                <w:lang w:val="en-US"/>
              </w:rPr>
              <w:t xml:space="preserve"> (Green)</w:t>
            </w:r>
            <w:r w:rsidR="5B80B65C" w:rsidRPr="00CE2DA4">
              <w:rPr>
                <w:color w:val="000000"/>
                <w:sz w:val="20"/>
                <w:szCs w:val="20"/>
                <w:lang w:val="en-US"/>
              </w:rPr>
              <w:t>;</w:t>
            </w:r>
            <w:r w:rsidR="4ED8A671" w:rsidRPr="00CE2DA4">
              <w:rPr>
                <w:color w:val="000000"/>
                <w:sz w:val="20"/>
                <w:szCs w:val="20"/>
                <w:lang w:val="en-US"/>
              </w:rPr>
              <w:t xml:space="preserve"> Publisher route</w:t>
            </w:r>
          </w:p>
        </w:tc>
        <w:tc>
          <w:tcPr>
            <w:tcW w:w="1125" w:type="dxa"/>
            <w:shd w:val="clear" w:color="auto" w:fill="auto"/>
          </w:tcPr>
          <w:p w14:paraId="1A43C2D1" w14:textId="4DACDF4E" w:rsidR="793E2799" w:rsidRPr="00CE2DA4" w:rsidRDefault="793E2799" w:rsidP="00CE2DA4">
            <w:pPr>
              <w:jc w:val="right"/>
              <w:rPr>
                <w:color w:val="000000"/>
                <w:sz w:val="20"/>
                <w:szCs w:val="20"/>
              </w:rPr>
            </w:pPr>
            <w:r w:rsidRPr="00CE2DA4">
              <w:rPr>
                <w:color w:val="000000"/>
                <w:sz w:val="20"/>
                <w:szCs w:val="20"/>
              </w:rPr>
              <w:t>5,062</w:t>
            </w:r>
          </w:p>
        </w:tc>
        <w:tc>
          <w:tcPr>
            <w:tcW w:w="1230" w:type="dxa"/>
            <w:shd w:val="clear" w:color="auto" w:fill="auto"/>
          </w:tcPr>
          <w:p w14:paraId="0921FF8B" w14:textId="4AF1A4E5" w:rsidR="793E2799" w:rsidRPr="00CE2DA4" w:rsidRDefault="793E2799" w:rsidP="00CE2DA4">
            <w:pPr>
              <w:jc w:val="right"/>
              <w:rPr>
                <w:color w:val="000000"/>
                <w:sz w:val="20"/>
                <w:szCs w:val="20"/>
              </w:rPr>
            </w:pPr>
            <w:r w:rsidRPr="00CE2DA4">
              <w:rPr>
                <w:color w:val="000000"/>
                <w:sz w:val="20"/>
                <w:szCs w:val="20"/>
              </w:rPr>
              <w:t>73.2%</w:t>
            </w:r>
          </w:p>
        </w:tc>
        <w:tc>
          <w:tcPr>
            <w:tcW w:w="810" w:type="dxa"/>
            <w:shd w:val="clear" w:color="auto" w:fill="auto"/>
          </w:tcPr>
          <w:p w14:paraId="7F99BA15" w14:textId="60BE65CE" w:rsidR="793E2799" w:rsidRPr="00CE2DA4" w:rsidRDefault="793E2799" w:rsidP="00CE2DA4">
            <w:pPr>
              <w:jc w:val="right"/>
              <w:rPr>
                <w:color w:val="000000"/>
                <w:sz w:val="20"/>
                <w:szCs w:val="20"/>
              </w:rPr>
            </w:pPr>
            <w:r w:rsidRPr="00CE2DA4">
              <w:rPr>
                <w:color w:val="000000"/>
                <w:sz w:val="20"/>
                <w:szCs w:val="20"/>
              </w:rPr>
              <w:t>50.5%</w:t>
            </w:r>
          </w:p>
        </w:tc>
        <w:tc>
          <w:tcPr>
            <w:tcW w:w="814" w:type="dxa"/>
            <w:shd w:val="clear" w:color="auto" w:fill="auto"/>
          </w:tcPr>
          <w:p w14:paraId="3AD8C88A" w14:textId="4689211E" w:rsidR="793E2799" w:rsidRPr="00CE2DA4" w:rsidRDefault="793E2799" w:rsidP="00CE2DA4">
            <w:pPr>
              <w:jc w:val="right"/>
              <w:rPr>
                <w:color w:val="000000"/>
                <w:sz w:val="20"/>
                <w:szCs w:val="20"/>
              </w:rPr>
            </w:pPr>
            <w:r w:rsidRPr="00CE2DA4">
              <w:rPr>
                <w:color w:val="000000"/>
                <w:sz w:val="20"/>
                <w:szCs w:val="20"/>
              </w:rPr>
              <w:t>16.6%</w:t>
            </w:r>
          </w:p>
        </w:tc>
        <w:tc>
          <w:tcPr>
            <w:tcW w:w="855" w:type="dxa"/>
            <w:shd w:val="clear" w:color="auto" w:fill="auto"/>
          </w:tcPr>
          <w:p w14:paraId="6EC7A52C" w14:textId="14973824" w:rsidR="793E2799" w:rsidRPr="00CE2DA4" w:rsidRDefault="793E2799" w:rsidP="00CE2DA4">
            <w:pPr>
              <w:jc w:val="right"/>
              <w:rPr>
                <w:color w:val="000000"/>
                <w:sz w:val="20"/>
                <w:szCs w:val="20"/>
              </w:rPr>
            </w:pPr>
            <w:r w:rsidRPr="00CE2DA4">
              <w:rPr>
                <w:color w:val="000000"/>
                <w:sz w:val="20"/>
                <w:szCs w:val="20"/>
              </w:rPr>
              <w:t>5.5%</w:t>
            </w:r>
          </w:p>
        </w:tc>
        <w:tc>
          <w:tcPr>
            <w:tcW w:w="784" w:type="dxa"/>
            <w:shd w:val="clear" w:color="auto" w:fill="auto"/>
          </w:tcPr>
          <w:p w14:paraId="049FBFD1" w14:textId="0CFF15ED" w:rsidR="793E2799" w:rsidRPr="00CE2DA4" w:rsidRDefault="793E2799" w:rsidP="793E2799">
            <w:pPr>
              <w:rPr>
                <w:color w:val="000000"/>
                <w:sz w:val="20"/>
                <w:szCs w:val="20"/>
              </w:rPr>
            </w:pPr>
            <w:r w:rsidRPr="00CE2DA4">
              <w:rPr>
                <w:color w:val="000000"/>
                <w:sz w:val="20"/>
                <w:szCs w:val="20"/>
              </w:rPr>
              <w:t>43.8%</w:t>
            </w:r>
          </w:p>
        </w:tc>
      </w:tr>
      <w:tr w:rsidR="00FD7C32" w14:paraId="15313FDE" w14:textId="77777777" w:rsidTr="00CE2DA4">
        <w:trPr>
          <w:trHeight w:val="300"/>
          <w:jc w:val="center"/>
        </w:trPr>
        <w:tc>
          <w:tcPr>
            <w:tcW w:w="2109" w:type="dxa"/>
            <w:shd w:val="clear" w:color="auto" w:fill="auto"/>
          </w:tcPr>
          <w:p w14:paraId="39075B49" w14:textId="33A61636" w:rsidR="793E2799" w:rsidRPr="00CE2DA4" w:rsidRDefault="793E2799" w:rsidP="793E2799">
            <w:pPr>
              <w:rPr>
                <w:color w:val="000000"/>
                <w:sz w:val="20"/>
                <w:szCs w:val="20"/>
                <w:lang w:val="en-US"/>
              </w:rPr>
            </w:pPr>
            <w:r w:rsidRPr="00CE2DA4">
              <w:rPr>
                <w:color w:val="000000"/>
                <w:sz w:val="20"/>
                <w:szCs w:val="20"/>
                <w:lang w:val="en-US"/>
              </w:rPr>
              <w:t>Natural Resources Canada (NRCan)</w:t>
            </w:r>
          </w:p>
        </w:tc>
        <w:tc>
          <w:tcPr>
            <w:tcW w:w="1410" w:type="dxa"/>
            <w:shd w:val="clear" w:color="auto" w:fill="auto"/>
          </w:tcPr>
          <w:p w14:paraId="5EBA5DE6" w14:textId="737315BF" w:rsidR="12BDE564" w:rsidRPr="00CE2DA4" w:rsidRDefault="7EB518EF" w:rsidP="2540E8BF">
            <w:pPr>
              <w:rPr>
                <w:color w:val="000000"/>
                <w:sz w:val="20"/>
                <w:szCs w:val="20"/>
                <w:lang w:val="en-US"/>
              </w:rPr>
            </w:pPr>
            <w:r w:rsidRPr="00CE2DA4">
              <w:rPr>
                <w:color w:val="000000"/>
                <w:sz w:val="20"/>
                <w:szCs w:val="20"/>
                <w:lang w:val="en-US"/>
              </w:rPr>
              <w:t>Repository route</w:t>
            </w:r>
            <w:r w:rsidR="73A78858" w:rsidRPr="00CE2DA4">
              <w:rPr>
                <w:color w:val="000000"/>
                <w:sz w:val="20"/>
                <w:szCs w:val="20"/>
                <w:lang w:val="en-US"/>
              </w:rPr>
              <w:t xml:space="preserve"> (Green)</w:t>
            </w:r>
            <w:r w:rsidR="663384DD" w:rsidRPr="00CE2DA4">
              <w:rPr>
                <w:color w:val="000000"/>
                <w:sz w:val="20"/>
                <w:szCs w:val="20"/>
                <w:lang w:val="en-US"/>
              </w:rPr>
              <w:t>;</w:t>
            </w:r>
            <w:r w:rsidR="73A78858" w:rsidRPr="00CE2DA4">
              <w:rPr>
                <w:color w:val="000000"/>
                <w:sz w:val="20"/>
                <w:szCs w:val="20"/>
                <w:lang w:val="en-US"/>
              </w:rPr>
              <w:t xml:space="preserve"> Publisher route</w:t>
            </w:r>
            <w:r w:rsidR="59889404" w:rsidRPr="00CE2DA4">
              <w:rPr>
                <w:color w:val="000000"/>
                <w:sz w:val="20"/>
                <w:szCs w:val="20"/>
                <w:lang w:val="en-US"/>
              </w:rPr>
              <w:t>;</w:t>
            </w:r>
            <w:r w:rsidR="73A78858" w:rsidRPr="00CE2DA4">
              <w:rPr>
                <w:color w:val="000000"/>
                <w:sz w:val="20"/>
                <w:szCs w:val="20"/>
                <w:lang w:val="en-US"/>
              </w:rPr>
              <w:t xml:space="preserve"> </w:t>
            </w:r>
            <w:r w:rsidR="2B444E7B" w:rsidRPr="00CE2DA4">
              <w:rPr>
                <w:color w:val="000000"/>
                <w:sz w:val="20"/>
                <w:szCs w:val="20"/>
                <w:lang w:val="en-US"/>
              </w:rPr>
              <w:t>P</w:t>
            </w:r>
            <w:r w:rsidR="73A78858" w:rsidRPr="00CE2DA4">
              <w:rPr>
                <w:color w:val="000000"/>
                <w:sz w:val="20"/>
                <w:szCs w:val="20"/>
                <w:lang w:val="en-US"/>
              </w:rPr>
              <w:t>reprint</w:t>
            </w:r>
          </w:p>
        </w:tc>
        <w:tc>
          <w:tcPr>
            <w:tcW w:w="1125" w:type="dxa"/>
            <w:shd w:val="clear" w:color="auto" w:fill="auto"/>
          </w:tcPr>
          <w:p w14:paraId="29003960" w14:textId="53FCB333" w:rsidR="793E2799" w:rsidRPr="00CE2DA4" w:rsidRDefault="793E2799" w:rsidP="00CE2DA4">
            <w:pPr>
              <w:jc w:val="right"/>
              <w:rPr>
                <w:color w:val="000000"/>
                <w:sz w:val="20"/>
                <w:szCs w:val="20"/>
              </w:rPr>
            </w:pPr>
            <w:r w:rsidRPr="00CE2DA4">
              <w:rPr>
                <w:color w:val="000000"/>
                <w:sz w:val="20"/>
                <w:szCs w:val="20"/>
              </w:rPr>
              <w:t>4,047</w:t>
            </w:r>
          </w:p>
        </w:tc>
        <w:tc>
          <w:tcPr>
            <w:tcW w:w="1230" w:type="dxa"/>
            <w:shd w:val="clear" w:color="auto" w:fill="auto"/>
          </w:tcPr>
          <w:p w14:paraId="0A8984E0" w14:textId="038588FD" w:rsidR="793E2799" w:rsidRPr="00CE2DA4" w:rsidRDefault="793E2799" w:rsidP="00CE2DA4">
            <w:pPr>
              <w:jc w:val="right"/>
              <w:rPr>
                <w:color w:val="000000"/>
                <w:sz w:val="20"/>
                <w:szCs w:val="20"/>
              </w:rPr>
            </w:pPr>
            <w:r w:rsidRPr="00CE2DA4">
              <w:rPr>
                <w:color w:val="000000"/>
                <w:sz w:val="20"/>
                <w:szCs w:val="20"/>
              </w:rPr>
              <w:t>75.3%</w:t>
            </w:r>
          </w:p>
        </w:tc>
        <w:tc>
          <w:tcPr>
            <w:tcW w:w="810" w:type="dxa"/>
            <w:shd w:val="clear" w:color="auto" w:fill="auto"/>
          </w:tcPr>
          <w:p w14:paraId="18FCA67A" w14:textId="1A017648" w:rsidR="793E2799" w:rsidRPr="00CE2DA4" w:rsidRDefault="793E2799" w:rsidP="00CE2DA4">
            <w:pPr>
              <w:jc w:val="right"/>
              <w:rPr>
                <w:color w:val="000000"/>
                <w:sz w:val="20"/>
                <w:szCs w:val="20"/>
              </w:rPr>
            </w:pPr>
            <w:r w:rsidRPr="00CE2DA4">
              <w:rPr>
                <w:color w:val="000000"/>
                <w:sz w:val="20"/>
                <w:szCs w:val="20"/>
              </w:rPr>
              <w:t>44.6%</w:t>
            </w:r>
          </w:p>
        </w:tc>
        <w:tc>
          <w:tcPr>
            <w:tcW w:w="814" w:type="dxa"/>
            <w:shd w:val="clear" w:color="auto" w:fill="auto"/>
          </w:tcPr>
          <w:p w14:paraId="0B4D7EDA" w14:textId="29C39972" w:rsidR="793E2799" w:rsidRPr="00CE2DA4" w:rsidRDefault="793E2799" w:rsidP="00CE2DA4">
            <w:pPr>
              <w:jc w:val="right"/>
              <w:rPr>
                <w:color w:val="000000"/>
                <w:sz w:val="20"/>
                <w:szCs w:val="20"/>
              </w:rPr>
            </w:pPr>
            <w:r w:rsidRPr="00CE2DA4">
              <w:rPr>
                <w:color w:val="000000"/>
                <w:sz w:val="20"/>
                <w:szCs w:val="20"/>
              </w:rPr>
              <w:t>22.2%</w:t>
            </w:r>
          </w:p>
        </w:tc>
        <w:tc>
          <w:tcPr>
            <w:tcW w:w="855" w:type="dxa"/>
            <w:shd w:val="clear" w:color="auto" w:fill="auto"/>
          </w:tcPr>
          <w:p w14:paraId="1209B8FB" w14:textId="0EA4BBDD" w:rsidR="793E2799" w:rsidRPr="00CE2DA4" w:rsidRDefault="793E2799" w:rsidP="00CE2DA4">
            <w:pPr>
              <w:jc w:val="right"/>
              <w:rPr>
                <w:color w:val="000000"/>
                <w:sz w:val="20"/>
                <w:szCs w:val="20"/>
              </w:rPr>
            </w:pPr>
            <w:r w:rsidRPr="00CE2DA4">
              <w:rPr>
                <w:color w:val="000000"/>
                <w:sz w:val="20"/>
                <w:szCs w:val="20"/>
              </w:rPr>
              <w:t>9.0%</w:t>
            </w:r>
          </w:p>
        </w:tc>
        <w:tc>
          <w:tcPr>
            <w:tcW w:w="784" w:type="dxa"/>
            <w:shd w:val="clear" w:color="auto" w:fill="auto"/>
          </w:tcPr>
          <w:p w14:paraId="3E707D6D" w14:textId="32FDD26E" w:rsidR="793E2799" w:rsidRPr="00CE2DA4" w:rsidRDefault="793E2799" w:rsidP="793E2799">
            <w:pPr>
              <w:rPr>
                <w:color w:val="000000"/>
                <w:sz w:val="20"/>
                <w:szCs w:val="20"/>
              </w:rPr>
            </w:pPr>
            <w:r w:rsidRPr="00CE2DA4">
              <w:rPr>
                <w:color w:val="000000"/>
                <w:sz w:val="20"/>
                <w:szCs w:val="20"/>
              </w:rPr>
              <w:t>27.7%</w:t>
            </w:r>
          </w:p>
        </w:tc>
      </w:tr>
      <w:tr w:rsidR="00FD7C32" w14:paraId="3F9CA4D6" w14:textId="77777777" w:rsidTr="00CE2DA4">
        <w:trPr>
          <w:trHeight w:val="300"/>
          <w:jc w:val="center"/>
        </w:trPr>
        <w:tc>
          <w:tcPr>
            <w:tcW w:w="2109" w:type="dxa"/>
            <w:shd w:val="clear" w:color="auto" w:fill="auto"/>
          </w:tcPr>
          <w:p w14:paraId="5FAA223E" w14:textId="585492AD" w:rsidR="793E2799" w:rsidRPr="00CE2DA4" w:rsidRDefault="793E2799" w:rsidP="793E2799">
            <w:pPr>
              <w:rPr>
                <w:color w:val="000000"/>
                <w:sz w:val="20"/>
                <w:szCs w:val="20"/>
                <w:lang w:val="en-US"/>
              </w:rPr>
            </w:pPr>
            <w:r w:rsidRPr="00CE2DA4">
              <w:rPr>
                <w:color w:val="000000"/>
                <w:sz w:val="20"/>
                <w:szCs w:val="20"/>
                <w:lang w:val="en-US"/>
              </w:rPr>
              <w:t>Public Health Agency of Canada (PHAC)</w:t>
            </w:r>
          </w:p>
          <w:p w14:paraId="48012CE8" w14:textId="2E421F14" w:rsidR="793E2799" w:rsidRPr="00CE2DA4" w:rsidRDefault="793E2799" w:rsidP="793E2799">
            <w:pPr>
              <w:rPr>
                <w:color w:val="000000"/>
                <w:sz w:val="20"/>
                <w:szCs w:val="20"/>
              </w:rPr>
            </w:pPr>
          </w:p>
        </w:tc>
        <w:tc>
          <w:tcPr>
            <w:tcW w:w="1410" w:type="dxa"/>
            <w:shd w:val="clear" w:color="auto" w:fill="auto"/>
          </w:tcPr>
          <w:p w14:paraId="15ABA6F2" w14:textId="21164589" w:rsidR="294A2A23" w:rsidRPr="00CE2DA4" w:rsidRDefault="4F1AE228" w:rsidP="2540E8BF">
            <w:pPr>
              <w:rPr>
                <w:color w:val="000000"/>
                <w:sz w:val="20"/>
                <w:szCs w:val="20"/>
                <w:lang w:val="en-US"/>
              </w:rPr>
            </w:pPr>
            <w:r w:rsidRPr="00CE2DA4">
              <w:rPr>
                <w:color w:val="000000"/>
                <w:sz w:val="20"/>
                <w:szCs w:val="20"/>
                <w:lang w:val="en-US"/>
              </w:rPr>
              <w:t>Repository route</w:t>
            </w:r>
            <w:r w:rsidR="2D07208B" w:rsidRPr="00CE2DA4">
              <w:rPr>
                <w:color w:val="000000"/>
                <w:sz w:val="20"/>
                <w:szCs w:val="20"/>
                <w:lang w:val="en-US"/>
              </w:rPr>
              <w:t xml:space="preserve"> (Green)</w:t>
            </w:r>
          </w:p>
        </w:tc>
        <w:tc>
          <w:tcPr>
            <w:tcW w:w="1125" w:type="dxa"/>
            <w:shd w:val="clear" w:color="auto" w:fill="auto"/>
          </w:tcPr>
          <w:p w14:paraId="10665CE6" w14:textId="72B6BFB4" w:rsidR="793E2799" w:rsidRPr="00CE2DA4" w:rsidRDefault="793E2799" w:rsidP="00CE2DA4">
            <w:pPr>
              <w:jc w:val="right"/>
              <w:rPr>
                <w:color w:val="000000"/>
                <w:sz w:val="20"/>
                <w:szCs w:val="20"/>
              </w:rPr>
            </w:pPr>
            <w:r w:rsidRPr="00CE2DA4">
              <w:rPr>
                <w:color w:val="000000"/>
                <w:sz w:val="20"/>
                <w:szCs w:val="20"/>
              </w:rPr>
              <w:t>1,629</w:t>
            </w:r>
          </w:p>
        </w:tc>
        <w:tc>
          <w:tcPr>
            <w:tcW w:w="1230" w:type="dxa"/>
            <w:shd w:val="clear" w:color="auto" w:fill="auto"/>
          </w:tcPr>
          <w:p w14:paraId="660E06C6" w14:textId="5D8FA1AC" w:rsidR="793E2799" w:rsidRPr="00CE2DA4" w:rsidRDefault="793E2799" w:rsidP="00CE2DA4">
            <w:pPr>
              <w:jc w:val="right"/>
              <w:rPr>
                <w:color w:val="000000"/>
                <w:sz w:val="20"/>
                <w:szCs w:val="20"/>
              </w:rPr>
            </w:pPr>
            <w:r w:rsidRPr="00CE2DA4">
              <w:rPr>
                <w:color w:val="000000"/>
                <w:sz w:val="20"/>
                <w:szCs w:val="20"/>
              </w:rPr>
              <w:t>87.7%</w:t>
            </w:r>
          </w:p>
        </w:tc>
        <w:tc>
          <w:tcPr>
            <w:tcW w:w="810" w:type="dxa"/>
            <w:shd w:val="clear" w:color="auto" w:fill="auto"/>
          </w:tcPr>
          <w:p w14:paraId="0ABB86EF" w14:textId="70AADE45" w:rsidR="793E2799" w:rsidRPr="00CE2DA4" w:rsidRDefault="793E2799" w:rsidP="00CE2DA4">
            <w:pPr>
              <w:jc w:val="right"/>
              <w:rPr>
                <w:color w:val="000000"/>
                <w:sz w:val="20"/>
                <w:szCs w:val="20"/>
              </w:rPr>
            </w:pPr>
            <w:r w:rsidRPr="00CE2DA4">
              <w:rPr>
                <w:color w:val="000000"/>
                <w:sz w:val="20"/>
                <w:szCs w:val="20"/>
              </w:rPr>
              <w:t>75.4%</w:t>
            </w:r>
          </w:p>
        </w:tc>
        <w:tc>
          <w:tcPr>
            <w:tcW w:w="814" w:type="dxa"/>
            <w:shd w:val="clear" w:color="auto" w:fill="auto"/>
          </w:tcPr>
          <w:p w14:paraId="270066E3" w14:textId="0ED43824" w:rsidR="793E2799" w:rsidRPr="00CE2DA4" w:rsidRDefault="793E2799" w:rsidP="00CE2DA4">
            <w:pPr>
              <w:jc w:val="right"/>
              <w:rPr>
                <w:color w:val="000000"/>
                <w:sz w:val="20"/>
                <w:szCs w:val="20"/>
              </w:rPr>
            </w:pPr>
            <w:r w:rsidRPr="00CE2DA4">
              <w:rPr>
                <w:color w:val="000000"/>
                <w:sz w:val="20"/>
                <w:szCs w:val="20"/>
              </w:rPr>
              <w:t>43.0%</w:t>
            </w:r>
          </w:p>
        </w:tc>
        <w:tc>
          <w:tcPr>
            <w:tcW w:w="855" w:type="dxa"/>
            <w:shd w:val="clear" w:color="auto" w:fill="auto"/>
          </w:tcPr>
          <w:p w14:paraId="40FDD3F9" w14:textId="3778199A" w:rsidR="793E2799" w:rsidRPr="00CE2DA4" w:rsidRDefault="793E2799" w:rsidP="00CE2DA4">
            <w:pPr>
              <w:jc w:val="right"/>
              <w:rPr>
                <w:color w:val="000000"/>
                <w:sz w:val="20"/>
                <w:szCs w:val="20"/>
              </w:rPr>
            </w:pPr>
            <w:r w:rsidRPr="00CE2DA4">
              <w:rPr>
                <w:color w:val="000000"/>
                <w:sz w:val="20"/>
                <w:szCs w:val="20"/>
              </w:rPr>
              <w:t>12.8%</w:t>
            </w:r>
          </w:p>
        </w:tc>
        <w:tc>
          <w:tcPr>
            <w:tcW w:w="784" w:type="dxa"/>
            <w:shd w:val="clear" w:color="auto" w:fill="auto"/>
          </w:tcPr>
          <w:p w14:paraId="2E23054A" w14:textId="7D6DEC28" w:rsidR="793E2799" w:rsidRPr="00CE2DA4" w:rsidRDefault="793E2799" w:rsidP="793E2799">
            <w:pPr>
              <w:rPr>
                <w:color w:val="000000"/>
                <w:sz w:val="20"/>
                <w:szCs w:val="20"/>
              </w:rPr>
            </w:pPr>
            <w:r w:rsidRPr="00CE2DA4">
              <w:rPr>
                <w:color w:val="000000"/>
                <w:sz w:val="20"/>
                <w:szCs w:val="20"/>
              </w:rPr>
              <w:t>64.8%</w:t>
            </w:r>
          </w:p>
        </w:tc>
      </w:tr>
      <w:tr w:rsidR="00FD7C32" w14:paraId="25940EA4" w14:textId="77777777" w:rsidTr="00CE2DA4">
        <w:trPr>
          <w:trHeight w:val="300"/>
          <w:jc w:val="center"/>
        </w:trPr>
        <w:tc>
          <w:tcPr>
            <w:tcW w:w="2109" w:type="dxa"/>
            <w:shd w:val="clear" w:color="auto" w:fill="auto"/>
          </w:tcPr>
          <w:p w14:paraId="5C778780" w14:textId="0CE7FC51" w:rsidR="793E2799" w:rsidRPr="00CE2DA4" w:rsidRDefault="793E2799" w:rsidP="793E2799">
            <w:pPr>
              <w:rPr>
                <w:color w:val="000000"/>
                <w:sz w:val="20"/>
                <w:szCs w:val="20"/>
                <w:lang w:val="en-US"/>
              </w:rPr>
            </w:pPr>
            <w:r w:rsidRPr="00CE2DA4">
              <w:rPr>
                <w:color w:val="000000"/>
                <w:sz w:val="20"/>
                <w:szCs w:val="20"/>
                <w:lang w:val="en-US"/>
              </w:rPr>
              <w:t>Statistics Canada (StatCan)</w:t>
            </w:r>
          </w:p>
          <w:p w14:paraId="0F4F064A" w14:textId="2787F0BF" w:rsidR="793E2799" w:rsidRPr="00CE2DA4" w:rsidRDefault="793E2799" w:rsidP="793E2799">
            <w:pPr>
              <w:rPr>
                <w:color w:val="000000"/>
                <w:sz w:val="20"/>
                <w:szCs w:val="20"/>
              </w:rPr>
            </w:pPr>
          </w:p>
        </w:tc>
        <w:tc>
          <w:tcPr>
            <w:tcW w:w="1410" w:type="dxa"/>
            <w:shd w:val="clear" w:color="auto" w:fill="auto"/>
          </w:tcPr>
          <w:p w14:paraId="5A200CFC" w14:textId="441DF387" w:rsidR="440BEEB9" w:rsidRPr="00CE2DA4" w:rsidRDefault="440BEEB9" w:rsidP="2540E8BF">
            <w:pPr>
              <w:rPr>
                <w:color w:val="000000"/>
                <w:sz w:val="20"/>
                <w:szCs w:val="20"/>
                <w:lang w:val="en-US"/>
              </w:rPr>
            </w:pPr>
            <w:r w:rsidRPr="00CE2DA4">
              <w:rPr>
                <w:color w:val="000000"/>
                <w:sz w:val="20"/>
                <w:szCs w:val="20"/>
                <w:lang w:val="en-US"/>
              </w:rPr>
              <w:t>Publisher route</w:t>
            </w:r>
          </w:p>
        </w:tc>
        <w:tc>
          <w:tcPr>
            <w:tcW w:w="1125" w:type="dxa"/>
            <w:shd w:val="clear" w:color="auto" w:fill="auto"/>
          </w:tcPr>
          <w:p w14:paraId="42F21044" w14:textId="29156504" w:rsidR="793E2799" w:rsidRPr="00CE2DA4" w:rsidRDefault="793E2799" w:rsidP="00CE2DA4">
            <w:pPr>
              <w:jc w:val="right"/>
              <w:rPr>
                <w:color w:val="000000"/>
                <w:sz w:val="20"/>
                <w:szCs w:val="20"/>
              </w:rPr>
            </w:pPr>
            <w:r w:rsidRPr="00CE2DA4">
              <w:rPr>
                <w:color w:val="000000"/>
                <w:sz w:val="20"/>
                <w:szCs w:val="20"/>
              </w:rPr>
              <w:t>425</w:t>
            </w:r>
          </w:p>
        </w:tc>
        <w:tc>
          <w:tcPr>
            <w:tcW w:w="1230" w:type="dxa"/>
            <w:shd w:val="clear" w:color="auto" w:fill="auto"/>
          </w:tcPr>
          <w:p w14:paraId="7924E8FD" w14:textId="485088A6" w:rsidR="793E2799" w:rsidRPr="00CE2DA4" w:rsidRDefault="793E2799" w:rsidP="00CE2DA4">
            <w:pPr>
              <w:jc w:val="right"/>
              <w:rPr>
                <w:color w:val="000000"/>
                <w:sz w:val="20"/>
                <w:szCs w:val="20"/>
              </w:rPr>
            </w:pPr>
            <w:r w:rsidRPr="00CE2DA4">
              <w:rPr>
                <w:color w:val="000000"/>
                <w:sz w:val="20"/>
                <w:szCs w:val="20"/>
              </w:rPr>
              <w:t>65.6%</w:t>
            </w:r>
          </w:p>
        </w:tc>
        <w:tc>
          <w:tcPr>
            <w:tcW w:w="810" w:type="dxa"/>
            <w:shd w:val="clear" w:color="auto" w:fill="auto"/>
          </w:tcPr>
          <w:p w14:paraId="726404A5" w14:textId="0BD68BD3" w:rsidR="793E2799" w:rsidRPr="00CE2DA4" w:rsidRDefault="793E2799" w:rsidP="00CE2DA4">
            <w:pPr>
              <w:jc w:val="right"/>
              <w:rPr>
                <w:color w:val="000000"/>
                <w:sz w:val="20"/>
                <w:szCs w:val="20"/>
              </w:rPr>
            </w:pPr>
            <w:r w:rsidRPr="00CE2DA4">
              <w:rPr>
                <w:color w:val="000000"/>
                <w:sz w:val="20"/>
                <w:szCs w:val="20"/>
              </w:rPr>
              <w:t>43.5%</w:t>
            </w:r>
          </w:p>
        </w:tc>
        <w:tc>
          <w:tcPr>
            <w:tcW w:w="814" w:type="dxa"/>
            <w:shd w:val="clear" w:color="auto" w:fill="auto"/>
          </w:tcPr>
          <w:p w14:paraId="2C323B64" w14:textId="76EC082B" w:rsidR="793E2799" w:rsidRPr="00CE2DA4" w:rsidRDefault="793E2799" w:rsidP="00CE2DA4">
            <w:pPr>
              <w:jc w:val="right"/>
              <w:rPr>
                <w:color w:val="000000"/>
                <w:sz w:val="20"/>
                <w:szCs w:val="20"/>
              </w:rPr>
            </w:pPr>
            <w:r w:rsidRPr="00CE2DA4">
              <w:rPr>
                <w:color w:val="000000"/>
                <w:sz w:val="20"/>
                <w:szCs w:val="20"/>
              </w:rPr>
              <w:t>17.4%</w:t>
            </w:r>
          </w:p>
        </w:tc>
        <w:tc>
          <w:tcPr>
            <w:tcW w:w="855" w:type="dxa"/>
            <w:shd w:val="clear" w:color="auto" w:fill="auto"/>
          </w:tcPr>
          <w:p w14:paraId="055DAD56" w14:textId="218F51C2" w:rsidR="793E2799" w:rsidRPr="00CE2DA4" w:rsidRDefault="793E2799" w:rsidP="00CE2DA4">
            <w:pPr>
              <w:jc w:val="right"/>
              <w:rPr>
                <w:color w:val="000000"/>
                <w:sz w:val="20"/>
                <w:szCs w:val="20"/>
              </w:rPr>
            </w:pPr>
            <w:r w:rsidRPr="00CE2DA4">
              <w:rPr>
                <w:color w:val="000000"/>
                <w:sz w:val="20"/>
                <w:szCs w:val="20"/>
              </w:rPr>
              <w:t>9.9%</w:t>
            </w:r>
          </w:p>
        </w:tc>
        <w:tc>
          <w:tcPr>
            <w:tcW w:w="784" w:type="dxa"/>
            <w:shd w:val="clear" w:color="auto" w:fill="auto"/>
          </w:tcPr>
          <w:p w14:paraId="35FB0CCC" w14:textId="1509CC63" w:rsidR="793E2799" w:rsidRPr="00CE2DA4" w:rsidRDefault="793E2799" w:rsidP="793E2799">
            <w:pPr>
              <w:rPr>
                <w:color w:val="000000"/>
                <w:sz w:val="20"/>
                <w:szCs w:val="20"/>
              </w:rPr>
            </w:pPr>
            <w:r w:rsidRPr="00CE2DA4">
              <w:rPr>
                <w:color w:val="000000"/>
                <w:sz w:val="20"/>
                <w:szCs w:val="20"/>
              </w:rPr>
              <w:t>33.9%</w:t>
            </w:r>
          </w:p>
        </w:tc>
      </w:tr>
    </w:tbl>
    <w:p w14:paraId="22951BAA" w14:textId="74934688" w:rsidR="793E2799" w:rsidRPr="00CE2DA4" w:rsidRDefault="793E2799" w:rsidP="793E2799">
      <w:pPr>
        <w:rPr>
          <w:color w:val="000000"/>
          <w:lang w:val="en-US"/>
        </w:rPr>
      </w:pPr>
    </w:p>
    <w:p w14:paraId="516A055B" w14:textId="33BE73FC" w:rsidR="3E01852A" w:rsidRPr="00CE2DA4" w:rsidRDefault="3C46A578" w:rsidP="3E01852A">
      <w:pPr>
        <w:rPr>
          <w:color w:val="000000"/>
          <w:lang w:val="en-US"/>
        </w:rPr>
      </w:pPr>
      <w:r w:rsidRPr="00CE2DA4">
        <w:rPr>
          <w:color w:val="000000"/>
          <w:lang w:val="en-US"/>
        </w:rPr>
        <w:t xml:space="preserve"> </w:t>
      </w:r>
    </w:p>
    <w:p w14:paraId="74A4F638" w14:textId="58D25876" w:rsidR="0AECAC2F" w:rsidRPr="00CE2DA4" w:rsidRDefault="5C442D56" w:rsidP="6CA52507">
      <w:pPr>
        <w:rPr>
          <w:i/>
          <w:iCs/>
          <w:color w:val="000000"/>
          <w:lang w:val="en-US"/>
        </w:rPr>
      </w:pPr>
      <w:r w:rsidRPr="00CE2DA4">
        <w:rPr>
          <w:i/>
          <w:iCs/>
          <w:color w:val="000000"/>
          <w:lang w:val="en-US"/>
        </w:rPr>
        <w:t>3</w:t>
      </w:r>
      <w:r w:rsidR="5D6C83CB" w:rsidRPr="00CE2DA4">
        <w:rPr>
          <w:i/>
          <w:iCs/>
          <w:color w:val="000000"/>
          <w:lang w:val="en-US"/>
        </w:rPr>
        <w:t>.</w:t>
      </w:r>
      <w:r w:rsidR="20CB76CA" w:rsidRPr="00CE2DA4">
        <w:rPr>
          <w:i/>
          <w:iCs/>
          <w:color w:val="000000"/>
          <w:lang w:val="en-US"/>
        </w:rPr>
        <w:t>2 Content analysis</w:t>
      </w:r>
    </w:p>
    <w:p w14:paraId="3372F0EF" w14:textId="790712B8" w:rsidR="0AECAC2F" w:rsidRPr="00897EE7" w:rsidRDefault="1AE91288" w:rsidP="442DFDDF">
      <w:pPr>
        <w:rPr>
          <w:i/>
          <w:iCs/>
          <w:color w:val="000000"/>
          <w:lang w:val="en-US"/>
        </w:rPr>
      </w:pPr>
      <w:r w:rsidRPr="00897EE7">
        <w:rPr>
          <w:i/>
          <w:iCs/>
          <w:color w:val="000000"/>
          <w:lang w:val="en-US"/>
        </w:rPr>
        <w:t xml:space="preserve">3.2.1 </w:t>
      </w:r>
      <w:r w:rsidR="5D6C83CB" w:rsidRPr="00897EE7">
        <w:rPr>
          <w:i/>
          <w:iCs/>
          <w:color w:val="000000"/>
          <w:lang w:val="en-US"/>
        </w:rPr>
        <w:t>Consultation</w:t>
      </w:r>
    </w:p>
    <w:p w14:paraId="1E101C43" w14:textId="2203DCD8" w:rsidR="26EF87F6" w:rsidRDefault="7FAC5AB5" w:rsidP="00822572">
      <w:pPr>
        <w:jc w:val="both"/>
        <w:rPr>
          <w:color w:val="000000"/>
          <w:lang w:val="en-US"/>
        </w:rPr>
      </w:pPr>
      <w:r w:rsidRPr="00CE2DA4">
        <w:rPr>
          <w:color w:val="000000"/>
          <w:lang w:val="en-US"/>
        </w:rPr>
        <w:t xml:space="preserve">The ROS asked </w:t>
      </w:r>
      <w:r w:rsidR="357FEA93" w:rsidRPr="00CE2DA4">
        <w:rPr>
          <w:color w:val="000000"/>
          <w:lang w:val="en-US"/>
        </w:rPr>
        <w:t xml:space="preserve">SBDAs </w:t>
      </w:r>
      <w:r w:rsidR="4825BC25" w:rsidRPr="00CE2DA4">
        <w:rPr>
          <w:color w:val="000000"/>
          <w:lang w:val="en-US"/>
        </w:rPr>
        <w:t xml:space="preserve">to </w:t>
      </w:r>
      <w:r w:rsidR="5EFECD4E" w:rsidRPr="00CE2DA4">
        <w:rPr>
          <w:color w:val="000000"/>
          <w:lang w:val="en-US"/>
        </w:rPr>
        <w:t xml:space="preserve">consult </w:t>
      </w:r>
      <w:r w:rsidR="357FEA93" w:rsidRPr="00CE2DA4">
        <w:rPr>
          <w:color w:val="000000"/>
          <w:lang w:val="en-US"/>
        </w:rPr>
        <w:t>their scientist</w:t>
      </w:r>
      <w:r w:rsidR="7647DE05" w:rsidRPr="00CE2DA4">
        <w:rPr>
          <w:color w:val="000000"/>
          <w:lang w:val="en-US"/>
        </w:rPr>
        <w:t>s</w:t>
      </w:r>
      <w:r w:rsidR="357FEA93" w:rsidRPr="00CE2DA4">
        <w:rPr>
          <w:color w:val="000000"/>
          <w:lang w:val="en-US"/>
        </w:rPr>
        <w:t xml:space="preserve"> to id</w:t>
      </w:r>
      <w:r w:rsidR="712578D5" w:rsidRPr="00CE2DA4">
        <w:rPr>
          <w:color w:val="000000"/>
          <w:lang w:val="en-US"/>
        </w:rPr>
        <w:t>enti</w:t>
      </w:r>
      <w:r w:rsidR="357FEA93" w:rsidRPr="00CE2DA4">
        <w:rPr>
          <w:color w:val="000000"/>
          <w:lang w:val="en-US"/>
        </w:rPr>
        <w:t>fy challenges, concerns and benefits</w:t>
      </w:r>
      <w:r w:rsidR="7F0490D4" w:rsidRPr="00CE2DA4">
        <w:rPr>
          <w:color w:val="000000"/>
          <w:lang w:val="en-US"/>
        </w:rPr>
        <w:t xml:space="preserve"> of </w:t>
      </w:r>
      <w:r w:rsidR="5E900CF0" w:rsidRPr="00CE2DA4">
        <w:rPr>
          <w:color w:val="000000"/>
          <w:lang w:val="en-US"/>
        </w:rPr>
        <w:t>OS</w:t>
      </w:r>
      <w:r w:rsidR="357FEA93" w:rsidRPr="00CE2DA4">
        <w:rPr>
          <w:color w:val="000000"/>
          <w:lang w:val="en-US"/>
        </w:rPr>
        <w:t xml:space="preserve"> to inform the development of </w:t>
      </w:r>
      <w:r w:rsidR="516EE946" w:rsidRPr="00CE2DA4">
        <w:rPr>
          <w:color w:val="000000"/>
          <w:lang w:val="en-US"/>
        </w:rPr>
        <w:t>their</w:t>
      </w:r>
      <w:r w:rsidR="357FEA93" w:rsidRPr="00CE2DA4">
        <w:rPr>
          <w:color w:val="000000"/>
          <w:lang w:val="en-US"/>
        </w:rPr>
        <w:t xml:space="preserve"> action plans. </w:t>
      </w:r>
      <w:r w:rsidR="26EF87F6" w:rsidRPr="00CE2DA4">
        <w:rPr>
          <w:color w:val="000000"/>
          <w:lang w:val="en-US"/>
        </w:rPr>
        <w:t>The majority of departments use</w:t>
      </w:r>
      <w:r w:rsidR="7EE34611" w:rsidRPr="00CE2DA4">
        <w:rPr>
          <w:color w:val="000000"/>
          <w:lang w:val="en-US"/>
        </w:rPr>
        <w:t>d</w:t>
      </w:r>
      <w:r w:rsidR="26EF87F6" w:rsidRPr="00CE2DA4">
        <w:rPr>
          <w:color w:val="000000"/>
          <w:lang w:val="en-US"/>
        </w:rPr>
        <w:t xml:space="preserve"> surveys to gain an understanding of challenges and opportunities</w:t>
      </w:r>
      <w:r w:rsidR="2EE088AE" w:rsidRPr="00CE2DA4">
        <w:rPr>
          <w:color w:val="000000"/>
          <w:lang w:val="en-US"/>
        </w:rPr>
        <w:t xml:space="preserve"> faced by their scientis</w:t>
      </w:r>
      <w:r w:rsidR="39E9ACDD" w:rsidRPr="00CE2DA4">
        <w:rPr>
          <w:color w:val="000000"/>
          <w:lang w:val="en-US"/>
        </w:rPr>
        <w:t>ts</w:t>
      </w:r>
      <w:r w:rsidR="26EF87F6" w:rsidRPr="00CE2DA4">
        <w:rPr>
          <w:color w:val="000000"/>
          <w:lang w:val="en-US"/>
        </w:rPr>
        <w:t>, while a handful held more in-depth focus groups.</w:t>
      </w:r>
      <w:r w:rsidR="3D36AF70" w:rsidRPr="00CE2DA4">
        <w:rPr>
          <w:color w:val="000000"/>
          <w:lang w:val="en-US"/>
        </w:rPr>
        <w:t xml:space="preserve"> </w:t>
      </w:r>
      <w:r w:rsidR="00822572" w:rsidRPr="00CE2DA4">
        <w:rPr>
          <w:color w:val="000000"/>
          <w:lang w:val="en-US"/>
        </w:rPr>
        <w:t>AAFC p</w:t>
      </w:r>
      <w:r w:rsidR="26EF87F6" w:rsidRPr="00CE2DA4">
        <w:rPr>
          <w:color w:val="000000"/>
          <w:lang w:val="en-US"/>
        </w:rPr>
        <w:t xml:space="preserve">rovided a reference to the consultation data, however, it was </w:t>
      </w:r>
      <w:r w:rsidR="40F93C6A" w:rsidRPr="00CE2DA4">
        <w:rPr>
          <w:color w:val="000000"/>
          <w:lang w:val="en-US"/>
        </w:rPr>
        <w:t>restricted</w:t>
      </w:r>
      <w:r w:rsidR="26EF87F6" w:rsidRPr="00CE2DA4">
        <w:rPr>
          <w:color w:val="000000"/>
          <w:lang w:val="en-US"/>
        </w:rPr>
        <w:t xml:space="preserve"> to federal employees</w:t>
      </w:r>
      <w:r w:rsidR="1891D96C" w:rsidRPr="00CE2DA4">
        <w:rPr>
          <w:color w:val="000000"/>
          <w:lang w:val="en-US"/>
        </w:rPr>
        <w:t xml:space="preserve"> only</w:t>
      </w:r>
      <w:r w:rsidR="26EF87F6" w:rsidRPr="00CE2DA4">
        <w:rPr>
          <w:color w:val="000000"/>
          <w:lang w:val="en-US"/>
        </w:rPr>
        <w:t xml:space="preserve">. </w:t>
      </w:r>
      <w:r w:rsidR="7CF62518" w:rsidRPr="00CE2DA4">
        <w:rPr>
          <w:color w:val="000000"/>
          <w:lang w:val="en-US"/>
        </w:rPr>
        <w:t>Concerns about OS (Figure 2) included</w:t>
      </w:r>
      <w:r w:rsidR="26EF87F6" w:rsidRPr="00CE2DA4">
        <w:rPr>
          <w:color w:val="000000"/>
          <w:lang w:val="en-US"/>
        </w:rPr>
        <w:t xml:space="preserve"> cost of </w:t>
      </w:r>
      <w:r w:rsidR="048A9CE9" w:rsidRPr="00CE2DA4">
        <w:rPr>
          <w:color w:val="000000"/>
          <w:lang w:val="en-US"/>
        </w:rPr>
        <w:t>article processing charges (</w:t>
      </w:r>
      <w:r w:rsidR="26EF87F6" w:rsidRPr="00CE2DA4">
        <w:rPr>
          <w:color w:val="000000"/>
          <w:lang w:val="en-US"/>
        </w:rPr>
        <w:t>APCs</w:t>
      </w:r>
      <w:r w:rsidR="6E34F456" w:rsidRPr="00CE2DA4">
        <w:rPr>
          <w:color w:val="000000"/>
          <w:lang w:val="en-US"/>
        </w:rPr>
        <w:t>)</w:t>
      </w:r>
      <w:r w:rsidR="26EF87F6" w:rsidRPr="00CE2DA4">
        <w:rPr>
          <w:color w:val="000000"/>
          <w:lang w:val="en-US"/>
        </w:rPr>
        <w:t xml:space="preserve"> for publishing in </w:t>
      </w:r>
      <w:r w:rsidR="79B64F6A" w:rsidRPr="00CE2DA4">
        <w:rPr>
          <w:color w:val="000000"/>
          <w:lang w:val="en-US"/>
        </w:rPr>
        <w:t>OA</w:t>
      </w:r>
      <w:r w:rsidR="7F9E219B" w:rsidRPr="00CE2DA4">
        <w:rPr>
          <w:color w:val="000000"/>
          <w:lang w:val="en-US"/>
        </w:rPr>
        <w:t xml:space="preserve"> journals</w:t>
      </w:r>
      <w:r w:rsidR="26EF87F6" w:rsidRPr="00CE2DA4">
        <w:rPr>
          <w:color w:val="000000"/>
          <w:lang w:val="en-US"/>
        </w:rPr>
        <w:t xml:space="preserve">, lack of </w:t>
      </w:r>
      <w:r w:rsidR="18F18B99" w:rsidRPr="00CE2DA4">
        <w:rPr>
          <w:color w:val="000000"/>
          <w:lang w:val="en-US"/>
        </w:rPr>
        <w:t>infrastructure</w:t>
      </w:r>
      <w:r w:rsidR="26EF87F6" w:rsidRPr="00CE2DA4">
        <w:rPr>
          <w:color w:val="000000"/>
          <w:lang w:val="en-US"/>
        </w:rPr>
        <w:t xml:space="preserve"> to deposit publications and research data, as well as language</w:t>
      </w:r>
      <w:r w:rsidR="068338E4" w:rsidRPr="00CE2DA4">
        <w:rPr>
          <w:color w:val="000000"/>
          <w:lang w:val="en-US"/>
        </w:rPr>
        <w:t xml:space="preserve"> concerns</w:t>
      </w:r>
      <w:r w:rsidR="26EF87F6" w:rsidRPr="00CE2DA4">
        <w:rPr>
          <w:color w:val="000000"/>
          <w:lang w:val="en-US"/>
        </w:rPr>
        <w:t xml:space="preserve">. Six action plans specifically </w:t>
      </w:r>
      <w:r w:rsidR="51D3205A" w:rsidRPr="00CE2DA4">
        <w:rPr>
          <w:color w:val="000000"/>
          <w:lang w:val="en-US"/>
        </w:rPr>
        <w:t>reference</w:t>
      </w:r>
      <w:r w:rsidR="26EF87F6" w:rsidRPr="00CE2DA4">
        <w:rPr>
          <w:color w:val="000000"/>
          <w:lang w:val="en-US"/>
        </w:rPr>
        <w:t xml:space="preserve"> Canada's Language Act</w:t>
      </w:r>
      <w:r w:rsidR="0C65E075" w:rsidRPr="00CE2DA4">
        <w:rPr>
          <w:color w:val="000000"/>
          <w:lang w:val="en-US"/>
        </w:rPr>
        <w:t>, or concerns around Official languages,</w:t>
      </w:r>
      <w:r w:rsidR="26EF87F6" w:rsidRPr="00CE2DA4">
        <w:rPr>
          <w:color w:val="000000"/>
          <w:lang w:val="en-US"/>
        </w:rPr>
        <w:t xml:space="preserve"> as a barrier to making federal articles more widely available.</w:t>
      </w:r>
    </w:p>
    <w:p w14:paraId="2FE5F73B" w14:textId="77777777" w:rsidR="004A329C" w:rsidRDefault="004A329C" w:rsidP="00822572">
      <w:pPr>
        <w:jc w:val="both"/>
        <w:rPr>
          <w:color w:val="000000"/>
          <w:lang w:val="en-US"/>
        </w:rPr>
      </w:pPr>
    </w:p>
    <w:p w14:paraId="561FEB7D" w14:textId="77777777" w:rsidR="004A329C" w:rsidRDefault="004A329C" w:rsidP="00822572">
      <w:pPr>
        <w:jc w:val="both"/>
        <w:rPr>
          <w:color w:val="000000"/>
          <w:lang w:val="en-US"/>
        </w:rPr>
      </w:pPr>
    </w:p>
    <w:p w14:paraId="2C05185C" w14:textId="77777777" w:rsidR="004A329C" w:rsidRPr="00CE2DA4" w:rsidRDefault="004A329C" w:rsidP="00822572">
      <w:pPr>
        <w:jc w:val="both"/>
        <w:rPr>
          <w:color w:val="000000"/>
          <w:lang w:val="en-US"/>
        </w:rPr>
      </w:pPr>
    </w:p>
    <w:p w14:paraId="02348C5E" w14:textId="6ACE6B1F" w:rsidR="3E01852A" w:rsidRPr="00CE2DA4" w:rsidRDefault="3E01852A" w:rsidP="00822572">
      <w:pPr>
        <w:jc w:val="both"/>
        <w:rPr>
          <w:color w:val="000000"/>
          <w:lang w:val="en-US"/>
        </w:rPr>
      </w:pPr>
    </w:p>
    <w:p w14:paraId="0054E2C0" w14:textId="3B62C88F" w:rsidR="5617A373" w:rsidRDefault="5617A373" w:rsidP="00822572">
      <w:pPr>
        <w:jc w:val="center"/>
      </w:pPr>
      <w:r w:rsidRPr="00822572">
        <w:t>Figure 2</w:t>
      </w:r>
      <w:r w:rsidR="28E529DA" w:rsidRPr="137A8F97">
        <w:t>.</w:t>
      </w:r>
      <w:r w:rsidRPr="00822572">
        <w:t xml:space="preserve"> </w:t>
      </w:r>
      <w:r w:rsidRPr="137A8F97">
        <w:t>Number of action plans mentioning b</w:t>
      </w:r>
      <w:r w:rsidRPr="00822572">
        <w:t xml:space="preserve">arriers to </w:t>
      </w:r>
      <w:r w:rsidRPr="137A8F97">
        <w:t>OS</w:t>
      </w:r>
      <w:r w:rsidRPr="00822572">
        <w:t xml:space="preserve"> as reported through consultations</w:t>
      </w:r>
    </w:p>
    <w:p w14:paraId="1F60FAAE" w14:textId="263B1947" w:rsidR="00822572" w:rsidRPr="00822572" w:rsidRDefault="000E3840" w:rsidP="00822572">
      <w:pPr>
        <w:jc w:val="center"/>
      </w:pPr>
      <w:r>
        <w:rPr>
          <w:noProof/>
        </w:rPr>
        <w:pict w14:anchorId="3E965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5in;height:3in;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">
            <v:imagedata r:id="rId11" o:title="" cropbottom="-76f"/>
            <o:lock v:ext="edit" aspectratio="f"/>
          </v:shape>
        </w:pict>
      </w:r>
    </w:p>
    <w:p w14:paraId="6683077C" w14:textId="5A8457BD" w:rsidR="0641FA8F" w:rsidRDefault="0641FA8F" w:rsidP="2540E8BF">
      <w:pPr>
        <w:jc w:val="center"/>
        <w:rPr>
          <w:sz w:val="20"/>
          <w:szCs w:val="20"/>
        </w:rPr>
      </w:pPr>
    </w:p>
    <w:p w14:paraId="4BAED952" w14:textId="5FB0BCA9" w:rsidR="3E01852A" w:rsidRDefault="3E01852A" w:rsidP="3E01852A"/>
    <w:p w14:paraId="4E8650E0" w14:textId="190EBD42" w:rsidR="3E01852A" w:rsidRPr="00897EE7" w:rsidRDefault="14D25D2C" w:rsidP="442DFDDF">
      <w:pPr>
        <w:rPr>
          <w:i/>
          <w:iCs/>
          <w:color w:val="000000"/>
          <w:lang w:val="en-US"/>
        </w:rPr>
      </w:pPr>
      <w:r w:rsidRPr="00897EE7">
        <w:rPr>
          <w:i/>
          <w:iCs/>
          <w:color w:val="000000"/>
          <w:lang w:val="en-US"/>
        </w:rPr>
        <w:t>3</w:t>
      </w:r>
      <w:r w:rsidR="5D6C83CB" w:rsidRPr="00897EE7">
        <w:rPr>
          <w:i/>
          <w:iCs/>
          <w:color w:val="000000"/>
          <w:lang w:val="en-US"/>
        </w:rPr>
        <w:t>.2</w:t>
      </w:r>
      <w:r w:rsidR="343D7FC0" w:rsidRPr="00897EE7">
        <w:rPr>
          <w:i/>
          <w:iCs/>
          <w:color w:val="000000"/>
          <w:lang w:val="en-US"/>
        </w:rPr>
        <w:t>.2</w:t>
      </w:r>
      <w:r w:rsidR="5D6C83CB" w:rsidRPr="00897EE7">
        <w:rPr>
          <w:i/>
          <w:iCs/>
          <w:color w:val="000000"/>
          <w:lang w:val="en-US"/>
        </w:rPr>
        <w:t xml:space="preserve"> Open access to publications</w:t>
      </w:r>
    </w:p>
    <w:p w14:paraId="4DA0C78D" w14:textId="4F92C6D8" w:rsidR="2AB097A8" w:rsidRPr="00CE2DA4" w:rsidRDefault="6246ADFE" w:rsidP="137A8F97">
      <w:pPr>
        <w:spacing w:line="259" w:lineRule="auto"/>
        <w:jc w:val="both"/>
        <w:rPr>
          <w:color w:val="000000"/>
          <w:lang w:val="en-US"/>
        </w:rPr>
      </w:pPr>
      <w:r w:rsidRPr="00CE2DA4">
        <w:rPr>
          <w:color w:val="000000"/>
          <w:lang w:val="en-US"/>
        </w:rPr>
        <w:t xml:space="preserve">Many of the action plans confirmed that ultimately the decision on where to publish and whether to make publications OA falls solely with the author. As such, the majority of the action plans (8) identified rectifying current publication policies in place to align with OA, develop support and guidance materials and emphasizing training to support the adoption of OA. </w:t>
      </w:r>
    </w:p>
    <w:p w14:paraId="72799362" w14:textId="527D009E" w:rsidR="2AB097A8" w:rsidRPr="00CE2DA4" w:rsidRDefault="2AB097A8" w:rsidP="137A8F97">
      <w:pPr>
        <w:spacing w:line="259" w:lineRule="auto"/>
        <w:jc w:val="both"/>
        <w:rPr>
          <w:color w:val="000000"/>
          <w:lang w:val="en-US"/>
        </w:rPr>
      </w:pPr>
    </w:p>
    <w:p w14:paraId="37BE8031" w14:textId="2226D118" w:rsidR="2AB097A8" w:rsidRPr="00CE2DA4" w:rsidRDefault="2AB097A8" w:rsidP="137A8F97">
      <w:pPr>
        <w:spacing w:line="259" w:lineRule="auto"/>
        <w:jc w:val="both"/>
        <w:rPr>
          <w:color w:val="000000"/>
          <w:lang w:val="en-US"/>
        </w:rPr>
      </w:pPr>
      <w:r w:rsidRPr="00CE2DA4">
        <w:rPr>
          <w:color w:val="000000"/>
          <w:lang w:val="en-US"/>
        </w:rPr>
        <w:t xml:space="preserve">SBDAs have </w:t>
      </w:r>
      <w:r w:rsidR="56CD0583" w:rsidRPr="00CE2DA4">
        <w:rPr>
          <w:color w:val="000000"/>
          <w:lang w:val="en-US"/>
        </w:rPr>
        <w:t>distinguished between t</w:t>
      </w:r>
      <w:r w:rsidR="75B03B71" w:rsidRPr="00CE2DA4">
        <w:rPr>
          <w:color w:val="000000"/>
          <w:lang w:val="en-US"/>
        </w:rPr>
        <w:t>hree</w:t>
      </w:r>
      <w:r w:rsidR="56CD0583" w:rsidRPr="00CE2DA4">
        <w:rPr>
          <w:color w:val="000000"/>
          <w:lang w:val="en-US"/>
        </w:rPr>
        <w:t xml:space="preserve"> paths to </w:t>
      </w:r>
      <w:r w:rsidR="27B6CA39" w:rsidRPr="00CE2DA4">
        <w:rPr>
          <w:color w:val="000000"/>
          <w:lang w:val="en-US"/>
        </w:rPr>
        <w:t>OA</w:t>
      </w:r>
      <w:r w:rsidR="56CD0583" w:rsidRPr="00CE2DA4">
        <w:rPr>
          <w:color w:val="000000"/>
          <w:lang w:val="en-US"/>
        </w:rPr>
        <w:t xml:space="preserve">, </w:t>
      </w:r>
      <w:r w:rsidR="66C661AE" w:rsidRPr="00CE2DA4">
        <w:rPr>
          <w:color w:val="000000"/>
          <w:lang w:val="en-US"/>
        </w:rPr>
        <w:t xml:space="preserve">the </w:t>
      </w:r>
      <w:r w:rsidR="032843FC" w:rsidRPr="00CE2DA4">
        <w:rPr>
          <w:color w:val="000000"/>
          <w:lang w:val="en-US"/>
        </w:rPr>
        <w:t>publisher route (Gold &amp; Hybrid)</w:t>
      </w:r>
      <w:r w:rsidR="7FE7B512" w:rsidRPr="00CE2DA4">
        <w:rPr>
          <w:color w:val="000000"/>
          <w:lang w:val="en-US"/>
        </w:rPr>
        <w:t xml:space="preserve">, </w:t>
      </w:r>
      <w:r w:rsidR="544ACDCF" w:rsidRPr="00CE2DA4">
        <w:rPr>
          <w:color w:val="000000"/>
          <w:lang w:val="en-US"/>
        </w:rPr>
        <w:t>deposit</w:t>
      </w:r>
      <w:r w:rsidR="2F87B1CA" w:rsidRPr="00CE2DA4">
        <w:rPr>
          <w:color w:val="000000"/>
          <w:lang w:val="en-US"/>
        </w:rPr>
        <w:t>s</w:t>
      </w:r>
      <w:r w:rsidR="544ACDCF" w:rsidRPr="00CE2DA4">
        <w:rPr>
          <w:color w:val="000000"/>
          <w:lang w:val="en-US"/>
        </w:rPr>
        <w:t xml:space="preserve"> in a repository (Green)</w:t>
      </w:r>
      <w:r w:rsidR="6FCDD72F" w:rsidRPr="00CE2DA4">
        <w:rPr>
          <w:color w:val="000000"/>
          <w:lang w:val="en-US"/>
        </w:rPr>
        <w:t xml:space="preserve">, and </w:t>
      </w:r>
      <w:r w:rsidR="2A6E4D8F" w:rsidRPr="00CE2DA4">
        <w:rPr>
          <w:color w:val="000000"/>
          <w:lang w:val="en-US"/>
        </w:rPr>
        <w:t>making manuscripts available before</w:t>
      </w:r>
      <w:r w:rsidR="6FCDD72F" w:rsidRPr="00CE2DA4">
        <w:rPr>
          <w:color w:val="000000"/>
          <w:lang w:val="en-US"/>
        </w:rPr>
        <w:t xml:space="preserve"> peer</w:t>
      </w:r>
      <w:r w:rsidR="1B231F09" w:rsidRPr="00CE2DA4">
        <w:rPr>
          <w:color w:val="000000"/>
          <w:lang w:val="en-US"/>
        </w:rPr>
        <w:t xml:space="preserve"> </w:t>
      </w:r>
      <w:r w:rsidR="6FCDD72F" w:rsidRPr="00CE2DA4">
        <w:rPr>
          <w:color w:val="000000"/>
          <w:lang w:val="en-US"/>
        </w:rPr>
        <w:t>review via preprint</w:t>
      </w:r>
      <w:r w:rsidR="18A7B7F6" w:rsidRPr="00CE2DA4">
        <w:rPr>
          <w:color w:val="000000"/>
          <w:lang w:val="en-US"/>
        </w:rPr>
        <w:t>s</w:t>
      </w:r>
      <w:r w:rsidRPr="00CE2DA4">
        <w:rPr>
          <w:color w:val="000000"/>
          <w:lang w:val="en-US"/>
        </w:rPr>
        <w:t>.</w:t>
      </w:r>
      <w:r w:rsidR="004A329C">
        <w:rPr>
          <w:color w:val="000000"/>
          <w:lang w:val="en-US"/>
        </w:rPr>
        <w:t xml:space="preserve"> </w:t>
      </w:r>
      <w:r w:rsidR="459E4003" w:rsidRPr="00CE2DA4">
        <w:rPr>
          <w:color w:val="000000"/>
          <w:lang w:val="en-US"/>
        </w:rPr>
        <w:t>The dominant O</w:t>
      </w:r>
      <w:r w:rsidR="6A94EF41" w:rsidRPr="00CE2DA4">
        <w:rPr>
          <w:color w:val="000000"/>
          <w:lang w:val="en-US"/>
        </w:rPr>
        <w:t xml:space="preserve">A </w:t>
      </w:r>
      <w:r w:rsidR="7DA1C046" w:rsidRPr="00CE2DA4">
        <w:rPr>
          <w:color w:val="000000"/>
          <w:lang w:val="en-US"/>
        </w:rPr>
        <w:t xml:space="preserve">type </w:t>
      </w:r>
      <w:r w:rsidR="39AEE5D3" w:rsidRPr="00CE2DA4">
        <w:rPr>
          <w:color w:val="000000"/>
          <w:lang w:val="en-US"/>
        </w:rPr>
        <w:t xml:space="preserve">across </w:t>
      </w:r>
      <w:r w:rsidR="7F7DB424" w:rsidRPr="00CE2DA4">
        <w:rPr>
          <w:color w:val="000000"/>
          <w:lang w:val="en-US"/>
        </w:rPr>
        <w:t xml:space="preserve">departments </w:t>
      </w:r>
      <w:r w:rsidR="6A94EF41" w:rsidRPr="00CE2DA4">
        <w:rPr>
          <w:color w:val="000000"/>
          <w:lang w:val="en-US"/>
        </w:rPr>
        <w:t xml:space="preserve">is </w:t>
      </w:r>
      <w:r w:rsidR="51A4EB33" w:rsidRPr="00CE2DA4">
        <w:rPr>
          <w:color w:val="000000"/>
          <w:lang w:val="en-US"/>
        </w:rPr>
        <w:t>the</w:t>
      </w:r>
      <w:r w:rsidR="5DEC9C97" w:rsidRPr="00CE2DA4">
        <w:rPr>
          <w:color w:val="000000"/>
          <w:lang w:val="en-US"/>
        </w:rPr>
        <w:t xml:space="preserve"> repository </w:t>
      </w:r>
      <w:r w:rsidR="47310E8C" w:rsidRPr="00CE2DA4">
        <w:rPr>
          <w:color w:val="000000"/>
          <w:lang w:val="en-US"/>
        </w:rPr>
        <w:t xml:space="preserve">route </w:t>
      </w:r>
      <w:r w:rsidR="5DEC9C97" w:rsidRPr="00CE2DA4">
        <w:rPr>
          <w:color w:val="000000"/>
          <w:lang w:val="en-US"/>
        </w:rPr>
        <w:t>(</w:t>
      </w:r>
      <w:r w:rsidR="37C2956C" w:rsidRPr="00CE2DA4">
        <w:rPr>
          <w:color w:val="000000"/>
          <w:lang w:val="en-US"/>
        </w:rPr>
        <w:t>Table 1</w:t>
      </w:r>
      <w:r w:rsidR="5DEC9C97" w:rsidRPr="00CE2DA4">
        <w:rPr>
          <w:color w:val="000000"/>
          <w:lang w:val="en-US"/>
        </w:rPr>
        <w:t xml:space="preserve">). </w:t>
      </w:r>
      <w:r w:rsidR="1ED37FD0" w:rsidRPr="00CE2DA4">
        <w:rPr>
          <w:color w:val="000000"/>
          <w:lang w:val="en-US"/>
        </w:rPr>
        <w:t>D</w:t>
      </w:r>
      <w:r w:rsidR="5351305B" w:rsidRPr="00CE2DA4">
        <w:rPr>
          <w:color w:val="000000"/>
          <w:lang w:val="en-US"/>
        </w:rPr>
        <w:t xml:space="preserve">epartments that identified the publisher route </w:t>
      </w:r>
      <w:r w:rsidR="778E2717" w:rsidRPr="00CE2DA4">
        <w:rPr>
          <w:color w:val="000000"/>
          <w:lang w:val="en-US"/>
        </w:rPr>
        <w:t>emphasized</w:t>
      </w:r>
      <w:r w:rsidR="5351305B" w:rsidRPr="00CE2DA4">
        <w:rPr>
          <w:color w:val="000000"/>
          <w:lang w:val="en-US"/>
        </w:rPr>
        <w:t xml:space="preserve"> the desire to publish in prestigious journals.</w:t>
      </w:r>
      <w:r w:rsidR="3C46A578" w:rsidRPr="00CE2DA4">
        <w:rPr>
          <w:color w:val="000000"/>
          <w:lang w:val="en-US"/>
        </w:rPr>
        <w:t xml:space="preserve"> </w:t>
      </w:r>
      <w:r w:rsidR="7C5654F8" w:rsidRPr="00CE2DA4">
        <w:rPr>
          <w:color w:val="000000"/>
          <w:lang w:val="en-US"/>
        </w:rPr>
        <w:t>These plans also identified pilots or intentions to fund costs of publishing in OA</w:t>
      </w:r>
      <w:r w:rsidR="3EB4A7BC" w:rsidRPr="00CE2DA4">
        <w:rPr>
          <w:color w:val="000000"/>
          <w:lang w:val="en-US"/>
        </w:rPr>
        <w:t xml:space="preserve"> journals</w:t>
      </w:r>
      <w:r w:rsidR="7C5654F8" w:rsidRPr="00CE2DA4">
        <w:rPr>
          <w:color w:val="000000"/>
          <w:lang w:val="en-US"/>
        </w:rPr>
        <w:t xml:space="preserve"> through centralized funding</w:t>
      </w:r>
      <w:r w:rsidR="1B5DED93" w:rsidRPr="00CE2DA4">
        <w:rPr>
          <w:color w:val="000000"/>
          <w:lang w:val="en-US"/>
        </w:rPr>
        <w:t xml:space="preserve"> or transformative agreements with publishers.</w:t>
      </w:r>
      <w:r w:rsidR="00822572" w:rsidRPr="00CE2DA4">
        <w:rPr>
          <w:color w:val="000000"/>
          <w:lang w:val="en-US"/>
        </w:rPr>
        <w:t xml:space="preserve"> </w:t>
      </w:r>
      <w:r w:rsidR="77C16ECA" w:rsidRPr="00CE2DA4">
        <w:rPr>
          <w:color w:val="000000"/>
          <w:lang w:val="en-US"/>
        </w:rPr>
        <w:t>At</w:t>
      </w:r>
      <w:r w:rsidR="1B5DED93" w:rsidRPr="00CE2DA4">
        <w:rPr>
          <w:color w:val="000000"/>
          <w:lang w:val="en-US"/>
        </w:rPr>
        <w:t xml:space="preserve"> the same time, the</w:t>
      </w:r>
      <w:r w:rsidR="342B0D5D" w:rsidRPr="00CE2DA4">
        <w:rPr>
          <w:color w:val="000000"/>
          <w:lang w:val="en-US"/>
        </w:rPr>
        <w:t xml:space="preserve"> same</w:t>
      </w:r>
      <w:r w:rsidR="1B5DED93" w:rsidRPr="00CE2DA4">
        <w:rPr>
          <w:color w:val="000000"/>
          <w:lang w:val="en-US"/>
        </w:rPr>
        <w:t xml:space="preserve"> plans also identified exploring preprints</w:t>
      </w:r>
      <w:r w:rsidR="00897EE7">
        <w:rPr>
          <w:color w:val="000000"/>
          <w:lang w:val="en-US"/>
        </w:rPr>
        <w:t xml:space="preserve"> to share pre-peer reviewed manuscripts </w:t>
      </w:r>
      <w:r w:rsidR="1B5DED93" w:rsidRPr="00CE2DA4">
        <w:rPr>
          <w:color w:val="000000"/>
          <w:lang w:val="en-US"/>
        </w:rPr>
        <w:t xml:space="preserve">as an option for meeting OA targets. </w:t>
      </w:r>
    </w:p>
    <w:p w14:paraId="271AB9EA" w14:textId="530AE46A" w:rsidR="2540E8BF" w:rsidRPr="00CE2DA4" w:rsidRDefault="2540E8BF" w:rsidP="00822572">
      <w:pPr>
        <w:spacing w:line="259" w:lineRule="auto"/>
        <w:jc w:val="both"/>
        <w:rPr>
          <w:color w:val="000000"/>
          <w:lang w:val="en-US"/>
        </w:rPr>
      </w:pPr>
    </w:p>
    <w:p w14:paraId="4BD87460" w14:textId="0399183C" w:rsidR="2AB097A8" w:rsidRPr="00CE2DA4" w:rsidRDefault="598F0ED0" w:rsidP="00822572">
      <w:pPr>
        <w:spacing w:line="259" w:lineRule="auto"/>
        <w:jc w:val="both"/>
        <w:rPr>
          <w:color w:val="000000"/>
          <w:lang w:val="en-US"/>
        </w:rPr>
      </w:pPr>
      <w:r w:rsidRPr="00CE2DA4">
        <w:rPr>
          <w:color w:val="000000"/>
          <w:lang w:val="en-US"/>
        </w:rPr>
        <w:t xml:space="preserve">Many of the SBDAs are working collaboratively to explore opportunities to develop shared tools and infrastructure to meet OA targets. </w:t>
      </w:r>
      <w:r w:rsidR="5814E5C0" w:rsidRPr="00CE2DA4">
        <w:rPr>
          <w:color w:val="000000"/>
          <w:lang w:val="en-US"/>
        </w:rPr>
        <w:t xml:space="preserve">Six </w:t>
      </w:r>
      <w:r w:rsidR="62EB89C5" w:rsidRPr="00CE2DA4">
        <w:rPr>
          <w:color w:val="000000"/>
          <w:lang w:val="en-US"/>
        </w:rPr>
        <w:t xml:space="preserve">SBDAs </w:t>
      </w:r>
      <w:r w:rsidR="00822572" w:rsidRPr="00CE2DA4">
        <w:rPr>
          <w:color w:val="000000"/>
          <w:lang w:val="en-US"/>
        </w:rPr>
        <w:t>reported developing</w:t>
      </w:r>
      <w:r w:rsidR="1501CC0E" w:rsidRPr="00CE2DA4">
        <w:rPr>
          <w:color w:val="000000"/>
          <w:lang w:val="en-US"/>
        </w:rPr>
        <w:t xml:space="preserve"> </w:t>
      </w:r>
      <w:r w:rsidR="2AB097A8" w:rsidRPr="00CE2DA4">
        <w:rPr>
          <w:color w:val="000000"/>
          <w:lang w:val="en-US"/>
        </w:rPr>
        <w:t>a new repository</w:t>
      </w:r>
      <w:r w:rsidR="61033A5A" w:rsidRPr="00CE2DA4">
        <w:rPr>
          <w:color w:val="000000"/>
          <w:lang w:val="en-US"/>
        </w:rPr>
        <w:t xml:space="preserve"> for federal science publications</w:t>
      </w:r>
      <w:r w:rsidR="71ECE6FC" w:rsidRPr="00CE2DA4">
        <w:rPr>
          <w:color w:val="000000"/>
          <w:lang w:val="en-US"/>
        </w:rPr>
        <w:t xml:space="preserve">, </w:t>
      </w:r>
      <w:r w:rsidR="2AB097A8" w:rsidRPr="00CE2DA4">
        <w:rPr>
          <w:color w:val="000000"/>
          <w:lang w:val="en-US"/>
        </w:rPr>
        <w:t xml:space="preserve">while others have invested in solutions to track and facilitate the discovery of published articles. </w:t>
      </w:r>
    </w:p>
    <w:p w14:paraId="0AE38547" w14:textId="33EE44E8" w:rsidR="271C490F" w:rsidRPr="00CE2DA4" w:rsidRDefault="271C490F" w:rsidP="00822572">
      <w:pPr>
        <w:spacing w:line="259" w:lineRule="auto"/>
        <w:jc w:val="both"/>
        <w:rPr>
          <w:color w:val="000000"/>
          <w:lang w:val="en-US"/>
        </w:rPr>
      </w:pPr>
    </w:p>
    <w:p w14:paraId="722FE8E8" w14:textId="5BC0625F" w:rsidR="27BF5422" w:rsidRPr="00897EE7" w:rsidRDefault="194FE67B" w:rsidP="3E01852A">
      <w:pPr>
        <w:rPr>
          <w:i/>
          <w:iCs/>
          <w:color w:val="000000"/>
          <w:lang w:val="en-US"/>
        </w:rPr>
      </w:pPr>
      <w:r w:rsidRPr="00897EE7">
        <w:rPr>
          <w:i/>
          <w:iCs/>
          <w:color w:val="000000"/>
          <w:lang w:val="en-US"/>
        </w:rPr>
        <w:t>3</w:t>
      </w:r>
      <w:r w:rsidR="5D6C83CB" w:rsidRPr="00897EE7">
        <w:rPr>
          <w:i/>
          <w:iCs/>
          <w:color w:val="000000"/>
          <w:lang w:val="en-US"/>
        </w:rPr>
        <w:t>.</w:t>
      </w:r>
      <w:r w:rsidR="7A3B8520" w:rsidRPr="00897EE7">
        <w:rPr>
          <w:i/>
          <w:iCs/>
          <w:color w:val="000000"/>
          <w:lang w:val="en-US"/>
        </w:rPr>
        <w:t>2.3</w:t>
      </w:r>
      <w:r w:rsidR="5D6C83CB" w:rsidRPr="00897EE7">
        <w:rPr>
          <w:i/>
          <w:iCs/>
          <w:color w:val="000000"/>
          <w:lang w:val="en-US"/>
        </w:rPr>
        <w:t xml:space="preserve"> FAIR data</w:t>
      </w:r>
    </w:p>
    <w:p w14:paraId="1745E3D3" w14:textId="77399314" w:rsidR="0A73826A" w:rsidRPr="00CE2DA4" w:rsidRDefault="4F7939BD" w:rsidP="00822572">
      <w:pPr>
        <w:jc w:val="both"/>
        <w:rPr>
          <w:color w:val="000000"/>
          <w:lang w:val="en-US"/>
        </w:rPr>
      </w:pPr>
      <w:r w:rsidRPr="00CE2DA4">
        <w:rPr>
          <w:color w:val="000000"/>
          <w:lang w:val="en-US"/>
        </w:rPr>
        <w:t>Many SBDAs produce data as part of their scientific activities, these include but are not limited to, observational, monitoring, operational, modelling and simulation, risk assessment, survey and surveillance, and diagnostics and targeted survey.</w:t>
      </w:r>
      <w:r w:rsidR="3D36AF70" w:rsidRPr="00CE2DA4">
        <w:rPr>
          <w:color w:val="000000"/>
          <w:lang w:val="en-US"/>
        </w:rPr>
        <w:t xml:space="preserve"> </w:t>
      </w:r>
      <w:r w:rsidRPr="00CE2DA4">
        <w:rPr>
          <w:color w:val="000000"/>
          <w:lang w:val="en-US"/>
        </w:rPr>
        <w:t xml:space="preserve">Some departments and agencies are dedicated to scientific research, </w:t>
      </w:r>
      <w:r w:rsidR="70AAF946" w:rsidRPr="00CE2DA4">
        <w:rPr>
          <w:color w:val="000000"/>
          <w:lang w:val="en-US"/>
        </w:rPr>
        <w:t>including</w:t>
      </w:r>
      <w:r w:rsidRPr="00CE2DA4">
        <w:rPr>
          <w:color w:val="000000"/>
          <w:lang w:val="en-US"/>
        </w:rPr>
        <w:t xml:space="preserve"> the National Research Council Canada, while other organizations conduct scientific research within a larger framework, such as </w:t>
      </w:r>
      <w:r w:rsidR="2F2F5D7E" w:rsidRPr="00CE2DA4">
        <w:rPr>
          <w:color w:val="000000"/>
          <w:lang w:val="en-US"/>
        </w:rPr>
        <w:t>Public Health Agency of Canada</w:t>
      </w:r>
      <w:r w:rsidR="16DBCC63" w:rsidRPr="00CE2DA4">
        <w:rPr>
          <w:color w:val="000000"/>
          <w:lang w:val="en-US"/>
        </w:rPr>
        <w:t xml:space="preserve"> or Statistics Canada</w:t>
      </w:r>
      <w:r w:rsidRPr="00CE2DA4">
        <w:rPr>
          <w:color w:val="000000"/>
          <w:lang w:val="en-US"/>
        </w:rPr>
        <w:t xml:space="preserve">. </w:t>
      </w:r>
    </w:p>
    <w:p w14:paraId="766DA367" w14:textId="371F18C0" w:rsidR="0A73826A" w:rsidRPr="00CE2DA4" w:rsidRDefault="0A73826A" w:rsidP="00822572">
      <w:pPr>
        <w:jc w:val="both"/>
        <w:rPr>
          <w:color w:val="000000"/>
          <w:lang w:val="en-US"/>
        </w:rPr>
      </w:pPr>
    </w:p>
    <w:p w14:paraId="129436B9" w14:textId="4254F484" w:rsidR="0A73826A" w:rsidRPr="00CE2DA4" w:rsidRDefault="00E2E190" w:rsidP="00822572">
      <w:pPr>
        <w:jc w:val="both"/>
        <w:rPr>
          <w:color w:val="000000"/>
          <w:lang w:val="en-US"/>
        </w:rPr>
      </w:pPr>
      <w:r w:rsidRPr="00CE2DA4">
        <w:rPr>
          <w:color w:val="000000"/>
          <w:lang w:val="en-US"/>
        </w:rPr>
        <w:lastRenderedPageBreak/>
        <w:t xml:space="preserve">How SBDAs interpreted the application of FAIR principles to scientific and research data differed within the action plans. </w:t>
      </w:r>
      <w:r w:rsidR="4F7939BD" w:rsidRPr="00CE2DA4">
        <w:rPr>
          <w:color w:val="000000"/>
          <w:lang w:val="en-US"/>
        </w:rPr>
        <w:t xml:space="preserve">Open Data has been an integral </w:t>
      </w:r>
      <w:r w:rsidR="5355AB15" w:rsidRPr="00CE2DA4">
        <w:rPr>
          <w:color w:val="000000"/>
          <w:lang w:val="en-US"/>
        </w:rPr>
        <w:t>component</w:t>
      </w:r>
      <w:r w:rsidR="4F7939BD" w:rsidRPr="00CE2DA4">
        <w:rPr>
          <w:color w:val="000000"/>
          <w:lang w:val="en-US"/>
        </w:rPr>
        <w:t xml:space="preserve"> of the Government of Canada’s commitment to opennes</w:t>
      </w:r>
      <w:r w:rsidR="3C4D5F02" w:rsidRPr="00CE2DA4">
        <w:rPr>
          <w:color w:val="000000"/>
          <w:lang w:val="en-US"/>
        </w:rPr>
        <w:t>s since the release of the Directive on Open Government (</w:t>
      </w:r>
      <w:r w:rsidR="446E48A2" w:rsidRPr="00CE2DA4">
        <w:rPr>
          <w:color w:val="000000"/>
          <w:lang w:val="en-US"/>
        </w:rPr>
        <w:t>Government of Canada, 2014)</w:t>
      </w:r>
      <w:r w:rsidR="4F7939BD" w:rsidRPr="00CE2DA4">
        <w:rPr>
          <w:color w:val="000000"/>
          <w:lang w:val="en-US"/>
        </w:rPr>
        <w:t xml:space="preserve">. </w:t>
      </w:r>
      <w:r w:rsidR="0E27A7D4" w:rsidRPr="00CE2DA4">
        <w:rPr>
          <w:color w:val="000000"/>
          <w:lang w:val="en-US"/>
        </w:rPr>
        <w:t xml:space="preserve">Seven </w:t>
      </w:r>
      <w:r w:rsidR="533FDA2E" w:rsidRPr="00CE2DA4">
        <w:rPr>
          <w:color w:val="000000"/>
          <w:lang w:val="en-US"/>
        </w:rPr>
        <w:t>SBDA</w:t>
      </w:r>
      <w:r w:rsidR="4F7939BD" w:rsidRPr="00CE2DA4">
        <w:rPr>
          <w:color w:val="000000"/>
          <w:lang w:val="en-US"/>
        </w:rPr>
        <w:t xml:space="preserve"> action plans</w:t>
      </w:r>
      <w:r w:rsidR="634C79CD" w:rsidRPr="00CE2DA4">
        <w:rPr>
          <w:color w:val="000000"/>
          <w:lang w:val="en-US"/>
        </w:rPr>
        <w:t xml:space="preserve"> </w:t>
      </w:r>
      <w:r w:rsidR="4F7939BD" w:rsidRPr="00CE2DA4">
        <w:rPr>
          <w:color w:val="000000"/>
          <w:lang w:val="en-US"/>
        </w:rPr>
        <w:t xml:space="preserve">identified </w:t>
      </w:r>
      <w:r w:rsidR="19669DC2" w:rsidRPr="00CE2DA4">
        <w:rPr>
          <w:color w:val="000000"/>
          <w:lang w:val="en-US"/>
        </w:rPr>
        <w:t xml:space="preserve">making </w:t>
      </w:r>
      <w:r w:rsidR="4F7939BD" w:rsidRPr="00CE2DA4">
        <w:rPr>
          <w:color w:val="000000"/>
          <w:lang w:val="en-US"/>
        </w:rPr>
        <w:t xml:space="preserve">scientific datasets </w:t>
      </w:r>
      <w:r w:rsidR="2E0A8645" w:rsidRPr="00CE2DA4">
        <w:rPr>
          <w:color w:val="000000"/>
          <w:lang w:val="en-US"/>
        </w:rPr>
        <w:t xml:space="preserve">as </w:t>
      </w:r>
      <w:r w:rsidR="44182261" w:rsidRPr="00CE2DA4">
        <w:rPr>
          <w:color w:val="000000"/>
          <w:lang w:val="en-US"/>
        </w:rPr>
        <w:t xml:space="preserve">collected as part of their mandate </w:t>
      </w:r>
      <w:r w:rsidR="610F2115" w:rsidRPr="00CE2DA4">
        <w:rPr>
          <w:color w:val="000000"/>
          <w:lang w:val="en-US"/>
        </w:rPr>
        <w:t xml:space="preserve">open and adhering to the FAIR principles. Conversely, </w:t>
      </w:r>
      <w:r w:rsidR="298B5D6D" w:rsidRPr="00CE2DA4">
        <w:rPr>
          <w:color w:val="000000"/>
          <w:lang w:val="en-US"/>
        </w:rPr>
        <w:t xml:space="preserve">five </w:t>
      </w:r>
      <w:r w:rsidR="610F2115" w:rsidRPr="00CE2DA4">
        <w:rPr>
          <w:color w:val="000000"/>
          <w:lang w:val="en-US"/>
        </w:rPr>
        <w:t>SBDA action plans</w:t>
      </w:r>
      <w:r w:rsidR="668DB172" w:rsidRPr="00CE2DA4">
        <w:rPr>
          <w:color w:val="000000"/>
          <w:lang w:val="en-US"/>
        </w:rPr>
        <w:t xml:space="preserve"> </w:t>
      </w:r>
      <w:r w:rsidR="610F2115" w:rsidRPr="00CE2DA4">
        <w:rPr>
          <w:color w:val="000000"/>
          <w:lang w:val="en-US"/>
        </w:rPr>
        <w:t>focused on enabling the data producer</w:t>
      </w:r>
      <w:r w:rsidR="0EB91C87" w:rsidRPr="00CE2DA4">
        <w:rPr>
          <w:color w:val="000000"/>
          <w:lang w:val="en-US"/>
        </w:rPr>
        <w:t xml:space="preserve"> (i.e.</w:t>
      </w:r>
      <w:r w:rsidR="610F2115" w:rsidRPr="00CE2DA4">
        <w:rPr>
          <w:color w:val="000000"/>
          <w:lang w:val="en-US"/>
        </w:rPr>
        <w:t>, researcher</w:t>
      </w:r>
      <w:r w:rsidR="5580B194" w:rsidRPr="00CE2DA4">
        <w:rPr>
          <w:color w:val="000000"/>
          <w:lang w:val="en-US"/>
        </w:rPr>
        <w:t>s)</w:t>
      </w:r>
      <w:r w:rsidR="610F2115" w:rsidRPr="00CE2DA4">
        <w:rPr>
          <w:color w:val="000000"/>
          <w:lang w:val="en-US"/>
        </w:rPr>
        <w:t xml:space="preserve"> to adhere to </w:t>
      </w:r>
      <w:r w:rsidR="132D69C3" w:rsidRPr="00CE2DA4">
        <w:rPr>
          <w:color w:val="000000"/>
          <w:lang w:val="en-US"/>
        </w:rPr>
        <w:t>OS</w:t>
      </w:r>
      <w:r w:rsidR="705E14CB" w:rsidRPr="00CE2DA4">
        <w:rPr>
          <w:color w:val="000000"/>
          <w:lang w:val="en-US"/>
        </w:rPr>
        <w:t xml:space="preserve"> practices and FAIR principles.</w:t>
      </w:r>
      <w:r w:rsidR="3C46A578" w:rsidRPr="00CE2DA4">
        <w:rPr>
          <w:color w:val="000000"/>
          <w:lang w:val="en-US"/>
        </w:rPr>
        <w:t xml:space="preserve"> </w:t>
      </w:r>
      <w:r w:rsidR="5462528A" w:rsidRPr="00CE2DA4">
        <w:rPr>
          <w:color w:val="000000"/>
          <w:lang w:val="en-US"/>
        </w:rPr>
        <w:t xml:space="preserve">The distinction between FAIR principles </w:t>
      </w:r>
      <w:r w:rsidR="6830429E" w:rsidRPr="00CE2DA4">
        <w:rPr>
          <w:color w:val="000000"/>
          <w:lang w:val="en-US"/>
        </w:rPr>
        <w:t>for</w:t>
      </w:r>
      <w:r w:rsidR="5462528A" w:rsidRPr="00CE2DA4">
        <w:rPr>
          <w:color w:val="000000"/>
          <w:lang w:val="en-US"/>
        </w:rPr>
        <w:t xml:space="preserve"> departmental collections versus </w:t>
      </w:r>
      <w:r w:rsidR="13BEDE76" w:rsidRPr="00CE2DA4">
        <w:rPr>
          <w:color w:val="000000"/>
          <w:lang w:val="en-US"/>
        </w:rPr>
        <w:t>those applied by researchers to</w:t>
      </w:r>
      <w:r w:rsidR="5462528A" w:rsidRPr="00CE2DA4">
        <w:rPr>
          <w:color w:val="000000"/>
          <w:lang w:val="en-US"/>
        </w:rPr>
        <w:t xml:space="preserve"> promote repro</w:t>
      </w:r>
      <w:r w:rsidR="588FB515" w:rsidRPr="00CE2DA4">
        <w:rPr>
          <w:color w:val="000000"/>
          <w:lang w:val="en-US"/>
        </w:rPr>
        <w:t>du</w:t>
      </w:r>
      <w:r w:rsidR="5462528A" w:rsidRPr="00CE2DA4">
        <w:rPr>
          <w:color w:val="000000"/>
          <w:lang w:val="en-US"/>
        </w:rPr>
        <w:t>cible results is captured in Fi</w:t>
      </w:r>
      <w:r w:rsidR="33726A76" w:rsidRPr="00CE2DA4">
        <w:rPr>
          <w:color w:val="000000"/>
          <w:lang w:val="en-US"/>
        </w:rPr>
        <w:t xml:space="preserve">gure 3. </w:t>
      </w:r>
    </w:p>
    <w:p w14:paraId="5634B28F" w14:textId="5A239334" w:rsidR="137A8F97" w:rsidRPr="00CE2DA4" w:rsidRDefault="137A8F97" w:rsidP="137A8F97">
      <w:pPr>
        <w:jc w:val="both"/>
        <w:rPr>
          <w:color w:val="000000"/>
          <w:lang w:val="en-US"/>
        </w:rPr>
      </w:pPr>
    </w:p>
    <w:p w14:paraId="09501C6C" w14:textId="1C277774" w:rsidR="0DCAC1A0" w:rsidRDefault="0DCAC1A0" w:rsidP="137A8F97">
      <w:pPr>
        <w:jc w:val="center"/>
      </w:pPr>
      <w:r>
        <w:t>Figure 3. Conceptual distinction of scientific and research data concepts</w:t>
      </w:r>
    </w:p>
    <w:p w14:paraId="7F4C59DC" w14:textId="6999E597" w:rsidR="0A73826A" w:rsidRDefault="000E3840" w:rsidP="271C490F">
      <w:pPr>
        <w:jc w:val="center"/>
      </w:pPr>
      <w:r>
        <w:rPr>
          <w:noProof/>
        </w:rPr>
        <w:pict w14:anchorId="7C50F354">
          <v:shape id="Picture 339066856" o:spid="_x0000_i1026" type="#_x0000_t75" style="width:5in;height:202.5pt;visibility:visible;mso-wrap-style:square">
            <v:imagedata r:id="rId12" o:title=""/>
          </v:shape>
        </w:pict>
      </w:r>
    </w:p>
    <w:p w14:paraId="40C19453" w14:textId="56D8075C" w:rsidR="2540E8BF" w:rsidRDefault="2540E8BF" w:rsidP="2540E8BF">
      <w:pPr>
        <w:jc w:val="center"/>
      </w:pPr>
    </w:p>
    <w:p w14:paraId="76825CD5" w14:textId="31819D3A" w:rsidR="2252B05C" w:rsidRPr="00CE2DA4" w:rsidRDefault="2252B05C" w:rsidP="00667E38">
      <w:pPr>
        <w:jc w:val="both"/>
        <w:rPr>
          <w:color w:val="000000"/>
          <w:lang w:val="en-US"/>
        </w:rPr>
      </w:pPr>
      <w:r w:rsidRPr="00CE2DA4">
        <w:rPr>
          <w:color w:val="000000"/>
          <w:lang w:val="en-US"/>
        </w:rPr>
        <w:t>The Roadmap acknowledge</w:t>
      </w:r>
      <w:r w:rsidR="7C56712E" w:rsidRPr="00CE2DA4">
        <w:rPr>
          <w:color w:val="000000"/>
          <w:lang w:val="en-US"/>
        </w:rPr>
        <w:t>s</w:t>
      </w:r>
      <w:r w:rsidRPr="00CE2DA4">
        <w:rPr>
          <w:color w:val="000000"/>
          <w:lang w:val="en-US"/>
        </w:rPr>
        <w:t xml:space="preserve"> </w:t>
      </w:r>
      <w:r w:rsidR="307DC32B" w:rsidRPr="00CE2DA4">
        <w:rPr>
          <w:color w:val="000000"/>
          <w:lang w:val="en-US"/>
        </w:rPr>
        <w:t>that a pre</w:t>
      </w:r>
      <w:r w:rsidR="3A317EA6" w:rsidRPr="00CE2DA4">
        <w:rPr>
          <w:color w:val="000000"/>
          <w:lang w:val="en-US"/>
        </w:rPr>
        <w:t>requisite</w:t>
      </w:r>
      <w:r w:rsidR="307DC32B" w:rsidRPr="00CE2DA4">
        <w:rPr>
          <w:color w:val="000000"/>
          <w:lang w:val="en-US"/>
        </w:rPr>
        <w:t xml:space="preserve"> to implementing FAIR data principles </w:t>
      </w:r>
      <w:r w:rsidR="55C50BE5" w:rsidRPr="00CE2DA4">
        <w:rPr>
          <w:color w:val="000000"/>
          <w:lang w:val="en-US"/>
        </w:rPr>
        <w:t xml:space="preserve">are </w:t>
      </w:r>
      <w:r w:rsidR="307DC32B" w:rsidRPr="00CE2DA4">
        <w:rPr>
          <w:color w:val="000000"/>
          <w:lang w:val="en-US"/>
        </w:rPr>
        <w:t xml:space="preserve">strong data management practices. </w:t>
      </w:r>
      <w:r w:rsidR="4DBAF096" w:rsidRPr="00CE2DA4">
        <w:rPr>
          <w:color w:val="000000"/>
          <w:lang w:val="en-US"/>
        </w:rPr>
        <w:t xml:space="preserve">While </w:t>
      </w:r>
      <w:r w:rsidR="015EDCF2" w:rsidRPr="00CE2DA4">
        <w:rPr>
          <w:color w:val="000000"/>
          <w:lang w:val="en-US"/>
        </w:rPr>
        <w:t>seven</w:t>
      </w:r>
      <w:r w:rsidR="4DBAF096" w:rsidRPr="00CE2DA4">
        <w:rPr>
          <w:color w:val="000000"/>
          <w:lang w:val="en-US"/>
        </w:rPr>
        <w:t xml:space="preserve"> plans </w:t>
      </w:r>
      <w:r w:rsidR="5299B0BD" w:rsidRPr="00CE2DA4">
        <w:rPr>
          <w:color w:val="000000"/>
          <w:lang w:val="en-US"/>
        </w:rPr>
        <w:t>discuss</w:t>
      </w:r>
      <w:r w:rsidR="4782B537" w:rsidRPr="00CE2DA4">
        <w:rPr>
          <w:color w:val="000000"/>
          <w:lang w:val="en-US"/>
        </w:rPr>
        <w:t>ed</w:t>
      </w:r>
      <w:r w:rsidR="4DBAF096" w:rsidRPr="00CE2DA4">
        <w:rPr>
          <w:color w:val="000000"/>
          <w:lang w:val="en-US"/>
        </w:rPr>
        <w:t xml:space="preserve"> data management</w:t>
      </w:r>
      <w:r w:rsidR="783C0E96" w:rsidRPr="00CE2DA4">
        <w:rPr>
          <w:color w:val="000000"/>
          <w:lang w:val="en-US"/>
        </w:rPr>
        <w:t xml:space="preserve"> broadly</w:t>
      </w:r>
      <w:r w:rsidR="4DBAF096" w:rsidRPr="00CE2DA4">
        <w:rPr>
          <w:color w:val="000000"/>
          <w:lang w:val="en-US"/>
        </w:rPr>
        <w:t xml:space="preserve">, only </w:t>
      </w:r>
      <w:r w:rsidR="6AE6123D" w:rsidRPr="00CE2DA4">
        <w:rPr>
          <w:color w:val="000000"/>
          <w:lang w:val="en-US"/>
        </w:rPr>
        <w:t>five</w:t>
      </w:r>
      <w:r w:rsidR="4DBAF096" w:rsidRPr="00CE2DA4">
        <w:rPr>
          <w:color w:val="000000"/>
          <w:lang w:val="en-US"/>
        </w:rPr>
        <w:t xml:space="preserve"> </w:t>
      </w:r>
      <w:r w:rsidR="5BA8E3C7" w:rsidRPr="00CE2DA4">
        <w:rPr>
          <w:color w:val="000000"/>
          <w:lang w:val="en-US"/>
        </w:rPr>
        <w:t>offered details</w:t>
      </w:r>
      <w:r w:rsidR="4DBAF096" w:rsidRPr="00CE2DA4">
        <w:rPr>
          <w:color w:val="000000"/>
          <w:lang w:val="en-US"/>
        </w:rPr>
        <w:t xml:space="preserve"> and </w:t>
      </w:r>
      <w:r w:rsidR="21901183" w:rsidRPr="00CE2DA4">
        <w:rPr>
          <w:color w:val="000000"/>
          <w:lang w:val="en-US"/>
        </w:rPr>
        <w:t>identified</w:t>
      </w:r>
      <w:r w:rsidR="4DBAF096" w:rsidRPr="00CE2DA4">
        <w:rPr>
          <w:color w:val="000000"/>
          <w:lang w:val="en-US"/>
        </w:rPr>
        <w:t xml:space="preserve"> the use of data management plans, metadata standards, and curation in support of implementing FAIR principles.</w:t>
      </w:r>
    </w:p>
    <w:p w14:paraId="255A227E" w14:textId="4BA32C30" w:rsidR="3E01852A" w:rsidRPr="00CE2DA4" w:rsidRDefault="3E01852A" w:rsidP="3E01852A">
      <w:pPr>
        <w:rPr>
          <w:color w:val="000000"/>
          <w:lang w:val="en-US"/>
        </w:rPr>
      </w:pPr>
    </w:p>
    <w:p w14:paraId="13349464" w14:textId="6703379A" w:rsidR="3E01852A" w:rsidRPr="00897EE7" w:rsidRDefault="4D1C40AB" w:rsidP="137A8F97">
      <w:pPr>
        <w:rPr>
          <w:i/>
          <w:iCs/>
          <w:color w:val="000000"/>
          <w:lang w:val="en-US"/>
        </w:rPr>
      </w:pPr>
      <w:r w:rsidRPr="00897EE7">
        <w:rPr>
          <w:i/>
          <w:iCs/>
          <w:color w:val="000000"/>
          <w:lang w:val="en-US"/>
        </w:rPr>
        <w:t>3</w:t>
      </w:r>
      <w:r w:rsidR="5D6C83CB" w:rsidRPr="00897EE7">
        <w:rPr>
          <w:i/>
          <w:iCs/>
          <w:color w:val="000000"/>
          <w:lang w:val="en-US"/>
        </w:rPr>
        <w:t>.</w:t>
      </w:r>
      <w:r w:rsidR="76C060B7" w:rsidRPr="00897EE7">
        <w:rPr>
          <w:i/>
          <w:iCs/>
          <w:color w:val="000000"/>
          <w:lang w:val="en-US"/>
        </w:rPr>
        <w:t>2.</w:t>
      </w:r>
      <w:r w:rsidR="5D6C83CB" w:rsidRPr="00897EE7">
        <w:rPr>
          <w:i/>
          <w:iCs/>
          <w:color w:val="000000"/>
          <w:lang w:val="en-US"/>
        </w:rPr>
        <w:t>4 Research assessment</w:t>
      </w:r>
    </w:p>
    <w:p w14:paraId="4C043A3E" w14:textId="73E8F07C" w:rsidR="271C490F" w:rsidRPr="00CE2DA4" w:rsidRDefault="270EDBAA" w:rsidP="00667E38">
      <w:pPr>
        <w:jc w:val="both"/>
        <w:rPr>
          <w:color w:val="000000"/>
          <w:lang w:val="en-US"/>
        </w:rPr>
      </w:pPr>
      <w:r w:rsidRPr="00CE2DA4">
        <w:rPr>
          <w:color w:val="000000"/>
          <w:lang w:val="en-US"/>
        </w:rPr>
        <w:t xml:space="preserve">While not explicitly identified as a </w:t>
      </w:r>
      <w:r w:rsidR="7FC10404" w:rsidRPr="00CE2DA4">
        <w:rPr>
          <w:color w:val="000000"/>
          <w:lang w:val="en-US"/>
        </w:rPr>
        <w:t xml:space="preserve">ROS </w:t>
      </w:r>
      <w:r w:rsidR="785798FF" w:rsidRPr="00CE2DA4">
        <w:rPr>
          <w:color w:val="000000"/>
          <w:lang w:val="en-US"/>
        </w:rPr>
        <w:t>recommendation</w:t>
      </w:r>
      <w:r w:rsidRPr="00CE2DA4">
        <w:rPr>
          <w:color w:val="000000"/>
          <w:lang w:val="en-US"/>
        </w:rPr>
        <w:t xml:space="preserve">, </w:t>
      </w:r>
      <w:r w:rsidR="60FDE5FF" w:rsidRPr="00CE2DA4">
        <w:rPr>
          <w:color w:val="000000"/>
          <w:lang w:val="en-US"/>
        </w:rPr>
        <w:t>t</w:t>
      </w:r>
      <w:r w:rsidR="3D44FD77" w:rsidRPr="00CE2DA4">
        <w:rPr>
          <w:color w:val="000000"/>
          <w:lang w:val="en-US"/>
        </w:rPr>
        <w:t xml:space="preserve">he </w:t>
      </w:r>
      <w:r w:rsidR="5F13769D" w:rsidRPr="00CE2DA4">
        <w:rPr>
          <w:color w:val="000000"/>
          <w:lang w:val="en-US"/>
        </w:rPr>
        <w:t xml:space="preserve">current metrics-based </w:t>
      </w:r>
      <w:r w:rsidR="3D44FD77" w:rsidRPr="00CE2DA4">
        <w:rPr>
          <w:color w:val="000000"/>
          <w:lang w:val="en-US"/>
        </w:rPr>
        <w:t xml:space="preserve">assessment of researchers </w:t>
      </w:r>
      <w:r w:rsidR="72CE8557" w:rsidRPr="00CE2DA4">
        <w:rPr>
          <w:color w:val="000000"/>
          <w:lang w:val="en-US"/>
        </w:rPr>
        <w:t>is</w:t>
      </w:r>
      <w:r w:rsidR="3D44FD77" w:rsidRPr="00CE2DA4">
        <w:rPr>
          <w:color w:val="000000"/>
          <w:lang w:val="en-US"/>
        </w:rPr>
        <w:t xml:space="preserve"> argued to impede progress towards </w:t>
      </w:r>
      <w:r w:rsidR="287ECD1F" w:rsidRPr="00CE2DA4">
        <w:rPr>
          <w:color w:val="000000"/>
          <w:lang w:val="en-US"/>
        </w:rPr>
        <w:t>OS</w:t>
      </w:r>
      <w:r w:rsidR="515BBA5D" w:rsidRPr="00CE2DA4">
        <w:rPr>
          <w:color w:val="000000"/>
          <w:lang w:val="en-US"/>
        </w:rPr>
        <w:t xml:space="preserve"> (C</w:t>
      </w:r>
      <w:r w:rsidR="64CDDB1A" w:rsidRPr="00CE2DA4">
        <w:rPr>
          <w:color w:val="000000"/>
          <w:lang w:val="en-US"/>
        </w:rPr>
        <w:t>OARA, 2022</w:t>
      </w:r>
      <w:r w:rsidR="515BBA5D" w:rsidRPr="00CE2DA4">
        <w:rPr>
          <w:color w:val="000000"/>
          <w:lang w:val="en-US"/>
        </w:rPr>
        <w:t>)</w:t>
      </w:r>
      <w:r w:rsidR="3D44FD77" w:rsidRPr="00CE2DA4">
        <w:rPr>
          <w:color w:val="000000"/>
          <w:lang w:val="en-US"/>
        </w:rPr>
        <w:t>.</w:t>
      </w:r>
      <w:r w:rsidR="3D36AF70" w:rsidRPr="00CE2DA4">
        <w:rPr>
          <w:color w:val="000000"/>
          <w:lang w:val="en-US"/>
        </w:rPr>
        <w:t xml:space="preserve"> </w:t>
      </w:r>
      <w:r w:rsidR="78BF12B4" w:rsidRPr="00CE2DA4">
        <w:rPr>
          <w:color w:val="000000"/>
          <w:lang w:val="en-US"/>
        </w:rPr>
        <w:t>Institutions play an important role in terms of providing support and incentives that incite behavioural changes</w:t>
      </w:r>
      <w:r w:rsidR="25B6C8C6" w:rsidRPr="00CE2DA4">
        <w:rPr>
          <w:color w:val="000000"/>
          <w:lang w:val="en-US"/>
        </w:rPr>
        <w:t xml:space="preserve"> towards more open practices </w:t>
      </w:r>
      <w:r w:rsidR="2D9BD931" w:rsidRPr="00CE2DA4">
        <w:rPr>
          <w:color w:val="000000"/>
          <w:lang w:val="en-US"/>
        </w:rPr>
        <w:t xml:space="preserve">(Huang et al., </w:t>
      </w:r>
      <w:r w:rsidR="05093B5F" w:rsidRPr="00CE2DA4">
        <w:rPr>
          <w:color w:val="000000"/>
          <w:lang w:val="en-US"/>
        </w:rPr>
        <w:t>202</w:t>
      </w:r>
      <w:r w:rsidR="2D9BD931" w:rsidRPr="00CE2DA4">
        <w:rPr>
          <w:color w:val="000000"/>
          <w:lang w:val="en-US"/>
        </w:rPr>
        <w:t>)</w:t>
      </w:r>
      <w:r w:rsidR="78BF12B4" w:rsidRPr="00CE2DA4">
        <w:rPr>
          <w:color w:val="000000"/>
          <w:lang w:val="en-US"/>
        </w:rPr>
        <w:t xml:space="preserve">. </w:t>
      </w:r>
      <w:r w:rsidR="3848D9F4" w:rsidRPr="00CE2DA4">
        <w:rPr>
          <w:color w:val="000000"/>
          <w:lang w:val="en-US"/>
        </w:rPr>
        <w:t xml:space="preserve">Plans whose focus was on enabling its researchers to adapt </w:t>
      </w:r>
      <w:r w:rsidR="239AC011" w:rsidRPr="00CE2DA4">
        <w:rPr>
          <w:color w:val="000000"/>
          <w:lang w:val="en-US"/>
        </w:rPr>
        <w:t>OS</w:t>
      </w:r>
      <w:r w:rsidR="3848D9F4" w:rsidRPr="00CE2DA4">
        <w:rPr>
          <w:color w:val="000000"/>
          <w:lang w:val="en-US"/>
        </w:rPr>
        <w:t xml:space="preserve"> practices, for both publications </w:t>
      </w:r>
      <w:r w:rsidR="226E0201" w:rsidRPr="00CE2DA4">
        <w:rPr>
          <w:color w:val="000000"/>
          <w:lang w:val="en-US"/>
        </w:rPr>
        <w:t xml:space="preserve">and </w:t>
      </w:r>
      <w:r w:rsidR="3848D9F4" w:rsidRPr="00CE2DA4">
        <w:rPr>
          <w:color w:val="000000"/>
          <w:lang w:val="en-US"/>
        </w:rPr>
        <w:t>research data, were more likely to have identified the need to review the evaluation criteria for career progression. Th</w:t>
      </w:r>
      <w:r w:rsidR="085F61C0" w:rsidRPr="00CE2DA4">
        <w:rPr>
          <w:color w:val="000000"/>
          <w:lang w:val="en-US"/>
        </w:rPr>
        <w:t>r</w:t>
      </w:r>
      <w:r w:rsidR="3848D9F4" w:rsidRPr="00CE2DA4">
        <w:rPr>
          <w:color w:val="000000"/>
          <w:lang w:val="en-US"/>
        </w:rPr>
        <w:t>e</w:t>
      </w:r>
      <w:r w:rsidR="085F61C0" w:rsidRPr="00CE2DA4">
        <w:rPr>
          <w:color w:val="000000"/>
          <w:lang w:val="en-US"/>
        </w:rPr>
        <w:t>e</w:t>
      </w:r>
      <w:r w:rsidR="3848D9F4" w:rsidRPr="00CE2DA4">
        <w:rPr>
          <w:color w:val="000000"/>
          <w:lang w:val="en-US"/>
        </w:rPr>
        <w:t xml:space="preserve"> plans</w:t>
      </w:r>
      <w:r w:rsidR="39B2B3CE" w:rsidRPr="00CE2DA4">
        <w:rPr>
          <w:color w:val="000000"/>
          <w:lang w:val="en-US"/>
        </w:rPr>
        <w:t xml:space="preserve"> </w:t>
      </w:r>
      <w:r w:rsidR="5BF82410" w:rsidRPr="00CE2DA4">
        <w:rPr>
          <w:color w:val="000000"/>
          <w:lang w:val="en-US"/>
        </w:rPr>
        <w:t xml:space="preserve">included statements on career progression criteria and </w:t>
      </w:r>
      <w:r w:rsidR="3848D9F4" w:rsidRPr="00CE2DA4">
        <w:rPr>
          <w:color w:val="000000"/>
          <w:lang w:val="en-US"/>
        </w:rPr>
        <w:t>recognized that to foster a culture of change and incentivize practices, researchers' efforts need to be rewarded and fostered.</w:t>
      </w:r>
    </w:p>
    <w:p w14:paraId="46F5EE8D" w14:textId="14652D98" w:rsidR="271C490F" w:rsidRPr="00CE2DA4" w:rsidRDefault="271C490F" w:rsidP="271C490F">
      <w:pPr>
        <w:rPr>
          <w:color w:val="000000"/>
          <w:lang w:val="en-US"/>
        </w:rPr>
      </w:pPr>
    </w:p>
    <w:p w14:paraId="6109B8AF" w14:textId="5FCF4567" w:rsidR="6EA3000E" w:rsidRPr="00CE2DA4" w:rsidRDefault="4D10ABF9" w:rsidP="3E01852A">
      <w:pPr>
        <w:rPr>
          <w:b/>
          <w:bCs/>
          <w:color w:val="000000"/>
          <w:lang w:val="en-US"/>
        </w:rPr>
      </w:pPr>
      <w:r w:rsidRPr="00CE2DA4">
        <w:rPr>
          <w:b/>
          <w:bCs/>
          <w:color w:val="000000"/>
          <w:lang w:val="en-US"/>
        </w:rPr>
        <w:t>4</w:t>
      </w:r>
      <w:r w:rsidR="5D6C83CB" w:rsidRPr="00CE2DA4">
        <w:rPr>
          <w:b/>
          <w:bCs/>
          <w:color w:val="000000"/>
          <w:lang w:val="en-US"/>
        </w:rPr>
        <w:t>. Discussion</w:t>
      </w:r>
    </w:p>
    <w:p w14:paraId="75590813" w14:textId="113362E3" w:rsidR="3C769EE3" w:rsidRPr="00CE2DA4" w:rsidRDefault="3007BA45" w:rsidP="00667E38">
      <w:pPr>
        <w:jc w:val="both"/>
        <w:rPr>
          <w:color w:val="000000"/>
          <w:lang w:val="en-US"/>
        </w:rPr>
      </w:pPr>
      <w:r w:rsidRPr="00CE2DA4">
        <w:rPr>
          <w:color w:val="000000"/>
          <w:lang w:val="en-US"/>
        </w:rPr>
        <w:t xml:space="preserve">The Roadmap </w:t>
      </w:r>
      <w:r w:rsidR="53E17651" w:rsidRPr="00CE2DA4">
        <w:rPr>
          <w:color w:val="000000"/>
          <w:lang w:val="en-US"/>
        </w:rPr>
        <w:t>is founded on the principle that</w:t>
      </w:r>
      <w:r w:rsidRPr="00CE2DA4">
        <w:rPr>
          <w:color w:val="000000"/>
          <w:lang w:val="en-US"/>
        </w:rPr>
        <w:t xml:space="preserve"> </w:t>
      </w:r>
      <w:r w:rsidR="3E4F365D" w:rsidRPr="00CE2DA4">
        <w:rPr>
          <w:color w:val="000000"/>
          <w:lang w:val="en-US"/>
        </w:rPr>
        <w:t xml:space="preserve">collaboration with intramural and extramural partners </w:t>
      </w:r>
      <w:r w:rsidR="0857E5AB" w:rsidRPr="00CE2DA4">
        <w:rPr>
          <w:color w:val="000000"/>
          <w:lang w:val="en-US"/>
        </w:rPr>
        <w:t>is</w:t>
      </w:r>
      <w:r w:rsidR="3E4F365D" w:rsidRPr="00CE2DA4">
        <w:rPr>
          <w:color w:val="000000"/>
          <w:lang w:val="en-US"/>
        </w:rPr>
        <w:t xml:space="preserve"> imperative to scientific production</w:t>
      </w:r>
      <w:r w:rsidR="47F8AE3F" w:rsidRPr="00CE2DA4">
        <w:rPr>
          <w:color w:val="000000"/>
          <w:lang w:val="en-US"/>
        </w:rPr>
        <w:t xml:space="preserve">, which is </w:t>
      </w:r>
      <w:r w:rsidR="00897EE7" w:rsidRPr="00CE2DA4">
        <w:rPr>
          <w:color w:val="000000"/>
          <w:lang w:val="en-US"/>
        </w:rPr>
        <w:t>corroborated</w:t>
      </w:r>
      <w:r w:rsidR="47F8AE3F" w:rsidRPr="00CE2DA4">
        <w:rPr>
          <w:color w:val="000000"/>
          <w:lang w:val="en-US"/>
        </w:rPr>
        <w:t xml:space="preserve"> by the findings from the bibliometric analysis</w:t>
      </w:r>
      <w:r w:rsidR="3E4F365D" w:rsidRPr="00CE2DA4">
        <w:rPr>
          <w:color w:val="000000"/>
          <w:lang w:val="en-US"/>
        </w:rPr>
        <w:t xml:space="preserve">. </w:t>
      </w:r>
      <w:r w:rsidR="6D70B929" w:rsidRPr="00CE2DA4">
        <w:rPr>
          <w:color w:val="000000"/>
          <w:lang w:val="en-US"/>
        </w:rPr>
        <w:t>SBDA action plans emphasi</w:t>
      </w:r>
      <w:r w:rsidR="4DF71BFB" w:rsidRPr="00CE2DA4">
        <w:rPr>
          <w:color w:val="000000"/>
          <w:lang w:val="en-US"/>
        </w:rPr>
        <w:t>ze</w:t>
      </w:r>
      <w:r w:rsidR="6D70B929" w:rsidRPr="00CE2DA4">
        <w:rPr>
          <w:color w:val="000000"/>
          <w:lang w:val="en-US"/>
        </w:rPr>
        <w:t xml:space="preserve"> guidance and tools to support OA decision making; however, these plans </w:t>
      </w:r>
      <w:r w:rsidR="1A36C341" w:rsidRPr="00CE2DA4">
        <w:rPr>
          <w:color w:val="000000"/>
          <w:lang w:val="en-US"/>
        </w:rPr>
        <w:t xml:space="preserve">fail to </w:t>
      </w:r>
      <w:r w:rsidR="1AEB7359" w:rsidRPr="00CE2DA4">
        <w:rPr>
          <w:color w:val="000000"/>
          <w:lang w:val="en-US"/>
        </w:rPr>
        <w:t>articula</w:t>
      </w:r>
      <w:r w:rsidR="73EE0266" w:rsidRPr="00CE2DA4">
        <w:rPr>
          <w:color w:val="000000"/>
          <w:lang w:val="en-US"/>
        </w:rPr>
        <w:t>te</w:t>
      </w:r>
      <w:r w:rsidR="1A36C341" w:rsidRPr="00CE2DA4">
        <w:rPr>
          <w:color w:val="000000"/>
          <w:lang w:val="en-US"/>
        </w:rPr>
        <w:t xml:space="preserve"> how </w:t>
      </w:r>
      <w:r w:rsidR="1966CF20" w:rsidRPr="00CE2DA4">
        <w:rPr>
          <w:color w:val="000000"/>
          <w:lang w:val="en-US"/>
        </w:rPr>
        <w:t xml:space="preserve">collaborative </w:t>
      </w:r>
      <w:r w:rsidR="1A36C341" w:rsidRPr="00CE2DA4">
        <w:rPr>
          <w:color w:val="000000"/>
          <w:lang w:val="en-US"/>
        </w:rPr>
        <w:t xml:space="preserve">outputs </w:t>
      </w:r>
      <w:r w:rsidR="5329C226" w:rsidRPr="00CE2DA4">
        <w:rPr>
          <w:color w:val="000000"/>
          <w:lang w:val="en-US"/>
        </w:rPr>
        <w:t xml:space="preserve">and shared decision making in publication venues </w:t>
      </w:r>
      <w:r w:rsidR="1A36C341" w:rsidRPr="00CE2DA4">
        <w:rPr>
          <w:color w:val="000000"/>
          <w:lang w:val="en-US"/>
        </w:rPr>
        <w:t>will be made open in keeping with the ambitions of the Roadmap.</w:t>
      </w:r>
      <w:r w:rsidR="3D36AF70" w:rsidRPr="00CE2DA4">
        <w:rPr>
          <w:color w:val="000000"/>
          <w:lang w:val="en-US"/>
        </w:rPr>
        <w:t xml:space="preserve"> </w:t>
      </w:r>
    </w:p>
    <w:p w14:paraId="1E4C0B95" w14:textId="40482E0F" w:rsidR="3C769EE3" w:rsidRPr="00CE2DA4" w:rsidRDefault="3C769EE3" w:rsidP="00667E38">
      <w:pPr>
        <w:jc w:val="both"/>
        <w:rPr>
          <w:color w:val="000000"/>
          <w:lang w:val="en-US"/>
        </w:rPr>
      </w:pPr>
    </w:p>
    <w:p w14:paraId="297ED4E1" w14:textId="14A56659" w:rsidR="3C769EE3" w:rsidRPr="00897EE7" w:rsidRDefault="26E9E09B" w:rsidP="00667E38">
      <w:pPr>
        <w:jc w:val="both"/>
        <w:rPr>
          <w:color w:val="000000"/>
          <w:lang w:val="da-DK"/>
        </w:rPr>
      </w:pPr>
      <w:r w:rsidRPr="00CE2DA4">
        <w:rPr>
          <w:color w:val="000000"/>
          <w:lang w:val="en-US"/>
        </w:rPr>
        <w:lastRenderedPageBreak/>
        <w:t xml:space="preserve">As reported through departmental consultations, the cost of APCs was identified as a barrier to engaging in OA. </w:t>
      </w:r>
      <w:r w:rsidR="1ECE4880" w:rsidRPr="00CE2DA4">
        <w:rPr>
          <w:color w:val="000000"/>
          <w:lang w:val="en-US"/>
        </w:rPr>
        <w:t>The b</w:t>
      </w:r>
      <w:r w:rsidRPr="00CE2DA4">
        <w:rPr>
          <w:color w:val="000000"/>
          <w:lang w:val="en-US"/>
        </w:rPr>
        <w:t>ibliometric data</w:t>
      </w:r>
      <w:r w:rsidR="5853C57F" w:rsidRPr="00CE2DA4">
        <w:rPr>
          <w:color w:val="000000"/>
          <w:lang w:val="en-US"/>
        </w:rPr>
        <w:t xml:space="preserve"> </w:t>
      </w:r>
      <w:r w:rsidR="77119B29" w:rsidRPr="00CE2DA4">
        <w:rPr>
          <w:color w:val="000000"/>
          <w:lang w:val="en-US"/>
        </w:rPr>
        <w:t>showed</w:t>
      </w:r>
      <w:r w:rsidR="5853C57F" w:rsidRPr="00CE2DA4">
        <w:rPr>
          <w:color w:val="000000"/>
          <w:lang w:val="en-US"/>
        </w:rPr>
        <w:t xml:space="preserve"> that federal researchers make their publications open </w:t>
      </w:r>
      <w:r w:rsidR="07C3EFB8" w:rsidRPr="00CE2DA4">
        <w:rPr>
          <w:color w:val="000000"/>
          <w:lang w:val="en-US"/>
        </w:rPr>
        <w:t xml:space="preserve">via Green OA. </w:t>
      </w:r>
      <w:r w:rsidR="4BC5DE36" w:rsidRPr="00CE2DA4">
        <w:rPr>
          <w:color w:val="000000"/>
          <w:lang w:val="en-US"/>
        </w:rPr>
        <w:t>S</w:t>
      </w:r>
      <w:r w:rsidR="745B81AF" w:rsidRPr="00CE2DA4">
        <w:rPr>
          <w:color w:val="000000"/>
          <w:lang w:val="en-US"/>
        </w:rPr>
        <w:t xml:space="preserve">everal SBDAs are piloting and deploying a new repository to support the </w:t>
      </w:r>
      <w:r w:rsidR="7605F60F" w:rsidRPr="00CE2DA4">
        <w:rPr>
          <w:color w:val="000000"/>
          <w:lang w:val="en-US"/>
        </w:rPr>
        <w:t>G</w:t>
      </w:r>
      <w:r w:rsidR="1A36C341" w:rsidRPr="00CE2DA4">
        <w:rPr>
          <w:color w:val="000000"/>
          <w:lang w:val="en-US"/>
        </w:rPr>
        <w:t xml:space="preserve">reen </w:t>
      </w:r>
      <w:r w:rsidR="5F1C5D1B" w:rsidRPr="00CE2DA4">
        <w:rPr>
          <w:color w:val="000000"/>
          <w:lang w:val="en-US"/>
        </w:rPr>
        <w:t>OA</w:t>
      </w:r>
      <w:r w:rsidR="1A36C341" w:rsidRPr="00CE2DA4">
        <w:rPr>
          <w:color w:val="000000"/>
          <w:lang w:val="en-US"/>
        </w:rPr>
        <w:t xml:space="preserve"> route </w:t>
      </w:r>
      <w:r w:rsidR="11CEA758" w:rsidRPr="00CE2DA4">
        <w:rPr>
          <w:color w:val="000000"/>
          <w:lang w:val="en-US"/>
        </w:rPr>
        <w:t>for federally authored papers.</w:t>
      </w:r>
      <w:r w:rsidR="3D36AF70" w:rsidRPr="00CE2DA4">
        <w:rPr>
          <w:color w:val="000000"/>
          <w:lang w:val="en-US"/>
        </w:rPr>
        <w:t xml:space="preserve"> </w:t>
      </w:r>
      <w:r w:rsidR="11CEA758" w:rsidRPr="00CE2DA4">
        <w:rPr>
          <w:color w:val="000000"/>
          <w:lang w:val="en-US"/>
        </w:rPr>
        <w:t xml:space="preserve">As the majority of academic institutions also </w:t>
      </w:r>
      <w:r w:rsidR="47D3C24C" w:rsidRPr="00CE2DA4">
        <w:rPr>
          <w:color w:val="000000"/>
          <w:lang w:val="en-US"/>
        </w:rPr>
        <w:t>hos</w:t>
      </w:r>
      <w:r w:rsidR="11CEA758" w:rsidRPr="00CE2DA4">
        <w:rPr>
          <w:color w:val="000000"/>
          <w:lang w:val="en-US"/>
        </w:rPr>
        <w:t xml:space="preserve">t institutional repositories, the creation of </w:t>
      </w:r>
      <w:r w:rsidR="26072D64" w:rsidRPr="00CE2DA4">
        <w:rPr>
          <w:color w:val="000000"/>
          <w:lang w:val="en-US"/>
        </w:rPr>
        <w:t>a federal repository creates another siloed infrastructure within</w:t>
      </w:r>
      <w:r w:rsidR="295F68BE" w:rsidRPr="00CE2DA4">
        <w:rPr>
          <w:color w:val="000000"/>
          <w:lang w:val="en-US"/>
        </w:rPr>
        <w:t xml:space="preserve"> </w:t>
      </w:r>
      <w:r w:rsidR="646F92E2" w:rsidRPr="00CE2DA4">
        <w:rPr>
          <w:color w:val="000000"/>
          <w:lang w:val="en-US"/>
        </w:rPr>
        <w:t xml:space="preserve">the </w:t>
      </w:r>
      <w:r w:rsidR="5275120E" w:rsidRPr="00CE2DA4">
        <w:rPr>
          <w:color w:val="000000"/>
          <w:lang w:val="en-US"/>
        </w:rPr>
        <w:t>Canadian research landscape.</w:t>
      </w:r>
      <w:r w:rsidR="3C46A578" w:rsidRPr="00CE2DA4">
        <w:rPr>
          <w:color w:val="000000"/>
          <w:lang w:val="en-US"/>
        </w:rPr>
        <w:t xml:space="preserve"> </w:t>
      </w:r>
      <w:r w:rsidR="5ACC303C" w:rsidRPr="00CE2DA4">
        <w:rPr>
          <w:color w:val="000000"/>
          <w:lang w:val="en-US"/>
        </w:rPr>
        <w:t xml:space="preserve">As advocated for in the development of a Canadian national PID strategy, the creation of an information-sharing solution to connect PID APIs, funder systems, and institutions, </w:t>
      </w:r>
      <w:r w:rsidR="7C3B1860" w:rsidRPr="00CE2DA4">
        <w:rPr>
          <w:color w:val="000000"/>
          <w:lang w:val="en-US"/>
        </w:rPr>
        <w:t>would</w:t>
      </w:r>
      <w:r w:rsidR="5ACC303C" w:rsidRPr="00CE2DA4">
        <w:rPr>
          <w:color w:val="000000"/>
          <w:lang w:val="en-US"/>
        </w:rPr>
        <w:t xml:space="preserve"> reduce the burde</w:t>
      </w:r>
      <w:r w:rsidR="06C18464" w:rsidRPr="00CE2DA4">
        <w:rPr>
          <w:color w:val="000000"/>
          <w:lang w:val="en-US"/>
        </w:rPr>
        <w:t>n of duplication, lower costs, promot</w:t>
      </w:r>
      <w:r w:rsidR="62AD0868" w:rsidRPr="00CE2DA4">
        <w:rPr>
          <w:color w:val="000000"/>
          <w:lang w:val="en-US"/>
        </w:rPr>
        <w:t>e</w:t>
      </w:r>
      <w:r w:rsidR="06C18464" w:rsidRPr="00CE2DA4">
        <w:rPr>
          <w:color w:val="000000"/>
          <w:lang w:val="en-US"/>
        </w:rPr>
        <w:t xml:space="preserve"> adoption of best practices, and ensure equitable access to </w:t>
      </w:r>
      <w:r w:rsidR="1AD98893" w:rsidRPr="00CE2DA4">
        <w:rPr>
          <w:color w:val="000000"/>
          <w:lang w:val="en-US"/>
        </w:rPr>
        <w:t xml:space="preserve">support </w:t>
      </w:r>
      <w:r w:rsidR="06C18464" w:rsidRPr="00CE2DA4">
        <w:rPr>
          <w:color w:val="000000"/>
          <w:lang w:val="en-US"/>
        </w:rPr>
        <w:t xml:space="preserve">services </w:t>
      </w:r>
      <w:r w:rsidR="00897EE7">
        <w:rPr>
          <w:color w:val="000000"/>
          <w:lang w:val="en-US"/>
        </w:rPr>
        <w:fldChar w:fldCharType="begin"/>
      </w:r>
      <w:r w:rsidR="00897EE7">
        <w:rPr>
          <w:color w:val="000000"/>
          <w:lang w:val="en-US"/>
        </w:rPr>
        <w:instrText xml:space="preserve"> ADDIN ZOTERO_ITEM CSL_CITATION {"citationID":"REmmSMNA","properties":{"formattedCitation":"(Brown et al., 2022)","plainCitation":"(Brown et al., 2022)","noteIndex":0},"citationItems":[{"id":4243,"uris":["http://zotero.org/users/6331029/items/J8IRQMEH"],"itemData":{"id":4243,"type":"report","abstract":"In 2021, on behalf of the Canadian Persistent Identifier Advisory Committee (CPIDAC), the Canadian Research Knowledge Network (CRKN) in partnership with the Digital Research Alliance of Canada consulted with MoreBrains Cooperative, international experts in PIDs and PID Strategy development, to assess the situation of PIDs in Canada and to provide a snapshot of our starting point as we embark on developing a national strategy. MoreBrains outlined a foundation-laying approach and identified information gaps to fill before a complete PID strategy could be laid out. Participants included university leadership, researchers, professional associations, federal and provincial funders, technical experts, and more. *************************** En 2021, au nom du Comité consultatif canadien sur les identifiants pérennes (CCCPID), le Réseau canadien de documentation pour la recherche (RCDR) en partenariat avec l’Alliance de recherche numérique du Canada a fait appel à MoreBrains Cooperative, des spécialistes internationaux en matière de PID et d’élaboration de stratégies sur les PID, afin d’évaluer la situation des PID au Canada et de donner un aperçu de notre point de départ, au moment d’entreprendre la création d’une stratégie nationale. MoreBrains a défini une approche visant à établir des fondations et a relevé les lacunes en matière d’information à combler avant de pouvoir élaborer une stratégie complète sur les PID. Au nombre des participants figuraient des dirigeants d’universités, des chercheurs, des associations professionnelles, des bailleurs de fonds fédéraux et provinciaux, des experts techniques, etc.","language":"eng","note":"DOI: 10.5281/zenodo.7217469","publisher":"Zenodo","source":"Zenodo","title":"Towards a national PID strategy for Canada - Vers une stratégie nationale sur les PID pour le Canada","URL":"https://zenodo.org/record/7217469","author":[{"family":"Brown","given":"Josh"},{"family":"Jones","given":"Phil"},{"family":"Meadows","given":"Alice"},{"family":"Murphy","given":"Fiona"}],"accessed":{"date-parts":[["2023",4,11]]},"issued":{"date-parts":[["2022",10,17]]}}}],"schema":"https://github.com/citation-style-language/schema/raw/master/csl-citation.json"} </w:instrText>
      </w:r>
      <w:r w:rsidR="00897EE7">
        <w:rPr>
          <w:color w:val="000000"/>
          <w:lang w:val="en-US"/>
        </w:rPr>
        <w:fldChar w:fldCharType="separate"/>
      </w:r>
      <w:r w:rsidR="00897EE7" w:rsidRPr="00897EE7">
        <w:t>(Brown et al., 2022)</w:t>
      </w:r>
      <w:r w:rsidR="00897EE7">
        <w:rPr>
          <w:color w:val="000000"/>
          <w:lang w:val="en-US"/>
        </w:rPr>
        <w:fldChar w:fldCharType="end"/>
      </w:r>
      <w:r w:rsidR="27AA6707" w:rsidRPr="00CE2DA4">
        <w:rPr>
          <w:color w:val="000000"/>
          <w:lang w:val="en-US"/>
        </w:rPr>
        <w:t xml:space="preserve">. </w:t>
      </w:r>
      <w:r w:rsidR="1ECF5629" w:rsidRPr="00CE2DA4">
        <w:rPr>
          <w:color w:val="000000"/>
          <w:lang w:val="en-US"/>
        </w:rPr>
        <w:t xml:space="preserve">Several countries are developing national research evaluation systems founded on interoperable infrastructure capable of leveraging existing metadata solutions </w:t>
      </w:r>
      <w:r w:rsidR="00897EE7">
        <w:rPr>
          <w:color w:val="000000"/>
          <w:lang w:val="en-US"/>
        </w:rPr>
        <w:fldChar w:fldCharType="begin"/>
      </w:r>
      <w:r w:rsidR="00897EE7">
        <w:rPr>
          <w:color w:val="000000"/>
          <w:lang w:val="en-US"/>
        </w:rPr>
        <w:instrText xml:space="preserve"> ADDIN ZOTERO_ITEM CSL_CITATION {"citationID":"mWresJSG","properties":{"formattedCitation":"(Bracco et al., 2022; Moreira et al., 2022)","plainCitation":"(Bracco et al., 2022; Moreira et al., 2022)","noteIndex":0},"citationItems":[{"id":3897,"uris":["http://zotero.org/users/6331029/items/5VGE2FXK"],"itemData":{"id":3897,"type":"document","abstract":"We present a new Open Science Monitor framework at the country level for the case of France. We propose a fine-grained monitoring of the dynamics of the open access to publications, based on historical data from Unpaywall, and thus limited to Crossref-DOI documents. The economic models of journals publishing French publications are analyéed as well as the open access dynamics by discipline and open access route (publishers and repositories). The French Open Science Monitor (BSO) website: https://frenchopensciencemonitor.esr.gouv.fr presents the results to date (last observation date December 2021). 62% of the 170,000 French 2020 publications are available in December 2021. This rate has increased by 10 points in one year. The level of open access varies significantly from one discipline to another. Some disciplines, such as the physical sciences and mathematics, have long been committed to opening up their publications, while others, such as chemistry, are rapidly catching up. In the context of the COVID-19 pandemic crisis and the urgent need to open up scholarly outputs in the health field, a specific version of the French Open Science Monitor has been built: https://frenchopensciencemonitor.esr.gouv.fr/health. It monitors the open access dynamics of French publications in the biomedical field. It also analyses the transparency of the results of clinical trials and observational studies conducted in France. Only 57% of clinical trials completed in the last 10 years have shared their results publicly. In contrast to other Open Science Monitoring initiatives, the source code and the data of the French Open Science Monitor are shared with an open licence. The source code used for the French Open Science Monitor is available on GitHub, and shared with an open licence. The code is split in modules, in particular for indicators computations https://github.com/dataesr/bso-publications and https://github.com/dataesr/bso-clinical-trials and the web user interface https://github.com/dataesr/bso-ui. The data resulting of this work is shared on the French Ministry of Higher Education, Research and Innovation open data portal: https://data.enseignementsup-recherche.gouv.fr/explore/dataset/open-access-monitor-france/information/ and https://data.enseignementsup-recherche.gouv.fr/explore/dataset/barometre-sante-de-la-science-ouverte/information/. The originality of the French Open Science Monitor also lies in the fact that it can easily be adapted to the level of an higher education and research institution. To date, some twenty higher education and research institutions have already used it to obtain reliable and open indicators on the progress of open science in their scientific production.","language":"en","source":"hal.science","title":"Extending the open monitoring of open science","URL":"https://hal.science/hal-03651518","author":[{"family":"Bracco","given":"Laetitia"},{"family":"L'Hôte","given":"Anne"},{"family":"Jeangirard","given":"Eric"},{"family":"Torny","given":"Didier"}],"accessed":{"date-parts":[["2023",1,23]]},"issued":{"date-parts":[["2022",4,25]]}},"label":"page"},{"id":3984,"uris":["http://zotero.org/users/6331029/items/JQ6KX47Q"],"itemData":{"id":3984,"type":"paper-conference","abstract":"The Portuguese Foundation for Science and Technology (FCT) has endorsed Plan-S since early 2021 and it is working towards implementing its obligations. To ensure an effective fulfillment of its open science policies, FCT is implementing a new monitoring and compliance tool, that will enforce the compliance with Plan-S as well as the new FCT's open access (OA) policy. This paper details FCT's approach to implement this tool and discusses the challenges of integrating information that is spread across multiple systems. The new tool will be built on top of infrastructures and services developed by FCT over the last years under the umbrella of the Portuguese Current Research Information System (PTCRIS) program. This tool comprises an operational component, integrated with the grant management system, and an analytical component, based on a Data Warehouse and Business Intelligence (DW/BI) system. The DW/BI system for the ecosystem of Science and Technology in Portugal will be developed using Kimball's Dimensional DW architecture, which advocates the incremental design and development of dimensional data marts linked by conforming dimensions. In this approach, data marts contain atomic and summarized data, corresponding to the development of el</w:instrText>
      </w:r>
      <w:r w:rsidR="00897EE7" w:rsidRPr="00897EE7">
        <w:rPr>
          <w:color w:val="000000"/>
          <w:lang w:val="da-DK"/>
        </w:rPr>
        <w:instrText xml:space="preserve">ementary and derived dimensional models. Three data marts will be developed for the subject areas of funding, scientific results and for monitoring and compliance. The last data mart will calculate the compliance indicators for Plan-S as well as for FCT's OA policy. The operational component of the new tool then receives, from the analytical component, the list of scientific results per funding registry along with data regarding compliance. A list of non-compliances for each scientific result will be the basis of a notification module that will inform the principal investigator (PI) and the FCT compliance officer. © 2022 Foundation for Science and Technology.","DOI":"10.1016/j.procs.2022.10.187","event-title":"Procedia Computer Science","note":"issue: C","page":"151-161","title":"Development of Plan S monitoring and compliance tool in the context of PTCRIS for Portuguese National Science Foundation","URL":"https://www.scopus.com/inward/record.uri?eid=2-s2.0-85145207625&amp;doi=10.1016%2fj.procs.2022.10.187&amp;partnerID=40&amp;md5=fe86a588387c8e49b4c56162cb68c536","volume":"211","author":[{"family":"Moreira","given":"J.M."},{"family":"Pardelha","given":"F."},{"family":"Laranjeira","given":"C."},{"family":"Pereira","given":"F."},{"family":"Novais","given":"J."},{"family":"Lopes","given":"P."},{"family":"Antunes","given":"A."},{"family":"Cardoso","given":"E."}],"issued":{"date-parts":[["2022"]]}}}],"schema":"https://github.com/citation-style-language/schema/raw/master/csl-citation.json"} </w:instrText>
      </w:r>
      <w:r w:rsidR="00897EE7">
        <w:rPr>
          <w:color w:val="000000"/>
          <w:lang w:val="en-US"/>
        </w:rPr>
        <w:fldChar w:fldCharType="separate"/>
      </w:r>
      <w:r w:rsidR="00897EE7" w:rsidRPr="00897EE7">
        <w:rPr>
          <w:lang w:val="da-DK"/>
        </w:rPr>
        <w:t>(Bracco et al., 2022; Moreira et al., 2022)</w:t>
      </w:r>
      <w:r w:rsidR="00897EE7">
        <w:rPr>
          <w:color w:val="000000"/>
          <w:lang w:val="en-US"/>
        </w:rPr>
        <w:fldChar w:fldCharType="end"/>
      </w:r>
      <w:r w:rsidR="4A8C3D22" w:rsidRPr="00897EE7">
        <w:rPr>
          <w:color w:val="000000"/>
          <w:lang w:val="da-DK"/>
        </w:rPr>
        <w:t xml:space="preserve">. </w:t>
      </w:r>
    </w:p>
    <w:p w14:paraId="1131642D" w14:textId="46F69F5A" w:rsidR="47ABD303" w:rsidRPr="00897EE7" w:rsidRDefault="47ABD303" w:rsidP="00667E38">
      <w:pPr>
        <w:spacing w:line="259" w:lineRule="auto"/>
        <w:jc w:val="both"/>
        <w:rPr>
          <w:color w:val="000000"/>
          <w:lang w:val="da-DK"/>
        </w:rPr>
      </w:pPr>
    </w:p>
    <w:p w14:paraId="69BC01DB" w14:textId="28C9692C" w:rsidR="47ABD303" w:rsidRPr="00CE2DA4" w:rsidRDefault="12DB571B" w:rsidP="137A8F97">
      <w:pPr>
        <w:spacing w:line="259" w:lineRule="auto"/>
        <w:jc w:val="both"/>
        <w:rPr>
          <w:color w:val="000000"/>
          <w:lang w:val="en-US"/>
        </w:rPr>
      </w:pPr>
      <w:r w:rsidRPr="00CE2DA4">
        <w:rPr>
          <w:color w:val="000000"/>
          <w:lang w:val="en-US"/>
        </w:rPr>
        <w:t>T</w:t>
      </w:r>
      <w:r w:rsidR="47ABD303" w:rsidRPr="00CE2DA4">
        <w:rPr>
          <w:color w:val="000000"/>
          <w:lang w:val="en-US"/>
        </w:rPr>
        <w:t>he Roadmap itself calls upon SBDAs to "develop strategies and tools to implement FAIR data principles to ensure interoperability of scientific and research data</w:t>
      </w:r>
      <w:r w:rsidR="68A8AB1C" w:rsidRPr="00CE2DA4">
        <w:rPr>
          <w:color w:val="000000"/>
          <w:lang w:val="en-US"/>
        </w:rPr>
        <w:t>”</w:t>
      </w:r>
      <w:r w:rsidR="47ABD303" w:rsidRPr="00CE2DA4">
        <w:rPr>
          <w:color w:val="000000"/>
          <w:lang w:val="en-US"/>
        </w:rPr>
        <w:t xml:space="preserve"> (</w:t>
      </w:r>
      <w:r w:rsidR="7CE40955" w:rsidRPr="00CE2DA4">
        <w:rPr>
          <w:color w:val="000000"/>
          <w:lang w:val="en-US"/>
        </w:rPr>
        <w:t xml:space="preserve">p.8, </w:t>
      </w:r>
      <w:r w:rsidR="29395C96" w:rsidRPr="00CE2DA4">
        <w:rPr>
          <w:color w:val="000000"/>
          <w:lang w:val="en-US"/>
        </w:rPr>
        <w:t>2021</w:t>
      </w:r>
      <w:r w:rsidR="47ABD303" w:rsidRPr="00CE2DA4">
        <w:rPr>
          <w:color w:val="000000"/>
          <w:lang w:val="en-US"/>
        </w:rPr>
        <w:t xml:space="preserve">). </w:t>
      </w:r>
      <w:r w:rsidR="64FFEA52" w:rsidRPr="00CE2DA4">
        <w:rPr>
          <w:color w:val="000000"/>
          <w:lang w:val="en-US"/>
        </w:rPr>
        <w:t xml:space="preserve"> </w:t>
      </w:r>
      <w:r w:rsidR="3C46A578" w:rsidRPr="00CE2DA4">
        <w:rPr>
          <w:color w:val="000000"/>
          <w:lang w:val="en-US"/>
        </w:rPr>
        <w:t xml:space="preserve"> </w:t>
      </w:r>
      <w:r w:rsidR="65D9370D" w:rsidRPr="00CE2DA4">
        <w:rPr>
          <w:color w:val="000000"/>
          <w:lang w:val="en-US"/>
        </w:rPr>
        <w:t>It</w:t>
      </w:r>
      <w:r w:rsidR="64FFEA52" w:rsidRPr="00CE2DA4">
        <w:rPr>
          <w:color w:val="000000"/>
          <w:lang w:val="en-US"/>
        </w:rPr>
        <w:t xml:space="preserve"> is particularly important, as seen via publications, </w:t>
      </w:r>
      <w:r w:rsidR="6C3FCD71" w:rsidRPr="00CE2DA4">
        <w:rPr>
          <w:color w:val="000000"/>
          <w:lang w:val="en-US"/>
        </w:rPr>
        <w:t xml:space="preserve">that </w:t>
      </w:r>
      <w:r w:rsidR="64FFEA52" w:rsidRPr="00CE2DA4">
        <w:rPr>
          <w:color w:val="000000"/>
          <w:lang w:val="en-US"/>
        </w:rPr>
        <w:t xml:space="preserve">SBDA collaborative relationships may influence the extent to which data is made open.  </w:t>
      </w:r>
      <w:r w:rsidR="4AB8F34F" w:rsidRPr="00CE2DA4">
        <w:rPr>
          <w:color w:val="000000"/>
          <w:lang w:val="en-US"/>
        </w:rPr>
        <w:t>Ch</w:t>
      </w:r>
      <w:r w:rsidR="4F7EC72B" w:rsidRPr="00CE2DA4">
        <w:rPr>
          <w:color w:val="000000"/>
          <w:lang w:val="en-US"/>
        </w:rPr>
        <w:t>al</w:t>
      </w:r>
      <w:r w:rsidR="4AB8F34F" w:rsidRPr="00CE2DA4">
        <w:rPr>
          <w:color w:val="000000"/>
          <w:lang w:val="en-US"/>
        </w:rPr>
        <w:t>lenges around data ownership, intellectual property, licensing and data use agreements need to be explored</w:t>
      </w:r>
      <w:r w:rsidR="1A880383" w:rsidRPr="00CE2DA4">
        <w:rPr>
          <w:color w:val="000000"/>
          <w:lang w:val="en-US"/>
        </w:rPr>
        <w:t>, and many of the plans failed to surface these particular constraints in their action</w:t>
      </w:r>
      <w:r w:rsidR="004A329C">
        <w:rPr>
          <w:color w:val="000000"/>
          <w:lang w:val="en-US"/>
        </w:rPr>
        <w:t xml:space="preserve"> plans</w:t>
      </w:r>
      <w:r w:rsidR="4AB8F34F" w:rsidRPr="00CE2DA4">
        <w:rPr>
          <w:color w:val="000000"/>
          <w:lang w:val="en-US"/>
        </w:rPr>
        <w:t>.</w:t>
      </w:r>
      <w:r w:rsidR="004A329C">
        <w:rPr>
          <w:color w:val="000000"/>
          <w:lang w:val="en-US"/>
        </w:rPr>
        <w:t xml:space="preserve"> </w:t>
      </w:r>
      <w:r w:rsidR="47ABD303" w:rsidRPr="00CE2DA4">
        <w:rPr>
          <w:color w:val="000000"/>
          <w:lang w:val="en-US"/>
        </w:rPr>
        <w:t>Shared understandings</w:t>
      </w:r>
      <w:r w:rsidR="478CC4AA" w:rsidRPr="00CE2DA4">
        <w:rPr>
          <w:color w:val="000000"/>
          <w:lang w:val="en-US"/>
        </w:rPr>
        <w:t xml:space="preserve"> </w:t>
      </w:r>
      <w:r w:rsidR="5BE31E51" w:rsidRPr="00CE2DA4">
        <w:rPr>
          <w:color w:val="000000"/>
          <w:lang w:val="en-US"/>
        </w:rPr>
        <w:t xml:space="preserve">of what data should be prioritized to be made ‘FAIR’ </w:t>
      </w:r>
      <w:r w:rsidR="47ABD303" w:rsidRPr="00CE2DA4">
        <w:rPr>
          <w:color w:val="000000"/>
          <w:lang w:val="en-US"/>
        </w:rPr>
        <w:t xml:space="preserve">are more likely to </w:t>
      </w:r>
      <w:r w:rsidR="1019897E" w:rsidRPr="00CE2DA4">
        <w:rPr>
          <w:color w:val="000000"/>
          <w:lang w:val="en-US"/>
        </w:rPr>
        <w:t>be</w:t>
      </w:r>
      <w:r w:rsidR="47ABD303" w:rsidRPr="00CE2DA4">
        <w:rPr>
          <w:color w:val="000000"/>
          <w:lang w:val="en-US"/>
        </w:rPr>
        <w:t xml:space="preserve"> implement</w:t>
      </w:r>
      <w:r w:rsidR="6C9D01CE" w:rsidRPr="00CE2DA4">
        <w:rPr>
          <w:color w:val="000000"/>
          <w:lang w:val="en-US"/>
        </w:rPr>
        <w:t>ed</w:t>
      </w:r>
      <w:r w:rsidR="47ABD303" w:rsidRPr="00CE2DA4">
        <w:rPr>
          <w:color w:val="000000"/>
          <w:lang w:val="en-US"/>
        </w:rPr>
        <w:t xml:space="preserve"> within and between departments, at national and international levels, and to foster a culture change towards more open practices.</w:t>
      </w:r>
      <w:r w:rsidR="3D36AF70" w:rsidRPr="00CE2DA4">
        <w:rPr>
          <w:color w:val="000000"/>
          <w:lang w:val="en-US"/>
        </w:rPr>
        <w:t xml:space="preserve"> </w:t>
      </w:r>
      <w:r w:rsidR="47ABD303" w:rsidRPr="00CE2DA4">
        <w:rPr>
          <w:color w:val="000000"/>
          <w:lang w:val="en-US"/>
        </w:rPr>
        <w:t xml:space="preserve">As PHAC addressed in its action plan “federal interoperability of scientific and research data will depend on adopting a common understanding of data definitions across governmental departments </w:t>
      </w:r>
      <w:r w:rsidR="00897EE7">
        <w:rPr>
          <w:color w:val="000000"/>
          <w:lang w:val="en-US"/>
        </w:rPr>
        <w:fldChar w:fldCharType="begin"/>
      </w:r>
      <w:r w:rsidR="00897EE7">
        <w:rPr>
          <w:color w:val="000000"/>
          <w:lang w:val="en-US"/>
        </w:rPr>
        <w:instrText xml:space="preserve"> ADDIN ZOTERO_ITEM CSL_CITATION {"citationID":"3D3DhDBe","properties":{"formattedCitation":"(Agriculture and Agri-Food Canada, 2021)","plainCitation":"(Agriculture and Agri-Food Canada, 2021)","noteIndex":0},"citationItems":[{"id":1857,"uris":["http://zotero.org/users/6331029/items/A4BJWAYX"],"itemData":{"id":1857,"type":"document","abstract":"Providing greater public access to federal science is crucial to help Canadians understand the importance of our research and fulfill the Government of Canada's commitment to a more open government. To guide the department towards increased access to our science and research activities, we are pleased to share Agriculture and Agri-Food Canada's (AAFC) Open Science Action Plan.","title":"Agriculture and Agri-Food Canada’s Open Science Action Plan 2021-2022 to 2025-2026 – Enable and Equip","title-short":"AAFC Open Science Action Plan","URL":"https://agriculture.canada.ca/en/about-our-department/agriculture-and-agri-food-canadas-open-science-action-plan-2021-2022-2025-2026-enable-and-equip","author":[{"family":"Agriculture and Agri-Food Canada","given":""}],"issued":{"date-parts":[["2021"]]}}}],"schema":"https://github.com/citation-style-language/schema/raw/master/csl-citation.json"} </w:instrText>
      </w:r>
      <w:r w:rsidR="00897EE7">
        <w:rPr>
          <w:color w:val="000000"/>
          <w:lang w:val="en-US"/>
        </w:rPr>
        <w:fldChar w:fldCharType="separate"/>
      </w:r>
      <w:r w:rsidR="00897EE7" w:rsidRPr="00897EE7">
        <w:t>(</w:t>
      </w:r>
      <w:r w:rsidR="00897EE7">
        <w:t xml:space="preserve">p.9, </w:t>
      </w:r>
      <w:r w:rsidR="00897EE7" w:rsidRPr="00897EE7">
        <w:t>2021)</w:t>
      </w:r>
      <w:r w:rsidR="00897EE7">
        <w:rPr>
          <w:color w:val="000000"/>
          <w:lang w:val="en-US"/>
        </w:rPr>
        <w:fldChar w:fldCharType="end"/>
      </w:r>
      <w:r w:rsidR="00897EE7">
        <w:rPr>
          <w:color w:val="000000"/>
          <w:lang w:val="en-US"/>
        </w:rPr>
        <w:t>”</w:t>
      </w:r>
      <w:r w:rsidR="47ABD303" w:rsidRPr="00CE2DA4">
        <w:rPr>
          <w:color w:val="000000"/>
          <w:lang w:val="en-US"/>
        </w:rPr>
        <w:t>.</w:t>
      </w:r>
      <w:r w:rsidR="78AD64BA" w:rsidRPr="00CE2DA4">
        <w:rPr>
          <w:color w:val="000000"/>
          <w:lang w:val="en-US"/>
        </w:rPr>
        <w:t xml:space="preserve"> </w:t>
      </w:r>
    </w:p>
    <w:p w14:paraId="6EDD7A10" w14:textId="00FB7C43" w:rsidR="11F5B2F3" w:rsidRPr="00CE2DA4" w:rsidRDefault="11F5B2F3" w:rsidP="00667E38">
      <w:pPr>
        <w:spacing w:line="259" w:lineRule="auto"/>
        <w:jc w:val="both"/>
        <w:rPr>
          <w:color w:val="000000"/>
          <w:lang w:val="en-US"/>
        </w:rPr>
      </w:pPr>
    </w:p>
    <w:p w14:paraId="1A4048F5" w14:textId="2ED4187C" w:rsidR="105B9171" w:rsidRDefault="7CD3C236" w:rsidP="00667E38">
      <w:pPr>
        <w:jc w:val="both"/>
      </w:pPr>
      <w:r w:rsidRPr="137A8F97">
        <w:rPr>
          <w:color w:val="444444"/>
          <w:lang w:val="en-US"/>
        </w:rPr>
        <w:t>While the priority areas for the Roadmap have been discussed separately, they are inheritably interconnected.</w:t>
      </w:r>
      <w:r w:rsidR="3D36AF70" w:rsidRPr="137A8F97">
        <w:rPr>
          <w:color w:val="444444"/>
          <w:lang w:val="en-US"/>
        </w:rPr>
        <w:t xml:space="preserve"> </w:t>
      </w:r>
      <w:r w:rsidR="2B3145EC" w:rsidRPr="137A8F97">
        <w:rPr>
          <w:color w:val="444444"/>
          <w:lang w:val="en-US"/>
        </w:rPr>
        <w:t>OA</w:t>
      </w:r>
      <w:r w:rsidRPr="137A8F97">
        <w:rPr>
          <w:color w:val="444444"/>
          <w:lang w:val="en-US"/>
        </w:rPr>
        <w:t xml:space="preserve"> to federal scientific articles and FAIR</w:t>
      </w:r>
      <w:r w:rsidR="09E64272" w:rsidRPr="137A8F97">
        <w:rPr>
          <w:color w:val="444444"/>
          <w:lang w:val="en-US"/>
        </w:rPr>
        <w:t xml:space="preserve"> </w:t>
      </w:r>
      <w:r w:rsidRPr="137A8F97">
        <w:rPr>
          <w:color w:val="444444"/>
          <w:lang w:val="en-US"/>
        </w:rPr>
        <w:t xml:space="preserve">data can only be adopted as an intrinsic part of the research lifecycle if they receive the appropriate recognition. At the same time, research assessment systems that are transparent can support the advancement of an </w:t>
      </w:r>
      <w:r w:rsidR="6F6BFC16" w:rsidRPr="137A8F97">
        <w:rPr>
          <w:color w:val="444444"/>
          <w:lang w:val="en-US"/>
        </w:rPr>
        <w:t>OS</w:t>
      </w:r>
      <w:r w:rsidRPr="137A8F97">
        <w:rPr>
          <w:color w:val="444444"/>
          <w:lang w:val="en-US"/>
        </w:rPr>
        <w:t xml:space="preserve"> agenda. </w:t>
      </w:r>
      <w:r w:rsidR="1311C70E" w:rsidRPr="137A8F97">
        <w:rPr>
          <w:color w:val="444444"/>
          <w:lang w:val="en-US"/>
        </w:rPr>
        <w:t xml:space="preserve">Research evaluation criteria and metrics need to be reviewed in parallel with evolving trends and new policy initiatives to ensure open science efforts are recognized and fostered. </w:t>
      </w:r>
      <w:r w:rsidR="19785D72" w:rsidRPr="137A8F97">
        <w:rPr>
          <w:color w:val="444444"/>
          <w:lang w:val="en-US"/>
        </w:rPr>
        <w:t>The Career Progression Management Framework for Federal Researchers</w:t>
      </w:r>
      <w:r w:rsidR="4802BDB2" w:rsidRPr="137A8F97">
        <w:rPr>
          <w:color w:val="444444"/>
          <w:lang w:val="en-US"/>
        </w:rPr>
        <w:t>, referenced in a couple plans</w:t>
      </w:r>
      <w:r w:rsidR="19785D72" w:rsidRPr="137A8F97">
        <w:rPr>
          <w:color w:val="444444"/>
          <w:lang w:val="en-US"/>
        </w:rPr>
        <w:t xml:space="preserve">, </w:t>
      </w:r>
      <w:r w:rsidR="73F811D9" w:rsidRPr="137A8F97">
        <w:rPr>
          <w:color w:val="444444"/>
          <w:lang w:val="en-US"/>
        </w:rPr>
        <w:t xml:space="preserve">is </w:t>
      </w:r>
      <w:r w:rsidR="19785D72" w:rsidRPr="137A8F97">
        <w:rPr>
          <w:color w:val="444444"/>
          <w:lang w:val="en-US"/>
        </w:rPr>
        <w:t>an internal document to the Gov</w:t>
      </w:r>
      <w:r w:rsidR="31091ED8" w:rsidRPr="137A8F97">
        <w:rPr>
          <w:color w:val="444444"/>
          <w:lang w:val="en-US"/>
        </w:rPr>
        <w:t>ernment of Canada</w:t>
      </w:r>
      <w:r w:rsidR="467D4724" w:rsidRPr="137A8F97">
        <w:rPr>
          <w:color w:val="444444"/>
          <w:lang w:val="en-US"/>
        </w:rPr>
        <w:t xml:space="preserve"> that</w:t>
      </w:r>
      <w:r w:rsidR="31091ED8" w:rsidRPr="137A8F97">
        <w:rPr>
          <w:color w:val="444444"/>
          <w:lang w:val="en-US"/>
        </w:rPr>
        <w:t xml:space="preserve"> provides guidance for career advancement for federal scientist</w:t>
      </w:r>
      <w:r w:rsidR="203F8366" w:rsidRPr="137A8F97">
        <w:rPr>
          <w:color w:val="444444"/>
          <w:lang w:val="en-US"/>
        </w:rPr>
        <w:t xml:space="preserve"> </w:t>
      </w:r>
      <w:r w:rsidR="00E8263E">
        <w:rPr>
          <w:color w:val="444444"/>
          <w:lang w:val="en-US"/>
        </w:rPr>
        <w:fldChar w:fldCharType="begin"/>
      </w:r>
      <w:r w:rsidR="00E8263E">
        <w:rPr>
          <w:color w:val="444444"/>
          <w:lang w:val="en-US"/>
        </w:rPr>
        <w:instrText xml:space="preserve"> ADDIN ZOTERO_ITEM CSL_CITATION {"citationID":"jDpwjXse","properties":{"formattedCitation":"(Research Community Advisory Committee, 2006)","plainCitation":"(Research Community Advisory Committee, 2006)","noteIndex":0},"citationItems":[{"id":4301,"uris":["http://zotero.org/users/6331029/items/B376G5XK"],"itemData":{"id":4301,"type":"document","title":"Career Progression Management Framework for Federal Researchers. Application for the SE-RES Community.","author":[{"family":"Research Community Advisory Committee","given":""}],"issued":{"date-parts":[["2006",2]]}}}],"schema":"https://github.com/citation-style-language/schema/raw/master/csl-citation.json"} </w:instrText>
      </w:r>
      <w:r w:rsidR="00E8263E">
        <w:rPr>
          <w:color w:val="444444"/>
          <w:lang w:val="en-US"/>
        </w:rPr>
        <w:fldChar w:fldCharType="separate"/>
      </w:r>
      <w:r w:rsidR="00E8263E" w:rsidRPr="00E8263E">
        <w:t>(2006)</w:t>
      </w:r>
      <w:r w:rsidR="00E8263E">
        <w:rPr>
          <w:color w:val="444444"/>
          <w:lang w:val="en-US"/>
        </w:rPr>
        <w:fldChar w:fldCharType="end"/>
      </w:r>
      <w:r w:rsidR="31091ED8" w:rsidRPr="137A8F97">
        <w:rPr>
          <w:color w:val="444444"/>
          <w:lang w:val="en-US"/>
        </w:rPr>
        <w:t xml:space="preserve">. The Framework </w:t>
      </w:r>
      <w:r w:rsidR="105B9171" w:rsidRPr="137A8F97">
        <w:rPr>
          <w:color w:val="444444"/>
          <w:lang w:val="en-US"/>
        </w:rPr>
        <w:t>requires SBDAs to track research outputs and the</w:t>
      </w:r>
      <w:r w:rsidR="34503F57" w:rsidRPr="137A8F97">
        <w:rPr>
          <w:color w:val="444444"/>
          <w:lang w:val="en-US"/>
        </w:rPr>
        <w:t>ir</w:t>
      </w:r>
      <w:r w:rsidR="105B9171" w:rsidRPr="137A8F97">
        <w:rPr>
          <w:color w:val="444444"/>
          <w:lang w:val="en-US"/>
        </w:rPr>
        <w:t xml:space="preserve"> impacts.</w:t>
      </w:r>
      <w:r w:rsidR="3B9D0D26" w:rsidRPr="137A8F97">
        <w:rPr>
          <w:color w:val="444444"/>
          <w:lang w:val="en-US"/>
        </w:rPr>
        <w:t xml:space="preserve"> </w:t>
      </w:r>
      <w:r w:rsidR="1E0D7FEB" w:rsidRPr="137A8F97">
        <w:rPr>
          <w:color w:val="444444"/>
          <w:lang w:val="en-US"/>
        </w:rPr>
        <w:t xml:space="preserve">For government </w:t>
      </w:r>
      <w:r w:rsidR="33AF4C28" w:rsidRPr="137A8F97">
        <w:rPr>
          <w:color w:val="444444"/>
          <w:lang w:val="en-US"/>
        </w:rPr>
        <w:t>scientists</w:t>
      </w:r>
      <w:r w:rsidR="1E0D7FEB" w:rsidRPr="137A8F97">
        <w:rPr>
          <w:color w:val="444444"/>
          <w:lang w:val="en-US"/>
        </w:rPr>
        <w:t xml:space="preserve">, how </w:t>
      </w:r>
      <w:r w:rsidR="4A956BFF" w:rsidRPr="137A8F97">
        <w:rPr>
          <w:color w:val="444444"/>
          <w:lang w:val="en-US"/>
        </w:rPr>
        <w:t xml:space="preserve">their </w:t>
      </w:r>
      <w:r w:rsidR="1E0D7FEB" w:rsidRPr="137A8F97">
        <w:rPr>
          <w:color w:val="444444"/>
          <w:lang w:val="en-US"/>
        </w:rPr>
        <w:t xml:space="preserve">department </w:t>
      </w:r>
      <w:r w:rsidR="035BA067" w:rsidRPr="137A8F97">
        <w:rPr>
          <w:color w:val="444444"/>
          <w:lang w:val="en-US"/>
        </w:rPr>
        <w:t>interprets</w:t>
      </w:r>
      <w:r w:rsidR="1E0D7FEB" w:rsidRPr="137A8F97">
        <w:rPr>
          <w:color w:val="444444"/>
          <w:lang w:val="en-US"/>
        </w:rPr>
        <w:t xml:space="preserve"> the Framework will greatly influence what researchers see as important and where they may invest their efforts, such as enacting FAIR data principles.</w:t>
      </w:r>
      <w:r w:rsidR="3D36AF70" w:rsidRPr="137A8F97">
        <w:rPr>
          <w:color w:val="444444"/>
          <w:lang w:val="en-US"/>
        </w:rPr>
        <w:t xml:space="preserve"> </w:t>
      </w:r>
      <w:r w:rsidR="52A29E4F" w:rsidRPr="137A8F97">
        <w:rPr>
          <w:color w:val="444444"/>
          <w:lang w:val="en-US"/>
        </w:rPr>
        <w:t xml:space="preserve">As only three action plans identified reviewing the guidelines </w:t>
      </w:r>
      <w:r w:rsidR="385BA74C" w:rsidRPr="137A8F97">
        <w:rPr>
          <w:color w:val="444444"/>
          <w:lang w:val="en-US"/>
        </w:rPr>
        <w:t>for</w:t>
      </w:r>
      <w:r w:rsidR="52A29E4F" w:rsidRPr="137A8F97">
        <w:rPr>
          <w:color w:val="444444"/>
          <w:lang w:val="en-US"/>
        </w:rPr>
        <w:t xml:space="preserve"> career progression, t</w:t>
      </w:r>
      <w:r w:rsidR="4A110D2C" w:rsidRPr="137A8F97">
        <w:rPr>
          <w:color w:val="444444"/>
          <w:lang w:val="en-US"/>
        </w:rPr>
        <w:t xml:space="preserve">here remains opportunities </w:t>
      </w:r>
      <w:r w:rsidR="7C6CF7B7">
        <w:t xml:space="preserve">to update the government researchers’ career progression frameworks to align with the principles and objectives as set out in the </w:t>
      </w:r>
      <w:r w:rsidR="39C3A5B1">
        <w:t>R</w:t>
      </w:r>
      <w:r w:rsidR="7C6CF7B7">
        <w:t>oadmap</w:t>
      </w:r>
      <w:r w:rsidR="4A870634">
        <w:t xml:space="preserve">. </w:t>
      </w:r>
    </w:p>
    <w:p w14:paraId="57E5B016" w14:textId="40A9E8A1" w:rsidR="6D06D5F0" w:rsidRDefault="6D06D5F0" w:rsidP="00667E38">
      <w:pPr>
        <w:jc w:val="both"/>
        <w:rPr>
          <w:color w:val="444444"/>
          <w:lang w:val="en-US"/>
        </w:rPr>
      </w:pPr>
    </w:p>
    <w:p w14:paraId="3A0BDD87" w14:textId="2D64CE77" w:rsidR="72262446" w:rsidRDefault="75D2927A" w:rsidP="6D06D5F0">
      <w:pPr>
        <w:rPr>
          <w:b/>
          <w:bCs/>
        </w:rPr>
      </w:pPr>
      <w:r w:rsidRPr="137A8F97">
        <w:rPr>
          <w:b/>
          <w:bCs/>
        </w:rPr>
        <w:t xml:space="preserve">5. </w:t>
      </w:r>
      <w:r w:rsidR="05E2CE9C" w:rsidRPr="137A8F97">
        <w:rPr>
          <w:b/>
          <w:bCs/>
        </w:rPr>
        <w:t>Conclusion</w:t>
      </w:r>
    </w:p>
    <w:p w14:paraId="1AF364F1" w14:textId="08D2E95D" w:rsidR="6E126368" w:rsidRDefault="324092E7" w:rsidP="00667E38">
      <w:pPr>
        <w:jc w:val="both"/>
      </w:pPr>
      <w:r>
        <w:t>The study reported the results of a content analysis of SDBA action plans</w:t>
      </w:r>
      <w:r w:rsidR="5B954721">
        <w:t xml:space="preserve"> to satisfy the recommendations set forth in the Government of Canada’s </w:t>
      </w:r>
      <w:r w:rsidR="5B954721" w:rsidRPr="137A8F97">
        <w:rPr>
          <w:i/>
          <w:iCs/>
        </w:rPr>
        <w:t>Roadmap on Open Science</w:t>
      </w:r>
      <w:r>
        <w:t xml:space="preserve">. The results highlight extensive variation across a number of critical areas, including modes of </w:t>
      </w:r>
      <w:r w:rsidR="4AC9AF74">
        <w:t>OA</w:t>
      </w:r>
      <w:r>
        <w:t xml:space="preserve">, infrastructure developments, incentivizing culture change, and </w:t>
      </w:r>
      <w:r w:rsidR="3AE7B9BA">
        <w:t>understanding of data outputs to be rendered FAIR</w:t>
      </w:r>
      <w:r>
        <w:t xml:space="preserve">. As evident by </w:t>
      </w:r>
      <w:r w:rsidR="0BB7FDD4">
        <w:t xml:space="preserve">the share </w:t>
      </w:r>
      <w:r>
        <w:t>of co-published research, SBDAs place a strong emphasis on research collaboration to advance scientific objectives across a range of disciplines. Given the integrated position of SBDAs in the public research landscape, there</w:t>
      </w:r>
      <w:r w:rsidR="2FBD8433">
        <w:t>’s</w:t>
      </w:r>
      <w:r>
        <w:t xml:space="preserve"> </w:t>
      </w:r>
      <w:r>
        <w:lastRenderedPageBreak/>
        <w:t xml:space="preserve">need for a </w:t>
      </w:r>
      <w:r w:rsidR="155D26EC" w:rsidRPr="137A8F97">
        <w:rPr>
          <w:color w:val="333333"/>
        </w:rPr>
        <w:t xml:space="preserve">common approach to a national </w:t>
      </w:r>
      <w:r>
        <w:t>open science strategy for Canadian science more broadly</w:t>
      </w:r>
      <w:r w:rsidR="33DC6348">
        <w:t>, as advocated for in the Roadmap</w:t>
      </w:r>
      <w:r w:rsidR="3C5181D6">
        <w:t>.</w:t>
      </w:r>
    </w:p>
    <w:p w14:paraId="7DC8A395" w14:textId="0AA42BA5" w:rsidR="008168F4" w:rsidRDefault="008168F4">
      <w:pPr>
        <w:jc w:val="both"/>
      </w:pPr>
    </w:p>
    <w:p w14:paraId="7047E5B3" w14:textId="32EA0047" w:rsidR="007A59E1" w:rsidRPr="007A59E1" w:rsidRDefault="007A59E1">
      <w:pPr>
        <w:jc w:val="both"/>
        <w:rPr>
          <w:b/>
          <w:bCs/>
        </w:rPr>
      </w:pPr>
      <w:r w:rsidRPr="11F5B2F3">
        <w:rPr>
          <w:b/>
          <w:bCs/>
        </w:rPr>
        <w:t>Open science practices</w:t>
      </w:r>
    </w:p>
    <w:p w14:paraId="7951DDF4" w14:textId="6B105B4A" w:rsidR="007A59E1" w:rsidRDefault="15485634" w:rsidP="11F5B2F3">
      <w:pPr>
        <w:jc w:val="both"/>
      </w:pPr>
      <w:r>
        <w:t xml:space="preserve">As Web of </w:t>
      </w:r>
      <w:r w:rsidR="6053975A">
        <w:t>Science</w:t>
      </w:r>
      <w:r>
        <w:t xml:space="preserve"> data is proprie</w:t>
      </w:r>
      <w:r w:rsidR="4B52DF18">
        <w:t>t</w:t>
      </w:r>
      <w:r>
        <w:t xml:space="preserve">ary, the raw data </w:t>
      </w:r>
      <w:r w:rsidR="17D5F78D">
        <w:t xml:space="preserve">for the bibliometric analysis </w:t>
      </w:r>
      <w:r>
        <w:t xml:space="preserve">cannot be shared. However, as the current analysis is intended to establish a framework for future analyses of the current and anticipated activities of SBDAs to satisfy the recommendations of the Roadmap, the </w:t>
      </w:r>
      <w:r w:rsidR="1BAEEC98">
        <w:t xml:space="preserve">methods could be replicated using open </w:t>
      </w:r>
      <w:r w:rsidR="5FF953E9">
        <w:t>bibliographic</w:t>
      </w:r>
      <w:r w:rsidR="1BAEEC98">
        <w:t xml:space="preserve"> metadata databases. </w:t>
      </w:r>
      <w:r w:rsidR="7750FE69">
        <w:t>The data dictionary and coded SBDA action plans a</w:t>
      </w:r>
      <w:r w:rsidR="7724407E">
        <w:t>re available</w:t>
      </w:r>
      <w:r w:rsidR="15CC8856">
        <w:t xml:space="preserve"> </w:t>
      </w:r>
      <w:r w:rsidR="7750FE69">
        <w:t>through the repository Zenodo</w:t>
      </w:r>
      <w:r w:rsidR="5862CB33">
        <w:t xml:space="preserve"> to support transparency and replication of results of the content </w:t>
      </w:r>
      <w:r w:rsidR="000E66A8">
        <w:t>[</w:t>
      </w:r>
      <w:r w:rsidR="000E66A8" w:rsidRPr="000E66A8">
        <w:t>DOI: 10.5281/zenodo.7844158</w:t>
      </w:r>
      <w:r w:rsidR="7B2285BC" w:rsidRPr="000E66A8">
        <w:t>].</w:t>
      </w:r>
    </w:p>
    <w:p w14:paraId="5403BE7E" w14:textId="77777777" w:rsidR="004E212B" w:rsidRDefault="004E212B">
      <w:pPr>
        <w:jc w:val="both"/>
      </w:pPr>
    </w:p>
    <w:p w14:paraId="06B77644" w14:textId="2EFE03AB" w:rsidR="00370126" w:rsidRPr="007C30D8" w:rsidRDefault="00370126">
      <w:pPr>
        <w:jc w:val="both"/>
        <w:rPr>
          <w:b/>
          <w:bCs/>
        </w:rPr>
      </w:pPr>
      <w:r w:rsidRPr="6D06D5F0">
        <w:rPr>
          <w:b/>
          <w:bCs/>
        </w:rPr>
        <w:t>Author contributions</w:t>
      </w:r>
    </w:p>
    <w:p w14:paraId="2F91454F" w14:textId="7F45025D" w:rsidR="0031202E" w:rsidRDefault="389BF523">
      <w:pPr>
        <w:jc w:val="both"/>
      </w:pPr>
      <w:r>
        <w:t>Chantal Ripp: Conceptualization, methodology, formal analysis, investigation, visualization, writing - original draft</w:t>
      </w:r>
      <w:r w:rsidR="4ADD6764">
        <w:t>, writing – review &amp; editing</w:t>
      </w:r>
    </w:p>
    <w:p w14:paraId="438B0BC7" w14:textId="0B9909B8" w:rsidR="0031202E" w:rsidRDefault="389BF523" w:rsidP="2540E8BF">
      <w:pPr>
        <w:jc w:val="both"/>
      </w:pPr>
      <w:r>
        <w:t xml:space="preserve"> </w:t>
      </w:r>
    </w:p>
    <w:p w14:paraId="29A69FD5" w14:textId="72195E79" w:rsidR="0031202E" w:rsidRDefault="389BF523" w:rsidP="2540E8BF">
      <w:pPr>
        <w:jc w:val="both"/>
      </w:pPr>
      <w:r>
        <w:t xml:space="preserve">Stefanie Haustein: Supervision, </w:t>
      </w:r>
      <w:r w:rsidR="2CFC895A">
        <w:t>m</w:t>
      </w:r>
      <w:r>
        <w:t xml:space="preserve">ethodology, </w:t>
      </w:r>
      <w:r w:rsidR="1DE6DF57">
        <w:t>w</w:t>
      </w:r>
      <w:r>
        <w:t xml:space="preserve">riting - </w:t>
      </w:r>
      <w:r w:rsidR="19E9D29B">
        <w:t>r</w:t>
      </w:r>
      <w:r>
        <w:t xml:space="preserve">eview &amp; </w:t>
      </w:r>
      <w:r w:rsidR="005E4E85">
        <w:t>e</w:t>
      </w:r>
      <w:r>
        <w:t>diting</w:t>
      </w:r>
    </w:p>
    <w:p w14:paraId="0B301DE6" w14:textId="599C95F8" w:rsidR="066D468A" w:rsidRDefault="066D468A" w:rsidP="066D468A">
      <w:pPr>
        <w:jc w:val="both"/>
      </w:pPr>
    </w:p>
    <w:p w14:paraId="6126D7F1" w14:textId="7481AD7B" w:rsidR="00370126" w:rsidRPr="007C30D8" w:rsidRDefault="00370126">
      <w:pPr>
        <w:jc w:val="both"/>
        <w:rPr>
          <w:b/>
          <w:bCs/>
        </w:rPr>
      </w:pPr>
      <w:r w:rsidRPr="6D06D5F0">
        <w:rPr>
          <w:b/>
          <w:bCs/>
        </w:rPr>
        <w:t>Competing interests</w:t>
      </w:r>
    </w:p>
    <w:p w14:paraId="6597B0C5" w14:textId="4D46593E" w:rsidR="007C30D8" w:rsidRDefault="03AC12FB">
      <w:pPr>
        <w:jc w:val="both"/>
      </w:pPr>
      <w:r>
        <w:t>The authors have no competing interests.</w:t>
      </w:r>
    </w:p>
    <w:p w14:paraId="248C6C0E" w14:textId="1FBF8D81" w:rsidR="066D468A" w:rsidRDefault="066D468A" w:rsidP="066D468A">
      <w:pPr>
        <w:jc w:val="both"/>
      </w:pPr>
    </w:p>
    <w:p w14:paraId="31603A15" w14:textId="2DE08369" w:rsidR="00370126" w:rsidRPr="007C30D8" w:rsidRDefault="00370126">
      <w:pPr>
        <w:jc w:val="both"/>
        <w:rPr>
          <w:b/>
          <w:bCs/>
        </w:rPr>
      </w:pPr>
      <w:r w:rsidRPr="557C86D2">
        <w:rPr>
          <w:b/>
          <w:bCs/>
        </w:rPr>
        <w:t>Funding information</w:t>
      </w:r>
    </w:p>
    <w:p w14:paraId="2A411AA7" w14:textId="7A64905E" w:rsidR="2B3B249D" w:rsidRDefault="2B3B249D" w:rsidP="557C86D2">
      <w:pPr>
        <w:jc w:val="both"/>
      </w:pPr>
      <w:r>
        <w:t>The research has been supported in part by funding from Coalition Publica's Scholarship Program.</w:t>
      </w:r>
    </w:p>
    <w:p w14:paraId="305974A1" w14:textId="1D2D0294" w:rsidR="066D468A" w:rsidRDefault="066D468A" w:rsidP="066D468A">
      <w:pPr>
        <w:jc w:val="both"/>
      </w:pPr>
    </w:p>
    <w:p w14:paraId="100B46A4" w14:textId="2A4D4C6D" w:rsidR="1DD41D31" w:rsidRDefault="1DD41D31" w:rsidP="1DD41D31">
      <w:pPr>
        <w:jc w:val="both"/>
      </w:pPr>
    </w:p>
    <w:p w14:paraId="684A7C87" w14:textId="6B43A598" w:rsidR="11F5B2F3" w:rsidRPr="00667E38" w:rsidRDefault="00667E38">
      <w:pPr>
        <w:rPr>
          <w:b/>
          <w:bCs/>
        </w:rPr>
      </w:pPr>
      <w:r w:rsidRPr="00667E38">
        <w:rPr>
          <w:b/>
          <w:bCs/>
        </w:rPr>
        <w:t>References</w:t>
      </w:r>
    </w:p>
    <w:p w14:paraId="646FDA79" w14:textId="5A930101" w:rsidR="11F5B2F3" w:rsidRDefault="11F5B2F3"/>
    <w:p w14:paraId="6C3644EC" w14:textId="77777777" w:rsidR="007C743F" w:rsidRPr="007C743F" w:rsidRDefault="007C743F" w:rsidP="007C743F">
      <w:pPr>
        <w:pStyle w:val="Bibliography"/>
        <w:spacing w:line="240" w:lineRule="auto"/>
      </w:pPr>
      <w:r>
        <w:fldChar w:fldCharType="begin"/>
      </w:r>
      <w:r>
        <w:instrText xml:space="preserve"> ADDIN ZOTERO_BIBL {"uncited":[],"omitted":[],"custom":[]} CSL_BIBLIOGRAPHY </w:instrText>
      </w:r>
      <w:r>
        <w:fldChar w:fldCharType="separate"/>
      </w:r>
      <w:r w:rsidRPr="007C743F">
        <w:t xml:space="preserve">Agriculture and Agri-Food Canada. (2021). </w:t>
      </w:r>
      <w:r w:rsidRPr="007C743F">
        <w:rPr>
          <w:i/>
          <w:iCs/>
        </w:rPr>
        <w:t>Agriculture and Agri-Food Canada’s Open Science Action Plan 2021-2022 to 2025-2026 – Enable and Equip</w:t>
      </w:r>
      <w:r w:rsidRPr="007C743F">
        <w:t>. https://agriculture.canada.ca/en/about-our-department/agriculture-and-agri-food-canadas-open-science-action-plan-2021-2022-2025-2026-enable-and-equip</w:t>
      </w:r>
    </w:p>
    <w:p w14:paraId="78FEF6A9" w14:textId="77777777" w:rsidR="007C743F" w:rsidRPr="007C743F" w:rsidRDefault="007C743F" w:rsidP="007C743F">
      <w:pPr>
        <w:pStyle w:val="Bibliography"/>
        <w:spacing w:line="240" w:lineRule="auto"/>
        <w:rPr>
          <w:lang w:val="fr-CA"/>
        </w:rPr>
      </w:pPr>
      <w:r w:rsidRPr="007C743F">
        <w:rPr>
          <w:lang w:val="fr-CA"/>
        </w:rPr>
        <w:t xml:space="preserve">Birsan, G. (2021, June 1). </w:t>
      </w:r>
      <w:r w:rsidRPr="007C743F">
        <w:rPr>
          <w:i/>
          <w:iCs/>
          <w:lang w:val="fr-CA"/>
        </w:rPr>
        <w:t>The Fonds de recherche du Québec support open science by joining cOAlition S</w:t>
      </w:r>
      <w:r w:rsidRPr="007C743F">
        <w:rPr>
          <w:lang w:val="fr-CA"/>
        </w:rPr>
        <w:t>. Fonds de Recherche Du Québec. https://frq.gouv.qc.ca/en/les-fonds-de-recherche-du-quebec-appuient-la-science-ouverte-en-joignant-la-coalition-s/</w:t>
      </w:r>
    </w:p>
    <w:p w14:paraId="6849A502" w14:textId="77777777" w:rsidR="007C743F" w:rsidRPr="007C743F" w:rsidRDefault="007C743F" w:rsidP="007C743F">
      <w:pPr>
        <w:pStyle w:val="Bibliography"/>
        <w:spacing w:line="240" w:lineRule="auto"/>
      </w:pPr>
      <w:r w:rsidRPr="007C743F">
        <w:t xml:space="preserve">Bracco, L., L’Hôte, A., Jeangirard, E., &amp; Torny, D. (2022). </w:t>
      </w:r>
      <w:r w:rsidRPr="007C743F">
        <w:rPr>
          <w:i/>
          <w:iCs/>
        </w:rPr>
        <w:t>Extending the open monitoring of open science</w:t>
      </w:r>
      <w:r w:rsidRPr="007C743F">
        <w:t>. https://hal.science/hal-03651518</w:t>
      </w:r>
    </w:p>
    <w:p w14:paraId="6C4C220E" w14:textId="77777777" w:rsidR="007C743F" w:rsidRPr="007C743F" w:rsidRDefault="007C743F" w:rsidP="007C743F">
      <w:pPr>
        <w:pStyle w:val="Bibliography"/>
        <w:spacing w:line="240" w:lineRule="auto"/>
      </w:pPr>
      <w:r w:rsidRPr="007C743F">
        <w:t xml:space="preserve">Brown, J., Jones, P., Meadows, A., &amp; Murphy, F. (2022). </w:t>
      </w:r>
      <w:r w:rsidRPr="007C743F">
        <w:rPr>
          <w:i/>
          <w:iCs/>
          <w:lang w:val="fr-CA"/>
        </w:rPr>
        <w:t>Towards a national PID strategy for Canada—Vers une stratégie nationale sur les PID pour le Canada</w:t>
      </w:r>
      <w:r w:rsidRPr="007C743F">
        <w:rPr>
          <w:lang w:val="fr-CA"/>
        </w:rPr>
        <w:t xml:space="preserve">. </w:t>
      </w:r>
      <w:r w:rsidRPr="007C743F">
        <w:t>Zenodo. https://doi.org/10.5281/zenodo.7217469</w:t>
      </w:r>
    </w:p>
    <w:p w14:paraId="3FC3553E" w14:textId="77777777" w:rsidR="007C743F" w:rsidRPr="007C743F" w:rsidRDefault="007C743F" w:rsidP="007C743F">
      <w:pPr>
        <w:pStyle w:val="Bibliography"/>
        <w:spacing w:line="240" w:lineRule="auto"/>
      </w:pPr>
      <w:r w:rsidRPr="007C743F">
        <w:t xml:space="preserve">Government of Canada, I. (2022, June 30). </w:t>
      </w:r>
      <w:r w:rsidRPr="007C743F">
        <w:rPr>
          <w:i/>
          <w:iCs/>
        </w:rPr>
        <w:t>Departmental open science action plans</w:t>
      </w:r>
      <w:r w:rsidRPr="007C743F">
        <w:t>. https://science.gc.ca/site/science/en/open-science-helping-make-science-accessible-all-canadians/departmental-open-science-action-plans</w:t>
      </w:r>
    </w:p>
    <w:p w14:paraId="43AA0390" w14:textId="77777777" w:rsidR="007C743F" w:rsidRPr="007C743F" w:rsidRDefault="007C743F" w:rsidP="007C743F">
      <w:pPr>
        <w:pStyle w:val="Bibliography"/>
        <w:spacing w:line="240" w:lineRule="auto"/>
      </w:pPr>
      <w:r w:rsidRPr="007C743F">
        <w:t xml:space="preserve">Government of Canada, I. (2023, April 13). </w:t>
      </w:r>
      <w:r w:rsidRPr="007C743F">
        <w:rPr>
          <w:i/>
          <w:iCs/>
        </w:rPr>
        <w:t>Chief Science Advisor Annual Report 2020-21</w:t>
      </w:r>
      <w:r w:rsidRPr="007C743F">
        <w:t>. https://science.gc.ca/site/science/en/office-chief-science-advisor/annual-reports/chief-science-advisor-annual-report-2020-21</w:t>
      </w:r>
    </w:p>
    <w:p w14:paraId="6C57958F" w14:textId="77777777" w:rsidR="007C743F" w:rsidRPr="007C743F" w:rsidRDefault="007C743F" w:rsidP="007C743F">
      <w:pPr>
        <w:pStyle w:val="Bibliography"/>
        <w:spacing w:line="240" w:lineRule="auto"/>
      </w:pPr>
      <w:r w:rsidRPr="007C743F">
        <w:rPr>
          <w:lang w:val="fr-CA"/>
        </w:rPr>
        <w:t xml:space="preserve">Moreira, J. M., Pardelha, F., Laranjeira, C., Pereira, F., Novais, J., Lopes, P., Antunes, A., &amp; Cardoso, E. (2022). </w:t>
      </w:r>
      <w:r w:rsidRPr="007C743F">
        <w:rPr>
          <w:i/>
          <w:iCs/>
        </w:rPr>
        <w:t>Development of Plan S monitoring and compliance tool in the context of PTCRIS for Portuguese National Science Foundation</w:t>
      </w:r>
      <w:r w:rsidRPr="007C743F">
        <w:t xml:space="preserve">. </w:t>
      </w:r>
      <w:r w:rsidRPr="007C743F">
        <w:rPr>
          <w:i/>
          <w:iCs/>
        </w:rPr>
        <w:t>211</w:t>
      </w:r>
      <w:r w:rsidRPr="007C743F">
        <w:t>(C), 151–161. https://doi.org/10.1016/j.procs.2022.10.187</w:t>
      </w:r>
    </w:p>
    <w:p w14:paraId="77117E84" w14:textId="77777777" w:rsidR="007C743F" w:rsidRPr="007C743F" w:rsidRDefault="007C743F" w:rsidP="007C743F">
      <w:pPr>
        <w:pStyle w:val="Bibliography"/>
        <w:spacing w:line="240" w:lineRule="auto"/>
      </w:pPr>
      <w:r w:rsidRPr="007C743F">
        <w:lastRenderedPageBreak/>
        <w:t xml:space="preserve">OECD Council. (2021, January 20). </w:t>
      </w:r>
      <w:r w:rsidRPr="007C743F">
        <w:rPr>
          <w:i/>
          <w:iCs/>
        </w:rPr>
        <w:t>Recommendation of the OECD Council concerning Access to Research Data from Public Funding</w:t>
      </w:r>
      <w:r w:rsidRPr="007C743F">
        <w:t>. https://www.oecd.org/sti/recommendation-access-to-research-data-from-public-funding.htm</w:t>
      </w:r>
    </w:p>
    <w:p w14:paraId="752F799F" w14:textId="77777777" w:rsidR="007C743F" w:rsidRPr="007C743F" w:rsidRDefault="007C743F" w:rsidP="007C743F">
      <w:pPr>
        <w:pStyle w:val="Bibliography"/>
        <w:spacing w:line="240" w:lineRule="auto"/>
      </w:pPr>
      <w:r w:rsidRPr="007C743F">
        <w:t xml:space="preserve">Office of the Chief Science Advisory. (2020). </w:t>
      </w:r>
      <w:r w:rsidRPr="007C743F">
        <w:rPr>
          <w:i/>
          <w:iCs/>
        </w:rPr>
        <w:t>Roadmap for Open Science</w:t>
      </w:r>
      <w:r w:rsidRPr="007C743F">
        <w:t>. https://science.gc.ca/eic/site/063.nsf/eng/h_97992.html</w:t>
      </w:r>
    </w:p>
    <w:p w14:paraId="3959C9B7" w14:textId="396424CA" w:rsidR="007C743F" w:rsidRPr="004A329C" w:rsidRDefault="007C743F" w:rsidP="007C743F">
      <w:pPr>
        <w:pStyle w:val="Bibliography"/>
        <w:spacing w:line="240" w:lineRule="auto"/>
      </w:pPr>
      <w:r w:rsidRPr="007C743F">
        <w:t xml:space="preserve">Research Community Advisory Committee. (2006). </w:t>
      </w:r>
      <w:r w:rsidRPr="007C743F">
        <w:rPr>
          <w:i/>
          <w:iCs/>
        </w:rPr>
        <w:t>Career Progression Management Framework for Federal Researchers. Application for the SE-RES Community.</w:t>
      </w:r>
      <w:r w:rsidR="004A329C">
        <w:rPr>
          <w:i/>
          <w:iCs/>
        </w:rPr>
        <w:t xml:space="preserve"> </w:t>
      </w:r>
      <w:r w:rsidR="004A329C">
        <w:t xml:space="preserve">Government of Canada. </w:t>
      </w:r>
    </w:p>
    <w:p w14:paraId="449C3C2F" w14:textId="77777777" w:rsidR="007C743F" w:rsidRPr="007C743F" w:rsidRDefault="007C743F" w:rsidP="007C743F">
      <w:pPr>
        <w:pStyle w:val="Bibliography"/>
        <w:spacing w:line="240" w:lineRule="auto"/>
      </w:pPr>
      <w:r w:rsidRPr="007C743F">
        <w:t xml:space="preserve">Ripp, C. (2023). </w:t>
      </w:r>
      <w:r w:rsidRPr="007C743F">
        <w:rPr>
          <w:i/>
          <w:iCs/>
        </w:rPr>
        <w:t>Content Analysis of Canada’s Science Based Departments and Agencies Open Science Action Plans</w:t>
      </w:r>
      <w:r w:rsidRPr="007C743F">
        <w:t xml:space="preserve"> [Data set]. Zenodo. https://doi.org/10.5281/zenodo.7844158</w:t>
      </w:r>
    </w:p>
    <w:p w14:paraId="38BDB496" w14:textId="77777777" w:rsidR="007C743F" w:rsidRPr="007C743F" w:rsidRDefault="007C743F" w:rsidP="007C743F">
      <w:pPr>
        <w:pStyle w:val="Bibliography"/>
        <w:spacing w:line="240" w:lineRule="auto"/>
      </w:pPr>
      <w:r w:rsidRPr="007C743F">
        <w:t xml:space="preserve">UNESCO. (2021, November). </w:t>
      </w:r>
      <w:r w:rsidRPr="007C743F">
        <w:rPr>
          <w:i/>
          <w:iCs/>
        </w:rPr>
        <w:t>UNESCO Recommendation on Open Science</w:t>
      </w:r>
      <w:r w:rsidRPr="007C743F">
        <w:t>. https://en.unesco.org/science-sustainable-future/open-science/recommendation</w:t>
      </w:r>
    </w:p>
    <w:p w14:paraId="60C5AC57" w14:textId="77777777" w:rsidR="007C743F" w:rsidRPr="007C743F" w:rsidRDefault="007C743F" w:rsidP="007C743F">
      <w:pPr>
        <w:pStyle w:val="Bibliography"/>
        <w:spacing w:line="240" w:lineRule="auto"/>
      </w:pPr>
      <w:r w:rsidRPr="007C743F">
        <w:t xml:space="preserve">White House Office of Science and Technology Policy (OSTP). (2022). </w:t>
      </w:r>
      <w:r w:rsidRPr="007C743F">
        <w:rPr>
          <w:i/>
          <w:iCs/>
        </w:rPr>
        <w:t>Ensuring Free, Immediate, and Equitable Access to Federally Funded Research Memorandum</w:t>
      </w:r>
      <w:r w:rsidRPr="007C743F">
        <w:t>. https://www.whitehouse.gov/wp-content/uploads/2022/08/08-2022-OSTP-Public-Access-Memo.pdf</w:t>
      </w:r>
    </w:p>
    <w:p w14:paraId="251DB8E8" w14:textId="0C691CD2" w:rsidR="11F5B2F3" w:rsidRDefault="007C743F" w:rsidP="007C743F">
      <w:r>
        <w:fldChar w:fldCharType="end"/>
      </w:r>
    </w:p>
    <w:p w14:paraId="1C63AFA9" w14:textId="125BEFBA" w:rsidR="11F5B2F3" w:rsidRDefault="11F5B2F3" w:rsidP="007C743F"/>
    <w:p w14:paraId="219D0758" w14:textId="7F19D795" w:rsidR="11F5B2F3" w:rsidRDefault="11F5B2F3" w:rsidP="007C743F"/>
    <w:p w14:paraId="22CCCFED" w14:textId="4DFFB746" w:rsidR="11F5B2F3" w:rsidRDefault="11F5B2F3" w:rsidP="007C743F"/>
    <w:p w14:paraId="3714797A" w14:textId="3F0A1DF1" w:rsidR="1DD41D31" w:rsidRDefault="1DD41D31" w:rsidP="007C743F">
      <w:pPr>
        <w:jc w:val="both"/>
        <w:rPr>
          <w:color w:val="333333"/>
        </w:rPr>
      </w:pPr>
    </w:p>
    <w:sectPr w:rsidR="1DD41D31"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63FB" w14:textId="77777777" w:rsidR="00E827AF" w:rsidRDefault="00E827AF">
      <w:r>
        <w:separator/>
      </w:r>
    </w:p>
  </w:endnote>
  <w:endnote w:type="continuationSeparator" w:id="0">
    <w:p w14:paraId="7325E2AC" w14:textId="77777777" w:rsidR="00E827AF" w:rsidRDefault="00E8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0297" w14:textId="77777777" w:rsidR="00E827AF" w:rsidRDefault="00E827AF">
      <w:r>
        <w:separator/>
      </w:r>
    </w:p>
  </w:footnote>
  <w:footnote w:type="continuationSeparator" w:id="0">
    <w:p w14:paraId="3C813EFE" w14:textId="77777777" w:rsidR="00E827AF" w:rsidRDefault="00E8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0B05C"/>
    <w:multiLevelType w:val="hybridMultilevel"/>
    <w:tmpl w:val="FFFFFFFF"/>
    <w:lvl w:ilvl="0" w:tplc="FFFFFFFF">
      <w:start w:val="1"/>
      <w:numFmt w:val="bullet"/>
      <w:lvlText w:val=""/>
      <w:lvlJc w:val="left"/>
      <w:pPr>
        <w:ind w:left="720" w:hanging="360"/>
      </w:pPr>
      <w:rPr>
        <w:rFonts w:ascii="Symbol" w:hAnsi="Symbol" w:hint="default"/>
      </w:rPr>
    </w:lvl>
    <w:lvl w:ilvl="1" w:tplc="158859F2">
      <w:start w:val="1"/>
      <w:numFmt w:val="bullet"/>
      <w:lvlText w:val="o"/>
      <w:lvlJc w:val="left"/>
      <w:pPr>
        <w:ind w:left="1440" w:hanging="360"/>
      </w:pPr>
      <w:rPr>
        <w:rFonts w:ascii="Courier New" w:hAnsi="Courier New" w:hint="default"/>
      </w:rPr>
    </w:lvl>
    <w:lvl w:ilvl="2" w:tplc="0BDA0574">
      <w:start w:val="1"/>
      <w:numFmt w:val="bullet"/>
      <w:lvlText w:val=""/>
      <w:lvlJc w:val="left"/>
      <w:pPr>
        <w:ind w:left="2160" w:hanging="360"/>
      </w:pPr>
      <w:rPr>
        <w:rFonts w:ascii="Wingdings" w:hAnsi="Wingdings" w:hint="default"/>
      </w:rPr>
    </w:lvl>
    <w:lvl w:ilvl="3" w:tplc="95765552">
      <w:start w:val="1"/>
      <w:numFmt w:val="bullet"/>
      <w:lvlText w:val=""/>
      <w:lvlJc w:val="left"/>
      <w:pPr>
        <w:ind w:left="2880" w:hanging="360"/>
      </w:pPr>
      <w:rPr>
        <w:rFonts w:ascii="Symbol" w:hAnsi="Symbol" w:hint="default"/>
      </w:rPr>
    </w:lvl>
    <w:lvl w:ilvl="4" w:tplc="8C90E2B2">
      <w:start w:val="1"/>
      <w:numFmt w:val="bullet"/>
      <w:lvlText w:val="o"/>
      <w:lvlJc w:val="left"/>
      <w:pPr>
        <w:ind w:left="3600" w:hanging="360"/>
      </w:pPr>
      <w:rPr>
        <w:rFonts w:ascii="Courier New" w:hAnsi="Courier New" w:hint="default"/>
      </w:rPr>
    </w:lvl>
    <w:lvl w:ilvl="5" w:tplc="58482A12">
      <w:start w:val="1"/>
      <w:numFmt w:val="bullet"/>
      <w:lvlText w:val=""/>
      <w:lvlJc w:val="left"/>
      <w:pPr>
        <w:ind w:left="4320" w:hanging="360"/>
      </w:pPr>
      <w:rPr>
        <w:rFonts w:ascii="Wingdings" w:hAnsi="Wingdings" w:hint="default"/>
      </w:rPr>
    </w:lvl>
    <w:lvl w:ilvl="6" w:tplc="38B61570">
      <w:start w:val="1"/>
      <w:numFmt w:val="bullet"/>
      <w:lvlText w:val=""/>
      <w:lvlJc w:val="left"/>
      <w:pPr>
        <w:ind w:left="5040" w:hanging="360"/>
      </w:pPr>
      <w:rPr>
        <w:rFonts w:ascii="Symbol" w:hAnsi="Symbol" w:hint="default"/>
      </w:rPr>
    </w:lvl>
    <w:lvl w:ilvl="7" w:tplc="D990E89E">
      <w:start w:val="1"/>
      <w:numFmt w:val="bullet"/>
      <w:lvlText w:val="o"/>
      <w:lvlJc w:val="left"/>
      <w:pPr>
        <w:ind w:left="5760" w:hanging="360"/>
      </w:pPr>
      <w:rPr>
        <w:rFonts w:ascii="Courier New" w:hAnsi="Courier New" w:hint="default"/>
      </w:rPr>
    </w:lvl>
    <w:lvl w:ilvl="8" w:tplc="8052567E">
      <w:start w:val="1"/>
      <w:numFmt w:val="bullet"/>
      <w:lvlText w:val=""/>
      <w:lvlJc w:val="left"/>
      <w:pPr>
        <w:ind w:left="6480" w:hanging="360"/>
      </w:pPr>
      <w:rPr>
        <w:rFonts w:ascii="Wingdings" w:hAnsi="Wingdings" w:hint="default"/>
      </w:rPr>
    </w:lvl>
  </w:abstractNum>
  <w:abstractNum w:abstractNumId="2" w15:restartNumberingAfterBreak="0">
    <w:nsid w:val="0D8CF24A"/>
    <w:multiLevelType w:val="hybridMultilevel"/>
    <w:tmpl w:val="FFFFFFFF"/>
    <w:lvl w:ilvl="0" w:tplc="AD60EEE4">
      <w:start w:val="1"/>
      <w:numFmt w:val="bullet"/>
      <w:lvlText w:val=""/>
      <w:lvlJc w:val="left"/>
      <w:pPr>
        <w:ind w:left="720" w:hanging="360"/>
      </w:pPr>
      <w:rPr>
        <w:rFonts w:ascii="Symbol" w:hAnsi="Symbol" w:hint="default"/>
      </w:rPr>
    </w:lvl>
    <w:lvl w:ilvl="1" w:tplc="550E8D20">
      <w:start w:val="1"/>
      <w:numFmt w:val="bullet"/>
      <w:lvlText w:val="o"/>
      <w:lvlJc w:val="left"/>
      <w:pPr>
        <w:ind w:left="1440" w:hanging="360"/>
      </w:pPr>
      <w:rPr>
        <w:rFonts w:ascii="Courier New" w:hAnsi="Courier New" w:hint="default"/>
      </w:rPr>
    </w:lvl>
    <w:lvl w:ilvl="2" w:tplc="653AF57C">
      <w:start w:val="1"/>
      <w:numFmt w:val="bullet"/>
      <w:lvlText w:val=""/>
      <w:lvlJc w:val="left"/>
      <w:pPr>
        <w:ind w:left="2160" w:hanging="360"/>
      </w:pPr>
      <w:rPr>
        <w:rFonts w:ascii="Wingdings" w:hAnsi="Wingdings" w:hint="default"/>
      </w:rPr>
    </w:lvl>
    <w:lvl w:ilvl="3" w:tplc="506A7CF2">
      <w:start w:val="1"/>
      <w:numFmt w:val="bullet"/>
      <w:lvlText w:val=""/>
      <w:lvlJc w:val="left"/>
      <w:pPr>
        <w:ind w:left="2880" w:hanging="360"/>
      </w:pPr>
      <w:rPr>
        <w:rFonts w:ascii="Symbol" w:hAnsi="Symbol" w:hint="default"/>
      </w:rPr>
    </w:lvl>
    <w:lvl w:ilvl="4" w:tplc="D1F41654">
      <w:start w:val="1"/>
      <w:numFmt w:val="bullet"/>
      <w:lvlText w:val="o"/>
      <w:lvlJc w:val="left"/>
      <w:pPr>
        <w:ind w:left="3600" w:hanging="360"/>
      </w:pPr>
      <w:rPr>
        <w:rFonts w:ascii="Courier New" w:hAnsi="Courier New" w:hint="default"/>
      </w:rPr>
    </w:lvl>
    <w:lvl w:ilvl="5" w:tplc="0B7E1C22">
      <w:start w:val="1"/>
      <w:numFmt w:val="bullet"/>
      <w:lvlText w:val=""/>
      <w:lvlJc w:val="left"/>
      <w:pPr>
        <w:ind w:left="4320" w:hanging="360"/>
      </w:pPr>
      <w:rPr>
        <w:rFonts w:ascii="Wingdings" w:hAnsi="Wingdings" w:hint="default"/>
      </w:rPr>
    </w:lvl>
    <w:lvl w:ilvl="6" w:tplc="B07E456C">
      <w:start w:val="1"/>
      <w:numFmt w:val="bullet"/>
      <w:lvlText w:val=""/>
      <w:lvlJc w:val="left"/>
      <w:pPr>
        <w:ind w:left="5040" w:hanging="360"/>
      </w:pPr>
      <w:rPr>
        <w:rFonts w:ascii="Symbol" w:hAnsi="Symbol" w:hint="default"/>
      </w:rPr>
    </w:lvl>
    <w:lvl w:ilvl="7" w:tplc="CE120B36">
      <w:start w:val="1"/>
      <w:numFmt w:val="bullet"/>
      <w:lvlText w:val="o"/>
      <w:lvlJc w:val="left"/>
      <w:pPr>
        <w:ind w:left="5760" w:hanging="360"/>
      </w:pPr>
      <w:rPr>
        <w:rFonts w:ascii="Courier New" w:hAnsi="Courier New" w:hint="default"/>
      </w:rPr>
    </w:lvl>
    <w:lvl w:ilvl="8" w:tplc="66A42832">
      <w:start w:val="1"/>
      <w:numFmt w:val="bullet"/>
      <w:lvlText w:val=""/>
      <w:lvlJc w:val="left"/>
      <w:pPr>
        <w:ind w:left="6480" w:hanging="360"/>
      </w:pPr>
      <w:rPr>
        <w:rFonts w:ascii="Wingdings" w:hAnsi="Wingdings" w:hint="default"/>
      </w:rPr>
    </w:lvl>
  </w:abstractNum>
  <w:abstractNum w:abstractNumId="3" w15:restartNumberingAfterBreak="0">
    <w:nsid w:val="13DCDF66"/>
    <w:multiLevelType w:val="hybridMultilevel"/>
    <w:tmpl w:val="FFFFFFFF"/>
    <w:lvl w:ilvl="0" w:tplc="FFFFFFFF">
      <w:start w:val="1"/>
      <w:numFmt w:val="bullet"/>
      <w:lvlText w:val=""/>
      <w:lvlJc w:val="left"/>
      <w:pPr>
        <w:ind w:left="720" w:hanging="360"/>
      </w:pPr>
      <w:rPr>
        <w:rFonts w:ascii="Symbol" w:hAnsi="Symbol" w:hint="default"/>
      </w:rPr>
    </w:lvl>
    <w:lvl w:ilvl="1" w:tplc="AFF4CCAE">
      <w:start w:val="1"/>
      <w:numFmt w:val="bullet"/>
      <w:lvlText w:val="o"/>
      <w:lvlJc w:val="left"/>
      <w:pPr>
        <w:ind w:left="1440" w:hanging="360"/>
      </w:pPr>
      <w:rPr>
        <w:rFonts w:ascii="Courier New" w:hAnsi="Courier New" w:hint="default"/>
      </w:rPr>
    </w:lvl>
    <w:lvl w:ilvl="2" w:tplc="B514545E">
      <w:start w:val="1"/>
      <w:numFmt w:val="bullet"/>
      <w:lvlText w:val=""/>
      <w:lvlJc w:val="left"/>
      <w:pPr>
        <w:ind w:left="2160" w:hanging="360"/>
      </w:pPr>
      <w:rPr>
        <w:rFonts w:ascii="Wingdings" w:hAnsi="Wingdings" w:hint="default"/>
      </w:rPr>
    </w:lvl>
    <w:lvl w:ilvl="3" w:tplc="19FAFDA6">
      <w:start w:val="1"/>
      <w:numFmt w:val="bullet"/>
      <w:lvlText w:val=""/>
      <w:lvlJc w:val="left"/>
      <w:pPr>
        <w:ind w:left="2880" w:hanging="360"/>
      </w:pPr>
      <w:rPr>
        <w:rFonts w:ascii="Symbol" w:hAnsi="Symbol" w:hint="default"/>
      </w:rPr>
    </w:lvl>
    <w:lvl w:ilvl="4" w:tplc="8002619E">
      <w:start w:val="1"/>
      <w:numFmt w:val="bullet"/>
      <w:lvlText w:val="o"/>
      <w:lvlJc w:val="left"/>
      <w:pPr>
        <w:ind w:left="3600" w:hanging="360"/>
      </w:pPr>
      <w:rPr>
        <w:rFonts w:ascii="Courier New" w:hAnsi="Courier New" w:hint="default"/>
      </w:rPr>
    </w:lvl>
    <w:lvl w:ilvl="5" w:tplc="8020F1C4">
      <w:start w:val="1"/>
      <w:numFmt w:val="bullet"/>
      <w:lvlText w:val=""/>
      <w:lvlJc w:val="left"/>
      <w:pPr>
        <w:ind w:left="4320" w:hanging="360"/>
      </w:pPr>
      <w:rPr>
        <w:rFonts w:ascii="Wingdings" w:hAnsi="Wingdings" w:hint="default"/>
      </w:rPr>
    </w:lvl>
    <w:lvl w:ilvl="6" w:tplc="71B0CF64">
      <w:start w:val="1"/>
      <w:numFmt w:val="bullet"/>
      <w:lvlText w:val=""/>
      <w:lvlJc w:val="left"/>
      <w:pPr>
        <w:ind w:left="5040" w:hanging="360"/>
      </w:pPr>
      <w:rPr>
        <w:rFonts w:ascii="Symbol" w:hAnsi="Symbol" w:hint="default"/>
      </w:rPr>
    </w:lvl>
    <w:lvl w:ilvl="7" w:tplc="E4228532">
      <w:start w:val="1"/>
      <w:numFmt w:val="bullet"/>
      <w:lvlText w:val="o"/>
      <w:lvlJc w:val="left"/>
      <w:pPr>
        <w:ind w:left="5760" w:hanging="360"/>
      </w:pPr>
      <w:rPr>
        <w:rFonts w:ascii="Courier New" w:hAnsi="Courier New" w:hint="default"/>
      </w:rPr>
    </w:lvl>
    <w:lvl w:ilvl="8" w:tplc="44840554">
      <w:start w:val="1"/>
      <w:numFmt w:val="bullet"/>
      <w:lvlText w:val=""/>
      <w:lvlJc w:val="left"/>
      <w:pPr>
        <w:ind w:left="6480" w:hanging="360"/>
      </w:pPr>
      <w:rPr>
        <w:rFonts w:ascii="Wingdings" w:hAnsi="Wingdings" w:hint="default"/>
      </w:rPr>
    </w:lvl>
  </w:abstractNum>
  <w:abstractNum w:abstractNumId="4" w15:restartNumberingAfterBreak="0">
    <w:nsid w:val="185D758D"/>
    <w:multiLevelType w:val="hybridMultilevel"/>
    <w:tmpl w:val="FFFFFFFF"/>
    <w:lvl w:ilvl="0" w:tplc="1CAA20CE">
      <w:start w:val="1"/>
      <w:numFmt w:val="bullet"/>
      <w:lvlText w:val=""/>
      <w:lvlJc w:val="left"/>
      <w:pPr>
        <w:ind w:left="720" w:hanging="360"/>
      </w:pPr>
      <w:rPr>
        <w:rFonts w:ascii="Symbol" w:hAnsi="Symbol" w:hint="default"/>
      </w:rPr>
    </w:lvl>
    <w:lvl w:ilvl="1" w:tplc="E33AADCA">
      <w:start w:val="1"/>
      <w:numFmt w:val="bullet"/>
      <w:lvlText w:val="o"/>
      <w:lvlJc w:val="left"/>
      <w:pPr>
        <w:ind w:left="1440" w:hanging="360"/>
      </w:pPr>
      <w:rPr>
        <w:rFonts w:ascii="Courier New" w:hAnsi="Courier New" w:hint="default"/>
      </w:rPr>
    </w:lvl>
    <w:lvl w:ilvl="2" w:tplc="91D2942E">
      <w:start w:val="1"/>
      <w:numFmt w:val="bullet"/>
      <w:lvlText w:val=""/>
      <w:lvlJc w:val="left"/>
      <w:pPr>
        <w:ind w:left="2160" w:hanging="360"/>
      </w:pPr>
      <w:rPr>
        <w:rFonts w:ascii="Wingdings" w:hAnsi="Wingdings" w:hint="default"/>
      </w:rPr>
    </w:lvl>
    <w:lvl w:ilvl="3" w:tplc="556A5E18">
      <w:start w:val="1"/>
      <w:numFmt w:val="bullet"/>
      <w:lvlText w:val=""/>
      <w:lvlJc w:val="left"/>
      <w:pPr>
        <w:ind w:left="2880" w:hanging="360"/>
      </w:pPr>
      <w:rPr>
        <w:rFonts w:ascii="Symbol" w:hAnsi="Symbol" w:hint="default"/>
      </w:rPr>
    </w:lvl>
    <w:lvl w:ilvl="4" w:tplc="2FB23BB4">
      <w:start w:val="1"/>
      <w:numFmt w:val="bullet"/>
      <w:lvlText w:val="o"/>
      <w:lvlJc w:val="left"/>
      <w:pPr>
        <w:ind w:left="3600" w:hanging="360"/>
      </w:pPr>
      <w:rPr>
        <w:rFonts w:ascii="Courier New" w:hAnsi="Courier New" w:hint="default"/>
      </w:rPr>
    </w:lvl>
    <w:lvl w:ilvl="5" w:tplc="C0283768">
      <w:start w:val="1"/>
      <w:numFmt w:val="bullet"/>
      <w:lvlText w:val=""/>
      <w:lvlJc w:val="left"/>
      <w:pPr>
        <w:ind w:left="4320" w:hanging="360"/>
      </w:pPr>
      <w:rPr>
        <w:rFonts w:ascii="Wingdings" w:hAnsi="Wingdings" w:hint="default"/>
      </w:rPr>
    </w:lvl>
    <w:lvl w:ilvl="6" w:tplc="17323D3C">
      <w:start w:val="1"/>
      <w:numFmt w:val="bullet"/>
      <w:lvlText w:val=""/>
      <w:lvlJc w:val="left"/>
      <w:pPr>
        <w:ind w:left="5040" w:hanging="360"/>
      </w:pPr>
      <w:rPr>
        <w:rFonts w:ascii="Symbol" w:hAnsi="Symbol" w:hint="default"/>
      </w:rPr>
    </w:lvl>
    <w:lvl w:ilvl="7" w:tplc="7782300C">
      <w:start w:val="1"/>
      <w:numFmt w:val="bullet"/>
      <w:lvlText w:val="o"/>
      <w:lvlJc w:val="left"/>
      <w:pPr>
        <w:ind w:left="5760" w:hanging="360"/>
      </w:pPr>
      <w:rPr>
        <w:rFonts w:ascii="Courier New" w:hAnsi="Courier New" w:hint="default"/>
      </w:rPr>
    </w:lvl>
    <w:lvl w:ilvl="8" w:tplc="C6CC0F72">
      <w:start w:val="1"/>
      <w:numFmt w:val="bullet"/>
      <w:lvlText w:val=""/>
      <w:lvlJc w:val="left"/>
      <w:pPr>
        <w:ind w:left="6480" w:hanging="360"/>
      </w:pPr>
      <w:rPr>
        <w:rFonts w:ascii="Wingdings" w:hAnsi="Wingdings" w:hint="default"/>
      </w:rPr>
    </w:lvl>
  </w:abstractNum>
  <w:abstractNum w:abstractNumId="5" w15:restartNumberingAfterBreak="0">
    <w:nsid w:val="18FBC5F4"/>
    <w:multiLevelType w:val="hybridMultilevel"/>
    <w:tmpl w:val="FFFFFFFF"/>
    <w:lvl w:ilvl="0" w:tplc="2AD24856">
      <w:start w:val="1"/>
      <w:numFmt w:val="bullet"/>
      <w:lvlText w:val=""/>
      <w:lvlJc w:val="left"/>
      <w:pPr>
        <w:ind w:left="720" w:hanging="360"/>
      </w:pPr>
      <w:rPr>
        <w:rFonts w:ascii="Symbol" w:hAnsi="Symbol" w:hint="default"/>
      </w:rPr>
    </w:lvl>
    <w:lvl w:ilvl="1" w:tplc="8D128B82">
      <w:start w:val="1"/>
      <w:numFmt w:val="bullet"/>
      <w:lvlText w:val="o"/>
      <w:lvlJc w:val="left"/>
      <w:pPr>
        <w:ind w:left="1440" w:hanging="360"/>
      </w:pPr>
      <w:rPr>
        <w:rFonts w:ascii="Courier New" w:hAnsi="Courier New" w:hint="default"/>
      </w:rPr>
    </w:lvl>
    <w:lvl w:ilvl="2" w:tplc="6C72D7E6">
      <w:start w:val="1"/>
      <w:numFmt w:val="bullet"/>
      <w:lvlText w:val=""/>
      <w:lvlJc w:val="left"/>
      <w:pPr>
        <w:ind w:left="2160" w:hanging="360"/>
      </w:pPr>
      <w:rPr>
        <w:rFonts w:ascii="Wingdings" w:hAnsi="Wingdings" w:hint="default"/>
      </w:rPr>
    </w:lvl>
    <w:lvl w:ilvl="3" w:tplc="46E64290">
      <w:start w:val="1"/>
      <w:numFmt w:val="bullet"/>
      <w:lvlText w:val=""/>
      <w:lvlJc w:val="left"/>
      <w:pPr>
        <w:ind w:left="2880" w:hanging="360"/>
      </w:pPr>
      <w:rPr>
        <w:rFonts w:ascii="Symbol" w:hAnsi="Symbol" w:hint="default"/>
      </w:rPr>
    </w:lvl>
    <w:lvl w:ilvl="4" w:tplc="EB245CC0">
      <w:start w:val="1"/>
      <w:numFmt w:val="bullet"/>
      <w:lvlText w:val="o"/>
      <w:lvlJc w:val="left"/>
      <w:pPr>
        <w:ind w:left="3600" w:hanging="360"/>
      </w:pPr>
      <w:rPr>
        <w:rFonts w:ascii="Courier New" w:hAnsi="Courier New" w:hint="default"/>
      </w:rPr>
    </w:lvl>
    <w:lvl w:ilvl="5" w:tplc="C8A288EA">
      <w:start w:val="1"/>
      <w:numFmt w:val="bullet"/>
      <w:lvlText w:val=""/>
      <w:lvlJc w:val="left"/>
      <w:pPr>
        <w:ind w:left="4320" w:hanging="360"/>
      </w:pPr>
      <w:rPr>
        <w:rFonts w:ascii="Wingdings" w:hAnsi="Wingdings" w:hint="default"/>
      </w:rPr>
    </w:lvl>
    <w:lvl w:ilvl="6" w:tplc="FA9A9CE2">
      <w:start w:val="1"/>
      <w:numFmt w:val="bullet"/>
      <w:lvlText w:val=""/>
      <w:lvlJc w:val="left"/>
      <w:pPr>
        <w:ind w:left="5040" w:hanging="360"/>
      </w:pPr>
      <w:rPr>
        <w:rFonts w:ascii="Symbol" w:hAnsi="Symbol" w:hint="default"/>
      </w:rPr>
    </w:lvl>
    <w:lvl w:ilvl="7" w:tplc="2D4877A0">
      <w:start w:val="1"/>
      <w:numFmt w:val="bullet"/>
      <w:lvlText w:val="o"/>
      <w:lvlJc w:val="left"/>
      <w:pPr>
        <w:ind w:left="5760" w:hanging="360"/>
      </w:pPr>
      <w:rPr>
        <w:rFonts w:ascii="Courier New" w:hAnsi="Courier New" w:hint="default"/>
      </w:rPr>
    </w:lvl>
    <w:lvl w:ilvl="8" w:tplc="BE50801E">
      <w:start w:val="1"/>
      <w:numFmt w:val="bullet"/>
      <w:lvlText w:val=""/>
      <w:lvlJc w:val="left"/>
      <w:pPr>
        <w:ind w:left="6480" w:hanging="360"/>
      </w:pPr>
      <w:rPr>
        <w:rFonts w:ascii="Wingdings" w:hAnsi="Wingdings" w:hint="default"/>
      </w:rPr>
    </w:lvl>
  </w:abstractNum>
  <w:abstractNum w:abstractNumId="6" w15:restartNumberingAfterBreak="0">
    <w:nsid w:val="1B274DEB"/>
    <w:multiLevelType w:val="hybridMultilevel"/>
    <w:tmpl w:val="FFFFFFFF"/>
    <w:lvl w:ilvl="0" w:tplc="D13ED6BA">
      <w:start w:val="1"/>
      <w:numFmt w:val="bullet"/>
      <w:lvlText w:val=""/>
      <w:lvlJc w:val="left"/>
      <w:pPr>
        <w:ind w:left="720" w:hanging="360"/>
      </w:pPr>
      <w:rPr>
        <w:rFonts w:ascii="Symbol" w:hAnsi="Symbol" w:hint="default"/>
      </w:rPr>
    </w:lvl>
    <w:lvl w:ilvl="1" w:tplc="423A15CA">
      <w:start w:val="1"/>
      <w:numFmt w:val="bullet"/>
      <w:lvlText w:val="o"/>
      <w:lvlJc w:val="left"/>
      <w:pPr>
        <w:ind w:left="1440" w:hanging="360"/>
      </w:pPr>
      <w:rPr>
        <w:rFonts w:ascii="Courier New" w:hAnsi="Courier New" w:hint="default"/>
      </w:rPr>
    </w:lvl>
    <w:lvl w:ilvl="2" w:tplc="38DA57B2">
      <w:start w:val="1"/>
      <w:numFmt w:val="bullet"/>
      <w:lvlText w:val=""/>
      <w:lvlJc w:val="left"/>
      <w:pPr>
        <w:ind w:left="2160" w:hanging="360"/>
      </w:pPr>
      <w:rPr>
        <w:rFonts w:ascii="Wingdings" w:hAnsi="Wingdings" w:hint="default"/>
      </w:rPr>
    </w:lvl>
    <w:lvl w:ilvl="3" w:tplc="A170B274">
      <w:start w:val="1"/>
      <w:numFmt w:val="bullet"/>
      <w:lvlText w:val=""/>
      <w:lvlJc w:val="left"/>
      <w:pPr>
        <w:ind w:left="2880" w:hanging="360"/>
      </w:pPr>
      <w:rPr>
        <w:rFonts w:ascii="Symbol" w:hAnsi="Symbol" w:hint="default"/>
      </w:rPr>
    </w:lvl>
    <w:lvl w:ilvl="4" w:tplc="847CFF14">
      <w:start w:val="1"/>
      <w:numFmt w:val="bullet"/>
      <w:lvlText w:val="o"/>
      <w:lvlJc w:val="left"/>
      <w:pPr>
        <w:ind w:left="3600" w:hanging="360"/>
      </w:pPr>
      <w:rPr>
        <w:rFonts w:ascii="Courier New" w:hAnsi="Courier New" w:hint="default"/>
      </w:rPr>
    </w:lvl>
    <w:lvl w:ilvl="5" w:tplc="51FCCAEE">
      <w:start w:val="1"/>
      <w:numFmt w:val="bullet"/>
      <w:lvlText w:val=""/>
      <w:lvlJc w:val="left"/>
      <w:pPr>
        <w:ind w:left="4320" w:hanging="360"/>
      </w:pPr>
      <w:rPr>
        <w:rFonts w:ascii="Wingdings" w:hAnsi="Wingdings" w:hint="default"/>
      </w:rPr>
    </w:lvl>
    <w:lvl w:ilvl="6" w:tplc="C220BE42">
      <w:start w:val="1"/>
      <w:numFmt w:val="bullet"/>
      <w:lvlText w:val=""/>
      <w:lvlJc w:val="left"/>
      <w:pPr>
        <w:ind w:left="5040" w:hanging="360"/>
      </w:pPr>
      <w:rPr>
        <w:rFonts w:ascii="Symbol" w:hAnsi="Symbol" w:hint="default"/>
      </w:rPr>
    </w:lvl>
    <w:lvl w:ilvl="7" w:tplc="A1B2A292">
      <w:start w:val="1"/>
      <w:numFmt w:val="bullet"/>
      <w:lvlText w:val="o"/>
      <w:lvlJc w:val="left"/>
      <w:pPr>
        <w:ind w:left="5760" w:hanging="360"/>
      </w:pPr>
      <w:rPr>
        <w:rFonts w:ascii="Courier New" w:hAnsi="Courier New" w:hint="default"/>
      </w:rPr>
    </w:lvl>
    <w:lvl w:ilvl="8" w:tplc="63F63432">
      <w:start w:val="1"/>
      <w:numFmt w:val="bullet"/>
      <w:lvlText w:val=""/>
      <w:lvlJc w:val="left"/>
      <w:pPr>
        <w:ind w:left="6480" w:hanging="360"/>
      </w:pPr>
      <w:rPr>
        <w:rFonts w:ascii="Wingdings" w:hAnsi="Wingdings" w:hint="default"/>
      </w:rPr>
    </w:lvl>
  </w:abstractNum>
  <w:abstractNum w:abstractNumId="7" w15:restartNumberingAfterBreak="0">
    <w:nsid w:val="1BD92322"/>
    <w:multiLevelType w:val="hybridMultilevel"/>
    <w:tmpl w:val="FFFFFFFF"/>
    <w:lvl w:ilvl="0" w:tplc="FFFFFFFF">
      <w:start w:val="1"/>
      <w:numFmt w:val="bullet"/>
      <w:lvlText w:val=""/>
      <w:lvlJc w:val="left"/>
      <w:pPr>
        <w:ind w:left="720" w:hanging="360"/>
      </w:pPr>
      <w:rPr>
        <w:rFonts w:ascii="Symbol" w:hAnsi="Symbol" w:hint="default"/>
      </w:rPr>
    </w:lvl>
    <w:lvl w:ilvl="1" w:tplc="B194E974">
      <w:start w:val="1"/>
      <w:numFmt w:val="bullet"/>
      <w:lvlText w:val="o"/>
      <w:lvlJc w:val="left"/>
      <w:pPr>
        <w:ind w:left="1440" w:hanging="360"/>
      </w:pPr>
      <w:rPr>
        <w:rFonts w:ascii="Courier New" w:hAnsi="Courier New" w:hint="default"/>
      </w:rPr>
    </w:lvl>
    <w:lvl w:ilvl="2" w:tplc="9FA04ABA">
      <w:start w:val="1"/>
      <w:numFmt w:val="bullet"/>
      <w:lvlText w:val=""/>
      <w:lvlJc w:val="left"/>
      <w:pPr>
        <w:ind w:left="2160" w:hanging="360"/>
      </w:pPr>
      <w:rPr>
        <w:rFonts w:ascii="Wingdings" w:hAnsi="Wingdings" w:hint="default"/>
      </w:rPr>
    </w:lvl>
    <w:lvl w:ilvl="3" w:tplc="191A5416">
      <w:start w:val="1"/>
      <w:numFmt w:val="bullet"/>
      <w:lvlText w:val=""/>
      <w:lvlJc w:val="left"/>
      <w:pPr>
        <w:ind w:left="2880" w:hanging="360"/>
      </w:pPr>
      <w:rPr>
        <w:rFonts w:ascii="Symbol" w:hAnsi="Symbol" w:hint="default"/>
      </w:rPr>
    </w:lvl>
    <w:lvl w:ilvl="4" w:tplc="384C12C2">
      <w:start w:val="1"/>
      <w:numFmt w:val="bullet"/>
      <w:lvlText w:val="o"/>
      <w:lvlJc w:val="left"/>
      <w:pPr>
        <w:ind w:left="3600" w:hanging="360"/>
      </w:pPr>
      <w:rPr>
        <w:rFonts w:ascii="Courier New" w:hAnsi="Courier New" w:hint="default"/>
      </w:rPr>
    </w:lvl>
    <w:lvl w:ilvl="5" w:tplc="0C00C0F6">
      <w:start w:val="1"/>
      <w:numFmt w:val="bullet"/>
      <w:lvlText w:val=""/>
      <w:lvlJc w:val="left"/>
      <w:pPr>
        <w:ind w:left="4320" w:hanging="360"/>
      </w:pPr>
      <w:rPr>
        <w:rFonts w:ascii="Wingdings" w:hAnsi="Wingdings" w:hint="default"/>
      </w:rPr>
    </w:lvl>
    <w:lvl w:ilvl="6" w:tplc="3C6C697C">
      <w:start w:val="1"/>
      <w:numFmt w:val="bullet"/>
      <w:lvlText w:val=""/>
      <w:lvlJc w:val="left"/>
      <w:pPr>
        <w:ind w:left="5040" w:hanging="360"/>
      </w:pPr>
      <w:rPr>
        <w:rFonts w:ascii="Symbol" w:hAnsi="Symbol" w:hint="default"/>
      </w:rPr>
    </w:lvl>
    <w:lvl w:ilvl="7" w:tplc="394EE74A">
      <w:start w:val="1"/>
      <w:numFmt w:val="bullet"/>
      <w:lvlText w:val="o"/>
      <w:lvlJc w:val="left"/>
      <w:pPr>
        <w:ind w:left="5760" w:hanging="360"/>
      </w:pPr>
      <w:rPr>
        <w:rFonts w:ascii="Courier New" w:hAnsi="Courier New" w:hint="default"/>
      </w:rPr>
    </w:lvl>
    <w:lvl w:ilvl="8" w:tplc="8968BE58">
      <w:start w:val="1"/>
      <w:numFmt w:val="bullet"/>
      <w:lvlText w:val=""/>
      <w:lvlJc w:val="left"/>
      <w:pPr>
        <w:ind w:left="6480" w:hanging="360"/>
      </w:pPr>
      <w:rPr>
        <w:rFonts w:ascii="Wingdings" w:hAnsi="Wingdings" w:hint="default"/>
      </w:rPr>
    </w:lvl>
  </w:abstractNum>
  <w:abstractNum w:abstractNumId="8" w15:restartNumberingAfterBreak="0">
    <w:nsid w:val="1C3AF3E5"/>
    <w:multiLevelType w:val="hybridMultilevel"/>
    <w:tmpl w:val="BA32BAB6"/>
    <w:lvl w:ilvl="0" w:tplc="8458B99A">
      <w:start w:val="1"/>
      <w:numFmt w:val="bullet"/>
      <w:lvlText w:val=""/>
      <w:lvlJc w:val="left"/>
      <w:pPr>
        <w:ind w:left="720" w:hanging="360"/>
      </w:pPr>
      <w:rPr>
        <w:rFonts w:ascii="Symbol" w:hAnsi="Symbol" w:hint="default"/>
      </w:rPr>
    </w:lvl>
    <w:lvl w:ilvl="1" w:tplc="E1FAB03C">
      <w:start w:val="1"/>
      <w:numFmt w:val="bullet"/>
      <w:lvlText w:val="o"/>
      <w:lvlJc w:val="left"/>
      <w:pPr>
        <w:ind w:left="1440" w:hanging="360"/>
      </w:pPr>
      <w:rPr>
        <w:rFonts w:ascii="Courier New" w:hAnsi="Courier New" w:hint="default"/>
      </w:rPr>
    </w:lvl>
    <w:lvl w:ilvl="2" w:tplc="8D90524C">
      <w:start w:val="1"/>
      <w:numFmt w:val="bullet"/>
      <w:lvlText w:val=""/>
      <w:lvlJc w:val="left"/>
      <w:pPr>
        <w:ind w:left="2160" w:hanging="360"/>
      </w:pPr>
      <w:rPr>
        <w:rFonts w:ascii="Wingdings" w:hAnsi="Wingdings" w:hint="default"/>
      </w:rPr>
    </w:lvl>
    <w:lvl w:ilvl="3" w:tplc="B08C8B2E">
      <w:start w:val="1"/>
      <w:numFmt w:val="bullet"/>
      <w:lvlText w:val=""/>
      <w:lvlJc w:val="left"/>
      <w:pPr>
        <w:ind w:left="2880" w:hanging="360"/>
      </w:pPr>
      <w:rPr>
        <w:rFonts w:ascii="Symbol" w:hAnsi="Symbol" w:hint="default"/>
      </w:rPr>
    </w:lvl>
    <w:lvl w:ilvl="4" w:tplc="EB141CB8">
      <w:start w:val="1"/>
      <w:numFmt w:val="bullet"/>
      <w:lvlText w:val="o"/>
      <w:lvlJc w:val="left"/>
      <w:pPr>
        <w:ind w:left="3600" w:hanging="360"/>
      </w:pPr>
      <w:rPr>
        <w:rFonts w:ascii="Courier New" w:hAnsi="Courier New" w:hint="default"/>
      </w:rPr>
    </w:lvl>
    <w:lvl w:ilvl="5" w:tplc="1AB60876">
      <w:start w:val="1"/>
      <w:numFmt w:val="bullet"/>
      <w:lvlText w:val=""/>
      <w:lvlJc w:val="left"/>
      <w:pPr>
        <w:ind w:left="4320" w:hanging="360"/>
      </w:pPr>
      <w:rPr>
        <w:rFonts w:ascii="Wingdings" w:hAnsi="Wingdings" w:hint="default"/>
      </w:rPr>
    </w:lvl>
    <w:lvl w:ilvl="6" w:tplc="D1A89DEC">
      <w:start w:val="1"/>
      <w:numFmt w:val="bullet"/>
      <w:lvlText w:val=""/>
      <w:lvlJc w:val="left"/>
      <w:pPr>
        <w:ind w:left="5040" w:hanging="360"/>
      </w:pPr>
      <w:rPr>
        <w:rFonts w:ascii="Symbol" w:hAnsi="Symbol" w:hint="default"/>
      </w:rPr>
    </w:lvl>
    <w:lvl w:ilvl="7" w:tplc="111EEC7A">
      <w:start w:val="1"/>
      <w:numFmt w:val="bullet"/>
      <w:lvlText w:val="o"/>
      <w:lvlJc w:val="left"/>
      <w:pPr>
        <w:ind w:left="5760" w:hanging="360"/>
      </w:pPr>
      <w:rPr>
        <w:rFonts w:ascii="Courier New" w:hAnsi="Courier New" w:hint="default"/>
      </w:rPr>
    </w:lvl>
    <w:lvl w:ilvl="8" w:tplc="B9FC6CAC">
      <w:start w:val="1"/>
      <w:numFmt w:val="bullet"/>
      <w:lvlText w:val=""/>
      <w:lvlJc w:val="left"/>
      <w:pPr>
        <w:ind w:left="6480" w:hanging="360"/>
      </w:pPr>
      <w:rPr>
        <w:rFonts w:ascii="Wingdings" w:hAnsi="Wingdings" w:hint="default"/>
      </w:rPr>
    </w:lvl>
  </w:abstractNum>
  <w:abstractNum w:abstractNumId="9" w15:restartNumberingAfterBreak="0">
    <w:nsid w:val="36D3D980"/>
    <w:multiLevelType w:val="hybridMultilevel"/>
    <w:tmpl w:val="E096978A"/>
    <w:lvl w:ilvl="0" w:tplc="17DEE918">
      <w:start w:val="1"/>
      <w:numFmt w:val="bullet"/>
      <w:lvlText w:val=""/>
      <w:lvlJc w:val="left"/>
      <w:pPr>
        <w:ind w:left="720" w:hanging="360"/>
      </w:pPr>
      <w:rPr>
        <w:rFonts w:ascii="Symbol" w:hAnsi="Symbol" w:hint="default"/>
      </w:rPr>
    </w:lvl>
    <w:lvl w:ilvl="1" w:tplc="C15C76FA">
      <w:start w:val="1"/>
      <w:numFmt w:val="bullet"/>
      <w:lvlText w:val="o"/>
      <w:lvlJc w:val="left"/>
      <w:pPr>
        <w:ind w:left="1440" w:hanging="360"/>
      </w:pPr>
      <w:rPr>
        <w:rFonts w:ascii="Courier New" w:hAnsi="Courier New" w:hint="default"/>
      </w:rPr>
    </w:lvl>
    <w:lvl w:ilvl="2" w:tplc="DD5E1678">
      <w:start w:val="1"/>
      <w:numFmt w:val="bullet"/>
      <w:lvlText w:val=""/>
      <w:lvlJc w:val="left"/>
      <w:pPr>
        <w:ind w:left="2160" w:hanging="360"/>
      </w:pPr>
      <w:rPr>
        <w:rFonts w:ascii="Wingdings" w:hAnsi="Wingdings" w:hint="default"/>
      </w:rPr>
    </w:lvl>
    <w:lvl w:ilvl="3" w:tplc="4E907CF2">
      <w:start w:val="1"/>
      <w:numFmt w:val="bullet"/>
      <w:lvlText w:val=""/>
      <w:lvlJc w:val="left"/>
      <w:pPr>
        <w:ind w:left="2880" w:hanging="360"/>
      </w:pPr>
      <w:rPr>
        <w:rFonts w:ascii="Symbol" w:hAnsi="Symbol" w:hint="default"/>
      </w:rPr>
    </w:lvl>
    <w:lvl w:ilvl="4" w:tplc="C90C442C">
      <w:start w:val="1"/>
      <w:numFmt w:val="bullet"/>
      <w:lvlText w:val="o"/>
      <w:lvlJc w:val="left"/>
      <w:pPr>
        <w:ind w:left="3600" w:hanging="360"/>
      </w:pPr>
      <w:rPr>
        <w:rFonts w:ascii="Courier New" w:hAnsi="Courier New" w:hint="default"/>
      </w:rPr>
    </w:lvl>
    <w:lvl w:ilvl="5" w:tplc="B8587C06">
      <w:start w:val="1"/>
      <w:numFmt w:val="bullet"/>
      <w:lvlText w:val=""/>
      <w:lvlJc w:val="left"/>
      <w:pPr>
        <w:ind w:left="4320" w:hanging="360"/>
      </w:pPr>
      <w:rPr>
        <w:rFonts w:ascii="Wingdings" w:hAnsi="Wingdings" w:hint="default"/>
      </w:rPr>
    </w:lvl>
    <w:lvl w:ilvl="6" w:tplc="961C2958">
      <w:start w:val="1"/>
      <w:numFmt w:val="bullet"/>
      <w:lvlText w:val=""/>
      <w:lvlJc w:val="left"/>
      <w:pPr>
        <w:ind w:left="5040" w:hanging="360"/>
      </w:pPr>
      <w:rPr>
        <w:rFonts w:ascii="Symbol" w:hAnsi="Symbol" w:hint="default"/>
      </w:rPr>
    </w:lvl>
    <w:lvl w:ilvl="7" w:tplc="9C887BEE">
      <w:start w:val="1"/>
      <w:numFmt w:val="bullet"/>
      <w:lvlText w:val="o"/>
      <w:lvlJc w:val="left"/>
      <w:pPr>
        <w:ind w:left="5760" w:hanging="360"/>
      </w:pPr>
      <w:rPr>
        <w:rFonts w:ascii="Courier New" w:hAnsi="Courier New" w:hint="default"/>
      </w:rPr>
    </w:lvl>
    <w:lvl w:ilvl="8" w:tplc="E70A3118">
      <w:start w:val="1"/>
      <w:numFmt w:val="bullet"/>
      <w:lvlText w:val=""/>
      <w:lvlJc w:val="left"/>
      <w:pPr>
        <w:ind w:left="6480" w:hanging="360"/>
      </w:pPr>
      <w:rPr>
        <w:rFonts w:ascii="Wingdings" w:hAnsi="Wingdings" w:hint="default"/>
      </w:rPr>
    </w:lvl>
  </w:abstractNum>
  <w:abstractNum w:abstractNumId="10" w15:restartNumberingAfterBreak="0">
    <w:nsid w:val="37D5AB38"/>
    <w:multiLevelType w:val="hybridMultilevel"/>
    <w:tmpl w:val="FFFFFFFF"/>
    <w:lvl w:ilvl="0" w:tplc="99F01FE6">
      <w:start w:val="1"/>
      <w:numFmt w:val="bullet"/>
      <w:lvlText w:val=""/>
      <w:lvlJc w:val="left"/>
      <w:pPr>
        <w:ind w:left="720" w:hanging="360"/>
      </w:pPr>
      <w:rPr>
        <w:rFonts w:ascii="Symbol" w:hAnsi="Symbol" w:hint="default"/>
      </w:rPr>
    </w:lvl>
    <w:lvl w:ilvl="1" w:tplc="4176988A">
      <w:start w:val="1"/>
      <w:numFmt w:val="bullet"/>
      <w:lvlText w:val="o"/>
      <w:lvlJc w:val="left"/>
      <w:pPr>
        <w:ind w:left="1440" w:hanging="360"/>
      </w:pPr>
      <w:rPr>
        <w:rFonts w:ascii="Courier New" w:hAnsi="Courier New" w:hint="default"/>
      </w:rPr>
    </w:lvl>
    <w:lvl w:ilvl="2" w:tplc="4CFCF4D2">
      <w:start w:val="1"/>
      <w:numFmt w:val="bullet"/>
      <w:lvlText w:val=""/>
      <w:lvlJc w:val="left"/>
      <w:pPr>
        <w:ind w:left="2160" w:hanging="360"/>
      </w:pPr>
      <w:rPr>
        <w:rFonts w:ascii="Wingdings" w:hAnsi="Wingdings" w:hint="default"/>
      </w:rPr>
    </w:lvl>
    <w:lvl w:ilvl="3" w:tplc="C6505EEE">
      <w:start w:val="1"/>
      <w:numFmt w:val="bullet"/>
      <w:lvlText w:val=""/>
      <w:lvlJc w:val="left"/>
      <w:pPr>
        <w:ind w:left="2880" w:hanging="360"/>
      </w:pPr>
      <w:rPr>
        <w:rFonts w:ascii="Symbol" w:hAnsi="Symbol" w:hint="default"/>
      </w:rPr>
    </w:lvl>
    <w:lvl w:ilvl="4" w:tplc="4C0011EA">
      <w:start w:val="1"/>
      <w:numFmt w:val="bullet"/>
      <w:lvlText w:val="o"/>
      <w:lvlJc w:val="left"/>
      <w:pPr>
        <w:ind w:left="3600" w:hanging="360"/>
      </w:pPr>
      <w:rPr>
        <w:rFonts w:ascii="Courier New" w:hAnsi="Courier New" w:hint="default"/>
      </w:rPr>
    </w:lvl>
    <w:lvl w:ilvl="5" w:tplc="A66E3D84">
      <w:start w:val="1"/>
      <w:numFmt w:val="bullet"/>
      <w:lvlText w:val=""/>
      <w:lvlJc w:val="left"/>
      <w:pPr>
        <w:ind w:left="4320" w:hanging="360"/>
      </w:pPr>
      <w:rPr>
        <w:rFonts w:ascii="Wingdings" w:hAnsi="Wingdings" w:hint="default"/>
      </w:rPr>
    </w:lvl>
    <w:lvl w:ilvl="6" w:tplc="716E1FC4">
      <w:start w:val="1"/>
      <w:numFmt w:val="bullet"/>
      <w:lvlText w:val=""/>
      <w:lvlJc w:val="left"/>
      <w:pPr>
        <w:ind w:left="5040" w:hanging="360"/>
      </w:pPr>
      <w:rPr>
        <w:rFonts w:ascii="Symbol" w:hAnsi="Symbol" w:hint="default"/>
      </w:rPr>
    </w:lvl>
    <w:lvl w:ilvl="7" w:tplc="05563582">
      <w:start w:val="1"/>
      <w:numFmt w:val="bullet"/>
      <w:lvlText w:val="o"/>
      <w:lvlJc w:val="left"/>
      <w:pPr>
        <w:ind w:left="5760" w:hanging="360"/>
      </w:pPr>
      <w:rPr>
        <w:rFonts w:ascii="Courier New" w:hAnsi="Courier New" w:hint="default"/>
      </w:rPr>
    </w:lvl>
    <w:lvl w:ilvl="8" w:tplc="24F634BC">
      <w:start w:val="1"/>
      <w:numFmt w:val="bullet"/>
      <w:lvlText w:val=""/>
      <w:lvlJc w:val="left"/>
      <w:pPr>
        <w:ind w:left="6480" w:hanging="360"/>
      </w:pPr>
      <w:rPr>
        <w:rFonts w:ascii="Wingdings" w:hAnsi="Wingdings" w:hint="default"/>
      </w:rPr>
    </w:lvl>
  </w:abstractNum>
  <w:abstractNum w:abstractNumId="11" w15:restartNumberingAfterBreak="0">
    <w:nsid w:val="3B3CAACC"/>
    <w:multiLevelType w:val="hybridMultilevel"/>
    <w:tmpl w:val="FFFFFFFF"/>
    <w:lvl w:ilvl="0" w:tplc="C4FE0046">
      <w:start w:val="1"/>
      <w:numFmt w:val="bullet"/>
      <w:lvlText w:val=""/>
      <w:lvlJc w:val="left"/>
      <w:pPr>
        <w:ind w:left="720" w:hanging="360"/>
      </w:pPr>
      <w:rPr>
        <w:rFonts w:ascii="Symbol" w:hAnsi="Symbol" w:hint="default"/>
      </w:rPr>
    </w:lvl>
    <w:lvl w:ilvl="1" w:tplc="DBAE4B74">
      <w:start w:val="1"/>
      <w:numFmt w:val="bullet"/>
      <w:lvlText w:val="o"/>
      <w:lvlJc w:val="left"/>
      <w:pPr>
        <w:ind w:left="1440" w:hanging="360"/>
      </w:pPr>
      <w:rPr>
        <w:rFonts w:ascii="Courier New" w:hAnsi="Courier New" w:hint="default"/>
      </w:rPr>
    </w:lvl>
    <w:lvl w:ilvl="2" w:tplc="1AF6C2F8">
      <w:start w:val="1"/>
      <w:numFmt w:val="bullet"/>
      <w:lvlText w:val=""/>
      <w:lvlJc w:val="left"/>
      <w:pPr>
        <w:ind w:left="2160" w:hanging="360"/>
      </w:pPr>
      <w:rPr>
        <w:rFonts w:ascii="Wingdings" w:hAnsi="Wingdings" w:hint="default"/>
      </w:rPr>
    </w:lvl>
    <w:lvl w:ilvl="3" w:tplc="17B83C64">
      <w:start w:val="1"/>
      <w:numFmt w:val="bullet"/>
      <w:lvlText w:val=""/>
      <w:lvlJc w:val="left"/>
      <w:pPr>
        <w:ind w:left="2880" w:hanging="360"/>
      </w:pPr>
      <w:rPr>
        <w:rFonts w:ascii="Symbol" w:hAnsi="Symbol" w:hint="default"/>
      </w:rPr>
    </w:lvl>
    <w:lvl w:ilvl="4" w:tplc="52CCDB22">
      <w:start w:val="1"/>
      <w:numFmt w:val="bullet"/>
      <w:lvlText w:val="o"/>
      <w:lvlJc w:val="left"/>
      <w:pPr>
        <w:ind w:left="3600" w:hanging="360"/>
      </w:pPr>
      <w:rPr>
        <w:rFonts w:ascii="Courier New" w:hAnsi="Courier New" w:hint="default"/>
      </w:rPr>
    </w:lvl>
    <w:lvl w:ilvl="5" w:tplc="2642F454">
      <w:start w:val="1"/>
      <w:numFmt w:val="bullet"/>
      <w:lvlText w:val=""/>
      <w:lvlJc w:val="left"/>
      <w:pPr>
        <w:ind w:left="4320" w:hanging="360"/>
      </w:pPr>
      <w:rPr>
        <w:rFonts w:ascii="Wingdings" w:hAnsi="Wingdings" w:hint="default"/>
      </w:rPr>
    </w:lvl>
    <w:lvl w:ilvl="6" w:tplc="E688B366">
      <w:start w:val="1"/>
      <w:numFmt w:val="bullet"/>
      <w:lvlText w:val=""/>
      <w:lvlJc w:val="left"/>
      <w:pPr>
        <w:ind w:left="5040" w:hanging="360"/>
      </w:pPr>
      <w:rPr>
        <w:rFonts w:ascii="Symbol" w:hAnsi="Symbol" w:hint="default"/>
      </w:rPr>
    </w:lvl>
    <w:lvl w:ilvl="7" w:tplc="C74094C4">
      <w:start w:val="1"/>
      <w:numFmt w:val="bullet"/>
      <w:lvlText w:val="o"/>
      <w:lvlJc w:val="left"/>
      <w:pPr>
        <w:ind w:left="5760" w:hanging="360"/>
      </w:pPr>
      <w:rPr>
        <w:rFonts w:ascii="Courier New" w:hAnsi="Courier New" w:hint="default"/>
      </w:rPr>
    </w:lvl>
    <w:lvl w:ilvl="8" w:tplc="BEA667CA">
      <w:start w:val="1"/>
      <w:numFmt w:val="bullet"/>
      <w:lvlText w:val=""/>
      <w:lvlJc w:val="left"/>
      <w:pPr>
        <w:ind w:left="6480" w:hanging="360"/>
      </w:pPr>
      <w:rPr>
        <w:rFonts w:ascii="Wingdings" w:hAnsi="Wingdings" w:hint="default"/>
      </w:rPr>
    </w:lvl>
  </w:abstractNum>
  <w:abstractNum w:abstractNumId="12" w15:restartNumberingAfterBreak="0">
    <w:nsid w:val="4D46ACDE"/>
    <w:multiLevelType w:val="hybridMultilevel"/>
    <w:tmpl w:val="FFFFFFFF"/>
    <w:lvl w:ilvl="0" w:tplc="699026EA">
      <w:start w:val="1"/>
      <w:numFmt w:val="bullet"/>
      <w:lvlText w:val=""/>
      <w:lvlJc w:val="left"/>
      <w:pPr>
        <w:ind w:left="720" w:hanging="360"/>
      </w:pPr>
      <w:rPr>
        <w:rFonts w:ascii="Symbol" w:hAnsi="Symbol" w:hint="default"/>
      </w:rPr>
    </w:lvl>
    <w:lvl w:ilvl="1" w:tplc="5F90AACA">
      <w:start w:val="1"/>
      <w:numFmt w:val="bullet"/>
      <w:lvlText w:val="o"/>
      <w:lvlJc w:val="left"/>
      <w:pPr>
        <w:ind w:left="1440" w:hanging="360"/>
      </w:pPr>
      <w:rPr>
        <w:rFonts w:ascii="Courier New" w:hAnsi="Courier New" w:hint="default"/>
      </w:rPr>
    </w:lvl>
    <w:lvl w:ilvl="2" w:tplc="95DA513A">
      <w:start w:val="1"/>
      <w:numFmt w:val="bullet"/>
      <w:lvlText w:val=""/>
      <w:lvlJc w:val="left"/>
      <w:pPr>
        <w:ind w:left="2160" w:hanging="360"/>
      </w:pPr>
      <w:rPr>
        <w:rFonts w:ascii="Wingdings" w:hAnsi="Wingdings" w:hint="default"/>
      </w:rPr>
    </w:lvl>
    <w:lvl w:ilvl="3" w:tplc="B278293E">
      <w:start w:val="1"/>
      <w:numFmt w:val="bullet"/>
      <w:lvlText w:val=""/>
      <w:lvlJc w:val="left"/>
      <w:pPr>
        <w:ind w:left="2880" w:hanging="360"/>
      </w:pPr>
      <w:rPr>
        <w:rFonts w:ascii="Symbol" w:hAnsi="Symbol" w:hint="default"/>
      </w:rPr>
    </w:lvl>
    <w:lvl w:ilvl="4" w:tplc="B0CCED50">
      <w:start w:val="1"/>
      <w:numFmt w:val="bullet"/>
      <w:lvlText w:val="o"/>
      <w:lvlJc w:val="left"/>
      <w:pPr>
        <w:ind w:left="3600" w:hanging="360"/>
      </w:pPr>
      <w:rPr>
        <w:rFonts w:ascii="Courier New" w:hAnsi="Courier New" w:hint="default"/>
      </w:rPr>
    </w:lvl>
    <w:lvl w:ilvl="5" w:tplc="C07CE3D2">
      <w:start w:val="1"/>
      <w:numFmt w:val="bullet"/>
      <w:lvlText w:val=""/>
      <w:lvlJc w:val="left"/>
      <w:pPr>
        <w:ind w:left="4320" w:hanging="360"/>
      </w:pPr>
      <w:rPr>
        <w:rFonts w:ascii="Wingdings" w:hAnsi="Wingdings" w:hint="default"/>
      </w:rPr>
    </w:lvl>
    <w:lvl w:ilvl="6" w:tplc="A3E05C1E">
      <w:start w:val="1"/>
      <w:numFmt w:val="bullet"/>
      <w:lvlText w:val=""/>
      <w:lvlJc w:val="left"/>
      <w:pPr>
        <w:ind w:left="5040" w:hanging="360"/>
      </w:pPr>
      <w:rPr>
        <w:rFonts w:ascii="Symbol" w:hAnsi="Symbol" w:hint="default"/>
      </w:rPr>
    </w:lvl>
    <w:lvl w:ilvl="7" w:tplc="5BE6E3A0">
      <w:start w:val="1"/>
      <w:numFmt w:val="bullet"/>
      <w:lvlText w:val="o"/>
      <w:lvlJc w:val="left"/>
      <w:pPr>
        <w:ind w:left="5760" w:hanging="360"/>
      </w:pPr>
      <w:rPr>
        <w:rFonts w:ascii="Courier New" w:hAnsi="Courier New" w:hint="default"/>
      </w:rPr>
    </w:lvl>
    <w:lvl w:ilvl="8" w:tplc="FA44972C">
      <w:start w:val="1"/>
      <w:numFmt w:val="bullet"/>
      <w:lvlText w:val=""/>
      <w:lvlJc w:val="left"/>
      <w:pPr>
        <w:ind w:left="6480" w:hanging="360"/>
      </w:pPr>
      <w:rPr>
        <w:rFonts w:ascii="Wingdings" w:hAnsi="Wingdings" w:hint="default"/>
      </w:rPr>
    </w:lvl>
  </w:abstractNum>
  <w:abstractNum w:abstractNumId="13" w15:restartNumberingAfterBreak="0">
    <w:nsid w:val="5071B8AE"/>
    <w:multiLevelType w:val="hybridMultilevel"/>
    <w:tmpl w:val="FFFFFFFF"/>
    <w:lvl w:ilvl="0" w:tplc="9B8A6590">
      <w:start w:val="1"/>
      <w:numFmt w:val="bullet"/>
      <w:lvlText w:val=""/>
      <w:lvlJc w:val="left"/>
      <w:pPr>
        <w:ind w:left="720" w:hanging="360"/>
      </w:pPr>
      <w:rPr>
        <w:rFonts w:ascii="Symbol" w:hAnsi="Symbol" w:hint="default"/>
      </w:rPr>
    </w:lvl>
    <w:lvl w:ilvl="1" w:tplc="D50E2BA8">
      <w:start w:val="1"/>
      <w:numFmt w:val="bullet"/>
      <w:lvlText w:val="o"/>
      <w:lvlJc w:val="left"/>
      <w:pPr>
        <w:ind w:left="1440" w:hanging="360"/>
      </w:pPr>
      <w:rPr>
        <w:rFonts w:ascii="Courier New" w:hAnsi="Courier New" w:hint="default"/>
      </w:rPr>
    </w:lvl>
    <w:lvl w:ilvl="2" w:tplc="3CD4DD2A">
      <w:start w:val="1"/>
      <w:numFmt w:val="bullet"/>
      <w:lvlText w:val=""/>
      <w:lvlJc w:val="left"/>
      <w:pPr>
        <w:ind w:left="2160" w:hanging="360"/>
      </w:pPr>
      <w:rPr>
        <w:rFonts w:ascii="Wingdings" w:hAnsi="Wingdings" w:hint="default"/>
      </w:rPr>
    </w:lvl>
    <w:lvl w:ilvl="3" w:tplc="3AAC447A">
      <w:start w:val="1"/>
      <w:numFmt w:val="bullet"/>
      <w:lvlText w:val=""/>
      <w:lvlJc w:val="left"/>
      <w:pPr>
        <w:ind w:left="2880" w:hanging="360"/>
      </w:pPr>
      <w:rPr>
        <w:rFonts w:ascii="Symbol" w:hAnsi="Symbol" w:hint="default"/>
      </w:rPr>
    </w:lvl>
    <w:lvl w:ilvl="4" w:tplc="7E88A912">
      <w:start w:val="1"/>
      <w:numFmt w:val="bullet"/>
      <w:lvlText w:val="o"/>
      <w:lvlJc w:val="left"/>
      <w:pPr>
        <w:ind w:left="3600" w:hanging="360"/>
      </w:pPr>
      <w:rPr>
        <w:rFonts w:ascii="Courier New" w:hAnsi="Courier New" w:hint="default"/>
      </w:rPr>
    </w:lvl>
    <w:lvl w:ilvl="5" w:tplc="920A0C42">
      <w:start w:val="1"/>
      <w:numFmt w:val="bullet"/>
      <w:lvlText w:val=""/>
      <w:lvlJc w:val="left"/>
      <w:pPr>
        <w:ind w:left="4320" w:hanging="360"/>
      </w:pPr>
      <w:rPr>
        <w:rFonts w:ascii="Wingdings" w:hAnsi="Wingdings" w:hint="default"/>
      </w:rPr>
    </w:lvl>
    <w:lvl w:ilvl="6" w:tplc="83B06166">
      <w:start w:val="1"/>
      <w:numFmt w:val="bullet"/>
      <w:lvlText w:val=""/>
      <w:lvlJc w:val="left"/>
      <w:pPr>
        <w:ind w:left="5040" w:hanging="360"/>
      </w:pPr>
      <w:rPr>
        <w:rFonts w:ascii="Symbol" w:hAnsi="Symbol" w:hint="default"/>
      </w:rPr>
    </w:lvl>
    <w:lvl w:ilvl="7" w:tplc="FF5C2746">
      <w:start w:val="1"/>
      <w:numFmt w:val="bullet"/>
      <w:lvlText w:val="o"/>
      <w:lvlJc w:val="left"/>
      <w:pPr>
        <w:ind w:left="5760" w:hanging="360"/>
      </w:pPr>
      <w:rPr>
        <w:rFonts w:ascii="Courier New" w:hAnsi="Courier New" w:hint="default"/>
      </w:rPr>
    </w:lvl>
    <w:lvl w:ilvl="8" w:tplc="041C0E8C">
      <w:start w:val="1"/>
      <w:numFmt w:val="bullet"/>
      <w:lvlText w:val=""/>
      <w:lvlJc w:val="left"/>
      <w:pPr>
        <w:ind w:left="6480" w:hanging="360"/>
      </w:pPr>
      <w:rPr>
        <w:rFonts w:ascii="Wingdings" w:hAnsi="Wingdings" w:hint="default"/>
      </w:rPr>
    </w:lvl>
  </w:abstractNum>
  <w:abstractNum w:abstractNumId="14" w15:restartNumberingAfterBreak="0">
    <w:nsid w:val="5D0158D6"/>
    <w:multiLevelType w:val="hybridMultilevel"/>
    <w:tmpl w:val="FFFFFFFF"/>
    <w:lvl w:ilvl="0" w:tplc="47E22496">
      <w:start w:val="1"/>
      <w:numFmt w:val="bullet"/>
      <w:lvlText w:val=""/>
      <w:lvlJc w:val="left"/>
      <w:pPr>
        <w:ind w:left="720" w:hanging="360"/>
      </w:pPr>
      <w:rPr>
        <w:rFonts w:ascii="Symbol" w:hAnsi="Symbol" w:hint="default"/>
      </w:rPr>
    </w:lvl>
    <w:lvl w:ilvl="1" w:tplc="D80E1C64">
      <w:start w:val="1"/>
      <w:numFmt w:val="bullet"/>
      <w:lvlText w:val="o"/>
      <w:lvlJc w:val="left"/>
      <w:pPr>
        <w:ind w:left="1440" w:hanging="360"/>
      </w:pPr>
      <w:rPr>
        <w:rFonts w:ascii="Courier New" w:hAnsi="Courier New" w:hint="default"/>
      </w:rPr>
    </w:lvl>
    <w:lvl w:ilvl="2" w:tplc="7A92916C">
      <w:start w:val="1"/>
      <w:numFmt w:val="bullet"/>
      <w:lvlText w:val=""/>
      <w:lvlJc w:val="left"/>
      <w:pPr>
        <w:ind w:left="2160" w:hanging="360"/>
      </w:pPr>
      <w:rPr>
        <w:rFonts w:ascii="Wingdings" w:hAnsi="Wingdings" w:hint="default"/>
      </w:rPr>
    </w:lvl>
    <w:lvl w:ilvl="3" w:tplc="7F626CA6">
      <w:start w:val="1"/>
      <w:numFmt w:val="bullet"/>
      <w:lvlText w:val=""/>
      <w:lvlJc w:val="left"/>
      <w:pPr>
        <w:ind w:left="2880" w:hanging="360"/>
      </w:pPr>
      <w:rPr>
        <w:rFonts w:ascii="Symbol" w:hAnsi="Symbol" w:hint="default"/>
      </w:rPr>
    </w:lvl>
    <w:lvl w:ilvl="4" w:tplc="BF7A5E2C">
      <w:start w:val="1"/>
      <w:numFmt w:val="bullet"/>
      <w:lvlText w:val="o"/>
      <w:lvlJc w:val="left"/>
      <w:pPr>
        <w:ind w:left="3600" w:hanging="360"/>
      </w:pPr>
      <w:rPr>
        <w:rFonts w:ascii="Courier New" w:hAnsi="Courier New" w:hint="default"/>
      </w:rPr>
    </w:lvl>
    <w:lvl w:ilvl="5" w:tplc="15863BC0">
      <w:start w:val="1"/>
      <w:numFmt w:val="bullet"/>
      <w:lvlText w:val=""/>
      <w:lvlJc w:val="left"/>
      <w:pPr>
        <w:ind w:left="4320" w:hanging="360"/>
      </w:pPr>
      <w:rPr>
        <w:rFonts w:ascii="Wingdings" w:hAnsi="Wingdings" w:hint="default"/>
      </w:rPr>
    </w:lvl>
    <w:lvl w:ilvl="6" w:tplc="9558D350">
      <w:start w:val="1"/>
      <w:numFmt w:val="bullet"/>
      <w:lvlText w:val=""/>
      <w:lvlJc w:val="left"/>
      <w:pPr>
        <w:ind w:left="5040" w:hanging="360"/>
      </w:pPr>
      <w:rPr>
        <w:rFonts w:ascii="Symbol" w:hAnsi="Symbol" w:hint="default"/>
      </w:rPr>
    </w:lvl>
    <w:lvl w:ilvl="7" w:tplc="23C0CD40">
      <w:start w:val="1"/>
      <w:numFmt w:val="bullet"/>
      <w:lvlText w:val="o"/>
      <w:lvlJc w:val="left"/>
      <w:pPr>
        <w:ind w:left="5760" w:hanging="360"/>
      </w:pPr>
      <w:rPr>
        <w:rFonts w:ascii="Courier New" w:hAnsi="Courier New" w:hint="default"/>
      </w:rPr>
    </w:lvl>
    <w:lvl w:ilvl="8" w:tplc="AF608AE0">
      <w:start w:val="1"/>
      <w:numFmt w:val="bullet"/>
      <w:lvlText w:val=""/>
      <w:lvlJc w:val="left"/>
      <w:pPr>
        <w:ind w:left="6480" w:hanging="360"/>
      </w:pPr>
      <w:rPr>
        <w:rFonts w:ascii="Wingdings" w:hAnsi="Wingdings" w:hint="default"/>
      </w:rPr>
    </w:lvl>
  </w:abstractNum>
  <w:abstractNum w:abstractNumId="15"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6090E9"/>
    <w:multiLevelType w:val="hybridMultilevel"/>
    <w:tmpl w:val="FFFFFFFF"/>
    <w:lvl w:ilvl="0" w:tplc="51B641D0">
      <w:start w:val="1"/>
      <w:numFmt w:val="bullet"/>
      <w:lvlText w:val="-"/>
      <w:lvlJc w:val="left"/>
      <w:pPr>
        <w:ind w:left="720" w:hanging="360"/>
      </w:pPr>
      <w:rPr>
        <w:rFonts w:ascii="Calibri" w:hAnsi="Calibri" w:hint="default"/>
      </w:rPr>
    </w:lvl>
    <w:lvl w:ilvl="1" w:tplc="30FA655A">
      <w:start w:val="1"/>
      <w:numFmt w:val="bullet"/>
      <w:lvlText w:val="o"/>
      <w:lvlJc w:val="left"/>
      <w:pPr>
        <w:ind w:left="1440" w:hanging="360"/>
      </w:pPr>
      <w:rPr>
        <w:rFonts w:ascii="Courier New" w:hAnsi="Courier New" w:hint="default"/>
      </w:rPr>
    </w:lvl>
    <w:lvl w:ilvl="2" w:tplc="863652DE">
      <w:start w:val="1"/>
      <w:numFmt w:val="bullet"/>
      <w:lvlText w:val=""/>
      <w:lvlJc w:val="left"/>
      <w:pPr>
        <w:ind w:left="2160" w:hanging="360"/>
      </w:pPr>
      <w:rPr>
        <w:rFonts w:ascii="Wingdings" w:hAnsi="Wingdings" w:hint="default"/>
      </w:rPr>
    </w:lvl>
    <w:lvl w:ilvl="3" w:tplc="A6069FBC">
      <w:start w:val="1"/>
      <w:numFmt w:val="bullet"/>
      <w:lvlText w:val=""/>
      <w:lvlJc w:val="left"/>
      <w:pPr>
        <w:ind w:left="2880" w:hanging="360"/>
      </w:pPr>
      <w:rPr>
        <w:rFonts w:ascii="Symbol" w:hAnsi="Symbol" w:hint="default"/>
      </w:rPr>
    </w:lvl>
    <w:lvl w:ilvl="4" w:tplc="92265DCE">
      <w:start w:val="1"/>
      <w:numFmt w:val="bullet"/>
      <w:lvlText w:val="o"/>
      <w:lvlJc w:val="left"/>
      <w:pPr>
        <w:ind w:left="3600" w:hanging="360"/>
      </w:pPr>
      <w:rPr>
        <w:rFonts w:ascii="Courier New" w:hAnsi="Courier New" w:hint="default"/>
      </w:rPr>
    </w:lvl>
    <w:lvl w:ilvl="5" w:tplc="00E8159C">
      <w:start w:val="1"/>
      <w:numFmt w:val="bullet"/>
      <w:lvlText w:val=""/>
      <w:lvlJc w:val="left"/>
      <w:pPr>
        <w:ind w:left="4320" w:hanging="360"/>
      </w:pPr>
      <w:rPr>
        <w:rFonts w:ascii="Wingdings" w:hAnsi="Wingdings" w:hint="default"/>
      </w:rPr>
    </w:lvl>
    <w:lvl w:ilvl="6" w:tplc="5058C034">
      <w:start w:val="1"/>
      <w:numFmt w:val="bullet"/>
      <w:lvlText w:val=""/>
      <w:lvlJc w:val="left"/>
      <w:pPr>
        <w:ind w:left="5040" w:hanging="360"/>
      </w:pPr>
      <w:rPr>
        <w:rFonts w:ascii="Symbol" w:hAnsi="Symbol" w:hint="default"/>
      </w:rPr>
    </w:lvl>
    <w:lvl w:ilvl="7" w:tplc="295033B6">
      <w:start w:val="1"/>
      <w:numFmt w:val="bullet"/>
      <w:lvlText w:val="o"/>
      <w:lvlJc w:val="left"/>
      <w:pPr>
        <w:ind w:left="5760" w:hanging="360"/>
      </w:pPr>
      <w:rPr>
        <w:rFonts w:ascii="Courier New" w:hAnsi="Courier New" w:hint="default"/>
      </w:rPr>
    </w:lvl>
    <w:lvl w:ilvl="8" w:tplc="13B8C3AC">
      <w:start w:val="1"/>
      <w:numFmt w:val="bullet"/>
      <w:lvlText w:val=""/>
      <w:lvlJc w:val="left"/>
      <w:pPr>
        <w:ind w:left="6480" w:hanging="360"/>
      </w:pPr>
      <w:rPr>
        <w:rFonts w:ascii="Wingdings" w:hAnsi="Wingdings" w:hint="default"/>
      </w:rPr>
    </w:lvl>
  </w:abstractNum>
  <w:num w:numId="1" w16cid:durableId="1613513420">
    <w:abstractNumId w:val="8"/>
  </w:num>
  <w:num w:numId="2" w16cid:durableId="637959677">
    <w:abstractNumId w:val="9"/>
  </w:num>
  <w:num w:numId="3" w16cid:durableId="1636376043">
    <w:abstractNumId w:val="2"/>
  </w:num>
  <w:num w:numId="4" w16cid:durableId="796415793">
    <w:abstractNumId w:val="1"/>
  </w:num>
  <w:num w:numId="5" w16cid:durableId="59645177">
    <w:abstractNumId w:val="3"/>
  </w:num>
  <w:num w:numId="6" w16cid:durableId="1165589367">
    <w:abstractNumId w:val="14"/>
  </w:num>
  <w:num w:numId="7" w16cid:durableId="1774789678">
    <w:abstractNumId w:val="7"/>
  </w:num>
  <w:num w:numId="8" w16cid:durableId="802310555">
    <w:abstractNumId w:val="13"/>
  </w:num>
  <w:num w:numId="9" w16cid:durableId="247614526">
    <w:abstractNumId w:val="12"/>
  </w:num>
  <w:num w:numId="10" w16cid:durableId="119807425">
    <w:abstractNumId w:val="4"/>
  </w:num>
  <w:num w:numId="11" w16cid:durableId="92630100">
    <w:abstractNumId w:val="11"/>
  </w:num>
  <w:num w:numId="12" w16cid:durableId="1217473721">
    <w:abstractNumId w:val="10"/>
  </w:num>
  <w:num w:numId="13" w16cid:durableId="1233467232">
    <w:abstractNumId w:val="16"/>
  </w:num>
  <w:num w:numId="14" w16cid:durableId="1785269661">
    <w:abstractNumId w:val="5"/>
  </w:num>
  <w:num w:numId="15" w16cid:durableId="1683363267">
    <w:abstractNumId w:val="6"/>
  </w:num>
  <w:num w:numId="16" w16cid:durableId="780148299">
    <w:abstractNumId w:val="15"/>
  </w:num>
  <w:num w:numId="17" w16cid:durableId="177636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NotTrackMoves/>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6AC"/>
    <w:rsid w:val="0000194C"/>
    <w:rsid w:val="0000519E"/>
    <w:rsid w:val="00015A7B"/>
    <w:rsid w:val="00016081"/>
    <w:rsid w:val="000224AE"/>
    <w:rsid w:val="00022F49"/>
    <w:rsid w:val="00032E14"/>
    <w:rsid w:val="000478D3"/>
    <w:rsid w:val="00052E3A"/>
    <w:rsid w:val="0005460D"/>
    <w:rsid w:val="00065B74"/>
    <w:rsid w:val="00066FBE"/>
    <w:rsid w:val="00077816"/>
    <w:rsid w:val="00081D4D"/>
    <w:rsid w:val="00093969"/>
    <w:rsid w:val="00094E04"/>
    <w:rsid w:val="000A0333"/>
    <w:rsid w:val="000A2344"/>
    <w:rsid w:val="000A4A9F"/>
    <w:rsid w:val="000B257D"/>
    <w:rsid w:val="000B323A"/>
    <w:rsid w:val="000C0E34"/>
    <w:rsid w:val="000C1967"/>
    <w:rsid w:val="000C25AF"/>
    <w:rsid w:val="000D460F"/>
    <w:rsid w:val="000E3840"/>
    <w:rsid w:val="000E66A8"/>
    <w:rsid w:val="000F6691"/>
    <w:rsid w:val="00105061"/>
    <w:rsid w:val="00105A1D"/>
    <w:rsid w:val="001138CA"/>
    <w:rsid w:val="001402B3"/>
    <w:rsid w:val="00157749"/>
    <w:rsid w:val="00161230"/>
    <w:rsid w:val="00173EAD"/>
    <w:rsid w:val="00175488"/>
    <w:rsid w:val="00186CF6"/>
    <w:rsid w:val="00192734"/>
    <w:rsid w:val="001D7CC8"/>
    <w:rsid w:val="001E568F"/>
    <w:rsid w:val="001F332D"/>
    <w:rsid w:val="001F7644"/>
    <w:rsid w:val="0020033E"/>
    <w:rsid w:val="00202745"/>
    <w:rsid w:val="002127DC"/>
    <w:rsid w:val="0022290C"/>
    <w:rsid w:val="002570BB"/>
    <w:rsid w:val="00264F48"/>
    <w:rsid w:val="00276CC7"/>
    <w:rsid w:val="0028410F"/>
    <w:rsid w:val="0029109C"/>
    <w:rsid w:val="00291BD4"/>
    <w:rsid w:val="0029211E"/>
    <w:rsid w:val="00293DA3"/>
    <w:rsid w:val="002943CA"/>
    <w:rsid w:val="002B1950"/>
    <w:rsid w:val="002C0FA2"/>
    <w:rsid w:val="002C342A"/>
    <w:rsid w:val="002D1B17"/>
    <w:rsid w:val="002D33F7"/>
    <w:rsid w:val="002D3BE4"/>
    <w:rsid w:val="002D710E"/>
    <w:rsid w:val="002E7904"/>
    <w:rsid w:val="002F243C"/>
    <w:rsid w:val="00310C0B"/>
    <w:rsid w:val="0031202E"/>
    <w:rsid w:val="003124AD"/>
    <w:rsid w:val="003127D0"/>
    <w:rsid w:val="00320C5D"/>
    <w:rsid w:val="00345E92"/>
    <w:rsid w:val="00346A57"/>
    <w:rsid w:val="00351AF2"/>
    <w:rsid w:val="0035307C"/>
    <w:rsid w:val="00370126"/>
    <w:rsid w:val="00371ACD"/>
    <w:rsid w:val="00383A87"/>
    <w:rsid w:val="00387850"/>
    <w:rsid w:val="00390253"/>
    <w:rsid w:val="003960AE"/>
    <w:rsid w:val="003B6383"/>
    <w:rsid w:val="003C30AF"/>
    <w:rsid w:val="003C4345"/>
    <w:rsid w:val="003C5313"/>
    <w:rsid w:val="003C6EF5"/>
    <w:rsid w:val="003C76AF"/>
    <w:rsid w:val="003D1C80"/>
    <w:rsid w:val="00402C81"/>
    <w:rsid w:val="004057FC"/>
    <w:rsid w:val="00420106"/>
    <w:rsid w:val="00430FC6"/>
    <w:rsid w:val="0044073E"/>
    <w:rsid w:val="00445A23"/>
    <w:rsid w:val="00451AA5"/>
    <w:rsid w:val="0045560F"/>
    <w:rsid w:val="004725C8"/>
    <w:rsid w:val="00475931"/>
    <w:rsid w:val="004971AB"/>
    <w:rsid w:val="004A329C"/>
    <w:rsid w:val="004D4532"/>
    <w:rsid w:val="004E212B"/>
    <w:rsid w:val="004E56AC"/>
    <w:rsid w:val="005110DD"/>
    <w:rsid w:val="005170CD"/>
    <w:rsid w:val="005172F9"/>
    <w:rsid w:val="00517FCF"/>
    <w:rsid w:val="00522BF8"/>
    <w:rsid w:val="0053603D"/>
    <w:rsid w:val="0054026B"/>
    <w:rsid w:val="00542798"/>
    <w:rsid w:val="0054666D"/>
    <w:rsid w:val="00554E8F"/>
    <w:rsid w:val="00570E3F"/>
    <w:rsid w:val="00572E3E"/>
    <w:rsid w:val="005736CB"/>
    <w:rsid w:val="0057717C"/>
    <w:rsid w:val="0058753E"/>
    <w:rsid w:val="00595181"/>
    <w:rsid w:val="00595AC4"/>
    <w:rsid w:val="00596F60"/>
    <w:rsid w:val="005A1BF2"/>
    <w:rsid w:val="005B3511"/>
    <w:rsid w:val="005C6A9C"/>
    <w:rsid w:val="005E4E85"/>
    <w:rsid w:val="00606575"/>
    <w:rsid w:val="00614ED0"/>
    <w:rsid w:val="0063363B"/>
    <w:rsid w:val="00646543"/>
    <w:rsid w:val="00647A0B"/>
    <w:rsid w:val="006510F8"/>
    <w:rsid w:val="006513C3"/>
    <w:rsid w:val="006609A8"/>
    <w:rsid w:val="0066157A"/>
    <w:rsid w:val="00662AF1"/>
    <w:rsid w:val="00663AC3"/>
    <w:rsid w:val="00667E38"/>
    <w:rsid w:val="00681AAA"/>
    <w:rsid w:val="00684B8B"/>
    <w:rsid w:val="006A3370"/>
    <w:rsid w:val="006C40B1"/>
    <w:rsid w:val="006D14F4"/>
    <w:rsid w:val="006E3FD1"/>
    <w:rsid w:val="006E7E5A"/>
    <w:rsid w:val="006E7F25"/>
    <w:rsid w:val="006F487B"/>
    <w:rsid w:val="007042BB"/>
    <w:rsid w:val="007053E7"/>
    <w:rsid w:val="007155F7"/>
    <w:rsid w:val="007228AC"/>
    <w:rsid w:val="0073347A"/>
    <w:rsid w:val="00737C87"/>
    <w:rsid w:val="0073F001"/>
    <w:rsid w:val="0074177C"/>
    <w:rsid w:val="007625EF"/>
    <w:rsid w:val="00762864"/>
    <w:rsid w:val="0076587B"/>
    <w:rsid w:val="0077796D"/>
    <w:rsid w:val="00780EC7"/>
    <w:rsid w:val="0078725C"/>
    <w:rsid w:val="0078754B"/>
    <w:rsid w:val="007A42E7"/>
    <w:rsid w:val="007A59E1"/>
    <w:rsid w:val="007C30D8"/>
    <w:rsid w:val="007C743F"/>
    <w:rsid w:val="007D2A59"/>
    <w:rsid w:val="007E24E0"/>
    <w:rsid w:val="007F3BBB"/>
    <w:rsid w:val="007F57FB"/>
    <w:rsid w:val="00800369"/>
    <w:rsid w:val="00810FA5"/>
    <w:rsid w:val="00813E5C"/>
    <w:rsid w:val="008168F4"/>
    <w:rsid w:val="00822572"/>
    <w:rsid w:val="00823AF0"/>
    <w:rsid w:val="00835B6B"/>
    <w:rsid w:val="00852334"/>
    <w:rsid w:val="008618F8"/>
    <w:rsid w:val="00870B16"/>
    <w:rsid w:val="00897EE7"/>
    <w:rsid w:val="008C2573"/>
    <w:rsid w:val="008C52D4"/>
    <w:rsid w:val="008D49E0"/>
    <w:rsid w:val="008E3F52"/>
    <w:rsid w:val="008E5795"/>
    <w:rsid w:val="008E6E34"/>
    <w:rsid w:val="008F1E72"/>
    <w:rsid w:val="008F2C66"/>
    <w:rsid w:val="008F6633"/>
    <w:rsid w:val="008F783D"/>
    <w:rsid w:val="00915294"/>
    <w:rsid w:val="00927ECF"/>
    <w:rsid w:val="009302E1"/>
    <w:rsid w:val="0093532C"/>
    <w:rsid w:val="009501DD"/>
    <w:rsid w:val="00953BA1"/>
    <w:rsid w:val="00962921"/>
    <w:rsid w:val="009737E3"/>
    <w:rsid w:val="00994680"/>
    <w:rsid w:val="0099A69C"/>
    <w:rsid w:val="009A1E7B"/>
    <w:rsid w:val="009D026B"/>
    <w:rsid w:val="009E23BF"/>
    <w:rsid w:val="009F2359"/>
    <w:rsid w:val="00A12C11"/>
    <w:rsid w:val="00A22AC2"/>
    <w:rsid w:val="00A40DD3"/>
    <w:rsid w:val="00A4362D"/>
    <w:rsid w:val="00A71714"/>
    <w:rsid w:val="00A96B02"/>
    <w:rsid w:val="00AA1481"/>
    <w:rsid w:val="00AB2736"/>
    <w:rsid w:val="00AC140C"/>
    <w:rsid w:val="00AD2309"/>
    <w:rsid w:val="00AD3532"/>
    <w:rsid w:val="00AD53B6"/>
    <w:rsid w:val="00AD6D2D"/>
    <w:rsid w:val="00AE5AE4"/>
    <w:rsid w:val="00AE7776"/>
    <w:rsid w:val="00AF2859"/>
    <w:rsid w:val="00AF9EFF"/>
    <w:rsid w:val="00B06CDE"/>
    <w:rsid w:val="00B16715"/>
    <w:rsid w:val="00B16E8E"/>
    <w:rsid w:val="00B223C2"/>
    <w:rsid w:val="00B2CFEF"/>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D2667"/>
    <w:rsid w:val="00C0000D"/>
    <w:rsid w:val="00C06D28"/>
    <w:rsid w:val="00C101A6"/>
    <w:rsid w:val="00C213E6"/>
    <w:rsid w:val="00C3437E"/>
    <w:rsid w:val="00C437DD"/>
    <w:rsid w:val="00C6489E"/>
    <w:rsid w:val="00C76479"/>
    <w:rsid w:val="00C765BD"/>
    <w:rsid w:val="00C86E38"/>
    <w:rsid w:val="00C90B76"/>
    <w:rsid w:val="00CA1357"/>
    <w:rsid w:val="00CA37F0"/>
    <w:rsid w:val="00CA76C7"/>
    <w:rsid w:val="00CB0C61"/>
    <w:rsid w:val="00CB6152"/>
    <w:rsid w:val="00CB7BCF"/>
    <w:rsid w:val="00CC28DE"/>
    <w:rsid w:val="00CC3155"/>
    <w:rsid w:val="00CE2DA4"/>
    <w:rsid w:val="00CE3C45"/>
    <w:rsid w:val="00CE70E2"/>
    <w:rsid w:val="00CF44BA"/>
    <w:rsid w:val="00D00AAB"/>
    <w:rsid w:val="00D02002"/>
    <w:rsid w:val="00D03AD4"/>
    <w:rsid w:val="00D132FE"/>
    <w:rsid w:val="00D16BC6"/>
    <w:rsid w:val="00D21277"/>
    <w:rsid w:val="00D269CF"/>
    <w:rsid w:val="00D314CF"/>
    <w:rsid w:val="00D34688"/>
    <w:rsid w:val="00D50395"/>
    <w:rsid w:val="00D54C10"/>
    <w:rsid w:val="00D54E25"/>
    <w:rsid w:val="00D5520D"/>
    <w:rsid w:val="00D65F13"/>
    <w:rsid w:val="00D837D9"/>
    <w:rsid w:val="00D96243"/>
    <w:rsid w:val="00DB40B2"/>
    <w:rsid w:val="00DC105B"/>
    <w:rsid w:val="00DC6FB5"/>
    <w:rsid w:val="00DE0E40"/>
    <w:rsid w:val="00DE5BD2"/>
    <w:rsid w:val="00DF037E"/>
    <w:rsid w:val="00DF2DC3"/>
    <w:rsid w:val="00DF4B6A"/>
    <w:rsid w:val="00DF7588"/>
    <w:rsid w:val="00E03487"/>
    <w:rsid w:val="00E077DB"/>
    <w:rsid w:val="00E2E190"/>
    <w:rsid w:val="00E32A1D"/>
    <w:rsid w:val="00E33403"/>
    <w:rsid w:val="00E34C97"/>
    <w:rsid w:val="00E44280"/>
    <w:rsid w:val="00E501C4"/>
    <w:rsid w:val="00E50A3D"/>
    <w:rsid w:val="00E55FBC"/>
    <w:rsid w:val="00E7703F"/>
    <w:rsid w:val="00E8263E"/>
    <w:rsid w:val="00E827AF"/>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233ED"/>
    <w:rsid w:val="00F25426"/>
    <w:rsid w:val="00F2758B"/>
    <w:rsid w:val="00F37D2C"/>
    <w:rsid w:val="00F463E0"/>
    <w:rsid w:val="00F729E0"/>
    <w:rsid w:val="00F74276"/>
    <w:rsid w:val="00F776E3"/>
    <w:rsid w:val="00F834E1"/>
    <w:rsid w:val="00F8756A"/>
    <w:rsid w:val="00F909B9"/>
    <w:rsid w:val="00F92089"/>
    <w:rsid w:val="00FA4F33"/>
    <w:rsid w:val="00FB2E6C"/>
    <w:rsid w:val="00FC6051"/>
    <w:rsid w:val="00FC6F00"/>
    <w:rsid w:val="00FD22EC"/>
    <w:rsid w:val="00FD7C32"/>
    <w:rsid w:val="00FE52F4"/>
    <w:rsid w:val="00FE5CA9"/>
    <w:rsid w:val="00FE63AC"/>
    <w:rsid w:val="010FF43C"/>
    <w:rsid w:val="015CC05B"/>
    <w:rsid w:val="015EDCF2"/>
    <w:rsid w:val="01686B59"/>
    <w:rsid w:val="016CFE39"/>
    <w:rsid w:val="016E65B1"/>
    <w:rsid w:val="01A48019"/>
    <w:rsid w:val="01B826D2"/>
    <w:rsid w:val="01EBDBD1"/>
    <w:rsid w:val="020FC062"/>
    <w:rsid w:val="021C4530"/>
    <w:rsid w:val="022BEAC8"/>
    <w:rsid w:val="023A8FDD"/>
    <w:rsid w:val="02460424"/>
    <w:rsid w:val="027B7591"/>
    <w:rsid w:val="02819655"/>
    <w:rsid w:val="02951640"/>
    <w:rsid w:val="02A5D464"/>
    <w:rsid w:val="02CA8BF0"/>
    <w:rsid w:val="02E509E0"/>
    <w:rsid w:val="02FFA9F6"/>
    <w:rsid w:val="03032ECB"/>
    <w:rsid w:val="03040225"/>
    <w:rsid w:val="03057B93"/>
    <w:rsid w:val="0327FD34"/>
    <w:rsid w:val="032843FC"/>
    <w:rsid w:val="035BA067"/>
    <w:rsid w:val="035F569D"/>
    <w:rsid w:val="0368DB4E"/>
    <w:rsid w:val="0374E7EE"/>
    <w:rsid w:val="037C64DE"/>
    <w:rsid w:val="0393A9AA"/>
    <w:rsid w:val="0399B21A"/>
    <w:rsid w:val="03AC12FB"/>
    <w:rsid w:val="03C3F258"/>
    <w:rsid w:val="03FBE7FB"/>
    <w:rsid w:val="042A0644"/>
    <w:rsid w:val="0467CF1F"/>
    <w:rsid w:val="04863F57"/>
    <w:rsid w:val="0487B616"/>
    <w:rsid w:val="048A9CE9"/>
    <w:rsid w:val="0493999E"/>
    <w:rsid w:val="0497CF93"/>
    <w:rsid w:val="04BB0535"/>
    <w:rsid w:val="04C62F19"/>
    <w:rsid w:val="04E71D49"/>
    <w:rsid w:val="04EE46BE"/>
    <w:rsid w:val="04F0242E"/>
    <w:rsid w:val="04F43B0B"/>
    <w:rsid w:val="04F8F2D3"/>
    <w:rsid w:val="05016690"/>
    <w:rsid w:val="05093B5F"/>
    <w:rsid w:val="0509A735"/>
    <w:rsid w:val="0520E8D3"/>
    <w:rsid w:val="05476124"/>
    <w:rsid w:val="055D70B5"/>
    <w:rsid w:val="055F234F"/>
    <w:rsid w:val="05608981"/>
    <w:rsid w:val="056370F4"/>
    <w:rsid w:val="0566A717"/>
    <w:rsid w:val="058B0FBF"/>
    <w:rsid w:val="058E3A56"/>
    <w:rsid w:val="059C96C6"/>
    <w:rsid w:val="05DF8702"/>
    <w:rsid w:val="05E2CE9C"/>
    <w:rsid w:val="062DBD56"/>
    <w:rsid w:val="0641FA8F"/>
    <w:rsid w:val="065BEC03"/>
    <w:rsid w:val="0665E5FD"/>
    <w:rsid w:val="066D468A"/>
    <w:rsid w:val="06710A1B"/>
    <w:rsid w:val="0677FFAE"/>
    <w:rsid w:val="0682EDAA"/>
    <w:rsid w:val="068338E4"/>
    <w:rsid w:val="0686C475"/>
    <w:rsid w:val="068ECFB1"/>
    <w:rsid w:val="06A5B324"/>
    <w:rsid w:val="06B2348E"/>
    <w:rsid w:val="06BE581B"/>
    <w:rsid w:val="06C18464"/>
    <w:rsid w:val="06F4D8A3"/>
    <w:rsid w:val="0700D1CA"/>
    <w:rsid w:val="071268D3"/>
    <w:rsid w:val="0753D983"/>
    <w:rsid w:val="07A2E30D"/>
    <w:rsid w:val="07BB91FB"/>
    <w:rsid w:val="07C3EFB8"/>
    <w:rsid w:val="07CF06F2"/>
    <w:rsid w:val="07F6E62D"/>
    <w:rsid w:val="07FDAE00"/>
    <w:rsid w:val="08056D38"/>
    <w:rsid w:val="0813C19D"/>
    <w:rsid w:val="081E400C"/>
    <w:rsid w:val="08232414"/>
    <w:rsid w:val="083EF782"/>
    <w:rsid w:val="0857E5AB"/>
    <w:rsid w:val="085F61C0"/>
    <w:rsid w:val="087B493E"/>
    <w:rsid w:val="088259F4"/>
    <w:rsid w:val="088F3EA9"/>
    <w:rsid w:val="0890A904"/>
    <w:rsid w:val="089C9CBC"/>
    <w:rsid w:val="089F7409"/>
    <w:rsid w:val="08C4BC5C"/>
    <w:rsid w:val="08DB3F73"/>
    <w:rsid w:val="08F90C28"/>
    <w:rsid w:val="093EB36E"/>
    <w:rsid w:val="094270AB"/>
    <w:rsid w:val="09452356"/>
    <w:rsid w:val="094905B8"/>
    <w:rsid w:val="0958B1DD"/>
    <w:rsid w:val="0974FED7"/>
    <w:rsid w:val="09790E94"/>
    <w:rsid w:val="098BC1A9"/>
    <w:rsid w:val="09AA105A"/>
    <w:rsid w:val="09B60605"/>
    <w:rsid w:val="09C16232"/>
    <w:rsid w:val="09C1B7E1"/>
    <w:rsid w:val="09C7A246"/>
    <w:rsid w:val="09CE28E2"/>
    <w:rsid w:val="09E38A5A"/>
    <w:rsid w:val="09E64272"/>
    <w:rsid w:val="09F4F16E"/>
    <w:rsid w:val="09FFC9C7"/>
    <w:rsid w:val="0A1F877E"/>
    <w:rsid w:val="0A22E368"/>
    <w:rsid w:val="0A6D2B9B"/>
    <w:rsid w:val="0A73826A"/>
    <w:rsid w:val="0A798C5C"/>
    <w:rsid w:val="0A9B910F"/>
    <w:rsid w:val="0AC083C3"/>
    <w:rsid w:val="0AECAC2F"/>
    <w:rsid w:val="0AEF9E80"/>
    <w:rsid w:val="0AF8BECC"/>
    <w:rsid w:val="0B006A2B"/>
    <w:rsid w:val="0B06B3DB"/>
    <w:rsid w:val="0B1B1A08"/>
    <w:rsid w:val="0B2A46B9"/>
    <w:rsid w:val="0B3D3E07"/>
    <w:rsid w:val="0B45E0BB"/>
    <w:rsid w:val="0B51F876"/>
    <w:rsid w:val="0B5D8842"/>
    <w:rsid w:val="0B69AE59"/>
    <w:rsid w:val="0B6DD5F2"/>
    <w:rsid w:val="0B7E55E8"/>
    <w:rsid w:val="0B7F5ABB"/>
    <w:rsid w:val="0B9068E2"/>
    <w:rsid w:val="0B97FD7C"/>
    <w:rsid w:val="0BB6810C"/>
    <w:rsid w:val="0BB7FDD4"/>
    <w:rsid w:val="0BCFB60F"/>
    <w:rsid w:val="0BD6E1B9"/>
    <w:rsid w:val="0BDC81BF"/>
    <w:rsid w:val="0BE70EC9"/>
    <w:rsid w:val="0BF0B2A1"/>
    <w:rsid w:val="0C004C8E"/>
    <w:rsid w:val="0C1CFB5A"/>
    <w:rsid w:val="0C303552"/>
    <w:rsid w:val="0C4063D6"/>
    <w:rsid w:val="0C49D83E"/>
    <w:rsid w:val="0C5A9469"/>
    <w:rsid w:val="0C65E075"/>
    <w:rsid w:val="0C7E15E6"/>
    <w:rsid w:val="0C8F031E"/>
    <w:rsid w:val="0CB6C1ED"/>
    <w:rsid w:val="0CBE49E7"/>
    <w:rsid w:val="0CC93BBC"/>
    <w:rsid w:val="0CFA68C5"/>
    <w:rsid w:val="0CFBE634"/>
    <w:rsid w:val="0D1B2B1C"/>
    <w:rsid w:val="0D1F65F7"/>
    <w:rsid w:val="0D30D166"/>
    <w:rsid w:val="0D77D268"/>
    <w:rsid w:val="0D895FF1"/>
    <w:rsid w:val="0D8E90A2"/>
    <w:rsid w:val="0D94D23E"/>
    <w:rsid w:val="0DAFC178"/>
    <w:rsid w:val="0DB32CA3"/>
    <w:rsid w:val="0DCAC1A0"/>
    <w:rsid w:val="0DCCC7A4"/>
    <w:rsid w:val="0DD4901B"/>
    <w:rsid w:val="0DDBD896"/>
    <w:rsid w:val="0DE57422"/>
    <w:rsid w:val="0DF4F0D1"/>
    <w:rsid w:val="0E116614"/>
    <w:rsid w:val="0E122491"/>
    <w:rsid w:val="0E16555A"/>
    <w:rsid w:val="0E27A7D4"/>
    <w:rsid w:val="0E764B16"/>
    <w:rsid w:val="0E7D616D"/>
    <w:rsid w:val="0E81F4F4"/>
    <w:rsid w:val="0EAE1694"/>
    <w:rsid w:val="0EB91C87"/>
    <w:rsid w:val="0EDE3421"/>
    <w:rsid w:val="0EE011DA"/>
    <w:rsid w:val="0EE745DC"/>
    <w:rsid w:val="0F1D2B8D"/>
    <w:rsid w:val="0F4B91D9"/>
    <w:rsid w:val="0F532051"/>
    <w:rsid w:val="0F99726D"/>
    <w:rsid w:val="0FBB727A"/>
    <w:rsid w:val="0FC6C9F3"/>
    <w:rsid w:val="0FCCAC96"/>
    <w:rsid w:val="0FD4BF98"/>
    <w:rsid w:val="0FF0C7D3"/>
    <w:rsid w:val="10068502"/>
    <w:rsid w:val="1013CE78"/>
    <w:rsid w:val="101931CE"/>
    <w:rsid w:val="101951DE"/>
    <w:rsid w:val="1019897E"/>
    <w:rsid w:val="102D17E1"/>
    <w:rsid w:val="1052CBDE"/>
    <w:rsid w:val="105B9171"/>
    <w:rsid w:val="105C2DAF"/>
    <w:rsid w:val="1074C4F8"/>
    <w:rsid w:val="10AA52DC"/>
    <w:rsid w:val="10C99B91"/>
    <w:rsid w:val="10DCDD49"/>
    <w:rsid w:val="10E57467"/>
    <w:rsid w:val="10E7B55E"/>
    <w:rsid w:val="11017787"/>
    <w:rsid w:val="1171332F"/>
    <w:rsid w:val="1181CBC9"/>
    <w:rsid w:val="11843B6F"/>
    <w:rsid w:val="119EEBA6"/>
    <w:rsid w:val="11B995B6"/>
    <w:rsid w:val="11C469FF"/>
    <w:rsid w:val="11C47597"/>
    <w:rsid w:val="11CEA758"/>
    <w:rsid w:val="11EE9C3F"/>
    <w:rsid w:val="11F5B2F3"/>
    <w:rsid w:val="11FED7F6"/>
    <w:rsid w:val="124C2B57"/>
    <w:rsid w:val="12683F48"/>
    <w:rsid w:val="126DCA85"/>
    <w:rsid w:val="126E2E86"/>
    <w:rsid w:val="127DF70F"/>
    <w:rsid w:val="128144C8"/>
    <w:rsid w:val="12869DC6"/>
    <w:rsid w:val="129165D1"/>
    <w:rsid w:val="12AFFE47"/>
    <w:rsid w:val="12B413E3"/>
    <w:rsid w:val="12BDE564"/>
    <w:rsid w:val="12C0B842"/>
    <w:rsid w:val="12C9D802"/>
    <w:rsid w:val="12DB571B"/>
    <w:rsid w:val="13078A9B"/>
    <w:rsid w:val="13100EE1"/>
    <w:rsid w:val="13118927"/>
    <w:rsid w:val="1311C70E"/>
    <w:rsid w:val="131D9C2A"/>
    <w:rsid w:val="132B4E3D"/>
    <w:rsid w:val="132D69C3"/>
    <w:rsid w:val="1334957E"/>
    <w:rsid w:val="1350D290"/>
    <w:rsid w:val="1361673A"/>
    <w:rsid w:val="136618A3"/>
    <w:rsid w:val="13786D8F"/>
    <w:rsid w:val="137A8F97"/>
    <w:rsid w:val="1399C171"/>
    <w:rsid w:val="13BEDE76"/>
    <w:rsid w:val="13CD3A03"/>
    <w:rsid w:val="1409FEE7"/>
    <w:rsid w:val="1411680A"/>
    <w:rsid w:val="141D79D0"/>
    <w:rsid w:val="1428E2CB"/>
    <w:rsid w:val="1430DB71"/>
    <w:rsid w:val="1437071C"/>
    <w:rsid w:val="1444B593"/>
    <w:rsid w:val="144C7DF1"/>
    <w:rsid w:val="1484B553"/>
    <w:rsid w:val="14ADF641"/>
    <w:rsid w:val="14B96C8B"/>
    <w:rsid w:val="14C1FC4E"/>
    <w:rsid w:val="14C73343"/>
    <w:rsid w:val="14D25D2C"/>
    <w:rsid w:val="14E7A395"/>
    <w:rsid w:val="14E912FF"/>
    <w:rsid w:val="14ECC301"/>
    <w:rsid w:val="1501CC0E"/>
    <w:rsid w:val="15485271"/>
    <w:rsid w:val="15485634"/>
    <w:rsid w:val="154FD052"/>
    <w:rsid w:val="1552B328"/>
    <w:rsid w:val="15566A89"/>
    <w:rsid w:val="155D26EC"/>
    <w:rsid w:val="15A5083F"/>
    <w:rsid w:val="15AFED30"/>
    <w:rsid w:val="15B8E58A"/>
    <w:rsid w:val="15C09819"/>
    <w:rsid w:val="15CC8856"/>
    <w:rsid w:val="15DF0345"/>
    <w:rsid w:val="15F632BA"/>
    <w:rsid w:val="16016210"/>
    <w:rsid w:val="160F4C93"/>
    <w:rsid w:val="162CF62C"/>
    <w:rsid w:val="1635019A"/>
    <w:rsid w:val="16553CEC"/>
    <w:rsid w:val="16629519"/>
    <w:rsid w:val="166616C8"/>
    <w:rsid w:val="16724F4A"/>
    <w:rsid w:val="1688EFFC"/>
    <w:rsid w:val="1691C580"/>
    <w:rsid w:val="16D13026"/>
    <w:rsid w:val="16D21A46"/>
    <w:rsid w:val="16DBCC63"/>
    <w:rsid w:val="17571C68"/>
    <w:rsid w:val="1761C2DD"/>
    <w:rsid w:val="17732E0B"/>
    <w:rsid w:val="1777E582"/>
    <w:rsid w:val="17AE69BA"/>
    <w:rsid w:val="17D5F78D"/>
    <w:rsid w:val="17E59703"/>
    <w:rsid w:val="17EF59E6"/>
    <w:rsid w:val="17F08F8B"/>
    <w:rsid w:val="17F5BE2D"/>
    <w:rsid w:val="1806280C"/>
    <w:rsid w:val="181328EC"/>
    <w:rsid w:val="182443B3"/>
    <w:rsid w:val="182C3139"/>
    <w:rsid w:val="182C5149"/>
    <w:rsid w:val="182D8AD1"/>
    <w:rsid w:val="1832DCEB"/>
    <w:rsid w:val="184EA4E5"/>
    <w:rsid w:val="18502D66"/>
    <w:rsid w:val="1882BDF3"/>
    <w:rsid w:val="1891D96C"/>
    <w:rsid w:val="18A7B7F6"/>
    <w:rsid w:val="18B0DB7C"/>
    <w:rsid w:val="18B12D87"/>
    <w:rsid w:val="18C6266E"/>
    <w:rsid w:val="18DCA901"/>
    <w:rsid w:val="18F18B99"/>
    <w:rsid w:val="18F24C27"/>
    <w:rsid w:val="18F468C6"/>
    <w:rsid w:val="191C4C65"/>
    <w:rsid w:val="191DB6CC"/>
    <w:rsid w:val="1927D902"/>
    <w:rsid w:val="1940E445"/>
    <w:rsid w:val="194FE67B"/>
    <w:rsid w:val="1963281D"/>
    <w:rsid w:val="19669DC2"/>
    <w:rsid w:val="1966CF20"/>
    <w:rsid w:val="1972305E"/>
    <w:rsid w:val="19741FFC"/>
    <w:rsid w:val="1977E370"/>
    <w:rsid w:val="19785D72"/>
    <w:rsid w:val="19816764"/>
    <w:rsid w:val="1988E8A3"/>
    <w:rsid w:val="19B1F23D"/>
    <w:rsid w:val="19D7B3BB"/>
    <w:rsid w:val="19E9D29B"/>
    <w:rsid w:val="19F193EE"/>
    <w:rsid w:val="19FE61B0"/>
    <w:rsid w:val="1A052D04"/>
    <w:rsid w:val="1A0A63BB"/>
    <w:rsid w:val="1A13FC36"/>
    <w:rsid w:val="1A36C341"/>
    <w:rsid w:val="1A44CF15"/>
    <w:rsid w:val="1A4509C4"/>
    <w:rsid w:val="1A4E9046"/>
    <w:rsid w:val="1A880383"/>
    <w:rsid w:val="1A9290B4"/>
    <w:rsid w:val="1AA51118"/>
    <w:rsid w:val="1AA5DB8B"/>
    <w:rsid w:val="1AAA45B6"/>
    <w:rsid w:val="1AC120BA"/>
    <w:rsid w:val="1ACB2731"/>
    <w:rsid w:val="1AD98893"/>
    <w:rsid w:val="1AE2038F"/>
    <w:rsid w:val="1AE5701D"/>
    <w:rsid w:val="1AE91288"/>
    <w:rsid w:val="1AEB7359"/>
    <w:rsid w:val="1B066464"/>
    <w:rsid w:val="1B0DBCDB"/>
    <w:rsid w:val="1B231F09"/>
    <w:rsid w:val="1B2AF74A"/>
    <w:rsid w:val="1B4AC9AE"/>
    <w:rsid w:val="1B5BE7DF"/>
    <w:rsid w:val="1B5DED93"/>
    <w:rsid w:val="1BAEEC98"/>
    <w:rsid w:val="1BB7779F"/>
    <w:rsid w:val="1BC9117C"/>
    <w:rsid w:val="1BDB7D50"/>
    <w:rsid w:val="1C132C81"/>
    <w:rsid w:val="1C23D23F"/>
    <w:rsid w:val="1C2FD99D"/>
    <w:rsid w:val="1C68CFC5"/>
    <w:rsid w:val="1C742A34"/>
    <w:rsid w:val="1C77A224"/>
    <w:rsid w:val="1CB3E5D6"/>
    <w:rsid w:val="1CB6BA04"/>
    <w:rsid w:val="1CB7DA31"/>
    <w:rsid w:val="1CE69A0F"/>
    <w:rsid w:val="1CF45472"/>
    <w:rsid w:val="1CF60FE9"/>
    <w:rsid w:val="1CF7B4D6"/>
    <w:rsid w:val="1CFABAB8"/>
    <w:rsid w:val="1D09184E"/>
    <w:rsid w:val="1D1561A9"/>
    <w:rsid w:val="1D1A851F"/>
    <w:rsid w:val="1D3B3B4F"/>
    <w:rsid w:val="1D922796"/>
    <w:rsid w:val="1D9C9DED"/>
    <w:rsid w:val="1DADD80A"/>
    <w:rsid w:val="1DB8304B"/>
    <w:rsid w:val="1DD41D31"/>
    <w:rsid w:val="1DE6DF57"/>
    <w:rsid w:val="1E012E4C"/>
    <w:rsid w:val="1E0D7FEB"/>
    <w:rsid w:val="1E1C2CF0"/>
    <w:rsid w:val="1E460317"/>
    <w:rsid w:val="1E4F4DAE"/>
    <w:rsid w:val="1E6E94A7"/>
    <w:rsid w:val="1E74B5E9"/>
    <w:rsid w:val="1E7B87F8"/>
    <w:rsid w:val="1E7F4719"/>
    <w:rsid w:val="1E826A70"/>
    <w:rsid w:val="1E8574F8"/>
    <w:rsid w:val="1E86F968"/>
    <w:rsid w:val="1E89D042"/>
    <w:rsid w:val="1E937E36"/>
    <w:rsid w:val="1E9496FB"/>
    <w:rsid w:val="1EA7BFFE"/>
    <w:rsid w:val="1ECE4880"/>
    <w:rsid w:val="1ECF5629"/>
    <w:rsid w:val="1ED32FF4"/>
    <w:rsid w:val="1ED37FD0"/>
    <w:rsid w:val="1EDA395A"/>
    <w:rsid w:val="1EF42988"/>
    <w:rsid w:val="1EF4E570"/>
    <w:rsid w:val="1EFEB0A7"/>
    <w:rsid w:val="1F06DDF0"/>
    <w:rsid w:val="1F12DBC6"/>
    <w:rsid w:val="1F396213"/>
    <w:rsid w:val="1F3DA719"/>
    <w:rsid w:val="1F85E764"/>
    <w:rsid w:val="1FC84985"/>
    <w:rsid w:val="1FE2E8A9"/>
    <w:rsid w:val="1FF0621D"/>
    <w:rsid w:val="1FFF21F5"/>
    <w:rsid w:val="2023CAE7"/>
    <w:rsid w:val="2024C922"/>
    <w:rsid w:val="203688C8"/>
    <w:rsid w:val="203F8366"/>
    <w:rsid w:val="2053EF6A"/>
    <w:rsid w:val="2072DC11"/>
    <w:rsid w:val="2074367A"/>
    <w:rsid w:val="2075D9E6"/>
    <w:rsid w:val="2079ADEB"/>
    <w:rsid w:val="207B66D8"/>
    <w:rsid w:val="207EE711"/>
    <w:rsid w:val="20CB76CA"/>
    <w:rsid w:val="20E65C56"/>
    <w:rsid w:val="20EE763C"/>
    <w:rsid w:val="210A103E"/>
    <w:rsid w:val="217A8A6A"/>
    <w:rsid w:val="217DA3D9"/>
    <w:rsid w:val="218C327E"/>
    <w:rsid w:val="21901183"/>
    <w:rsid w:val="21B9A350"/>
    <w:rsid w:val="21C1D7E7"/>
    <w:rsid w:val="21D4B955"/>
    <w:rsid w:val="21DBB792"/>
    <w:rsid w:val="21DD12D3"/>
    <w:rsid w:val="21E2F26F"/>
    <w:rsid w:val="21E3C176"/>
    <w:rsid w:val="21E7BF48"/>
    <w:rsid w:val="21F8F627"/>
    <w:rsid w:val="21FFDF27"/>
    <w:rsid w:val="220180EE"/>
    <w:rsid w:val="22347B06"/>
    <w:rsid w:val="2237EC49"/>
    <w:rsid w:val="2252B05C"/>
    <w:rsid w:val="2258092F"/>
    <w:rsid w:val="226E0201"/>
    <w:rsid w:val="22748C38"/>
    <w:rsid w:val="229D8274"/>
    <w:rsid w:val="22ACF9B4"/>
    <w:rsid w:val="22B07684"/>
    <w:rsid w:val="22D3ED17"/>
    <w:rsid w:val="22E08211"/>
    <w:rsid w:val="22FD40E4"/>
    <w:rsid w:val="22FFAA10"/>
    <w:rsid w:val="22FFEA47"/>
    <w:rsid w:val="2316A28C"/>
    <w:rsid w:val="23229365"/>
    <w:rsid w:val="23304B7B"/>
    <w:rsid w:val="23319C75"/>
    <w:rsid w:val="233BACAC"/>
    <w:rsid w:val="236722F3"/>
    <w:rsid w:val="239AC011"/>
    <w:rsid w:val="239FFDAE"/>
    <w:rsid w:val="23AA7CD3"/>
    <w:rsid w:val="23CB1FDB"/>
    <w:rsid w:val="23F03BB0"/>
    <w:rsid w:val="24031886"/>
    <w:rsid w:val="2405DE89"/>
    <w:rsid w:val="24557703"/>
    <w:rsid w:val="2465C988"/>
    <w:rsid w:val="246FBD78"/>
    <w:rsid w:val="24A3A82E"/>
    <w:rsid w:val="24A9259C"/>
    <w:rsid w:val="24B64C77"/>
    <w:rsid w:val="24BE63C6"/>
    <w:rsid w:val="24C075B0"/>
    <w:rsid w:val="24D61B87"/>
    <w:rsid w:val="24F93F6B"/>
    <w:rsid w:val="2502F354"/>
    <w:rsid w:val="25369177"/>
    <w:rsid w:val="253A382C"/>
    <w:rsid w:val="2540E8BF"/>
    <w:rsid w:val="25527217"/>
    <w:rsid w:val="2555A327"/>
    <w:rsid w:val="258078AE"/>
    <w:rsid w:val="25960D93"/>
    <w:rsid w:val="25B6C8C6"/>
    <w:rsid w:val="25B7CF69"/>
    <w:rsid w:val="25D9108E"/>
    <w:rsid w:val="26046A90"/>
    <w:rsid w:val="26051125"/>
    <w:rsid w:val="26072D64"/>
    <w:rsid w:val="26084584"/>
    <w:rsid w:val="26137B5F"/>
    <w:rsid w:val="26265032"/>
    <w:rsid w:val="262F9E22"/>
    <w:rsid w:val="264A76BC"/>
    <w:rsid w:val="26759BC0"/>
    <w:rsid w:val="269EC3B5"/>
    <w:rsid w:val="26A684A2"/>
    <w:rsid w:val="26D25D46"/>
    <w:rsid w:val="26D8047C"/>
    <w:rsid w:val="26E06C7B"/>
    <w:rsid w:val="26E9E09B"/>
    <w:rsid w:val="26EF87F6"/>
    <w:rsid w:val="26FF50CC"/>
    <w:rsid w:val="270EDBAA"/>
    <w:rsid w:val="271414A7"/>
    <w:rsid w:val="271486A2"/>
    <w:rsid w:val="271C490F"/>
    <w:rsid w:val="2730F303"/>
    <w:rsid w:val="2750CC46"/>
    <w:rsid w:val="2756DC57"/>
    <w:rsid w:val="2756EE65"/>
    <w:rsid w:val="276684E6"/>
    <w:rsid w:val="27671A1C"/>
    <w:rsid w:val="2785F200"/>
    <w:rsid w:val="278783BF"/>
    <w:rsid w:val="2790A39A"/>
    <w:rsid w:val="27996C19"/>
    <w:rsid w:val="279D6A4A"/>
    <w:rsid w:val="27A23003"/>
    <w:rsid w:val="27A75E3A"/>
    <w:rsid w:val="27AA34E7"/>
    <w:rsid w:val="27AA6707"/>
    <w:rsid w:val="27B2CBC2"/>
    <w:rsid w:val="27B3A814"/>
    <w:rsid w:val="27B6CA39"/>
    <w:rsid w:val="27BF5422"/>
    <w:rsid w:val="27C41DE9"/>
    <w:rsid w:val="27D27830"/>
    <w:rsid w:val="27D3912C"/>
    <w:rsid w:val="2803A853"/>
    <w:rsid w:val="2821E086"/>
    <w:rsid w:val="2838B108"/>
    <w:rsid w:val="28498A34"/>
    <w:rsid w:val="28721B87"/>
    <w:rsid w:val="287ECD1F"/>
    <w:rsid w:val="2885F3AE"/>
    <w:rsid w:val="2893E10C"/>
    <w:rsid w:val="28CEC40D"/>
    <w:rsid w:val="28CFA045"/>
    <w:rsid w:val="28DF4DA3"/>
    <w:rsid w:val="28E529DA"/>
    <w:rsid w:val="28E94814"/>
    <w:rsid w:val="28E96FB6"/>
    <w:rsid w:val="28F2BEC6"/>
    <w:rsid w:val="291CB690"/>
    <w:rsid w:val="29210CAE"/>
    <w:rsid w:val="29212F62"/>
    <w:rsid w:val="29395C96"/>
    <w:rsid w:val="29432E9B"/>
    <w:rsid w:val="294A2A23"/>
    <w:rsid w:val="295F68BE"/>
    <w:rsid w:val="29771951"/>
    <w:rsid w:val="2981AB50"/>
    <w:rsid w:val="29821292"/>
    <w:rsid w:val="298B5D6D"/>
    <w:rsid w:val="298EAC9E"/>
    <w:rsid w:val="29941CBF"/>
    <w:rsid w:val="299518BD"/>
    <w:rsid w:val="299A5664"/>
    <w:rsid w:val="29ABA7DB"/>
    <w:rsid w:val="29D84C52"/>
    <w:rsid w:val="29DE2564"/>
    <w:rsid w:val="29F5CC24"/>
    <w:rsid w:val="29F9D9F4"/>
    <w:rsid w:val="2A0FA53E"/>
    <w:rsid w:val="2A223BB5"/>
    <w:rsid w:val="2A32820D"/>
    <w:rsid w:val="2A362129"/>
    <w:rsid w:val="2A540075"/>
    <w:rsid w:val="2A5CC7A0"/>
    <w:rsid w:val="2A5DEA32"/>
    <w:rsid w:val="2A6B70A6"/>
    <w:rsid w:val="2A6E4D8F"/>
    <w:rsid w:val="2A735D04"/>
    <w:rsid w:val="2A998A3C"/>
    <w:rsid w:val="2A9E25A8"/>
    <w:rsid w:val="2AB097A8"/>
    <w:rsid w:val="2ABFDF1A"/>
    <w:rsid w:val="2AC4B887"/>
    <w:rsid w:val="2AC7C828"/>
    <w:rsid w:val="2AD06ACE"/>
    <w:rsid w:val="2AD50B0C"/>
    <w:rsid w:val="2B0B1796"/>
    <w:rsid w:val="2B21B471"/>
    <w:rsid w:val="2B3145EC"/>
    <w:rsid w:val="2B3B249D"/>
    <w:rsid w:val="2B3B4915"/>
    <w:rsid w:val="2B4348E7"/>
    <w:rsid w:val="2B444E7B"/>
    <w:rsid w:val="2B65FDA3"/>
    <w:rsid w:val="2BB5EA47"/>
    <w:rsid w:val="2BCBB441"/>
    <w:rsid w:val="2BD76A0C"/>
    <w:rsid w:val="2BE165F9"/>
    <w:rsid w:val="2BEA79C0"/>
    <w:rsid w:val="2BF89801"/>
    <w:rsid w:val="2C2417A7"/>
    <w:rsid w:val="2C58D024"/>
    <w:rsid w:val="2C62B821"/>
    <w:rsid w:val="2C631E92"/>
    <w:rsid w:val="2C699486"/>
    <w:rsid w:val="2C7332AC"/>
    <w:rsid w:val="2C798455"/>
    <w:rsid w:val="2C97A3F9"/>
    <w:rsid w:val="2C9B0F24"/>
    <w:rsid w:val="2CBD84D2"/>
    <w:rsid w:val="2CC2CA86"/>
    <w:rsid w:val="2CCB5034"/>
    <w:rsid w:val="2CE3CBFD"/>
    <w:rsid w:val="2CFC895A"/>
    <w:rsid w:val="2D07208B"/>
    <w:rsid w:val="2D2BD931"/>
    <w:rsid w:val="2D5085EB"/>
    <w:rsid w:val="2D5F900E"/>
    <w:rsid w:val="2D90FA49"/>
    <w:rsid w:val="2D9BD931"/>
    <w:rsid w:val="2DE39F7B"/>
    <w:rsid w:val="2DE8D14C"/>
    <w:rsid w:val="2E0A8645"/>
    <w:rsid w:val="2E0E9634"/>
    <w:rsid w:val="2E357448"/>
    <w:rsid w:val="2E3DEDAD"/>
    <w:rsid w:val="2E595533"/>
    <w:rsid w:val="2E606BE7"/>
    <w:rsid w:val="2E69CE5C"/>
    <w:rsid w:val="2E7DBD43"/>
    <w:rsid w:val="2E86FF85"/>
    <w:rsid w:val="2E94FC9D"/>
    <w:rsid w:val="2EC7A229"/>
    <w:rsid w:val="2EE088AE"/>
    <w:rsid w:val="2EE623AE"/>
    <w:rsid w:val="2EEB5BD9"/>
    <w:rsid w:val="2EF24EDF"/>
    <w:rsid w:val="2F1906BB"/>
    <w:rsid w:val="2F2F5D7E"/>
    <w:rsid w:val="2F4FA7DC"/>
    <w:rsid w:val="2F57EACB"/>
    <w:rsid w:val="2F722246"/>
    <w:rsid w:val="2F72615B"/>
    <w:rsid w:val="2F7328D0"/>
    <w:rsid w:val="2F87B1CA"/>
    <w:rsid w:val="2F9F75BF"/>
    <w:rsid w:val="2F9FF2FA"/>
    <w:rsid w:val="2FBA5DA5"/>
    <w:rsid w:val="2FBD8433"/>
    <w:rsid w:val="2FBDBD53"/>
    <w:rsid w:val="2FC5FF22"/>
    <w:rsid w:val="2FC785E9"/>
    <w:rsid w:val="2FCABE47"/>
    <w:rsid w:val="2FD0D113"/>
    <w:rsid w:val="2FE08C02"/>
    <w:rsid w:val="2FE0EECC"/>
    <w:rsid w:val="3007BA45"/>
    <w:rsid w:val="301EEB5B"/>
    <w:rsid w:val="30213714"/>
    <w:rsid w:val="302E979A"/>
    <w:rsid w:val="303CA8E5"/>
    <w:rsid w:val="303F56A9"/>
    <w:rsid w:val="30463973"/>
    <w:rsid w:val="307DC32B"/>
    <w:rsid w:val="309DE076"/>
    <w:rsid w:val="30B499F6"/>
    <w:rsid w:val="30BEA797"/>
    <w:rsid w:val="30CCB6E4"/>
    <w:rsid w:val="30D1EC5E"/>
    <w:rsid w:val="30F56D55"/>
    <w:rsid w:val="31091ED8"/>
    <w:rsid w:val="311E068A"/>
    <w:rsid w:val="312C4147"/>
    <w:rsid w:val="3173FC1A"/>
    <w:rsid w:val="31980CA9"/>
    <w:rsid w:val="31984E89"/>
    <w:rsid w:val="31EC5691"/>
    <w:rsid w:val="324092E7"/>
    <w:rsid w:val="3258C3DD"/>
    <w:rsid w:val="325B683E"/>
    <w:rsid w:val="32913DB6"/>
    <w:rsid w:val="32AD604C"/>
    <w:rsid w:val="32AE8AB5"/>
    <w:rsid w:val="32C811A8"/>
    <w:rsid w:val="32CC7903"/>
    <w:rsid w:val="32CD3C03"/>
    <w:rsid w:val="32D9C910"/>
    <w:rsid w:val="33177783"/>
    <w:rsid w:val="3346142F"/>
    <w:rsid w:val="33464D65"/>
    <w:rsid w:val="334D914C"/>
    <w:rsid w:val="335D8A1E"/>
    <w:rsid w:val="33726A76"/>
    <w:rsid w:val="3374C4D5"/>
    <w:rsid w:val="337BA7AA"/>
    <w:rsid w:val="33848B6D"/>
    <w:rsid w:val="338507AA"/>
    <w:rsid w:val="33A3FF54"/>
    <w:rsid w:val="33AF4C28"/>
    <w:rsid w:val="33AF57A0"/>
    <w:rsid w:val="33BFC76F"/>
    <w:rsid w:val="33DC6348"/>
    <w:rsid w:val="341522F3"/>
    <w:rsid w:val="34224CA8"/>
    <w:rsid w:val="342B0D5D"/>
    <w:rsid w:val="3431E99C"/>
    <w:rsid w:val="343D7FC0"/>
    <w:rsid w:val="34466FAC"/>
    <w:rsid w:val="34503F57"/>
    <w:rsid w:val="3463E209"/>
    <w:rsid w:val="34684964"/>
    <w:rsid w:val="347572C6"/>
    <w:rsid w:val="348DCEC8"/>
    <w:rsid w:val="34FE35A2"/>
    <w:rsid w:val="3520D80B"/>
    <w:rsid w:val="3523F753"/>
    <w:rsid w:val="352B09B2"/>
    <w:rsid w:val="3535B395"/>
    <w:rsid w:val="35426F73"/>
    <w:rsid w:val="354E9ABE"/>
    <w:rsid w:val="357FEA93"/>
    <w:rsid w:val="3588AD00"/>
    <w:rsid w:val="35A62F22"/>
    <w:rsid w:val="35E4CC7E"/>
    <w:rsid w:val="35F4A444"/>
    <w:rsid w:val="35F51DEE"/>
    <w:rsid w:val="360419C5"/>
    <w:rsid w:val="360E2E34"/>
    <w:rsid w:val="361E5C6C"/>
    <w:rsid w:val="362E5BB0"/>
    <w:rsid w:val="363BF824"/>
    <w:rsid w:val="3694B46E"/>
    <w:rsid w:val="36A28E8E"/>
    <w:rsid w:val="36A8865F"/>
    <w:rsid w:val="36A89B5E"/>
    <w:rsid w:val="36E22876"/>
    <w:rsid w:val="36E70688"/>
    <w:rsid w:val="36EA6B1F"/>
    <w:rsid w:val="36FBE0E9"/>
    <w:rsid w:val="36FC4C39"/>
    <w:rsid w:val="372E0FFD"/>
    <w:rsid w:val="374B867C"/>
    <w:rsid w:val="37641589"/>
    <w:rsid w:val="377EBD8D"/>
    <w:rsid w:val="37C2956C"/>
    <w:rsid w:val="37E62DB7"/>
    <w:rsid w:val="37FDC3B0"/>
    <w:rsid w:val="3808A392"/>
    <w:rsid w:val="3848D9F4"/>
    <w:rsid w:val="384C0D49"/>
    <w:rsid w:val="384E7620"/>
    <w:rsid w:val="385BA74C"/>
    <w:rsid w:val="3871144A"/>
    <w:rsid w:val="387B245A"/>
    <w:rsid w:val="3882D6E9"/>
    <w:rsid w:val="38863B80"/>
    <w:rsid w:val="38974C35"/>
    <w:rsid w:val="389BF523"/>
    <w:rsid w:val="38C7D687"/>
    <w:rsid w:val="38CEB270"/>
    <w:rsid w:val="38F86305"/>
    <w:rsid w:val="38FDBACD"/>
    <w:rsid w:val="392FA1D6"/>
    <w:rsid w:val="39430DC7"/>
    <w:rsid w:val="3944058C"/>
    <w:rsid w:val="39480630"/>
    <w:rsid w:val="394FD22D"/>
    <w:rsid w:val="3958C42B"/>
    <w:rsid w:val="3976FB72"/>
    <w:rsid w:val="397C0244"/>
    <w:rsid w:val="398EA68D"/>
    <w:rsid w:val="3992BC86"/>
    <w:rsid w:val="39A49F20"/>
    <w:rsid w:val="39A685B7"/>
    <w:rsid w:val="39AEE5D3"/>
    <w:rsid w:val="39B2B3CE"/>
    <w:rsid w:val="39B555B3"/>
    <w:rsid w:val="39C3A5B1"/>
    <w:rsid w:val="39D50F86"/>
    <w:rsid w:val="39E9ACDD"/>
    <w:rsid w:val="3A15D803"/>
    <w:rsid w:val="3A29F90B"/>
    <w:rsid w:val="3A317EA6"/>
    <w:rsid w:val="3A33800A"/>
    <w:rsid w:val="3A33ECFB"/>
    <w:rsid w:val="3A3E30B6"/>
    <w:rsid w:val="3A437704"/>
    <w:rsid w:val="3A5FA647"/>
    <w:rsid w:val="3A613AC1"/>
    <w:rsid w:val="3A63A6E8"/>
    <w:rsid w:val="3A6BC025"/>
    <w:rsid w:val="3A74BE85"/>
    <w:rsid w:val="3A7D7300"/>
    <w:rsid w:val="3A808834"/>
    <w:rsid w:val="3A9C430E"/>
    <w:rsid w:val="3AB5DB77"/>
    <w:rsid w:val="3AC25DDB"/>
    <w:rsid w:val="3ACEFE4C"/>
    <w:rsid w:val="3AE7B9BA"/>
    <w:rsid w:val="3B0E6B60"/>
    <w:rsid w:val="3B114E91"/>
    <w:rsid w:val="3B1D2FB9"/>
    <w:rsid w:val="3B3FC5C1"/>
    <w:rsid w:val="3B9D0D26"/>
    <w:rsid w:val="3BA73288"/>
    <w:rsid w:val="3BBA77AB"/>
    <w:rsid w:val="3BBDDC42"/>
    <w:rsid w:val="3BC22AE5"/>
    <w:rsid w:val="3BDEF1C9"/>
    <w:rsid w:val="3BE1BCC2"/>
    <w:rsid w:val="3BFF92F4"/>
    <w:rsid w:val="3C2C0775"/>
    <w:rsid w:val="3C46A578"/>
    <w:rsid w:val="3C4D5F02"/>
    <w:rsid w:val="3C5181D6"/>
    <w:rsid w:val="3C732C6B"/>
    <w:rsid w:val="3C769EE3"/>
    <w:rsid w:val="3C7E6D4B"/>
    <w:rsid w:val="3CE4200B"/>
    <w:rsid w:val="3CF45206"/>
    <w:rsid w:val="3D027EBE"/>
    <w:rsid w:val="3D0C90B3"/>
    <w:rsid w:val="3D1B1DE8"/>
    <w:rsid w:val="3D2B1C01"/>
    <w:rsid w:val="3D2BB07F"/>
    <w:rsid w:val="3D36AF70"/>
    <w:rsid w:val="3D40986D"/>
    <w:rsid w:val="3D4302E9"/>
    <w:rsid w:val="3D44FD77"/>
    <w:rsid w:val="3D51BAA7"/>
    <w:rsid w:val="3D62BAB8"/>
    <w:rsid w:val="3DB828F6"/>
    <w:rsid w:val="3DC2B586"/>
    <w:rsid w:val="3E01852A"/>
    <w:rsid w:val="3E171930"/>
    <w:rsid w:val="3E3DE971"/>
    <w:rsid w:val="3E48EF53"/>
    <w:rsid w:val="3E494B85"/>
    <w:rsid w:val="3E4F365D"/>
    <w:rsid w:val="3E4F7367"/>
    <w:rsid w:val="3E60AE3E"/>
    <w:rsid w:val="3E7093E6"/>
    <w:rsid w:val="3E7251D9"/>
    <w:rsid w:val="3EA76789"/>
    <w:rsid w:val="3EB4A7BC"/>
    <w:rsid w:val="3EBFB0DD"/>
    <w:rsid w:val="3EC06F58"/>
    <w:rsid w:val="3EF0A37E"/>
    <w:rsid w:val="3F20C738"/>
    <w:rsid w:val="3F55CFAF"/>
    <w:rsid w:val="3F5A8CBC"/>
    <w:rsid w:val="3F8BE995"/>
    <w:rsid w:val="3FA274F7"/>
    <w:rsid w:val="3FA2CD88"/>
    <w:rsid w:val="3FAA9BF0"/>
    <w:rsid w:val="3FB2E991"/>
    <w:rsid w:val="3FB5A432"/>
    <w:rsid w:val="3FC7E49D"/>
    <w:rsid w:val="3FF54296"/>
    <w:rsid w:val="3FF92436"/>
    <w:rsid w:val="3FFCE035"/>
    <w:rsid w:val="40084F1B"/>
    <w:rsid w:val="40121CD2"/>
    <w:rsid w:val="40159F86"/>
    <w:rsid w:val="402B5AE8"/>
    <w:rsid w:val="40401E0D"/>
    <w:rsid w:val="40463AA4"/>
    <w:rsid w:val="40772A27"/>
    <w:rsid w:val="409A5B7A"/>
    <w:rsid w:val="40F65D1D"/>
    <w:rsid w:val="40F93C6A"/>
    <w:rsid w:val="40FA5648"/>
    <w:rsid w:val="410AA191"/>
    <w:rsid w:val="416779DF"/>
    <w:rsid w:val="417DE88E"/>
    <w:rsid w:val="417EE66C"/>
    <w:rsid w:val="41809015"/>
    <w:rsid w:val="4197EFAF"/>
    <w:rsid w:val="41A9F29B"/>
    <w:rsid w:val="41BCCC46"/>
    <w:rsid w:val="41C31AF8"/>
    <w:rsid w:val="41DD3980"/>
    <w:rsid w:val="41E30031"/>
    <w:rsid w:val="41F3243B"/>
    <w:rsid w:val="4242F18E"/>
    <w:rsid w:val="425E7DEA"/>
    <w:rsid w:val="425E93E9"/>
    <w:rsid w:val="425F45EB"/>
    <w:rsid w:val="4286C63D"/>
    <w:rsid w:val="42A6EADA"/>
    <w:rsid w:val="42C6844D"/>
    <w:rsid w:val="42E26DEF"/>
    <w:rsid w:val="430678DE"/>
    <w:rsid w:val="4323E42E"/>
    <w:rsid w:val="4325A616"/>
    <w:rsid w:val="432FF0C8"/>
    <w:rsid w:val="4350F581"/>
    <w:rsid w:val="4358502D"/>
    <w:rsid w:val="43648597"/>
    <w:rsid w:val="438509C5"/>
    <w:rsid w:val="4389266A"/>
    <w:rsid w:val="43A10996"/>
    <w:rsid w:val="43C9946A"/>
    <w:rsid w:val="440204F9"/>
    <w:rsid w:val="440BEEB9"/>
    <w:rsid w:val="44182261"/>
    <w:rsid w:val="44219F6D"/>
    <w:rsid w:val="442DFDDF"/>
    <w:rsid w:val="4448DF57"/>
    <w:rsid w:val="4449F0E1"/>
    <w:rsid w:val="44525CEB"/>
    <w:rsid w:val="446AD28E"/>
    <w:rsid w:val="446E48A2"/>
    <w:rsid w:val="4475C60A"/>
    <w:rsid w:val="4479E36E"/>
    <w:rsid w:val="448E722A"/>
    <w:rsid w:val="44B36BF0"/>
    <w:rsid w:val="44B6872E"/>
    <w:rsid w:val="44F915A5"/>
    <w:rsid w:val="45011F5C"/>
    <w:rsid w:val="4516AC1E"/>
    <w:rsid w:val="451CD9DB"/>
    <w:rsid w:val="4520DA26"/>
    <w:rsid w:val="452964F8"/>
    <w:rsid w:val="452E3944"/>
    <w:rsid w:val="453186BA"/>
    <w:rsid w:val="454208A3"/>
    <w:rsid w:val="456988FD"/>
    <w:rsid w:val="4590C3E3"/>
    <w:rsid w:val="4592669C"/>
    <w:rsid w:val="459385B7"/>
    <w:rsid w:val="4594754A"/>
    <w:rsid w:val="45990DB5"/>
    <w:rsid w:val="459E4003"/>
    <w:rsid w:val="45B51EB2"/>
    <w:rsid w:val="45BCAFDC"/>
    <w:rsid w:val="45EAB8A7"/>
    <w:rsid w:val="45F09D64"/>
    <w:rsid w:val="45F36EB2"/>
    <w:rsid w:val="45F4FC81"/>
    <w:rsid w:val="45F64CAC"/>
    <w:rsid w:val="46431645"/>
    <w:rsid w:val="464E1C15"/>
    <w:rsid w:val="46683BF0"/>
    <w:rsid w:val="467D4724"/>
    <w:rsid w:val="46BA3E1D"/>
    <w:rsid w:val="46BBB84D"/>
    <w:rsid w:val="46D8AA58"/>
    <w:rsid w:val="46F074A1"/>
    <w:rsid w:val="4701352C"/>
    <w:rsid w:val="4701443D"/>
    <w:rsid w:val="471CEC93"/>
    <w:rsid w:val="472E9567"/>
    <w:rsid w:val="47310E8C"/>
    <w:rsid w:val="4734ED68"/>
    <w:rsid w:val="47459280"/>
    <w:rsid w:val="4769A18D"/>
    <w:rsid w:val="476EAC87"/>
    <w:rsid w:val="477413BF"/>
    <w:rsid w:val="4782B537"/>
    <w:rsid w:val="478A0BD6"/>
    <w:rsid w:val="478CC4AA"/>
    <w:rsid w:val="479C2BF5"/>
    <w:rsid w:val="47A9C6CB"/>
    <w:rsid w:val="47ABD303"/>
    <w:rsid w:val="47D3C24C"/>
    <w:rsid w:val="47F8AE3F"/>
    <w:rsid w:val="47FB1DB5"/>
    <w:rsid w:val="4802BDB2"/>
    <w:rsid w:val="48130E65"/>
    <w:rsid w:val="4819341F"/>
    <w:rsid w:val="4825BC25"/>
    <w:rsid w:val="48608108"/>
    <w:rsid w:val="4861FD55"/>
    <w:rsid w:val="4877196C"/>
    <w:rsid w:val="48811E93"/>
    <w:rsid w:val="489089F4"/>
    <w:rsid w:val="4898B342"/>
    <w:rsid w:val="48A44C74"/>
    <w:rsid w:val="48A9122D"/>
    <w:rsid w:val="48A987F2"/>
    <w:rsid w:val="48B55D85"/>
    <w:rsid w:val="48E846A5"/>
    <w:rsid w:val="490A8A7D"/>
    <w:rsid w:val="490C1098"/>
    <w:rsid w:val="492475AD"/>
    <w:rsid w:val="49442699"/>
    <w:rsid w:val="494804BF"/>
    <w:rsid w:val="4949372D"/>
    <w:rsid w:val="495631CE"/>
    <w:rsid w:val="498D7BD6"/>
    <w:rsid w:val="4994E79A"/>
    <w:rsid w:val="49B50480"/>
    <w:rsid w:val="49D6640C"/>
    <w:rsid w:val="49F8706E"/>
    <w:rsid w:val="49FF84B0"/>
    <w:rsid w:val="4A038023"/>
    <w:rsid w:val="4A110D2C"/>
    <w:rsid w:val="4A1D8933"/>
    <w:rsid w:val="4A281563"/>
    <w:rsid w:val="4A5FFC68"/>
    <w:rsid w:val="4A870634"/>
    <w:rsid w:val="4A87A448"/>
    <w:rsid w:val="4A8C3D22"/>
    <w:rsid w:val="4A956BFF"/>
    <w:rsid w:val="4A998962"/>
    <w:rsid w:val="4AA65ADE"/>
    <w:rsid w:val="4AB8F34F"/>
    <w:rsid w:val="4ABAE0A1"/>
    <w:rsid w:val="4AC6DFD5"/>
    <w:rsid w:val="4AC9AF74"/>
    <w:rsid w:val="4AD6F74F"/>
    <w:rsid w:val="4ADD6764"/>
    <w:rsid w:val="4B01F1C9"/>
    <w:rsid w:val="4B07844B"/>
    <w:rsid w:val="4B45D04F"/>
    <w:rsid w:val="4B52DF18"/>
    <w:rsid w:val="4B58D5AE"/>
    <w:rsid w:val="4B64A069"/>
    <w:rsid w:val="4B801F57"/>
    <w:rsid w:val="4B9F5084"/>
    <w:rsid w:val="4BAAB990"/>
    <w:rsid w:val="4BB3F40D"/>
    <w:rsid w:val="4BB8FCB6"/>
    <w:rsid w:val="4BBE8999"/>
    <w:rsid w:val="4BC5DE36"/>
    <w:rsid w:val="4BD4A64F"/>
    <w:rsid w:val="4BDBED36"/>
    <w:rsid w:val="4BDC3ACD"/>
    <w:rsid w:val="4BEF17C3"/>
    <w:rsid w:val="4BFB12B9"/>
    <w:rsid w:val="4C0C5C5E"/>
    <w:rsid w:val="4C10BF16"/>
    <w:rsid w:val="4C1544A5"/>
    <w:rsid w:val="4C395DF0"/>
    <w:rsid w:val="4C537B98"/>
    <w:rsid w:val="4C6F9D18"/>
    <w:rsid w:val="4C79754C"/>
    <w:rsid w:val="4C995FFB"/>
    <w:rsid w:val="4CBD0656"/>
    <w:rsid w:val="4CD970B6"/>
    <w:rsid w:val="4CDA08C0"/>
    <w:rsid w:val="4D01E2A3"/>
    <w:rsid w:val="4D0D8ECF"/>
    <w:rsid w:val="4D10ABF9"/>
    <w:rsid w:val="4D11F736"/>
    <w:rsid w:val="4D1C40AB"/>
    <w:rsid w:val="4D35EE32"/>
    <w:rsid w:val="4D3A081A"/>
    <w:rsid w:val="4D47EBDC"/>
    <w:rsid w:val="4D53A641"/>
    <w:rsid w:val="4D8C2B0D"/>
    <w:rsid w:val="4DBAF096"/>
    <w:rsid w:val="4DBBB7C8"/>
    <w:rsid w:val="4DDDEE0B"/>
    <w:rsid w:val="4DF71BFB"/>
    <w:rsid w:val="4DFDD902"/>
    <w:rsid w:val="4E126967"/>
    <w:rsid w:val="4E12F35B"/>
    <w:rsid w:val="4E174180"/>
    <w:rsid w:val="4E2E6C8D"/>
    <w:rsid w:val="4E476802"/>
    <w:rsid w:val="4E51243D"/>
    <w:rsid w:val="4E8EFEE9"/>
    <w:rsid w:val="4ECB4162"/>
    <w:rsid w:val="4ED3A506"/>
    <w:rsid w:val="4ED71E12"/>
    <w:rsid w:val="4ED8A671"/>
    <w:rsid w:val="4EE65B1D"/>
    <w:rsid w:val="4EFE7C0B"/>
    <w:rsid w:val="4F1AE228"/>
    <w:rsid w:val="4F202A86"/>
    <w:rsid w:val="4F37CF4C"/>
    <w:rsid w:val="4F384441"/>
    <w:rsid w:val="4F57EBCE"/>
    <w:rsid w:val="4F74A9B1"/>
    <w:rsid w:val="4F7939BD"/>
    <w:rsid w:val="4F7EC72B"/>
    <w:rsid w:val="4F93B115"/>
    <w:rsid w:val="4FD6F5B0"/>
    <w:rsid w:val="4FDCFDEA"/>
    <w:rsid w:val="4FE934FB"/>
    <w:rsid w:val="4FF4E222"/>
    <w:rsid w:val="50016792"/>
    <w:rsid w:val="500750EB"/>
    <w:rsid w:val="502ADD54"/>
    <w:rsid w:val="504A0418"/>
    <w:rsid w:val="50629A93"/>
    <w:rsid w:val="506F7567"/>
    <w:rsid w:val="507CAE6C"/>
    <w:rsid w:val="50BABD5A"/>
    <w:rsid w:val="50C572F9"/>
    <w:rsid w:val="50D414A2"/>
    <w:rsid w:val="50D6CC91"/>
    <w:rsid w:val="510ABE9C"/>
    <w:rsid w:val="51155597"/>
    <w:rsid w:val="5119B872"/>
    <w:rsid w:val="512A330B"/>
    <w:rsid w:val="512AB7EF"/>
    <w:rsid w:val="512F0FBD"/>
    <w:rsid w:val="51306C66"/>
    <w:rsid w:val="515BBA5D"/>
    <w:rsid w:val="516EE946"/>
    <w:rsid w:val="518FB17A"/>
    <w:rsid w:val="5195BE14"/>
    <w:rsid w:val="51A4EB33"/>
    <w:rsid w:val="51A5C3A7"/>
    <w:rsid w:val="51D3205A"/>
    <w:rsid w:val="51D81432"/>
    <w:rsid w:val="51F2C3E0"/>
    <w:rsid w:val="5219FB14"/>
    <w:rsid w:val="52361CCD"/>
    <w:rsid w:val="52465590"/>
    <w:rsid w:val="5261435A"/>
    <w:rsid w:val="5275120E"/>
    <w:rsid w:val="5288C97C"/>
    <w:rsid w:val="5299B0BD"/>
    <w:rsid w:val="52A29E4F"/>
    <w:rsid w:val="52D526A7"/>
    <w:rsid w:val="53032455"/>
    <w:rsid w:val="5329C226"/>
    <w:rsid w:val="532B0EB5"/>
    <w:rsid w:val="533EF1AD"/>
    <w:rsid w:val="533FDA2E"/>
    <w:rsid w:val="5351305B"/>
    <w:rsid w:val="5355AB15"/>
    <w:rsid w:val="537C0328"/>
    <w:rsid w:val="53C1FDC0"/>
    <w:rsid w:val="53C21282"/>
    <w:rsid w:val="53D055BD"/>
    <w:rsid w:val="53E17651"/>
    <w:rsid w:val="53F0D707"/>
    <w:rsid w:val="53F341C4"/>
    <w:rsid w:val="53F391A8"/>
    <w:rsid w:val="53F94819"/>
    <w:rsid w:val="543E84CA"/>
    <w:rsid w:val="5445E717"/>
    <w:rsid w:val="544ACDCF"/>
    <w:rsid w:val="5462528A"/>
    <w:rsid w:val="54CABD3C"/>
    <w:rsid w:val="54D64227"/>
    <w:rsid w:val="54EC0F8D"/>
    <w:rsid w:val="54F452BF"/>
    <w:rsid w:val="54F508D1"/>
    <w:rsid w:val="54FC7BBB"/>
    <w:rsid w:val="54FFA4AD"/>
    <w:rsid w:val="55064287"/>
    <w:rsid w:val="551446C8"/>
    <w:rsid w:val="55186893"/>
    <w:rsid w:val="5521229C"/>
    <w:rsid w:val="5531E21B"/>
    <w:rsid w:val="553D0BFF"/>
    <w:rsid w:val="5560366E"/>
    <w:rsid w:val="557C86D2"/>
    <w:rsid w:val="5580B194"/>
    <w:rsid w:val="558E78D6"/>
    <w:rsid w:val="55910739"/>
    <w:rsid w:val="55A60C06"/>
    <w:rsid w:val="55A82CAA"/>
    <w:rsid w:val="55BE3E0A"/>
    <w:rsid w:val="55C21794"/>
    <w:rsid w:val="55C50BE5"/>
    <w:rsid w:val="55F18577"/>
    <w:rsid w:val="56174A23"/>
    <w:rsid w:val="5617A373"/>
    <w:rsid w:val="5621FED8"/>
    <w:rsid w:val="5622CC9F"/>
    <w:rsid w:val="56382001"/>
    <w:rsid w:val="564FD1DA"/>
    <w:rsid w:val="567EEF34"/>
    <w:rsid w:val="569717EF"/>
    <w:rsid w:val="569D1353"/>
    <w:rsid w:val="56A3ADD6"/>
    <w:rsid w:val="56AAEB20"/>
    <w:rsid w:val="56AE49F7"/>
    <w:rsid w:val="56C6B0AD"/>
    <w:rsid w:val="56CD0583"/>
    <w:rsid w:val="56D18E0B"/>
    <w:rsid w:val="56D67FA2"/>
    <w:rsid w:val="56DABBD7"/>
    <w:rsid w:val="56EFA86F"/>
    <w:rsid w:val="570D6506"/>
    <w:rsid w:val="572A4F87"/>
    <w:rsid w:val="5743FD0B"/>
    <w:rsid w:val="57501BF5"/>
    <w:rsid w:val="5753A578"/>
    <w:rsid w:val="575641D9"/>
    <w:rsid w:val="576A8794"/>
    <w:rsid w:val="57928C8C"/>
    <w:rsid w:val="57948389"/>
    <w:rsid w:val="57974CC6"/>
    <w:rsid w:val="57AFBF9C"/>
    <w:rsid w:val="57C13196"/>
    <w:rsid w:val="57D03F0E"/>
    <w:rsid w:val="57DBF89D"/>
    <w:rsid w:val="5814E5C0"/>
    <w:rsid w:val="582C4AF4"/>
    <w:rsid w:val="584FC99C"/>
    <w:rsid w:val="5851D4B1"/>
    <w:rsid w:val="5853C57F"/>
    <w:rsid w:val="5862CB33"/>
    <w:rsid w:val="58708A20"/>
    <w:rsid w:val="5882B215"/>
    <w:rsid w:val="588FB515"/>
    <w:rsid w:val="58A205A9"/>
    <w:rsid w:val="58A93567"/>
    <w:rsid w:val="58B28547"/>
    <w:rsid w:val="58BD7D35"/>
    <w:rsid w:val="58C61FE8"/>
    <w:rsid w:val="58C657D8"/>
    <w:rsid w:val="58E1BB55"/>
    <w:rsid w:val="58E49293"/>
    <w:rsid w:val="58E5E302"/>
    <w:rsid w:val="58F2123A"/>
    <w:rsid w:val="58F620F1"/>
    <w:rsid w:val="590657F5"/>
    <w:rsid w:val="590BFEC6"/>
    <w:rsid w:val="59288E38"/>
    <w:rsid w:val="5935EFC5"/>
    <w:rsid w:val="59429195"/>
    <w:rsid w:val="595EB4CA"/>
    <w:rsid w:val="59889404"/>
    <w:rsid w:val="598F0ED0"/>
    <w:rsid w:val="599628E8"/>
    <w:rsid w:val="59A67CA0"/>
    <w:rsid w:val="59AB5ECE"/>
    <w:rsid w:val="59D2E97A"/>
    <w:rsid w:val="59DDE7A7"/>
    <w:rsid w:val="5A02D2C4"/>
    <w:rsid w:val="5A0E2064"/>
    <w:rsid w:val="5A16895B"/>
    <w:rsid w:val="5A21413C"/>
    <w:rsid w:val="5A2E5C6A"/>
    <w:rsid w:val="5A6FF53E"/>
    <w:rsid w:val="5A8DE29B"/>
    <w:rsid w:val="5AA4AA03"/>
    <w:rsid w:val="5AB11E9F"/>
    <w:rsid w:val="5AB1EE3E"/>
    <w:rsid w:val="5ACC303C"/>
    <w:rsid w:val="5ACF3F9A"/>
    <w:rsid w:val="5AD7E744"/>
    <w:rsid w:val="5AE12112"/>
    <w:rsid w:val="5AEBBE1D"/>
    <w:rsid w:val="5AF63DC2"/>
    <w:rsid w:val="5B01AE4F"/>
    <w:rsid w:val="5B0EC828"/>
    <w:rsid w:val="5B1D1E44"/>
    <w:rsid w:val="5B370654"/>
    <w:rsid w:val="5B497148"/>
    <w:rsid w:val="5B55BDD4"/>
    <w:rsid w:val="5B6A8912"/>
    <w:rsid w:val="5B80B65C"/>
    <w:rsid w:val="5B954721"/>
    <w:rsid w:val="5B9D527B"/>
    <w:rsid w:val="5BA8E3C7"/>
    <w:rsid w:val="5BAA85FB"/>
    <w:rsid w:val="5BB6331A"/>
    <w:rsid w:val="5BBFAF65"/>
    <w:rsid w:val="5BC31922"/>
    <w:rsid w:val="5BE31E51"/>
    <w:rsid w:val="5BF28CA3"/>
    <w:rsid w:val="5BF82410"/>
    <w:rsid w:val="5BF95F21"/>
    <w:rsid w:val="5C02841A"/>
    <w:rsid w:val="5C0F4D5A"/>
    <w:rsid w:val="5C442D56"/>
    <w:rsid w:val="5C581BDB"/>
    <w:rsid w:val="5C6D96A5"/>
    <w:rsid w:val="5C75F0F9"/>
    <w:rsid w:val="5C973236"/>
    <w:rsid w:val="5CB1907C"/>
    <w:rsid w:val="5CC46661"/>
    <w:rsid w:val="5CD1FCF9"/>
    <w:rsid w:val="5D0A0766"/>
    <w:rsid w:val="5D2022CB"/>
    <w:rsid w:val="5D242C4A"/>
    <w:rsid w:val="5D29C9F4"/>
    <w:rsid w:val="5D32A2D4"/>
    <w:rsid w:val="5D4C0467"/>
    <w:rsid w:val="5D63C304"/>
    <w:rsid w:val="5D6C83CB"/>
    <w:rsid w:val="5D822AF9"/>
    <w:rsid w:val="5D8E8800"/>
    <w:rsid w:val="5D9C273C"/>
    <w:rsid w:val="5DDF52F5"/>
    <w:rsid w:val="5DEC9C97"/>
    <w:rsid w:val="5E353E29"/>
    <w:rsid w:val="5E35B8AA"/>
    <w:rsid w:val="5E44F7F6"/>
    <w:rsid w:val="5E458B77"/>
    <w:rsid w:val="5E4E888D"/>
    <w:rsid w:val="5E699CE2"/>
    <w:rsid w:val="5E747EF2"/>
    <w:rsid w:val="5E8FDD60"/>
    <w:rsid w:val="5E900CF0"/>
    <w:rsid w:val="5EB79613"/>
    <w:rsid w:val="5ECE7335"/>
    <w:rsid w:val="5EEEB1D2"/>
    <w:rsid w:val="5EF6A41D"/>
    <w:rsid w:val="5EFECD4E"/>
    <w:rsid w:val="5F0328CA"/>
    <w:rsid w:val="5F13769D"/>
    <w:rsid w:val="5F1AE172"/>
    <w:rsid w:val="5F1C5D1B"/>
    <w:rsid w:val="5F1DFB5A"/>
    <w:rsid w:val="5F7C95FB"/>
    <w:rsid w:val="5FD60DC4"/>
    <w:rsid w:val="5FDA61E7"/>
    <w:rsid w:val="5FE33271"/>
    <w:rsid w:val="5FF3F9D3"/>
    <w:rsid w:val="5FF953E9"/>
    <w:rsid w:val="60091211"/>
    <w:rsid w:val="601149C6"/>
    <w:rsid w:val="601ADB87"/>
    <w:rsid w:val="6029B75E"/>
    <w:rsid w:val="603976FC"/>
    <w:rsid w:val="603D768A"/>
    <w:rsid w:val="603DFA35"/>
    <w:rsid w:val="60422AFE"/>
    <w:rsid w:val="6049F03D"/>
    <w:rsid w:val="6053975A"/>
    <w:rsid w:val="60656811"/>
    <w:rsid w:val="606A4396"/>
    <w:rsid w:val="60A3F4C7"/>
    <w:rsid w:val="60A6B19D"/>
    <w:rsid w:val="60ABF78B"/>
    <w:rsid w:val="60B6D4BD"/>
    <w:rsid w:val="60E41291"/>
    <w:rsid w:val="60FDE5FF"/>
    <w:rsid w:val="61033A5A"/>
    <w:rsid w:val="610F2115"/>
    <w:rsid w:val="61212FC2"/>
    <w:rsid w:val="6158D676"/>
    <w:rsid w:val="61638007"/>
    <w:rsid w:val="616844B3"/>
    <w:rsid w:val="617D2C39"/>
    <w:rsid w:val="61A01D15"/>
    <w:rsid w:val="61AC15E1"/>
    <w:rsid w:val="61D102D9"/>
    <w:rsid w:val="61E48B57"/>
    <w:rsid w:val="620613F7"/>
    <w:rsid w:val="621493E3"/>
    <w:rsid w:val="62265837"/>
    <w:rsid w:val="6246ADFE"/>
    <w:rsid w:val="62AD0868"/>
    <w:rsid w:val="62B75734"/>
    <w:rsid w:val="62BA1654"/>
    <w:rsid w:val="62C4E917"/>
    <w:rsid w:val="62D30515"/>
    <w:rsid w:val="62DF1386"/>
    <w:rsid w:val="62EB89C5"/>
    <w:rsid w:val="62ECB5EB"/>
    <w:rsid w:val="62FC19B7"/>
    <w:rsid w:val="630616F5"/>
    <w:rsid w:val="631BD112"/>
    <w:rsid w:val="6348EA88"/>
    <w:rsid w:val="634C79CD"/>
    <w:rsid w:val="635C729A"/>
    <w:rsid w:val="638F95D4"/>
    <w:rsid w:val="6392F41D"/>
    <w:rsid w:val="63B597E0"/>
    <w:rsid w:val="63B8215E"/>
    <w:rsid w:val="63C20885"/>
    <w:rsid w:val="63CF9CFC"/>
    <w:rsid w:val="63D1670E"/>
    <w:rsid w:val="63D3DCC5"/>
    <w:rsid w:val="63E03CDD"/>
    <w:rsid w:val="63E1E997"/>
    <w:rsid w:val="63F2BAC8"/>
    <w:rsid w:val="64109E57"/>
    <w:rsid w:val="641DBB1D"/>
    <w:rsid w:val="642992CD"/>
    <w:rsid w:val="645CE2A5"/>
    <w:rsid w:val="646F92E2"/>
    <w:rsid w:val="647594F3"/>
    <w:rsid w:val="647956CC"/>
    <w:rsid w:val="647EB19B"/>
    <w:rsid w:val="64B54A47"/>
    <w:rsid w:val="64CDDB1A"/>
    <w:rsid w:val="64D7F871"/>
    <w:rsid w:val="64DC8334"/>
    <w:rsid w:val="64E697BD"/>
    <w:rsid w:val="64E8CE8C"/>
    <w:rsid w:val="64FFEA52"/>
    <w:rsid w:val="65063084"/>
    <w:rsid w:val="6525792C"/>
    <w:rsid w:val="65318BD9"/>
    <w:rsid w:val="6550D30B"/>
    <w:rsid w:val="6563EA21"/>
    <w:rsid w:val="6589A2D5"/>
    <w:rsid w:val="65901534"/>
    <w:rsid w:val="65BDFFAA"/>
    <w:rsid w:val="65D34FF4"/>
    <w:rsid w:val="65D37C07"/>
    <w:rsid w:val="65D9370D"/>
    <w:rsid w:val="66127D6C"/>
    <w:rsid w:val="662FC270"/>
    <w:rsid w:val="663384DD"/>
    <w:rsid w:val="66465B01"/>
    <w:rsid w:val="664F4C38"/>
    <w:rsid w:val="667A7F43"/>
    <w:rsid w:val="6686D293"/>
    <w:rsid w:val="668DB172"/>
    <w:rsid w:val="668F80D6"/>
    <w:rsid w:val="669BEA8C"/>
    <w:rsid w:val="66B73316"/>
    <w:rsid w:val="66C661AE"/>
    <w:rsid w:val="66E92C30"/>
    <w:rsid w:val="6701C069"/>
    <w:rsid w:val="6705B534"/>
    <w:rsid w:val="671E234C"/>
    <w:rsid w:val="672BE595"/>
    <w:rsid w:val="673F4156"/>
    <w:rsid w:val="67418604"/>
    <w:rsid w:val="676CBA40"/>
    <w:rsid w:val="6784EE8C"/>
    <w:rsid w:val="678E4637"/>
    <w:rsid w:val="6790D873"/>
    <w:rsid w:val="67967960"/>
    <w:rsid w:val="67A9A43B"/>
    <w:rsid w:val="67B75527"/>
    <w:rsid w:val="67D8743F"/>
    <w:rsid w:val="67D91B3E"/>
    <w:rsid w:val="67DBBBD3"/>
    <w:rsid w:val="67DF8C82"/>
    <w:rsid w:val="67F0DBAF"/>
    <w:rsid w:val="67F756CB"/>
    <w:rsid w:val="680BFA02"/>
    <w:rsid w:val="681A3205"/>
    <w:rsid w:val="68206F4E"/>
    <w:rsid w:val="682C1FE6"/>
    <w:rsid w:val="6830429E"/>
    <w:rsid w:val="6837F558"/>
    <w:rsid w:val="683D180A"/>
    <w:rsid w:val="68478C1A"/>
    <w:rsid w:val="684E4277"/>
    <w:rsid w:val="68530377"/>
    <w:rsid w:val="6857EF37"/>
    <w:rsid w:val="686FE0A6"/>
    <w:rsid w:val="687F7694"/>
    <w:rsid w:val="689AFB63"/>
    <w:rsid w:val="689B7850"/>
    <w:rsid w:val="68A74DE8"/>
    <w:rsid w:val="68A8AB1C"/>
    <w:rsid w:val="68C177C8"/>
    <w:rsid w:val="68ECEBA3"/>
    <w:rsid w:val="68EF08BB"/>
    <w:rsid w:val="68F6DDB1"/>
    <w:rsid w:val="68F7CF6F"/>
    <w:rsid w:val="6945CC81"/>
    <w:rsid w:val="6962B01B"/>
    <w:rsid w:val="696D1B11"/>
    <w:rsid w:val="697DFBC3"/>
    <w:rsid w:val="69966BE8"/>
    <w:rsid w:val="699F03AF"/>
    <w:rsid w:val="69A4A502"/>
    <w:rsid w:val="69CBB41E"/>
    <w:rsid w:val="69F62C38"/>
    <w:rsid w:val="69F80819"/>
    <w:rsid w:val="6A03BA94"/>
    <w:rsid w:val="6A3CA64E"/>
    <w:rsid w:val="6A448EA6"/>
    <w:rsid w:val="6A5ACF78"/>
    <w:rsid w:val="6A70C2A0"/>
    <w:rsid w:val="6A71DC0D"/>
    <w:rsid w:val="6A911AB2"/>
    <w:rsid w:val="6A94EF41"/>
    <w:rsid w:val="6A990838"/>
    <w:rsid w:val="6A9A71AA"/>
    <w:rsid w:val="6AC3D430"/>
    <w:rsid w:val="6AC873D1"/>
    <w:rsid w:val="6AE6123D"/>
    <w:rsid w:val="6B104085"/>
    <w:rsid w:val="6B172D44"/>
    <w:rsid w:val="6B25B491"/>
    <w:rsid w:val="6B491304"/>
    <w:rsid w:val="6B4BC4B8"/>
    <w:rsid w:val="6B581010"/>
    <w:rsid w:val="6B5B6914"/>
    <w:rsid w:val="6B67B5EE"/>
    <w:rsid w:val="6B734EE3"/>
    <w:rsid w:val="6B9F8AF5"/>
    <w:rsid w:val="6BA0B01B"/>
    <w:rsid w:val="6BABDBE6"/>
    <w:rsid w:val="6BAD2F73"/>
    <w:rsid w:val="6BAD3D08"/>
    <w:rsid w:val="6BC1A694"/>
    <w:rsid w:val="6BC90C66"/>
    <w:rsid w:val="6C34D899"/>
    <w:rsid w:val="6C39E658"/>
    <w:rsid w:val="6C3D4F63"/>
    <w:rsid w:val="6C3FCD71"/>
    <w:rsid w:val="6C5251EB"/>
    <w:rsid w:val="6C739C4A"/>
    <w:rsid w:val="6C8A6486"/>
    <w:rsid w:val="6C9D01CE"/>
    <w:rsid w:val="6CA52507"/>
    <w:rsid w:val="6CB75792"/>
    <w:rsid w:val="6CC207AA"/>
    <w:rsid w:val="6CC802B2"/>
    <w:rsid w:val="6CDA6A61"/>
    <w:rsid w:val="6CE38DE9"/>
    <w:rsid w:val="6CE79519"/>
    <w:rsid w:val="6D06D5F0"/>
    <w:rsid w:val="6D171D05"/>
    <w:rsid w:val="6D2702B3"/>
    <w:rsid w:val="6D43EB19"/>
    <w:rsid w:val="6D5D3F40"/>
    <w:rsid w:val="6D63D276"/>
    <w:rsid w:val="6D64DCC7"/>
    <w:rsid w:val="6D70B929"/>
    <w:rsid w:val="6D767F42"/>
    <w:rsid w:val="6D8D4482"/>
    <w:rsid w:val="6DC05CC6"/>
    <w:rsid w:val="6E08F4C3"/>
    <w:rsid w:val="6E126368"/>
    <w:rsid w:val="6E17DA68"/>
    <w:rsid w:val="6E1E85AF"/>
    <w:rsid w:val="6E34F456"/>
    <w:rsid w:val="6E38C6D1"/>
    <w:rsid w:val="6E3A191B"/>
    <w:rsid w:val="6E4BEFD4"/>
    <w:rsid w:val="6E4ECE06"/>
    <w:rsid w:val="6E7F871D"/>
    <w:rsid w:val="6EA3000E"/>
    <w:rsid w:val="6EBCDFFD"/>
    <w:rsid w:val="6EBE7394"/>
    <w:rsid w:val="6EC8D454"/>
    <w:rsid w:val="6EE496FF"/>
    <w:rsid w:val="6F124FA3"/>
    <w:rsid w:val="6F3AC3C6"/>
    <w:rsid w:val="6F3D2D66"/>
    <w:rsid w:val="6F47BFA5"/>
    <w:rsid w:val="6F4BCC11"/>
    <w:rsid w:val="6F4FE9E6"/>
    <w:rsid w:val="6F5608ED"/>
    <w:rsid w:val="6F57599A"/>
    <w:rsid w:val="6F5C9C39"/>
    <w:rsid w:val="6F5CF7DA"/>
    <w:rsid w:val="6F6BFC16"/>
    <w:rsid w:val="6F795BF9"/>
    <w:rsid w:val="6FC0AFA0"/>
    <w:rsid w:val="6FCDD72F"/>
    <w:rsid w:val="6FD02AB9"/>
    <w:rsid w:val="6FE838C9"/>
    <w:rsid w:val="6FEA9E67"/>
    <w:rsid w:val="705018EB"/>
    <w:rsid w:val="705E14CB"/>
    <w:rsid w:val="709B7338"/>
    <w:rsid w:val="70AAF946"/>
    <w:rsid w:val="70BECDB6"/>
    <w:rsid w:val="70CACC50"/>
    <w:rsid w:val="70CB8B46"/>
    <w:rsid w:val="70DE615A"/>
    <w:rsid w:val="70ED4BFC"/>
    <w:rsid w:val="70F70EE5"/>
    <w:rsid w:val="70F9D071"/>
    <w:rsid w:val="7108B539"/>
    <w:rsid w:val="7109B32E"/>
    <w:rsid w:val="71177BD8"/>
    <w:rsid w:val="712578D5"/>
    <w:rsid w:val="713315B4"/>
    <w:rsid w:val="71514A8E"/>
    <w:rsid w:val="716369A5"/>
    <w:rsid w:val="7176562E"/>
    <w:rsid w:val="71866EC8"/>
    <w:rsid w:val="71A7118A"/>
    <w:rsid w:val="71B02971"/>
    <w:rsid w:val="71C03D1D"/>
    <w:rsid w:val="71C52432"/>
    <w:rsid w:val="71E0E081"/>
    <w:rsid w:val="71ECE6FC"/>
    <w:rsid w:val="71F41F29"/>
    <w:rsid w:val="7218A2D0"/>
    <w:rsid w:val="72262446"/>
    <w:rsid w:val="72363625"/>
    <w:rsid w:val="723C53B4"/>
    <w:rsid w:val="72495654"/>
    <w:rsid w:val="7249F065"/>
    <w:rsid w:val="728C6691"/>
    <w:rsid w:val="729DD887"/>
    <w:rsid w:val="729F898E"/>
    <w:rsid w:val="72A36318"/>
    <w:rsid w:val="72B055F5"/>
    <w:rsid w:val="72CE8557"/>
    <w:rsid w:val="72F85062"/>
    <w:rsid w:val="72FE6ED4"/>
    <w:rsid w:val="7312268F"/>
    <w:rsid w:val="732EAC95"/>
    <w:rsid w:val="7335E5E2"/>
    <w:rsid w:val="7341F6F8"/>
    <w:rsid w:val="734CF7FF"/>
    <w:rsid w:val="7376BCE2"/>
    <w:rsid w:val="738A2B06"/>
    <w:rsid w:val="739DF89B"/>
    <w:rsid w:val="73A78858"/>
    <w:rsid w:val="73B5C6BE"/>
    <w:rsid w:val="73D313FA"/>
    <w:rsid w:val="73E5C0C6"/>
    <w:rsid w:val="73EDAE4C"/>
    <w:rsid w:val="73EE0266"/>
    <w:rsid w:val="73F65570"/>
    <w:rsid w:val="73F811D9"/>
    <w:rsid w:val="740079B2"/>
    <w:rsid w:val="740B84B6"/>
    <w:rsid w:val="7430C1EA"/>
    <w:rsid w:val="743B3587"/>
    <w:rsid w:val="7441FCC1"/>
    <w:rsid w:val="745B81AF"/>
    <w:rsid w:val="74962A89"/>
    <w:rsid w:val="749CF3E4"/>
    <w:rsid w:val="74BAA9D3"/>
    <w:rsid w:val="74BF920E"/>
    <w:rsid w:val="74E22ADD"/>
    <w:rsid w:val="75178565"/>
    <w:rsid w:val="751E20C8"/>
    <w:rsid w:val="75258341"/>
    <w:rsid w:val="7539C8FC"/>
    <w:rsid w:val="757C91CB"/>
    <w:rsid w:val="75983060"/>
    <w:rsid w:val="75A7B425"/>
    <w:rsid w:val="75B03B71"/>
    <w:rsid w:val="75CA8008"/>
    <w:rsid w:val="75D2927A"/>
    <w:rsid w:val="75E1A494"/>
    <w:rsid w:val="7605F60F"/>
    <w:rsid w:val="7609E379"/>
    <w:rsid w:val="76323B5C"/>
    <w:rsid w:val="76360F96"/>
    <w:rsid w:val="76363B23"/>
    <w:rsid w:val="763FA497"/>
    <w:rsid w:val="7647DE05"/>
    <w:rsid w:val="7649F2C5"/>
    <w:rsid w:val="76560458"/>
    <w:rsid w:val="76606B86"/>
    <w:rsid w:val="7661CD71"/>
    <w:rsid w:val="76C060B7"/>
    <w:rsid w:val="76C549E3"/>
    <w:rsid w:val="76F7CFA0"/>
    <w:rsid w:val="76F9A6CA"/>
    <w:rsid w:val="770D919F"/>
    <w:rsid w:val="77119B29"/>
    <w:rsid w:val="771EB41F"/>
    <w:rsid w:val="7724407E"/>
    <w:rsid w:val="77254F0E"/>
    <w:rsid w:val="772C04DB"/>
    <w:rsid w:val="7750FE69"/>
    <w:rsid w:val="776BE267"/>
    <w:rsid w:val="776F2FDB"/>
    <w:rsid w:val="778E2717"/>
    <w:rsid w:val="77A14331"/>
    <w:rsid w:val="77C0960C"/>
    <w:rsid w:val="77C16ECA"/>
    <w:rsid w:val="77F3206C"/>
    <w:rsid w:val="77FA2A8E"/>
    <w:rsid w:val="77FC3BE7"/>
    <w:rsid w:val="78144730"/>
    <w:rsid w:val="782D6F8D"/>
    <w:rsid w:val="783C0E96"/>
    <w:rsid w:val="785798FF"/>
    <w:rsid w:val="786467C2"/>
    <w:rsid w:val="786729EB"/>
    <w:rsid w:val="7869BFC9"/>
    <w:rsid w:val="789043EC"/>
    <w:rsid w:val="789366CB"/>
    <w:rsid w:val="78AD64BA"/>
    <w:rsid w:val="78BF12B4"/>
    <w:rsid w:val="78C5908F"/>
    <w:rsid w:val="78C9CC6F"/>
    <w:rsid w:val="78D9D85B"/>
    <w:rsid w:val="78DD2C1D"/>
    <w:rsid w:val="78DF54E7"/>
    <w:rsid w:val="78EBC0C1"/>
    <w:rsid w:val="78F8A925"/>
    <w:rsid w:val="7914C513"/>
    <w:rsid w:val="79194556"/>
    <w:rsid w:val="79235C94"/>
    <w:rsid w:val="79269D81"/>
    <w:rsid w:val="793E2799"/>
    <w:rsid w:val="7943B289"/>
    <w:rsid w:val="7945C451"/>
    <w:rsid w:val="796F212A"/>
    <w:rsid w:val="797C7C28"/>
    <w:rsid w:val="798EF0CD"/>
    <w:rsid w:val="79996E33"/>
    <w:rsid w:val="79B455B9"/>
    <w:rsid w:val="79B64F6A"/>
    <w:rsid w:val="79BC375B"/>
    <w:rsid w:val="79EE1A76"/>
    <w:rsid w:val="7A0459DD"/>
    <w:rsid w:val="7A3388D1"/>
    <w:rsid w:val="7A3AB47A"/>
    <w:rsid w:val="7A3B8520"/>
    <w:rsid w:val="7A5002EE"/>
    <w:rsid w:val="7A7591A1"/>
    <w:rsid w:val="7A8A3C48"/>
    <w:rsid w:val="7A8FC20F"/>
    <w:rsid w:val="7AB09574"/>
    <w:rsid w:val="7AB1B120"/>
    <w:rsid w:val="7ACA5194"/>
    <w:rsid w:val="7ACFB8BB"/>
    <w:rsid w:val="7AEDBFF3"/>
    <w:rsid w:val="7B11C673"/>
    <w:rsid w:val="7B2285BC"/>
    <w:rsid w:val="7B44C7AB"/>
    <w:rsid w:val="7B4D08DD"/>
    <w:rsid w:val="7B5DC968"/>
    <w:rsid w:val="7B65104F"/>
    <w:rsid w:val="7B75B537"/>
    <w:rsid w:val="7B80DBC1"/>
    <w:rsid w:val="7B81871F"/>
    <w:rsid w:val="7BA07EDD"/>
    <w:rsid w:val="7BA29306"/>
    <w:rsid w:val="7BB1DF30"/>
    <w:rsid w:val="7BB9A73A"/>
    <w:rsid w:val="7BF8C031"/>
    <w:rsid w:val="7C097ECB"/>
    <w:rsid w:val="7C319F98"/>
    <w:rsid w:val="7C3B1860"/>
    <w:rsid w:val="7C43C05A"/>
    <w:rsid w:val="7C4C65D5"/>
    <w:rsid w:val="7C5654F8"/>
    <w:rsid w:val="7C56712E"/>
    <w:rsid w:val="7C6ADE63"/>
    <w:rsid w:val="7C6CF7B7"/>
    <w:rsid w:val="7C75C85B"/>
    <w:rsid w:val="7C7C2BFD"/>
    <w:rsid w:val="7C902817"/>
    <w:rsid w:val="7C918BBB"/>
    <w:rsid w:val="7CB150B0"/>
    <w:rsid w:val="7CD3C236"/>
    <w:rsid w:val="7CE40955"/>
    <w:rsid w:val="7CEC7E0C"/>
    <w:rsid w:val="7CF41B8E"/>
    <w:rsid w:val="7CF62518"/>
    <w:rsid w:val="7D0F0C99"/>
    <w:rsid w:val="7D179637"/>
    <w:rsid w:val="7D3A306D"/>
    <w:rsid w:val="7D3C4F3E"/>
    <w:rsid w:val="7D54A0C9"/>
    <w:rsid w:val="7D82EE17"/>
    <w:rsid w:val="7D91904E"/>
    <w:rsid w:val="7D949092"/>
    <w:rsid w:val="7D9A40B8"/>
    <w:rsid w:val="7DA1C046"/>
    <w:rsid w:val="7DA6E2DF"/>
    <w:rsid w:val="7DC1FCE3"/>
    <w:rsid w:val="7DCA28A5"/>
    <w:rsid w:val="7DDFD351"/>
    <w:rsid w:val="7E1198BC"/>
    <w:rsid w:val="7E247532"/>
    <w:rsid w:val="7E6CDF56"/>
    <w:rsid w:val="7E73362F"/>
    <w:rsid w:val="7E7D08B7"/>
    <w:rsid w:val="7E8353AB"/>
    <w:rsid w:val="7E956A2A"/>
    <w:rsid w:val="7EB518EF"/>
    <w:rsid w:val="7EC5A89E"/>
    <w:rsid w:val="7ECCA98C"/>
    <w:rsid w:val="7EE34611"/>
    <w:rsid w:val="7EF4F1E3"/>
    <w:rsid w:val="7EFCFF09"/>
    <w:rsid w:val="7F02E185"/>
    <w:rsid w:val="7F02EF1A"/>
    <w:rsid w:val="7F0490D4"/>
    <w:rsid w:val="7F1EBE78"/>
    <w:rsid w:val="7F26CE80"/>
    <w:rsid w:val="7F5B60A1"/>
    <w:rsid w:val="7F7CBF0C"/>
    <w:rsid w:val="7F7DB424"/>
    <w:rsid w:val="7F840697"/>
    <w:rsid w:val="7F97AAB2"/>
    <w:rsid w:val="7F9A67F4"/>
    <w:rsid w:val="7F9E219B"/>
    <w:rsid w:val="7FA7F05A"/>
    <w:rsid w:val="7FAC5AB5"/>
    <w:rsid w:val="7FACF8E3"/>
    <w:rsid w:val="7FAD691D"/>
    <w:rsid w:val="7FB7696C"/>
    <w:rsid w:val="7FC10404"/>
    <w:rsid w:val="7FC7AB4F"/>
    <w:rsid w:val="7FE7B512"/>
    <w:rsid w:val="7FEE256F"/>
    <w:rsid w:val="7FFE9ED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7FC46C96-3B71-4B38-BFF0-74A71FED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styleId="ListParagraph">
    <w:name w:val="List Paragraph"/>
    <w:basedOn w:val="Normal"/>
    <w:uiPriority w:val="34"/>
    <w:qFormat/>
    <w:pPr>
      <w:ind w:left="720"/>
      <w:contextualSpacing/>
    </w:pPr>
  </w:style>
  <w:style w:type="paragraph" w:customStyle="1" w:styleId="002-Authors">
    <w:name w:val="002-Authors"/>
    <w:basedOn w:val="Normal"/>
    <w:uiPriority w:val="1"/>
    <w:qFormat/>
    <w:rsid w:val="3E01852A"/>
    <w:pPr>
      <w:spacing w:before="360"/>
      <w:jc w:val="center"/>
    </w:pPr>
    <w:rPr>
      <w:rFonts w:eastAsia="Calibri"/>
      <w:lang w:eastAsia="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2">
    <w:name w:val="Plain Table 2"/>
    <w:basedOn w:val="TableNormal"/>
    <w:uiPriority w:val="4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003-Email">
    <w:name w:val="003-Email"/>
    <w:basedOn w:val="Normal"/>
    <w:next w:val="004-Affiliation"/>
    <w:uiPriority w:val="1"/>
    <w:qFormat/>
    <w:rsid w:val="11F5B2F3"/>
    <w:pPr>
      <w:spacing w:before="240"/>
      <w:jc w:val="center"/>
    </w:pPr>
    <w:rPr>
      <w:rFonts w:eastAsia="Calibri"/>
      <w:i/>
      <w:iCs/>
      <w:sz w:val="20"/>
      <w:szCs w:val="20"/>
      <w:lang w:eastAsia="en-US"/>
    </w:rPr>
  </w:style>
  <w:style w:type="paragraph" w:customStyle="1" w:styleId="004-Affiliation">
    <w:name w:val="004-Affiliation"/>
    <w:basedOn w:val="Normal"/>
    <w:next w:val="Normal"/>
    <w:uiPriority w:val="1"/>
    <w:qFormat/>
    <w:rsid w:val="11F5B2F3"/>
    <w:pPr>
      <w:jc w:val="center"/>
    </w:pPr>
    <w:rPr>
      <w:rFonts w:eastAsia="Calibri"/>
      <w:sz w:val="20"/>
      <w:szCs w:val="20"/>
      <w:lang w:eastAsia="en-US"/>
    </w:rPr>
  </w:style>
  <w:style w:type="paragraph" w:styleId="Bibliography">
    <w:name w:val="Bibliography"/>
    <w:basedOn w:val="Normal"/>
    <w:next w:val="Normal"/>
    <w:uiPriority w:val="37"/>
    <w:unhideWhenUsed/>
    <w:rsid w:val="007C743F"/>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tal.ripp@uottaw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orcid.org/0000-0003-0157-1430" TargetMode="External"/><Relationship Id="rId4" Type="http://schemas.openxmlformats.org/officeDocument/2006/relationships/settings" Target="settings.xml"/><Relationship Id="rId9" Type="http://schemas.openxmlformats.org/officeDocument/2006/relationships/hyperlink" Target="mailto:stefanie.haustein@uottawa.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136</TotalTime>
  <Pages>9</Pages>
  <Words>5996</Words>
  <Characters>34180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STI 2023 paper template</vt:lpstr>
    </vt:vector>
  </TitlesOfParts>
  <Company/>
  <LinksUpToDate>false</LinksUpToDate>
  <CharactersWithSpaces>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Chantal Rochon</cp:lastModifiedBy>
  <cp:revision>137</cp:revision>
  <cp:lastPrinted>2005-03-14T08:40:00Z</cp:lastPrinted>
  <dcterms:created xsi:type="dcterms:W3CDTF">2022-12-15T12:25:00Z</dcterms:created>
  <dcterms:modified xsi:type="dcterms:W3CDTF">2023-04-21T15:56:00Z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id="oVaQn13F"/&gt;&lt;style id="http://www.zotero.org/styles/apa" locale="en-US" hasBibliography="1" bibliographyStyleHasBeenSet="1"/&gt;&lt;prefs&gt;&lt;pref name="fieldType" value="Field"/&gt;&lt;/prefs&gt;&lt;/data&gt;</vt:lpwstr>
  </property>
</Properties>
</file>