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1782" w14:textId="77777777" w:rsidR="00A7494E" w:rsidRDefault="00A7494E" w:rsidP="00576D20">
      <w:pPr>
        <w:spacing w:line="276" w:lineRule="auto"/>
      </w:pPr>
    </w:p>
    <w:p w14:paraId="2AD4AFFE" w14:textId="77777777" w:rsidR="008E35E4" w:rsidRDefault="008E35E4" w:rsidP="00576D20">
      <w:pPr>
        <w:spacing w:line="276" w:lineRule="auto"/>
      </w:pPr>
    </w:p>
    <w:p w14:paraId="3C706DFA" w14:textId="77777777" w:rsidR="008E35E4" w:rsidRDefault="008E35E4" w:rsidP="00576D20">
      <w:pPr>
        <w:spacing w:line="276" w:lineRule="auto"/>
      </w:pPr>
    </w:p>
    <w:p w14:paraId="1F4D647F" w14:textId="77777777" w:rsidR="00361257" w:rsidRPr="00264C24" w:rsidRDefault="00361257" w:rsidP="00264C24">
      <w:pPr>
        <w:pStyle w:val="Heading1"/>
        <w:keepLines w:val="0"/>
        <w:spacing w:before="0" w:after="0"/>
        <w:jc w:val="center"/>
        <w:rPr>
          <w:rFonts w:eastAsia="Times New Roman"/>
          <w:b w:val="0"/>
          <w:sz w:val="36"/>
          <w:szCs w:val="36"/>
          <w:lang w:eastAsia="sv-SE"/>
        </w:rPr>
      </w:pPr>
      <w:r w:rsidRPr="00264C24">
        <w:rPr>
          <w:rFonts w:eastAsia="Times New Roman"/>
          <w:b w:val="0"/>
          <w:sz w:val="36"/>
          <w:szCs w:val="36"/>
          <w:lang w:eastAsia="sv-SE"/>
        </w:rPr>
        <w:t>L</w:t>
      </w:r>
      <w:r w:rsidR="00576D20" w:rsidRPr="00264C24">
        <w:rPr>
          <w:rFonts w:eastAsia="Times New Roman"/>
          <w:b w:val="0"/>
          <w:sz w:val="36"/>
          <w:szCs w:val="36"/>
          <w:lang w:eastAsia="sv-SE"/>
        </w:rPr>
        <w:t xml:space="preserve">inkedIn use </w:t>
      </w:r>
      <w:r w:rsidR="006779BF" w:rsidRPr="00264C24">
        <w:rPr>
          <w:rFonts w:eastAsia="Times New Roman"/>
          <w:b w:val="0"/>
          <w:sz w:val="36"/>
          <w:szCs w:val="36"/>
          <w:lang w:eastAsia="sv-SE"/>
        </w:rPr>
        <w:t>by</w:t>
      </w:r>
      <w:r w:rsidR="00576D20" w:rsidRPr="00264C24">
        <w:rPr>
          <w:rFonts w:eastAsia="Times New Roman"/>
          <w:b w:val="0"/>
          <w:sz w:val="36"/>
          <w:szCs w:val="36"/>
          <w:lang w:eastAsia="sv-SE"/>
        </w:rPr>
        <w:t xml:space="preserve"> academi</w:t>
      </w:r>
      <w:r w:rsidR="006779BF" w:rsidRPr="00264C24">
        <w:rPr>
          <w:rFonts w:eastAsia="Times New Roman"/>
          <w:b w:val="0"/>
          <w:sz w:val="36"/>
          <w:szCs w:val="36"/>
          <w:lang w:eastAsia="sv-SE"/>
        </w:rPr>
        <w:t>cs</w:t>
      </w:r>
      <w:r w:rsidRPr="00264C24">
        <w:rPr>
          <w:rFonts w:eastAsia="Times New Roman"/>
          <w:b w:val="0"/>
          <w:sz w:val="36"/>
          <w:szCs w:val="36"/>
          <w:lang w:eastAsia="sv-SE"/>
        </w:rPr>
        <w:t xml:space="preserve">: </w:t>
      </w:r>
    </w:p>
    <w:p w14:paraId="3C98A3BB" w14:textId="70C060C5" w:rsidR="008E35E4" w:rsidRPr="00264C24" w:rsidRDefault="00361257" w:rsidP="00264C24">
      <w:pPr>
        <w:pStyle w:val="Heading1"/>
        <w:keepLines w:val="0"/>
        <w:spacing w:before="0" w:after="0"/>
        <w:jc w:val="center"/>
        <w:rPr>
          <w:rFonts w:eastAsia="Times New Roman"/>
          <w:b w:val="0"/>
          <w:sz w:val="36"/>
          <w:szCs w:val="36"/>
          <w:lang w:eastAsia="sv-SE"/>
        </w:rPr>
      </w:pPr>
      <w:r w:rsidRPr="00264C24">
        <w:rPr>
          <w:rFonts w:eastAsia="Times New Roman"/>
          <w:b w:val="0"/>
          <w:sz w:val="36"/>
          <w:szCs w:val="36"/>
          <w:lang w:eastAsia="sv-SE"/>
        </w:rPr>
        <w:t>an indicator for science policy and research?</w:t>
      </w:r>
    </w:p>
    <w:p w14:paraId="46CE0C35" w14:textId="77777777" w:rsidR="00576D20" w:rsidRPr="00576D20" w:rsidRDefault="00576D20" w:rsidP="00576D20">
      <w:pPr>
        <w:spacing w:line="276" w:lineRule="auto"/>
        <w:jc w:val="center"/>
        <w:rPr>
          <w:szCs w:val="24"/>
        </w:rPr>
      </w:pPr>
    </w:p>
    <w:p w14:paraId="69B72DD6" w14:textId="77777777" w:rsidR="00576D20" w:rsidRDefault="00576D20" w:rsidP="00576D20">
      <w:pPr>
        <w:spacing w:line="276" w:lineRule="auto"/>
        <w:jc w:val="center"/>
        <w:rPr>
          <w:szCs w:val="24"/>
        </w:rPr>
      </w:pPr>
    </w:p>
    <w:p w14:paraId="3C943A9C" w14:textId="61410F40" w:rsidR="00264C24" w:rsidRPr="000C6B47" w:rsidRDefault="00264C24" w:rsidP="00264C24">
      <w:pPr>
        <w:jc w:val="center"/>
      </w:pPr>
      <w:r>
        <w:t>Cornelia Lawson</w:t>
      </w:r>
      <w:r w:rsidRPr="000C6B47">
        <w:rPr>
          <w:vertAlign w:val="superscript"/>
        </w:rPr>
        <w:t>*</w:t>
      </w:r>
      <w:r w:rsidRPr="000C6B47">
        <w:t>, Mayra M. Tirado</w:t>
      </w:r>
      <w:r w:rsidRPr="000C6B47">
        <w:rPr>
          <w:vertAlign w:val="superscript"/>
        </w:rPr>
        <w:t>**</w:t>
      </w:r>
      <w:r w:rsidRPr="000C6B47">
        <w:t xml:space="preserve"> </w:t>
      </w:r>
    </w:p>
    <w:p w14:paraId="1D9951FC" w14:textId="77777777" w:rsidR="00264C24" w:rsidRPr="000C6B47" w:rsidRDefault="00264C24" w:rsidP="00264C24">
      <w:pPr>
        <w:jc w:val="center"/>
      </w:pPr>
    </w:p>
    <w:p w14:paraId="1DEAE5D3" w14:textId="6D326449" w:rsidR="00264C24" w:rsidRPr="000C6B47" w:rsidRDefault="00264C24" w:rsidP="00264C24">
      <w:pPr>
        <w:jc w:val="center"/>
      </w:pPr>
      <w:r w:rsidRPr="000C6B47">
        <w:rPr>
          <w:vertAlign w:val="superscript"/>
        </w:rPr>
        <w:t>*</w:t>
      </w:r>
      <w:r w:rsidRPr="000C6B47">
        <w:rPr>
          <w:i/>
        </w:rPr>
        <w:t xml:space="preserve"> </w:t>
      </w:r>
      <w:r w:rsidR="006C2A95" w:rsidRPr="006C2A95">
        <w:rPr>
          <w:i/>
        </w:rPr>
        <w:t>cornelia.lawson@manchester.ac.uk</w:t>
      </w:r>
    </w:p>
    <w:p w14:paraId="41FA673E" w14:textId="3D43F104" w:rsidR="006670D2" w:rsidRPr="000C6B47" w:rsidRDefault="00264C24" w:rsidP="00264C24">
      <w:pPr>
        <w:jc w:val="center"/>
      </w:pPr>
      <w:r w:rsidRPr="00E96CFD">
        <w:t>ORCID</w:t>
      </w:r>
      <w:r w:rsidRPr="000C6B47">
        <w:t xml:space="preserve">: </w:t>
      </w:r>
      <w:hyperlink r:id="rId8" w:history="1">
        <w:r w:rsidR="006670D2" w:rsidRPr="002A2864">
          <w:rPr>
            <w:rStyle w:val="Hyperlink"/>
          </w:rPr>
          <w:t>https://orcid.org/0000-0002-1262-5142</w:t>
        </w:r>
      </w:hyperlink>
    </w:p>
    <w:p w14:paraId="52ADF0F6" w14:textId="2B683EDC" w:rsidR="00264C24" w:rsidRPr="000C6B47" w:rsidRDefault="00D3737C" w:rsidP="00264C24">
      <w:pPr>
        <w:jc w:val="center"/>
      </w:pPr>
      <w:r>
        <w:t>Manchester Business School, University of Manchester, United Kingdom</w:t>
      </w:r>
    </w:p>
    <w:p w14:paraId="7601E495" w14:textId="77777777" w:rsidR="00264C24" w:rsidRPr="000C6B47" w:rsidRDefault="00264C24" w:rsidP="00264C24">
      <w:pPr>
        <w:jc w:val="center"/>
      </w:pPr>
    </w:p>
    <w:p w14:paraId="41AB1274" w14:textId="77777777" w:rsidR="00264C24" w:rsidRPr="000C6B47" w:rsidRDefault="00264C24" w:rsidP="00264C24">
      <w:pPr>
        <w:jc w:val="center"/>
      </w:pPr>
      <w:r w:rsidRPr="000C6B47">
        <w:rPr>
          <w:vertAlign w:val="superscript"/>
        </w:rPr>
        <w:t>**</w:t>
      </w:r>
      <w:r w:rsidRPr="000C6B47">
        <w:rPr>
          <w:i/>
          <w:iCs/>
        </w:rPr>
        <w:t xml:space="preserve"> </w:t>
      </w:r>
      <w:r w:rsidRPr="000C6B47">
        <w:rPr>
          <w:i/>
        </w:rPr>
        <w:t>mmtirado@asu.edu</w:t>
      </w:r>
    </w:p>
    <w:p w14:paraId="5AEFBC63" w14:textId="77777777" w:rsidR="00264C24" w:rsidRPr="000C6B47" w:rsidRDefault="00264C24" w:rsidP="00264C24">
      <w:pPr>
        <w:jc w:val="center"/>
      </w:pPr>
      <w:r w:rsidRPr="000C6B47">
        <w:t xml:space="preserve">ORCID: </w:t>
      </w:r>
      <w:hyperlink r:id="rId9" w:history="1">
        <w:r w:rsidRPr="000C6B47">
          <w:rPr>
            <w:rStyle w:val="Hyperlink"/>
          </w:rPr>
          <w:t>https://orcid.org/0000-0003-0332-8784</w:t>
        </w:r>
      </w:hyperlink>
    </w:p>
    <w:p w14:paraId="3A1B1069" w14:textId="77777777" w:rsidR="00264C24" w:rsidRPr="000C6B47" w:rsidRDefault="00264C24" w:rsidP="00264C24">
      <w:pPr>
        <w:jc w:val="center"/>
      </w:pPr>
      <w:r w:rsidRPr="000C6B47">
        <w:t>School of Public Affairs, Arizona State University, United States</w:t>
      </w:r>
    </w:p>
    <w:p w14:paraId="5805BA87" w14:textId="77777777" w:rsidR="00264C24" w:rsidRDefault="00264C24" w:rsidP="00576D20">
      <w:pPr>
        <w:spacing w:line="276" w:lineRule="auto"/>
        <w:jc w:val="center"/>
        <w:rPr>
          <w:szCs w:val="24"/>
        </w:rPr>
      </w:pPr>
    </w:p>
    <w:p w14:paraId="0076EA2D" w14:textId="77777777" w:rsidR="00264C24" w:rsidRDefault="00264C24" w:rsidP="00576D20">
      <w:pPr>
        <w:spacing w:line="276" w:lineRule="auto"/>
        <w:jc w:val="center"/>
        <w:rPr>
          <w:szCs w:val="24"/>
        </w:rPr>
      </w:pPr>
    </w:p>
    <w:p w14:paraId="12DFEECB" w14:textId="77777777" w:rsidR="00264C24" w:rsidRDefault="00264C24" w:rsidP="00576D20">
      <w:pPr>
        <w:spacing w:line="276" w:lineRule="auto"/>
        <w:jc w:val="center"/>
        <w:rPr>
          <w:szCs w:val="24"/>
        </w:rPr>
      </w:pPr>
    </w:p>
    <w:p w14:paraId="762830E0" w14:textId="6D0278C4" w:rsidR="00576D20" w:rsidRDefault="00361257" w:rsidP="00576D20">
      <w:pPr>
        <w:spacing w:line="276" w:lineRule="auto"/>
        <w:jc w:val="center"/>
        <w:rPr>
          <w:szCs w:val="24"/>
        </w:rPr>
      </w:pPr>
      <w:bookmarkStart w:id="0" w:name="_Hlk132960803"/>
      <w:r>
        <w:rPr>
          <w:szCs w:val="24"/>
        </w:rPr>
        <w:t xml:space="preserve">This paper is a work in progress and incomplete. </w:t>
      </w:r>
    </w:p>
    <w:bookmarkEnd w:id="0"/>
    <w:p w14:paraId="7EE7F150" w14:textId="77777777" w:rsidR="00576D20" w:rsidRDefault="00576D20" w:rsidP="00576D20">
      <w:pPr>
        <w:spacing w:line="276" w:lineRule="auto"/>
        <w:jc w:val="center"/>
        <w:rPr>
          <w:szCs w:val="24"/>
        </w:rPr>
      </w:pPr>
    </w:p>
    <w:p w14:paraId="232198A7" w14:textId="77777777" w:rsidR="00576D20" w:rsidRDefault="00576D20" w:rsidP="00576D20">
      <w:pPr>
        <w:spacing w:line="276" w:lineRule="auto"/>
        <w:jc w:val="center"/>
        <w:rPr>
          <w:szCs w:val="24"/>
        </w:rPr>
      </w:pPr>
    </w:p>
    <w:p w14:paraId="59912257" w14:textId="77777777" w:rsidR="00F45C13" w:rsidRDefault="00F45C13">
      <w:r>
        <w:br w:type="page"/>
      </w:r>
    </w:p>
    <w:p w14:paraId="57539E6A" w14:textId="1AE2AB15" w:rsidR="00D967FA" w:rsidRDefault="00D967FA" w:rsidP="00F45C13">
      <w:pPr>
        <w:pStyle w:val="Heading1"/>
      </w:pPr>
      <w:r>
        <w:lastRenderedPageBreak/>
        <w:t>Abstract</w:t>
      </w:r>
    </w:p>
    <w:p w14:paraId="048F1BFC" w14:textId="3DD212DC" w:rsidR="00D967FA" w:rsidRPr="00D967FA" w:rsidRDefault="00513C8D" w:rsidP="002971C8">
      <w:pPr>
        <w:spacing w:after="240"/>
        <w:jc w:val="both"/>
      </w:pPr>
      <w:r w:rsidRPr="00513C8D">
        <w:t xml:space="preserve">The increasing importance of social media metrics, such as </w:t>
      </w:r>
      <w:proofErr w:type="spellStart"/>
      <w:r w:rsidRPr="00513C8D">
        <w:t>altmetrics</w:t>
      </w:r>
      <w:proofErr w:type="spellEnd"/>
      <w:r w:rsidRPr="00513C8D">
        <w:t xml:space="preserve">, in evaluating the social impact of research and as a source of data for scholarly research has raised concerns about their representativeness with respect to the academic community. This paper addresses this issue by investigating the adoption of LinkedIn among a representative sample of over 12,000 UK academics, using both Scopus publication data and LinkedIn data. The paper </w:t>
      </w:r>
      <w:r w:rsidR="00313988">
        <w:t>offers</w:t>
      </w:r>
      <w:r w:rsidRPr="00513C8D">
        <w:t xml:space="preserve"> two main contributions. Firstly, it identifies the types of researchers visible on LinkedIn, providing valuable insights into the profiles of academics who use this platform. Secondly, it enhances our understanding of the usefulness of LinkedIn as a data source and measure for science and innovation studies. Overall, this paper provides significant insights into the use of LinkedIn by academics and its potential as a data source for research evaluation and scholarly studies.</w:t>
      </w:r>
    </w:p>
    <w:p w14:paraId="2FDF42B1" w14:textId="7F1AB7C4" w:rsidR="00576D20" w:rsidRPr="00F45C13" w:rsidRDefault="00F45C13" w:rsidP="00760F52">
      <w:pPr>
        <w:pStyle w:val="Heading1"/>
        <w:numPr>
          <w:ilvl w:val="0"/>
          <w:numId w:val="4"/>
        </w:numPr>
      </w:pPr>
      <w:r w:rsidRPr="00F45C13">
        <w:t>Introduction</w:t>
      </w:r>
    </w:p>
    <w:p w14:paraId="01EF1345" w14:textId="77777777" w:rsidR="00CB2AB0" w:rsidRDefault="00EC74AF" w:rsidP="00A8393F">
      <w:pPr>
        <w:spacing w:after="240"/>
        <w:jc w:val="both"/>
      </w:pPr>
      <w:r>
        <w:t xml:space="preserve">The amassed presence of </w:t>
      </w:r>
      <w:r w:rsidRPr="002C3160">
        <w:t>social networking service</w:t>
      </w:r>
      <w:r>
        <w:t xml:space="preserve">s (SNS) has widely permeated academic life and scientific professions are not exempted of the changes occurring as a result of the increasing use of digital means to communicate, interact and connect. </w:t>
      </w:r>
      <w:r w:rsidR="00457D48">
        <w:t xml:space="preserve">Despite the </w:t>
      </w:r>
      <w:r w:rsidR="00A21CF1">
        <w:t>increasing literature</w:t>
      </w:r>
      <w:r w:rsidR="00D73ACF">
        <w:t xml:space="preserve"> </w:t>
      </w:r>
      <w:r w:rsidR="00D73ACF" w:rsidRPr="00D73ACF">
        <w:t>analysing disciplinary differences</w:t>
      </w:r>
      <w:r w:rsidR="00A21CF1">
        <w:t xml:space="preserve"> on</w:t>
      </w:r>
      <w:r w:rsidR="00DE666B">
        <w:t xml:space="preserve"> the </w:t>
      </w:r>
      <w:r w:rsidR="00D43C0F">
        <w:t xml:space="preserve">adoption and </w:t>
      </w:r>
      <w:r w:rsidR="00DE666B">
        <w:t>use of SNS by research</w:t>
      </w:r>
      <w:r w:rsidR="00A60925">
        <w:t>ers</w:t>
      </w:r>
      <w:r w:rsidR="00260B89">
        <w:t>, m</w:t>
      </w:r>
      <w:r w:rsidR="00260B89" w:rsidRPr="008C7E13">
        <w:t>ost studies investigating the use of SNS by academics have focused on platforms set for ad hoc purposes (</w:t>
      </w:r>
      <w:proofErr w:type="spellStart"/>
      <w:r w:rsidR="00260B89" w:rsidRPr="008C7E13">
        <w:t>eg.</w:t>
      </w:r>
      <w:proofErr w:type="spellEnd"/>
      <w:r w:rsidR="00260B89" w:rsidRPr="008C7E13">
        <w:t xml:space="preserve"> Mendeley, </w:t>
      </w:r>
      <w:r w:rsidR="00222EE6">
        <w:t>A</w:t>
      </w:r>
      <w:r w:rsidR="00260B89" w:rsidRPr="008C7E13">
        <w:t xml:space="preserve">cademia, </w:t>
      </w:r>
      <w:r w:rsidR="00222EE6">
        <w:t>R</w:t>
      </w:r>
      <w:r w:rsidR="00260B89" w:rsidRPr="008C7E13">
        <w:t xml:space="preserve">esearch </w:t>
      </w:r>
      <w:r w:rsidR="00222EE6">
        <w:t>G</w:t>
      </w:r>
      <w:r w:rsidR="00260B89" w:rsidRPr="008C7E13">
        <w:t xml:space="preserve">ate, </w:t>
      </w:r>
      <w:r w:rsidR="00222EE6">
        <w:t>G</w:t>
      </w:r>
      <w:r w:rsidR="00260B89" w:rsidRPr="008C7E13">
        <w:t xml:space="preserve">oogle </w:t>
      </w:r>
      <w:r w:rsidR="00222EE6">
        <w:t>S</w:t>
      </w:r>
      <w:r w:rsidR="00260B89" w:rsidRPr="008C7E13">
        <w:t>cholar</w:t>
      </w:r>
      <w:r w:rsidR="00850EF4" w:rsidRPr="008C7E13">
        <w:t xml:space="preserve">), </w:t>
      </w:r>
      <w:r w:rsidR="00D73ACF">
        <w:t xml:space="preserve">studies on </w:t>
      </w:r>
      <w:r w:rsidR="002559C7">
        <w:t xml:space="preserve">professional networking platforms in academia </w:t>
      </w:r>
      <w:r w:rsidR="00525954">
        <w:t xml:space="preserve">are rare. </w:t>
      </w:r>
      <w:r w:rsidR="000C0886" w:rsidRPr="00045176">
        <w:t xml:space="preserve">This study expands the current understanding of SNS in academic contexts by looking at </w:t>
      </w:r>
      <w:r w:rsidR="00C56BE0" w:rsidRPr="00045176">
        <w:t>LinkedIn</w:t>
      </w:r>
      <w:r w:rsidR="00A27D62">
        <w:t>. I</w:t>
      </w:r>
      <w:r w:rsidR="000C0886" w:rsidRPr="00045176">
        <w:t>n doing so, this paper is set to unders</w:t>
      </w:r>
      <w:r w:rsidR="00BC1153" w:rsidRPr="00045176">
        <w:t>tanding</w:t>
      </w:r>
      <w:r w:rsidR="000C0886" w:rsidRPr="00045176">
        <w:t xml:space="preserve"> the nature of new metrics and impact indicators</w:t>
      </w:r>
      <w:r w:rsidR="00A27D62">
        <w:t xml:space="preserve">. </w:t>
      </w:r>
    </w:p>
    <w:p w14:paraId="231DFDF6" w14:textId="6FE366E3" w:rsidR="00A27D62" w:rsidRDefault="00A27D62" w:rsidP="00A8393F">
      <w:pPr>
        <w:spacing w:after="240"/>
        <w:jc w:val="both"/>
      </w:pPr>
      <w:r>
        <w:t xml:space="preserve">The use of SNS for professional purposes is still limited amongst academics. Those using LinkedIn as a means for network building or knowledge acquisition will only be able to communicate with a sub-set of academics. While this is unlikely to be of consequence within the academic community, where reputation continues to be largely built via traditional scholarly means, such as publications and conferences (Jamali et al. 2016), this can impact how prospective students and non-academic audiences or collaborators perceive academics’ reputation and science more widely. Moreover, there is a growing importance of social media metrics, such as </w:t>
      </w:r>
      <w:proofErr w:type="spellStart"/>
      <w:r>
        <w:t>altmetrics</w:t>
      </w:r>
      <w:proofErr w:type="spellEnd"/>
      <w:r>
        <w:t xml:space="preserve">, both for evaluation purposes to measure the social impact of research, and as a source of data in scholarly research. This raises the question of how accurately these sources represent the academic community, as any evaluations or analyses based on such data may miss out on a significant proportion of the science base if LinkedIn users are not representative of the academic population. </w:t>
      </w:r>
    </w:p>
    <w:p w14:paraId="55E648FB" w14:textId="479FDFE0" w:rsidR="00A27D62" w:rsidRDefault="00A27D62" w:rsidP="00A8393F">
      <w:pPr>
        <w:spacing w:after="240"/>
        <w:jc w:val="both"/>
      </w:pPr>
      <w:r>
        <w:t>This paper contributes to our knowledge of LinkedIn use by looking at its adoption amongst a representative sample of UK academics</w:t>
      </w:r>
      <w:r w:rsidR="00F37275">
        <w:t xml:space="preserve">, and </w:t>
      </w:r>
      <w:r>
        <w:t>shed</w:t>
      </w:r>
      <w:r w:rsidR="00F37275">
        <w:t>s</w:t>
      </w:r>
      <w:r>
        <w:t xml:space="preserve"> light on the rate of LinkedIn adoption by academics, which helps to understand its antecedents in terms of demographic factors and how it relates to academics’ scholarly activity. </w:t>
      </w:r>
    </w:p>
    <w:p w14:paraId="3DDAE87C" w14:textId="14A22173" w:rsidR="00B461F7" w:rsidRPr="00760F52" w:rsidRDefault="00DA27C8" w:rsidP="008B5C3C">
      <w:pPr>
        <w:pStyle w:val="ListParagraph"/>
        <w:numPr>
          <w:ilvl w:val="0"/>
          <w:numId w:val="4"/>
        </w:numPr>
        <w:rPr>
          <w:b/>
          <w:bCs/>
        </w:rPr>
      </w:pPr>
      <w:r w:rsidRPr="00760F52">
        <w:rPr>
          <w:b/>
          <w:bCs/>
        </w:rPr>
        <w:t>SNS</w:t>
      </w:r>
      <w:r w:rsidR="00C87E74" w:rsidRPr="00760F52">
        <w:rPr>
          <w:b/>
          <w:bCs/>
        </w:rPr>
        <w:t xml:space="preserve"> in the research profession</w:t>
      </w:r>
    </w:p>
    <w:p w14:paraId="2FC7D0CB" w14:textId="620548C8" w:rsidR="0024424D" w:rsidRDefault="0024424D" w:rsidP="00DF1943">
      <w:pPr>
        <w:spacing w:after="240"/>
        <w:jc w:val="both"/>
      </w:pPr>
      <w:r>
        <w:t>S</w:t>
      </w:r>
      <w:r w:rsidRPr="002C3160">
        <w:t>ocial networking service</w:t>
      </w:r>
      <w:r>
        <w:t xml:space="preserve">s (SNS) </w:t>
      </w:r>
      <w:r w:rsidR="00B461F7">
        <w:t xml:space="preserve">are </w:t>
      </w:r>
      <w:r>
        <w:t xml:space="preserve">widely permeated academic life, and although the adoption of SNS by researchers has evolved slowly scientist (Collins et al. 2016, Bik &amp; </w:t>
      </w:r>
      <w:r w:rsidRPr="00CF306A">
        <w:t>Goldstein, 2013</w:t>
      </w:r>
      <w:r w:rsidR="00F1601B">
        <w:t xml:space="preserve">; </w:t>
      </w:r>
      <w:r w:rsidR="00F1601B" w:rsidRPr="00F1601B">
        <w:t>Carrigan, 2016</w:t>
      </w:r>
      <w:r>
        <w:t xml:space="preserve">), and we cannot claim that the mastering of social media is a trait in. The nature of academic activities has become one where academics are expected and encouraged to have online presence, to engage with their community and expand their impact outside this community. SNS have given place to new forms of engagement and influence for researchers, and expanded collaboration and career progression opportunities. The usage of </w:t>
      </w:r>
      <w:r>
        <w:lastRenderedPageBreak/>
        <w:t xml:space="preserve">SNS is not limited to sharing scientific outputs or ideas. The variety of platforms allows researchers to communicate with a wide range of stakeholders, and in doing so the utilisation of SNSs </w:t>
      </w:r>
      <w:r w:rsidRPr="001D03FE">
        <w:t xml:space="preserve">creates varied patterns of interaction in which academics connect with peers and receive recognition (Bik </w:t>
      </w:r>
      <w:r w:rsidR="008A2EBD">
        <w:t>&amp;</w:t>
      </w:r>
      <w:r w:rsidRPr="001D03FE">
        <w:t xml:space="preserve"> Goldstein, 2013; </w:t>
      </w:r>
      <w:proofErr w:type="spellStart"/>
      <w:r w:rsidRPr="001D03FE">
        <w:t>Nentwich</w:t>
      </w:r>
      <w:proofErr w:type="spellEnd"/>
      <w:r w:rsidRPr="001D03FE">
        <w:t xml:space="preserve"> </w:t>
      </w:r>
      <w:r w:rsidR="008A2EBD">
        <w:t>&amp;</w:t>
      </w:r>
      <w:r w:rsidRPr="001D03FE">
        <w:t xml:space="preserve"> König, 2014), openly voice their views about relevant ong</w:t>
      </w:r>
      <w:r>
        <w:t>oing issues to pertinent authorities and take a stance on structural socio-economic issues (e.g., racism and gender inequality). Consequently, researchers’ have become more versatile in disseminating their findings, ideas, earn experience, and teaching content, tailoring content adequate for the audience and purpose of the different platforms (</w:t>
      </w:r>
      <w:r w:rsidR="001B5389" w:rsidRPr="001B5389">
        <w:t xml:space="preserve">Gaughan, </w:t>
      </w:r>
      <w:r w:rsidR="001B5389" w:rsidRPr="001B5389">
        <w:t xml:space="preserve">et al. 2018, </w:t>
      </w:r>
      <w:r w:rsidRPr="00056141">
        <w:t xml:space="preserve">Melkers et al. 2017; </w:t>
      </w:r>
      <w:r>
        <w:t xml:space="preserve">Maloney et al. 2015; </w:t>
      </w:r>
      <w:proofErr w:type="spellStart"/>
      <w:r>
        <w:t>Huastein</w:t>
      </w:r>
      <w:proofErr w:type="spellEnd"/>
      <w:r>
        <w:t xml:space="preserve"> et al, 2014; </w:t>
      </w:r>
      <w:r w:rsidRPr="007153E6">
        <w:t xml:space="preserve">Van </w:t>
      </w:r>
      <w:proofErr w:type="spellStart"/>
      <w:r w:rsidRPr="007153E6">
        <w:t>Noorden</w:t>
      </w:r>
      <w:proofErr w:type="spellEnd"/>
      <w:r w:rsidRPr="007153E6">
        <w:t>, 2014</w:t>
      </w:r>
      <w:r>
        <w:t>). In this regard, previous studies have identified patterns of engagement and behaviour where, outside the platforms through which academics communicate with their community (</w:t>
      </w:r>
      <w:proofErr w:type="spellStart"/>
      <w:r>
        <w:t>e.g</w:t>
      </w:r>
      <w:proofErr w:type="spellEnd"/>
      <w:r>
        <w:t xml:space="preserve"> Academia, Mendeley, Research Gate, etc), academics make less use of blogs, </w:t>
      </w:r>
      <w:r w:rsidRPr="007273C1">
        <w:t>Twitter</w:t>
      </w:r>
      <w:r>
        <w:t xml:space="preserve"> or </w:t>
      </w:r>
      <w:r w:rsidRPr="007273C1">
        <w:t>LinkedIn</w:t>
      </w:r>
      <w:r>
        <w:t xml:space="preserve">, and Facebook is primarily used to connect with family and friends and less with peers or external stakeholders (Collins et al. 2016). Similar studies have demonstrated that knowledge communications practices particular to scientific fields matter when it comes to explaining the adoption and characterisation of SNS usage across researchers (see Ortega, 2015). </w:t>
      </w:r>
    </w:p>
    <w:p w14:paraId="558C81FA" w14:textId="1A73E3A0" w:rsidR="0091791D" w:rsidRPr="008B5C3C" w:rsidRDefault="00B26275" w:rsidP="0091791D">
      <w:pPr>
        <w:spacing w:after="120" w:line="276" w:lineRule="auto"/>
        <w:rPr>
          <w:i/>
          <w:iCs/>
        </w:rPr>
      </w:pPr>
      <w:r>
        <w:rPr>
          <w:i/>
          <w:iCs/>
        </w:rPr>
        <w:t xml:space="preserve">2.1 </w:t>
      </w:r>
      <w:r w:rsidR="008B5C3C">
        <w:rPr>
          <w:i/>
          <w:iCs/>
        </w:rPr>
        <w:t xml:space="preserve"> </w:t>
      </w:r>
      <w:proofErr w:type="spellStart"/>
      <w:r w:rsidR="0091791D" w:rsidRPr="008B5C3C">
        <w:rPr>
          <w:i/>
          <w:iCs/>
        </w:rPr>
        <w:t>Almetrics</w:t>
      </w:r>
      <w:proofErr w:type="spellEnd"/>
      <w:r w:rsidR="0091791D" w:rsidRPr="008B5C3C">
        <w:rPr>
          <w:i/>
          <w:iCs/>
        </w:rPr>
        <w:t xml:space="preserve"> and impact</w:t>
      </w:r>
    </w:p>
    <w:p w14:paraId="487F04CF" w14:textId="0A30F7A8" w:rsidR="007D4C6A" w:rsidRDefault="007D4C6A" w:rsidP="008B5C3C">
      <w:pPr>
        <w:spacing w:after="240"/>
        <w:jc w:val="both"/>
      </w:pPr>
      <w:r>
        <w:t xml:space="preserve">Along with the patterns of interests among disciplines relying on SNS to disseminate research, scholars have looked at SNS as proxies of quality and impact, and their advantages for performance measuring (Sugimoto et al. 2017; Ortega et al, 2015). SNS are not only online records containing the educational information about researchers, SNS are alive repositories recording the research outputs (e.g. research papers, data, pre-prints, etc) that researchers voluntary upload to their sites, as well as recording in real time the interactions that researchers initiate or react to via digital direct digital communication that may transform into tangible benefits. SNS reflect the ‘attractiveness’ and impact of researchers’ activities in the form of number of visits, likes, recommendations, </w:t>
      </w:r>
      <w:r w:rsidR="001F0745">
        <w:t>retweets</w:t>
      </w:r>
      <w:r>
        <w:t>, reads, downloads. As quasi indicators of impact via visibility SNS can elicit -self, community and organisational incentives leading to gamification of research activities (Sugimoto et al, 2017), which could shift the focus from actual research quality to simulations of research.</w:t>
      </w:r>
    </w:p>
    <w:p w14:paraId="3EF2CA91" w14:textId="1856CD78" w:rsidR="00B57550" w:rsidRDefault="00B57550" w:rsidP="008B5C3C">
      <w:pPr>
        <w:spacing w:after="240"/>
        <w:jc w:val="both"/>
      </w:pPr>
      <w:r>
        <w:t>The use of SNS by academics signals undergoing changes in researchers’ identities, dialogues, and communication strategies (</w:t>
      </w:r>
      <w:proofErr w:type="spellStart"/>
      <w:r w:rsidRPr="00905495">
        <w:t>Aguillo</w:t>
      </w:r>
      <w:proofErr w:type="spellEnd"/>
      <w:r w:rsidRPr="00905495">
        <w:t>,</w:t>
      </w:r>
      <w:r>
        <w:t xml:space="preserve"> 2020; </w:t>
      </w:r>
      <w:r w:rsidRPr="00BF5228">
        <w:t>Williams</w:t>
      </w:r>
      <w:r>
        <w:t xml:space="preserve"> &amp;</w:t>
      </w:r>
      <w:r w:rsidRPr="00BF5228">
        <w:t xml:space="preserve"> </w:t>
      </w:r>
      <w:proofErr w:type="spellStart"/>
      <w:r w:rsidRPr="00BF5228">
        <w:t>Woodacre</w:t>
      </w:r>
      <w:proofErr w:type="spellEnd"/>
      <w:r>
        <w:t xml:space="preserve">, 2016; </w:t>
      </w:r>
      <w:r w:rsidRPr="00BF5228">
        <w:t>van Dijck</w:t>
      </w:r>
      <w:r>
        <w:t xml:space="preserve">, 2013). Most of the existing literature has looked into the changes and benefits of communications strategies. For instance, scholars have asserted that online presence would yield benefits for the </w:t>
      </w:r>
      <w:r w:rsidRPr="004A4907">
        <w:t>active researchers. This is that interactions via SNS would help create and strengthen connections</w:t>
      </w:r>
      <w:r>
        <w:t xml:space="preserve">, facilitate collaborations, sharing research outputs, signal research interests and expertise (Tran </w:t>
      </w:r>
      <w:r w:rsidRPr="00473830">
        <w:t>&amp; Lyon</w:t>
      </w:r>
      <w:r>
        <w:t xml:space="preserve">, 2014; </w:t>
      </w:r>
      <w:r w:rsidRPr="009E6ED2">
        <w:t>Jamali</w:t>
      </w:r>
      <w:r>
        <w:t xml:space="preserve"> et al, 2016; </w:t>
      </w:r>
      <w:r w:rsidRPr="000E73E4">
        <w:t>Mas-</w:t>
      </w:r>
      <w:proofErr w:type="spellStart"/>
      <w:r w:rsidRPr="000E73E4">
        <w:t>Bleda</w:t>
      </w:r>
      <w:proofErr w:type="spellEnd"/>
      <w:r w:rsidRPr="000E73E4">
        <w:t>,</w:t>
      </w:r>
      <w:r>
        <w:t xml:space="preserve"> et al. 2014). Due to the overarching role of SNS in researcher’s visibility, their use is also expected to affect career development</w:t>
      </w:r>
      <w:r w:rsidR="005F7F66">
        <w:t xml:space="preserve">. </w:t>
      </w:r>
      <w:r>
        <w:t>SNS are behaviour changing artefacts, and as such their usage has become an increasingly important tool among research communities for visibility, career development and prestige.</w:t>
      </w:r>
    </w:p>
    <w:p w14:paraId="21323A63" w14:textId="7EA9CA57" w:rsidR="00AC2757" w:rsidRPr="008712D5" w:rsidRDefault="00B26275" w:rsidP="00002DFB">
      <w:pPr>
        <w:spacing w:after="120" w:line="276" w:lineRule="auto"/>
        <w:rPr>
          <w:bCs/>
          <w:i/>
        </w:rPr>
      </w:pPr>
      <w:r>
        <w:rPr>
          <w:bCs/>
          <w:i/>
        </w:rPr>
        <w:t>2.2</w:t>
      </w:r>
      <w:r w:rsidR="00C70D40">
        <w:rPr>
          <w:bCs/>
          <w:i/>
        </w:rPr>
        <w:t xml:space="preserve"> </w:t>
      </w:r>
      <w:r w:rsidR="00AC2757" w:rsidRPr="008712D5">
        <w:rPr>
          <w:bCs/>
          <w:i/>
        </w:rPr>
        <w:t>Limitations of SNS as measures of impact</w:t>
      </w:r>
    </w:p>
    <w:p w14:paraId="1B59C503" w14:textId="16652A57" w:rsidR="008E6173" w:rsidRDefault="00002DFB" w:rsidP="00A5689C">
      <w:pPr>
        <w:spacing w:after="240"/>
        <w:jc w:val="both"/>
      </w:pPr>
      <w:r>
        <w:t xml:space="preserve">The use of SNS for professional purposes is still limited amongst academics. Those using LinkedIn as a means for network building or knowledge acquisition will only be able to communicate with a sub-set of academics. While this is unlikely to be of consequence within the academic community, where reputation continues to be largely built via traditional </w:t>
      </w:r>
      <w:r>
        <w:lastRenderedPageBreak/>
        <w:t xml:space="preserve">scholarly means, such as publications and conferences (Jamali et al. 2016), this can impact how prospective students and non-academic audiences or collaborators perceive academics’ reputation and science more widely. Moreover, there is a growing importance of social media metrics, such as </w:t>
      </w:r>
      <w:proofErr w:type="spellStart"/>
      <w:r>
        <w:t>altmetrics</w:t>
      </w:r>
      <w:proofErr w:type="spellEnd"/>
      <w:r>
        <w:t xml:space="preserve">, both for evaluation purposes to measure the social impact of research, and as a source of data in scholarly research. This raises the question of how accurately these sources represent the academic community, as any evaluations or analyses based on such data may miss out on a significant proportion of the science base if LinkedIn users are not representative of the academic population. </w:t>
      </w:r>
    </w:p>
    <w:p w14:paraId="40014BF9" w14:textId="46D45E61" w:rsidR="00A879D4" w:rsidRPr="00D65C72" w:rsidRDefault="00A879D4" w:rsidP="00B26275">
      <w:pPr>
        <w:pStyle w:val="Heading1"/>
        <w:numPr>
          <w:ilvl w:val="0"/>
          <w:numId w:val="5"/>
        </w:numPr>
      </w:pPr>
      <w:r w:rsidRPr="00D65C72">
        <w:t xml:space="preserve">LinkedIn: </w:t>
      </w:r>
      <w:r w:rsidRPr="004C1403">
        <w:t>underpinning mechanisms</w:t>
      </w:r>
      <w:r w:rsidR="004F0B28" w:rsidRPr="004C1403">
        <w:t xml:space="preserve"> </w:t>
      </w:r>
      <w:r w:rsidRPr="004C1403">
        <w:t>and explanations</w:t>
      </w:r>
      <w:r w:rsidR="004F0B28" w:rsidRPr="004C1403">
        <w:t xml:space="preserve"> for impact</w:t>
      </w:r>
    </w:p>
    <w:p w14:paraId="1AB92FDD" w14:textId="48C8F6C0" w:rsidR="002E75B3" w:rsidRDefault="002E75B3" w:rsidP="006F2E96">
      <w:pPr>
        <w:spacing w:after="240"/>
        <w:jc w:val="both"/>
      </w:pPr>
      <w:r>
        <w:t>Social networking sites (SNS) represent an increasingly important tool for universities and individual academics</w:t>
      </w:r>
      <w:r w:rsidR="006C14DA">
        <w:t xml:space="preserve">. </w:t>
      </w:r>
      <w:r>
        <w:t xml:space="preserve">LinkedIn has emerged as amongst the tools most widely used by academics in recent years. It is also the SNS where non-academic users (including prospective students or users of research, including employers) seek out professional information, including such related to careers, and is gaining in importance for academic labour markets too, such as recruitment of students and young researchers, or for those wishing to transition to a different sector. </w:t>
      </w:r>
    </w:p>
    <w:p w14:paraId="4D6DE92E" w14:textId="046350E1" w:rsidR="002E75B3" w:rsidRDefault="002E75B3" w:rsidP="006F2E96">
      <w:pPr>
        <w:spacing w:after="240"/>
        <w:jc w:val="both"/>
      </w:pPr>
      <w:r>
        <w:t xml:space="preserve">Yet, the use of SNS for professional purposes is still limited amongst academics. Those using LinkedIn as a means for network building or knowledge acquisition will only be able to communicate with a sub-set of academics. While this is unlikely to be of consequence within the academic community, where reputation continues to be largely built via traditional scholarly means, such as publications and conferences (Jamali et al. 2016), this can impact how prospective students and non-academic audiences or collaborators perceive academics’ reputation and science more widely. Moreover, there is a growing importance of social media metrics, such as </w:t>
      </w:r>
      <w:proofErr w:type="spellStart"/>
      <w:r>
        <w:t>altmetrics</w:t>
      </w:r>
      <w:proofErr w:type="spellEnd"/>
      <w:r>
        <w:t xml:space="preserve">, both for evaluation purposes to measure the social impact of research, and as a source of data in scholarly research. </w:t>
      </w:r>
    </w:p>
    <w:p w14:paraId="03161A63" w14:textId="608ED8AF" w:rsidR="00174D94" w:rsidRDefault="002E75B3" w:rsidP="006F2E96">
      <w:pPr>
        <w:spacing w:after="240"/>
        <w:jc w:val="both"/>
      </w:pPr>
      <w:r w:rsidRPr="00CF4C50">
        <w:t xml:space="preserve">With the rise of </w:t>
      </w:r>
      <w:proofErr w:type="spellStart"/>
      <w:r w:rsidRPr="00CF4C50">
        <w:t>altmetrics</w:t>
      </w:r>
      <w:proofErr w:type="spellEnd"/>
      <w:r w:rsidRPr="00CF4C50">
        <w:t xml:space="preserve"> and webometrics, as measurement approaches to study the relationships between researchers’ productivity, i.e. publications, and scholarly communication patterns</w:t>
      </w:r>
      <w:r>
        <w:t xml:space="preserve"> in the broader sense, academics</w:t>
      </w:r>
      <w:r w:rsidRPr="00CF4C50">
        <w:t xml:space="preserve"> are encouraged either by pressures of the environment or by their interest in broadening their audiences to build an online presence (</w:t>
      </w:r>
      <w:proofErr w:type="spellStart"/>
      <w:r w:rsidRPr="00CF4C50">
        <w:t>Aguillo</w:t>
      </w:r>
      <w:proofErr w:type="spellEnd"/>
      <w:r w:rsidRPr="00CF4C50">
        <w:t xml:space="preserve">, 2020; </w:t>
      </w:r>
      <w:proofErr w:type="spellStart"/>
      <w:r w:rsidRPr="00CF4C50">
        <w:t>Baruffaldi</w:t>
      </w:r>
      <w:proofErr w:type="spellEnd"/>
      <w:r w:rsidRPr="00CF4C50">
        <w:t xml:space="preserve"> et al., 2017; Jamali et al., 2016; </w:t>
      </w:r>
      <w:proofErr w:type="spellStart"/>
      <w:r w:rsidRPr="00CF4C50">
        <w:t>Orduña</w:t>
      </w:r>
      <w:proofErr w:type="spellEnd"/>
      <w:r w:rsidRPr="00CF4C50">
        <w:t xml:space="preserve">-Malea et al., 2013). Consolidating a visible image online, be this via institutional websites, personal websites, and social media platforms (e.g. </w:t>
      </w:r>
      <w:proofErr w:type="spellStart"/>
      <w:r w:rsidRPr="00CF4C50">
        <w:t>ResearchGatem</w:t>
      </w:r>
      <w:proofErr w:type="spellEnd"/>
      <w:r w:rsidRPr="00CF4C50">
        <w:t xml:space="preserve"> Academia, </w:t>
      </w:r>
      <w:proofErr w:type="spellStart"/>
      <w:r w:rsidRPr="00CF4C50">
        <w:t>CiteUlike</w:t>
      </w:r>
      <w:proofErr w:type="spellEnd"/>
      <w:r w:rsidRPr="00CF4C50">
        <w:t xml:space="preserve">, </w:t>
      </w:r>
      <w:proofErr w:type="spellStart"/>
      <w:r w:rsidRPr="00CF4C50">
        <w:t>CrossRef</w:t>
      </w:r>
      <w:proofErr w:type="spellEnd"/>
      <w:r w:rsidRPr="00CF4C50">
        <w:t xml:space="preserve">, </w:t>
      </w:r>
      <w:proofErr w:type="spellStart"/>
      <w:r w:rsidRPr="00CF4C50">
        <w:t>Datadryad</w:t>
      </w:r>
      <w:proofErr w:type="spellEnd"/>
      <w:r w:rsidRPr="00CF4C50">
        <w:t xml:space="preserve">, Facebook, </w:t>
      </w:r>
      <w:proofErr w:type="spellStart"/>
      <w:r w:rsidRPr="00CF4C50">
        <w:t>Figshare</w:t>
      </w:r>
      <w:proofErr w:type="spellEnd"/>
      <w:r w:rsidRPr="00CF4C50">
        <w:t>, Google+, GitHub, Instagram, LinkedIn, Scribd, SlideShare, T</w:t>
      </w:r>
      <w:r>
        <w:t xml:space="preserve">umblr, Twitter) can induce </w:t>
      </w:r>
      <w:r w:rsidRPr="00CF4C50">
        <w:t>significant impact within research communities and across other relevant stake</w:t>
      </w:r>
      <w:r>
        <w:t xml:space="preserve">holders, such as research users, potential employers </w:t>
      </w:r>
      <w:r w:rsidRPr="00CF4C50">
        <w:t>and funders.</w:t>
      </w:r>
      <w:r>
        <w:t xml:space="preserve"> Moreover, new forms of knowledge creation and knowledge exchange facilitated via online platforms are emerging to address societal challenges (Beck et al., 2022).</w:t>
      </w:r>
    </w:p>
    <w:p w14:paraId="26C41E48" w14:textId="60D8EAC6" w:rsidR="00F45C13" w:rsidRDefault="00F45C13" w:rsidP="00F05DE4">
      <w:pPr>
        <w:pStyle w:val="Heading1"/>
        <w:numPr>
          <w:ilvl w:val="0"/>
          <w:numId w:val="6"/>
        </w:numPr>
      </w:pPr>
      <w:r>
        <w:t>Data and Methods</w:t>
      </w:r>
    </w:p>
    <w:p w14:paraId="4CCA7444" w14:textId="77777777" w:rsidR="006B014F" w:rsidRDefault="00C65633" w:rsidP="00CC68DE">
      <w:pPr>
        <w:spacing w:after="240"/>
        <w:jc w:val="both"/>
      </w:pPr>
      <w:r>
        <w:t xml:space="preserve">In this research we </w:t>
      </w:r>
      <w:r w:rsidR="00034BC1">
        <w:t xml:space="preserve">constructed a unique database combining information from multiple sources. First, we </w:t>
      </w:r>
      <w:r>
        <w:t xml:space="preserve">build on data from a </w:t>
      </w:r>
      <w:r w:rsidR="00034BC1">
        <w:t xml:space="preserve">large-scale </w:t>
      </w:r>
      <w:r>
        <w:t>survey of academics in the UK. The survey was conducted by the Centre of Business Research (CBR) in 2015 and targeted academics at all UK universities</w:t>
      </w:r>
      <w:r w:rsidR="006B014F">
        <w:t xml:space="preserve"> and in all disciplinary fields</w:t>
      </w:r>
      <w:r>
        <w:t xml:space="preserve"> </w:t>
      </w:r>
      <w:r>
        <w:fldChar w:fldCharType="begin"/>
      </w:r>
      <w:r>
        <w:instrText xml:space="preserve"> ADDIN EN.CITE &lt;EndNote&gt;&lt;Cite&gt;&lt;Author&gt;Hughes&lt;/Author&gt;&lt;Year&gt;2016&lt;/Year&gt;&lt;RecNum&gt;43603&lt;/RecNum&gt;&lt;DisplayText&gt;(Hughes et al., 2016)&lt;/DisplayText&gt;&lt;record&gt;&lt;rec-number&gt;43603&lt;/rec-number&gt;&lt;foreign-keys&gt;&lt;key app="EN" db-id="vtes02d5teezd6ewr5x5vprcpxr0zrfvs2ap" timestamp="1571133661"&gt;43603&lt;/key&gt;&lt;/foreign-keys&gt;&lt;ref-type name="Book"&gt;6&lt;/ref-type&gt;&lt;contributors&gt;&lt;authors&gt;&lt;author&gt;Hughes, Alan&lt;/author&gt;&lt;author&gt;Lawson, Cornelia&lt;/author&gt;&lt;author&gt;Salter, Ammon&lt;/author&gt;&lt;author&gt;Kitson, Michael&lt;/author&gt;&lt;author&gt;Bullock, Anna&lt;/author&gt;&lt;author&gt;Hughes, Robert&lt;/author&gt;&lt;/authors&gt;&lt;/contributors&gt;&lt;titles&gt;&lt;title&gt;The Changing State of Knowledge Exchange: UK Academic Interactions with External Organizations 2005-2015&lt;/title&gt;&lt;/titles&gt;&lt;dates&gt;&lt;year&gt;2016&lt;/year&gt;&lt;/dates&gt;&lt;publisher&gt;NCUB&lt;/publisher&gt;&lt;work-type&gt;Commissioned report&lt;/work-type&gt;&lt;urls&gt;&lt;related-urls&gt;&lt;url&gt;http://www.ncub.co.uk/reports/national-survey-of-academics.html Open&lt;/url&gt;&lt;/related-urls&gt;&lt;/urls&gt;&lt;/record&gt;&lt;/Cite&gt;&lt;/EndNote&gt;</w:instrText>
      </w:r>
      <w:r>
        <w:fldChar w:fldCharType="separate"/>
      </w:r>
      <w:r>
        <w:rPr>
          <w:noProof/>
        </w:rPr>
        <w:t>(Hughes et al., 2016)</w:t>
      </w:r>
      <w:r>
        <w:fldChar w:fldCharType="end"/>
      </w:r>
      <w:r>
        <w:t xml:space="preserve">. </w:t>
      </w:r>
      <w:r w:rsidR="00726E72">
        <w:t xml:space="preserve">The survey asked about academics’ engagement with non-academic actors during the prior three year period. It asked about different engagement activities, ranging from consulting, to joint research, to lectures for the community, and the number of times each activity took place. It also asked about sector of </w:t>
      </w:r>
      <w:r w:rsidR="00726E72">
        <w:lastRenderedPageBreak/>
        <w:t>engagement</w:t>
      </w:r>
      <w:r w:rsidR="00615D16">
        <w:t>: private, public and third sector</w:t>
      </w:r>
      <w:r w:rsidR="00726E72">
        <w:t xml:space="preserve">. The survey further included questions on demographic characteristics, research orientation, prior work experience and career motivations. </w:t>
      </w:r>
      <w:r w:rsidR="00034BC1">
        <w:t>This survey is the most comprehensive database of UK academics and therefore suitable for this research. To conduct the survey, CBR collected e</w:t>
      </w:r>
      <w:r>
        <w:t>-mail contact informatio</w:t>
      </w:r>
      <w:r w:rsidR="00034BC1">
        <w:t>n</w:t>
      </w:r>
      <w:r>
        <w:t xml:space="preserve"> from the websites of universities</w:t>
      </w:r>
      <w:r w:rsidR="00034BC1">
        <w:t>,</w:t>
      </w:r>
      <w:r>
        <w:t xml:space="preserve"> </w:t>
      </w:r>
      <w:r w:rsidR="00034BC1">
        <w:t>which</w:t>
      </w:r>
      <w:r>
        <w:t xml:space="preserve"> resulted in a </w:t>
      </w:r>
      <w:r w:rsidR="00E0140B">
        <w:t>population</w:t>
      </w:r>
      <w:r>
        <w:t xml:space="preserve"> of approximately 140,000 academics, of which 18,177 responded to the survey </w:t>
      </w:r>
      <w:r w:rsidR="00933C47">
        <w:t xml:space="preserve">(complete responses only). Survey questions referred to respondents’ current employment, or to the last three years (the period 2012-2015) when enquiring about academic engagement activities. </w:t>
      </w:r>
      <w:r w:rsidR="00352823">
        <w:t xml:space="preserve">A non-response bias analysis available in </w:t>
      </w:r>
      <w:r w:rsidR="00352823">
        <w:fldChar w:fldCharType="begin"/>
      </w:r>
      <w:r w:rsidR="00352823">
        <w:instrText xml:space="preserve"> ADDIN EN.CITE &lt;EndNote&gt;&lt;Cite AuthorYear="1"&gt;&lt;Author&gt;Hughes&lt;/Author&gt;&lt;Year&gt;2016&lt;/Year&gt;&lt;RecNum&gt;43603&lt;/RecNum&gt;&lt;DisplayText&gt;Hughes et al. (2016)&lt;/DisplayText&gt;&lt;record&gt;&lt;rec-number&gt;43603&lt;/rec-number&gt;&lt;foreign-keys&gt;&lt;key app="EN" db-id="vtes02d5teezd6ewr5x5vprcpxr0zrfvs2ap" timestamp="1571133661"&gt;43603&lt;/key&gt;&lt;/foreign-keys&gt;&lt;ref-type name="Book"&gt;6&lt;/ref-type&gt;&lt;contributors&gt;&lt;authors&gt;&lt;author&gt;Hughes, Alan&lt;/author&gt;&lt;author&gt;Lawson, Cornelia&lt;/author&gt;&lt;author&gt;Salter, Ammon&lt;/author&gt;&lt;author&gt;Kitson, Michael&lt;/author&gt;&lt;author&gt;Bullock, Anna&lt;/author&gt;&lt;author&gt;Hughes, Robert&lt;/author&gt;&lt;/authors&gt;&lt;/contributors&gt;&lt;titles&gt;&lt;title&gt;The Changing State of Knowledge Exchange: UK Academic Interactions with External Organizations 2005-2015&lt;/title&gt;&lt;/titles&gt;&lt;dates&gt;&lt;year&gt;2016&lt;/year&gt;&lt;/dates&gt;&lt;publisher&gt;NCUB&lt;/publisher&gt;&lt;work-type&gt;Commissioned report&lt;/work-type&gt;&lt;urls&gt;&lt;related-urls&gt;&lt;url&gt;http://www.ncub.co.uk/reports/national-survey-of-academics.html Open&lt;/url&gt;&lt;/related-urls&gt;&lt;/urls&gt;&lt;/record&gt;&lt;/Cite&gt;&lt;/EndNote&gt;</w:instrText>
      </w:r>
      <w:r w:rsidR="00352823">
        <w:fldChar w:fldCharType="separate"/>
      </w:r>
      <w:r w:rsidR="00352823">
        <w:rPr>
          <w:noProof/>
        </w:rPr>
        <w:t>Hughes et al. (2016)</w:t>
      </w:r>
      <w:r w:rsidR="00352823">
        <w:fldChar w:fldCharType="end"/>
      </w:r>
      <w:r w:rsidR="00352823">
        <w:t xml:space="preserve"> shows little to no bias in the survey data which can thus be considered representative of the UK academic population. </w:t>
      </w:r>
      <w:r w:rsidR="009C7E55">
        <w:t>We removed any respondents that were retired, on teaching only contracts or in research assistant positions</w:t>
      </w:r>
      <w:r w:rsidR="00726E72">
        <w:t>, and any observations with empty values in any of the responses</w:t>
      </w:r>
      <w:r w:rsidR="00B644F5">
        <w:t xml:space="preserve"> of interest</w:t>
      </w:r>
      <w:r w:rsidR="009C7E55">
        <w:t>. This left us with a</w:t>
      </w:r>
      <w:r w:rsidR="00726E72">
        <w:t xml:space="preserve"> sample of 14</w:t>
      </w:r>
      <w:r w:rsidR="009C7E55">
        <w:t>,</w:t>
      </w:r>
      <w:r w:rsidR="00517A23">
        <w:t>538</w:t>
      </w:r>
      <w:r w:rsidR="009C7E55">
        <w:t xml:space="preserve"> academics.</w:t>
      </w:r>
    </w:p>
    <w:p w14:paraId="0DDB32D1" w14:textId="77777777" w:rsidR="00726E72" w:rsidRDefault="00726E72" w:rsidP="00CC68DE">
      <w:pPr>
        <w:spacing w:after="240"/>
        <w:jc w:val="both"/>
        <w:rPr>
          <w:szCs w:val="24"/>
        </w:rPr>
      </w:pPr>
      <w:r>
        <w:rPr>
          <w:szCs w:val="24"/>
        </w:rPr>
        <w:t xml:space="preserve">While the original survey enquired about academic engagement, it did not consider social media use. We therefore collected </w:t>
      </w:r>
      <w:r w:rsidR="00C81BE2">
        <w:rPr>
          <w:szCs w:val="24"/>
        </w:rPr>
        <w:t xml:space="preserve">public LinkedIn </w:t>
      </w:r>
      <w:r>
        <w:rPr>
          <w:szCs w:val="24"/>
        </w:rPr>
        <w:t>profiles</w:t>
      </w:r>
      <w:r w:rsidR="00C81BE2">
        <w:rPr>
          <w:szCs w:val="24"/>
        </w:rPr>
        <w:t xml:space="preserve"> via </w:t>
      </w:r>
      <w:proofErr w:type="spellStart"/>
      <w:r w:rsidR="00C81BE2">
        <w:rPr>
          <w:szCs w:val="24"/>
        </w:rPr>
        <w:t>LiveAlumni</w:t>
      </w:r>
      <w:proofErr w:type="spellEnd"/>
      <w:r w:rsidR="00615D16" w:rsidRPr="00615D16">
        <w:rPr>
          <w:szCs w:val="24"/>
        </w:rPr>
        <w:t xml:space="preserve"> </w:t>
      </w:r>
      <w:r w:rsidR="00615D16">
        <w:rPr>
          <w:szCs w:val="24"/>
        </w:rPr>
        <w:t>in 2017</w:t>
      </w:r>
      <w:r>
        <w:rPr>
          <w:szCs w:val="24"/>
        </w:rPr>
        <w:t xml:space="preserve">. To protect the identity of our respondents, we did not share any survey information with </w:t>
      </w:r>
      <w:proofErr w:type="spellStart"/>
      <w:r>
        <w:rPr>
          <w:szCs w:val="24"/>
        </w:rPr>
        <w:t>LiveAlumni</w:t>
      </w:r>
      <w:proofErr w:type="spellEnd"/>
      <w:r>
        <w:rPr>
          <w:szCs w:val="24"/>
        </w:rPr>
        <w:t xml:space="preserve">, but instead used </w:t>
      </w:r>
      <w:r w:rsidR="00B644F5">
        <w:rPr>
          <w:szCs w:val="24"/>
        </w:rPr>
        <w:t>name and institution information</w:t>
      </w:r>
      <w:r>
        <w:rPr>
          <w:szCs w:val="24"/>
        </w:rPr>
        <w:t xml:space="preserve"> collected from public websites.</w:t>
      </w:r>
      <w:r>
        <w:rPr>
          <w:rStyle w:val="FootnoteReference"/>
          <w:szCs w:val="24"/>
        </w:rPr>
        <w:footnoteReference w:id="1"/>
      </w:r>
      <w:r>
        <w:rPr>
          <w:szCs w:val="24"/>
        </w:rPr>
        <w:t xml:space="preserve"> We were able to find LinkedIn records for approximately 48% of UK academics, a success rate that did not differ between survey respondents and non-respondents.</w:t>
      </w:r>
      <w:r>
        <w:rPr>
          <w:rStyle w:val="FootnoteReference"/>
          <w:szCs w:val="24"/>
        </w:rPr>
        <w:footnoteReference w:id="2"/>
      </w:r>
      <w:r>
        <w:rPr>
          <w:szCs w:val="24"/>
        </w:rPr>
        <w:t xml:space="preserve"> We merged LinkedIn records with </w:t>
      </w:r>
      <w:r w:rsidR="00B644F5">
        <w:rPr>
          <w:szCs w:val="24"/>
        </w:rPr>
        <w:t xml:space="preserve">the </w:t>
      </w:r>
      <w:r>
        <w:rPr>
          <w:szCs w:val="24"/>
        </w:rPr>
        <w:t xml:space="preserve">survey data after checking manually that they were correctly identified. </w:t>
      </w:r>
    </w:p>
    <w:p w14:paraId="2D3934CC" w14:textId="0BB9833C" w:rsidR="00FE2376" w:rsidRDefault="006B014F" w:rsidP="00FE2376">
      <w:pPr>
        <w:spacing w:after="240"/>
        <w:jc w:val="both"/>
        <w:rPr>
          <w:szCs w:val="24"/>
        </w:rPr>
      </w:pPr>
      <w:r>
        <w:rPr>
          <w:szCs w:val="24"/>
        </w:rPr>
        <w:t>T</w:t>
      </w:r>
      <w:r w:rsidR="00034BC1" w:rsidRPr="00537F1B">
        <w:rPr>
          <w:szCs w:val="24"/>
        </w:rPr>
        <w:t xml:space="preserve">he </w:t>
      </w:r>
      <w:r w:rsidR="00034BC1">
        <w:rPr>
          <w:szCs w:val="24"/>
        </w:rPr>
        <w:t xml:space="preserve">survey </w:t>
      </w:r>
      <w:r w:rsidR="00034BC1" w:rsidRPr="00537F1B">
        <w:rPr>
          <w:szCs w:val="24"/>
        </w:rPr>
        <w:t xml:space="preserve">data </w:t>
      </w:r>
      <w:r>
        <w:rPr>
          <w:szCs w:val="24"/>
        </w:rPr>
        <w:t>was</w:t>
      </w:r>
      <w:r w:rsidR="00726E72">
        <w:rPr>
          <w:szCs w:val="24"/>
        </w:rPr>
        <w:t xml:space="preserve"> further</w:t>
      </w:r>
      <w:r>
        <w:rPr>
          <w:szCs w:val="24"/>
        </w:rPr>
        <w:t xml:space="preserve"> complemented </w:t>
      </w:r>
      <w:r w:rsidR="00034BC1" w:rsidRPr="00537F1B">
        <w:rPr>
          <w:szCs w:val="24"/>
        </w:rPr>
        <w:t>with</w:t>
      </w:r>
      <w:r w:rsidR="009C7E55">
        <w:rPr>
          <w:szCs w:val="24"/>
        </w:rPr>
        <w:t xml:space="preserve"> information from other individual-level datasets. Specifically,</w:t>
      </w:r>
      <w:r w:rsidR="00034BC1" w:rsidRPr="00537F1B">
        <w:rPr>
          <w:szCs w:val="24"/>
        </w:rPr>
        <w:t xml:space="preserve"> </w:t>
      </w:r>
      <w:r w:rsidR="009C7E55">
        <w:rPr>
          <w:szCs w:val="24"/>
        </w:rPr>
        <w:t xml:space="preserve">we added </w:t>
      </w:r>
      <w:r w:rsidR="00034BC1" w:rsidRPr="00537F1B">
        <w:rPr>
          <w:szCs w:val="24"/>
        </w:rPr>
        <w:t>information from the UK research councils (UKRI) on whether respondents held any research funding as principal investigators during the 2012-2015 period</w:t>
      </w:r>
      <w:r w:rsidR="009C7E55">
        <w:rPr>
          <w:szCs w:val="24"/>
        </w:rPr>
        <w:t>. Data</w:t>
      </w:r>
      <w:r>
        <w:rPr>
          <w:szCs w:val="24"/>
        </w:rPr>
        <w:t xml:space="preserve"> was taken from the UKRI’s Gateway to Research (</w:t>
      </w:r>
      <w:proofErr w:type="spellStart"/>
      <w:r>
        <w:rPr>
          <w:szCs w:val="24"/>
        </w:rPr>
        <w:t>GtR</w:t>
      </w:r>
      <w:proofErr w:type="spellEnd"/>
      <w:r>
        <w:rPr>
          <w:szCs w:val="24"/>
        </w:rPr>
        <w:t xml:space="preserve">) or provided by the councils directly. </w:t>
      </w:r>
      <w:r w:rsidR="00034BC1">
        <w:t xml:space="preserve">We further collected </w:t>
      </w:r>
      <w:r w:rsidR="00933C47">
        <w:t>publication information</w:t>
      </w:r>
      <w:r w:rsidR="007E4DA9">
        <w:t xml:space="preserve"> for academics’ full careers</w:t>
      </w:r>
      <w:r w:rsidR="00933C47">
        <w:t xml:space="preserve"> from Scopus</w:t>
      </w:r>
      <w:r w:rsidR="002C79D6">
        <w:t>, including citation and co-author counts</w:t>
      </w:r>
      <w:r w:rsidR="00933C47">
        <w:t xml:space="preserve">. </w:t>
      </w:r>
      <w:r w:rsidR="00CE6831">
        <w:t>Specifically, we performed text field searchers on academic</w:t>
      </w:r>
      <w:r w:rsidR="00E0140B">
        <w:t>s</w:t>
      </w:r>
      <w:r w:rsidR="00CE6831">
        <w:t>’ names using Python and screened matches manually based on survey information</w:t>
      </w:r>
      <w:r w:rsidR="002C79D6">
        <w:t xml:space="preserve">. This process successfully identified the publication records of </w:t>
      </w:r>
      <w:r w:rsidR="00615D16">
        <w:t>approximately</w:t>
      </w:r>
      <w:r w:rsidR="002C79D6">
        <w:t xml:space="preserve"> </w:t>
      </w:r>
      <w:r w:rsidR="009C7E55">
        <w:t>70% of</w:t>
      </w:r>
      <w:r w:rsidR="002C79D6">
        <w:t xml:space="preserve"> respondents</w:t>
      </w:r>
      <w:r w:rsidR="00CE6831">
        <w:t xml:space="preserve">. </w:t>
      </w:r>
      <w:r w:rsidR="00CE6831" w:rsidRPr="00537F1B">
        <w:rPr>
          <w:szCs w:val="24"/>
        </w:rPr>
        <w:t>We further manually searched Scopus</w:t>
      </w:r>
      <w:r w:rsidR="00CE6831">
        <w:rPr>
          <w:szCs w:val="24"/>
        </w:rPr>
        <w:t xml:space="preserve"> for any respondents where the semi-automated process did not yield results</w:t>
      </w:r>
      <w:r w:rsidR="00CE6831" w:rsidRPr="00537F1B">
        <w:rPr>
          <w:szCs w:val="24"/>
        </w:rPr>
        <w:t xml:space="preserve">, </w:t>
      </w:r>
      <w:r w:rsidR="00CE6831">
        <w:rPr>
          <w:szCs w:val="24"/>
        </w:rPr>
        <w:t>using</w:t>
      </w:r>
      <w:r w:rsidR="00CE6831" w:rsidRPr="00537F1B">
        <w:rPr>
          <w:szCs w:val="24"/>
        </w:rPr>
        <w:t xml:space="preserve"> publica</w:t>
      </w:r>
      <w:r w:rsidR="00CE6831">
        <w:rPr>
          <w:szCs w:val="24"/>
        </w:rPr>
        <w:t>tion lists on personal websites</w:t>
      </w:r>
      <w:r w:rsidR="00CE6831" w:rsidRPr="00537F1B">
        <w:rPr>
          <w:szCs w:val="24"/>
        </w:rPr>
        <w:t xml:space="preserve"> </w:t>
      </w:r>
      <w:r w:rsidR="00CE6831">
        <w:rPr>
          <w:szCs w:val="24"/>
        </w:rPr>
        <w:t>as</w:t>
      </w:r>
      <w:r w:rsidR="00CE6831" w:rsidRPr="00537F1B">
        <w:rPr>
          <w:szCs w:val="24"/>
        </w:rPr>
        <w:t xml:space="preserve"> </w:t>
      </w:r>
      <w:r w:rsidR="00CE6831">
        <w:rPr>
          <w:szCs w:val="24"/>
        </w:rPr>
        <w:t xml:space="preserve">a search </w:t>
      </w:r>
      <w:r w:rsidR="00CE6831" w:rsidRPr="00537F1B">
        <w:rPr>
          <w:szCs w:val="24"/>
        </w:rPr>
        <w:t>guide</w:t>
      </w:r>
      <w:r w:rsidR="00CE6831">
        <w:rPr>
          <w:szCs w:val="24"/>
        </w:rPr>
        <w:t>.</w:t>
      </w:r>
      <w:r w:rsidR="002C79D6">
        <w:rPr>
          <w:szCs w:val="24"/>
        </w:rPr>
        <w:t xml:space="preserve"> This enabled us to identify </w:t>
      </w:r>
      <w:r w:rsidR="009C7E55">
        <w:rPr>
          <w:szCs w:val="24"/>
        </w:rPr>
        <w:t>publications for another 1</w:t>
      </w:r>
      <w:r w:rsidR="00517A23">
        <w:rPr>
          <w:szCs w:val="24"/>
        </w:rPr>
        <w:t>4</w:t>
      </w:r>
      <w:r w:rsidR="009C7E55">
        <w:rPr>
          <w:szCs w:val="24"/>
        </w:rPr>
        <w:t>% of respondents</w:t>
      </w:r>
      <w:r w:rsidR="002C79D6">
        <w:rPr>
          <w:szCs w:val="24"/>
        </w:rPr>
        <w:t>.</w:t>
      </w:r>
      <w:r w:rsidR="007E4DA9">
        <w:rPr>
          <w:szCs w:val="24"/>
        </w:rPr>
        <w:t xml:space="preserve"> The remaining 1</w:t>
      </w:r>
      <w:r w:rsidR="00517A23">
        <w:rPr>
          <w:szCs w:val="24"/>
        </w:rPr>
        <w:t>6</w:t>
      </w:r>
      <w:r w:rsidR="007E4DA9">
        <w:rPr>
          <w:szCs w:val="24"/>
        </w:rPr>
        <w:t>%</w:t>
      </w:r>
      <w:r w:rsidR="00B644F5">
        <w:rPr>
          <w:szCs w:val="24"/>
        </w:rPr>
        <w:t xml:space="preserve"> did not return any publications and</w:t>
      </w:r>
      <w:r w:rsidR="007E4DA9">
        <w:rPr>
          <w:szCs w:val="24"/>
        </w:rPr>
        <w:t xml:space="preserve"> had to be dropped from the analysis</w:t>
      </w:r>
      <w:r w:rsidR="00CE6831">
        <w:rPr>
          <w:rStyle w:val="FootnoteReference"/>
          <w:szCs w:val="24"/>
        </w:rPr>
        <w:footnoteReference w:id="3"/>
      </w:r>
      <w:r w:rsidR="00CE6831">
        <w:rPr>
          <w:szCs w:val="24"/>
        </w:rPr>
        <w:t xml:space="preserve">. </w:t>
      </w:r>
    </w:p>
    <w:p w14:paraId="73222EDD" w14:textId="49FF12A9" w:rsidR="00EF72CB" w:rsidRDefault="00FE2376" w:rsidP="0095000A">
      <w:pPr>
        <w:spacing w:after="240"/>
        <w:jc w:val="both"/>
        <w:rPr>
          <w:szCs w:val="24"/>
        </w:rPr>
      </w:pPr>
      <w:r>
        <w:rPr>
          <w:szCs w:val="24"/>
        </w:rPr>
        <w:t>We</w:t>
      </w:r>
      <w:r w:rsidR="00EF72CB">
        <w:rPr>
          <w:szCs w:val="24"/>
        </w:rPr>
        <w:t xml:space="preserve"> take advantage of questions that ask about </w:t>
      </w:r>
      <w:r w:rsidR="00EF72CB" w:rsidRPr="00EF72CB">
        <w:rPr>
          <w:szCs w:val="24"/>
        </w:rPr>
        <w:t>27 different types of non-commercial engagement and four types of commercialis</w:t>
      </w:r>
      <w:r w:rsidR="00EF72CB">
        <w:rPr>
          <w:szCs w:val="24"/>
        </w:rPr>
        <w:t xml:space="preserve">ation channels, </w:t>
      </w:r>
      <w:r w:rsidR="00EF72CB" w:rsidRPr="00EF72CB">
        <w:rPr>
          <w:szCs w:val="24"/>
        </w:rPr>
        <w:t>including the frequency with which each is used (regardless of sector of engagement), ranging from 0 to 10+.</w:t>
      </w:r>
      <w:r w:rsidR="00EF72CB">
        <w:rPr>
          <w:szCs w:val="24"/>
        </w:rPr>
        <w:t xml:space="preserve"> </w:t>
      </w:r>
      <w:r w:rsidR="00EF72CB" w:rsidRPr="00537F1B">
        <w:rPr>
          <w:szCs w:val="24"/>
        </w:rPr>
        <w:t xml:space="preserve">We categorise </w:t>
      </w:r>
      <w:r w:rsidR="00EF72CB">
        <w:rPr>
          <w:szCs w:val="24"/>
        </w:rPr>
        <w:t xml:space="preserve">these </w:t>
      </w:r>
      <w:r w:rsidR="00EF72CB" w:rsidRPr="00537F1B">
        <w:rPr>
          <w:szCs w:val="24"/>
        </w:rPr>
        <w:t>activities into five groups: training, meetings,</w:t>
      </w:r>
      <w:r w:rsidR="00EF72CB">
        <w:rPr>
          <w:szCs w:val="24"/>
        </w:rPr>
        <w:t xml:space="preserve"> research, </w:t>
      </w:r>
      <w:r w:rsidR="00EF72CB" w:rsidRPr="00537F1B">
        <w:rPr>
          <w:szCs w:val="24"/>
        </w:rPr>
        <w:t>commercialisation and public engagement</w:t>
      </w:r>
      <w:r w:rsidR="00610A43">
        <w:rPr>
          <w:szCs w:val="24"/>
        </w:rPr>
        <w:t>.</w:t>
      </w:r>
      <w:r w:rsidR="00EF72CB" w:rsidRPr="00537F1B">
        <w:rPr>
          <w:rStyle w:val="FootnoteReference"/>
          <w:szCs w:val="24"/>
        </w:rPr>
        <w:footnoteReference w:id="4"/>
      </w:r>
      <w:r w:rsidR="00610A43">
        <w:rPr>
          <w:szCs w:val="24"/>
        </w:rPr>
        <w:t xml:space="preserve"> Figure 2 shows the differences in these measures between the two groups of </w:t>
      </w:r>
      <w:r w:rsidR="00610A43">
        <w:rPr>
          <w:szCs w:val="24"/>
        </w:rPr>
        <w:lastRenderedPageBreak/>
        <w:t xml:space="preserve">academics. It </w:t>
      </w:r>
      <w:r w:rsidR="0095000A">
        <w:rPr>
          <w:szCs w:val="24"/>
        </w:rPr>
        <w:t xml:space="preserve">shows </w:t>
      </w:r>
      <w:r w:rsidR="00610A43">
        <w:rPr>
          <w:szCs w:val="24"/>
        </w:rPr>
        <w:t xml:space="preserve">that non-users of </w:t>
      </w:r>
      <w:proofErr w:type="spellStart"/>
      <w:r w:rsidR="00610A43">
        <w:rPr>
          <w:szCs w:val="24"/>
        </w:rPr>
        <w:t>LikedIn</w:t>
      </w:r>
      <w:proofErr w:type="spellEnd"/>
      <w:r w:rsidR="00610A43">
        <w:rPr>
          <w:szCs w:val="24"/>
        </w:rPr>
        <w:t xml:space="preserve"> are less involved in the majority of engagement activities. Perhaps unexpectedly, this difference is smallest for public engagement, which we may have associated more readily with social network sites. </w:t>
      </w:r>
    </w:p>
    <w:p w14:paraId="546C19A4" w14:textId="52208F87" w:rsidR="0095000A" w:rsidRDefault="0095000A" w:rsidP="0095000A">
      <w:pPr>
        <w:spacing w:after="240" w:line="360" w:lineRule="auto"/>
        <w:jc w:val="center"/>
        <w:rPr>
          <w:szCs w:val="24"/>
        </w:rPr>
      </w:pPr>
      <w:r>
        <w:rPr>
          <w:szCs w:val="24"/>
        </w:rPr>
        <w:t>Figure 1: Sector of Non-academic engagement</w:t>
      </w:r>
    </w:p>
    <w:p w14:paraId="06FB8100" w14:textId="485513D9" w:rsidR="00EF72CB" w:rsidRDefault="00D02C22" w:rsidP="00610A43">
      <w:pPr>
        <w:spacing w:line="360" w:lineRule="auto"/>
        <w:rPr>
          <w:szCs w:val="24"/>
        </w:rPr>
      </w:pPr>
      <w:r w:rsidRPr="00D02C22">
        <w:rPr>
          <w:noProof/>
          <w:szCs w:val="24"/>
        </w:rPr>
        <w:drawing>
          <wp:inline distT="0" distB="0" distL="0" distR="0" wp14:anchorId="09D780F8" wp14:editId="5B5689D7">
            <wp:extent cx="5731510" cy="1689812"/>
            <wp:effectExtent l="0" t="0" r="254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F38957" w14:textId="77777777" w:rsidR="0095000A" w:rsidRDefault="0095000A" w:rsidP="001D03FE">
      <w:pPr>
        <w:spacing w:after="240" w:line="360" w:lineRule="auto"/>
        <w:rPr>
          <w:szCs w:val="24"/>
        </w:rPr>
      </w:pPr>
    </w:p>
    <w:p w14:paraId="2B473873" w14:textId="664D6E37" w:rsidR="0095000A" w:rsidRDefault="0095000A" w:rsidP="0095000A">
      <w:pPr>
        <w:spacing w:line="360" w:lineRule="auto"/>
        <w:jc w:val="center"/>
        <w:rPr>
          <w:szCs w:val="24"/>
        </w:rPr>
      </w:pPr>
      <w:r>
        <w:rPr>
          <w:szCs w:val="24"/>
        </w:rPr>
        <w:t>Figure 2: Activity of Non-academic engagement</w:t>
      </w:r>
    </w:p>
    <w:p w14:paraId="0D0042C2" w14:textId="3C9F5A39" w:rsidR="00D02C22" w:rsidRDefault="00D02C22" w:rsidP="00610A43">
      <w:pPr>
        <w:spacing w:line="360" w:lineRule="auto"/>
        <w:rPr>
          <w:szCs w:val="24"/>
        </w:rPr>
      </w:pPr>
      <w:r w:rsidRPr="00D02C22">
        <w:rPr>
          <w:noProof/>
          <w:szCs w:val="24"/>
        </w:rPr>
        <w:drawing>
          <wp:inline distT="0" distB="0" distL="0" distR="0" wp14:anchorId="3920006D" wp14:editId="270B08D4">
            <wp:extent cx="5328285" cy="2033626"/>
            <wp:effectExtent l="0" t="0" r="571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A4C7E3" w14:textId="77777777" w:rsidR="0095000A" w:rsidRDefault="0095000A" w:rsidP="0095000A">
      <w:pPr>
        <w:spacing w:line="360" w:lineRule="auto"/>
        <w:rPr>
          <w:bCs/>
          <w:i/>
          <w:iCs/>
          <w:szCs w:val="24"/>
        </w:rPr>
      </w:pPr>
    </w:p>
    <w:p w14:paraId="5F45646C" w14:textId="77777777" w:rsidR="00C65633" w:rsidRDefault="00C65633" w:rsidP="00D02C22"/>
    <w:p w14:paraId="7AAC5A26" w14:textId="77777777" w:rsidR="00820224" w:rsidRDefault="00820224" w:rsidP="0095000A">
      <w:pPr>
        <w:jc w:val="center"/>
      </w:pPr>
      <w:r>
        <w:t>Table 1: Descriptive Statistics</w:t>
      </w:r>
    </w:p>
    <w:p w14:paraId="6AA42E18" w14:textId="77777777" w:rsidR="00820224" w:rsidRDefault="00820224" w:rsidP="00D02C22"/>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53"/>
        <w:gridCol w:w="1704"/>
        <w:gridCol w:w="1842"/>
        <w:gridCol w:w="1541"/>
      </w:tblGrid>
      <w:tr w:rsidR="00D02C22" w:rsidRPr="00820224" w14:paraId="42042D94" w14:textId="77CA6B9E" w:rsidTr="0095000A">
        <w:trPr>
          <w:trHeight w:val="283"/>
          <w:jc w:val="center"/>
        </w:trPr>
        <w:tc>
          <w:tcPr>
            <w:tcW w:w="3253" w:type="dxa"/>
            <w:shd w:val="clear" w:color="auto" w:fill="auto"/>
            <w:tcMar>
              <w:top w:w="15" w:type="dxa"/>
              <w:left w:w="15" w:type="dxa"/>
              <w:bottom w:w="0" w:type="dxa"/>
              <w:right w:w="15" w:type="dxa"/>
            </w:tcMar>
            <w:vAlign w:val="bottom"/>
            <w:hideMark/>
          </w:tcPr>
          <w:p w14:paraId="3B2C72A5" w14:textId="77777777" w:rsidR="00D02C22" w:rsidRPr="00820224" w:rsidRDefault="00D02C22" w:rsidP="00D02C22">
            <w:r w:rsidRPr="00820224">
              <w:t>Variables</w:t>
            </w:r>
          </w:p>
        </w:tc>
        <w:tc>
          <w:tcPr>
            <w:tcW w:w="1704" w:type="dxa"/>
            <w:shd w:val="clear" w:color="auto" w:fill="auto"/>
            <w:tcMar>
              <w:top w:w="15" w:type="dxa"/>
              <w:left w:w="15" w:type="dxa"/>
              <w:bottom w:w="0" w:type="dxa"/>
              <w:right w:w="15" w:type="dxa"/>
            </w:tcMar>
            <w:vAlign w:val="bottom"/>
            <w:hideMark/>
          </w:tcPr>
          <w:p w14:paraId="333702CD" w14:textId="77777777" w:rsidR="00D02C22" w:rsidRPr="00820224" w:rsidRDefault="00D02C22" w:rsidP="00D02C22">
            <w:r w:rsidRPr="00820224">
              <w:t>Not on LinkedIn</w:t>
            </w:r>
          </w:p>
        </w:tc>
        <w:tc>
          <w:tcPr>
            <w:tcW w:w="1842" w:type="dxa"/>
            <w:shd w:val="clear" w:color="auto" w:fill="auto"/>
            <w:tcMar>
              <w:top w:w="15" w:type="dxa"/>
              <w:left w:w="15" w:type="dxa"/>
              <w:bottom w:w="0" w:type="dxa"/>
              <w:right w:w="15" w:type="dxa"/>
            </w:tcMar>
            <w:vAlign w:val="bottom"/>
            <w:hideMark/>
          </w:tcPr>
          <w:p w14:paraId="60734AA9" w14:textId="77777777" w:rsidR="00D02C22" w:rsidRPr="00820224" w:rsidRDefault="00D02C22" w:rsidP="00D02C22">
            <w:r w:rsidRPr="00820224">
              <w:t>LinkedIn account</w:t>
            </w:r>
          </w:p>
        </w:tc>
        <w:tc>
          <w:tcPr>
            <w:tcW w:w="1541" w:type="dxa"/>
            <w:shd w:val="clear" w:color="auto" w:fill="auto"/>
            <w:vAlign w:val="bottom"/>
          </w:tcPr>
          <w:p w14:paraId="2B8F93F2" w14:textId="77777777" w:rsidR="00D02C22" w:rsidRPr="00820224" w:rsidRDefault="00D02C22" w:rsidP="00D02C22"/>
        </w:tc>
      </w:tr>
      <w:tr w:rsidR="00D02C22" w:rsidRPr="00820224" w14:paraId="16DDF8AA"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35556E18" w14:textId="43672D46" w:rsidR="00820224" w:rsidRPr="00820224" w:rsidRDefault="00D02C22" w:rsidP="00D02C22">
            <w:r>
              <w:t>N</w:t>
            </w:r>
          </w:p>
        </w:tc>
        <w:tc>
          <w:tcPr>
            <w:tcW w:w="1704" w:type="dxa"/>
            <w:shd w:val="clear" w:color="auto" w:fill="auto"/>
            <w:tcMar>
              <w:top w:w="15" w:type="dxa"/>
              <w:left w:w="15" w:type="dxa"/>
              <w:bottom w:w="0" w:type="dxa"/>
              <w:right w:w="15" w:type="dxa"/>
            </w:tcMar>
            <w:vAlign w:val="bottom"/>
            <w:hideMark/>
          </w:tcPr>
          <w:p w14:paraId="296D54B4" w14:textId="723896A7" w:rsidR="00820224" w:rsidRPr="00820224" w:rsidRDefault="00D02C22" w:rsidP="00D02C22">
            <w:r>
              <w:t>6016</w:t>
            </w:r>
          </w:p>
        </w:tc>
        <w:tc>
          <w:tcPr>
            <w:tcW w:w="1842" w:type="dxa"/>
            <w:shd w:val="clear" w:color="auto" w:fill="auto"/>
            <w:tcMar>
              <w:top w:w="15" w:type="dxa"/>
              <w:left w:w="15" w:type="dxa"/>
              <w:bottom w:w="0" w:type="dxa"/>
              <w:right w:w="15" w:type="dxa"/>
            </w:tcMar>
            <w:vAlign w:val="bottom"/>
            <w:hideMark/>
          </w:tcPr>
          <w:p w14:paraId="625749E4" w14:textId="20CF150C" w:rsidR="00820224" w:rsidRPr="00820224" w:rsidRDefault="00D02C22" w:rsidP="00D02C22">
            <w:r>
              <w:t>6167</w:t>
            </w:r>
          </w:p>
        </w:tc>
        <w:tc>
          <w:tcPr>
            <w:tcW w:w="1541" w:type="dxa"/>
            <w:shd w:val="clear" w:color="auto" w:fill="auto"/>
            <w:tcMar>
              <w:top w:w="15" w:type="dxa"/>
              <w:left w:w="15" w:type="dxa"/>
              <w:bottom w:w="0" w:type="dxa"/>
              <w:right w:w="15" w:type="dxa"/>
            </w:tcMar>
            <w:vAlign w:val="center"/>
            <w:hideMark/>
          </w:tcPr>
          <w:p w14:paraId="49BA9B20" w14:textId="77777777" w:rsidR="00820224" w:rsidRPr="00820224" w:rsidRDefault="00820224" w:rsidP="00D02C22">
            <w:r w:rsidRPr="00820224">
              <w:rPr>
                <w:i/>
                <w:iCs/>
              </w:rPr>
              <w:t>p</w:t>
            </w:r>
          </w:p>
        </w:tc>
      </w:tr>
      <w:tr w:rsidR="00D02C22" w:rsidRPr="00820224" w14:paraId="3E9F4E02"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5C9943A9" w14:textId="77777777" w:rsidR="00820224" w:rsidRPr="00820224" w:rsidRDefault="00820224" w:rsidP="00D02C22">
            <w:r w:rsidRPr="00820224">
              <w:t>Female</w:t>
            </w:r>
          </w:p>
        </w:tc>
        <w:tc>
          <w:tcPr>
            <w:tcW w:w="1704" w:type="dxa"/>
            <w:shd w:val="clear" w:color="auto" w:fill="auto"/>
            <w:tcMar>
              <w:top w:w="15" w:type="dxa"/>
              <w:left w:w="15" w:type="dxa"/>
              <w:bottom w:w="0" w:type="dxa"/>
              <w:right w:w="15" w:type="dxa"/>
            </w:tcMar>
            <w:vAlign w:val="center"/>
            <w:hideMark/>
          </w:tcPr>
          <w:p w14:paraId="7EC5832E" w14:textId="77777777" w:rsidR="00820224" w:rsidRPr="00820224" w:rsidRDefault="00820224" w:rsidP="00D02C22">
            <w:r w:rsidRPr="00820224">
              <w:t>0.41</w:t>
            </w:r>
          </w:p>
        </w:tc>
        <w:tc>
          <w:tcPr>
            <w:tcW w:w="1842" w:type="dxa"/>
            <w:shd w:val="clear" w:color="auto" w:fill="auto"/>
            <w:tcMar>
              <w:top w:w="15" w:type="dxa"/>
              <w:left w:w="15" w:type="dxa"/>
              <w:bottom w:w="0" w:type="dxa"/>
              <w:right w:w="15" w:type="dxa"/>
            </w:tcMar>
            <w:vAlign w:val="center"/>
            <w:hideMark/>
          </w:tcPr>
          <w:p w14:paraId="7A468547" w14:textId="77777777" w:rsidR="00820224" w:rsidRPr="00820224" w:rsidRDefault="00820224" w:rsidP="00D02C22">
            <w:r w:rsidRPr="00820224">
              <w:t>0.40</w:t>
            </w:r>
          </w:p>
        </w:tc>
        <w:tc>
          <w:tcPr>
            <w:tcW w:w="1541" w:type="dxa"/>
            <w:shd w:val="clear" w:color="auto" w:fill="auto"/>
            <w:tcMar>
              <w:top w:w="15" w:type="dxa"/>
              <w:left w:w="15" w:type="dxa"/>
              <w:bottom w:w="0" w:type="dxa"/>
              <w:right w:w="15" w:type="dxa"/>
            </w:tcMar>
            <w:vAlign w:val="bottom"/>
            <w:hideMark/>
          </w:tcPr>
          <w:p w14:paraId="7E73E183" w14:textId="77777777" w:rsidR="00820224" w:rsidRPr="00820224" w:rsidRDefault="00820224" w:rsidP="00D02C22"/>
        </w:tc>
      </w:tr>
      <w:tr w:rsidR="00D02C22" w:rsidRPr="00820224" w14:paraId="085BE37B"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00808077" w14:textId="77777777" w:rsidR="00820224" w:rsidRPr="00820224" w:rsidRDefault="00820224" w:rsidP="00D02C22">
            <w:r w:rsidRPr="00820224">
              <w:t>Foreign born</w:t>
            </w:r>
          </w:p>
        </w:tc>
        <w:tc>
          <w:tcPr>
            <w:tcW w:w="1704" w:type="dxa"/>
            <w:shd w:val="clear" w:color="auto" w:fill="auto"/>
            <w:tcMar>
              <w:top w:w="15" w:type="dxa"/>
              <w:left w:w="15" w:type="dxa"/>
              <w:bottom w:w="0" w:type="dxa"/>
              <w:right w:w="15" w:type="dxa"/>
            </w:tcMar>
            <w:vAlign w:val="center"/>
            <w:hideMark/>
          </w:tcPr>
          <w:p w14:paraId="5CCD119F" w14:textId="77777777" w:rsidR="00820224" w:rsidRPr="00820224" w:rsidRDefault="00820224" w:rsidP="00D02C22">
            <w:r w:rsidRPr="00820224">
              <w:t>0.39</w:t>
            </w:r>
          </w:p>
        </w:tc>
        <w:tc>
          <w:tcPr>
            <w:tcW w:w="1842" w:type="dxa"/>
            <w:shd w:val="clear" w:color="auto" w:fill="auto"/>
            <w:tcMar>
              <w:top w:w="15" w:type="dxa"/>
              <w:left w:w="15" w:type="dxa"/>
              <w:bottom w:w="0" w:type="dxa"/>
              <w:right w:w="15" w:type="dxa"/>
            </w:tcMar>
            <w:vAlign w:val="center"/>
            <w:hideMark/>
          </w:tcPr>
          <w:p w14:paraId="4229EA0A" w14:textId="77777777" w:rsidR="00820224" w:rsidRPr="00820224" w:rsidRDefault="00820224" w:rsidP="00D02C22">
            <w:r w:rsidRPr="00820224">
              <w:t>0.36</w:t>
            </w:r>
          </w:p>
        </w:tc>
        <w:tc>
          <w:tcPr>
            <w:tcW w:w="1541" w:type="dxa"/>
            <w:shd w:val="clear" w:color="auto" w:fill="auto"/>
            <w:tcMar>
              <w:top w:w="15" w:type="dxa"/>
              <w:left w:w="15" w:type="dxa"/>
              <w:bottom w:w="0" w:type="dxa"/>
              <w:right w:w="15" w:type="dxa"/>
            </w:tcMar>
            <w:vAlign w:val="bottom"/>
            <w:hideMark/>
          </w:tcPr>
          <w:p w14:paraId="5D044870" w14:textId="77777777" w:rsidR="00820224" w:rsidRPr="00820224" w:rsidRDefault="00820224" w:rsidP="00D02C22">
            <w:r w:rsidRPr="00820224">
              <w:t>***</w:t>
            </w:r>
          </w:p>
        </w:tc>
      </w:tr>
      <w:tr w:rsidR="00D02C22" w:rsidRPr="00820224" w14:paraId="1ED89FD5"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4832A3A6" w14:textId="77777777" w:rsidR="00820224" w:rsidRPr="00820224" w:rsidRDefault="00820224" w:rsidP="00D02C22">
            <w:r w:rsidRPr="00820224">
              <w:t>&lt;40</w:t>
            </w:r>
          </w:p>
        </w:tc>
        <w:tc>
          <w:tcPr>
            <w:tcW w:w="1704" w:type="dxa"/>
            <w:shd w:val="clear" w:color="auto" w:fill="auto"/>
            <w:tcMar>
              <w:top w:w="15" w:type="dxa"/>
              <w:left w:w="15" w:type="dxa"/>
              <w:bottom w:w="0" w:type="dxa"/>
              <w:right w:w="15" w:type="dxa"/>
            </w:tcMar>
            <w:vAlign w:val="center"/>
            <w:hideMark/>
          </w:tcPr>
          <w:p w14:paraId="59BCF976" w14:textId="77777777" w:rsidR="00820224" w:rsidRPr="00820224" w:rsidRDefault="00820224" w:rsidP="00D02C22">
            <w:r w:rsidRPr="00820224">
              <w:t>0.34</w:t>
            </w:r>
          </w:p>
        </w:tc>
        <w:tc>
          <w:tcPr>
            <w:tcW w:w="1842" w:type="dxa"/>
            <w:shd w:val="clear" w:color="auto" w:fill="auto"/>
            <w:tcMar>
              <w:top w:w="15" w:type="dxa"/>
              <w:left w:w="15" w:type="dxa"/>
              <w:bottom w:w="0" w:type="dxa"/>
              <w:right w:w="15" w:type="dxa"/>
            </w:tcMar>
            <w:vAlign w:val="center"/>
            <w:hideMark/>
          </w:tcPr>
          <w:p w14:paraId="41BAFBC2" w14:textId="77777777" w:rsidR="00820224" w:rsidRPr="00820224" w:rsidRDefault="00820224" w:rsidP="00D02C22">
            <w:r w:rsidRPr="00820224">
              <w:t>0.32</w:t>
            </w:r>
          </w:p>
        </w:tc>
        <w:tc>
          <w:tcPr>
            <w:tcW w:w="1541" w:type="dxa"/>
            <w:shd w:val="clear" w:color="auto" w:fill="auto"/>
            <w:tcMar>
              <w:top w:w="15" w:type="dxa"/>
              <w:left w:w="15" w:type="dxa"/>
              <w:bottom w:w="0" w:type="dxa"/>
              <w:right w:w="15" w:type="dxa"/>
            </w:tcMar>
            <w:vAlign w:val="bottom"/>
            <w:hideMark/>
          </w:tcPr>
          <w:p w14:paraId="3D591DCA" w14:textId="77777777" w:rsidR="00820224" w:rsidRPr="00820224" w:rsidRDefault="00820224" w:rsidP="00D02C22">
            <w:r w:rsidRPr="00820224">
              <w:t>***</w:t>
            </w:r>
          </w:p>
        </w:tc>
      </w:tr>
      <w:tr w:rsidR="00D02C22" w:rsidRPr="00820224" w14:paraId="18C0B225"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777872DC" w14:textId="77777777" w:rsidR="00820224" w:rsidRPr="00820224" w:rsidRDefault="00820224" w:rsidP="00D02C22">
            <w:r w:rsidRPr="00820224">
              <w:t>&gt;49</w:t>
            </w:r>
          </w:p>
        </w:tc>
        <w:tc>
          <w:tcPr>
            <w:tcW w:w="1704" w:type="dxa"/>
            <w:shd w:val="clear" w:color="auto" w:fill="auto"/>
            <w:tcMar>
              <w:top w:w="15" w:type="dxa"/>
              <w:left w:w="15" w:type="dxa"/>
              <w:bottom w:w="0" w:type="dxa"/>
              <w:right w:w="15" w:type="dxa"/>
            </w:tcMar>
            <w:vAlign w:val="center"/>
            <w:hideMark/>
          </w:tcPr>
          <w:p w14:paraId="62DB62DF" w14:textId="77777777" w:rsidR="00820224" w:rsidRPr="00820224" w:rsidRDefault="00820224" w:rsidP="00D02C22">
            <w:r w:rsidRPr="00820224">
              <w:t>0.37</w:t>
            </w:r>
          </w:p>
        </w:tc>
        <w:tc>
          <w:tcPr>
            <w:tcW w:w="1842" w:type="dxa"/>
            <w:shd w:val="clear" w:color="auto" w:fill="auto"/>
            <w:tcMar>
              <w:top w:w="15" w:type="dxa"/>
              <w:left w:w="15" w:type="dxa"/>
              <w:bottom w:w="0" w:type="dxa"/>
              <w:right w:w="15" w:type="dxa"/>
            </w:tcMar>
            <w:vAlign w:val="center"/>
            <w:hideMark/>
          </w:tcPr>
          <w:p w14:paraId="156CF615" w14:textId="77777777" w:rsidR="00820224" w:rsidRPr="00820224" w:rsidRDefault="00820224" w:rsidP="00D02C22">
            <w:r w:rsidRPr="00820224">
              <w:t>0.39</w:t>
            </w:r>
          </w:p>
        </w:tc>
        <w:tc>
          <w:tcPr>
            <w:tcW w:w="1541" w:type="dxa"/>
            <w:shd w:val="clear" w:color="auto" w:fill="auto"/>
            <w:tcMar>
              <w:top w:w="15" w:type="dxa"/>
              <w:left w:w="15" w:type="dxa"/>
              <w:bottom w:w="0" w:type="dxa"/>
              <w:right w:w="15" w:type="dxa"/>
            </w:tcMar>
            <w:vAlign w:val="bottom"/>
            <w:hideMark/>
          </w:tcPr>
          <w:p w14:paraId="10293AC8" w14:textId="77777777" w:rsidR="00820224" w:rsidRPr="00820224" w:rsidRDefault="00820224" w:rsidP="00D02C22">
            <w:r w:rsidRPr="00820224">
              <w:t>**</w:t>
            </w:r>
          </w:p>
        </w:tc>
      </w:tr>
      <w:tr w:rsidR="00D02C22" w:rsidRPr="00820224" w14:paraId="709F2173"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337F04B7" w14:textId="77777777" w:rsidR="00820224" w:rsidRPr="00820224" w:rsidRDefault="00820224" w:rsidP="00D02C22">
            <w:r w:rsidRPr="00820224">
              <w:t>Professor</w:t>
            </w:r>
          </w:p>
        </w:tc>
        <w:tc>
          <w:tcPr>
            <w:tcW w:w="1704" w:type="dxa"/>
            <w:shd w:val="clear" w:color="auto" w:fill="auto"/>
            <w:tcMar>
              <w:top w:w="15" w:type="dxa"/>
              <w:left w:w="15" w:type="dxa"/>
              <w:bottom w:w="0" w:type="dxa"/>
              <w:right w:w="15" w:type="dxa"/>
            </w:tcMar>
            <w:vAlign w:val="center"/>
            <w:hideMark/>
          </w:tcPr>
          <w:p w14:paraId="2AE4C111" w14:textId="77777777" w:rsidR="00820224" w:rsidRPr="00820224" w:rsidRDefault="00820224" w:rsidP="00D02C22">
            <w:r w:rsidRPr="00820224">
              <w:t>0.24</w:t>
            </w:r>
          </w:p>
        </w:tc>
        <w:tc>
          <w:tcPr>
            <w:tcW w:w="1842" w:type="dxa"/>
            <w:shd w:val="clear" w:color="auto" w:fill="auto"/>
            <w:tcMar>
              <w:top w:w="15" w:type="dxa"/>
              <w:left w:w="15" w:type="dxa"/>
              <w:bottom w:w="0" w:type="dxa"/>
              <w:right w:w="15" w:type="dxa"/>
            </w:tcMar>
            <w:vAlign w:val="center"/>
            <w:hideMark/>
          </w:tcPr>
          <w:p w14:paraId="24CF61D3" w14:textId="77777777" w:rsidR="00820224" w:rsidRPr="00820224" w:rsidRDefault="00820224" w:rsidP="00D02C22">
            <w:r w:rsidRPr="00820224">
              <w:t>0.24</w:t>
            </w:r>
          </w:p>
        </w:tc>
        <w:tc>
          <w:tcPr>
            <w:tcW w:w="1541" w:type="dxa"/>
            <w:shd w:val="clear" w:color="auto" w:fill="auto"/>
            <w:tcMar>
              <w:top w:w="15" w:type="dxa"/>
              <w:left w:w="15" w:type="dxa"/>
              <w:bottom w:w="0" w:type="dxa"/>
              <w:right w:w="15" w:type="dxa"/>
            </w:tcMar>
            <w:vAlign w:val="bottom"/>
            <w:hideMark/>
          </w:tcPr>
          <w:p w14:paraId="42E89B6B" w14:textId="77777777" w:rsidR="00820224" w:rsidRPr="00820224" w:rsidRDefault="00820224" w:rsidP="00D02C22"/>
        </w:tc>
      </w:tr>
      <w:tr w:rsidR="00D02C22" w:rsidRPr="00820224" w14:paraId="2D903C01"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23D320DB" w14:textId="77777777" w:rsidR="00820224" w:rsidRPr="00820224" w:rsidRDefault="00820224" w:rsidP="00D02C22">
            <w:r w:rsidRPr="00820224">
              <w:t>SL/Reader</w:t>
            </w:r>
          </w:p>
        </w:tc>
        <w:tc>
          <w:tcPr>
            <w:tcW w:w="1704" w:type="dxa"/>
            <w:shd w:val="clear" w:color="auto" w:fill="auto"/>
            <w:tcMar>
              <w:top w:w="15" w:type="dxa"/>
              <w:left w:w="15" w:type="dxa"/>
              <w:bottom w:w="0" w:type="dxa"/>
              <w:right w:w="15" w:type="dxa"/>
            </w:tcMar>
            <w:vAlign w:val="center"/>
            <w:hideMark/>
          </w:tcPr>
          <w:p w14:paraId="75A03092" w14:textId="77777777" w:rsidR="00820224" w:rsidRPr="00820224" w:rsidRDefault="00820224" w:rsidP="00D02C22">
            <w:r w:rsidRPr="00820224">
              <w:t>0.31</w:t>
            </w:r>
          </w:p>
        </w:tc>
        <w:tc>
          <w:tcPr>
            <w:tcW w:w="1842" w:type="dxa"/>
            <w:shd w:val="clear" w:color="auto" w:fill="auto"/>
            <w:tcMar>
              <w:top w:w="15" w:type="dxa"/>
              <w:left w:w="15" w:type="dxa"/>
              <w:bottom w:w="0" w:type="dxa"/>
              <w:right w:w="15" w:type="dxa"/>
            </w:tcMar>
            <w:vAlign w:val="center"/>
            <w:hideMark/>
          </w:tcPr>
          <w:p w14:paraId="1D744807" w14:textId="77777777" w:rsidR="00820224" w:rsidRPr="00820224" w:rsidRDefault="00820224" w:rsidP="00D02C22">
            <w:r w:rsidRPr="00820224">
              <w:t>0.36</w:t>
            </w:r>
          </w:p>
        </w:tc>
        <w:tc>
          <w:tcPr>
            <w:tcW w:w="1541" w:type="dxa"/>
            <w:shd w:val="clear" w:color="auto" w:fill="auto"/>
            <w:tcMar>
              <w:top w:w="15" w:type="dxa"/>
              <w:left w:w="15" w:type="dxa"/>
              <w:bottom w:w="0" w:type="dxa"/>
              <w:right w:w="15" w:type="dxa"/>
            </w:tcMar>
            <w:vAlign w:val="bottom"/>
            <w:hideMark/>
          </w:tcPr>
          <w:p w14:paraId="10FBF91B" w14:textId="77777777" w:rsidR="00820224" w:rsidRPr="00820224" w:rsidRDefault="00820224" w:rsidP="00D02C22">
            <w:r w:rsidRPr="00820224">
              <w:t>***</w:t>
            </w:r>
          </w:p>
        </w:tc>
      </w:tr>
      <w:tr w:rsidR="00D02C22" w:rsidRPr="00820224" w14:paraId="2604E3F4"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115AB8E0" w14:textId="77777777" w:rsidR="00820224" w:rsidRPr="00820224" w:rsidRDefault="00820224" w:rsidP="00D02C22">
            <w:r w:rsidRPr="00820224">
              <w:t>Lecturer</w:t>
            </w:r>
          </w:p>
        </w:tc>
        <w:tc>
          <w:tcPr>
            <w:tcW w:w="1704" w:type="dxa"/>
            <w:shd w:val="clear" w:color="auto" w:fill="auto"/>
            <w:tcMar>
              <w:top w:w="15" w:type="dxa"/>
              <w:left w:w="15" w:type="dxa"/>
              <w:bottom w:w="0" w:type="dxa"/>
              <w:right w:w="15" w:type="dxa"/>
            </w:tcMar>
            <w:vAlign w:val="center"/>
            <w:hideMark/>
          </w:tcPr>
          <w:p w14:paraId="607319ED" w14:textId="77777777" w:rsidR="00820224" w:rsidRPr="00820224" w:rsidRDefault="00820224" w:rsidP="00D02C22">
            <w:r w:rsidRPr="00820224">
              <w:t>0.21</w:t>
            </w:r>
          </w:p>
        </w:tc>
        <w:tc>
          <w:tcPr>
            <w:tcW w:w="1842" w:type="dxa"/>
            <w:shd w:val="clear" w:color="auto" w:fill="auto"/>
            <w:tcMar>
              <w:top w:w="15" w:type="dxa"/>
              <w:left w:w="15" w:type="dxa"/>
              <w:bottom w:w="0" w:type="dxa"/>
              <w:right w:w="15" w:type="dxa"/>
            </w:tcMar>
            <w:vAlign w:val="center"/>
            <w:hideMark/>
          </w:tcPr>
          <w:p w14:paraId="3AB68DE9" w14:textId="77777777" w:rsidR="00820224" w:rsidRPr="00820224" w:rsidRDefault="00820224" w:rsidP="00D02C22">
            <w:r w:rsidRPr="00820224">
              <w:t>0.20</w:t>
            </w:r>
          </w:p>
        </w:tc>
        <w:tc>
          <w:tcPr>
            <w:tcW w:w="1541" w:type="dxa"/>
            <w:shd w:val="clear" w:color="auto" w:fill="auto"/>
            <w:tcMar>
              <w:top w:w="15" w:type="dxa"/>
              <w:left w:w="15" w:type="dxa"/>
              <w:bottom w:w="0" w:type="dxa"/>
              <w:right w:w="15" w:type="dxa"/>
            </w:tcMar>
            <w:vAlign w:val="bottom"/>
            <w:hideMark/>
          </w:tcPr>
          <w:p w14:paraId="086F044E" w14:textId="77777777" w:rsidR="00820224" w:rsidRPr="00820224" w:rsidRDefault="00820224" w:rsidP="00D02C22"/>
        </w:tc>
      </w:tr>
      <w:tr w:rsidR="00D02C22" w:rsidRPr="00820224" w14:paraId="6E6AD768"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24A9C349" w14:textId="77777777" w:rsidR="00820224" w:rsidRPr="00820224" w:rsidRDefault="00820224" w:rsidP="00D02C22">
            <w:r w:rsidRPr="00820224">
              <w:lastRenderedPageBreak/>
              <w:t>Research fellow/Postdoc</w:t>
            </w:r>
          </w:p>
        </w:tc>
        <w:tc>
          <w:tcPr>
            <w:tcW w:w="1704" w:type="dxa"/>
            <w:shd w:val="clear" w:color="auto" w:fill="auto"/>
            <w:tcMar>
              <w:top w:w="15" w:type="dxa"/>
              <w:left w:w="15" w:type="dxa"/>
              <w:bottom w:w="0" w:type="dxa"/>
              <w:right w:w="15" w:type="dxa"/>
            </w:tcMar>
            <w:vAlign w:val="center"/>
            <w:hideMark/>
          </w:tcPr>
          <w:p w14:paraId="1FB5917A" w14:textId="77777777" w:rsidR="00820224" w:rsidRPr="00820224" w:rsidRDefault="00820224" w:rsidP="00D02C22">
            <w:r w:rsidRPr="00820224">
              <w:t>0.24</w:t>
            </w:r>
          </w:p>
        </w:tc>
        <w:tc>
          <w:tcPr>
            <w:tcW w:w="1842" w:type="dxa"/>
            <w:shd w:val="clear" w:color="auto" w:fill="auto"/>
            <w:tcMar>
              <w:top w:w="15" w:type="dxa"/>
              <w:left w:w="15" w:type="dxa"/>
              <w:bottom w:w="0" w:type="dxa"/>
              <w:right w:w="15" w:type="dxa"/>
            </w:tcMar>
            <w:vAlign w:val="center"/>
            <w:hideMark/>
          </w:tcPr>
          <w:p w14:paraId="139AB384" w14:textId="77777777" w:rsidR="00820224" w:rsidRPr="00820224" w:rsidRDefault="00820224" w:rsidP="00D02C22">
            <w:r w:rsidRPr="00820224">
              <w:t>0.20</w:t>
            </w:r>
          </w:p>
        </w:tc>
        <w:tc>
          <w:tcPr>
            <w:tcW w:w="1541" w:type="dxa"/>
            <w:shd w:val="clear" w:color="auto" w:fill="auto"/>
            <w:tcMar>
              <w:top w:w="15" w:type="dxa"/>
              <w:left w:w="15" w:type="dxa"/>
              <w:bottom w:w="0" w:type="dxa"/>
              <w:right w:w="15" w:type="dxa"/>
            </w:tcMar>
            <w:vAlign w:val="bottom"/>
            <w:hideMark/>
          </w:tcPr>
          <w:p w14:paraId="30E5794A" w14:textId="77777777" w:rsidR="00820224" w:rsidRPr="00820224" w:rsidRDefault="00820224" w:rsidP="00D02C22">
            <w:r w:rsidRPr="00820224">
              <w:t>***</w:t>
            </w:r>
          </w:p>
        </w:tc>
      </w:tr>
      <w:tr w:rsidR="00D02C22" w:rsidRPr="00820224" w14:paraId="32C4E259"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13D6B495" w14:textId="77777777" w:rsidR="00820224" w:rsidRPr="00820224" w:rsidRDefault="00820224" w:rsidP="00D02C22">
            <w:r w:rsidRPr="00820224">
              <w:t>Social Sciences</w:t>
            </w:r>
          </w:p>
        </w:tc>
        <w:tc>
          <w:tcPr>
            <w:tcW w:w="1704" w:type="dxa"/>
            <w:shd w:val="clear" w:color="auto" w:fill="auto"/>
            <w:tcMar>
              <w:top w:w="15" w:type="dxa"/>
              <w:left w:w="15" w:type="dxa"/>
              <w:bottom w:w="0" w:type="dxa"/>
              <w:right w:w="15" w:type="dxa"/>
            </w:tcMar>
            <w:vAlign w:val="center"/>
            <w:hideMark/>
          </w:tcPr>
          <w:p w14:paraId="2EDA7F16" w14:textId="77777777" w:rsidR="00820224" w:rsidRPr="00820224" w:rsidRDefault="00820224" w:rsidP="00D02C22">
            <w:r w:rsidRPr="00820224">
              <w:t>0.29</w:t>
            </w:r>
          </w:p>
        </w:tc>
        <w:tc>
          <w:tcPr>
            <w:tcW w:w="1842" w:type="dxa"/>
            <w:shd w:val="clear" w:color="auto" w:fill="auto"/>
            <w:tcMar>
              <w:top w:w="15" w:type="dxa"/>
              <w:left w:w="15" w:type="dxa"/>
              <w:bottom w:w="0" w:type="dxa"/>
              <w:right w:w="15" w:type="dxa"/>
            </w:tcMar>
            <w:vAlign w:val="center"/>
            <w:hideMark/>
          </w:tcPr>
          <w:p w14:paraId="0F4A495C" w14:textId="77777777" w:rsidR="00820224" w:rsidRPr="00820224" w:rsidRDefault="00820224" w:rsidP="00D02C22">
            <w:r w:rsidRPr="00820224">
              <w:t>0.30</w:t>
            </w:r>
          </w:p>
        </w:tc>
        <w:tc>
          <w:tcPr>
            <w:tcW w:w="1541" w:type="dxa"/>
            <w:shd w:val="clear" w:color="auto" w:fill="auto"/>
            <w:tcMar>
              <w:top w:w="15" w:type="dxa"/>
              <w:left w:w="15" w:type="dxa"/>
              <w:bottom w:w="0" w:type="dxa"/>
              <w:right w:w="15" w:type="dxa"/>
            </w:tcMar>
            <w:vAlign w:val="bottom"/>
            <w:hideMark/>
          </w:tcPr>
          <w:p w14:paraId="2FED0426" w14:textId="77777777" w:rsidR="00820224" w:rsidRPr="00820224" w:rsidRDefault="00820224" w:rsidP="00D02C22">
            <w:r w:rsidRPr="00820224">
              <w:t>**</w:t>
            </w:r>
          </w:p>
        </w:tc>
      </w:tr>
      <w:tr w:rsidR="00D02C22" w:rsidRPr="00820224" w14:paraId="1C6F9C58"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462C412E" w14:textId="77777777" w:rsidR="00820224" w:rsidRPr="00820224" w:rsidRDefault="00820224" w:rsidP="00D02C22">
            <w:r w:rsidRPr="00820224">
              <w:t>Health science</w:t>
            </w:r>
          </w:p>
        </w:tc>
        <w:tc>
          <w:tcPr>
            <w:tcW w:w="1704" w:type="dxa"/>
            <w:shd w:val="clear" w:color="auto" w:fill="auto"/>
            <w:tcMar>
              <w:top w:w="15" w:type="dxa"/>
              <w:left w:w="15" w:type="dxa"/>
              <w:bottom w:w="0" w:type="dxa"/>
              <w:right w:w="15" w:type="dxa"/>
            </w:tcMar>
            <w:vAlign w:val="center"/>
            <w:hideMark/>
          </w:tcPr>
          <w:p w14:paraId="2ACD5B2D" w14:textId="77777777" w:rsidR="00820224" w:rsidRPr="00820224" w:rsidRDefault="00820224" w:rsidP="00D02C22">
            <w:r w:rsidRPr="00820224">
              <w:t>0.20</w:t>
            </w:r>
          </w:p>
        </w:tc>
        <w:tc>
          <w:tcPr>
            <w:tcW w:w="1842" w:type="dxa"/>
            <w:shd w:val="clear" w:color="auto" w:fill="auto"/>
            <w:tcMar>
              <w:top w:w="15" w:type="dxa"/>
              <w:left w:w="15" w:type="dxa"/>
              <w:bottom w:w="0" w:type="dxa"/>
              <w:right w:w="15" w:type="dxa"/>
            </w:tcMar>
            <w:vAlign w:val="center"/>
            <w:hideMark/>
          </w:tcPr>
          <w:p w14:paraId="232FA28B" w14:textId="77777777" w:rsidR="00820224" w:rsidRPr="00820224" w:rsidRDefault="00820224" w:rsidP="00D02C22">
            <w:r w:rsidRPr="00820224">
              <w:t>0.17</w:t>
            </w:r>
          </w:p>
        </w:tc>
        <w:tc>
          <w:tcPr>
            <w:tcW w:w="1541" w:type="dxa"/>
            <w:shd w:val="clear" w:color="auto" w:fill="auto"/>
            <w:tcMar>
              <w:top w:w="15" w:type="dxa"/>
              <w:left w:w="15" w:type="dxa"/>
              <w:bottom w:w="0" w:type="dxa"/>
              <w:right w:w="15" w:type="dxa"/>
            </w:tcMar>
            <w:vAlign w:val="bottom"/>
            <w:hideMark/>
          </w:tcPr>
          <w:p w14:paraId="757B7620" w14:textId="77777777" w:rsidR="00820224" w:rsidRPr="00820224" w:rsidRDefault="00820224" w:rsidP="00D02C22">
            <w:r w:rsidRPr="00820224">
              <w:t>***</w:t>
            </w:r>
          </w:p>
        </w:tc>
      </w:tr>
      <w:tr w:rsidR="00D02C22" w:rsidRPr="00820224" w14:paraId="13FD76B2"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00CD930C" w14:textId="77777777" w:rsidR="00820224" w:rsidRPr="00820224" w:rsidRDefault="00820224" w:rsidP="00D02C22">
            <w:r w:rsidRPr="00820224">
              <w:t>Life Sciences</w:t>
            </w:r>
          </w:p>
        </w:tc>
        <w:tc>
          <w:tcPr>
            <w:tcW w:w="1704" w:type="dxa"/>
            <w:shd w:val="clear" w:color="auto" w:fill="auto"/>
            <w:tcMar>
              <w:top w:w="15" w:type="dxa"/>
              <w:left w:w="15" w:type="dxa"/>
              <w:bottom w:w="0" w:type="dxa"/>
              <w:right w:w="15" w:type="dxa"/>
            </w:tcMar>
            <w:vAlign w:val="center"/>
            <w:hideMark/>
          </w:tcPr>
          <w:p w14:paraId="698ED3E0" w14:textId="77777777" w:rsidR="00820224" w:rsidRPr="00820224" w:rsidRDefault="00820224" w:rsidP="00D02C22">
            <w:r w:rsidRPr="00820224">
              <w:t>0.14</w:t>
            </w:r>
          </w:p>
        </w:tc>
        <w:tc>
          <w:tcPr>
            <w:tcW w:w="1842" w:type="dxa"/>
            <w:shd w:val="clear" w:color="auto" w:fill="auto"/>
            <w:tcMar>
              <w:top w:w="15" w:type="dxa"/>
              <w:left w:w="15" w:type="dxa"/>
              <w:bottom w:w="0" w:type="dxa"/>
              <w:right w:w="15" w:type="dxa"/>
            </w:tcMar>
            <w:vAlign w:val="center"/>
            <w:hideMark/>
          </w:tcPr>
          <w:p w14:paraId="27633223" w14:textId="77777777" w:rsidR="00820224" w:rsidRPr="00820224" w:rsidRDefault="00820224" w:rsidP="00D02C22">
            <w:r w:rsidRPr="00820224">
              <w:t>0.16</w:t>
            </w:r>
          </w:p>
        </w:tc>
        <w:tc>
          <w:tcPr>
            <w:tcW w:w="1541" w:type="dxa"/>
            <w:shd w:val="clear" w:color="auto" w:fill="auto"/>
            <w:tcMar>
              <w:top w:w="15" w:type="dxa"/>
              <w:left w:w="15" w:type="dxa"/>
              <w:bottom w:w="0" w:type="dxa"/>
              <w:right w:w="15" w:type="dxa"/>
            </w:tcMar>
            <w:vAlign w:val="bottom"/>
            <w:hideMark/>
          </w:tcPr>
          <w:p w14:paraId="23872E07" w14:textId="77777777" w:rsidR="00820224" w:rsidRPr="00820224" w:rsidRDefault="00820224" w:rsidP="00D02C22">
            <w:r w:rsidRPr="00820224">
              <w:t>**</w:t>
            </w:r>
          </w:p>
        </w:tc>
      </w:tr>
      <w:tr w:rsidR="00D02C22" w:rsidRPr="00820224" w14:paraId="66391192"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7DBF4E52" w14:textId="77777777" w:rsidR="00820224" w:rsidRPr="00820224" w:rsidRDefault="00820224" w:rsidP="00D02C22">
            <w:r w:rsidRPr="00820224">
              <w:t>Arts/Humanities</w:t>
            </w:r>
          </w:p>
        </w:tc>
        <w:tc>
          <w:tcPr>
            <w:tcW w:w="1704" w:type="dxa"/>
            <w:shd w:val="clear" w:color="auto" w:fill="auto"/>
            <w:tcMar>
              <w:top w:w="15" w:type="dxa"/>
              <w:left w:w="15" w:type="dxa"/>
              <w:bottom w:w="0" w:type="dxa"/>
              <w:right w:w="15" w:type="dxa"/>
            </w:tcMar>
            <w:vAlign w:val="center"/>
            <w:hideMark/>
          </w:tcPr>
          <w:p w14:paraId="2F2CA0D1" w14:textId="77777777" w:rsidR="00820224" w:rsidRPr="00820224" w:rsidRDefault="00820224" w:rsidP="00D02C22">
            <w:r w:rsidRPr="00820224">
              <w:t>0.15</w:t>
            </w:r>
          </w:p>
        </w:tc>
        <w:tc>
          <w:tcPr>
            <w:tcW w:w="1842" w:type="dxa"/>
            <w:shd w:val="clear" w:color="auto" w:fill="auto"/>
            <w:tcMar>
              <w:top w:w="15" w:type="dxa"/>
              <w:left w:w="15" w:type="dxa"/>
              <w:bottom w:w="0" w:type="dxa"/>
              <w:right w:w="15" w:type="dxa"/>
            </w:tcMar>
            <w:vAlign w:val="center"/>
            <w:hideMark/>
          </w:tcPr>
          <w:p w14:paraId="5E2243AC" w14:textId="77777777" w:rsidR="00820224" w:rsidRPr="00820224" w:rsidRDefault="00820224" w:rsidP="00D02C22">
            <w:r w:rsidRPr="00820224">
              <w:t>0.12</w:t>
            </w:r>
          </w:p>
        </w:tc>
        <w:tc>
          <w:tcPr>
            <w:tcW w:w="1541" w:type="dxa"/>
            <w:shd w:val="clear" w:color="auto" w:fill="auto"/>
            <w:tcMar>
              <w:top w:w="15" w:type="dxa"/>
              <w:left w:w="15" w:type="dxa"/>
              <w:bottom w:w="0" w:type="dxa"/>
              <w:right w:w="15" w:type="dxa"/>
            </w:tcMar>
            <w:vAlign w:val="bottom"/>
            <w:hideMark/>
          </w:tcPr>
          <w:p w14:paraId="638AFDD7" w14:textId="77777777" w:rsidR="00820224" w:rsidRPr="00820224" w:rsidRDefault="00820224" w:rsidP="00D02C22">
            <w:r w:rsidRPr="00820224">
              <w:t>***</w:t>
            </w:r>
          </w:p>
        </w:tc>
      </w:tr>
      <w:tr w:rsidR="00D02C22" w:rsidRPr="00820224" w14:paraId="4384ECDD"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36640088" w14:textId="77777777" w:rsidR="00820224" w:rsidRPr="00820224" w:rsidRDefault="00820224" w:rsidP="00D02C22">
            <w:r w:rsidRPr="00820224">
              <w:t>Physics/Maths</w:t>
            </w:r>
          </w:p>
        </w:tc>
        <w:tc>
          <w:tcPr>
            <w:tcW w:w="1704" w:type="dxa"/>
            <w:shd w:val="clear" w:color="auto" w:fill="auto"/>
            <w:tcMar>
              <w:top w:w="15" w:type="dxa"/>
              <w:left w:w="15" w:type="dxa"/>
              <w:bottom w:w="0" w:type="dxa"/>
              <w:right w:w="15" w:type="dxa"/>
            </w:tcMar>
            <w:vAlign w:val="center"/>
            <w:hideMark/>
          </w:tcPr>
          <w:p w14:paraId="357529DD" w14:textId="77777777" w:rsidR="00820224" w:rsidRPr="00820224" w:rsidRDefault="00820224" w:rsidP="00D02C22">
            <w:r w:rsidRPr="00820224">
              <w:t>0.15</w:t>
            </w:r>
          </w:p>
        </w:tc>
        <w:tc>
          <w:tcPr>
            <w:tcW w:w="1842" w:type="dxa"/>
            <w:shd w:val="clear" w:color="auto" w:fill="auto"/>
            <w:tcMar>
              <w:top w:w="15" w:type="dxa"/>
              <w:left w:w="15" w:type="dxa"/>
              <w:bottom w:w="0" w:type="dxa"/>
              <w:right w:w="15" w:type="dxa"/>
            </w:tcMar>
            <w:vAlign w:val="center"/>
            <w:hideMark/>
          </w:tcPr>
          <w:p w14:paraId="6AD3CF8F" w14:textId="77777777" w:rsidR="00820224" w:rsidRPr="00820224" w:rsidRDefault="00820224" w:rsidP="00D02C22">
            <w:r w:rsidRPr="00820224">
              <w:t>0.14</w:t>
            </w:r>
          </w:p>
        </w:tc>
        <w:tc>
          <w:tcPr>
            <w:tcW w:w="1541" w:type="dxa"/>
            <w:shd w:val="clear" w:color="auto" w:fill="auto"/>
            <w:tcMar>
              <w:top w:w="15" w:type="dxa"/>
              <w:left w:w="15" w:type="dxa"/>
              <w:bottom w:w="0" w:type="dxa"/>
              <w:right w:w="15" w:type="dxa"/>
            </w:tcMar>
            <w:vAlign w:val="bottom"/>
            <w:hideMark/>
          </w:tcPr>
          <w:p w14:paraId="5ACE9DB4" w14:textId="77777777" w:rsidR="00820224" w:rsidRPr="00820224" w:rsidRDefault="00820224" w:rsidP="00D02C22"/>
        </w:tc>
      </w:tr>
      <w:tr w:rsidR="00D02C22" w:rsidRPr="00820224" w14:paraId="64DF30DB"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5D7FB865" w14:textId="77777777" w:rsidR="00820224" w:rsidRPr="00820224" w:rsidRDefault="00820224" w:rsidP="00D02C22">
            <w:r w:rsidRPr="00820224">
              <w:t>Engineering</w:t>
            </w:r>
          </w:p>
        </w:tc>
        <w:tc>
          <w:tcPr>
            <w:tcW w:w="1704" w:type="dxa"/>
            <w:shd w:val="clear" w:color="auto" w:fill="auto"/>
            <w:tcMar>
              <w:top w:w="15" w:type="dxa"/>
              <w:left w:w="15" w:type="dxa"/>
              <w:bottom w:w="0" w:type="dxa"/>
              <w:right w:w="15" w:type="dxa"/>
            </w:tcMar>
            <w:vAlign w:val="center"/>
            <w:hideMark/>
          </w:tcPr>
          <w:p w14:paraId="07D1D9EE" w14:textId="77777777" w:rsidR="00820224" w:rsidRPr="00820224" w:rsidRDefault="00820224" w:rsidP="00D02C22">
            <w:r w:rsidRPr="00820224">
              <w:t>0.07</w:t>
            </w:r>
          </w:p>
        </w:tc>
        <w:tc>
          <w:tcPr>
            <w:tcW w:w="1842" w:type="dxa"/>
            <w:shd w:val="clear" w:color="auto" w:fill="auto"/>
            <w:tcMar>
              <w:top w:w="15" w:type="dxa"/>
              <w:left w:w="15" w:type="dxa"/>
              <w:bottom w:w="0" w:type="dxa"/>
              <w:right w:w="15" w:type="dxa"/>
            </w:tcMar>
            <w:vAlign w:val="center"/>
            <w:hideMark/>
          </w:tcPr>
          <w:p w14:paraId="18A22DC5" w14:textId="77777777" w:rsidR="00820224" w:rsidRPr="00820224" w:rsidRDefault="00820224" w:rsidP="00D02C22">
            <w:r w:rsidRPr="00820224">
              <w:t>0.11</w:t>
            </w:r>
          </w:p>
        </w:tc>
        <w:tc>
          <w:tcPr>
            <w:tcW w:w="1541" w:type="dxa"/>
            <w:shd w:val="clear" w:color="auto" w:fill="auto"/>
            <w:tcMar>
              <w:top w:w="15" w:type="dxa"/>
              <w:left w:w="15" w:type="dxa"/>
              <w:bottom w:w="0" w:type="dxa"/>
              <w:right w:w="15" w:type="dxa"/>
            </w:tcMar>
            <w:vAlign w:val="bottom"/>
            <w:hideMark/>
          </w:tcPr>
          <w:p w14:paraId="20C29BC9" w14:textId="77777777" w:rsidR="00820224" w:rsidRPr="00820224" w:rsidRDefault="00820224" w:rsidP="00D02C22">
            <w:r w:rsidRPr="00820224">
              <w:t>***</w:t>
            </w:r>
          </w:p>
        </w:tc>
      </w:tr>
      <w:tr w:rsidR="00D02C22" w:rsidRPr="00820224" w14:paraId="19BCCF67"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61621C4C" w14:textId="77777777" w:rsidR="00820224" w:rsidRPr="00820224" w:rsidRDefault="00820224" w:rsidP="00D02C22">
            <w:r w:rsidRPr="00820224">
              <w:t>Basic research</w:t>
            </w:r>
          </w:p>
        </w:tc>
        <w:tc>
          <w:tcPr>
            <w:tcW w:w="1704" w:type="dxa"/>
            <w:shd w:val="clear" w:color="auto" w:fill="auto"/>
            <w:tcMar>
              <w:top w:w="15" w:type="dxa"/>
              <w:left w:w="15" w:type="dxa"/>
              <w:bottom w:w="0" w:type="dxa"/>
              <w:right w:w="15" w:type="dxa"/>
            </w:tcMar>
            <w:vAlign w:val="center"/>
            <w:hideMark/>
          </w:tcPr>
          <w:p w14:paraId="0BE4682E" w14:textId="77777777" w:rsidR="00820224" w:rsidRPr="00820224" w:rsidRDefault="00820224" w:rsidP="00D02C22">
            <w:r w:rsidRPr="00820224">
              <w:t>0.29</w:t>
            </w:r>
          </w:p>
        </w:tc>
        <w:tc>
          <w:tcPr>
            <w:tcW w:w="1842" w:type="dxa"/>
            <w:shd w:val="clear" w:color="auto" w:fill="auto"/>
            <w:tcMar>
              <w:top w:w="15" w:type="dxa"/>
              <w:left w:w="15" w:type="dxa"/>
              <w:bottom w:w="0" w:type="dxa"/>
              <w:right w:w="15" w:type="dxa"/>
            </w:tcMar>
            <w:vAlign w:val="center"/>
            <w:hideMark/>
          </w:tcPr>
          <w:p w14:paraId="547D54A6" w14:textId="77777777" w:rsidR="00820224" w:rsidRPr="00820224" w:rsidRDefault="00820224" w:rsidP="00D02C22">
            <w:r w:rsidRPr="00820224">
              <w:t>0.24</w:t>
            </w:r>
          </w:p>
        </w:tc>
        <w:tc>
          <w:tcPr>
            <w:tcW w:w="1541" w:type="dxa"/>
            <w:shd w:val="clear" w:color="auto" w:fill="auto"/>
            <w:tcMar>
              <w:top w:w="15" w:type="dxa"/>
              <w:left w:w="15" w:type="dxa"/>
              <w:bottom w:w="0" w:type="dxa"/>
              <w:right w:w="15" w:type="dxa"/>
            </w:tcMar>
            <w:vAlign w:val="bottom"/>
            <w:hideMark/>
          </w:tcPr>
          <w:p w14:paraId="67253706" w14:textId="77777777" w:rsidR="00820224" w:rsidRPr="00820224" w:rsidRDefault="00820224" w:rsidP="00D02C22">
            <w:r w:rsidRPr="00820224">
              <w:t>***</w:t>
            </w:r>
          </w:p>
        </w:tc>
      </w:tr>
      <w:tr w:rsidR="00D02C22" w:rsidRPr="00820224" w14:paraId="07C04514"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7B6D5D4F" w14:textId="77777777" w:rsidR="00820224" w:rsidRPr="00820224" w:rsidRDefault="00820224" w:rsidP="00D02C22">
            <w:r w:rsidRPr="00820224">
              <w:t>User-inspired</w:t>
            </w:r>
          </w:p>
        </w:tc>
        <w:tc>
          <w:tcPr>
            <w:tcW w:w="1704" w:type="dxa"/>
            <w:shd w:val="clear" w:color="auto" w:fill="auto"/>
            <w:tcMar>
              <w:top w:w="15" w:type="dxa"/>
              <w:left w:w="15" w:type="dxa"/>
              <w:bottom w:w="0" w:type="dxa"/>
              <w:right w:w="15" w:type="dxa"/>
            </w:tcMar>
            <w:vAlign w:val="center"/>
            <w:hideMark/>
          </w:tcPr>
          <w:p w14:paraId="2DA19710" w14:textId="77777777" w:rsidR="00820224" w:rsidRPr="00820224" w:rsidRDefault="00820224" w:rsidP="00D02C22">
            <w:r w:rsidRPr="00820224">
              <w:t>0.25</w:t>
            </w:r>
          </w:p>
        </w:tc>
        <w:tc>
          <w:tcPr>
            <w:tcW w:w="1842" w:type="dxa"/>
            <w:shd w:val="clear" w:color="auto" w:fill="auto"/>
            <w:tcMar>
              <w:top w:w="15" w:type="dxa"/>
              <w:left w:w="15" w:type="dxa"/>
              <w:bottom w:w="0" w:type="dxa"/>
              <w:right w:w="15" w:type="dxa"/>
            </w:tcMar>
            <w:vAlign w:val="center"/>
            <w:hideMark/>
          </w:tcPr>
          <w:p w14:paraId="2B2D01ED" w14:textId="77777777" w:rsidR="00820224" w:rsidRPr="00820224" w:rsidRDefault="00820224" w:rsidP="00D02C22">
            <w:r w:rsidRPr="00820224">
              <w:t>0.29</w:t>
            </w:r>
          </w:p>
        </w:tc>
        <w:tc>
          <w:tcPr>
            <w:tcW w:w="1541" w:type="dxa"/>
            <w:shd w:val="clear" w:color="auto" w:fill="auto"/>
            <w:tcMar>
              <w:top w:w="15" w:type="dxa"/>
              <w:left w:w="15" w:type="dxa"/>
              <w:bottom w:w="0" w:type="dxa"/>
              <w:right w:w="15" w:type="dxa"/>
            </w:tcMar>
            <w:vAlign w:val="bottom"/>
            <w:hideMark/>
          </w:tcPr>
          <w:p w14:paraId="78AFB504" w14:textId="77777777" w:rsidR="00820224" w:rsidRPr="00820224" w:rsidRDefault="00820224" w:rsidP="00D02C22">
            <w:r w:rsidRPr="00820224">
              <w:t>***</w:t>
            </w:r>
          </w:p>
        </w:tc>
      </w:tr>
      <w:tr w:rsidR="00D02C22" w:rsidRPr="00820224" w14:paraId="0355A8A3"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7626D605" w14:textId="77777777" w:rsidR="00820224" w:rsidRPr="00820224" w:rsidRDefault="00820224" w:rsidP="00D02C22">
            <w:r w:rsidRPr="00820224">
              <w:t>Applied research</w:t>
            </w:r>
          </w:p>
        </w:tc>
        <w:tc>
          <w:tcPr>
            <w:tcW w:w="1704" w:type="dxa"/>
            <w:shd w:val="clear" w:color="auto" w:fill="auto"/>
            <w:tcMar>
              <w:top w:w="15" w:type="dxa"/>
              <w:left w:w="15" w:type="dxa"/>
              <w:bottom w:w="0" w:type="dxa"/>
              <w:right w:w="15" w:type="dxa"/>
            </w:tcMar>
            <w:vAlign w:val="center"/>
            <w:hideMark/>
          </w:tcPr>
          <w:p w14:paraId="4AED8224" w14:textId="77777777" w:rsidR="00820224" w:rsidRPr="00820224" w:rsidRDefault="00820224" w:rsidP="00D02C22">
            <w:r w:rsidRPr="00820224">
              <w:t>0.42</w:t>
            </w:r>
          </w:p>
        </w:tc>
        <w:tc>
          <w:tcPr>
            <w:tcW w:w="1842" w:type="dxa"/>
            <w:shd w:val="clear" w:color="auto" w:fill="auto"/>
            <w:tcMar>
              <w:top w:w="15" w:type="dxa"/>
              <w:left w:w="15" w:type="dxa"/>
              <w:bottom w:w="0" w:type="dxa"/>
              <w:right w:w="15" w:type="dxa"/>
            </w:tcMar>
            <w:vAlign w:val="center"/>
            <w:hideMark/>
          </w:tcPr>
          <w:p w14:paraId="14A67087" w14:textId="77777777" w:rsidR="00820224" w:rsidRPr="00820224" w:rsidRDefault="00820224" w:rsidP="00D02C22">
            <w:r w:rsidRPr="00820224">
              <w:t>0.46</w:t>
            </w:r>
          </w:p>
        </w:tc>
        <w:tc>
          <w:tcPr>
            <w:tcW w:w="1541" w:type="dxa"/>
            <w:shd w:val="clear" w:color="auto" w:fill="auto"/>
            <w:tcMar>
              <w:top w:w="15" w:type="dxa"/>
              <w:left w:w="15" w:type="dxa"/>
              <w:bottom w:w="0" w:type="dxa"/>
              <w:right w:w="15" w:type="dxa"/>
            </w:tcMar>
            <w:vAlign w:val="bottom"/>
            <w:hideMark/>
          </w:tcPr>
          <w:p w14:paraId="5037AF87" w14:textId="77777777" w:rsidR="00820224" w:rsidRPr="00820224" w:rsidRDefault="00820224" w:rsidP="00D02C22">
            <w:r w:rsidRPr="00820224">
              <w:t>***</w:t>
            </w:r>
          </w:p>
        </w:tc>
      </w:tr>
      <w:tr w:rsidR="00D02C22" w:rsidRPr="00820224" w14:paraId="2C8CF64C"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0833197C" w14:textId="77777777" w:rsidR="00820224" w:rsidRPr="00820224" w:rsidRDefault="00820224" w:rsidP="00D02C22">
            <w:r w:rsidRPr="00820224">
              <w:t>Industry experience</w:t>
            </w:r>
          </w:p>
        </w:tc>
        <w:tc>
          <w:tcPr>
            <w:tcW w:w="1704" w:type="dxa"/>
            <w:shd w:val="clear" w:color="auto" w:fill="auto"/>
            <w:tcMar>
              <w:top w:w="15" w:type="dxa"/>
              <w:left w:w="15" w:type="dxa"/>
              <w:bottom w:w="0" w:type="dxa"/>
              <w:right w:w="15" w:type="dxa"/>
            </w:tcMar>
            <w:vAlign w:val="bottom"/>
            <w:hideMark/>
          </w:tcPr>
          <w:p w14:paraId="2B655A3A" w14:textId="77777777" w:rsidR="00820224" w:rsidRPr="00820224" w:rsidRDefault="00820224" w:rsidP="00D02C22">
            <w:r w:rsidRPr="00820224">
              <w:t>0.39</w:t>
            </w:r>
          </w:p>
        </w:tc>
        <w:tc>
          <w:tcPr>
            <w:tcW w:w="1842" w:type="dxa"/>
            <w:shd w:val="clear" w:color="auto" w:fill="auto"/>
            <w:tcMar>
              <w:top w:w="15" w:type="dxa"/>
              <w:left w:w="15" w:type="dxa"/>
              <w:bottom w:w="0" w:type="dxa"/>
              <w:right w:w="15" w:type="dxa"/>
            </w:tcMar>
            <w:vAlign w:val="bottom"/>
            <w:hideMark/>
          </w:tcPr>
          <w:p w14:paraId="6A43350A" w14:textId="77777777" w:rsidR="00820224" w:rsidRPr="00820224" w:rsidRDefault="00820224" w:rsidP="00D02C22">
            <w:r w:rsidRPr="00820224">
              <w:t>0.44</w:t>
            </w:r>
          </w:p>
        </w:tc>
        <w:tc>
          <w:tcPr>
            <w:tcW w:w="1541" w:type="dxa"/>
            <w:shd w:val="clear" w:color="auto" w:fill="auto"/>
            <w:tcMar>
              <w:top w:w="15" w:type="dxa"/>
              <w:left w:w="15" w:type="dxa"/>
              <w:bottom w:w="0" w:type="dxa"/>
              <w:right w:w="15" w:type="dxa"/>
            </w:tcMar>
            <w:vAlign w:val="bottom"/>
            <w:hideMark/>
          </w:tcPr>
          <w:p w14:paraId="2F56B5E6" w14:textId="77777777" w:rsidR="00820224" w:rsidRPr="00820224" w:rsidRDefault="00820224" w:rsidP="00D02C22">
            <w:r w:rsidRPr="00820224">
              <w:t>***</w:t>
            </w:r>
          </w:p>
        </w:tc>
      </w:tr>
      <w:tr w:rsidR="00D02C22" w:rsidRPr="00820224" w14:paraId="4D522698"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36D18EDD" w14:textId="77777777" w:rsidR="00820224" w:rsidRPr="00820224" w:rsidRDefault="00820224" w:rsidP="00D02C22">
            <w:r w:rsidRPr="00820224">
              <w:t>UKRI PI Funding</w:t>
            </w:r>
          </w:p>
        </w:tc>
        <w:tc>
          <w:tcPr>
            <w:tcW w:w="1704" w:type="dxa"/>
            <w:shd w:val="clear" w:color="auto" w:fill="auto"/>
            <w:tcMar>
              <w:top w:w="15" w:type="dxa"/>
              <w:left w:w="15" w:type="dxa"/>
              <w:bottom w:w="0" w:type="dxa"/>
              <w:right w:w="15" w:type="dxa"/>
            </w:tcMar>
            <w:vAlign w:val="center"/>
            <w:hideMark/>
          </w:tcPr>
          <w:p w14:paraId="2062722E" w14:textId="77777777" w:rsidR="00820224" w:rsidRPr="00820224" w:rsidRDefault="00820224" w:rsidP="00D02C22">
            <w:r w:rsidRPr="00820224">
              <w:t>0.14</w:t>
            </w:r>
          </w:p>
        </w:tc>
        <w:tc>
          <w:tcPr>
            <w:tcW w:w="1842" w:type="dxa"/>
            <w:shd w:val="clear" w:color="auto" w:fill="auto"/>
            <w:tcMar>
              <w:top w:w="15" w:type="dxa"/>
              <w:left w:w="15" w:type="dxa"/>
              <w:bottom w:w="0" w:type="dxa"/>
              <w:right w:w="15" w:type="dxa"/>
            </w:tcMar>
            <w:vAlign w:val="center"/>
            <w:hideMark/>
          </w:tcPr>
          <w:p w14:paraId="7BC30388" w14:textId="77777777" w:rsidR="00820224" w:rsidRPr="00820224" w:rsidRDefault="00820224" w:rsidP="00D02C22">
            <w:r w:rsidRPr="00820224">
              <w:t>0.13</w:t>
            </w:r>
          </w:p>
        </w:tc>
        <w:tc>
          <w:tcPr>
            <w:tcW w:w="1541" w:type="dxa"/>
            <w:shd w:val="clear" w:color="auto" w:fill="auto"/>
            <w:tcMar>
              <w:top w:w="15" w:type="dxa"/>
              <w:left w:w="15" w:type="dxa"/>
              <w:bottom w:w="0" w:type="dxa"/>
              <w:right w:w="15" w:type="dxa"/>
            </w:tcMar>
            <w:vAlign w:val="bottom"/>
            <w:hideMark/>
          </w:tcPr>
          <w:p w14:paraId="036B7AC9" w14:textId="77777777" w:rsidR="00820224" w:rsidRPr="00820224" w:rsidRDefault="00820224" w:rsidP="00D02C22"/>
        </w:tc>
      </w:tr>
      <w:tr w:rsidR="00D02C22" w:rsidRPr="00820224" w14:paraId="3DB653F6"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639F6A30" w14:textId="77777777" w:rsidR="00820224" w:rsidRPr="00820224" w:rsidRDefault="00820224" w:rsidP="00D02C22">
            <w:r w:rsidRPr="00820224">
              <w:t>Publications</w:t>
            </w:r>
          </w:p>
        </w:tc>
        <w:tc>
          <w:tcPr>
            <w:tcW w:w="1704" w:type="dxa"/>
            <w:shd w:val="clear" w:color="auto" w:fill="auto"/>
            <w:tcMar>
              <w:top w:w="15" w:type="dxa"/>
              <w:left w:w="15" w:type="dxa"/>
              <w:bottom w:w="0" w:type="dxa"/>
              <w:right w:w="15" w:type="dxa"/>
            </w:tcMar>
            <w:vAlign w:val="center"/>
            <w:hideMark/>
          </w:tcPr>
          <w:p w14:paraId="75B98C86" w14:textId="77777777" w:rsidR="00820224" w:rsidRPr="00820224" w:rsidRDefault="00820224" w:rsidP="00D02C22">
            <w:r w:rsidRPr="00820224">
              <w:t>7.75</w:t>
            </w:r>
          </w:p>
        </w:tc>
        <w:tc>
          <w:tcPr>
            <w:tcW w:w="1842" w:type="dxa"/>
            <w:shd w:val="clear" w:color="auto" w:fill="auto"/>
            <w:tcMar>
              <w:top w:w="15" w:type="dxa"/>
              <w:left w:w="15" w:type="dxa"/>
              <w:bottom w:w="0" w:type="dxa"/>
              <w:right w:w="15" w:type="dxa"/>
            </w:tcMar>
            <w:vAlign w:val="center"/>
            <w:hideMark/>
          </w:tcPr>
          <w:p w14:paraId="6A50EFC1" w14:textId="77777777" w:rsidR="00820224" w:rsidRPr="00820224" w:rsidRDefault="00820224" w:rsidP="00D02C22">
            <w:r w:rsidRPr="00820224">
              <w:t>7.84</w:t>
            </w:r>
          </w:p>
        </w:tc>
        <w:tc>
          <w:tcPr>
            <w:tcW w:w="1541" w:type="dxa"/>
            <w:shd w:val="clear" w:color="auto" w:fill="auto"/>
            <w:tcMar>
              <w:top w:w="15" w:type="dxa"/>
              <w:left w:w="15" w:type="dxa"/>
              <w:bottom w:w="0" w:type="dxa"/>
              <w:right w:w="15" w:type="dxa"/>
            </w:tcMar>
            <w:vAlign w:val="bottom"/>
            <w:hideMark/>
          </w:tcPr>
          <w:p w14:paraId="3E0AC1B7" w14:textId="77777777" w:rsidR="00820224" w:rsidRPr="00820224" w:rsidRDefault="00820224" w:rsidP="00D02C22"/>
        </w:tc>
      </w:tr>
      <w:tr w:rsidR="00D02C22" w:rsidRPr="00820224" w14:paraId="49FE8C19"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16BFCCFA" w14:textId="77777777" w:rsidR="00820224" w:rsidRPr="00820224" w:rsidRDefault="00820224" w:rsidP="00D02C22">
            <w:r w:rsidRPr="00820224">
              <w:t>Citations</w:t>
            </w:r>
          </w:p>
        </w:tc>
        <w:tc>
          <w:tcPr>
            <w:tcW w:w="1704" w:type="dxa"/>
            <w:shd w:val="clear" w:color="auto" w:fill="auto"/>
            <w:tcMar>
              <w:top w:w="15" w:type="dxa"/>
              <w:left w:w="15" w:type="dxa"/>
              <w:bottom w:w="0" w:type="dxa"/>
              <w:right w:w="15" w:type="dxa"/>
            </w:tcMar>
            <w:vAlign w:val="center"/>
            <w:hideMark/>
          </w:tcPr>
          <w:p w14:paraId="572746AB" w14:textId="77777777" w:rsidR="00820224" w:rsidRPr="00820224" w:rsidRDefault="00820224" w:rsidP="00D02C22">
            <w:r w:rsidRPr="00820224">
              <w:t>16.44</w:t>
            </w:r>
          </w:p>
        </w:tc>
        <w:tc>
          <w:tcPr>
            <w:tcW w:w="1842" w:type="dxa"/>
            <w:shd w:val="clear" w:color="auto" w:fill="auto"/>
            <w:tcMar>
              <w:top w:w="15" w:type="dxa"/>
              <w:left w:w="15" w:type="dxa"/>
              <w:bottom w:w="0" w:type="dxa"/>
              <w:right w:w="15" w:type="dxa"/>
            </w:tcMar>
            <w:vAlign w:val="center"/>
            <w:hideMark/>
          </w:tcPr>
          <w:p w14:paraId="18CF02A3" w14:textId="77777777" w:rsidR="00820224" w:rsidRPr="00820224" w:rsidRDefault="00820224" w:rsidP="00D02C22">
            <w:r w:rsidRPr="00820224">
              <w:t>15.11</w:t>
            </w:r>
          </w:p>
        </w:tc>
        <w:tc>
          <w:tcPr>
            <w:tcW w:w="1541" w:type="dxa"/>
            <w:shd w:val="clear" w:color="auto" w:fill="auto"/>
            <w:tcMar>
              <w:top w:w="15" w:type="dxa"/>
              <w:left w:w="15" w:type="dxa"/>
              <w:bottom w:w="0" w:type="dxa"/>
              <w:right w:w="15" w:type="dxa"/>
            </w:tcMar>
            <w:vAlign w:val="bottom"/>
            <w:hideMark/>
          </w:tcPr>
          <w:p w14:paraId="58A4EBFF" w14:textId="77777777" w:rsidR="00820224" w:rsidRPr="00820224" w:rsidRDefault="00820224" w:rsidP="00D02C22">
            <w:r w:rsidRPr="00820224">
              <w:t>***</w:t>
            </w:r>
          </w:p>
        </w:tc>
      </w:tr>
      <w:tr w:rsidR="00D02C22" w:rsidRPr="00820224" w14:paraId="7F4A9735"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45517B97" w14:textId="77777777" w:rsidR="00820224" w:rsidRPr="00820224" w:rsidRDefault="00820224" w:rsidP="00D02C22">
            <w:proofErr w:type="spellStart"/>
            <w:r w:rsidRPr="00820224">
              <w:t>Coauthors</w:t>
            </w:r>
            <w:proofErr w:type="spellEnd"/>
          </w:p>
        </w:tc>
        <w:tc>
          <w:tcPr>
            <w:tcW w:w="1704" w:type="dxa"/>
            <w:shd w:val="clear" w:color="auto" w:fill="auto"/>
            <w:tcMar>
              <w:top w:w="15" w:type="dxa"/>
              <w:left w:w="15" w:type="dxa"/>
              <w:bottom w:w="0" w:type="dxa"/>
              <w:right w:w="15" w:type="dxa"/>
            </w:tcMar>
            <w:vAlign w:val="center"/>
            <w:hideMark/>
          </w:tcPr>
          <w:p w14:paraId="61FF27E5" w14:textId="77777777" w:rsidR="00820224" w:rsidRPr="00820224" w:rsidRDefault="00820224" w:rsidP="00D02C22">
            <w:r w:rsidRPr="00820224">
              <w:t>4.22</w:t>
            </w:r>
          </w:p>
        </w:tc>
        <w:tc>
          <w:tcPr>
            <w:tcW w:w="1842" w:type="dxa"/>
            <w:shd w:val="clear" w:color="auto" w:fill="auto"/>
            <w:tcMar>
              <w:top w:w="15" w:type="dxa"/>
              <w:left w:w="15" w:type="dxa"/>
              <w:bottom w:w="0" w:type="dxa"/>
              <w:right w:w="15" w:type="dxa"/>
            </w:tcMar>
            <w:vAlign w:val="center"/>
            <w:hideMark/>
          </w:tcPr>
          <w:p w14:paraId="14AA6671" w14:textId="77777777" w:rsidR="00820224" w:rsidRPr="00820224" w:rsidRDefault="00820224" w:rsidP="00D02C22">
            <w:r w:rsidRPr="00820224">
              <w:t>4.09</w:t>
            </w:r>
          </w:p>
        </w:tc>
        <w:tc>
          <w:tcPr>
            <w:tcW w:w="1541" w:type="dxa"/>
            <w:shd w:val="clear" w:color="auto" w:fill="auto"/>
            <w:tcMar>
              <w:top w:w="15" w:type="dxa"/>
              <w:left w:w="15" w:type="dxa"/>
              <w:bottom w:w="0" w:type="dxa"/>
              <w:right w:w="15" w:type="dxa"/>
            </w:tcMar>
            <w:vAlign w:val="bottom"/>
            <w:hideMark/>
          </w:tcPr>
          <w:p w14:paraId="6828C641" w14:textId="77777777" w:rsidR="00820224" w:rsidRPr="00820224" w:rsidRDefault="00820224" w:rsidP="00D02C22"/>
        </w:tc>
      </w:tr>
      <w:tr w:rsidR="00D02C22" w:rsidRPr="00820224" w14:paraId="10715C52" w14:textId="77777777" w:rsidTr="0095000A">
        <w:trPr>
          <w:trHeight w:val="283"/>
          <w:jc w:val="center"/>
        </w:trPr>
        <w:tc>
          <w:tcPr>
            <w:tcW w:w="3253" w:type="dxa"/>
            <w:shd w:val="clear" w:color="auto" w:fill="auto"/>
            <w:tcMar>
              <w:top w:w="15" w:type="dxa"/>
              <w:left w:w="15" w:type="dxa"/>
              <w:bottom w:w="0" w:type="dxa"/>
              <w:right w:w="15" w:type="dxa"/>
            </w:tcMar>
            <w:vAlign w:val="bottom"/>
            <w:hideMark/>
          </w:tcPr>
          <w:p w14:paraId="6B97C629" w14:textId="77777777" w:rsidR="00820224" w:rsidRPr="00820224" w:rsidRDefault="00820224" w:rsidP="00D02C22">
            <w:r w:rsidRPr="00820224">
              <w:t>Uni REF score</w:t>
            </w:r>
          </w:p>
        </w:tc>
        <w:tc>
          <w:tcPr>
            <w:tcW w:w="1704" w:type="dxa"/>
            <w:shd w:val="clear" w:color="auto" w:fill="auto"/>
            <w:tcMar>
              <w:top w:w="15" w:type="dxa"/>
              <w:left w:w="15" w:type="dxa"/>
              <w:bottom w:w="0" w:type="dxa"/>
              <w:right w:w="15" w:type="dxa"/>
            </w:tcMar>
            <w:vAlign w:val="center"/>
            <w:hideMark/>
          </w:tcPr>
          <w:p w14:paraId="389A011D" w14:textId="77777777" w:rsidR="00820224" w:rsidRPr="00820224" w:rsidRDefault="00820224" w:rsidP="00D02C22">
            <w:r w:rsidRPr="00820224">
              <w:t>2.87</w:t>
            </w:r>
          </w:p>
        </w:tc>
        <w:tc>
          <w:tcPr>
            <w:tcW w:w="1842" w:type="dxa"/>
            <w:shd w:val="clear" w:color="auto" w:fill="auto"/>
            <w:tcMar>
              <w:top w:w="15" w:type="dxa"/>
              <w:left w:w="15" w:type="dxa"/>
              <w:bottom w:w="0" w:type="dxa"/>
              <w:right w:w="15" w:type="dxa"/>
            </w:tcMar>
            <w:vAlign w:val="center"/>
            <w:hideMark/>
          </w:tcPr>
          <w:p w14:paraId="072996DF" w14:textId="77777777" w:rsidR="00820224" w:rsidRPr="00820224" w:rsidRDefault="00820224" w:rsidP="00D02C22">
            <w:r w:rsidRPr="00820224">
              <w:t>2.83</w:t>
            </w:r>
          </w:p>
        </w:tc>
        <w:tc>
          <w:tcPr>
            <w:tcW w:w="1541" w:type="dxa"/>
            <w:shd w:val="clear" w:color="auto" w:fill="auto"/>
            <w:tcMar>
              <w:top w:w="15" w:type="dxa"/>
              <w:left w:w="15" w:type="dxa"/>
              <w:bottom w:w="0" w:type="dxa"/>
              <w:right w:w="15" w:type="dxa"/>
            </w:tcMar>
            <w:vAlign w:val="bottom"/>
            <w:hideMark/>
          </w:tcPr>
          <w:p w14:paraId="618D9A9D" w14:textId="77777777" w:rsidR="00820224" w:rsidRPr="00820224" w:rsidRDefault="00820224" w:rsidP="00D02C22">
            <w:r w:rsidRPr="00820224">
              <w:t>***</w:t>
            </w:r>
          </w:p>
        </w:tc>
      </w:tr>
      <w:tr w:rsidR="00D02C22" w:rsidRPr="00820224" w14:paraId="25B71C98" w14:textId="77777777" w:rsidTr="0095000A">
        <w:trPr>
          <w:trHeight w:val="41"/>
          <w:jc w:val="center"/>
        </w:trPr>
        <w:tc>
          <w:tcPr>
            <w:tcW w:w="3253" w:type="dxa"/>
            <w:shd w:val="clear" w:color="auto" w:fill="auto"/>
            <w:tcMar>
              <w:top w:w="15" w:type="dxa"/>
              <w:left w:w="15" w:type="dxa"/>
              <w:bottom w:w="0" w:type="dxa"/>
              <w:right w:w="15" w:type="dxa"/>
            </w:tcMar>
            <w:vAlign w:val="bottom"/>
            <w:hideMark/>
          </w:tcPr>
          <w:p w14:paraId="67EF5CC0" w14:textId="77777777" w:rsidR="00820224" w:rsidRPr="00820224" w:rsidRDefault="00820224" w:rsidP="00D02C22">
            <w:r w:rsidRPr="00820224">
              <w:t xml:space="preserve">Uni Research income </w:t>
            </w:r>
            <w:proofErr w:type="spellStart"/>
            <w:r w:rsidRPr="00820224">
              <w:t>pP</w:t>
            </w:r>
            <w:proofErr w:type="spellEnd"/>
          </w:p>
        </w:tc>
        <w:tc>
          <w:tcPr>
            <w:tcW w:w="1704" w:type="dxa"/>
            <w:shd w:val="clear" w:color="auto" w:fill="auto"/>
            <w:tcMar>
              <w:top w:w="15" w:type="dxa"/>
              <w:left w:w="15" w:type="dxa"/>
              <w:bottom w:w="0" w:type="dxa"/>
              <w:right w:w="15" w:type="dxa"/>
            </w:tcMar>
            <w:vAlign w:val="center"/>
            <w:hideMark/>
          </w:tcPr>
          <w:p w14:paraId="64C61CF8" w14:textId="77777777" w:rsidR="00820224" w:rsidRPr="00820224" w:rsidRDefault="00820224" w:rsidP="00D02C22">
            <w:r w:rsidRPr="00820224">
              <w:t>81.48</w:t>
            </w:r>
          </w:p>
        </w:tc>
        <w:tc>
          <w:tcPr>
            <w:tcW w:w="1842" w:type="dxa"/>
            <w:shd w:val="clear" w:color="auto" w:fill="auto"/>
            <w:tcMar>
              <w:top w:w="15" w:type="dxa"/>
              <w:left w:w="15" w:type="dxa"/>
              <w:bottom w:w="0" w:type="dxa"/>
              <w:right w:w="15" w:type="dxa"/>
            </w:tcMar>
            <w:vAlign w:val="center"/>
            <w:hideMark/>
          </w:tcPr>
          <w:p w14:paraId="1F525387" w14:textId="77777777" w:rsidR="00820224" w:rsidRPr="00820224" w:rsidRDefault="00820224" w:rsidP="00D02C22">
            <w:r w:rsidRPr="00820224">
              <w:t>59.04</w:t>
            </w:r>
          </w:p>
        </w:tc>
        <w:tc>
          <w:tcPr>
            <w:tcW w:w="1541" w:type="dxa"/>
            <w:shd w:val="clear" w:color="auto" w:fill="auto"/>
            <w:tcMar>
              <w:top w:w="15" w:type="dxa"/>
              <w:left w:w="15" w:type="dxa"/>
              <w:bottom w:w="0" w:type="dxa"/>
              <w:right w:w="15" w:type="dxa"/>
            </w:tcMar>
            <w:vAlign w:val="bottom"/>
            <w:hideMark/>
          </w:tcPr>
          <w:p w14:paraId="345B1811" w14:textId="77777777" w:rsidR="00820224" w:rsidRPr="00820224" w:rsidRDefault="00820224" w:rsidP="00D02C22">
            <w:r w:rsidRPr="00820224">
              <w:t>***</w:t>
            </w:r>
          </w:p>
        </w:tc>
      </w:tr>
    </w:tbl>
    <w:p w14:paraId="042A7C66" w14:textId="142A18D8" w:rsidR="00C65633" w:rsidRDefault="00D02C22" w:rsidP="00D02C22">
      <w:pPr>
        <w:rPr>
          <w:rFonts w:eastAsiaTheme="majorEastAsia"/>
          <w:szCs w:val="24"/>
        </w:rPr>
      </w:pPr>
      <w:r w:rsidRPr="00D02C22">
        <w:rPr>
          <w:rFonts w:eastAsiaTheme="majorEastAsia"/>
          <w:szCs w:val="24"/>
        </w:rPr>
        <w:t>* p &lt; 0.10, ** p &lt; 0.05, *** p &lt; 0.01</w:t>
      </w:r>
    </w:p>
    <w:p w14:paraId="2E07E179" w14:textId="7F61B1F9" w:rsidR="00D02C22" w:rsidRDefault="00D02C22" w:rsidP="00D02C22">
      <w:pPr>
        <w:rPr>
          <w:rFonts w:eastAsiaTheme="majorEastAsia"/>
          <w:szCs w:val="24"/>
        </w:rPr>
      </w:pPr>
    </w:p>
    <w:p w14:paraId="61F5A78C" w14:textId="28299D12" w:rsidR="00D02C22" w:rsidRDefault="00D02C22" w:rsidP="00D02C22">
      <w:pPr>
        <w:rPr>
          <w:rFonts w:eastAsiaTheme="majorEastAsia"/>
          <w:szCs w:val="24"/>
        </w:rPr>
      </w:pPr>
    </w:p>
    <w:p w14:paraId="3150A9CD" w14:textId="2081313C" w:rsidR="00826D20" w:rsidRPr="00826D20" w:rsidRDefault="00C65633" w:rsidP="0095000A">
      <w:pPr>
        <w:pStyle w:val="Heading1"/>
        <w:numPr>
          <w:ilvl w:val="0"/>
          <w:numId w:val="6"/>
        </w:numPr>
      </w:pPr>
      <w:r>
        <w:t>Re</w:t>
      </w:r>
      <w:r w:rsidR="00610A43">
        <w:t>sults</w:t>
      </w:r>
    </w:p>
    <w:p w14:paraId="37D8BAC4" w14:textId="647D95AF" w:rsidR="00610A43" w:rsidRPr="00C5109D" w:rsidRDefault="00610A43" w:rsidP="009E02C7">
      <w:pPr>
        <w:spacing w:after="240"/>
        <w:jc w:val="both"/>
        <w:rPr>
          <w:szCs w:val="24"/>
        </w:rPr>
      </w:pPr>
      <w:r w:rsidRPr="00C5109D">
        <w:rPr>
          <w:szCs w:val="24"/>
        </w:rPr>
        <w:t xml:space="preserve">We estimate Heckman selection models. The first stage looks at the likelihood of a LinkedIn profile being found. The second stage then considers the extent of LinkedIn use amongst those with a profile, considering the number of connections and profile completeness. </w:t>
      </w:r>
    </w:p>
    <w:p w14:paraId="58C02244" w14:textId="0C322ABF" w:rsidR="00610A43" w:rsidRPr="00C5109D" w:rsidRDefault="00610A43" w:rsidP="00C5109D">
      <w:pPr>
        <w:spacing w:after="240"/>
        <w:jc w:val="both"/>
        <w:rPr>
          <w:szCs w:val="24"/>
        </w:rPr>
      </w:pPr>
      <w:r w:rsidRPr="00C5109D">
        <w:rPr>
          <w:szCs w:val="24"/>
        </w:rPr>
        <w:t xml:space="preserve">Table 2 reports </w:t>
      </w:r>
      <w:r w:rsidR="00D46D7F" w:rsidRPr="00C5109D">
        <w:rPr>
          <w:szCs w:val="24"/>
        </w:rPr>
        <w:t xml:space="preserve">results for stage 1. It shows that academics with prior industry experience and more </w:t>
      </w:r>
      <w:proofErr w:type="spellStart"/>
      <w:r w:rsidR="00D46D7F" w:rsidRPr="00C5109D">
        <w:rPr>
          <w:szCs w:val="24"/>
        </w:rPr>
        <w:t>coauhorship</w:t>
      </w:r>
      <w:proofErr w:type="spellEnd"/>
      <w:r w:rsidR="00D46D7F" w:rsidRPr="00C5109D">
        <w:rPr>
          <w:szCs w:val="24"/>
        </w:rPr>
        <w:t xml:space="preserve"> connections are more likely to have a LinkedIn profile. Also, applied researchers and UK natives are more often found on LinkedIn. </w:t>
      </w:r>
    </w:p>
    <w:p w14:paraId="0C8091AC" w14:textId="56D2DB0F" w:rsidR="00D46D7F" w:rsidRPr="00C5109D" w:rsidRDefault="00D46D7F" w:rsidP="00C5109D">
      <w:pPr>
        <w:spacing w:after="240"/>
        <w:jc w:val="both"/>
        <w:rPr>
          <w:szCs w:val="24"/>
        </w:rPr>
      </w:pPr>
      <w:r w:rsidRPr="00C5109D">
        <w:rPr>
          <w:szCs w:val="24"/>
        </w:rPr>
        <w:t xml:space="preserve">Table 3 then presents the second stage regression, reporting coefficients for the control variables. It shows that male professors, those with industry experience and </w:t>
      </w:r>
      <w:r w:rsidR="009E02C7" w:rsidRPr="00C5109D">
        <w:rPr>
          <w:szCs w:val="24"/>
        </w:rPr>
        <w:t>foreign-born</w:t>
      </w:r>
      <w:r w:rsidRPr="00C5109D">
        <w:rPr>
          <w:szCs w:val="24"/>
        </w:rPr>
        <w:t xml:space="preserve"> researchers have a more active presence on LinkedIn. There is thus an indication that not all academics are equally presented on SNSs.</w:t>
      </w:r>
    </w:p>
    <w:p w14:paraId="33EC0405" w14:textId="6A2784CB" w:rsidR="00D46D7F" w:rsidRPr="009E02C7" w:rsidRDefault="00D46D7F" w:rsidP="009E02C7">
      <w:pPr>
        <w:spacing w:after="240"/>
        <w:jc w:val="both"/>
        <w:rPr>
          <w:szCs w:val="24"/>
        </w:rPr>
      </w:pPr>
      <w:r w:rsidRPr="009E02C7">
        <w:rPr>
          <w:szCs w:val="24"/>
        </w:rPr>
        <w:t xml:space="preserve">Figure 3 reports the marginal effect results for our main independent variables, </w:t>
      </w:r>
      <w:r w:rsidR="00826D20" w:rsidRPr="009E02C7">
        <w:rPr>
          <w:szCs w:val="24"/>
        </w:rPr>
        <w:t xml:space="preserve">controlling for all measures as reported in Table 3. The results show that more active LinkedIn use is associated with private sector engagement and with engagement via meetings, consulting or training activities. </w:t>
      </w:r>
    </w:p>
    <w:p w14:paraId="091E5F81" w14:textId="3A290E73" w:rsidR="00826D20" w:rsidRDefault="00826D20" w:rsidP="009E02C7">
      <w:pPr>
        <w:pStyle w:val="Heading1"/>
        <w:numPr>
          <w:ilvl w:val="0"/>
          <w:numId w:val="6"/>
        </w:numPr>
      </w:pPr>
      <w:r>
        <w:t>Discussion</w:t>
      </w:r>
    </w:p>
    <w:p w14:paraId="09E00A84" w14:textId="02AF8717" w:rsidR="002A357D" w:rsidRDefault="00826D20" w:rsidP="009E02C7">
      <w:pPr>
        <w:spacing w:after="240"/>
        <w:jc w:val="both"/>
      </w:pPr>
      <w:r>
        <w:t>In this research we s</w:t>
      </w:r>
      <w:r w:rsidRPr="00826D20">
        <w:t>hed some light on profile of academics using LinkedIn</w:t>
      </w:r>
      <w:r>
        <w:t xml:space="preserve">. We provide </w:t>
      </w:r>
      <w:r w:rsidRPr="00826D20">
        <w:t>insights into how profile characteristics relate to other academic characteristics (e.g. publications) and (traditional) academic engagement</w:t>
      </w:r>
      <w:r>
        <w:t xml:space="preserve">. </w:t>
      </w:r>
      <w:r w:rsidR="002A357D">
        <w:t xml:space="preserve">We find that while LinkedIn is not less likely to be used by women or those from less </w:t>
      </w:r>
      <w:proofErr w:type="spellStart"/>
      <w:r w:rsidR="002A357D">
        <w:t>well endowed</w:t>
      </w:r>
      <w:proofErr w:type="spellEnd"/>
      <w:r w:rsidR="002A357D">
        <w:t xml:space="preserve"> universities, senior men and those from elite institutions are better connected and thus more visible on </w:t>
      </w:r>
      <w:proofErr w:type="spellStart"/>
      <w:r w:rsidR="002A357D">
        <w:t>Linkedin</w:t>
      </w:r>
      <w:proofErr w:type="spellEnd"/>
      <w:r w:rsidR="002A357D">
        <w:t>. These insights suggest that LinkedIn may misrepresent academic research as it is perceived by external, non-</w:t>
      </w:r>
      <w:r w:rsidR="002A357D">
        <w:lastRenderedPageBreak/>
        <w:t>academic communities</w:t>
      </w:r>
      <w:r w:rsidR="00361257">
        <w:t xml:space="preserve"> and potentially exacerbating existing inequalities in science. It also gives more visibility to academics in applied fields who may find it more useful for their work.</w:t>
      </w:r>
    </w:p>
    <w:p w14:paraId="25AF4C85" w14:textId="5C664745" w:rsidR="00361257" w:rsidRDefault="00826D20" w:rsidP="00E078D8">
      <w:pPr>
        <w:spacing w:after="240"/>
        <w:jc w:val="both"/>
      </w:pPr>
      <w:r>
        <w:t xml:space="preserve">We </w:t>
      </w:r>
      <w:r w:rsidR="00361257">
        <w:t xml:space="preserve">further </w:t>
      </w:r>
      <w:r>
        <w:t xml:space="preserve">find that </w:t>
      </w:r>
      <w:r w:rsidRPr="00826D20">
        <w:t>LinkedIn use amongst UK scientists correlates w</w:t>
      </w:r>
      <w:r>
        <w:t>ith private sector engagement, but not to engagement with other sectors. It also relates to engagement a</w:t>
      </w:r>
      <w:r w:rsidRPr="00826D20">
        <w:t xml:space="preserve">ctivities </w:t>
      </w:r>
      <w:r>
        <w:t xml:space="preserve">that </w:t>
      </w:r>
      <w:r w:rsidRPr="00826D20">
        <w:t xml:space="preserve">are training related (executive teaching, joint curriculum development, student placements) and </w:t>
      </w:r>
      <w:r>
        <w:t xml:space="preserve">meeting/consulting related. </w:t>
      </w:r>
      <w:r w:rsidR="00361257">
        <w:t xml:space="preserve">This suggests that LinkedIn use, and potentially other </w:t>
      </w:r>
      <w:proofErr w:type="spellStart"/>
      <w:r w:rsidR="00361257">
        <w:t>altmetric</w:t>
      </w:r>
      <w:proofErr w:type="spellEnd"/>
      <w:r w:rsidR="00361257">
        <w:t xml:space="preserve"> indicators, are only a partial substitute for traditional engagement and knowledge transfer measures. Importantly, private sector engagement is already well captured by existing measures, while public and third sector are not. LinkedIn data is not able to close this gap. Moreover, LinkedIn indicates general linkages which may often be informal, rather than research or commercialisation based. </w:t>
      </w:r>
    </w:p>
    <w:p w14:paraId="736EECAB" w14:textId="77777777" w:rsidR="00E078D8" w:rsidRDefault="00E078D8" w:rsidP="00361257">
      <w:pPr>
        <w:pStyle w:val="Heading1"/>
      </w:pPr>
    </w:p>
    <w:p w14:paraId="44C02910" w14:textId="1F844A5E" w:rsidR="00055079" w:rsidRDefault="00361257" w:rsidP="000C546D">
      <w:pPr>
        <w:pStyle w:val="Heading1"/>
      </w:pPr>
      <w:r>
        <w:t>References</w:t>
      </w:r>
    </w:p>
    <w:p w14:paraId="22D5D05A" w14:textId="68C736E4" w:rsidR="00055079" w:rsidRPr="000C546D" w:rsidRDefault="00055079" w:rsidP="00055079">
      <w:pPr>
        <w:rPr>
          <w:szCs w:val="24"/>
        </w:rPr>
      </w:pPr>
      <w:proofErr w:type="spellStart"/>
      <w:r w:rsidRPr="000C546D">
        <w:rPr>
          <w:color w:val="333333"/>
          <w:szCs w:val="24"/>
          <w:shd w:val="clear" w:color="auto" w:fill="FFFFFF"/>
        </w:rPr>
        <w:t>Almousa</w:t>
      </w:r>
      <w:proofErr w:type="spellEnd"/>
      <w:r w:rsidRPr="000C546D">
        <w:rPr>
          <w:color w:val="333333"/>
          <w:szCs w:val="24"/>
          <w:shd w:val="clear" w:color="auto" w:fill="FFFFFF"/>
        </w:rPr>
        <w:t>,</w:t>
      </w:r>
      <w:r w:rsidRPr="000C546D">
        <w:rPr>
          <w:color w:val="333333"/>
          <w:szCs w:val="24"/>
          <w:shd w:val="clear" w:color="auto" w:fill="FFFFFF"/>
        </w:rPr>
        <w:t xml:space="preserve"> O. (2011).</w:t>
      </w:r>
      <w:r w:rsidRPr="000C546D">
        <w:rPr>
          <w:color w:val="333333"/>
          <w:szCs w:val="24"/>
          <w:shd w:val="clear" w:color="auto" w:fill="FFFFFF"/>
        </w:rPr>
        <w:t xml:space="preserve"> Users' classification and usage-pattern identification in academic social networks</w:t>
      </w:r>
      <w:r w:rsidRPr="000C546D">
        <w:rPr>
          <w:color w:val="333333"/>
          <w:szCs w:val="24"/>
          <w:shd w:val="clear" w:color="auto" w:fill="FFFFFF"/>
        </w:rPr>
        <w:t>.</w:t>
      </w:r>
      <w:r w:rsidRPr="000C546D">
        <w:rPr>
          <w:rStyle w:val="Emphasis"/>
          <w:color w:val="333333"/>
          <w:szCs w:val="24"/>
          <w:shd w:val="clear" w:color="auto" w:fill="FFFFFF"/>
        </w:rPr>
        <w:t xml:space="preserve"> IEEE Jordan Conference on Applied Electrical Engineering and Computing Technologies (AEECT)</w:t>
      </w:r>
      <w:r w:rsidRPr="000C546D">
        <w:rPr>
          <w:color w:val="333333"/>
          <w:szCs w:val="24"/>
          <w:shd w:val="clear" w:color="auto" w:fill="FFFFFF"/>
        </w:rPr>
        <w:t xml:space="preserve">, Amman, Jordan, 2011, pp. 1-6, </w:t>
      </w:r>
      <w:proofErr w:type="spellStart"/>
      <w:r w:rsidRPr="000C546D">
        <w:rPr>
          <w:color w:val="333333"/>
          <w:szCs w:val="24"/>
          <w:shd w:val="clear" w:color="auto" w:fill="FFFFFF"/>
        </w:rPr>
        <w:t>doi</w:t>
      </w:r>
      <w:proofErr w:type="spellEnd"/>
      <w:r w:rsidRPr="000C546D">
        <w:rPr>
          <w:color w:val="333333"/>
          <w:szCs w:val="24"/>
          <w:shd w:val="clear" w:color="auto" w:fill="FFFFFF"/>
        </w:rPr>
        <w:t>: 10.1109/AEECT.2011.6132525.</w:t>
      </w:r>
    </w:p>
    <w:p w14:paraId="035D887C" w14:textId="792AC926" w:rsidR="00BC1859" w:rsidRPr="000C546D" w:rsidRDefault="00BC1859">
      <w:pPr>
        <w:rPr>
          <w:color w:val="212121"/>
          <w:szCs w:val="24"/>
          <w:shd w:val="clear" w:color="auto" w:fill="FFFFFF"/>
        </w:rPr>
      </w:pPr>
      <w:r w:rsidRPr="000C546D">
        <w:rPr>
          <w:color w:val="212121"/>
          <w:szCs w:val="24"/>
          <w:shd w:val="clear" w:color="auto" w:fill="FFFFFF"/>
        </w:rPr>
        <w:t xml:space="preserve">Bik HM, Goldstein MC. An introduction to social media for scientists. </w:t>
      </w:r>
      <w:proofErr w:type="spellStart"/>
      <w:r w:rsidRPr="000C546D">
        <w:rPr>
          <w:color w:val="212121"/>
          <w:szCs w:val="24"/>
          <w:shd w:val="clear" w:color="auto" w:fill="FFFFFF"/>
        </w:rPr>
        <w:t>PLoS</w:t>
      </w:r>
      <w:proofErr w:type="spellEnd"/>
      <w:r w:rsidRPr="000C546D">
        <w:rPr>
          <w:color w:val="212121"/>
          <w:szCs w:val="24"/>
          <w:shd w:val="clear" w:color="auto" w:fill="FFFFFF"/>
        </w:rPr>
        <w:t xml:space="preserve"> Biol. 2013;11(4):e1001535. </w:t>
      </w:r>
      <w:proofErr w:type="spellStart"/>
      <w:r w:rsidRPr="000C546D">
        <w:rPr>
          <w:color w:val="212121"/>
          <w:szCs w:val="24"/>
          <w:shd w:val="clear" w:color="auto" w:fill="FFFFFF"/>
        </w:rPr>
        <w:t>doi</w:t>
      </w:r>
      <w:proofErr w:type="spellEnd"/>
      <w:r w:rsidRPr="000C546D">
        <w:rPr>
          <w:color w:val="212121"/>
          <w:szCs w:val="24"/>
          <w:shd w:val="clear" w:color="auto" w:fill="FFFFFF"/>
        </w:rPr>
        <w:t xml:space="preserve">: 10.1371/journal.pbio.1001535. </w:t>
      </w:r>
      <w:proofErr w:type="spellStart"/>
      <w:r w:rsidRPr="000C546D">
        <w:rPr>
          <w:color w:val="212121"/>
          <w:szCs w:val="24"/>
          <w:shd w:val="clear" w:color="auto" w:fill="FFFFFF"/>
        </w:rPr>
        <w:t>Epub</w:t>
      </w:r>
      <w:proofErr w:type="spellEnd"/>
      <w:r w:rsidRPr="000C546D">
        <w:rPr>
          <w:color w:val="212121"/>
          <w:szCs w:val="24"/>
          <w:shd w:val="clear" w:color="auto" w:fill="FFFFFF"/>
        </w:rPr>
        <w:t xml:space="preserve"> 2013 Apr 23. PMID: 23630451</w:t>
      </w:r>
    </w:p>
    <w:p w14:paraId="26F1C9D6" w14:textId="77777777" w:rsidR="004500B0" w:rsidRPr="000C546D" w:rsidRDefault="004500B0">
      <w:pPr>
        <w:rPr>
          <w:color w:val="212121"/>
          <w:szCs w:val="24"/>
          <w:shd w:val="clear" w:color="auto" w:fill="FFFFFF"/>
        </w:rPr>
      </w:pPr>
    </w:p>
    <w:p w14:paraId="2F6D4E81" w14:textId="78C7E050" w:rsidR="004500B0" w:rsidRPr="000C546D" w:rsidRDefault="004500B0">
      <w:pPr>
        <w:rPr>
          <w:color w:val="333333"/>
          <w:szCs w:val="24"/>
          <w:shd w:val="clear" w:color="auto" w:fill="FCFCFC"/>
        </w:rPr>
      </w:pPr>
      <w:proofErr w:type="spellStart"/>
      <w:r w:rsidRPr="000C546D">
        <w:rPr>
          <w:color w:val="333333"/>
          <w:szCs w:val="24"/>
          <w:shd w:val="clear" w:color="auto" w:fill="FCFCFC"/>
        </w:rPr>
        <w:t>Barjak</w:t>
      </w:r>
      <w:proofErr w:type="spellEnd"/>
      <w:r w:rsidRPr="000C546D">
        <w:rPr>
          <w:color w:val="333333"/>
          <w:szCs w:val="24"/>
          <w:shd w:val="clear" w:color="auto" w:fill="FCFCFC"/>
        </w:rPr>
        <w:t xml:space="preserve">, F., Li, X., &amp; </w:t>
      </w:r>
      <w:proofErr w:type="spellStart"/>
      <w:r w:rsidRPr="000C546D">
        <w:rPr>
          <w:color w:val="333333"/>
          <w:szCs w:val="24"/>
          <w:shd w:val="clear" w:color="auto" w:fill="FCFCFC"/>
        </w:rPr>
        <w:t>Thelwall</w:t>
      </w:r>
      <w:proofErr w:type="spellEnd"/>
      <w:r w:rsidRPr="000C546D">
        <w:rPr>
          <w:color w:val="333333"/>
          <w:szCs w:val="24"/>
          <w:shd w:val="clear" w:color="auto" w:fill="FCFCFC"/>
        </w:rPr>
        <w:t>, M. (2007). Which factors explain the web impact of scientists’ personal homepages? </w:t>
      </w:r>
      <w:r w:rsidRPr="000C546D">
        <w:rPr>
          <w:i/>
          <w:iCs/>
          <w:color w:val="333333"/>
          <w:szCs w:val="24"/>
          <w:shd w:val="clear" w:color="auto" w:fill="FCFCFC"/>
        </w:rPr>
        <w:t>Journal of the American Society for Information Science and Technology,</w:t>
      </w:r>
      <w:r w:rsidRPr="000C546D">
        <w:rPr>
          <w:color w:val="333333"/>
          <w:szCs w:val="24"/>
          <w:shd w:val="clear" w:color="auto" w:fill="FCFCFC"/>
        </w:rPr>
        <w:t> </w:t>
      </w:r>
      <w:r w:rsidRPr="000C546D">
        <w:rPr>
          <w:i/>
          <w:iCs/>
          <w:color w:val="333333"/>
          <w:szCs w:val="24"/>
          <w:shd w:val="clear" w:color="auto" w:fill="FCFCFC"/>
        </w:rPr>
        <w:t>58</w:t>
      </w:r>
      <w:r w:rsidRPr="000C546D">
        <w:rPr>
          <w:color w:val="333333"/>
          <w:szCs w:val="24"/>
          <w:shd w:val="clear" w:color="auto" w:fill="FCFCFC"/>
        </w:rPr>
        <w:t>(2), 200–211.</w:t>
      </w:r>
    </w:p>
    <w:p w14:paraId="2246731A" w14:textId="77777777" w:rsidR="00C11A53" w:rsidRPr="000C546D" w:rsidRDefault="00C11A53">
      <w:pPr>
        <w:rPr>
          <w:color w:val="333333"/>
          <w:szCs w:val="24"/>
          <w:shd w:val="clear" w:color="auto" w:fill="FCFCFC"/>
        </w:rPr>
      </w:pPr>
    </w:p>
    <w:p w14:paraId="20F8C728" w14:textId="6FE84138" w:rsidR="00C11A53" w:rsidRPr="000C546D" w:rsidRDefault="00C11A53">
      <w:pPr>
        <w:rPr>
          <w:color w:val="212121"/>
          <w:szCs w:val="24"/>
          <w:shd w:val="clear" w:color="auto" w:fill="FFFFFF"/>
        </w:rPr>
      </w:pPr>
      <w:proofErr w:type="spellStart"/>
      <w:r w:rsidRPr="000C546D">
        <w:rPr>
          <w:szCs w:val="24"/>
        </w:rPr>
        <w:t>Baruffaldi</w:t>
      </w:r>
      <w:proofErr w:type="spellEnd"/>
      <w:r w:rsidRPr="000C546D">
        <w:rPr>
          <w:szCs w:val="24"/>
        </w:rPr>
        <w:t xml:space="preserve">, S. H., Di Maio, G., &amp; </w:t>
      </w:r>
      <w:proofErr w:type="spellStart"/>
      <w:r w:rsidRPr="000C546D">
        <w:rPr>
          <w:szCs w:val="24"/>
        </w:rPr>
        <w:t>Landoni</w:t>
      </w:r>
      <w:proofErr w:type="spellEnd"/>
      <w:r w:rsidRPr="000C546D">
        <w:rPr>
          <w:szCs w:val="24"/>
        </w:rPr>
        <w:t xml:space="preserve">, P. (2017). Determinants of PhD holders’ use of social networking sites: An analysis based on </w:t>
      </w:r>
      <w:proofErr w:type="spellStart"/>
      <w:r w:rsidRPr="000C546D">
        <w:rPr>
          <w:szCs w:val="24"/>
        </w:rPr>
        <w:t>Linkedin</w:t>
      </w:r>
      <w:proofErr w:type="spellEnd"/>
      <w:r w:rsidRPr="000C546D">
        <w:rPr>
          <w:szCs w:val="24"/>
        </w:rPr>
        <w:t xml:space="preserve">. Research Policy, 46(4),740–750. </w:t>
      </w:r>
    </w:p>
    <w:p w14:paraId="3FA7D274" w14:textId="77777777" w:rsidR="008878DB" w:rsidRPr="000C546D" w:rsidRDefault="008878DB">
      <w:pPr>
        <w:rPr>
          <w:color w:val="212121"/>
          <w:szCs w:val="24"/>
          <w:shd w:val="clear" w:color="auto" w:fill="FFFFFF"/>
        </w:rPr>
      </w:pPr>
    </w:p>
    <w:p w14:paraId="7FAF8C02" w14:textId="330AD877" w:rsidR="008878DB" w:rsidRPr="000C546D" w:rsidRDefault="008878DB">
      <w:pPr>
        <w:rPr>
          <w:color w:val="212121"/>
          <w:szCs w:val="24"/>
          <w:shd w:val="clear" w:color="auto" w:fill="FFFFFF"/>
        </w:rPr>
      </w:pPr>
      <w:r w:rsidRPr="000C546D">
        <w:rPr>
          <w:color w:val="333333"/>
          <w:szCs w:val="24"/>
          <w:shd w:val="clear" w:color="auto" w:fill="FCFCFC"/>
        </w:rPr>
        <w:t>Carrigan, M., Jordan, K. Platforms and Institutions in the Post-Pandemic University: a Case Study of Social Media and the Impact Agenda. </w:t>
      </w:r>
      <w:proofErr w:type="spellStart"/>
      <w:r w:rsidRPr="000C546D">
        <w:rPr>
          <w:i/>
          <w:iCs/>
          <w:color w:val="333333"/>
          <w:szCs w:val="24"/>
          <w:shd w:val="clear" w:color="auto" w:fill="FCFCFC"/>
        </w:rPr>
        <w:t>Postdigit</w:t>
      </w:r>
      <w:proofErr w:type="spellEnd"/>
      <w:r w:rsidRPr="000C546D">
        <w:rPr>
          <w:i/>
          <w:iCs/>
          <w:color w:val="333333"/>
          <w:szCs w:val="24"/>
          <w:shd w:val="clear" w:color="auto" w:fill="FCFCFC"/>
        </w:rPr>
        <w:t xml:space="preserve"> Sci </w:t>
      </w:r>
      <w:proofErr w:type="spellStart"/>
      <w:r w:rsidRPr="000C546D">
        <w:rPr>
          <w:i/>
          <w:iCs/>
          <w:color w:val="333333"/>
          <w:szCs w:val="24"/>
          <w:shd w:val="clear" w:color="auto" w:fill="FCFCFC"/>
        </w:rPr>
        <w:t>Educ</w:t>
      </w:r>
      <w:proofErr w:type="spellEnd"/>
      <w:r w:rsidRPr="000C546D">
        <w:rPr>
          <w:color w:val="333333"/>
          <w:szCs w:val="24"/>
          <w:shd w:val="clear" w:color="auto" w:fill="FCFCFC"/>
        </w:rPr>
        <w:t> </w:t>
      </w:r>
      <w:r w:rsidRPr="000C546D">
        <w:rPr>
          <w:b/>
          <w:bCs/>
          <w:color w:val="333333"/>
          <w:szCs w:val="24"/>
          <w:shd w:val="clear" w:color="auto" w:fill="FCFCFC"/>
        </w:rPr>
        <w:t>4</w:t>
      </w:r>
      <w:r w:rsidRPr="000C546D">
        <w:rPr>
          <w:color w:val="333333"/>
          <w:szCs w:val="24"/>
          <w:shd w:val="clear" w:color="auto" w:fill="FCFCFC"/>
        </w:rPr>
        <w:t>, 354–372 (2022). https://doi.org/10.1007/s42438-021-00269-x</w:t>
      </w:r>
    </w:p>
    <w:p w14:paraId="66D07E71" w14:textId="77777777" w:rsidR="00BC1859" w:rsidRPr="000C546D" w:rsidRDefault="00BC1859">
      <w:pPr>
        <w:rPr>
          <w:color w:val="212121"/>
          <w:szCs w:val="24"/>
          <w:shd w:val="clear" w:color="auto" w:fill="FFFFFF"/>
        </w:rPr>
      </w:pPr>
    </w:p>
    <w:p w14:paraId="3D99EAB2" w14:textId="4692A8AB" w:rsidR="00CB2AB0" w:rsidRPr="000C546D" w:rsidRDefault="00CB2AB0">
      <w:pPr>
        <w:rPr>
          <w:color w:val="212121"/>
          <w:szCs w:val="24"/>
          <w:shd w:val="clear" w:color="auto" w:fill="FFFFFF"/>
        </w:rPr>
      </w:pPr>
      <w:r w:rsidRPr="000C546D">
        <w:rPr>
          <w:color w:val="212121"/>
          <w:szCs w:val="24"/>
          <w:shd w:val="clear" w:color="auto" w:fill="FFFFFF"/>
        </w:rPr>
        <w:t xml:space="preserve">Collins K, </w:t>
      </w:r>
      <w:proofErr w:type="spellStart"/>
      <w:r w:rsidRPr="000C546D">
        <w:rPr>
          <w:color w:val="212121"/>
          <w:szCs w:val="24"/>
          <w:shd w:val="clear" w:color="auto" w:fill="FFFFFF"/>
        </w:rPr>
        <w:t>Shiffman</w:t>
      </w:r>
      <w:proofErr w:type="spellEnd"/>
      <w:r w:rsidRPr="000C546D">
        <w:rPr>
          <w:color w:val="212121"/>
          <w:szCs w:val="24"/>
          <w:shd w:val="clear" w:color="auto" w:fill="FFFFFF"/>
        </w:rPr>
        <w:t xml:space="preserve"> D, Rock J. How Are Scientists Using Social Media in the Workplace? </w:t>
      </w:r>
      <w:proofErr w:type="spellStart"/>
      <w:r w:rsidRPr="000C546D">
        <w:rPr>
          <w:color w:val="212121"/>
          <w:szCs w:val="24"/>
          <w:shd w:val="clear" w:color="auto" w:fill="FFFFFF"/>
        </w:rPr>
        <w:t>PLoS</w:t>
      </w:r>
      <w:proofErr w:type="spellEnd"/>
      <w:r w:rsidRPr="000C546D">
        <w:rPr>
          <w:color w:val="212121"/>
          <w:szCs w:val="24"/>
          <w:shd w:val="clear" w:color="auto" w:fill="FFFFFF"/>
        </w:rPr>
        <w:t xml:space="preserve"> One. 2016 Oct 12;11(10):e0162680. </w:t>
      </w:r>
      <w:proofErr w:type="spellStart"/>
      <w:r w:rsidRPr="000C546D">
        <w:rPr>
          <w:color w:val="212121"/>
          <w:szCs w:val="24"/>
          <w:shd w:val="clear" w:color="auto" w:fill="FFFFFF"/>
        </w:rPr>
        <w:t>doi</w:t>
      </w:r>
      <w:proofErr w:type="spellEnd"/>
      <w:r w:rsidRPr="000C546D">
        <w:rPr>
          <w:color w:val="212121"/>
          <w:szCs w:val="24"/>
          <w:shd w:val="clear" w:color="auto" w:fill="FFFFFF"/>
        </w:rPr>
        <w:t>: 10.1371/journal.pone.0162680. PMID: 27732598</w:t>
      </w:r>
    </w:p>
    <w:p w14:paraId="47E2895C" w14:textId="77777777" w:rsidR="003D50CC" w:rsidRPr="000C546D" w:rsidRDefault="003D50CC">
      <w:pPr>
        <w:rPr>
          <w:color w:val="212121"/>
          <w:szCs w:val="24"/>
          <w:shd w:val="clear" w:color="auto" w:fill="FFFFFF"/>
        </w:rPr>
      </w:pPr>
    </w:p>
    <w:p w14:paraId="4DEA702B" w14:textId="124FE922" w:rsidR="003D50CC" w:rsidRPr="000C546D" w:rsidRDefault="003D50CC">
      <w:pPr>
        <w:rPr>
          <w:color w:val="212121"/>
          <w:szCs w:val="24"/>
          <w:shd w:val="clear" w:color="auto" w:fill="FFFFFF"/>
        </w:rPr>
      </w:pPr>
      <w:r w:rsidRPr="000C546D">
        <w:rPr>
          <w:color w:val="333333"/>
          <w:szCs w:val="24"/>
          <w:shd w:val="clear" w:color="auto" w:fill="FFFFFF"/>
        </w:rPr>
        <w:t>Gaughan, M., Melkers, J., &amp; Welch, E. (2018). Differential Social Network Effects on Scholarly Productivity: An Intersectional Analysis. </w:t>
      </w:r>
      <w:r w:rsidRPr="000C546D">
        <w:rPr>
          <w:i/>
          <w:iCs/>
          <w:color w:val="333333"/>
          <w:szCs w:val="24"/>
          <w:shd w:val="clear" w:color="auto" w:fill="FFFFFF"/>
        </w:rPr>
        <w:t>Science, Technology, &amp; Human Values</w:t>
      </w:r>
      <w:r w:rsidRPr="000C546D">
        <w:rPr>
          <w:color w:val="333333"/>
          <w:szCs w:val="24"/>
          <w:shd w:val="clear" w:color="auto" w:fill="FFFFFF"/>
        </w:rPr>
        <w:t>, </w:t>
      </w:r>
      <w:r w:rsidRPr="000C546D">
        <w:rPr>
          <w:i/>
          <w:iCs/>
          <w:color w:val="333333"/>
          <w:szCs w:val="24"/>
          <w:shd w:val="clear" w:color="auto" w:fill="FFFFFF"/>
        </w:rPr>
        <w:t>43</w:t>
      </w:r>
      <w:r w:rsidRPr="000C546D">
        <w:rPr>
          <w:color w:val="333333"/>
          <w:szCs w:val="24"/>
          <w:shd w:val="clear" w:color="auto" w:fill="FFFFFF"/>
        </w:rPr>
        <w:t>(3), 570–599. </w:t>
      </w:r>
      <w:hyperlink r:id="rId12" w:history="1">
        <w:r w:rsidRPr="000C546D">
          <w:rPr>
            <w:rStyle w:val="Hyperlink"/>
            <w:color w:val="006ACC"/>
            <w:szCs w:val="24"/>
            <w:shd w:val="clear" w:color="auto" w:fill="FFFFFF"/>
          </w:rPr>
          <w:t>https://doi.org/10.1177/0162243917735900</w:t>
        </w:r>
      </w:hyperlink>
    </w:p>
    <w:p w14:paraId="0041F90D" w14:textId="77777777" w:rsidR="00CB2AB0" w:rsidRPr="000C546D" w:rsidRDefault="00CB2AB0">
      <w:pPr>
        <w:rPr>
          <w:color w:val="212121"/>
          <w:szCs w:val="24"/>
          <w:shd w:val="clear" w:color="auto" w:fill="FFFFFF"/>
        </w:rPr>
      </w:pPr>
    </w:p>
    <w:p w14:paraId="4B110C2F" w14:textId="77777777" w:rsidR="00CB2AB0" w:rsidRPr="000C546D" w:rsidRDefault="00CB2AB0">
      <w:pPr>
        <w:rPr>
          <w:color w:val="212121"/>
          <w:szCs w:val="24"/>
          <w:shd w:val="clear" w:color="auto" w:fill="FFFFFF"/>
        </w:rPr>
      </w:pPr>
    </w:p>
    <w:p w14:paraId="35801221" w14:textId="0BD00B21" w:rsidR="00A55078" w:rsidRPr="000C546D" w:rsidRDefault="00A55078">
      <w:pPr>
        <w:rPr>
          <w:szCs w:val="24"/>
        </w:rPr>
      </w:pPr>
      <w:proofErr w:type="spellStart"/>
      <w:r w:rsidRPr="000C546D">
        <w:rPr>
          <w:szCs w:val="24"/>
        </w:rPr>
        <w:t>Gorska</w:t>
      </w:r>
      <w:proofErr w:type="spellEnd"/>
      <w:r w:rsidRPr="000C546D">
        <w:rPr>
          <w:szCs w:val="24"/>
        </w:rPr>
        <w:t>,</w:t>
      </w:r>
      <w:r w:rsidRPr="000C546D">
        <w:rPr>
          <w:szCs w:val="24"/>
        </w:rPr>
        <w:t xml:space="preserve"> A.,</w:t>
      </w:r>
      <w:r w:rsidRPr="000C546D">
        <w:rPr>
          <w:szCs w:val="24"/>
        </w:rPr>
        <w:t xml:space="preserve"> </w:t>
      </w:r>
      <w:proofErr w:type="spellStart"/>
      <w:r w:rsidRPr="000C546D">
        <w:rPr>
          <w:szCs w:val="24"/>
        </w:rPr>
        <w:t>Korzynski</w:t>
      </w:r>
      <w:proofErr w:type="spellEnd"/>
      <w:r w:rsidRPr="000C546D">
        <w:rPr>
          <w:szCs w:val="24"/>
        </w:rPr>
        <w:t>,</w:t>
      </w:r>
      <w:r w:rsidRPr="000C546D">
        <w:rPr>
          <w:szCs w:val="24"/>
        </w:rPr>
        <w:t xml:space="preserve"> P.,</w:t>
      </w:r>
      <w:r w:rsidRPr="000C546D">
        <w:rPr>
          <w:szCs w:val="24"/>
        </w:rPr>
        <w:t xml:space="preserve">  Mazurek</w:t>
      </w:r>
      <w:r w:rsidRPr="000C546D">
        <w:rPr>
          <w:szCs w:val="24"/>
        </w:rPr>
        <w:t xml:space="preserve"> G.</w:t>
      </w:r>
      <w:r w:rsidRPr="000C546D">
        <w:rPr>
          <w:szCs w:val="24"/>
        </w:rPr>
        <w:t xml:space="preserve"> &amp;  </w:t>
      </w:r>
      <w:proofErr w:type="spellStart"/>
      <w:r w:rsidRPr="000C546D">
        <w:rPr>
          <w:szCs w:val="24"/>
        </w:rPr>
        <w:t>Pucciarelli</w:t>
      </w:r>
      <w:proofErr w:type="spellEnd"/>
      <w:r w:rsidRPr="000C546D">
        <w:rPr>
          <w:szCs w:val="24"/>
        </w:rPr>
        <w:t>, F.</w:t>
      </w:r>
      <w:r w:rsidRPr="000C546D">
        <w:rPr>
          <w:szCs w:val="24"/>
        </w:rPr>
        <w:t xml:space="preserve"> (2020) The Role of Social Media in Scholarly Collaboration: An Enabler of International Research Team’s Activation?, Journal of Global Information Technology Management, Vol. forthcoming, Issue. forthcoming DOI: 10.1080/1097198X.2020.1817684</w:t>
      </w:r>
    </w:p>
    <w:p w14:paraId="7FF89BAC" w14:textId="77777777" w:rsidR="00A55078" w:rsidRPr="000C546D" w:rsidRDefault="00A55078">
      <w:pPr>
        <w:rPr>
          <w:color w:val="000000"/>
          <w:szCs w:val="24"/>
          <w:shd w:val="clear" w:color="auto" w:fill="FFFFFF"/>
        </w:rPr>
      </w:pPr>
    </w:p>
    <w:p w14:paraId="083A1273" w14:textId="5157EF31" w:rsidR="00F06086" w:rsidRPr="000C546D" w:rsidRDefault="00F06086">
      <w:pPr>
        <w:rPr>
          <w:color w:val="000000"/>
          <w:szCs w:val="24"/>
          <w:shd w:val="clear" w:color="auto" w:fill="FFFFFF"/>
        </w:rPr>
      </w:pPr>
      <w:proofErr w:type="spellStart"/>
      <w:r w:rsidRPr="000C546D">
        <w:rPr>
          <w:color w:val="000000"/>
          <w:szCs w:val="24"/>
          <w:shd w:val="clear" w:color="auto" w:fill="FFFFFF"/>
        </w:rPr>
        <w:lastRenderedPageBreak/>
        <w:t>Hottenrott</w:t>
      </w:r>
      <w:proofErr w:type="spellEnd"/>
      <w:r w:rsidRPr="000C546D">
        <w:rPr>
          <w:color w:val="000000"/>
          <w:szCs w:val="24"/>
          <w:shd w:val="clear" w:color="auto" w:fill="FFFFFF"/>
        </w:rPr>
        <w:t xml:space="preserve">, H. &amp; Lawson. C. (2021) What is behind multiple institutional affiliations in academia? Science and Public Policy, 2021, 00, 1–21. DOI: </w:t>
      </w:r>
      <w:hyperlink r:id="rId13" w:history="1">
        <w:r w:rsidRPr="000C546D">
          <w:rPr>
            <w:rStyle w:val="Hyperlink"/>
            <w:szCs w:val="24"/>
            <w:shd w:val="clear" w:color="auto" w:fill="FFFFFF"/>
          </w:rPr>
          <w:t>https://doi.org/10.1093/scipol/scab08</w:t>
        </w:r>
        <w:r w:rsidRPr="000C546D">
          <w:rPr>
            <w:rStyle w:val="Hyperlink"/>
            <w:szCs w:val="24"/>
            <w:shd w:val="clear" w:color="auto" w:fill="FFFFFF"/>
          </w:rPr>
          <w:t>6</w:t>
        </w:r>
      </w:hyperlink>
    </w:p>
    <w:p w14:paraId="383DD6F9" w14:textId="77777777" w:rsidR="008E2C1D" w:rsidRPr="000C546D" w:rsidRDefault="008E2C1D">
      <w:pPr>
        <w:rPr>
          <w:color w:val="000000"/>
          <w:szCs w:val="24"/>
          <w:shd w:val="clear" w:color="auto" w:fill="FFFFFF"/>
        </w:rPr>
      </w:pPr>
    </w:p>
    <w:p w14:paraId="661034B0" w14:textId="11CFB60D" w:rsidR="008E2C1D" w:rsidRPr="000C546D" w:rsidRDefault="008E2C1D">
      <w:pPr>
        <w:rPr>
          <w:color w:val="000000"/>
          <w:szCs w:val="24"/>
          <w:shd w:val="clear" w:color="auto" w:fill="FFFFFF"/>
        </w:rPr>
      </w:pPr>
      <w:proofErr w:type="spellStart"/>
      <w:r w:rsidRPr="000C546D">
        <w:rPr>
          <w:szCs w:val="24"/>
        </w:rPr>
        <w:t>Haustein</w:t>
      </w:r>
      <w:proofErr w:type="spellEnd"/>
      <w:r w:rsidRPr="000C546D">
        <w:rPr>
          <w:szCs w:val="24"/>
        </w:rPr>
        <w:t>, S</w:t>
      </w:r>
      <w:r w:rsidRPr="000C546D">
        <w:rPr>
          <w:szCs w:val="24"/>
        </w:rPr>
        <w:t>.</w:t>
      </w:r>
      <w:r w:rsidRPr="000C546D">
        <w:rPr>
          <w:szCs w:val="24"/>
        </w:rPr>
        <w:t>, Peters,</w:t>
      </w:r>
      <w:r w:rsidRPr="000C546D">
        <w:rPr>
          <w:szCs w:val="24"/>
        </w:rPr>
        <w:t xml:space="preserve"> I.,</w:t>
      </w:r>
      <w:r w:rsidRPr="000C546D">
        <w:rPr>
          <w:szCs w:val="24"/>
        </w:rPr>
        <w:t xml:space="preserve"> Sugimoto, </w:t>
      </w:r>
      <w:r w:rsidRPr="000C546D">
        <w:rPr>
          <w:szCs w:val="24"/>
        </w:rPr>
        <w:t>C.,</w:t>
      </w:r>
      <w:r w:rsidRPr="000C546D">
        <w:rPr>
          <w:szCs w:val="24"/>
        </w:rPr>
        <w:t xml:space="preserve"> </w:t>
      </w:r>
      <w:proofErr w:type="spellStart"/>
      <w:r w:rsidRPr="000C546D">
        <w:rPr>
          <w:szCs w:val="24"/>
        </w:rPr>
        <w:t>Thelwall</w:t>
      </w:r>
      <w:proofErr w:type="spellEnd"/>
      <w:r w:rsidRPr="000C546D">
        <w:rPr>
          <w:szCs w:val="24"/>
        </w:rPr>
        <w:t>,</w:t>
      </w:r>
      <w:r w:rsidRPr="000C546D">
        <w:rPr>
          <w:szCs w:val="24"/>
        </w:rPr>
        <w:t xml:space="preserve"> K.,</w:t>
      </w:r>
      <w:r w:rsidRPr="000C546D">
        <w:rPr>
          <w:szCs w:val="24"/>
        </w:rPr>
        <w:t xml:space="preserve"> and Lariviere</w:t>
      </w:r>
      <w:r w:rsidRPr="000C546D">
        <w:rPr>
          <w:szCs w:val="24"/>
        </w:rPr>
        <w:t>, V.</w:t>
      </w:r>
      <w:r w:rsidRPr="000C546D">
        <w:rPr>
          <w:szCs w:val="24"/>
        </w:rPr>
        <w:t xml:space="preserve"> </w:t>
      </w:r>
      <w:r w:rsidRPr="000C546D">
        <w:rPr>
          <w:szCs w:val="24"/>
        </w:rPr>
        <w:t>(</w:t>
      </w:r>
      <w:r w:rsidRPr="000C546D">
        <w:rPr>
          <w:szCs w:val="24"/>
        </w:rPr>
        <w:t>2014</w:t>
      </w:r>
      <w:r w:rsidRPr="000C546D">
        <w:rPr>
          <w:szCs w:val="24"/>
        </w:rPr>
        <w:t>)</w:t>
      </w:r>
      <w:r w:rsidRPr="000C546D">
        <w:rPr>
          <w:szCs w:val="24"/>
        </w:rPr>
        <w:t xml:space="preserve">. Tweeting Biomedicine: An Analysis of Tweets and Citations in the Biomedical Literature. </w:t>
      </w:r>
      <w:r w:rsidRPr="000C546D">
        <w:rPr>
          <w:i/>
          <w:iCs/>
          <w:szCs w:val="24"/>
        </w:rPr>
        <w:t>Journal of the Association For Information Science and Technology</w:t>
      </w:r>
      <w:r w:rsidRPr="000C546D">
        <w:rPr>
          <w:szCs w:val="24"/>
        </w:rPr>
        <w:t xml:space="preserve"> 65 (4): 656– 669. doi:10.1002/asi.23101</w:t>
      </w:r>
    </w:p>
    <w:p w14:paraId="7A0F7BD2" w14:textId="77777777" w:rsidR="00F06086" w:rsidRPr="000C546D" w:rsidRDefault="00F06086">
      <w:pPr>
        <w:rPr>
          <w:szCs w:val="24"/>
        </w:rPr>
      </w:pPr>
    </w:p>
    <w:p w14:paraId="31FFCCA7" w14:textId="15340896" w:rsidR="00F06086" w:rsidRPr="000C546D" w:rsidRDefault="00C3488B">
      <w:pPr>
        <w:rPr>
          <w:szCs w:val="24"/>
        </w:rPr>
      </w:pPr>
      <w:r w:rsidRPr="000C546D">
        <w:rPr>
          <w:szCs w:val="24"/>
        </w:rPr>
        <w:t xml:space="preserve">Hughes, A., Lawson, C., Salter, A., </w:t>
      </w:r>
      <w:proofErr w:type="spellStart"/>
      <w:r w:rsidRPr="000C546D">
        <w:rPr>
          <w:szCs w:val="24"/>
        </w:rPr>
        <w:t>Kitson</w:t>
      </w:r>
      <w:proofErr w:type="spellEnd"/>
      <w:r w:rsidRPr="000C546D">
        <w:rPr>
          <w:szCs w:val="24"/>
        </w:rPr>
        <w:t>, M., Bullock, A. &amp; Hughes, R.</w:t>
      </w:r>
      <w:r w:rsidRPr="000C546D">
        <w:rPr>
          <w:szCs w:val="24"/>
        </w:rPr>
        <w:t xml:space="preserve"> </w:t>
      </w:r>
      <w:r w:rsidR="00F06086" w:rsidRPr="000C546D">
        <w:rPr>
          <w:szCs w:val="24"/>
        </w:rPr>
        <w:t xml:space="preserve"> </w:t>
      </w:r>
      <w:r w:rsidRPr="000C546D">
        <w:rPr>
          <w:szCs w:val="24"/>
        </w:rPr>
        <w:t>(2016).</w:t>
      </w:r>
      <w:r w:rsidR="00F06086" w:rsidRPr="000C546D">
        <w:rPr>
          <w:szCs w:val="24"/>
        </w:rPr>
        <w:t xml:space="preserve"> </w:t>
      </w:r>
      <w:proofErr w:type="spellStart"/>
      <w:r w:rsidRPr="000C546D">
        <w:rPr>
          <w:szCs w:val="24"/>
        </w:rPr>
        <w:t>Thechanging</w:t>
      </w:r>
      <w:proofErr w:type="spellEnd"/>
      <w:r w:rsidRPr="000C546D">
        <w:rPr>
          <w:szCs w:val="24"/>
        </w:rPr>
        <w:t xml:space="preserve"> state of </w:t>
      </w:r>
      <w:proofErr w:type="spellStart"/>
      <w:r w:rsidRPr="000C546D">
        <w:rPr>
          <w:szCs w:val="24"/>
        </w:rPr>
        <w:t>knowledgeexchange</w:t>
      </w:r>
      <w:proofErr w:type="spellEnd"/>
      <w:r w:rsidRPr="000C546D">
        <w:rPr>
          <w:szCs w:val="24"/>
        </w:rPr>
        <w:t xml:space="preserve">: UK academic interactions with </w:t>
      </w:r>
      <w:proofErr w:type="spellStart"/>
      <w:r w:rsidRPr="000C546D">
        <w:rPr>
          <w:szCs w:val="24"/>
        </w:rPr>
        <w:t>externalorganizations</w:t>
      </w:r>
      <w:proofErr w:type="spellEnd"/>
      <w:r w:rsidRPr="000C546D">
        <w:rPr>
          <w:szCs w:val="24"/>
        </w:rPr>
        <w:t xml:space="preserve"> 2005-2015: NCUB</w:t>
      </w:r>
    </w:p>
    <w:p w14:paraId="703DFA1E" w14:textId="77777777" w:rsidR="00951749" w:rsidRPr="000C546D" w:rsidRDefault="00951749">
      <w:pPr>
        <w:rPr>
          <w:szCs w:val="24"/>
        </w:rPr>
      </w:pPr>
    </w:p>
    <w:p w14:paraId="6F19FFDE" w14:textId="2839D5BB" w:rsidR="00951749" w:rsidRPr="000C546D" w:rsidRDefault="00951749">
      <w:pPr>
        <w:rPr>
          <w:szCs w:val="24"/>
        </w:rPr>
      </w:pPr>
      <w:r w:rsidRPr="000C546D">
        <w:rPr>
          <w:color w:val="2A2A2A"/>
          <w:szCs w:val="24"/>
          <w:shd w:val="clear" w:color="auto" w:fill="FFFFFF"/>
        </w:rPr>
        <w:t>Jamali,</w:t>
      </w:r>
      <w:r w:rsidRPr="000C546D">
        <w:rPr>
          <w:color w:val="2A2A2A"/>
          <w:szCs w:val="24"/>
          <w:shd w:val="clear" w:color="auto" w:fill="FFFFFF"/>
        </w:rPr>
        <w:t xml:space="preserve"> H.,</w:t>
      </w:r>
      <w:r w:rsidRPr="000C546D">
        <w:rPr>
          <w:color w:val="2A2A2A"/>
          <w:szCs w:val="24"/>
          <w:shd w:val="clear" w:color="auto" w:fill="FFFFFF"/>
        </w:rPr>
        <w:t xml:space="preserve"> Nicholas,</w:t>
      </w:r>
      <w:r w:rsidRPr="000C546D">
        <w:rPr>
          <w:color w:val="2A2A2A"/>
          <w:szCs w:val="24"/>
          <w:shd w:val="clear" w:color="auto" w:fill="FFFFFF"/>
        </w:rPr>
        <w:t xml:space="preserve"> D., </w:t>
      </w:r>
      <w:r w:rsidRPr="000C546D">
        <w:rPr>
          <w:color w:val="2A2A2A"/>
          <w:szCs w:val="24"/>
          <w:shd w:val="clear" w:color="auto" w:fill="FFFFFF"/>
        </w:rPr>
        <w:t xml:space="preserve"> Herman,</w:t>
      </w:r>
      <w:r w:rsidRPr="000C546D">
        <w:rPr>
          <w:color w:val="2A2A2A"/>
          <w:szCs w:val="24"/>
          <w:shd w:val="clear" w:color="auto" w:fill="FFFFFF"/>
        </w:rPr>
        <w:t xml:space="preserve"> E. (2016).</w:t>
      </w:r>
      <w:r w:rsidRPr="000C546D">
        <w:rPr>
          <w:color w:val="2A2A2A"/>
          <w:szCs w:val="24"/>
          <w:shd w:val="clear" w:color="auto" w:fill="FFFFFF"/>
        </w:rPr>
        <w:t xml:space="preserve"> Scholarly reputation in the digital age and the role of emerging platforms and mechanisms, </w:t>
      </w:r>
      <w:r w:rsidRPr="000C546D">
        <w:rPr>
          <w:rStyle w:val="Emphasis"/>
          <w:color w:val="2A2A2A"/>
          <w:szCs w:val="24"/>
          <w:bdr w:val="none" w:sz="0" w:space="0" w:color="auto" w:frame="1"/>
          <w:shd w:val="clear" w:color="auto" w:fill="FFFFFF"/>
        </w:rPr>
        <w:t>Research Evaluation</w:t>
      </w:r>
      <w:r w:rsidRPr="000C546D">
        <w:rPr>
          <w:color w:val="2A2A2A"/>
          <w:szCs w:val="24"/>
          <w:shd w:val="clear" w:color="auto" w:fill="FFFFFF"/>
        </w:rPr>
        <w:t>, Volume 25, Issue 1, January 2016, Pages 37–49, </w:t>
      </w:r>
      <w:hyperlink r:id="rId14" w:history="1">
        <w:r w:rsidRPr="000C546D">
          <w:rPr>
            <w:rStyle w:val="Hyperlink"/>
            <w:color w:val="006FB7"/>
            <w:szCs w:val="24"/>
            <w:bdr w:val="none" w:sz="0" w:space="0" w:color="auto" w:frame="1"/>
            <w:shd w:val="clear" w:color="auto" w:fill="FFFFFF"/>
          </w:rPr>
          <w:t>https://doi.org/10.1093/reseval/rvv032</w:t>
        </w:r>
      </w:hyperlink>
    </w:p>
    <w:p w14:paraId="5AD8D9A9" w14:textId="77777777" w:rsidR="0010306C" w:rsidRPr="000C546D" w:rsidRDefault="0010306C">
      <w:pPr>
        <w:rPr>
          <w:szCs w:val="24"/>
        </w:rPr>
      </w:pPr>
    </w:p>
    <w:p w14:paraId="772A9D2E" w14:textId="7B510C05" w:rsidR="0010306C" w:rsidRPr="000C546D" w:rsidRDefault="0010306C">
      <w:pPr>
        <w:rPr>
          <w:color w:val="333333"/>
          <w:szCs w:val="24"/>
          <w:shd w:val="clear" w:color="auto" w:fill="FCFCFC"/>
        </w:rPr>
      </w:pPr>
      <w:proofErr w:type="spellStart"/>
      <w:r w:rsidRPr="000C546D">
        <w:rPr>
          <w:color w:val="333333"/>
          <w:szCs w:val="24"/>
          <w:shd w:val="clear" w:color="auto" w:fill="FCFCFC"/>
        </w:rPr>
        <w:t>Kousha</w:t>
      </w:r>
      <w:proofErr w:type="spellEnd"/>
      <w:r w:rsidRPr="000C546D">
        <w:rPr>
          <w:color w:val="333333"/>
          <w:szCs w:val="24"/>
          <w:shd w:val="clear" w:color="auto" w:fill="FCFCFC"/>
        </w:rPr>
        <w:t xml:space="preserve">, K., &amp; </w:t>
      </w:r>
      <w:proofErr w:type="spellStart"/>
      <w:r w:rsidRPr="000C546D">
        <w:rPr>
          <w:color w:val="333333"/>
          <w:szCs w:val="24"/>
          <w:shd w:val="clear" w:color="auto" w:fill="FCFCFC"/>
        </w:rPr>
        <w:t>Thelwall</w:t>
      </w:r>
      <w:proofErr w:type="spellEnd"/>
      <w:r w:rsidRPr="000C546D">
        <w:rPr>
          <w:color w:val="333333"/>
          <w:szCs w:val="24"/>
          <w:shd w:val="clear" w:color="auto" w:fill="FCFCFC"/>
        </w:rPr>
        <w:t>, M. (2014). Web impact metrics for research assessment. In B. Cronin &amp; C. Sugimoto (Eds.), </w:t>
      </w:r>
      <w:r w:rsidRPr="000C546D">
        <w:rPr>
          <w:i/>
          <w:iCs/>
          <w:color w:val="333333"/>
          <w:szCs w:val="24"/>
          <w:shd w:val="clear" w:color="auto" w:fill="FCFCFC"/>
        </w:rPr>
        <w:t>Beyond bibliometrics: Harnessing multidimensional indicators of scholarly impact</w:t>
      </w:r>
      <w:r w:rsidRPr="000C546D">
        <w:rPr>
          <w:color w:val="333333"/>
          <w:szCs w:val="24"/>
          <w:shd w:val="clear" w:color="auto" w:fill="FCFCFC"/>
        </w:rPr>
        <w:t>. Cambridge, MA: MIT Press.</w:t>
      </w:r>
    </w:p>
    <w:p w14:paraId="66ED3B2B" w14:textId="77777777" w:rsidR="00C71B10" w:rsidRPr="000C546D" w:rsidRDefault="00C71B10">
      <w:pPr>
        <w:rPr>
          <w:color w:val="333333"/>
          <w:szCs w:val="24"/>
          <w:shd w:val="clear" w:color="auto" w:fill="FCFCFC"/>
        </w:rPr>
      </w:pPr>
    </w:p>
    <w:p w14:paraId="4945C4D5" w14:textId="3F33BF35" w:rsidR="00C71B10" w:rsidRPr="000C546D" w:rsidRDefault="00C71B10">
      <w:pPr>
        <w:rPr>
          <w:szCs w:val="24"/>
        </w:rPr>
      </w:pPr>
      <w:proofErr w:type="spellStart"/>
      <w:r w:rsidRPr="000C546D">
        <w:rPr>
          <w:color w:val="333333"/>
          <w:szCs w:val="24"/>
          <w:shd w:val="clear" w:color="auto" w:fill="FCFCFC"/>
        </w:rPr>
        <w:t>Kousha</w:t>
      </w:r>
      <w:proofErr w:type="spellEnd"/>
      <w:r w:rsidRPr="000C546D">
        <w:rPr>
          <w:color w:val="333333"/>
          <w:szCs w:val="24"/>
          <w:shd w:val="clear" w:color="auto" w:fill="FCFCFC"/>
        </w:rPr>
        <w:t xml:space="preserve">, K., &amp; </w:t>
      </w:r>
      <w:proofErr w:type="spellStart"/>
      <w:r w:rsidRPr="000C546D">
        <w:rPr>
          <w:color w:val="333333"/>
          <w:szCs w:val="24"/>
          <w:shd w:val="clear" w:color="auto" w:fill="FCFCFC"/>
        </w:rPr>
        <w:t>Thelwall</w:t>
      </w:r>
      <w:proofErr w:type="spellEnd"/>
      <w:r w:rsidRPr="000C546D">
        <w:rPr>
          <w:color w:val="333333"/>
          <w:szCs w:val="24"/>
          <w:shd w:val="clear" w:color="auto" w:fill="FCFCFC"/>
        </w:rPr>
        <w:t>, M. (2006). Motivations for URL citations to open access library and information science articles. </w:t>
      </w:r>
      <w:proofErr w:type="spellStart"/>
      <w:r w:rsidRPr="000C546D">
        <w:rPr>
          <w:i/>
          <w:iCs/>
          <w:color w:val="333333"/>
          <w:szCs w:val="24"/>
          <w:shd w:val="clear" w:color="auto" w:fill="FCFCFC"/>
        </w:rPr>
        <w:t>Scientometrics</w:t>
      </w:r>
      <w:proofErr w:type="spellEnd"/>
      <w:r w:rsidRPr="000C546D">
        <w:rPr>
          <w:i/>
          <w:iCs/>
          <w:color w:val="333333"/>
          <w:szCs w:val="24"/>
          <w:shd w:val="clear" w:color="auto" w:fill="FCFCFC"/>
        </w:rPr>
        <w:t>,</w:t>
      </w:r>
      <w:r w:rsidRPr="000C546D">
        <w:rPr>
          <w:color w:val="333333"/>
          <w:szCs w:val="24"/>
          <w:shd w:val="clear" w:color="auto" w:fill="FCFCFC"/>
        </w:rPr>
        <w:t> </w:t>
      </w:r>
      <w:r w:rsidRPr="000C546D">
        <w:rPr>
          <w:i/>
          <w:iCs/>
          <w:color w:val="333333"/>
          <w:szCs w:val="24"/>
          <w:shd w:val="clear" w:color="auto" w:fill="FCFCFC"/>
        </w:rPr>
        <w:t>68</w:t>
      </w:r>
      <w:r w:rsidRPr="000C546D">
        <w:rPr>
          <w:color w:val="333333"/>
          <w:szCs w:val="24"/>
          <w:shd w:val="clear" w:color="auto" w:fill="FCFCFC"/>
        </w:rPr>
        <w:t>(3), 501–517.</w:t>
      </w:r>
    </w:p>
    <w:p w14:paraId="03BF253F" w14:textId="77777777" w:rsidR="00BC21D6" w:rsidRPr="000C546D" w:rsidRDefault="00BC21D6">
      <w:pPr>
        <w:rPr>
          <w:szCs w:val="24"/>
        </w:rPr>
      </w:pPr>
    </w:p>
    <w:p w14:paraId="7615F0E5" w14:textId="77777777" w:rsidR="00BC21D6" w:rsidRPr="000C546D" w:rsidRDefault="00BC21D6" w:rsidP="00BC21D6">
      <w:pPr>
        <w:rPr>
          <w:rFonts w:eastAsia="Times New Roman"/>
          <w:color w:val="000000"/>
          <w:szCs w:val="24"/>
          <w:lang w:val="en-US" w:eastAsia="en-US"/>
        </w:rPr>
      </w:pPr>
      <w:r w:rsidRPr="00BC21D6">
        <w:rPr>
          <w:rFonts w:eastAsia="Times New Roman"/>
          <w:color w:val="000000"/>
          <w:szCs w:val="24"/>
          <w:lang w:val="en-US" w:eastAsia="en-US"/>
        </w:rPr>
        <w:t xml:space="preserve">Lawson, C., Salter, A., Hughes, A., &amp; </w:t>
      </w:r>
      <w:proofErr w:type="spellStart"/>
      <w:r w:rsidRPr="00BC21D6">
        <w:rPr>
          <w:rFonts w:eastAsia="Times New Roman"/>
          <w:color w:val="000000"/>
          <w:szCs w:val="24"/>
          <w:lang w:val="en-US" w:eastAsia="en-US"/>
        </w:rPr>
        <w:t>Kitson</w:t>
      </w:r>
      <w:proofErr w:type="spellEnd"/>
      <w:r w:rsidRPr="00BC21D6">
        <w:rPr>
          <w:rFonts w:eastAsia="Times New Roman"/>
          <w:color w:val="000000"/>
          <w:szCs w:val="24"/>
          <w:lang w:val="en-US" w:eastAsia="en-US"/>
        </w:rPr>
        <w:t>, M. (2019) Citizens of somewhere: Examining the geography of foreign and native-born academics’ engagement with external actors, Research Policy, 48 (3): 759-774. DOI:https://www.sciencedirect.com/science/article/pii/S0048733318302713</w:t>
      </w:r>
    </w:p>
    <w:p w14:paraId="2C337FD2" w14:textId="77777777" w:rsidR="003542AE" w:rsidRPr="000C546D" w:rsidRDefault="003542AE" w:rsidP="00BC21D6">
      <w:pPr>
        <w:rPr>
          <w:rFonts w:eastAsia="Times New Roman"/>
          <w:color w:val="000000"/>
          <w:szCs w:val="24"/>
          <w:lang w:val="en-US" w:eastAsia="en-US"/>
        </w:rPr>
      </w:pPr>
    </w:p>
    <w:p w14:paraId="35E5E88E" w14:textId="75584AF7" w:rsidR="00C31900" w:rsidRPr="000C546D" w:rsidRDefault="003542AE" w:rsidP="00BC21D6">
      <w:pPr>
        <w:rPr>
          <w:color w:val="1A254C"/>
          <w:szCs w:val="24"/>
          <w:shd w:val="clear" w:color="auto" w:fill="FFFFFF"/>
        </w:rPr>
      </w:pPr>
      <w:r w:rsidRPr="000C546D">
        <w:rPr>
          <w:color w:val="1A254C"/>
          <w:szCs w:val="24"/>
          <w:shd w:val="clear" w:color="auto" w:fill="FFFFFF"/>
        </w:rPr>
        <w:t>Maloney S, </w:t>
      </w:r>
      <w:proofErr w:type="spellStart"/>
      <w:r w:rsidRPr="000C546D">
        <w:rPr>
          <w:color w:val="1A254C"/>
          <w:szCs w:val="24"/>
          <w:shd w:val="clear" w:color="auto" w:fill="FFFFFF"/>
        </w:rPr>
        <w:t>Tunnecliff</w:t>
      </w:r>
      <w:proofErr w:type="spellEnd"/>
      <w:r w:rsidRPr="000C546D">
        <w:rPr>
          <w:color w:val="1A254C"/>
          <w:szCs w:val="24"/>
          <w:shd w:val="clear" w:color="auto" w:fill="FFFFFF"/>
        </w:rPr>
        <w:t xml:space="preserve"> J, Morgan P, </w:t>
      </w:r>
      <w:proofErr w:type="spellStart"/>
      <w:r w:rsidRPr="000C546D">
        <w:rPr>
          <w:color w:val="1A254C"/>
          <w:szCs w:val="24"/>
          <w:shd w:val="clear" w:color="auto" w:fill="FFFFFF"/>
        </w:rPr>
        <w:t>Gaida</w:t>
      </w:r>
      <w:proofErr w:type="spellEnd"/>
      <w:r w:rsidRPr="000C546D">
        <w:rPr>
          <w:color w:val="1A254C"/>
          <w:szCs w:val="24"/>
          <w:shd w:val="clear" w:color="auto" w:fill="FFFFFF"/>
        </w:rPr>
        <w:t xml:space="preserve"> JE, </w:t>
      </w:r>
      <w:proofErr w:type="spellStart"/>
      <w:r w:rsidRPr="000C546D">
        <w:rPr>
          <w:color w:val="1A254C"/>
          <w:szCs w:val="24"/>
          <w:shd w:val="clear" w:color="auto" w:fill="FFFFFF"/>
        </w:rPr>
        <w:t>Clearihan</w:t>
      </w:r>
      <w:proofErr w:type="spellEnd"/>
      <w:r w:rsidRPr="000C546D">
        <w:rPr>
          <w:color w:val="1A254C"/>
          <w:szCs w:val="24"/>
          <w:shd w:val="clear" w:color="auto" w:fill="FFFFFF"/>
        </w:rPr>
        <w:t xml:space="preserve"> L, </w:t>
      </w:r>
      <w:proofErr w:type="spellStart"/>
      <w:r w:rsidRPr="000C546D">
        <w:rPr>
          <w:color w:val="1A254C"/>
          <w:szCs w:val="24"/>
          <w:shd w:val="clear" w:color="auto" w:fill="FFFFFF"/>
        </w:rPr>
        <w:t>Sadasivan</w:t>
      </w:r>
      <w:proofErr w:type="spellEnd"/>
      <w:r w:rsidRPr="000C546D">
        <w:rPr>
          <w:color w:val="1A254C"/>
          <w:szCs w:val="24"/>
          <w:shd w:val="clear" w:color="auto" w:fill="FFFFFF"/>
        </w:rPr>
        <w:t xml:space="preserve"> S, Davies D, Ganesh S, Mohanty P, Weiner J, Reynolds J, Ilic D</w:t>
      </w:r>
      <w:r w:rsidR="00B75AE6" w:rsidRPr="000C546D">
        <w:rPr>
          <w:color w:val="1A254C"/>
          <w:szCs w:val="24"/>
          <w:shd w:val="clear" w:color="auto" w:fill="FFFFFF"/>
        </w:rPr>
        <w:t xml:space="preserve">. (2015) </w:t>
      </w:r>
      <w:r w:rsidRPr="000C546D">
        <w:rPr>
          <w:color w:val="1A254C"/>
          <w:szCs w:val="24"/>
          <w:shd w:val="clear" w:color="auto" w:fill="FFFFFF"/>
        </w:rPr>
        <w:t>Translating Evidence Into Practice via Social Media: A Mixed-Methods Study</w:t>
      </w:r>
      <w:r w:rsidR="00B75AE6" w:rsidRPr="000C546D">
        <w:rPr>
          <w:color w:val="1A254C"/>
          <w:szCs w:val="24"/>
          <w:shd w:val="clear" w:color="auto" w:fill="FFFFFF"/>
        </w:rPr>
        <w:t xml:space="preserve">, </w:t>
      </w:r>
      <w:r w:rsidRPr="000C546D">
        <w:rPr>
          <w:i/>
          <w:iCs/>
          <w:color w:val="1A254C"/>
          <w:szCs w:val="24"/>
          <w:shd w:val="clear" w:color="auto" w:fill="FFFFFF"/>
        </w:rPr>
        <w:t>J Med Internet Res</w:t>
      </w:r>
      <w:r w:rsidR="00ED7E98" w:rsidRPr="000C546D">
        <w:rPr>
          <w:color w:val="1A254C"/>
          <w:szCs w:val="24"/>
          <w:shd w:val="clear" w:color="auto" w:fill="FFFFFF"/>
        </w:rPr>
        <w:t xml:space="preserve"> </w:t>
      </w:r>
      <w:r w:rsidRPr="000C546D">
        <w:rPr>
          <w:color w:val="1A254C"/>
          <w:szCs w:val="24"/>
          <w:shd w:val="clear" w:color="auto" w:fill="FFFFFF"/>
        </w:rPr>
        <w:t>17(10)</w:t>
      </w:r>
    </w:p>
    <w:p w14:paraId="78BDC407" w14:textId="77777777" w:rsidR="007B58E8" w:rsidRPr="000C546D" w:rsidRDefault="007B58E8" w:rsidP="00BC21D6">
      <w:pPr>
        <w:rPr>
          <w:color w:val="1A254C"/>
          <w:szCs w:val="24"/>
          <w:shd w:val="clear" w:color="auto" w:fill="FFFFFF"/>
        </w:rPr>
      </w:pPr>
    </w:p>
    <w:p w14:paraId="257FCB00" w14:textId="1BD17409" w:rsidR="007B58E8" w:rsidRPr="000C546D" w:rsidRDefault="007B58E8" w:rsidP="00BC21D6">
      <w:pPr>
        <w:rPr>
          <w:rFonts w:eastAsia="Times New Roman"/>
          <w:color w:val="000000"/>
          <w:szCs w:val="24"/>
          <w:lang w:val="en-US" w:eastAsia="en-US"/>
        </w:rPr>
      </w:pPr>
      <w:r w:rsidRPr="000C546D">
        <w:rPr>
          <w:color w:val="333333"/>
          <w:szCs w:val="24"/>
          <w:shd w:val="clear" w:color="auto" w:fill="FCFCFC"/>
        </w:rPr>
        <w:t>Mas-</w:t>
      </w:r>
      <w:proofErr w:type="spellStart"/>
      <w:r w:rsidRPr="000C546D">
        <w:rPr>
          <w:color w:val="333333"/>
          <w:szCs w:val="24"/>
          <w:shd w:val="clear" w:color="auto" w:fill="FCFCFC"/>
        </w:rPr>
        <w:t>Bleda</w:t>
      </w:r>
      <w:proofErr w:type="spellEnd"/>
      <w:r w:rsidRPr="000C546D">
        <w:rPr>
          <w:color w:val="333333"/>
          <w:szCs w:val="24"/>
          <w:shd w:val="clear" w:color="auto" w:fill="FCFCFC"/>
        </w:rPr>
        <w:t xml:space="preserve">, A., </w:t>
      </w:r>
      <w:proofErr w:type="spellStart"/>
      <w:r w:rsidRPr="000C546D">
        <w:rPr>
          <w:color w:val="333333"/>
          <w:szCs w:val="24"/>
          <w:shd w:val="clear" w:color="auto" w:fill="FCFCFC"/>
        </w:rPr>
        <w:t>Thelwall</w:t>
      </w:r>
      <w:proofErr w:type="spellEnd"/>
      <w:r w:rsidRPr="000C546D">
        <w:rPr>
          <w:color w:val="333333"/>
          <w:szCs w:val="24"/>
          <w:shd w:val="clear" w:color="auto" w:fill="FCFCFC"/>
        </w:rPr>
        <w:t xml:space="preserve">, M., </w:t>
      </w:r>
      <w:proofErr w:type="spellStart"/>
      <w:r w:rsidRPr="000C546D">
        <w:rPr>
          <w:color w:val="333333"/>
          <w:szCs w:val="24"/>
          <w:shd w:val="clear" w:color="auto" w:fill="FCFCFC"/>
        </w:rPr>
        <w:t>Kousha</w:t>
      </w:r>
      <w:proofErr w:type="spellEnd"/>
      <w:r w:rsidRPr="000C546D">
        <w:rPr>
          <w:color w:val="333333"/>
          <w:szCs w:val="24"/>
          <w:shd w:val="clear" w:color="auto" w:fill="FCFCFC"/>
        </w:rPr>
        <w:t>, K. </w:t>
      </w:r>
      <w:r w:rsidRPr="000C546D">
        <w:rPr>
          <w:i/>
          <w:iCs/>
          <w:color w:val="333333"/>
          <w:szCs w:val="24"/>
          <w:shd w:val="clear" w:color="auto" w:fill="FCFCFC"/>
        </w:rPr>
        <w:t>et al.</w:t>
      </w:r>
      <w:r w:rsidRPr="000C546D">
        <w:rPr>
          <w:color w:val="333333"/>
          <w:szCs w:val="24"/>
          <w:shd w:val="clear" w:color="auto" w:fill="FCFCFC"/>
        </w:rPr>
        <w:t> </w:t>
      </w:r>
      <w:r w:rsidR="0017519D" w:rsidRPr="000C546D">
        <w:rPr>
          <w:color w:val="333333"/>
          <w:szCs w:val="24"/>
          <w:shd w:val="clear" w:color="auto" w:fill="FCFCFC"/>
        </w:rPr>
        <w:t xml:space="preserve">(2014). </w:t>
      </w:r>
      <w:r w:rsidRPr="000C546D">
        <w:rPr>
          <w:color w:val="333333"/>
          <w:szCs w:val="24"/>
          <w:shd w:val="clear" w:color="auto" w:fill="FCFCFC"/>
        </w:rPr>
        <w:t>Do highly cited researchers successfully use the social web?. </w:t>
      </w:r>
      <w:proofErr w:type="spellStart"/>
      <w:r w:rsidRPr="000C546D">
        <w:rPr>
          <w:i/>
          <w:iCs/>
          <w:color w:val="333333"/>
          <w:szCs w:val="24"/>
          <w:shd w:val="clear" w:color="auto" w:fill="FCFCFC"/>
        </w:rPr>
        <w:t>Scientometrics</w:t>
      </w:r>
      <w:proofErr w:type="spellEnd"/>
      <w:r w:rsidRPr="000C546D">
        <w:rPr>
          <w:color w:val="333333"/>
          <w:szCs w:val="24"/>
          <w:shd w:val="clear" w:color="auto" w:fill="FCFCFC"/>
        </w:rPr>
        <w:t> </w:t>
      </w:r>
      <w:r w:rsidRPr="000C546D">
        <w:rPr>
          <w:b/>
          <w:bCs/>
          <w:color w:val="333333"/>
          <w:szCs w:val="24"/>
          <w:shd w:val="clear" w:color="auto" w:fill="FCFCFC"/>
        </w:rPr>
        <w:t>101</w:t>
      </w:r>
      <w:r w:rsidRPr="000C546D">
        <w:rPr>
          <w:color w:val="333333"/>
          <w:szCs w:val="24"/>
          <w:shd w:val="clear" w:color="auto" w:fill="FCFCFC"/>
        </w:rPr>
        <w:t>, 337–356</w:t>
      </w:r>
      <w:r w:rsidR="0017519D" w:rsidRPr="000C546D">
        <w:rPr>
          <w:color w:val="333333"/>
          <w:szCs w:val="24"/>
          <w:shd w:val="clear" w:color="auto" w:fill="FCFCFC"/>
        </w:rPr>
        <w:t xml:space="preserve">. </w:t>
      </w:r>
      <w:r w:rsidRPr="000C546D">
        <w:rPr>
          <w:color w:val="333333"/>
          <w:szCs w:val="24"/>
          <w:shd w:val="clear" w:color="auto" w:fill="FCFCFC"/>
        </w:rPr>
        <w:t>https://doi.org/10.1007/s11192-014-1345-0</w:t>
      </w:r>
    </w:p>
    <w:p w14:paraId="6711A70F" w14:textId="77777777" w:rsidR="003542AE" w:rsidRPr="000C546D" w:rsidRDefault="003542AE" w:rsidP="00BC21D6">
      <w:pPr>
        <w:rPr>
          <w:rFonts w:eastAsia="Times New Roman"/>
          <w:color w:val="000000"/>
          <w:szCs w:val="24"/>
          <w:lang w:val="en-US" w:eastAsia="en-US"/>
        </w:rPr>
      </w:pPr>
    </w:p>
    <w:p w14:paraId="2BA79E1E" w14:textId="5A713EF6" w:rsidR="00C31900" w:rsidRPr="000C546D" w:rsidRDefault="00C31900" w:rsidP="00BC21D6">
      <w:pPr>
        <w:rPr>
          <w:rFonts w:eastAsia="Times New Roman"/>
          <w:color w:val="000000"/>
          <w:szCs w:val="24"/>
          <w:lang w:val="en-US" w:eastAsia="en-US"/>
        </w:rPr>
      </w:pPr>
      <w:r w:rsidRPr="000C546D">
        <w:rPr>
          <w:color w:val="212121"/>
          <w:szCs w:val="24"/>
          <w:shd w:val="clear" w:color="auto" w:fill="FFFFFF"/>
        </w:rPr>
        <w:t>Melkers J, Hicks D, Rosenblum S, Isett KR, &amp; Elliott J. (2017) </w:t>
      </w:r>
      <w:r w:rsidRPr="000C546D">
        <w:rPr>
          <w:rStyle w:val="ref-title"/>
          <w:color w:val="212121"/>
          <w:szCs w:val="24"/>
          <w:shd w:val="clear" w:color="auto" w:fill="FFFFFF"/>
        </w:rPr>
        <w:t>Dental Blogs, Podcasts, and Associated Social Media: Descriptive Mapping and Analysis</w:t>
      </w:r>
      <w:r w:rsidRPr="000C546D">
        <w:rPr>
          <w:color w:val="212121"/>
          <w:szCs w:val="24"/>
          <w:shd w:val="clear" w:color="auto" w:fill="FFFFFF"/>
        </w:rPr>
        <w:t>. </w:t>
      </w:r>
      <w:r w:rsidRPr="000C546D">
        <w:rPr>
          <w:rStyle w:val="ref-journal"/>
          <w:i/>
          <w:iCs/>
          <w:color w:val="212121"/>
          <w:szCs w:val="24"/>
          <w:shd w:val="clear" w:color="auto" w:fill="FFFFFF"/>
        </w:rPr>
        <w:t>J Med Internet Res</w:t>
      </w:r>
      <w:r w:rsidRPr="000C546D">
        <w:rPr>
          <w:color w:val="212121"/>
          <w:szCs w:val="24"/>
          <w:shd w:val="clear" w:color="auto" w:fill="FFFFFF"/>
        </w:rPr>
        <w:t>. </w:t>
      </w:r>
      <w:r w:rsidRPr="000C546D">
        <w:rPr>
          <w:rStyle w:val="ref-vol"/>
          <w:color w:val="212121"/>
          <w:szCs w:val="24"/>
          <w:shd w:val="clear" w:color="auto" w:fill="FFFFFF"/>
        </w:rPr>
        <w:t>19</w:t>
      </w:r>
      <w:r w:rsidRPr="000C546D">
        <w:rPr>
          <w:color w:val="212121"/>
          <w:szCs w:val="24"/>
          <w:shd w:val="clear" w:color="auto" w:fill="FFFFFF"/>
        </w:rPr>
        <w:t>(</w:t>
      </w:r>
      <w:r w:rsidRPr="000C546D">
        <w:rPr>
          <w:rStyle w:val="ref-iss"/>
          <w:color w:val="212121"/>
          <w:szCs w:val="24"/>
          <w:shd w:val="clear" w:color="auto" w:fill="FFFFFF"/>
        </w:rPr>
        <w:t>7</w:t>
      </w:r>
      <w:r w:rsidRPr="000C546D">
        <w:rPr>
          <w:color w:val="212121"/>
          <w:szCs w:val="24"/>
          <w:shd w:val="clear" w:color="auto" w:fill="FFFFFF"/>
        </w:rPr>
        <w:t xml:space="preserve">). </w:t>
      </w:r>
      <w:proofErr w:type="spellStart"/>
      <w:r w:rsidRPr="000C546D">
        <w:rPr>
          <w:color w:val="212121"/>
          <w:szCs w:val="24"/>
          <w:shd w:val="clear" w:color="auto" w:fill="FFFFFF"/>
        </w:rPr>
        <w:t>doi</w:t>
      </w:r>
      <w:proofErr w:type="spellEnd"/>
      <w:r w:rsidRPr="000C546D">
        <w:rPr>
          <w:color w:val="212121"/>
          <w:szCs w:val="24"/>
          <w:shd w:val="clear" w:color="auto" w:fill="FFFFFF"/>
        </w:rPr>
        <w:t>: 10.2196/jmir.7868</w:t>
      </w:r>
    </w:p>
    <w:p w14:paraId="010ACE95" w14:textId="77777777" w:rsidR="003D50CC" w:rsidRPr="000C546D" w:rsidRDefault="003D50CC" w:rsidP="00BC21D6">
      <w:pPr>
        <w:rPr>
          <w:rFonts w:eastAsia="Times New Roman"/>
          <w:color w:val="000000"/>
          <w:szCs w:val="24"/>
          <w:lang w:val="en-US" w:eastAsia="en-US"/>
        </w:rPr>
      </w:pPr>
    </w:p>
    <w:p w14:paraId="25E40738" w14:textId="0B011FE1" w:rsidR="003D50CC" w:rsidRPr="000C546D" w:rsidRDefault="003D50CC" w:rsidP="00BC21D6">
      <w:pPr>
        <w:rPr>
          <w:color w:val="333333"/>
          <w:szCs w:val="24"/>
          <w:shd w:val="clear" w:color="auto" w:fill="FCFCFC"/>
        </w:rPr>
      </w:pPr>
      <w:proofErr w:type="spellStart"/>
      <w:r w:rsidRPr="000C546D">
        <w:rPr>
          <w:color w:val="333333"/>
          <w:szCs w:val="24"/>
          <w:shd w:val="clear" w:color="auto" w:fill="FCFCFC"/>
        </w:rPr>
        <w:t>Nentwich</w:t>
      </w:r>
      <w:proofErr w:type="spellEnd"/>
      <w:r w:rsidRPr="000C546D">
        <w:rPr>
          <w:color w:val="333333"/>
          <w:szCs w:val="24"/>
          <w:shd w:val="clear" w:color="auto" w:fill="FCFCFC"/>
        </w:rPr>
        <w:t xml:space="preserve">, M., König, R. (2014). Academia Goes Facebook? The Potential of Social Network Sites in the Scholarly Realm. In: </w:t>
      </w:r>
      <w:proofErr w:type="spellStart"/>
      <w:r w:rsidRPr="000C546D">
        <w:rPr>
          <w:color w:val="333333"/>
          <w:szCs w:val="24"/>
          <w:shd w:val="clear" w:color="auto" w:fill="FCFCFC"/>
        </w:rPr>
        <w:t>Bartling</w:t>
      </w:r>
      <w:proofErr w:type="spellEnd"/>
      <w:r w:rsidRPr="000C546D">
        <w:rPr>
          <w:color w:val="333333"/>
          <w:szCs w:val="24"/>
          <w:shd w:val="clear" w:color="auto" w:fill="FCFCFC"/>
        </w:rPr>
        <w:t xml:space="preserve">, S., </w:t>
      </w:r>
      <w:proofErr w:type="spellStart"/>
      <w:r w:rsidRPr="000C546D">
        <w:rPr>
          <w:color w:val="333333"/>
          <w:szCs w:val="24"/>
          <w:shd w:val="clear" w:color="auto" w:fill="FCFCFC"/>
        </w:rPr>
        <w:t>Friesike</w:t>
      </w:r>
      <w:proofErr w:type="spellEnd"/>
      <w:r w:rsidRPr="000C546D">
        <w:rPr>
          <w:color w:val="333333"/>
          <w:szCs w:val="24"/>
          <w:shd w:val="clear" w:color="auto" w:fill="FCFCFC"/>
        </w:rPr>
        <w:t xml:space="preserve">, S. (eds) Opening Science. Springer, Cham. </w:t>
      </w:r>
      <w:hyperlink r:id="rId15" w:history="1">
        <w:r w:rsidR="00A55078" w:rsidRPr="000C546D">
          <w:rPr>
            <w:rStyle w:val="Hyperlink"/>
            <w:szCs w:val="24"/>
            <w:shd w:val="clear" w:color="auto" w:fill="FCFCFC"/>
          </w:rPr>
          <w:t>https://doi.org/10.1007/978-3-319-00026-8_7</w:t>
        </w:r>
      </w:hyperlink>
    </w:p>
    <w:p w14:paraId="7F7DE251" w14:textId="77777777" w:rsidR="00A55078" w:rsidRPr="000C546D" w:rsidRDefault="00A55078" w:rsidP="00BC21D6">
      <w:pPr>
        <w:rPr>
          <w:color w:val="333333"/>
          <w:szCs w:val="24"/>
          <w:shd w:val="clear" w:color="auto" w:fill="FCFCFC"/>
        </w:rPr>
      </w:pPr>
    </w:p>
    <w:p w14:paraId="78E89685" w14:textId="0E905DC2" w:rsidR="00A55078" w:rsidRPr="000C546D" w:rsidRDefault="00A55078" w:rsidP="00BC21D6">
      <w:pPr>
        <w:rPr>
          <w:rFonts w:eastAsia="Times New Roman"/>
          <w:color w:val="000000"/>
          <w:szCs w:val="24"/>
          <w:lang w:val="en-US" w:eastAsia="en-US"/>
        </w:rPr>
      </w:pPr>
      <w:r w:rsidRPr="000C546D">
        <w:rPr>
          <w:color w:val="1C1D1E"/>
          <w:szCs w:val="24"/>
          <w:shd w:val="clear" w:color="auto" w:fill="FFFFFF"/>
        </w:rPr>
        <w:t>Nikolaou, I. (2014), Using Social Networking Web Sites. Int J Select Assess, 22: 179-189. </w:t>
      </w:r>
      <w:hyperlink r:id="rId16" w:history="1">
        <w:r w:rsidRPr="000C546D">
          <w:rPr>
            <w:rStyle w:val="Hyperlink"/>
            <w:color w:val="005274"/>
            <w:szCs w:val="24"/>
            <w:shd w:val="clear" w:color="auto" w:fill="FFFFFF"/>
          </w:rPr>
          <w:t>https://doi.org/10.1111/ijsa.12067</w:t>
        </w:r>
      </w:hyperlink>
    </w:p>
    <w:p w14:paraId="3239089C" w14:textId="77777777" w:rsidR="00951749" w:rsidRPr="000C546D" w:rsidRDefault="00951749" w:rsidP="00BC21D6">
      <w:pPr>
        <w:rPr>
          <w:rFonts w:eastAsia="Times New Roman"/>
          <w:color w:val="000000"/>
          <w:szCs w:val="24"/>
          <w:lang w:val="en-US" w:eastAsia="en-US"/>
        </w:rPr>
      </w:pPr>
    </w:p>
    <w:p w14:paraId="571F4995" w14:textId="44AC80FE" w:rsidR="00951749" w:rsidRPr="000C546D" w:rsidRDefault="00951749" w:rsidP="00BC21D6">
      <w:pPr>
        <w:rPr>
          <w:rStyle w:val="aat"/>
          <w:color w:val="000000"/>
          <w:szCs w:val="24"/>
          <w:shd w:val="clear" w:color="auto" w:fill="FFFFFF"/>
        </w:rPr>
      </w:pPr>
      <w:proofErr w:type="spellStart"/>
      <w:r w:rsidRPr="000C546D">
        <w:rPr>
          <w:color w:val="000000"/>
          <w:szCs w:val="24"/>
          <w:shd w:val="clear" w:color="auto" w:fill="FFFFFF"/>
        </w:rPr>
        <w:t>Shibayama,S</w:t>
      </w:r>
      <w:proofErr w:type="spellEnd"/>
      <w:r w:rsidRPr="000C546D">
        <w:rPr>
          <w:color w:val="000000"/>
          <w:szCs w:val="24"/>
          <w:shd w:val="clear" w:color="auto" w:fill="FFFFFF"/>
        </w:rPr>
        <w:t xml:space="preserve"> &amp; Lawson, C (2021) The use of rewards in the sharing of research resources, Research Policy 50 (7). DOI: https://doi.org/10.1016/j.respol.2021.104260.</w:t>
      </w:r>
      <w:r w:rsidRPr="000C546D">
        <w:rPr>
          <w:rStyle w:val="aat"/>
          <w:color w:val="000000"/>
          <w:szCs w:val="24"/>
          <w:shd w:val="clear" w:color="auto" w:fill="FFFFFF"/>
        </w:rPr>
        <w:t> </w:t>
      </w:r>
    </w:p>
    <w:p w14:paraId="6465E34F" w14:textId="77777777" w:rsidR="00D722F3" w:rsidRPr="000C546D" w:rsidRDefault="00D722F3" w:rsidP="00BC21D6">
      <w:pPr>
        <w:rPr>
          <w:rStyle w:val="aat"/>
          <w:color w:val="000000"/>
          <w:szCs w:val="24"/>
          <w:shd w:val="clear" w:color="auto" w:fill="FFFFFF"/>
        </w:rPr>
      </w:pPr>
    </w:p>
    <w:p w14:paraId="088A56E4" w14:textId="2CC17D47" w:rsidR="00D722F3" w:rsidRPr="000C546D" w:rsidRDefault="00D722F3" w:rsidP="00BC21D6">
      <w:pPr>
        <w:rPr>
          <w:color w:val="232323"/>
          <w:szCs w:val="24"/>
          <w:shd w:val="clear" w:color="auto" w:fill="FFFFFF"/>
        </w:rPr>
      </w:pPr>
      <w:r w:rsidRPr="000C546D">
        <w:rPr>
          <w:color w:val="232323"/>
          <w:szCs w:val="24"/>
          <w:shd w:val="clear" w:color="auto" w:fill="FFFFFF"/>
        </w:rPr>
        <w:t xml:space="preserve">Skeels, M. and </w:t>
      </w:r>
      <w:proofErr w:type="spellStart"/>
      <w:r w:rsidRPr="000C546D">
        <w:rPr>
          <w:color w:val="232323"/>
          <w:szCs w:val="24"/>
          <w:shd w:val="clear" w:color="auto" w:fill="FFFFFF"/>
        </w:rPr>
        <w:t>Grudin</w:t>
      </w:r>
      <w:proofErr w:type="spellEnd"/>
      <w:r w:rsidRPr="000C546D">
        <w:rPr>
          <w:color w:val="232323"/>
          <w:szCs w:val="24"/>
          <w:shd w:val="clear" w:color="auto" w:fill="FFFFFF"/>
        </w:rPr>
        <w:t xml:space="preserve">, J. (2009) When Social Networks cross Boundaries: A Case Study of Workplace Use of Facebook and </w:t>
      </w:r>
      <w:proofErr w:type="spellStart"/>
      <w:r w:rsidRPr="000C546D">
        <w:rPr>
          <w:color w:val="232323"/>
          <w:szCs w:val="24"/>
          <w:shd w:val="clear" w:color="auto" w:fill="FFFFFF"/>
        </w:rPr>
        <w:t>Linkedin</w:t>
      </w:r>
      <w:proofErr w:type="spellEnd"/>
      <w:r w:rsidRPr="000C546D">
        <w:rPr>
          <w:color w:val="232323"/>
          <w:szCs w:val="24"/>
          <w:shd w:val="clear" w:color="auto" w:fill="FFFFFF"/>
        </w:rPr>
        <w:t>. Proceedings of the ACM 2009 International Conference on Supporting Group Work, Sanibel Island, 10-13 May 2009, 95-104.</w:t>
      </w:r>
    </w:p>
    <w:p w14:paraId="68558924" w14:textId="77777777" w:rsidR="00E80017" w:rsidRPr="000C546D" w:rsidRDefault="00E80017" w:rsidP="00BC21D6">
      <w:pPr>
        <w:rPr>
          <w:color w:val="232323"/>
          <w:szCs w:val="24"/>
          <w:shd w:val="clear" w:color="auto" w:fill="FFFFFF"/>
        </w:rPr>
      </w:pPr>
    </w:p>
    <w:p w14:paraId="72D2CC2E" w14:textId="578C9196" w:rsidR="00E80017" w:rsidRPr="000C546D" w:rsidRDefault="00E80017" w:rsidP="00BC21D6">
      <w:pPr>
        <w:rPr>
          <w:color w:val="232323"/>
          <w:szCs w:val="24"/>
          <w:shd w:val="clear" w:color="auto" w:fill="FFFFFF"/>
        </w:rPr>
      </w:pPr>
      <w:r w:rsidRPr="000C546D">
        <w:rPr>
          <w:rStyle w:val="author"/>
          <w:color w:val="1C1D1E"/>
          <w:szCs w:val="24"/>
          <w:shd w:val="clear" w:color="auto" w:fill="EFEFF0"/>
        </w:rPr>
        <w:t>Ortega, J.L.</w:t>
      </w:r>
      <w:r w:rsidRPr="000C546D">
        <w:rPr>
          <w:color w:val="1C1D1E"/>
          <w:szCs w:val="24"/>
          <w:shd w:val="clear" w:color="auto" w:fill="EFEFF0"/>
        </w:rPr>
        <w:t> (</w:t>
      </w:r>
      <w:r w:rsidRPr="000C546D">
        <w:rPr>
          <w:rStyle w:val="pubyear"/>
          <w:color w:val="1C1D1E"/>
          <w:szCs w:val="24"/>
          <w:shd w:val="clear" w:color="auto" w:fill="EFEFF0"/>
        </w:rPr>
        <w:t>2015</w:t>
      </w:r>
      <w:r w:rsidRPr="000C546D">
        <w:rPr>
          <w:color w:val="1C1D1E"/>
          <w:szCs w:val="24"/>
          <w:shd w:val="clear" w:color="auto" w:fill="EFEFF0"/>
        </w:rPr>
        <w:t>). </w:t>
      </w:r>
      <w:r w:rsidRPr="000C546D">
        <w:rPr>
          <w:rStyle w:val="articletitle"/>
          <w:color w:val="1C1D1E"/>
          <w:szCs w:val="24"/>
          <w:shd w:val="clear" w:color="auto" w:fill="EFEFF0"/>
        </w:rPr>
        <w:t xml:space="preserve">Relationship between </w:t>
      </w:r>
      <w:proofErr w:type="spellStart"/>
      <w:r w:rsidRPr="000C546D">
        <w:rPr>
          <w:rStyle w:val="articletitle"/>
          <w:color w:val="1C1D1E"/>
          <w:szCs w:val="24"/>
          <w:shd w:val="clear" w:color="auto" w:fill="EFEFF0"/>
        </w:rPr>
        <w:t>altmetric</w:t>
      </w:r>
      <w:proofErr w:type="spellEnd"/>
      <w:r w:rsidRPr="000C546D">
        <w:rPr>
          <w:rStyle w:val="articletitle"/>
          <w:color w:val="1C1D1E"/>
          <w:szCs w:val="24"/>
          <w:shd w:val="clear" w:color="auto" w:fill="EFEFF0"/>
        </w:rPr>
        <w:t xml:space="preserve"> and bibliometric indicators across academic social sites: The case of CSIC's members</w:t>
      </w:r>
      <w:r w:rsidRPr="000C546D">
        <w:rPr>
          <w:color w:val="1C1D1E"/>
          <w:szCs w:val="24"/>
          <w:shd w:val="clear" w:color="auto" w:fill="EFEFF0"/>
        </w:rPr>
        <w:t>. </w:t>
      </w:r>
      <w:r w:rsidRPr="000C546D">
        <w:rPr>
          <w:rStyle w:val="journaltitle"/>
          <w:i/>
          <w:iCs/>
          <w:color w:val="1C1D1E"/>
          <w:szCs w:val="24"/>
          <w:shd w:val="clear" w:color="auto" w:fill="EFEFF0"/>
        </w:rPr>
        <w:t xml:space="preserve">Journal of </w:t>
      </w:r>
      <w:proofErr w:type="spellStart"/>
      <w:r w:rsidRPr="000C546D">
        <w:rPr>
          <w:rStyle w:val="journaltitle"/>
          <w:i/>
          <w:iCs/>
          <w:color w:val="1C1D1E"/>
          <w:szCs w:val="24"/>
          <w:shd w:val="clear" w:color="auto" w:fill="EFEFF0"/>
        </w:rPr>
        <w:t>Informetrics</w:t>
      </w:r>
      <w:proofErr w:type="spellEnd"/>
      <w:r w:rsidRPr="000C546D">
        <w:rPr>
          <w:color w:val="1C1D1E"/>
          <w:szCs w:val="24"/>
          <w:shd w:val="clear" w:color="auto" w:fill="EFEFF0"/>
        </w:rPr>
        <w:t>, </w:t>
      </w:r>
      <w:r w:rsidRPr="000C546D">
        <w:rPr>
          <w:rStyle w:val="vol"/>
          <w:b/>
          <w:bCs/>
          <w:color w:val="1C1D1E"/>
          <w:szCs w:val="24"/>
          <w:shd w:val="clear" w:color="auto" w:fill="EFEFF0"/>
        </w:rPr>
        <w:t>9</w:t>
      </w:r>
      <w:r w:rsidRPr="000C546D">
        <w:rPr>
          <w:color w:val="1C1D1E"/>
          <w:szCs w:val="24"/>
          <w:shd w:val="clear" w:color="auto" w:fill="EFEFF0"/>
        </w:rPr>
        <w:t>, </w:t>
      </w:r>
      <w:r w:rsidRPr="000C546D">
        <w:rPr>
          <w:rStyle w:val="pagefirst"/>
          <w:color w:val="1C1D1E"/>
          <w:szCs w:val="24"/>
          <w:shd w:val="clear" w:color="auto" w:fill="EFEFF0"/>
        </w:rPr>
        <w:t>39</w:t>
      </w:r>
      <w:r w:rsidRPr="000C546D">
        <w:rPr>
          <w:color w:val="1C1D1E"/>
          <w:szCs w:val="24"/>
          <w:shd w:val="clear" w:color="auto" w:fill="EFEFF0"/>
        </w:rPr>
        <w:t>–</w:t>
      </w:r>
      <w:r w:rsidRPr="000C546D">
        <w:rPr>
          <w:rStyle w:val="pagelast"/>
          <w:color w:val="1C1D1E"/>
          <w:szCs w:val="24"/>
          <w:shd w:val="clear" w:color="auto" w:fill="EFEFF0"/>
        </w:rPr>
        <w:t>49</w:t>
      </w:r>
      <w:r w:rsidRPr="000C546D">
        <w:rPr>
          <w:color w:val="1C1D1E"/>
          <w:szCs w:val="24"/>
          <w:shd w:val="clear" w:color="auto" w:fill="EFEFF0"/>
        </w:rPr>
        <w:t>. </w:t>
      </w:r>
      <w:hyperlink r:id="rId17" w:history="1">
        <w:r w:rsidRPr="000C546D">
          <w:rPr>
            <w:rStyle w:val="Hyperlink"/>
            <w:color w:val="5E5E5E"/>
            <w:szCs w:val="24"/>
            <w:shd w:val="clear" w:color="auto" w:fill="EFEFF0"/>
          </w:rPr>
          <w:t>http://doi.org/10.1016/j.joi.2014.11.004</w:t>
        </w:r>
      </w:hyperlink>
    </w:p>
    <w:p w14:paraId="3685BBD6" w14:textId="77777777" w:rsidR="00BF423C" w:rsidRPr="000C546D" w:rsidRDefault="00BF423C" w:rsidP="00BC21D6">
      <w:pPr>
        <w:rPr>
          <w:color w:val="232323"/>
          <w:szCs w:val="24"/>
          <w:shd w:val="clear" w:color="auto" w:fill="FFFFFF"/>
        </w:rPr>
      </w:pPr>
    </w:p>
    <w:p w14:paraId="30A822DE" w14:textId="1851273D" w:rsidR="00BF423C" w:rsidRPr="000C546D" w:rsidRDefault="00BF423C" w:rsidP="00BC21D6">
      <w:pPr>
        <w:rPr>
          <w:rStyle w:val="aat"/>
          <w:color w:val="000000"/>
          <w:szCs w:val="24"/>
          <w:shd w:val="clear" w:color="auto" w:fill="FFFFFF"/>
        </w:rPr>
      </w:pPr>
      <w:r w:rsidRPr="000C546D">
        <w:rPr>
          <w:color w:val="1C1D1E"/>
          <w:szCs w:val="24"/>
          <w:shd w:val="clear" w:color="auto" w:fill="FFFFFF"/>
        </w:rPr>
        <w:t xml:space="preserve">Sugimoto, C.R., Work, S., </w:t>
      </w:r>
      <w:proofErr w:type="spellStart"/>
      <w:r w:rsidRPr="000C546D">
        <w:rPr>
          <w:color w:val="1C1D1E"/>
          <w:szCs w:val="24"/>
          <w:shd w:val="clear" w:color="auto" w:fill="FFFFFF"/>
        </w:rPr>
        <w:t>Larivière</w:t>
      </w:r>
      <w:proofErr w:type="spellEnd"/>
      <w:r w:rsidRPr="000C546D">
        <w:rPr>
          <w:color w:val="1C1D1E"/>
          <w:szCs w:val="24"/>
          <w:shd w:val="clear" w:color="auto" w:fill="FFFFFF"/>
        </w:rPr>
        <w:t xml:space="preserve">, V. and </w:t>
      </w:r>
      <w:proofErr w:type="spellStart"/>
      <w:r w:rsidRPr="000C546D">
        <w:rPr>
          <w:color w:val="1C1D1E"/>
          <w:szCs w:val="24"/>
          <w:shd w:val="clear" w:color="auto" w:fill="FFFFFF"/>
        </w:rPr>
        <w:t>Haustein</w:t>
      </w:r>
      <w:proofErr w:type="spellEnd"/>
      <w:r w:rsidRPr="000C546D">
        <w:rPr>
          <w:color w:val="1C1D1E"/>
          <w:szCs w:val="24"/>
          <w:shd w:val="clear" w:color="auto" w:fill="FFFFFF"/>
        </w:rPr>
        <w:t xml:space="preserve">, S. (2017), Scholarly use of social media and </w:t>
      </w:r>
      <w:proofErr w:type="spellStart"/>
      <w:r w:rsidRPr="000C546D">
        <w:rPr>
          <w:color w:val="1C1D1E"/>
          <w:szCs w:val="24"/>
          <w:shd w:val="clear" w:color="auto" w:fill="FFFFFF"/>
        </w:rPr>
        <w:t>altmetrics</w:t>
      </w:r>
      <w:proofErr w:type="spellEnd"/>
      <w:r w:rsidRPr="000C546D">
        <w:rPr>
          <w:color w:val="1C1D1E"/>
          <w:szCs w:val="24"/>
          <w:shd w:val="clear" w:color="auto" w:fill="FFFFFF"/>
        </w:rPr>
        <w:t>: A review of the literature. Journal of the Association for Information Science and Technology, 68: 2037-2062. </w:t>
      </w:r>
      <w:hyperlink r:id="rId18" w:history="1">
        <w:r w:rsidRPr="000C546D">
          <w:rPr>
            <w:rStyle w:val="Hyperlink"/>
            <w:color w:val="5E5E5E"/>
            <w:szCs w:val="24"/>
            <w:shd w:val="clear" w:color="auto" w:fill="FFFFFF"/>
          </w:rPr>
          <w:t>https://doi.org/10.1002/asi.23833</w:t>
        </w:r>
      </w:hyperlink>
    </w:p>
    <w:p w14:paraId="5D5FC940" w14:textId="77777777" w:rsidR="00353B7E" w:rsidRPr="000C546D" w:rsidRDefault="00353B7E" w:rsidP="00BC21D6">
      <w:pPr>
        <w:rPr>
          <w:rStyle w:val="aat"/>
          <w:color w:val="000000"/>
          <w:szCs w:val="24"/>
          <w:shd w:val="clear" w:color="auto" w:fill="FFFFFF"/>
        </w:rPr>
      </w:pPr>
    </w:p>
    <w:p w14:paraId="4563645B" w14:textId="24274888" w:rsidR="00353B7E" w:rsidRPr="000C546D" w:rsidRDefault="00353B7E" w:rsidP="00BC21D6">
      <w:pPr>
        <w:rPr>
          <w:color w:val="333333"/>
          <w:szCs w:val="24"/>
          <w:shd w:val="clear" w:color="auto" w:fill="FCFCFC"/>
        </w:rPr>
      </w:pPr>
      <w:proofErr w:type="spellStart"/>
      <w:r w:rsidRPr="000C546D">
        <w:rPr>
          <w:color w:val="333333"/>
          <w:szCs w:val="24"/>
          <w:shd w:val="clear" w:color="auto" w:fill="FCFCFC"/>
        </w:rPr>
        <w:t>Thelwall</w:t>
      </w:r>
      <w:proofErr w:type="spellEnd"/>
      <w:r w:rsidRPr="000C546D">
        <w:rPr>
          <w:color w:val="333333"/>
          <w:szCs w:val="24"/>
          <w:shd w:val="clear" w:color="auto" w:fill="FCFCFC"/>
        </w:rPr>
        <w:t>, M., Sud, P., &amp; Wilkinson, D. (2012). Link and co-</w:t>
      </w:r>
      <w:proofErr w:type="spellStart"/>
      <w:r w:rsidRPr="000C546D">
        <w:rPr>
          <w:color w:val="333333"/>
          <w:szCs w:val="24"/>
          <w:shd w:val="clear" w:color="auto" w:fill="FCFCFC"/>
        </w:rPr>
        <w:t>inlink</w:t>
      </w:r>
      <w:proofErr w:type="spellEnd"/>
      <w:r w:rsidRPr="000C546D">
        <w:rPr>
          <w:color w:val="333333"/>
          <w:szCs w:val="24"/>
          <w:shd w:val="clear" w:color="auto" w:fill="FCFCFC"/>
        </w:rPr>
        <w:t xml:space="preserve"> network diagrams with URL citations or title mentions. </w:t>
      </w:r>
      <w:r w:rsidRPr="000C546D">
        <w:rPr>
          <w:i/>
          <w:iCs/>
          <w:color w:val="333333"/>
          <w:szCs w:val="24"/>
          <w:shd w:val="clear" w:color="auto" w:fill="FCFCFC"/>
        </w:rPr>
        <w:t>Journal of the American Society for Information Science and Technology,</w:t>
      </w:r>
      <w:r w:rsidRPr="000C546D">
        <w:rPr>
          <w:color w:val="333333"/>
          <w:szCs w:val="24"/>
          <w:shd w:val="clear" w:color="auto" w:fill="FCFCFC"/>
        </w:rPr>
        <w:t> </w:t>
      </w:r>
      <w:r w:rsidRPr="000C546D">
        <w:rPr>
          <w:i/>
          <w:iCs/>
          <w:color w:val="333333"/>
          <w:szCs w:val="24"/>
          <w:shd w:val="clear" w:color="auto" w:fill="FCFCFC"/>
        </w:rPr>
        <w:t>63</w:t>
      </w:r>
      <w:r w:rsidRPr="000C546D">
        <w:rPr>
          <w:color w:val="333333"/>
          <w:szCs w:val="24"/>
          <w:shd w:val="clear" w:color="auto" w:fill="FCFCFC"/>
        </w:rPr>
        <w:t>(4), 805–816.</w:t>
      </w:r>
    </w:p>
    <w:p w14:paraId="660974BF" w14:textId="77777777" w:rsidR="00995024" w:rsidRPr="000C546D" w:rsidRDefault="00995024" w:rsidP="00BC21D6">
      <w:pPr>
        <w:rPr>
          <w:color w:val="333333"/>
          <w:szCs w:val="24"/>
          <w:shd w:val="clear" w:color="auto" w:fill="FCFCFC"/>
        </w:rPr>
      </w:pPr>
    </w:p>
    <w:p w14:paraId="46DE9837" w14:textId="645DCC55" w:rsidR="00995024" w:rsidRPr="000C546D" w:rsidRDefault="00995024" w:rsidP="00BC21D6">
      <w:pPr>
        <w:rPr>
          <w:rStyle w:val="aat"/>
          <w:color w:val="000000"/>
          <w:szCs w:val="24"/>
          <w:shd w:val="clear" w:color="auto" w:fill="FFFFFF"/>
        </w:rPr>
      </w:pPr>
      <w:r w:rsidRPr="000C546D">
        <w:rPr>
          <w:color w:val="333333"/>
          <w:szCs w:val="24"/>
          <w:shd w:val="clear" w:color="auto" w:fill="FFFFFF"/>
        </w:rPr>
        <w:t>Utz, S. (2016). Is LinkedIn making you more successful? The informational benefits derived from public social media. </w:t>
      </w:r>
      <w:r w:rsidRPr="000C546D">
        <w:rPr>
          <w:i/>
          <w:iCs/>
          <w:color w:val="333333"/>
          <w:szCs w:val="24"/>
          <w:shd w:val="clear" w:color="auto" w:fill="FFFFFF"/>
        </w:rPr>
        <w:t>New Media &amp; Society</w:t>
      </w:r>
      <w:r w:rsidRPr="000C546D">
        <w:rPr>
          <w:color w:val="333333"/>
          <w:szCs w:val="24"/>
          <w:shd w:val="clear" w:color="auto" w:fill="FFFFFF"/>
        </w:rPr>
        <w:t>, </w:t>
      </w:r>
      <w:r w:rsidRPr="000C546D">
        <w:rPr>
          <w:i/>
          <w:iCs/>
          <w:color w:val="333333"/>
          <w:szCs w:val="24"/>
          <w:shd w:val="clear" w:color="auto" w:fill="FFFFFF"/>
        </w:rPr>
        <w:t>18</w:t>
      </w:r>
      <w:r w:rsidRPr="000C546D">
        <w:rPr>
          <w:color w:val="333333"/>
          <w:szCs w:val="24"/>
          <w:shd w:val="clear" w:color="auto" w:fill="FFFFFF"/>
        </w:rPr>
        <w:t>(11), 2685–2702. </w:t>
      </w:r>
      <w:hyperlink r:id="rId19" w:history="1">
        <w:r w:rsidRPr="000C546D">
          <w:rPr>
            <w:rStyle w:val="Hyperlink"/>
            <w:color w:val="006ACC"/>
            <w:szCs w:val="24"/>
            <w:shd w:val="clear" w:color="auto" w:fill="FFFFFF"/>
          </w:rPr>
          <w:t>https://doi.org/10.1177/1461444815604143</w:t>
        </w:r>
      </w:hyperlink>
    </w:p>
    <w:p w14:paraId="7AB1158D" w14:textId="77777777" w:rsidR="003115D6" w:rsidRPr="000C546D" w:rsidRDefault="003115D6" w:rsidP="00BC21D6">
      <w:pPr>
        <w:rPr>
          <w:rStyle w:val="aat"/>
          <w:color w:val="000000"/>
          <w:szCs w:val="24"/>
          <w:shd w:val="clear" w:color="auto" w:fill="FFFFFF"/>
        </w:rPr>
      </w:pPr>
    </w:p>
    <w:p w14:paraId="447ABB57" w14:textId="59776C6B" w:rsidR="003115D6" w:rsidRPr="000C546D" w:rsidRDefault="003115D6" w:rsidP="00BC21D6">
      <w:pPr>
        <w:rPr>
          <w:color w:val="212121"/>
          <w:szCs w:val="24"/>
          <w:shd w:val="clear" w:color="auto" w:fill="FFFFFF"/>
        </w:rPr>
      </w:pPr>
      <w:r w:rsidRPr="000C546D">
        <w:rPr>
          <w:color w:val="212121"/>
          <w:szCs w:val="24"/>
          <w:shd w:val="clear" w:color="auto" w:fill="FFFFFF"/>
        </w:rPr>
        <w:t xml:space="preserve">Van </w:t>
      </w:r>
      <w:proofErr w:type="spellStart"/>
      <w:r w:rsidRPr="000C546D">
        <w:rPr>
          <w:color w:val="212121"/>
          <w:szCs w:val="24"/>
          <w:shd w:val="clear" w:color="auto" w:fill="FFFFFF"/>
        </w:rPr>
        <w:t>Noorden</w:t>
      </w:r>
      <w:proofErr w:type="spellEnd"/>
      <w:r w:rsidRPr="000C546D">
        <w:rPr>
          <w:color w:val="212121"/>
          <w:szCs w:val="24"/>
          <w:shd w:val="clear" w:color="auto" w:fill="FFFFFF"/>
        </w:rPr>
        <w:t xml:space="preserve"> R.</w:t>
      </w:r>
      <w:r w:rsidRPr="000C546D">
        <w:rPr>
          <w:color w:val="212121"/>
          <w:szCs w:val="24"/>
          <w:shd w:val="clear" w:color="auto" w:fill="FFFFFF"/>
        </w:rPr>
        <w:t xml:space="preserve"> (2014).</w:t>
      </w:r>
      <w:r w:rsidRPr="000C546D">
        <w:rPr>
          <w:color w:val="212121"/>
          <w:szCs w:val="24"/>
          <w:shd w:val="clear" w:color="auto" w:fill="FFFFFF"/>
        </w:rPr>
        <w:t xml:space="preserve"> Online collaboration: Scientists and the social network. </w:t>
      </w:r>
      <w:r w:rsidRPr="000C546D">
        <w:rPr>
          <w:i/>
          <w:iCs/>
          <w:color w:val="212121"/>
          <w:szCs w:val="24"/>
          <w:shd w:val="clear" w:color="auto" w:fill="FFFFFF"/>
        </w:rPr>
        <w:t>Nature</w:t>
      </w:r>
      <w:r w:rsidRPr="000C546D">
        <w:rPr>
          <w:color w:val="212121"/>
          <w:szCs w:val="24"/>
          <w:shd w:val="clear" w:color="auto" w:fill="FFFFFF"/>
        </w:rPr>
        <w:t xml:space="preserve"> </w:t>
      </w:r>
      <w:r w:rsidRPr="000C546D">
        <w:rPr>
          <w:color w:val="212121"/>
          <w:szCs w:val="24"/>
          <w:shd w:val="clear" w:color="auto" w:fill="FFFFFF"/>
        </w:rPr>
        <w:t xml:space="preserve">12(7513):126-9. </w:t>
      </w:r>
      <w:proofErr w:type="spellStart"/>
      <w:r w:rsidRPr="000C546D">
        <w:rPr>
          <w:color w:val="212121"/>
          <w:szCs w:val="24"/>
          <w:shd w:val="clear" w:color="auto" w:fill="FFFFFF"/>
        </w:rPr>
        <w:t>doi</w:t>
      </w:r>
      <w:proofErr w:type="spellEnd"/>
      <w:r w:rsidRPr="000C546D">
        <w:rPr>
          <w:color w:val="212121"/>
          <w:szCs w:val="24"/>
          <w:shd w:val="clear" w:color="auto" w:fill="FFFFFF"/>
        </w:rPr>
        <w:t xml:space="preserve">: 10.1038/512126a. </w:t>
      </w:r>
    </w:p>
    <w:p w14:paraId="2ABE8B9B" w14:textId="77777777" w:rsidR="00E80017" w:rsidRPr="000C546D" w:rsidRDefault="00E80017" w:rsidP="00BC21D6">
      <w:pPr>
        <w:rPr>
          <w:color w:val="212121"/>
          <w:szCs w:val="24"/>
          <w:shd w:val="clear" w:color="auto" w:fill="FFFFFF"/>
        </w:rPr>
      </w:pPr>
    </w:p>
    <w:p w14:paraId="430F6E19" w14:textId="22565AE1" w:rsidR="00E80017" w:rsidRPr="000C546D" w:rsidRDefault="00E80017" w:rsidP="00BC21D6">
      <w:pPr>
        <w:rPr>
          <w:rFonts w:eastAsia="Times New Roman"/>
          <w:color w:val="000000"/>
          <w:szCs w:val="24"/>
          <w:lang w:val="en-US" w:eastAsia="en-US"/>
        </w:rPr>
      </w:pPr>
      <w:r w:rsidRPr="000C546D">
        <w:rPr>
          <w:szCs w:val="24"/>
          <w:shd w:val="clear" w:color="auto" w:fill="FFFFFF"/>
        </w:rPr>
        <w:t>Williams A</w:t>
      </w:r>
      <w:r w:rsidRPr="000C546D">
        <w:rPr>
          <w:szCs w:val="24"/>
          <w:shd w:val="clear" w:color="auto" w:fill="FFFFFF"/>
        </w:rPr>
        <w:t>.</w:t>
      </w:r>
      <w:r w:rsidRPr="000C546D">
        <w:rPr>
          <w:szCs w:val="24"/>
          <w:shd w:val="clear" w:color="auto" w:fill="FFFFFF"/>
        </w:rPr>
        <w:t>E</w:t>
      </w:r>
      <w:r w:rsidRPr="000C546D">
        <w:rPr>
          <w:szCs w:val="24"/>
          <w:shd w:val="clear" w:color="auto" w:fill="FFFFFF"/>
        </w:rPr>
        <w:t>.</w:t>
      </w:r>
      <w:r w:rsidRPr="000C546D">
        <w:rPr>
          <w:szCs w:val="24"/>
          <w:shd w:val="clear" w:color="auto" w:fill="FFFFFF"/>
        </w:rPr>
        <w:t xml:space="preserve"> and </w:t>
      </w:r>
      <w:proofErr w:type="spellStart"/>
      <w:r w:rsidRPr="000C546D">
        <w:rPr>
          <w:szCs w:val="24"/>
          <w:shd w:val="clear" w:color="auto" w:fill="FFFFFF"/>
        </w:rPr>
        <w:t>Woodacre</w:t>
      </w:r>
      <w:proofErr w:type="spellEnd"/>
      <w:r w:rsidRPr="000C546D">
        <w:rPr>
          <w:szCs w:val="24"/>
          <w:shd w:val="clear" w:color="auto" w:fill="FFFFFF"/>
        </w:rPr>
        <w:t xml:space="preserve"> MA.</w:t>
      </w:r>
      <w:r w:rsidRPr="000C546D">
        <w:rPr>
          <w:szCs w:val="24"/>
          <w:shd w:val="clear" w:color="auto" w:fill="FFFFFF"/>
        </w:rPr>
        <w:t xml:space="preserve"> (2015).</w:t>
      </w:r>
      <w:r w:rsidRPr="000C546D">
        <w:rPr>
          <w:szCs w:val="24"/>
          <w:shd w:val="clear" w:color="auto" w:fill="FFFFFF"/>
        </w:rPr>
        <w:t xml:space="preserve"> The possibilities and perils of academic social networking sites. Online Inf Rev ; 40(2):282–294</w:t>
      </w:r>
    </w:p>
    <w:p w14:paraId="6364BF2A" w14:textId="77777777" w:rsidR="00BC21D6" w:rsidRPr="000C546D" w:rsidRDefault="00BC21D6">
      <w:pPr>
        <w:rPr>
          <w:szCs w:val="24"/>
        </w:rPr>
      </w:pPr>
    </w:p>
    <w:p w14:paraId="64769157" w14:textId="77777777" w:rsidR="00F06086" w:rsidRDefault="00F06086"/>
    <w:p w14:paraId="246F1AFB" w14:textId="77777777" w:rsidR="0039072C" w:rsidRPr="000C6B47" w:rsidRDefault="00D46D7F" w:rsidP="0039072C">
      <w:pPr>
        <w:jc w:val="both"/>
        <w:rPr>
          <w:b/>
          <w:bCs/>
        </w:rPr>
      </w:pPr>
      <w:r>
        <w:br w:type="page"/>
      </w:r>
      <w:r w:rsidR="0039072C" w:rsidRPr="000C6B47">
        <w:rPr>
          <w:b/>
          <w:bCs/>
        </w:rPr>
        <w:lastRenderedPageBreak/>
        <w:t xml:space="preserve">Open science practices </w:t>
      </w:r>
    </w:p>
    <w:p w14:paraId="147467FD" w14:textId="0715CDD0" w:rsidR="003676A5" w:rsidRDefault="005708FE" w:rsidP="0039072C">
      <w:pPr>
        <w:jc w:val="both"/>
      </w:pPr>
      <w:r w:rsidRPr="003676A5">
        <w:t>An early preview of this research was published in the NCUB State of the Relationship Report 2017</w:t>
      </w:r>
      <w:r>
        <w:t>.</w:t>
      </w:r>
    </w:p>
    <w:p w14:paraId="6AAAE5CF" w14:textId="77777777" w:rsidR="00AE0AD8" w:rsidRDefault="00AE0AD8" w:rsidP="0039072C">
      <w:pPr>
        <w:jc w:val="both"/>
      </w:pPr>
    </w:p>
    <w:p w14:paraId="5708FD79" w14:textId="0D16B921" w:rsidR="003676A5" w:rsidRPr="003676A5" w:rsidRDefault="003676A5" w:rsidP="0039072C">
      <w:pPr>
        <w:jc w:val="both"/>
        <w:rPr>
          <w:b/>
          <w:bCs/>
        </w:rPr>
      </w:pPr>
      <w:r w:rsidRPr="003676A5">
        <w:rPr>
          <w:b/>
          <w:bCs/>
        </w:rPr>
        <w:t>Acknowledgements</w:t>
      </w:r>
    </w:p>
    <w:p w14:paraId="258880DA" w14:textId="2137C883" w:rsidR="003676A5" w:rsidRPr="0054065A" w:rsidRDefault="003676A5" w:rsidP="0039072C">
      <w:pPr>
        <w:jc w:val="both"/>
      </w:pPr>
      <w:r w:rsidRPr="003676A5">
        <w:t>The authors acknowledge support from the Arts and Humanities Research Council, the Department for Business, Innovation, Skills, the Economic and Social Research Council, the Engineering and Physical Sciences Research Council, the Higher Education Funding Council for England, the Medical Research Council, and the Natural Environment Research Council and the National Centre for Universities and Business (NCUB)</w:t>
      </w:r>
      <w:r w:rsidR="00710970">
        <w:t xml:space="preserve">, and the </w:t>
      </w:r>
      <w:r w:rsidRPr="003676A5">
        <w:t>University of Manchester Research Recovery Fund.</w:t>
      </w:r>
    </w:p>
    <w:p w14:paraId="7E751FA3" w14:textId="77777777" w:rsidR="0039072C" w:rsidRPr="000C6B47" w:rsidRDefault="0039072C" w:rsidP="0039072C">
      <w:pPr>
        <w:jc w:val="both"/>
      </w:pPr>
    </w:p>
    <w:p w14:paraId="4918A999" w14:textId="77777777" w:rsidR="0039072C" w:rsidRPr="000C6B47" w:rsidRDefault="0039072C" w:rsidP="0039072C">
      <w:pPr>
        <w:jc w:val="both"/>
        <w:rPr>
          <w:b/>
          <w:bCs/>
        </w:rPr>
      </w:pPr>
      <w:r w:rsidRPr="000C6B47">
        <w:rPr>
          <w:b/>
          <w:bCs/>
        </w:rPr>
        <w:t>Author contributions</w:t>
      </w:r>
    </w:p>
    <w:p w14:paraId="7671C0C8" w14:textId="77243558" w:rsidR="0039072C" w:rsidRPr="001715B4" w:rsidRDefault="0056737D" w:rsidP="0039072C">
      <w:pPr>
        <w:jc w:val="both"/>
      </w:pPr>
      <w:r w:rsidRPr="001715B4">
        <w:rPr>
          <w:b/>
          <w:bCs/>
        </w:rPr>
        <w:t>Cornelia Lawson</w:t>
      </w:r>
      <w:r w:rsidRPr="001715B4">
        <w:t>: Conceptualization, Methodology, Data collection, Writing.</w:t>
      </w:r>
    </w:p>
    <w:p w14:paraId="291FECE7" w14:textId="54F0E4B2" w:rsidR="0056737D" w:rsidRPr="001715B4" w:rsidRDefault="0056737D" w:rsidP="0039072C">
      <w:pPr>
        <w:jc w:val="both"/>
      </w:pPr>
      <w:r w:rsidRPr="001715B4">
        <w:rPr>
          <w:b/>
          <w:bCs/>
        </w:rPr>
        <w:t>Mayra M. Tirado</w:t>
      </w:r>
      <w:r w:rsidRPr="001715B4">
        <w:t xml:space="preserve">: Conceptualization, </w:t>
      </w:r>
      <w:r w:rsidR="007F5409" w:rsidRPr="001715B4">
        <w:t>Literature review</w:t>
      </w:r>
      <w:r w:rsidRPr="001715B4">
        <w:t>, Writing</w:t>
      </w:r>
      <w:r w:rsidR="007F5409" w:rsidRPr="001715B4">
        <w:t>.</w:t>
      </w:r>
    </w:p>
    <w:p w14:paraId="76670AC2" w14:textId="77777777" w:rsidR="0056737D" w:rsidRPr="000C6B47" w:rsidRDefault="0056737D" w:rsidP="0039072C">
      <w:pPr>
        <w:jc w:val="both"/>
        <w:rPr>
          <w:b/>
          <w:bCs/>
        </w:rPr>
      </w:pPr>
    </w:p>
    <w:p w14:paraId="04FDC0F4" w14:textId="77777777" w:rsidR="0039072C" w:rsidRPr="000C6B47" w:rsidRDefault="0039072C" w:rsidP="0039072C">
      <w:pPr>
        <w:jc w:val="both"/>
        <w:rPr>
          <w:b/>
          <w:bCs/>
        </w:rPr>
      </w:pPr>
      <w:r w:rsidRPr="000C6B47">
        <w:rPr>
          <w:b/>
          <w:bCs/>
        </w:rPr>
        <w:t>Competing interests</w:t>
      </w:r>
    </w:p>
    <w:p w14:paraId="15E013B4" w14:textId="77777777" w:rsidR="0039072C" w:rsidRPr="000C6B47" w:rsidRDefault="0039072C" w:rsidP="0039072C">
      <w:pPr>
        <w:jc w:val="both"/>
      </w:pPr>
      <w:r w:rsidRPr="000C6B47">
        <w:t>Authors declare no competing interests.</w:t>
      </w:r>
    </w:p>
    <w:p w14:paraId="5060A9AB" w14:textId="77777777" w:rsidR="0039072C" w:rsidRPr="000C6B47" w:rsidRDefault="0039072C" w:rsidP="0039072C">
      <w:pPr>
        <w:jc w:val="both"/>
      </w:pPr>
    </w:p>
    <w:p w14:paraId="2759F7B0" w14:textId="77777777" w:rsidR="0039072C" w:rsidRPr="000C6B47" w:rsidRDefault="0039072C" w:rsidP="0039072C">
      <w:pPr>
        <w:jc w:val="both"/>
        <w:rPr>
          <w:b/>
          <w:bCs/>
        </w:rPr>
      </w:pPr>
      <w:r w:rsidRPr="000C6B47">
        <w:rPr>
          <w:b/>
          <w:bCs/>
        </w:rPr>
        <w:t>Funding information</w:t>
      </w:r>
    </w:p>
    <w:p w14:paraId="300F6E1C" w14:textId="16F5077A" w:rsidR="00710970" w:rsidRPr="0054065A" w:rsidRDefault="00710970" w:rsidP="00710970">
      <w:pPr>
        <w:jc w:val="both"/>
      </w:pPr>
      <w:r w:rsidRPr="003676A5">
        <w:t>Th</w:t>
      </w:r>
      <w:r w:rsidR="00BD30A9">
        <w:t xml:space="preserve">is research was funded by </w:t>
      </w:r>
      <w:r w:rsidRPr="003676A5">
        <w:t>the Arts and Humanities Research Council, the Department for Business, Innovation, Skills, the Economic and Social Research Council, the Engineering and Physical Sciences Research Council, the Higher Education Funding Council for England, the Medical Research Council, and the Natural Environment Research Council and the National Centre for Universities and Business (NCUB)</w:t>
      </w:r>
      <w:r w:rsidR="00BD30A9">
        <w:t xml:space="preserve">, and the </w:t>
      </w:r>
      <w:r w:rsidRPr="003676A5">
        <w:t>University of Manchester Research Recovery Fund.</w:t>
      </w:r>
    </w:p>
    <w:p w14:paraId="634EB9F0" w14:textId="77777777" w:rsidR="0039072C" w:rsidRPr="000C6B47" w:rsidRDefault="0039072C" w:rsidP="0039072C">
      <w:pPr>
        <w:jc w:val="both"/>
      </w:pPr>
    </w:p>
    <w:p w14:paraId="791834D1" w14:textId="77777777" w:rsidR="00C3488B" w:rsidRDefault="00C3488B"/>
    <w:p w14:paraId="5C07114F" w14:textId="3CDAFD02" w:rsidR="00610A43" w:rsidRPr="00610A43" w:rsidRDefault="00610A43" w:rsidP="00610A43">
      <w:r>
        <w:t>Table 2: Heckman selection Stage 1 (abbreviated results)</w:t>
      </w:r>
    </w:p>
    <w:tbl>
      <w:tblPr>
        <w:tblStyle w:val="TableGrid"/>
        <w:tblW w:w="5000" w:type="pct"/>
        <w:tblLook w:val="0420" w:firstRow="1" w:lastRow="0" w:firstColumn="0" w:lastColumn="0" w:noHBand="0" w:noVBand="1"/>
      </w:tblPr>
      <w:tblGrid>
        <w:gridCol w:w="3976"/>
        <w:gridCol w:w="1924"/>
        <w:gridCol w:w="3116"/>
      </w:tblGrid>
      <w:tr w:rsidR="00610A43" w:rsidRPr="00610A43" w14:paraId="224688AE" w14:textId="77777777" w:rsidTr="00610A43">
        <w:trPr>
          <w:trHeight w:val="417"/>
        </w:trPr>
        <w:tc>
          <w:tcPr>
            <w:tcW w:w="2205" w:type="pct"/>
            <w:hideMark/>
          </w:tcPr>
          <w:p w14:paraId="7EC3EDBE" w14:textId="77777777" w:rsidR="00610A43" w:rsidRPr="00610A43" w:rsidRDefault="00610A43" w:rsidP="00610A43"/>
        </w:tc>
        <w:tc>
          <w:tcPr>
            <w:tcW w:w="2795" w:type="pct"/>
            <w:gridSpan w:val="2"/>
            <w:hideMark/>
          </w:tcPr>
          <w:p w14:paraId="3D8494A0" w14:textId="77777777" w:rsidR="00610A43" w:rsidRPr="00610A43" w:rsidRDefault="00610A43" w:rsidP="00610A43">
            <w:r w:rsidRPr="00610A43">
              <w:rPr>
                <w:b/>
                <w:bCs/>
              </w:rPr>
              <w:t>LinkedIn Use</w:t>
            </w:r>
          </w:p>
        </w:tc>
      </w:tr>
      <w:tr w:rsidR="00610A43" w:rsidRPr="00610A43" w14:paraId="5D4F2113" w14:textId="77777777" w:rsidTr="00610A43">
        <w:trPr>
          <w:trHeight w:val="417"/>
        </w:trPr>
        <w:tc>
          <w:tcPr>
            <w:tcW w:w="2205" w:type="pct"/>
            <w:hideMark/>
          </w:tcPr>
          <w:p w14:paraId="06F64ACA" w14:textId="77777777" w:rsidR="00610A43" w:rsidRPr="00610A43" w:rsidRDefault="00610A43" w:rsidP="00610A43"/>
        </w:tc>
        <w:tc>
          <w:tcPr>
            <w:tcW w:w="1067" w:type="pct"/>
            <w:hideMark/>
          </w:tcPr>
          <w:p w14:paraId="319FD71D" w14:textId="77777777" w:rsidR="00610A43" w:rsidRPr="00610A43" w:rsidRDefault="00610A43" w:rsidP="00610A43">
            <w:r w:rsidRPr="00610A43">
              <w:t>Coef.</w:t>
            </w:r>
          </w:p>
        </w:tc>
        <w:tc>
          <w:tcPr>
            <w:tcW w:w="1728" w:type="pct"/>
            <w:hideMark/>
          </w:tcPr>
          <w:p w14:paraId="5C0C420F" w14:textId="77777777" w:rsidR="00610A43" w:rsidRPr="00610A43" w:rsidRDefault="00610A43" w:rsidP="00610A43">
            <w:r w:rsidRPr="00610A43">
              <w:t>Robust SE</w:t>
            </w:r>
          </w:p>
        </w:tc>
      </w:tr>
      <w:tr w:rsidR="00610A43" w:rsidRPr="00610A43" w14:paraId="6080A001" w14:textId="77777777" w:rsidTr="00610A43">
        <w:trPr>
          <w:trHeight w:val="298"/>
        </w:trPr>
        <w:tc>
          <w:tcPr>
            <w:tcW w:w="2205" w:type="pct"/>
            <w:hideMark/>
          </w:tcPr>
          <w:p w14:paraId="3FB4B7C2" w14:textId="77777777" w:rsidR="00610A43" w:rsidRPr="00610A43" w:rsidRDefault="00610A43" w:rsidP="00610A43">
            <w:r w:rsidRPr="00610A43">
              <w:rPr>
                <w:lang w:val="en-US"/>
              </w:rPr>
              <w:t>40-49</w:t>
            </w:r>
          </w:p>
        </w:tc>
        <w:tc>
          <w:tcPr>
            <w:tcW w:w="1067" w:type="pct"/>
            <w:hideMark/>
          </w:tcPr>
          <w:p w14:paraId="12FA6FDC" w14:textId="77777777" w:rsidR="00610A43" w:rsidRPr="00610A43" w:rsidRDefault="00610A43" w:rsidP="00610A43">
            <w:r w:rsidRPr="00610A43">
              <w:t>ns</w:t>
            </w:r>
          </w:p>
        </w:tc>
        <w:tc>
          <w:tcPr>
            <w:tcW w:w="1728" w:type="pct"/>
            <w:hideMark/>
          </w:tcPr>
          <w:p w14:paraId="2CA2115B" w14:textId="77777777" w:rsidR="00610A43" w:rsidRPr="00610A43" w:rsidRDefault="00610A43" w:rsidP="00610A43"/>
        </w:tc>
      </w:tr>
      <w:tr w:rsidR="00610A43" w:rsidRPr="00610A43" w14:paraId="028B80C5" w14:textId="77777777" w:rsidTr="00610A43">
        <w:trPr>
          <w:trHeight w:val="298"/>
        </w:trPr>
        <w:tc>
          <w:tcPr>
            <w:tcW w:w="2205" w:type="pct"/>
            <w:hideMark/>
          </w:tcPr>
          <w:p w14:paraId="41873F4C" w14:textId="77777777" w:rsidR="00610A43" w:rsidRPr="00610A43" w:rsidRDefault="00610A43" w:rsidP="00610A43">
            <w:r w:rsidRPr="00610A43">
              <w:rPr>
                <w:lang w:val="en-US"/>
              </w:rPr>
              <w:t>&gt;49</w:t>
            </w:r>
          </w:p>
        </w:tc>
        <w:tc>
          <w:tcPr>
            <w:tcW w:w="1067" w:type="pct"/>
            <w:hideMark/>
          </w:tcPr>
          <w:p w14:paraId="7C9426E4" w14:textId="77777777" w:rsidR="00610A43" w:rsidRPr="00610A43" w:rsidRDefault="00610A43" w:rsidP="00610A43">
            <w:r w:rsidRPr="00610A43">
              <w:t>ns</w:t>
            </w:r>
          </w:p>
        </w:tc>
        <w:tc>
          <w:tcPr>
            <w:tcW w:w="1728" w:type="pct"/>
            <w:hideMark/>
          </w:tcPr>
          <w:p w14:paraId="5AA4E253" w14:textId="77777777" w:rsidR="00610A43" w:rsidRPr="00610A43" w:rsidRDefault="00610A43" w:rsidP="00610A43"/>
        </w:tc>
      </w:tr>
      <w:tr w:rsidR="00610A43" w:rsidRPr="00610A43" w14:paraId="0CD1A90F" w14:textId="77777777" w:rsidTr="00610A43">
        <w:trPr>
          <w:trHeight w:val="298"/>
        </w:trPr>
        <w:tc>
          <w:tcPr>
            <w:tcW w:w="2205" w:type="pct"/>
            <w:hideMark/>
          </w:tcPr>
          <w:p w14:paraId="3CD7A749" w14:textId="77777777" w:rsidR="00610A43" w:rsidRPr="00610A43" w:rsidRDefault="00610A43" w:rsidP="00610A43">
            <w:r w:rsidRPr="00610A43">
              <w:rPr>
                <w:lang w:val="en-US"/>
              </w:rPr>
              <w:t>Female</w:t>
            </w:r>
          </w:p>
        </w:tc>
        <w:tc>
          <w:tcPr>
            <w:tcW w:w="1067" w:type="pct"/>
            <w:hideMark/>
          </w:tcPr>
          <w:p w14:paraId="38396B52" w14:textId="77777777" w:rsidR="00610A43" w:rsidRPr="00610A43" w:rsidRDefault="00610A43" w:rsidP="00610A43">
            <w:r w:rsidRPr="00610A43">
              <w:t>ns</w:t>
            </w:r>
          </w:p>
        </w:tc>
        <w:tc>
          <w:tcPr>
            <w:tcW w:w="1728" w:type="pct"/>
            <w:hideMark/>
          </w:tcPr>
          <w:p w14:paraId="0DD7046E" w14:textId="77777777" w:rsidR="00610A43" w:rsidRPr="00610A43" w:rsidRDefault="00610A43" w:rsidP="00610A43"/>
        </w:tc>
      </w:tr>
      <w:tr w:rsidR="00610A43" w:rsidRPr="00610A43" w14:paraId="075BE5D0" w14:textId="77777777" w:rsidTr="00610A43">
        <w:trPr>
          <w:trHeight w:val="298"/>
        </w:trPr>
        <w:tc>
          <w:tcPr>
            <w:tcW w:w="2205" w:type="pct"/>
            <w:hideMark/>
          </w:tcPr>
          <w:p w14:paraId="624F67A8" w14:textId="77777777" w:rsidR="00610A43" w:rsidRPr="00610A43" w:rsidRDefault="00610A43" w:rsidP="00610A43">
            <w:r w:rsidRPr="00610A43">
              <w:rPr>
                <w:lang w:val="en-US"/>
              </w:rPr>
              <w:t>Foreign born</w:t>
            </w:r>
          </w:p>
        </w:tc>
        <w:tc>
          <w:tcPr>
            <w:tcW w:w="1067" w:type="pct"/>
            <w:hideMark/>
          </w:tcPr>
          <w:p w14:paraId="1B48959D" w14:textId="77777777" w:rsidR="00610A43" w:rsidRPr="00610A43" w:rsidRDefault="00610A43" w:rsidP="00610A43">
            <w:r w:rsidRPr="00610A43">
              <w:rPr>
                <w:lang w:val="en-US"/>
              </w:rPr>
              <w:t>-0.076</w:t>
            </w:r>
            <w:r w:rsidRPr="00610A43">
              <w:rPr>
                <w:vertAlign w:val="superscript"/>
                <w:lang w:val="en-US"/>
              </w:rPr>
              <w:t>***</w:t>
            </w:r>
          </w:p>
        </w:tc>
        <w:tc>
          <w:tcPr>
            <w:tcW w:w="1728" w:type="pct"/>
            <w:hideMark/>
          </w:tcPr>
          <w:p w14:paraId="4AA06BFF" w14:textId="77777777" w:rsidR="00610A43" w:rsidRPr="00610A43" w:rsidRDefault="00610A43" w:rsidP="00610A43">
            <w:r w:rsidRPr="00610A43">
              <w:rPr>
                <w:lang w:val="en-US"/>
              </w:rPr>
              <w:t>(0.026)</w:t>
            </w:r>
          </w:p>
        </w:tc>
      </w:tr>
      <w:tr w:rsidR="00610A43" w:rsidRPr="00610A43" w14:paraId="64F060C6" w14:textId="77777777" w:rsidTr="00610A43">
        <w:trPr>
          <w:trHeight w:val="298"/>
        </w:trPr>
        <w:tc>
          <w:tcPr>
            <w:tcW w:w="2205" w:type="pct"/>
            <w:hideMark/>
          </w:tcPr>
          <w:p w14:paraId="6B8C1DAC" w14:textId="77777777" w:rsidR="00610A43" w:rsidRPr="00610A43" w:rsidRDefault="00610A43" w:rsidP="00610A43">
            <w:r w:rsidRPr="00610A43">
              <w:rPr>
                <w:lang w:val="en-US"/>
              </w:rPr>
              <w:t>Industry experience</w:t>
            </w:r>
          </w:p>
        </w:tc>
        <w:tc>
          <w:tcPr>
            <w:tcW w:w="1067" w:type="pct"/>
            <w:hideMark/>
          </w:tcPr>
          <w:p w14:paraId="795B49C4" w14:textId="77777777" w:rsidR="00610A43" w:rsidRPr="00610A43" w:rsidRDefault="00610A43" w:rsidP="00610A43">
            <w:r w:rsidRPr="00610A43">
              <w:rPr>
                <w:lang w:val="en-US"/>
              </w:rPr>
              <w:t>0.075</w:t>
            </w:r>
            <w:r w:rsidRPr="00610A43">
              <w:rPr>
                <w:vertAlign w:val="superscript"/>
                <w:lang w:val="en-US"/>
              </w:rPr>
              <w:t>***</w:t>
            </w:r>
          </w:p>
        </w:tc>
        <w:tc>
          <w:tcPr>
            <w:tcW w:w="1728" w:type="pct"/>
            <w:hideMark/>
          </w:tcPr>
          <w:p w14:paraId="3E29CED4" w14:textId="77777777" w:rsidR="00610A43" w:rsidRPr="00610A43" w:rsidRDefault="00610A43" w:rsidP="00610A43">
            <w:r w:rsidRPr="00610A43">
              <w:rPr>
                <w:lang w:val="en-US"/>
              </w:rPr>
              <w:t>(0.027)</w:t>
            </w:r>
          </w:p>
        </w:tc>
      </w:tr>
      <w:tr w:rsidR="00610A43" w:rsidRPr="00610A43" w14:paraId="68293B78" w14:textId="77777777" w:rsidTr="00610A43">
        <w:trPr>
          <w:trHeight w:val="595"/>
        </w:trPr>
        <w:tc>
          <w:tcPr>
            <w:tcW w:w="2205" w:type="pct"/>
            <w:hideMark/>
          </w:tcPr>
          <w:p w14:paraId="74BD69E3" w14:textId="77777777" w:rsidR="00610A43" w:rsidRPr="00610A43" w:rsidRDefault="00610A43" w:rsidP="00610A43">
            <w:r w:rsidRPr="00610A43">
              <w:rPr>
                <w:lang w:val="en-US"/>
              </w:rPr>
              <w:t>Public or third sector experience</w:t>
            </w:r>
          </w:p>
        </w:tc>
        <w:tc>
          <w:tcPr>
            <w:tcW w:w="1067" w:type="pct"/>
            <w:hideMark/>
          </w:tcPr>
          <w:p w14:paraId="21942121" w14:textId="77777777" w:rsidR="00610A43" w:rsidRPr="00610A43" w:rsidRDefault="00610A43" w:rsidP="00610A43">
            <w:r w:rsidRPr="00610A43">
              <w:rPr>
                <w:lang w:val="en-US"/>
              </w:rPr>
              <w:t>0.031</w:t>
            </w:r>
          </w:p>
        </w:tc>
        <w:tc>
          <w:tcPr>
            <w:tcW w:w="1728" w:type="pct"/>
            <w:hideMark/>
          </w:tcPr>
          <w:p w14:paraId="4AC7A59C" w14:textId="77777777" w:rsidR="00610A43" w:rsidRPr="00610A43" w:rsidRDefault="00610A43" w:rsidP="00610A43">
            <w:r w:rsidRPr="00610A43">
              <w:rPr>
                <w:lang w:val="en-US"/>
              </w:rPr>
              <w:t>(0.034)</w:t>
            </w:r>
          </w:p>
        </w:tc>
      </w:tr>
      <w:tr w:rsidR="00610A43" w:rsidRPr="00610A43" w14:paraId="3825BB3E" w14:textId="77777777" w:rsidTr="00610A43">
        <w:trPr>
          <w:trHeight w:val="298"/>
        </w:trPr>
        <w:tc>
          <w:tcPr>
            <w:tcW w:w="2205" w:type="pct"/>
            <w:hideMark/>
          </w:tcPr>
          <w:p w14:paraId="10DB56B8" w14:textId="77777777" w:rsidR="00610A43" w:rsidRPr="00610A43" w:rsidRDefault="00610A43" w:rsidP="00610A43">
            <w:r w:rsidRPr="00610A43">
              <w:rPr>
                <w:lang w:val="en-US"/>
              </w:rPr>
              <w:t>Senior lecturer / Reader</w:t>
            </w:r>
          </w:p>
        </w:tc>
        <w:tc>
          <w:tcPr>
            <w:tcW w:w="1067" w:type="pct"/>
            <w:hideMark/>
          </w:tcPr>
          <w:p w14:paraId="499A8871" w14:textId="77777777" w:rsidR="00610A43" w:rsidRPr="00610A43" w:rsidRDefault="00610A43" w:rsidP="00610A43">
            <w:r w:rsidRPr="00610A43">
              <w:rPr>
                <w:lang w:val="en-US"/>
              </w:rPr>
              <w:t>0.093</w:t>
            </w:r>
            <w:r w:rsidRPr="00610A43">
              <w:rPr>
                <w:vertAlign w:val="superscript"/>
                <w:lang w:val="en-US"/>
              </w:rPr>
              <w:t>***</w:t>
            </w:r>
          </w:p>
        </w:tc>
        <w:tc>
          <w:tcPr>
            <w:tcW w:w="1728" w:type="pct"/>
            <w:hideMark/>
          </w:tcPr>
          <w:p w14:paraId="48712859" w14:textId="77777777" w:rsidR="00610A43" w:rsidRPr="00610A43" w:rsidRDefault="00610A43" w:rsidP="00610A43">
            <w:r w:rsidRPr="00610A43">
              <w:rPr>
                <w:lang w:val="en-US"/>
              </w:rPr>
              <w:t>(0.035)</w:t>
            </w:r>
          </w:p>
        </w:tc>
      </w:tr>
      <w:tr w:rsidR="00610A43" w:rsidRPr="00610A43" w14:paraId="6F7BDCBF" w14:textId="77777777" w:rsidTr="00610A43">
        <w:trPr>
          <w:trHeight w:val="298"/>
        </w:trPr>
        <w:tc>
          <w:tcPr>
            <w:tcW w:w="2205" w:type="pct"/>
            <w:hideMark/>
          </w:tcPr>
          <w:p w14:paraId="1A8D1C5B" w14:textId="77777777" w:rsidR="00610A43" w:rsidRPr="00610A43" w:rsidRDefault="00610A43" w:rsidP="00610A43">
            <w:r w:rsidRPr="00610A43">
              <w:rPr>
                <w:lang w:val="en-US"/>
              </w:rPr>
              <w:t>Lecturer</w:t>
            </w:r>
          </w:p>
        </w:tc>
        <w:tc>
          <w:tcPr>
            <w:tcW w:w="1067" w:type="pct"/>
            <w:hideMark/>
          </w:tcPr>
          <w:p w14:paraId="328598F0" w14:textId="77777777" w:rsidR="00610A43" w:rsidRPr="00610A43" w:rsidRDefault="00610A43" w:rsidP="00610A43">
            <w:r w:rsidRPr="00610A43">
              <w:t>ns</w:t>
            </w:r>
          </w:p>
        </w:tc>
        <w:tc>
          <w:tcPr>
            <w:tcW w:w="1728" w:type="pct"/>
            <w:hideMark/>
          </w:tcPr>
          <w:p w14:paraId="4A490CC6" w14:textId="77777777" w:rsidR="00610A43" w:rsidRPr="00610A43" w:rsidRDefault="00610A43" w:rsidP="00610A43"/>
        </w:tc>
      </w:tr>
      <w:tr w:rsidR="00610A43" w:rsidRPr="00610A43" w14:paraId="419ECF92" w14:textId="77777777" w:rsidTr="00610A43">
        <w:trPr>
          <w:trHeight w:val="298"/>
        </w:trPr>
        <w:tc>
          <w:tcPr>
            <w:tcW w:w="2205" w:type="pct"/>
            <w:hideMark/>
          </w:tcPr>
          <w:p w14:paraId="7DD07CE6" w14:textId="77777777" w:rsidR="00610A43" w:rsidRPr="00610A43" w:rsidRDefault="00610A43" w:rsidP="00610A43">
            <w:r w:rsidRPr="00610A43">
              <w:rPr>
                <w:lang w:val="en-US"/>
              </w:rPr>
              <w:t>Research fellow/postdoc</w:t>
            </w:r>
          </w:p>
        </w:tc>
        <w:tc>
          <w:tcPr>
            <w:tcW w:w="1067" w:type="pct"/>
            <w:hideMark/>
          </w:tcPr>
          <w:p w14:paraId="42548AF3" w14:textId="77777777" w:rsidR="00610A43" w:rsidRPr="00610A43" w:rsidRDefault="00610A43" w:rsidP="00610A43">
            <w:r w:rsidRPr="00610A43">
              <w:t>ns</w:t>
            </w:r>
          </w:p>
        </w:tc>
        <w:tc>
          <w:tcPr>
            <w:tcW w:w="1728" w:type="pct"/>
            <w:hideMark/>
          </w:tcPr>
          <w:p w14:paraId="40636ECF" w14:textId="77777777" w:rsidR="00610A43" w:rsidRPr="00610A43" w:rsidRDefault="00610A43" w:rsidP="00610A43"/>
        </w:tc>
      </w:tr>
      <w:tr w:rsidR="00610A43" w:rsidRPr="00610A43" w14:paraId="4D19D7ED" w14:textId="77777777" w:rsidTr="00610A43">
        <w:trPr>
          <w:trHeight w:val="298"/>
        </w:trPr>
        <w:tc>
          <w:tcPr>
            <w:tcW w:w="2205" w:type="pct"/>
            <w:hideMark/>
          </w:tcPr>
          <w:p w14:paraId="048DDBC0" w14:textId="77777777" w:rsidR="00610A43" w:rsidRPr="00610A43" w:rsidRDefault="00610A43" w:rsidP="00610A43">
            <w:r w:rsidRPr="00610A43">
              <w:rPr>
                <w:lang w:val="en-US"/>
              </w:rPr>
              <w:t>Intrinsic motivation</w:t>
            </w:r>
          </w:p>
        </w:tc>
        <w:tc>
          <w:tcPr>
            <w:tcW w:w="1067" w:type="pct"/>
            <w:hideMark/>
          </w:tcPr>
          <w:p w14:paraId="513401B5" w14:textId="77777777" w:rsidR="00610A43" w:rsidRPr="00610A43" w:rsidRDefault="00610A43" w:rsidP="00610A43">
            <w:r w:rsidRPr="00610A43">
              <w:t>+</w:t>
            </w:r>
          </w:p>
        </w:tc>
        <w:tc>
          <w:tcPr>
            <w:tcW w:w="1728" w:type="pct"/>
            <w:hideMark/>
          </w:tcPr>
          <w:p w14:paraId="533255FE" w14:textId="77777777" w:rsidR="00610A43" w:rsidRPr="00610A43" w:rsidRDefault="00610A43" w:rsidP="00610A43"/>
        </w:tc>
      </w:tr>
      <w:tr w:rsidR="00610A43" w:rsidRPr="00610A43" w14:paraId="0AABA87A" w14:textId="77777777" w:rsidTr="00610A43">
        <w:trPr>
          <w:trHeight w:val="298"/>
        </w:trPr>
        <w:tc>
          <w:tcPr>
            <w:tcW w:w="2205" w:type="pct"/>
            <w:hideMark/>
          </w:tcPr>
          <w:p w14:paraId="737D7317" w14:textId="77777777" w:rsidR="00610A43" w:rsidRPr="00610A43" w:rsidRDefault="00610A43" w:rsidP="00610A43">
            <w:r w:rsidRPr="00610A43">
              <w:rPr>
                <w:lang w:val="en-US"/>
              </w:rPr>
              <w:t>extrinsic motivation</w:t>
            </w:r>
          </w:p>
        </w:tc>
        <w:tc>
          <w:tcPr>
            <w:tcW w:w="1067" w:type="pct"/>
            <w:hideMark/>
          </w:tcPr>
          <w:p w14:paraId="2EB52AF3" w14:textId="77777777" w:rsidR="00610A43" w:rsidRPr="00610A43" w:rsidRDefault="00610A43" w:rsidP="00610A43">
            <w:r w:rsidRPr="00610A43">
              <w:t>+</w:t>
            </w:r>
          </w:p>
        </w:tc>
        <w:tc>
          <w:tcPr>
            <w:tcW w:w="1728" w:type="pct"/>
            <w:hideMark/>
          </w:tcPr>
          <w:p w14:paraId="773D6DD6" w14:textId="77777777" w:rsidR="00610A43" w:rsidRPr="00610A43" w:rsidRDefault="00610A43" w:rsidP="00610A43"/>
        </w:tc>
      </w:tr>
      <w:tr w:rsidR="00610A43" w:rsidRPr="00610A43" w14:paraId="1B64D93E" w14:textId="77777777" w:rsidTr="00610A43">
        <w:trPr>
          <w:trHeight w:val="298"/>
        </w:trPr>
        <w:tc>
          <w:tcPr>
            <w:tcW w:w="2205" w:type="pct"/>
            <w:hideMark/>
          </w:tcPr>
          <w:p w14:paraId="766AFC00" w14:textId="77777777" w:rsidR="00610A43" w:rsidRPr="00610A43" w:rsidRDefault="00610A43" w:rsidP="00610A43">
            <w:r w:rsidRPr="00610A43">
              <w:rPr>
                <w:lang w:val="en-US"/>
              </w:rPr>
              <w:t>Publications</w:t>
            </w:r>
          </w:p>
        </w:tc>
        <w:tc>
          <w:tcPr>
            <w:tcW w:w="1067" w:type="pct"/>
            <w:hideMark/>
          </w:tcPr>
          <w:p w14:paraId="0152883C" w14:textId="77777777" w:rsidR="00610A43" w:rsidRPr="00610A43" w:rsidRDefault="00610A43" w:rsidP="00610A43">
            <w:r w:rsidRPr="00610A43">
              <w:t>ns</w:t>
            </w:r>
          </w:p>
        </w:tc>
        <w:tc>
          <w:tcPr>
            <w:tcW w:w="1728" w:type="pct"/>
            <w:hideMark/>
          </w:tcPr>
          <w:p w14:paraId="56411F91" w14:textId="77777777" w:rsidR="00610A43" w:rsidRPr="00610A43" w:rsidRDefault="00610A43" w:rsidP="00610A43"/>
        </w:tc>
      </w:tr>
      <w:tr w:rsidR="00610A43" w:rsidRPr="00610A43" w14:paraId="33EDA5FA" w14:textId="77777777" w:rsidTr="00610A43">
        <w:trPr>
          <w:trHeight w:val="298"/>
        </w:trPr>
        <w:tc>
          <w:tcPr>
            <w:tcW w:w="2205" w:type="pct"/>
            <w:hideMark/>
          </w:tcPr>
          <w:p w14:paraId="06EEDD1E" w14:textId="77777777" w:rsidR="00610A43" w:rsidRPr="00610A43" w:rsidRDefault="00610A43" w:rsidP="00610A43">
            <w:r w:rsidRPr="00610A43">
              <w:rPr>
                <w:lang w:val="en-US"/>
              </w:rPr>
              <w:t>Citations</w:t>
            </w:r>
          </w:p>
        </w:tc>
        <w:tc>
          <w:tcPr>
            <w:tcW w:w="1067" w:type="pct"/>
            <w:hideMark/>
          </w:tcPr>
          <w:p w14:paraId="14A58737" w14:textId="77777777" w:rsidR="00610A43" w:rsidRPr="00610A43" w:rsidRDefault="00610A43" w:rsidP="00610A43">
            <w:r w:rsidRPr="00610A43">
              <w:t>ns</w:t>
            </w:r>
          </w:p>
        </w:tc>
        <w:tc>
          <w:tcPr>
            <w:tcW w:w="1728" w:type="pct"/>
            <w:hideMark/>
          </w:tcPr>
          <w:p w14:paraId="2D410F1D" w14:textId="77777777" w:rsidR="00610A43" w:rsidRPr="00610A43" w:rsidRDefault="00610A43" w:rsidP="00610A43"/>
        </w:tc>
      </w:tr>
      <w:tr w:rsidR="00610A43" w:rsidRPr="00610A43" w14:paraId="33E8AD07" w14:textId="77777777" w:rsidTr="00610A43">
        <w:trPr>
          <w:trHeight w:val="298"/>
        </w:trPr>
        <w:tc>
          <w:tcPr>
            <w:tcW w:w="2205" w:type="pct"/>
            <w:hideMark/>
          </w:tcPr>
          <w:p w14:paraId="3F052483" w14:textId="77777777" w:rsidR="00610A43" w:rsidRPr="00610A43" w:rsidRDefault="00610A43" w:rsidP="00610A43">
            <w:r w:rsidRPr="00610A43">
              <w:rPr>
                <w:lang w:val="en-US"/>
              </w:rPr>
              <w:t>Co-authors</w:t>
            </w:r>
          </w:p>
        </w:tc>
        <w:tc>
          <w:tcPr>
            <w:tcW w:w="1067" w:type="pct"/>
            <w:hideMark/>
          </w:tcPr>
          <w:p w14:paraId="43569460" w14:textId="77777777" w:rsidR="00610A43" w:rsidRPr="00610A43" w:rsidRDefault="00610A43" w:rsidP="00610A43">
            <w:r w:rsidRPr="00610A43">
              <w:rPr>
                <w:lang w:val="en-US"/>
              </w:rPr>
              <w:t>0.050</w:t>
            </w:r>
            <w:r w:rsidRPr="00610A43">
              <w:rPr>
                <w:vertAlign w:val="superscript"/>
                <w:lang w:val="en-US"/>
              </w:rPr>
              <w:t>**</w:t>
            </w:r>
          </w:p>
        </w:tc>
        <w:tc>
          <w:tcPr>
            <w:tcW w:w="1728" w:type="pct"/>
            <w:hideMark/>
          </w:tcPr>
          <w:p w14:paraId="6B86F818" w14:textId="77777777" w:rsidR="00610A43" w:rsidRPr="00610A43" w:rsidRDefault="00610A43" w:rsidP="00610A43">
            <w:r w:rsidRPr="00610A43">
              <w:rPr>
                <w:lang w:val="en-US"/>
              </w:rPr>
              <w:t>(0.024)</w:t>
            </w:r>
          </w:p>
        </w:tc>
      </w:tr>
      <w:tr w:rsidR="00610A43" w:rsidRPr="00610A43" w14:paraId="7E9C52C0" w14:textId="77777777" w:rsidTr="00610A43">
        <w:trPr>
          <w:trHeight w:val="298"/>
        </w:trPr>
        <w:tc>
          <w:tcPr>
            <w:tcW w:w="2205" w:type="pct"/>
            <w:hideMark/>
          </w:tcPr>
          <w:p w14:paraId="0042A636" w14:textId="77777777" w:rsidR="00610A43" w:rsidRPr="00610A43" w:rsidRDefault="00610A43" w:rsidP="00610A43">
            <w:r w:rsidRPr="00610A43">
              <w:rPr>
                <w:lang w:val="en-US"/>
              </w:rPr>
              <w:t xml:space="preserve">Uni research income </w:t>
            </w:r>
            <w:proofErr w:type="spellStart"/>
            <w:r w:rsidRPr="00610A43">
              <w:rPr>
                <w:lang w:val="en-US"/>
              </w:rPr>
              <w:t>pP</w:t>
            </w:r>
            <w:proofErr w:type="spellEnd"/>
          </w:p>
        </w:tc>
        <w:tc>
          <w:tcPr>
            <w:tcW w:w="1067" w:type="pct"/>
            <w:hideMark/>
          </w:tcPr>
          <w:p w14:paraId="17EF0FBB" w14:textId="77777777" w:rsidR="00610A43" w:rsidRPr="00610A43" w:rsidRDefault="00610A43" w:rsidP="00610A43">
            <w:r w:rsidRPr="00610A43">
              <w:rPr>
                <w:lang w:val="en-US"/>
              </w:rPr>
              <w:t>-0.003</w:t>
            </w:r>
            <w:r w:rsidRPr="00610A43">
              <w:rPr>
                <w:vertAlign w:val="superscript"/>
                <w:lang w:val="en-US"/>
              </w:rPr>
              <w:t>***</w:t>
            </w:r>
          </w:p>
        </w:tc>
        <w:tc>
          <w:tcPr>
            <w:tcW w:w="1728" w:type="pct"/>
            <w:hideMark/>
          </w:tcPr>
          <w:p w14:paraId="493B2F8F" w14:textId="77777777" w:rsidR="00610A43" w:rsidRPr="00610A43" w:rsidRDefault="00610A43" w:rsidP="00610A43">
            <w:r w:rsidRPr="00610A43">
              <w:rPr>
                <w:lang w:val="en-US"/>
              </w:rPr>
              <w:t>(0.000)</w:t>
            </w:r>
          </w:p>
        </w:tc>
      </w:tr>
      <w:tr w:rsidR="00610A43" w:rsidRPr="00610A43" w14:paraId="2EB28D57" w14:textId="77777777" w:rsidTr="00610A43">
        <w:trPr>
          <w:trHeight w:val="298"/>
        </w:trPr>
        <w:tc>
          <w:tcPr>
            <w:tcW w:w="2205" w:type="pct"/>
            <w:hideMark/>
          </w:tcPr>
          <w:p w14:paraId="4E1F7EF1" w14:textId="77777777" w:rsidR="00610A43" w:rsidRPr="00610A43" w:rsidRDefault="00610A43" w:rsidP="00610A43">
            <w:r w:rsidRPr="00610A43">
              <w:rPr>
                <w:lang w:val="en-US"/>
              </w:rPr>
              <w:lastRenderedPageBreak/>
              <w:t>Basic Research</w:t>
            </w:r>
          </w:p>
        </w:tc>
        <w:tc>
          <w:tcPr>
            <w:tcW w:w="1067" w:type="pct"/>
            <w:hideMark/>
          </w:tcPr>
          <w:p w14:paraId="2955D2AC" w14:textId="77777777" w:rsidR="00610A43" w:rsidRPr="00610A43" w:rsidRDefault="00610A43" w:rsidP="00610A43">
            <w:r w:rsidRPr="00610A43">
              <w:rPr>
                <w:lang w:val="en-US"/>
              </w:rPr>
              <w:t>-0.147</w:t>
            </w:r>
            <w:r w:rsidRPr="00610A43">
              <w:rPr>
                <w:vertAlign w:val="superscript"/>
                <w:lang w:val="en-US"/>
              </w:rPr>
              <w:t>***</w:t>
            </w:r>
          </w:p>
        </w:tc>
        <w:tc>
          <w:tcPr>
            <w:tcW w:w="1728" w:type="pct"/>
            <w:hideMark/>
          </w:tcPr>
          <w:p w14:paraId="5C7FD245" w14:textId="77777777" w:rsidR="00610A43" w:rsidRPr="00610A43" w:rsidRDefault="00610A43" w:rsidP="00610A43">
            <w:r w:rsidRPr="00610A43">
              <w:rPr>
                <w:lang w:val="en-US"/>
              </w:rPr>
              <w:t>(0.030)</w:t>
            </w:r>
          </w:p>
        </w:tc>
      </w:tr>
      <w:tr w:rsidR="00610A43" w:rsidRPr="00610A43" w14:paraId="7F0CF306" w14:textId="77777777" w:rsidTr="00610A43">
        <w:trPr>
          <w:trHeight w:val="298"/>
        </w:trPr>
        <w:tc>
          <w:tcPr>
            <w:tcW w:w="2205" w:type="pct"/>
            <w:hideMark/>
          </w:tcPr>
          <w:p w14:paraId="12E50824" w14:textId="77777777" w:rsidR="00610A43" w:rsidRPr="00610A43" w:rsidRDefault="00610A43" w:rsidP="00610A43">
            <w:r w:rsidRPr="00610A43">
              <w:rPr>
                <w:lang w:val="en-US"/>
              </w:rPr>
              <w:t>User-Inspired</w:t>
            </w:r>
          </w:p>
        </w:tc>
        <w:tc>
          <w:tcPr>
            <w:tcW w:w="1067" w:type="pct"/>
            <w:hideMark/>
          </w:tcPr>
          <w:p w14:paraId="77761621" w14:textId="77777777" w:rsidR="00610A43" w:rsidRPr="00610A43" w:rsidRDefault="00610A43" w:rsidP="00610A43">
            <w:r w:rsidRPr="00610A43">
              <w:rPr>
                <w:lang w:val="en-US"/>
              </w:rPr>
              <w:t>0.010</w:t>
            </w:r>
          </w:p>
        </w:tc>
        <w:tc>
          <w:tcPr>
            <w:tcW w:w="1728" w:type="pct"/>
            <w:hideMark/>
          </w:tcPr>
          <w:p w14:paraId="083BF404" w14:textId="77777777" w:rsidR="00610A43" w:rsidRPr="00610A43" w:rsidRDefault="00610A43" w:rsidP="00610A43">
            <w:r w:rsidRPr="00610A43">
              <w:rPr>
                <w:lang w:val="en-US"/>
              </w:rPr>
              <w:t>(0.037)</w:t>
            </w:r>
          </w:p>
        </w:tc>
      </w:tr>
      <w:tr w:rsidR="00610A43" w:rsidRPr="00610A43" w14:paraId="09B9251F" w14:textId="77777777" w:rsidTr="00610A43">
        <w:trPr>
          <w:trHeight w:val="285"/>
        </w:trPr>
        <w:tc>
          <w:tcPr>
            <w:tcW w:w="2205" w:type="pct"/>
            <w:hideMark/>
          </w:tcPr>
          <w:p w14:paraId="2ED42883" w14:textId="77777777" w:rsidR="00610A43" w:rsidRPr="00610A43" w:rsidRDefault="00610A43" w:rsidP="00610A43">
            <w:r w:rsidRPr="00610A43">
              <w:rPr>
                <w:lang w:val="en-US"/>
              </w:rPr>
              <w:t>UKRI PI funding</w:t>
            </w:r>
          </w:p>
        </w:tc>
        <w:tc>
          <w:tcPr>
            <w:tcW w:w="1067" w:type="pct"/>
            <w:hideMark/>
          </w:tcPr>
          <w:p w14:paraId="1C2302D5" w14:textId="77777777" w:rsidR="00610A43" w:rsidRPr="00610A43" w:rsidRDefault="00610A43" w:rsidP="00610A43">
            <w:r w:rsidRPr="00610A43">
              <w:rPr>
                <w:lang w:val="en-US"/>
              </w:rPr>
              <w:t>-0.060</w:t>
            </w:r>
            <w:r w:rsidRPr="00610A43">
              <w:rPr>
                <w:vertAlign w:val="superscript"/>
                <w:lang w:val="en-US"/>
              </w:rPr>
              <w:t>*</w:t>
            </w:r>
          </w:p>
        </w:tc>
        <w:tc>
          <w:tcPr>
            <w:tcW w:w="1728" w:type="pct"/>
            <w:hideMark/>
          </w:tcPr>
          <w:p w14:paraId="063065AC" w14:textId="77777777" w:rsidR="00610A43" w:rsidRPr="00610A43" w:rsidRDefault="00610A43" w:rsidP="00610A43">
            <w:r w:rsidRPr="00610A43">
              <w:rPr>
                <w:lang w:val="en-US"/>
              </w:rPr>
              <w:t>(0.034)</w:t>
            </w:r>
          </w:p>
        </w:tc>
      </w:tr>
    </w:tbl>
    <w:p w14:paraId="74182289" w14:textId="77777777" w:rsidR="00D46D7F" w:rsidRPr="00D46D7F" w:rsidRDefault="00D46D7F" w:rsidP="00D46D7F">
      <w:r w:rsidRPr="00D46D7F">
        <w:rPr>
          <w:vertAlign w:val="superscript"/>
          <w:lang w:val="en-US"/>
        </w:rPr>
        <w:t>*</w:t>
      </w:r>
      <w:r w:rsidRPr="00D46D7F">
        <w:rPr>
          <w:lang w:val="en-US"/>
        </w:rPr>
        <w:t xml:space="preserve"> </w:t>
      </w:r>
      <w:r w:rsidRPr="00D46D7F">
        <w:rPr>
          <w:i/>
          <w:iCs/>
          <w:lang w:val="en-US"/>
        </w:rPr>
        <w:t>p</w:t>
      </w:r>
      <w:r w:rsidRPr="00D46D7F">
        <w:rPr>
          <w:lang w:val="en-US"/>
        </w:rPr>
        <w:t xml:space="preserve"> &lt; 0.10, </w:t>
      </w:r>
      <w:r w:rsidRPr="00D46D7F">
        <w:rPr>
          <w:vertAlign w:val="superscript"/>
          <w:lang w:val="en-US"/>
        </w:rPr>
        <w:t>**</w:t>
      </w:r>
      <w:r w:rsidRPr="00D46D7F">
        <w:rPr>
          <w:lang w:val="en-US"/>
        </w:rPr>
        <w:t xml:space="preserve"> </w:t>
      </w:r>
      <w:r w:rsidRPr="00D46D7F">
        <w:rPr>
          <w:i/>
          <w:iCs/>
          <w:lang w:val="en-US"/>
        </w:rPr>
        <w:t>p</w:t>
      </w:r>
      <w:r w:rsidRPr="00D46D7F">
        <w:rPr>
          <w:lang w:val="en-US"/>
        </w:rPr>
        <w:t xml:space="preserve"> &lt; 0.05, </w:t>
      </w:r>
      <w:r w:rsidRPr="00D46D7F">
        <w:rPr>
          <w:vertAlign w:val="superscript"/>
          <w:lang w:val="en-US"/>
        </w:rPr>
        <w:t>***</w:t>
      </w:r>
      <w:r w:rsidRPr="00D46D7F">
        <w:rPr>
          <w:lang w:val="en-US"/>
        </w:rPr>
        <w:t xml:space="preserve"> </w:t>
      </w:r>
      <w:r w:rsidRPr="00D46D7F">
        <w:rPr>
          <w:i/>
          <w:iCs/>
          <w:lang w:val="en-US"/>
        </w:rPr>
        <w:t>p</w:t>
      </w:r>
      <w:r w:rsidRPr="00D46D7F">
        <w:rPr>
          <w:lang w:val="en-US"/>
        </w:rPr>
        <w:t xml:space="preserve"> &lt; 0.01</w:t>
      </w:r>
    </w:p>
    <w:p w14:paraId="45CA2BF4" w14:textId="780512C5" w:rsidR="00610A43" w:rsidRDefault="00610A43" w:rsidP="00610A43"/>
    <w:p w14:paraId="43C84C66" w14:textId="1A63C985" w:rsidR="00610A43" w:rsidRDefault="00610A43"/>
    <w:p w14:paraId="1D602B33" w14:textId="28CC6195" w:rsidR="00610A43" w:rsidRPr="00610A43" w:rsidRDefault="00610A43" w:rsidP="00610A43">
      <w:r>
        <w:t xml:space="preserve">Table 3: Heckman selection Stage 2 </w:t>
      </w:r>
    </w:p>
    <w:p w14:paraId="75ADF551" w14:textId="2DA9180B" w:rsidR="00610A43" w:rsidRDefault="00610A43" w:rsidP="00610A43"/>
    <w:tbl>
      <w:tblPr>
        <w:tblStyle w:val="TableGrid"/>
        <w:tblW w:w="5000" w:type="pct"/>
        <w:tblLook w:val="0420" w:firstRow="1" w:lastRow="0" w:firstColumn="0" w:lastColumn="0" w:noHBand="0" w:noVBand="1"/>
      </w:tblPr>
      <w:tblGrid>
        <w:gridCol w:w="3318"/>
        <w:gridCol w:w="1414"/>
        <w:gridCol w:w="1435"/>
        <w:gridCol w:w="1414"/>
        <w:gridCol w:w="1435"/>
      </w:tblGrid>
      <w:tr w:rsidR="00610A43" w:rsidRPr="00610A43" w14:paraId="608B7B98" w14:textId="77777777" w:rsidTr="00610A43">
        <w:tc>
          <w:tcPr>
            <w:tcW w:w="1840" w:type="pct"/>
            <w:hideMark/>
          </w:tcPr>
          <w:p w14:paraId="03F0F2AF" w14:textId="77777777" w:rsidR="00610A43" w:rsidRPr="00610A43" w:rsidRDefault="00610A43" w:rsidP="00610A43"/>
        </w:tc>
        <w:tc>
          <w:tcPr>
            <w:tcW w:w="1580" w:type="pct"/>
            <w:gridSpan w:val="2"/>
            <w:hideMark/>
          </w:tcPr>
          <w:p w14:paraId="4D9AD553" w14:textId="143470C5" w:rsidR="00610A43" w:rsidRPr="00610A43" w:rsidRDefault="00610A43" w:rsidP="00610A43">
            <w:r w:rsidRPr="00610A43">
              <w:rPr>
                <w:b/>
                <w:bCs/>
              </w:rPr>
              <w:t>500+ Connections</w:t>
            </w:r>
            <w:r>
              <w:rPr>
                <w:b/>
                <w:bCs/>
              </w:rPr>
              <w:t xml:space="preserve"> (0/1)</w:t>
            </w:r>
          </w:p>
        </w:tc>
        <w:tc>
          <w:tcPr>
            <w:tcW w:w="1580" w:type="pct"/>
            <w:gridSpan w:val="2"/>
            <w:hideMark/>
          </w:tcPr>
          <w:p w14:paraId="47F6C25E" w14:textId="1779939A" w:rsidR="00610A43" w:rsidRPr="00610A43" w:rsidRDefault="00610A43" w:rsidP="00610A43">
            <w:r w:rsidRPr="00610A43">
              <w:rPr>
                <w:b/>
                <w:bCs/>
              </w:rPr>
              <w:t>Complete profile</w:t>
            </w:r>
            <w:r>
              <w:rPr>
                <w:b/>
                <w:bCs/>
              </w:rPr>
              <w:t xml:space="preserve"> (0/1)</w:t>
            </w:r>
          </w:p>
        </w:tc>
      </w:tr>
      <w:tr w:rsidR="00610A43" w:rsidRPr="00610A43" w14:paraId="080B5641" w14:textId="77777777" w:rsidTr="00610A43">
        <w:tc>
          <w:tcPr>
            <w:tcW w:w="1840" w:type="pct"/>
            <w:hideMark/>
          </w:tcPr>
          <w:p w14:paraId="62116230" w14:textId="77777777" w:rsidR="00610A43" w:rsidRPr="00610A43" w:rsidRDefault="00610A43" w:rsidP="00610A43"/>
        </w:tc>
        <w:tc>
          <w:tcPr>
            <w:tcW w:w="784" w:type="pct"/>
            <w:hideMark/>
          </w:tcPr>
          <w:p w14:paraId="4FF0C1D3" w14:textId="77777777" w:rsidR="00610A43" w:rsidRPr="00610A43" w:rsidRDefault="00610A43" w:rsidP="00610A43">
            <w:proofErr w:type="spellStart"/>
            <w:r w:rsidRPr="00610A43">
              <w:t>Coef</w:t>
            </w:r>
            <w:proofErr w:type="spellEnd"/>
          </w:p>
        </w:tc>
        <w:tc>
          <w:tcPr>
            <w:tcW w:w="796" w:type="pct"/>
            <w:hideMark/>
          </w:tcPr>
          <w:p w14:paraId="62489531" w14:textId="77777777" w:rsidR="00610A43" w:rsidRPr="00610A43" w:rsidRDefault="00610A43" w:rsidP="00610A43">
            <w:r w:rsidRPr="00610A43">
              <w:t>robust SE</w:t>
            </w:r>
          </w:p>
        </w:tc>
        <w:tc>
          <w:tcPr>
            <w:tcW w:w="784" w:type="pct"/>
            <w:hideMark/>
          </w:tcPr>
          <w:p w14:paraId="159054F7" w14:textId="77777777" w:rsidR="00610A43" w:rsidRPr="00610A43" w:rsidRDefault="00610A43" w:rsidP="00610A43">
            <w:proofErr w:type="spellStart"/>
            <w:r w:rsidRPr="00610A43">
              <w:t>Coef</w:t>
            </w:r>
            <w:proofErr w:type="spellEnd"/>
          </w:p>
        </w:tc>
        <w:tc>
          <w:tcPr>
            <w:tcW w:w="796" w:type="pct"/>
            <w:hideMark/>
          </w:tcPr>
          <w:p w14:paraId="5D184B3D" w14:textId="77777777" w:rsidR="00610A43" w:rsidRPr="00610A43" w:rsidRDefault="00610A43" w:rsidP="00610A43">
            <w:r w:rsidRPr="00610A43">
              <w:t>robust SE</w:t>
            </w:r>
          </w:p>
        </w:tc>
      </w:tr>
      <w:tr w:rsidR="00610A43" w:rsidRPr="00610A43" w14:paraId="4DCCF14C" w14:textId="77777777" w:rsidTr="00610A43">
        <w:tc>
          <w:tcPr>
            <w:tcW w:w="1840" w:type="pct"/>
            <w:hideMark/>
          </w:tcPr>
          <w:p w14:paraId="35F8AF17" w14:textId="77777777" w:rsidR="00610A43" w:rsidRPr="00610A43" w:rsidRDefault="00610A43" w:rsidP="00610A43">
            <w:r w:rsidRPr="00610A43">
              <w:rPr>
                <w:lang w:val="en-US"/>
              </w:rPr>
              <w:t>40-49</w:t>
            </w:r>
          </w:p>
        </w:tc>
        <w:tc>
          <w:tcPr>
            <w:tcW w:w="784" w:type="pct"/>
            <w:hideMark/>
          </w:tcPr>
          <w:p w14:paraId="2061D708" w14:textId="77777777" w:rsidR="00610A43" w:rsidRPr="00610A43" w:rsidRDefault="00610A43" w:rsidP="00610A43">
            <w:r w:rsidRPr="00610A43">
              <w:rPr>
                <w:lang w:val="en-US"/>
              </w:rPr>
              <w:t>-0.062</w:t>
            </w:r>
          </w:p>
        </w:tc>
        <w:tc>
          <w:tcPr>
            <w:tcW w:w="796" w:type="pct"/>
            <w:hideMark/>
          </w:tcPr>
          <w:p w14:paraId="648300EE" w14:textId="77777777" w:rsidR="00610A43" w:rsidRPr="00610A43" w:rsidRDefault="00610A43" w:rsidP="00610A43">
            <w:r w:rsidRPr="00610A43">
              <w:rPr>
                <w:lang w:val="en-US"/>
              </w:rPr>
              <w:t>(0.055)</w:t>
            </w:r>
          </w:p>
        </w:tc>
        <w:tc>
          <w:tcPr>
            <w:tcW w:w="784" w:type="pct"/>
            <w:hideMark/>
          </w:tcPr>
          <w:p w14:paraId="10C79F0D" w14:textId="77777777" w:rsidR="00610A43" w:rsidRPr="00610A43" w:rsidRDefault="00610A43" w:rsidP="00610A43">
            <w:r w:rsidRPr="00610A43">
              <w:rPr>
                <w:lang w:val="en-US"/>
              </w:rPr>
              <w:t>-0.300</w:t>
            </w:r>
            <w:r w:rsidRPr="00610A43">
              <w:rPr>
                <w:vertAlign w:val="superscript"/>
                <w:lang w:val="en-US"/>
              </w:rPr>
              <w:t>***</w:t>
            </w:r>
          </w:p>
        </w:tc>
        <w:tc>
          <w:tcPr>
            <w:tcW w:w="796" w:type="pct"/>
            <w:hideMark/>
          </w:tcPr>
          <w:p w14:paraId="552D8179" w14:textId="77777777" w:rsidR="00610A43" w:rsidRPr="00610A43" w:rsidRDefault="00610A43" w:rsidP="00610A43">
            <w:r w:rsidRPr="00610A43">
              <w:rPr>
                <w:lang w:val="en-US"/>
              </w:rPr>
              <w:t>(0.049)</w:t>
            </w:r>
          </w:p>
        </w:tc>
      </w:tr>
      <w:tr w:rsidR="00610A43" w:rsidRPr="00610A43" w14:paraId="1E7766AD" w14:textId="77777777" w:rsidTr="00610A43">
        <w:tc>
          <w:tcPr>
            <w:tcW w:w="1840" w:type="pct"/>
            <w:hideMark/>
          </w:tcPr>
          <w:p w14:paraId="4A51D17E" w14:textId="77777777" w:rsidR="00610A43" w:rsidRPr="00610A43" w:rsidRDefault="00610A43" w:rsidP="00610A43">
            <w:r w:rsidRPr="00610A43">
              <w:rPr>
                <w:lang w:val="en-US"/>
              </w:rPr>
              <w:t>&gt;49</w:t>
            </w:r>
          </w:p>
        </w:tc>
        <w:tc>
          <w:tcPr>
            <w:tcW w:w="784" w:type="pct"/>
            <w:hideMark/>
          </w:tcPr>
          <w:p w14:paraId="3FDEA34B" w14:textId="77777777" w:rsidR="00610A43" w:rsidRPr="00610A43" w:rsidRDefault="00610A43" w:rsidP="00610A43">
            <w:r w:rsidRPr="00610A43">
              <w:rPr>
                <w:lang w:val="en-US"/>
              </w:rPr>
              <w:t>-0.174</w:t>
            </w:r>
            <w:r w:rsidRPr="00610A43">
              <w:rPr>
                <w:vertAlign w:val="superscript"/>
                <w:lang w:val="en-US"/>
              </w:rPr>
              <w:t>**</w:t>
            </w:r>
          </w:p>
        </w:tc>
        <w:tc>
          <w:tcPr>
            <w:tcW w:w="796" w:type="pct"/>
            <w:hideMark/>
          </w:tcPr>
          <w:p w14:paraId="5B2B49E3" w14:textId="77777777" w:rsidR="00610A43" w:rsidRPr="00610A43" w:rsidRDefault="00610A43" w:rsidP="00610A43">
            <w:r w:rsidRPr="00610A43">
              <w:rPr>
                <w:lang w:val="en-US"/>
              </w:rPr>
              <w:t>(0.077)</w:t>
            </w:r>
          </w:p>
        </w:tc>
        <w:tc>
          <w:tcPr>
            <w:tcW w:w="784" w:type="pct"/>
            <w:hideMark/>
          </w:tcPr>
          <w:p w14:paraId="26BE7AE8" w14:textId="77777777" w:rsidR="00610A43" w:rsidRPr="00610A43" w:rsidRDefault="00610A43" w:rsidP="00610A43">
            <w:r w:rsidRPr="00610A43">
              <w:rPr>
                <w:lang w:val="en-US"/>
              </w:rPr>
              <w:t>-0.591</w:t>
            </w:r>
            <w:r w:rsidRPr="00610A43">
              <w:rPr>
                <w:vertAlign w:val="superscript"/>
                <w:lang w:val="en-US"/>
              </w:rPr>
              <w:t>***</w:t>
            </w:r>
          </w:p>
        </w:tc>
        <w:tc>
          <w:tcPr>
            <w:tcW w:w="796" w:type="pct"/>
            <w:hideMark/>
          </w:tcPr>
          <w:p w14:paraId="747DF044" w14:textId="77777777" w:rsidR="00610A43" w:rsidRPr="00610A43" w:rsidRDefault="00610A43" w:rsidP="00610A43">
            <w:r w:rsidRPr="00610A43">
              <w:rPr>
                <w:lang w:val="en-US"/>
              </w:rPr>
              <w:t>(0.067)</w:t>
            </w:r>
          </w:p>
        </w:tc>
      </w:tr>
      <w:tr w:rsidR="00610A43" w:rsidRPr="00610A43" w14:paraId="61FDCACB" w14:textId="77777777" w:rsidTr="00610A43">
        <w:tc>
          <w:tcPr>
            <w:tcW w:w="1840" w:type="pct"/>
            <w:hideMark/>
          </w:tcPr>
          <w:p w14:paraId="65AACBFE" w14:textId="77777777" w:rsidR="00610A43" w:rsidRPr="00610A43" w:rsidRDefault="00610A43" w:rsidP="00610A43">
            <w:r w:rsidRPr="00610A43">
              <w:rPr>
                <w:lang w:val="en-US"/>
              </w:rPr>
              <w:t>Female</w:t>
            </w:r>
          </w:p>
        </w:tc>
        <w:tc>
          <w:tcPr>
            <w:tcW w:w="784" w:type="pct"/>
            <w:hideMark/>
          </w:tcPr>
          <w:p w14:paraId="6460C49C" w14:textId="77777777" w:rsidR="00610A43" w:rsidRPr="00610A43" w:rsidRDefault="00610A43" w:rsidP="00610A43">
            <w:r w:rsidRPr="00610A43">
              <w:rPr>
                <w:lang w:val="en-US"/>
              </w:rPr>
              <w:t>-0.254</w:t>
            </w:r>
            <w:r w:rsidRPr="00610A43">
              <w:rPr>
                <w:vertAlign w:val="superscript"/>
                <w:lang w:val="en-US"/>
              </w:rPr>
              <w:t>***</w:t>
            </w:r>
          </w:p>
        </w:tc>
        <w:tc>
          <w:tcPr>
            <w:tcW w:w="796" w:type="pct"/>
            <w:hideMark/>
          </w:tcPr>
          <w:p w14:paraId="6F637FBE" w14:textId="77777777" w:rsidR="00610A43" w:rsidRPr="00610A43" w:rsidRDefault="00610A43" w:rsidP="00610A43">
            <w:r w:rsidRPr="00610A43">
              <w:rPr>
                <w:lang w:val="en-US"/>
              </w:rPr>
              <w:t>(0.087)</w:t>
            </w:r>
          </w:p>
        </w:tc>
        <w:tc>
          <w:tcPr>
            <w:tcW w:w="784" w:type="pct"/>
            <w:hideMark/>
          </w:tcPr>
          <w:p w14:paraId="57288B84" w14:textId="77777777" w:rsidR="00610A43" w:rsidRPr="00610A43" w:rsidRDefault="00610A43" w:rsidP="00610A43">
            <w:r w:rsidRPr="00610A43">
              <w:rPr>
                <w:lang w:val="en-US"/>
              </w:rPr>
              <w:t>-0.122</w:t>
            </w:r>
            <w:r w:rsidRPr="00610A43">
              <w:rPr>
                <w:vertAlign w:val="superscript"/>
                <w:lang w:val="en-US"/>
              </w:rPr>
              <w:t>***</w:t>
            </w:r>
          </w:p>
        </w:tc>
        <w:tc>
          <w:tcPr>
            <w:tcW w:w="796" w:type="pct"/>
            <w:hideMark/>
          </w:tcPr>
          <w:p w14:paraId="497D2B95" w14:textId="77777777" w:rsidR="00610A43" w:rsidRPr="00610A43" w:rsidRDefault="00610A43" w:rsidP="00610A43">
            <w:r w:rsidRPr="00610A43">
              <w:rPr>
                <w:lang w:val="en-US"/>
              </w:rPr>
              <w:t>(0.037)</w:t>
            </w:r>
          </w:p>
        </w:tc>
      </w:tr>
      <w:tr w:rsidR="00610A43" w:rsidRPr="00610A43" w14:paraId="0DEA31E1" w14:textId="77777777" w:rsidTr="00610A43">
        <w:tc>
          <w:tcPr>
            <w:tcW w:w="1840" w:type="pct"/>
            <w:hideMark/>
          </w:tcPr>
          <w:p w14:paraId="6059BB84" w14:textId="77777777" w:rsidR="00610A43" w:rsidRPr="00610A43" w:rsidRDefault="00610A43" w:rsidP="00610A43">
            <w:r w:rsidRPr="00610A43">
              <w:rPr>
                <w:lang w:val="en-US"/>
              </w:rPr>
              <w:t>Foreign born</w:t>
            </w:r>
          </w:p>
        </w:tc>
        <w:tc>
          <w:tcPr>
            <w:tcW w:w="784" w:type="pct"/>
            <w:hideMark/>
          </w:tcPr>
          <w:p w14:paraId="6D7B94C3" w14:textId="77777777" w:rsidR="00610A43" w:rsidRPr="00610A43" w:rsidRDefault="00610A43" w:rsidP="00610A43">
            <w:r w:rsidRPr="00610A43">
              <w:rPr>
                <w:lang w:val="en-US"/>
              </w:rPr>
              <w:t>0.191</w:t>
            </w:r>
            <w:r w:rsidRPr="00610A43">
              <w:rPr>
                <w:vertAlign w:val="superscript"/>
                <w:lang w:val="en-US"/>
              </w:rPr>
              <w:t>***</w:t>
            </w:r>
          </w:p>
        </w:tc>
        <w:tc>
          <w:tcPr>
            <w:tcW w:w="796" w:type="pct"/>
            <w:hideMark/>
          </w:tcPr>
          <w:p w14:paraId="3906E690" w14:textId="77777777" w:rsidR="00610A43" w:rsidRPr="00610A43" w:rsidRDefault="00610A43" w:rsidP="00610A43">
            <w:r w:rsidRPr="00610A43">
              <w:rPr>
                <w:lang w:val="en-US"/>
              </w:rPr>
              <w:t>(0.043)</w:t>
            </w:r>
          </w:p>
        </w:tc>
        <w:tc>
          <w:tcPr>
            <w:tcW w:w="784" w:type="pct"/>
            <w:hideMark/>
          </w:tcPr>
          <w:p w14:paraId="58C8078A" w14:textId="77777777" w:rsidR="00610A43" w:rsidRPr="00610A43" w:rsidRDefault="00610A43" w:rsidP="00610A43">
            <w:r w:rsidRPr="00610A43">
              <w:rPr>
                <w:lang w:val="en-US"/>
              </w:rPr>
              <w:t>0.074</w:t>
            </w:r>
            <w:r w:rsidRPr="00610A43">
              <w:rPr>
                <w:vertAlign w:val="superscript"/>
                <w:lang w:val="en-US"/>
              </w:rPr>
              <w:t>*</w:t>
            </w:r>
          </w:p>
        </w:tc>
        <w:tc>
          <w:tcPr>
            <w:tcW w:w="796" w:type="pct"/>
            <w:hideMark/>
          </w:tcPr>
          <w:p w14:paraId="0CD62230" w14:textId="77777777" w:rsidR="00610A43" w:rsidRPr="00610A43" w:rsidRDefault="00610A43" w:rsidP="00610A43">
            <w:r w:rsidRPr="00610A43">
              <w:rPr>
                <w:lang w:val="en-US"/>
              </w:rPr>
              <w:t>(0.042)</w:t>
            </w:r>
          </w:p>
        </w:tc>
      </w:tr>
      <w:tr w:rsidR="00610A43" w:rsidRPr="00610A43" w14:paraId="5D95027F" w14:textId="77777777" w:rsidTr="00610A43">
        <w:tc>
          <w:tcPr>
            <w:tcW w:w="1840" w:type="pct"/>
            <w:hideMark/>
          </w:tcPr>
          <w:p w14:paraId="6C883F2E" w14:textId="77777777" w:rsidR="00610A43" w:rsidRPr="00610A43" w:rsidRDefault="00610A43" w:rsidP="00610A43">
            <w:r w:rsidRPr="00610A43">
              <w:rPr>
                <w:lang w:val="en-US"/>
              </w:rPr>
              <w:t>Industry experience</w:t>
            </w:r>
          </w:p>
        </w:tc>
        <w:tc>
          <w:tcPr>
            <w:tcW w:w="784" w:type="pct"/>
            <w:hideMark/>
          </w:tcPr>
          <w:p w14:paraId="41ECBBA0" w14:textId="77777777" w:rsidR="00610A43" w:rsidRPr="00610A43" w:rsidRDefault="00610A43" w:rsidP="00610A43">
            <w:r w:rsidRPr="00610A43">
              <w:rPr>
                <w:lang w:val="en-US"/>
              </w:rPr>
              <w:t>0.179</w:t>
            </w:r>
            <w:r w:rsidRPr="00610A43">
              <w:rPr>
                <w:vertAlign w:val="superscript"/>
                <w:lang w:val="en-US"/>
              </w:rPr>
              <w:t>*</w:t>
            </w:r>
          </w:p>
        </w:tc>
        <w:tc>
          <w:tcPr>
            <w:tcW w:w="796" w:type="pct"/>
            <w:hideMark/>
          </w:tcPr>
          <w:p w14:paraId="31E6C2F7" w14:textId="77777777" w:rsidR="00610A43" w:rsidRPr="00610A43" w:rsidRDefault="00610A43" w:rsidP="00610A43">
            <w:r w:rsidRPr="00610A43">
              <w:rPr>
                <w:lang w:val="en-US"/>
              </w:rPr>
              <w:t>(0.105)</w:t>
            </w:r>
          </w:p>
        </w:tc>
        <w:tc>
          <w:tcPr>
            <w:tcW w:w="784" w:type="pct"/>
            <w:hideMark/>
          </w:tcPr>
          <w:p w14:paraId="7CD24F66" w14:textId="77777777" w:rsidR="00610A43" w:rsidRPr="00610A43" w:rsidRDefault="00610A43" w:rsidP="00610A43">
            <w:r w:rsidRPr="00610A43">
              <w:rPr>
                <w:lang w:val="en-US"/>
              </w:rPr>
              <w:t>0.204</w:t>
            </w:r>
            <w:r w:rsidRPr="00610A43">
              <w:rPr>
                <w:vertAlign w:val="superscript"/>
                <w:lang w:val="en-US"/>
              </w:rPr>
              <w:t>***</w:t>
            </w:r>
          </w:p>
        </w:tc>
        <w:tc>
          <w:tcPr>
            <w:tcW w:w="796" w:type="pct"/>
            <w:hideMark/>
          </w:tcPr>
          <w:p w14:paraId="2B3CFBCF" w14:textId="77777777" w:rsidR="00610A43" w:rsidRPr="00610A43" w:rsidRDefault="00610A43" w:rsidP="00610A43">
            <w:r w:rsidRPr="00610A43">
              <w:rPr>
                <w:lang w:val="en-US"/>
              </w:rPr>
              <w:t>(0.037)</w:t>
            </w:r>
          </w:p>
        </w:tc>
      </w:tr>
      <w:tr w:rsidR="00610A43" w:rsidRPr="00610A43" w14:paraId="237FEF70" w14:textId="77777777" w:rsidTr="00610A43">
        <w:tc>
          <w:tcPr>
            <w:tcW w:w="1840" w:type="pct"/>
            <w:hideMark/>
          </w:tcPr>
          <w:p w14:paraId="388DBB39" w14:textId="77777777" w:rsidR="00610A43" w:rsidRPr="00610A43" w:rsidRDefault="00610A43" w:rsidP="00610A43">
            <w:r w:rsidRPr="00610A43">
              <w:rPr>
                <w:lang w:val="en-US"/>
              </w:rPr>
              <w:t>Public/third sector experience</w:t>
            </w:r>
          </w:p>
        </w:tc>
        <w:tc>
          <w:tcPr>
            <w:tcW w:w="784" w:type="pct"/>
            <w:hideMark/>
          </w:tcPr>
          <w:p w14:paraId="30544191" w14:textId="77777777" w:rsidR="00610A43" w:rsidRPr="00610A43" w:rsidRDefault="00610A43" w:rsidP="00610A43">
            <w:r w:rsidRPr="00610A43">
              <w:rPr>
                <w:lang w:val="en-US"/>
              </w:rPr>
              <w:t>-0.031</w:t>
            </w:r>
          </w:p>
        </w:tc>
        <w:tc>
          <w:tcPr>
            <w:tcW w:w="796" w:type="pct"/>
            <w:hideMark/>
          </w:tcPr>
          <w:p w14:paraId="2B641292" w14:textId="77777777" w:rsidR="00610A43" w:rsidRPr="00610A43" w:rsidRDefault="00610A43" w:rsidP="00610A43">
            <w:r w:rsidRPr="00610A43">
              <w:rPr>
                <w:lang w:val="en-US"/>
              </w:rPr>
              <w:t>(0.055)</w:t>
            </w:r>
          </w:p>
        </w:tc>
        <w:tc>
          <w:tcPr>
            <w:tcW w:w="784" w:type="pct"/>
            <w:hideMark/>
          </w:tcPr>
          <w:p w14:paraId="39293C0A" w14:textId="77777777" w:rsidR="00610A43" w:rsidRPr="00610A43" w:rsidRDefault="00610A43" w:rsidP="00610A43">
            <w:r w:rsidRPr="00610A43">
              <w:rPr>
                <w:lang w:val="en-US"/>
              </w:rPr>
              <w:t>0.066</w:t>
            </w:r>
          </w:p>
        </w:tc>
        <w:tc>
          <w:tcPr>
            <w:tcW w:w="796" w:type="pct"/>
            <w:hideMark/>
          </w:tcPr>
          <w:p w14:paraId="7DF10CAB" w14:textId="77777777" w:rsidR="00610A43" w:rsidRPr="00610A43" w:rsidRDefault="00610A43" w:rsidP="00610A43">
            <w:r w:rsidRPr="00610A43">
              <w:rPr>
                <w:lang w:val="en-US"/>
              </w:rPr>
              <w:t>(0.048)</w:t>
            </w:r>
          </w:p>
        </w:tc>
      </w:tr>
      <w:tr w:rsidR="00610A43" w:rsidRPr="00610A43" w14:paraId="66C94EFC" w14:textId="77777777" w:rsidTr="00610A43">
        <w:tc>
          <w:tcPr>
            <w:tcW w:w="1840" w:type="pct"/>
            <w:hideMark/>
          </w:tcPr>
          <w:p w14:paraId="7E116424" w14:textId="77777777" w:rsidR="00610A43" w:rsidRPr="00610A43" w:rsidRDefault="00610A43" w:rsidP="00610A43">
            <w:r w:rsidRPr="00610A43">
              <w:rPr>
                <w:lang w:val="en-US"/>
              </w:rPr>
              <w:t>Senior lecturer/reader</w:t>
            </w:r>
          </w:p>
        </w:tc>
        <w:tc>
          <w:tcPr>
            <w:tcW w:w="784" w:type="pct"/>
            <w:hideMark/>
          </w:tcPr>
          <w:p w14:paraId="7C3BABB7" w14:textId="77777777" w:rsidR="00610A43" w:rsidRPr="00610A43" w:rsidRDefault="00610A43" w:rsidP="00610A43">
            <w:r w:rsidRPr="00610A43">
              <w:rPr>
                <w:lang w:val="en-US"/>
              </w:rPr>
              <w:t>-0.222</w:t>
            </w:r>
            <w:r w:rsidRPr="00610A43">
              <w:rPr>
                <w:vertAlign w:val="superscript"/>
                <w:lang w:val="en-US"/>
              </w:rPr>
              <w:t>***</w:t>
            </w:r>
          </w:p>
        </w:tc>
        <w:tc>
          <w:tcPr>
            <w:tcW w:w="796" w:type="pct"/>
            <w:hideMark/>
          </w:tcPr>
          <w:p w14:paraId="18378864" w14:textId="77777777" w:rsidR="00610A43" w:rsidRPr="00610A43" w:rsidRDefault="00610A43" w:rsidP="00610A43">
            <w:r w:rsidRPr="00610A43">
              <w:rPr>
                <w:lang w:val="en-US"/>
              </w:rPr>
              <w:t>(0.057)</w:t>
            </w:r>
          </w:p>
        </w:tc>
        <w:tc>
          <w:tcPr>
            <w:tcW w:w="784" w:type="pct"/>
            <w:hideMark/>
          </w:tcPr>
          <w:p w14:paraId="25781003" w14:textId="77777777" w:rsidR="00610A43" w:rsidRPr="00610A43" w:rsidRDefault="00610A43" w:rsidP="00610A43">
            <w:r w:rsidRPr="00610A43">
              <w:rPr>
                <w:lang w:val="en-US"/>
              </w:rPr>
              <w:t>-0.016</w:t>
            </w:r>
          </w:p>
        </w:tc>
        <w:tc>
          <w:tcPr>
            <w:tcW w:w="796" w:type="pct"/>
            <w:hideMark/>
          </w:tcPr>
          <w:p w14:paraId="0A0B18F6" w14:textId="77777777" w:rsidR="00610A43" w:rsidRPr="00610A43" w:rsidRDefault="00610A43" w:rsidP="00610A43">
            <w:r w:rsidRPr="00610A43">
              <w:rPr>
                <w:lang w:val="en-US"/>
              </w:rPr>
              <w:t>(0.053)</w:t>
            </w:r>
          </w:p>
        </w:tc>
      </w:tr>
      <w:tr w:rsidR="00610A43" w:rsidRPr="00610A43" w14:paraId="25883202" w14:textId="77777777" w:rsidTr="00610A43">
        <w:tc>
          <w:tcPr>
            <w:tcW w:w="1840" w:type="pct"/>
            <w:hideMark/>
          </w:tcPr>
          <w:p w14:paraId="53E80D89" w14:textId="77777777" w:rsidR="00610A43" w:rsidRPr="00610A43" w:rsidRDefault="00610A43" w:rsidP="00610A43">
            <w:r w:rsidRPr="00610A43">
              <w:rPr>
                <w:lang w:val="en-US"/>
              </w:rPr>
              <w:t>Lecturer</w:t>
            </w:r>
          </w:p>
        </w:tc>
        <w:tc>
          <w:tcPr>
            <w:tcW w:w="784" w:type="pct"/>
            <w:hideMark/>
          </w:tcPr>
          <w:p w14:paraId="085C2181" w14:textId="77777777" w:rsidR="00610A43" w:rsidRPr="00610A43" w:rsidRDefault="00610A43" w:rsidP="00610A43">
            <w:r w:rsidRPr="00610A43">
              <w:rPr>
                <w:lang w:val="en-US"/>
              </w:rPr>
              <w:t>-0.275</w:t>
            </w:r>
            <w:r w:rsidRPr="00610A43">
              <w:rPr>
                <w:vertAlign w:val="superscript"/>
                <w:lang w:val="en-US"/>
              </w:rPr>
              <w:t>***</w:t>
            </w:r>
          </w:p>
        </w:tc>
        <w:tc>
          <w:tcPr>
            <w:tcW w:w="796" w:type="pct"/>
            <w:hideMark/>
          </w:tcPr>
          <w:p w14:paraId="517E1872" w14:textId="77777777" w:rsidR="00610A43" w:rsidRPr="00610A43" w:rsidRDefault="00610A43" w:rsidP="00610A43">
            <w:r w:rsidRPr="00610A43">
              <w:rPr>
                <w:lang w:val="en-US"/>
              </w:rPr>
              <w:t>(0.098)</w:t>
            </w:r>
          </w:p>
        </w:tc>
        <w:tc>
          <w:tcPr>
            <w:tcW w:w="784" w:type="pct"/>
            <w:hideMark/>
          </w:tcPr>
          <w:p w14:paraId="6D7CAB4C" w14:textId="77777777" w:rsidR="00610A43" w:rsidRPr="00610A43" w:rsidRDefault="00610A43" w:rsidP="00610A43">
            <w:r w:rsidRPr="00610A43">
              <w:rPr>
                <w:lang w:val="en-US"/>
              </w:rPr>
              <w:t>0.045</w:t>
            </w:r>
          </w:p>
        </w:tc>
        <w:tc>
          <w:tcPr>
            <w:tcW w:w="796" w:type="pct"/>
            <w:hideMark/>
          </w:tcPr>
          <w:p w14:paraId="62C4734D" w14:textId="77777777" w:rsidR="00610A43" w:rsidRPr="00610A43" w:rsidRDefault="00610A43" w:rsidP="00610A43">
            <w:r w:rsidRPr="00610A43">
              <w:rPr>
                <w:lang w:val="en-US"/>
              </w:rPr>
              <w:t>(0.060)</w:t>
            </w:r>
          </w:p>
        </w:tc>
      </w:tr>
      <w:tr w:rsidR="00610A43" w:rsidRPr="00610A43" w14:paraId="220C9597" w14:textId="77777777" w:rsidTr="00610A43">
        <w:tc>
          <w:tcPr>
            <w:tcW w:w="1840" w:type="pct"/>
            <w:hideMark/>
          </w:tcPr>
          <w:p w14:paraId="74F332D1" w14:textId="77777777" w:rsidR="00610A43" w:rsidRPr="00610A43" w:rsidRDefault="00610A43" w:rsidP="00610A43">
            <w:r w:rsidRPr="00610A43">
              <w:rPr>
                <w:lang w:val="en-US"/>
              </w:rPr>
              <w:t>Research fellow/postdoc</w:t>
            </w:r>
          </w:p>
        </w:tc>
        <w:tc>
          <w:tcPr>
            <w:tcW w:w="784" w:type="pct"/>
            <w:hideMark/>
          </w:tcPr>
          <w:p w14:paraId="30F16FB1" w14:textId="77777777" w:rsidR="00610A43" w:rsidRPr="00610A43" w:rsidRDefault="00610A43" w:rsidP="00610A43">
            <w:r w:rsidRPr="00610A43">
              <w:rPr>
                <w:lang w:val="en-US"/>
              </w:rPr>
              <w:t>-0.414</w:t>
            </w:r>
            <w:r w:rsidRPr="00610A43">
              <w:rPr>
                <w:vertAlign w:val="superscript"/>
                <w:lang w:val="en-US"/>
              </w:rPr>
              <w:t>***</w:t>
            </w:r>
          </w:p>
        </w:tc>
        <w:tc>
          <w:tcPr>
            <w:tcW w:w="796" w:type="pct"/>
            <w:hideMark/>
          </w:tcPr>
          <w:p w14:paraId="3956A534" w14:textId="77777777" w:rsidR="00610A43" w:rsidRPr="00610A43" w:rsidRDefault="00610A43" w:rsidP="00610A43">
            <w:r w:rsidRPr="00610A43">
              <w:rPr>
                <w:lang w:val="en-US"/>
              </w:rPr>
              <w:t>(0.155)</w:t>
            </w:r>
          </w:p>
        </w:tc>
        <w:tc>
          <w:tcPr>
            <w:tcW w:w="784" w:type="pct"/>
            <w:hideMark/>
          </w:tcPr>
          <w:p w14:paraId="4C0C95CE" w14:textId="77777777" w:rsidR="00610A43" w:rsidRPr="00610A43" w:rsidRDefault="00610A43" w:rsidP="00610A43">
            <w:r w:rsidRPr="00610A43">
              <w:rPr>
                <w:lang w:val="en-US"/>
              </w:rPr>
              <w:t>0.254</w:t>
            </w:r>
            <w:r w:rsidRPr="00610A43">
              <w:rPr>
                <w:vertAlign w:val="superscript"/>
                <w:lang w:val="en-US"/>
              </w:rPr>
              <w:t>***</w:t>
            </w:r>
          </w:p>
        </w:tc>
        <w:tc>
          <w:tcPr>
            <w:tcW w:w="796" w:type="pct"/>
            <w:hideMark/>
          </w:tcPr>
          <w:p w14:paraId="19DBD87B" w14:textId="77777777" w:rsidR="00610A43" w:rsidRPr="00610A43" w:rsidRDefault="00610A43" w:rsidP="00610A43">
            <w:r w:rsidRPr="00610A43">
              <w:rPr>
                <w:lang w:val="en-US"/>
              </w:rPr>
              <w:t>(0.069)</w:t>
            </w:r>
          </w:p>
        </w:tc>
      </w:tr>
      <w:tr w:rsidR="00610A43" w:rsidRPr="00610A43" w14:paraId="2BAA9CD4" w14:textId="77777777" w:rsidTr="00610A43">
        <w:tc>
          <w:tcPr>
            <w:tcW w:w="1840" w:type="pct"/>
            <w:hideMark/>
          </w:tcPr>
          <w:p w14:paraId="57D39074" w14:textId="77777777" w:rsidR="00610A43" w:rsidRPr="00610A43" w:rsidRDefault="00610A43" w:rsidP="00610A43">
            <w:r w:rsidRPr="00610A43">
              <w:rPr>
                <w:lang w:val="en-US"/>
              </w:rPr>
              <w:t>Intrinsic motivation</w:t>
            </w:r>
          </w:p>
        </w:tc>
        <w:tc>
          <w:tcPr>
            <w:tcW w:w="784" w:type="pct"/>
            <w:hideMark/>
          </w:tcPr>
          <w:p w14:paraId="6A59A0BC" w14:textId="77777777" w:rsidR="00610A43" w:rsidRPr="00610A43" w:rsidRDefault="00610A43" w:rsidP="00610A43">
            <w:r w:rsidRPr="00610A43">
              <w:rPr>
                <w:lang w:val="en-US"/>
              </w:rPr>
              <w:t>0.094</w:t>
            </w:r>
          </w:p>
        </w:tc>
        <w:tc>
          <w:tcPr>
            <w:tcW w:w="796" w:type="pct"/>
            <w:hideMark/>
          </w:tcPr>
          <w:p w14:paraId="0B782A09" w14:textId="77777777" w:rsidR="00610A43" w:rsidRPr="00610A43" w:rsidRDefault="00610A43" w:rsidP="00610A43">
            <w:r w:rsidRPr="00610A43">
              <w:rPr>
                <w:lang w:val="en-US"/>
              </w:rPr>
              <w:t>(0.065)</w:t>
            </w:r>
          </w:p>
        </w:tc>
        <w:tc>
          <w:tcPr>
            <w:tcW w:w="784" w:type="pct"/>
            <w:hideMark/>
          </w:tcPr>
          <w:p w14:paraId="1BF157AA" w14:textId="77777777" w:rsidR="00610A43" w:rsidRPr="00610A43" w:rsidRDefault="00610A43" w:rsidP="00610A43">
            <w:r w:rsidRPr="00610A43">
              <w:rPr>
                <w:lang w:val="en-US"/>
              </w:rPr>
              <w:t>0.048</w:t>
            </w:r>
          </w:p>
        </w:tc>
        <w:tc>
          <w:tcPr>
            <w:tcW w:w="796" w:type="pct"/>
            <w:hideMark/>
          </w:tcPr>
          <w:p w14:paraId="14BCD7AC" w14:textId="77777777" w:rsidR="00610A43" w:rsidRPr="00610A43" w:rsidRDefault="00610A43" w:rsidP="00610A43">
            <w:r w:rsidRPr="00610A43">
              <w:rPr>
                <w:lang w:val="en-US"/>
              </w:rPr>
              <w:t>(0.038)</w:t>
            </w:r>
          </w:p>
        </w:tc>
      </w:tr>
      <w:tr w:rsidR="00610A43" w:rsidRPr="00610A43" w14:paraId="6FD4447C" w14:textId="77777777" w:rsidTr="00610A43">
        <w:tc>
          <w:tcPr>
            <w:tcW w:w="1840" w:type="pct"/>
            <w:hideMark/>
          </w:tcPr>
          <w:p w14:paraId="4B4F4576" w14:textId="77777777" w:rsidR="00610A43" w:rsidRPr="00610A43" w:rsidRDefault="00610A43" w:rsidP="00610A43">
            <w:r w:rsidRPr="00610A43">
              <w:rPr>
                <w:lang w:val="en-US"/>
              </w:rPr>
              <w:t>extrinsic motivation</w:t>
            </w:r>
          </w:p>
        </w:tc>
        <w:tc>
          <w:tcPr>
            <w:tcW w:w="784" w:type="pct"/>
            <w:hideMark/>
          </w:tcPr>
          <w:p w14:paraId="3B288E8B" w14:textId="77777777" w:rsidR="00610A43" w:rsidRPr="00610A43" w:rsidRDefault="00610A43" w:rsidP="00610A43">
            <w:r w:rsidRPr="00610A43">
              <w:rPr>
                <w:lang w:val="en-US"/>
              </w:rPr>
              <w:t>-0.031</w:t>
            </w:r>
          </w:p>
        </w:tc>
        <w:tc>
          <w:tcPr>
            <w:tcW w:w="796" w:type="pct"/>
            <w:hideMark/>
          </w:tcPr>
          <w:p w14:paraId="1DF139B3" w14:textId="77777777" w:rsidR="00610A43" w:rsidRPr="00610A43" w:rsidRDefault="00610A43" w:rsidP="00610A43">
            <w:r w:rsidRPr="00610A43">
              <w:rPr>
                <w:lang w:val="en-US"/>
              </w:rPr>
              <w:t>(0.042)</w:t>
            </w:r>
          </w:p>
        </w:tc>
        <w:tc>
          <w:tcPr>
            <w:tcW w:w="784" w:type="pct"/>
            <w:hideMark/>
          </w:tcPr>
          <w:p w14:paraId="4A3F3B47" w14:textId="77777777" w:rsidR="00610A43" w:rsidRPr="00610A43" w:rsidRDefault="00610A43" w:rsidP="00610A43">
            <w:r w:rsidRPr="00610A43">
              <w:rPr>
                <w:lang w:val="en-US"/>
              </w:rPr>
              <w:t>0.098</w:t>
            </w:r>
            <w:r w:rsidRPr="00610A43">
              <w:rPr>
                <w:vertAlign w:val="superscript"/>
                <w:lang w:val="en-US"/>
              </w:rPr>
              <w:t>***</w:t>
            </w:r>
          </w:p>
        </w:tc>
        <w:tc>
          <w:tcPr>
            <w:tcW w:w="796" w:type="pct"/>
            <w:hideMark/>
          </w:tcPr>
          <w:p w14:paraId="76D1F5EC" w14:textId="77777777" w:rsidR="00610A43" w:rsidRPr="00610A43" w:rsidRDefault="00610A43" w:rsidP="00610A43">
            <w:r w:rsidRPr="00610A43">
              <w:rPr>
                <w:lang w:val="en-US"/>
              </w:rPr>
              <w:t>(0.031)</w:t>
            </w:r>
          </w:p>
        </w:tc>
      </w:tr>
      <w:tr w:rsidR="00610A43" w:rsidRPr="00610A43" w14:paraId="1733B458" w14:textId="77777777" w:rsidTr="00610A43">
        <w:tc>
          <w:tcPr>
            <w:tcW w:w="1840" w:type="pct"/>
            <w:hideMark/>
          </w:tcPr>
          <w:p w14:paraId="3D543CA9" w14:textId="77777777" w:rsidR="00610A43" w:rsidRPr="00610A43" w:rsidRDefault="00610A43" w:rsidP="00610A43">
            <w:r w:rsidRPr="00610A43">
              <w:rPr>
                <w:lang w:val="en-US"/>
              </w:rPr>
              <w:t>Publications</w:t>
            </w:r>
          </w:p>
        </w:tc>
        <w:tc>
          <w:tcPr>
            <w:tcW w:w="784" w:type="pct"/>
            <w:hideMark/>
          </w:tcPr>
          <w:p w14:paraId="63A803B9" w14:textId="77777777" w:rsidR="00610A43" w:rsidRPr="00610A43" w:rsidRDefault="00610A43" w:rsidP="00610A43">
            <w:r w:rsidRPr="00610A43">
              <w:rPr>
                <w:lang w:val="en-US"/>
              </w:rPr>
              <w:t>0.098</w:t>
            </w:r>
            <w:r w:rsidRPr="00610A43">
              <w:rPr>
                <w:vertAlign w:val="superscript"/>
                <w:lang w:val="en-US"/>
              </w:rPr>
              <w:t>*</w:t>
            </w:r>
          </w:p>
        </w:tc>
        <w:tc>
          <w:tcPr>
            <w:tcW w:w="796" w:type="pct"/>
            <w:hideMark/>
          </w:tcPr>
          <w:p w14:paraId="3FA3B25D" w14:textId="77777777" w:rsidR="00610A43" w:rsidRPr="00610A43" w:rsidRDefault="00610A43" w:rsidP="00610A43">
            <w:r w:rsidRPr="00610A43">
              <w:rPr>
                <w:lang w:val="en-US"/>
              </w:rPr>
              <w:t>(0.050)</w:t>
            </w:r>
          </w:p>
        </w:tc>
        <w:tc>
          <w:tcPr>
            <w:tcW w:w="784" w:type="pct"/>
            <w:hideMark/>
          </w:tcPr>
          <w:p w14:paraId="05FE71AE" w14:textId="77777777" w:rsidR="00610A43" w:rsidRPr="00610A43" w:rsidRDefault="00610A43" w:rsidP="00610A43">
            <w:r w:rsidRPr="00610A43">
              <w:rPr>
                <w:lang w:val="en-US"/>
              </w:rPr>
              <w:t>-0.040</w:t>
            </w:r>
          </w:p>
        </w:tc>
        <w:tc>
          <w:tcPr>
            <w:tcW w:w="796" w:type="pct"/>
            <w:hideMark/>
          </w:tcPr>
          <w:p w14:paraId="0D5BD62A" w14:textId="77777777" w:rsidR="00610A43" w:rsidRPr="00610A43" w:rsidRDefault="00610A43" w:rsidP="00610A43">
            <w:r w:rsidRPr="00610A43">
              <w:rPr>
                <w:lang w:val="en-US"/>
              </w:rPr>
              <w:t>(0.038)</w:t>
            </w:r>
          </w:p>
        </w:tc>
      </w:tr>
      <w:tr w:rsidR="00610A43" w:rsidRPr="00610A43" w14:paraId="7DD1254D" w14:textId="77777777" w:rsidTr="00610A43">
        <w:tc>
          <w:tcPr>
            <w:tcW w:w="1840" w:type="pct"/>
            <w:hideMark/>
          </w:tcPr>
          <w:p w14:paraId="359A5874" w14:textId="77777777" w:rsidR="00610A43" w:rsidRPr="00610A43" w:rsidRDefault="00610A43" w:rsidP="00610A43">
            <w:r w:rsidRPr="00610A43">
              <w:rPr>
                <w:lang w:val="en-US"/>
              </w:rPr>
              <w:t>Citations</w:t>
            </w:r>
          </w:p>
        </w:tc>
        <w:tc>
          <w:tcPr>
            <w:tcW w:w="784" w:type="pct"/>
            <w:hideMark/>
          </w:tcPr>
          <w:p w14:paraId="7D4034BA" w14:textId="77777777" w:rsidR="00610A43" w:rsidRPr="00610A43" w:rsidRDefault="00610A43" w:rsidP="00610A43">
            <w:r w:rsidRPr="00610A43">
              <w:rPr>
                <w:lang w:val="en-US"/>
              </w:rPr>
              <w:t>0.004</w:t>
            </w:r>
          </w:p>
        </w:tc>
        <w:tc>
          <w:tcPr>
            <w:tcW w:w="796" w:type="pct"/>
            <w:hideMark/>
          </w:tcPr>
          <w:p w14:paraId="2333B490" w14:textId="77777777" w:rsidR="00610A43" w:rsidRPr="00610A43" w:rsidRDefault="00610A43" w:rsidP="00610A43">
            <w:r w:rsidRPr="00610A43">
              <w:rPr>
                <w:lang w:val="en-US"/>
              </w:rPr>
              <w:t>(0.021)</w:t>
            </w:r>
          </w:p>
        </w:tc>
        <w:tc>
          <w:tcPr>
            <w:tcW w:w="784" w:type="pct"/>
            <w:hideMark/>
          </w:tcPr>
          <w:p w14:paraId="11A2CEDC" w14:textId="77777777" w:rsidR="00610A43" w:rsidRPr="00610A43" w:rsidRDefault="00610A43" w:rsidP="00610A43">
            <w:r w:rsidRPr="00610A43">
              <w:rPr>
                <w:lang w:val="en-US"/>
              </w:rPr>
              <w:t>0.043</w:t>
            </w:r>
            <w:r w:rsidRPr="00610A43">
              <w:rPr>
                <w:vertAlign w:val="superscript"/>
                <w:lang w:val="en-US"/>
              </w:rPr>
              <w:t>**</w:t>
            </w:r>
          </w:p>
        </w:tc>
        <w:tc>
          <w:tcPr>
            <w:tcW w:w="796" w:type="pct"/>
            <w:hideMark/>
          </w:tcPr>
          <w:p w14:paraId="2DE67988" w14:textId="77777777" w:rsidR="00610A43" w:rsidRPr="00610A43" w:rsidRDefault="00610A43" w:rsidP="00610A43">
            <w:r w:rsidRPr="00610A43">
              <w:rPr>
                <w:lang w:val="en-US"/>
              </w:rPr>
              <w:t>(0.020)</w:t>
            </w:r>
          </w:p>
        </w:tc>
      </w:tr>
      <w:tr w:rsidR="00610A43" w:rsidRPr="00610A43" w14:paraId="7F5957D8" w14:textId="77777777" w:rsidTr="00610A43">
        <w:tc>
          <w:tcPr>
            <w:tcW w:w="1840" w:type="pct"/>
            <w:hideMark/>
          </w:tcPr>
          <w:p w14:paraId="5B910570" w14:textId="77777777" w:rsidR="00610A43" w:rsidRPr="00610A43" w:rsidRDefault="00610A43" w:rsidP="00610A43">
            <w:r w:rsidRPr="00610A43">
              <w:rPr>
                <w:lang w:val="en-US"/>
              </w:rPr>
              <w:t>Coauthors</w:t>
            </w:r>
          </w:p>
        </w:tc>
        <w:tc>
          <w:tcPr>
            <w:tcW w:w="784" w:type="pct"/>
            <w:hideMark/>
          </w:tcPr>
          <w:p w14:paraId="658A8D4D" w14:textId="77777777" w:rsidR="00610A43" w:rsidRPr="00610A43" w:rsidRDefault="00610A43" w:rsidP="00610A43">
            <w:r w:rsidRPr="00610A43">
              <w:rPr>
                <w:lang w:val="en-US"/>
              </w:rPr>
              <w:t>-0.131</w:t>
            </w:r>
            <w:r w:rsidRPr="00610A43">
              <w:rPr>
                <w:vertAlign w:val="superscript"/>
                <w:lang w:val="en-US"/>
              </w:rPr>
              <w:t>***</w:t>
            </w:r>
          </w:p>
        </w:tc>
        <w:tc>
          <w:tcPr>
            <w:tcW w:w="796" w:type="pct"/>
            <w:hideMark/>
          </w:tcPr>
          <w:p w14:paraId="0F5BA73B" w14:textId="77777777" w:rsidR="00610A43" w:rsidRPr="00610A43" w:rsidRDefault="00610A43" w:rsidP="00610A43">
            <w:r w:rsidRPr="00610A43">
              <w:rPr>
                <w:lang w:val="en-US"/>
              </w:rPr>
              <w:t>(0.043)</w:t>
            </w:r>
          </w:p>
        </w:tc>
        <w:tc>
          <w:tcPr>
            <w:tcW w:w="784" w:type="pct"/>
            <w:hideMark/>
          </w:tcPr>
          <w:p w14:paraId="4A2B3742" w14:textId="77777777" w:rsidR="00610A43" w:rsidRPr="00610A43" w:rsidRDefault="00610A43" w:rsidP="00610A43">
            <w:r w:rsidRPr="00610A43">
              <w:rPr>
                <w:lang w:val="en-US"/>
              </w:rPr>
              <w:t>-0.079</w:t>
            </w:r>
            <w:r w:rsidRPr="00610A43">
              <w:rPr>
                <w:vertAlign w:val="superscript"/>
                <w:lang w:val="en-US"/>
              </w:rPr>
              <w:t>**</w:t>
            </w:r>
          </w:p>
        </w:tc>
        <w:tc>
          <w:tcPr>
            <w:tcW w:w="796" w:type="pct"/>
            <w:hideMark/>
          </w:tcPr>
          <w:p w14:paraId="76F3BAFC" w14:textId="77777777" w:rsidR="00610A43" w:rsidRPr="00610A43" w:rsidRDefault="00610A43" w:rsidP="00610A43">
            <w:r w:rsidRPr="00610A43">
              <w:rPr>
                <w:lang w:val="en-US"/>
              </w:rPr>
              <w:t>(0.038)</w:t>
            </w:r>
          </w:p>
        </w:tc>
      </w:tr>
      <w:tr w:rsidR="00610A43" w:rsidRPr="00610A43" w14:paraId="0344869A" w14:textId="77777777" w:rsidTr="00610A43">
        <w:tc>
          <w:tcPr>
            <w:tcW w:w="1840" w:type="pct"/>
            <w:hideMark/>
          </w:tcPr>
          <w:p w14:paraId="218BF4E1" w14:textId="77777777" w:rsidR="00610A43" w:rsidRPr="00610A43" w:rsidRDefault="00610A43" w:rsidP="00610A43">
            <w:r w:rsidRPr="00610A43">
              <w:rPr>
                <w:lang w:val="en-US"/>
              </w:rPr>
              <w:t xml:space="preserve">Uni research income </w:t>
            </w:r>
            <w:proofErr w:type="spellStart"/>
            <w:r w:rsidRPr="00610A43">
              <w:rPr>
                <w:lang w:val="en-US"/>
              </w:rPr>
              <w:t>pP</w:t>
            </w:r>
            <w:proofErr w:type="spellEnd"/>
          </w:p>
        </w:tc>
        <w:tc>
          <w:tcPr>
            <w:tcW w:w="784" w:type="pct"/>
            <w:hideMark/>
          </w:tcPr>
          <w:p w14:paraId="113E1583" w14:textId="77777777" w:rsidR="00610A43" w:rsidRPr="00610A43" w:rsidRDefault="00610A43" w:rsidP="00610A43">
            <w:r w:rsidRPr="00610A43">
              <w:rPr>
                <w:lang w:val="en-US"/>
              </w:rPr>
              <w:t>0.002</w:t>
            </w:r>
            <w:r w:rsidRPr="00610A43">
              <w:rPr>
                <w:vertAlign w:val="superscript"/>
                <w:lang w:val="en-US"/>
              </w:rPr>
              <w:t>***</w:t>
            </w:r>
          </w:p>
        </w:tc>
        <w:tc>
          <w:tcPr>
            <w:tcW w:w="796" w:type="pct"/>
            <w:hideMark/>
          </w:tcPr>
          <w:p w14:paraId="15CBF7CB" w14:textId="77777777" w:rsidR="00610A43" w:rsidRPr="00610A43" w:rsidRDefault="00610A43" w:rsidP="00610A43">
            <w:r w:rsidRPr="00610A43">
              <w:rPr>
                <w:lang w:val="en-US"/>
              </w:rPr>
              <w:t>(0.001)</w:t>
            </w:r>
          </w:p>
        </w:tc>
        <w:tc>
          <w:tcPr>
            <w:tcW w:w="784" w:type="pct"/>
            <w:hideMark/>
          </w:tcPr>
          <w:p w14:paraId="4CEDD8DF" w14:textId="77777777" w:rsidR="00610A43" w:rsidRPr="00610A43" w:rsidRDefault="00610A43" w:rsidP="00610A43">
            <w:r w:rsidRPr="00610A43">
              <w:rPr>
                <w:lang w:val="en-US"/>
              </w:rPr>
              <w:t>-0.001</w:t>
            </w:r>
          </w:p>
        </w:tc>
        <w:tc>
          <w:tcPr>
            <w:tcW w:w="796" w:type="pct"/>
            <w:hideMark/>
          </w:tcPr>
          <w:p w14:paraId="5BA5D0B5" w14:textId="77777777" w:rsidR="00610A43" w:rsidRPr="00610A43" w:rsidRDefault="00610A43" w:rsidP="00610A43">
            <w:r w:rsidRPr="00610A43">
              <w:rPr>
                <w:lang w:val="en-US"/>
              </w:rPr>
              <w:t>(0.001)</w:t>
            </w:r>
          </w:p>
        </w:tc>
      </w:tr>
    </w:tbl>
    <w:p w14:paraId="60365461" w14:textId="77777777" w:rsidR="00D46D7F" w:rsidRDefault="00610A43" w:rsidP="00610A43">
      <w:r>
        <w:t xml:space="preserve">Note: </w:t>
      </w:r>
      <w:r w:rsidRPr="00610A43">
        <w:t xml:space="preserve">Includes discipline and </w:t>
      </w:r>
      <w:proofErr w:type="spellStart"/>
      <w:r w:rsidRPr="00610A43">
        <w:t>uni</w:t>
      </w:r>
      <w:proofErr w:type="spellEnd"/>
      <w:r w:rsidRPr="00610A43">
        <w:t xml:space="preserve"> type controls, and REF score; Base categories: &lt;40, no experience, professor; </w:t>
      </w:r>
      <w:r w:rsidRPr="00610A43">
        <w:rPr>
          <w:vertAlign w:val="superscript"/>
          <w:lang w:val="en-US"/>
        </w:rPr>
        <w:t>*</w:t>
      </w:r>
      <w:r w:rsidRPr="00610A43">
        <w:rPr>
          <w:lang w:val="en-US"/>
        </w:rPr>
        <w:t xml:space="preserve"> </w:t>
      </w:r>
      <w:r w:rsidRPr="00610A43">
        <w:rPr>
          <w:i/>
          <w:iCs/>
          <w:lang w:val="en-US"/>
        </w:rPr>
        <w:t>p</w:t>
      </w:r>
      <w:r w:rsidRPr="00610A43">
        <w:rPr>
          <w:lang w:val="en-US"/>
        </w:rPr>
        <w:t xml:space="preserve"> &lt; 0.10, </w:t>
      </w:r>
      <w:r w:rsidRPr="00610A43">
        <w:rPr>
          <w:vertAlign w:val="superscript"/>
          <w:lang w:val="en-US"/>
        </w:rPr>
        <w:t>**</w:t>
      </w:r>
      <w:r w:rsidRPr="00610A43">
        <w:rPr>
          <w:lang w:val="en-US"/>
        </w:rPr>
        <w:t xml:space="preserve"> </w:t>
      </w:r>
      <w:r w:rsidRPr="00610A43">
        <w:rPr>
          <w:i/>
          <w:iCs/>
          <w:lang w:val="en-US"/>
        </w:rPr>
        <w:t>p</w:t>
      </w:r>
      <w:r w:rsidRPr="00610A43">
        <w:rPr>
          <w:lang w:val="en-US"/>
        </w:rPr>
        <w:t xml:space="preserve"> &lt; 0.05, </w:t>
      </w:r>
      <w:r w:rsidRPr="00610A43">
        <w:rPr>
          <w:vertAlign w:val="superscript"/>
          <w:lang w:val="en-US"/>
        </w:rPr>
        <w:t>***</w:t>
      </w:r>
      <w:r w:rsidRPr="00610A43">
        <w:rPr>
          <w:lang w:val="en-US"/>
        </w:rPr>
        <w:t xml:space="preserve"> </w:t>
      </w:r>
      <w:r w:rsidRPr="00610A43">
        <w:rPr>
          <w:i/>
          <w:iCs/>
          <w:lang w:val="en-US"/>
        </w:rPr>
        <w:t>p</w:t>
      </w:r>
      <w:r w:rsidRPr="00610A43">
        <w:rPr>
          <w:lang w:val="en-US"/>
        </w:rPr>
        <w:t xml:space="preserve"> &lt; 0.01</w:t>
      </w:r>
    </w:p>
    <w:p w14:paraId="5EB05354" w14:textId="66A2C7EE" w:rsidR="00D46D7F" w:rsidRDefault="00D46D7F" w:rsidP="00610A43">
      <w:r w:rsidRPr="00D46D7F">
        <w:rPr>
          <w:noProof/>
        </w:rPr>
        <w:drawing>
          <wp:anchor distT="0" distB="0" distL="114300" distR="114300" simplePos="0" relativeHeight="251659264" behindDoc="0" locked="0" layoutInCell="1" allowOverlap="1" wp14:anchorId="08F46660" wp14:editId="679FD128">
            <wp:simplePos x="0" y="0"/>
            <wp:positionH relativeFrom="column">
              <wp:posOffset>2900680</wp:posOffset>
            </wp:positionH>
            <wp:positionV relativeFrom="paragraph">
              <wp:posOffset>45720</wp:posOffset>
            </wp:positionV>
            <wp:extent cx="2980690" cy="3406775"/>
            <wp:effectExtent l="0" t="0" r="0" b="317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0"/>
                    <a:stretch>
                      <a:fillRect/>
                    </a:stretch>
                  </pic:blipFill>
                  <pic:spPr>
                    <a:xfrm>
                      <a:off x="0" y="0"/>
                      <a:ext cx="2980690" cy="3406775"/>
                    </a:xfrm>
                    <a:prstGeom prst="rect">
                      <a:avLst/>
                    </a:prstGeom>
                  </pic:spPr>
                </pic:pic>
              </a:graphicData>
            </a:graphic>
            <wp14:sizeRelH relativeFrom="margin">
              <wp14:pctWidth>0</wp14:pctWidth>
            </wp14:sizeRelH>
            <wp14:sizeRelV relativeFrom="margin">
              <wp14:pctHeight>0</wp14:pctHeight>
            </wp14:sizeRelV>
          </wp:anchor>
        </w:drawing>
      </w:r>
      <w:r w:rsidRPr="00D46D7F">
        <w:rPr>
          <w:noProof/>
        </w:rPr>
        <w:drawing>
          <wp:anchor distT="0" distB="0" distL="114300" distR="114300" simplePos="0" relativeHeight="251658239" behindDoc="0" locked="0" layoutInCell="1" allowOverlap="1" wp14:anchorId="092570DB" wp14:editId="605EC99B">
            <wp:simplePos x="0" y="0"/>
            <wp:positionH relativeFrom="column">
              <wp:posOffset>4140</wp:posOffset>
            </wp:positionH>
            <wp:positionV relativeFrom="paragraph">
              <wp:posOffset>10973</wp:posOffset>
            </wp:positionV>
            <wp:extent cx="2875736" cy="3452890"/>
            <wp:effectExtent l="0" t="0" r="127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1"/>
                    <a:stretch>
                      <a:fillRect/>
                    </a:stretch>
                  </pic:blipFill>
                  <pic:spPr>
                    <a:xfrm>
                      <a:off x="0" y="0"/>
                      <a:ext cx="2875736" cy="3452890"/>
                    </a:xfrm>
                    <a:prstGeom prst="rect">
                      <a:avLst/>
                    </a:prstGeom>
                  </pic:spPr>
                </pic:pic>
              </a:graphicData>
            </a:graphic>
            <wp14:sizeRelH relativeFrom="margin">
              <wp14:pctWidth>0</wp14:pctWidth>
            </wp14:sizeRelH>
            <wp14:sizeRelV relativeFrom="margin">
              <wp14:pctHeight>0</wp14:pctHeight>
            </wp14:sizeRelV>
          </wp:anchor>
        </w:drawing>
      </w:r>
    </w:p>
    <w:p w14:paraId="6C66F7AE" w14:textId="3898DF5E" w:rsidR="00D46D7F" w:rsidRDefault="00D46D7F" w:rsidP="00610A43"/>
    <w:p w14:paraId="2B377997" w14:textId="77777777" w:rsidR="00D46D7F" w:rsidRDefault="00D46D7F" w:rsidP="00610A43"/>
    <w:p w14:paraId="6215D359" w14:textId="4CE3A9E9" w:rsidR="00D46D7F" w:rsidRDefault="00D46D7F" w:rsidP="00610A43"/>
    <w:p w14:paraId="650214BF" w14:textId="77777777" w:rsidR="00D46D7F" w:rsidRDefault="00D46D7F" w:rsidP="00610A43"/>
    <w:p w14:paraId="68FA3845" w14:textId="77777777" w:rsidR="00D46D7F" w:rsidRDefault="00D46D7F" w:rsidP="00610A43"/>
    <w:p w14:paraId="54E2EE6F" w14:textId="77777777" w:rsidR="00D46D7F" w:rsidRDefault="00D46D7F" w:rsidP="00610A43"/>
    <w:p w14:paraId="17A3C077" w14:textId="77777777" w:rsidR="00D46D7F" w:rsidRDefault="00D46D7F" w:rsidP="00610A43"/>
    <w:p w14:paraId="354D708F" w14:textId="77777777" w:rsidR="00D46D7F" w:rsidRDefault="00D46D7F" w:rsidP="00610A43"/>
    <w:p w14:paraId="22E51D99" w14:textId="77777777" w:rsidR="00D46D7F" w:rsidRDefault="00D46D7F" w:rsidP="00610A43"/>
    <w:p w14:paraId="73133203" w14:textId="1061C7FC" w:rsidR="00D46D7F" w:rsidRDefault="00D46D7F" w:rsidP="00610A43"/>
    <w:p w14:paraId="0A85C8BE" w14:textId="77777777" w:rsidR="00D46D7F" w:rsidRDefault="00D46D7F" w:rsidP="00610A43"/>
    <w:p w14:paraId="53F613B1" w14:textId="77777777" w:rsidR="00D46D7F" w:rsidRDefault="00D46D7F" w:rsidP="00610A43"/>
    <w:p w14:paraId="1529C9C5" w14:textId="77777777" w:rsidR="00D46D7F" w:rsidRDefault="00D46D7F" w:rsidP="00610A43"/>
    <w:p w14:paraId="2FC952BC" w14:textId="77777777" w:rsidR="00D46D7F" w:rsidRDefault="00D46D7F" w:rsidP="00610A43"/>
    <w:p w14:paraId="609BCCE0" w14:textId="408EEA2F" w:rsidR="00D46D7F" w:rsidRDefault="00D46D7F" w:rsidP="00610A43">
      <w:r w:rsidRPr="00D46D7F">
        <w:rPr>
          <w:noProof/>
        </w:rPr>
        <w:drawing>
          <wp:anchor distT="0" distB="0" distL="114300" distR="114300" simplePos="0" relativeHeight="251660288" behindDoc="0" locked="0" layoutInCell="1" allowOverlap="1" wp14:anchorId="538989D5" wp14:editId="3DB360C9">
            <wp:simplePos x="0" y="0"/>
            <wp:positionH relativeFrom="margin">
              <wp:posOffset>4722901</wp:posOffset>
            </wp:positionH>
            <wp:positionV relativeFrom="paragraph">
              <wp:posOffset>6197</wp:posOffset>
            </wp:positionV>
            <wp:extent cx="1063128" cy="359512"/>
            <wp:effectExtent l="0" t="0" r="3810" b="254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063128" cy="359512"/>
                    </a:xfrm>
                    <a:prstGeom prst="rect">
                      <a:avLst/>
                    </a:prstGeom>
                  </pic:spPr>
                </pic:pic>
              </a:graphicData>
            </a:graphic>
            <wp14:sizeRelH relativeFrom="page">
              <wp14:pctWidth>0</wp14:pctWidth>
            </wp14:sizeRelH>
            <wp14:sizeRelV relativeFrom="page">
              <wp14:pctHeight>0</wp14:pctHeight>
            </wp14:sizeRelV>
          </wp:anchor>
        </w:drawing>
      </w:r>
    </w:p>
    <w:p w14:paraId="726CDE88" w14:textId="77777777" w:rsidR="00D46D7F" w:rsidRDefault="00D46D7F" w:rsidP="00610A43"/>
    <w:p w14:paraId="3F8171AB" w14:textId="57FD6407" w:rsidR="00D46D7F" w:rsidRDefault="00D46D7F" w:rsidP="00610A43"/>
    <w:p w14:paraId="67B5199E" w14:textId="77777777" w:rsidR="00D46D7F" w:rsidRDefault="00D46D7F" w:rsidP="00610A43"/>
    <w:p w14:paraId="2F3AD198" w14:textId="77777777" w:rsidR="00D46D7F" w:rsidRDefault="00D46D7F" w:rsidP="00610A43"/>
    <w:p w14:paraId="30EBCC6D" w14:textId="0157C60D" w:rsidR="00D46D7F" w:rsidRDefault="00D46D7F" w:rsidP="00610A43">
      <w:r>
        <w:t>Figure 3: Marginal effects of 2</w:t>
      </w:r>
      <w:r w:rsidRPr="00D46D7F">
        <w:rPr>
          <w:vertAlign w:val="superscript"/>
        </w:rPr>
        <w:t>nd</w:t>
      </w:r>
      <w:r>
        <w:t xml:space="preserve"> stage Heckman selection model.</w:t>
      </w:r>
    </w:p>
    <w:p w14:paraId="4B0C1BF6" w14:textId="72624F73" w:rsidR="00610A43" w:rsidRDefault="00610A43" w:rsidP="00610A43"/>
    <w:sectPr w:rsidR="00610A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FD89" w14:textId="77777777" w:rsidR="007D0B02" w:rsidRDefault="007D0B02" w:rsidP="00CE6831">
      <w:r>
        <w:separator/>
      </w:r>
    </w:p>
  </w:endnote>
  <w:endnote w:type="continuationSeparator" w:id="0">
    <w:p w14:paraId="39A5E7B0" w14:textId="77777777" w:rsidR="007D0B02" w:rsidRDefault="007D0B02" w:rsidP="00CE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DC68" w14:textId="77777777" w:rsidR="007D0B02" w:rsidRDefault="007D0B02" w:rsidP="00CE6831">
      <w:r>
        <w:separator/>
      </w:r>
    </w:p>
  </w:footnote>
  <w:footnote w:type="continuationSeparator" w:id="0">
    <w:p w14:paraId="18FC521C" w14:textId="77777777" w:rsidR="007D0B02" w:rsidRDefault="007D0B02" w:rsidP="00CE6831">
      <w:r>
        <w:continuationSeparator/>
      </w:r>
    </w:p>
  </w:footnote>
  <w:footnote w:id="1">
    <w:p w14:paraId="272D1777" w14:textId="77777777" w:rsidR="002A357D" w:rsidRDefault="002A357D" w:rsidP="00726E72">
      <w:pPr>
        <w:pStyle w:val="FootnoteText"/>
      </w:pPr>
      <w:r>
        <w:rPr>
          <w:rStyle w:val="FootnoteReference"/>
        </w:rPr>
        <w:footnoteRef/>
      </w:r>
      <w:r>
        <w:t xml:space="preserve"> A data protection agreement was in place.</w:t>
      </w:r>
    </w:p>
  </w:footnote>
  <w:footnote w:id="2">
    <w:p w14:paraId="07E9F864" w14:textId="77777777" w:rsidR="002A357D" w:rsidRDefault="002A357D" w:rsidP="00726E72">
      <w:pPr>
        <w:pStyle w:val="FootnoteText"/>
      </w:pPr>
      <w:r>
        <w:rPr>
          <w:rStyle w:val="FootnoteReference"/>
        </w:rPr>
        <w:footnoteRef/>
      </w:r>
      <w:r>
        <w:t xml:space="preserve"> </w:t>
      </w:r>
      <w:proofErr w:type="spellStart"/>
      <w:r>
        <w:rPr>
          <w:szCs w:val="24"/>
        </w:rPr>
        <w:t>LiveAlumni</w:t>
      </w:r>
      <w:proofErr w:type="spellEnd"/>
      <w:r>
        <w:rPr>
          <w:szCs w:val="24"/>
        </w:rPr>
        <w:t xml:space="preserve"> only returns profiles that are “public”, i.e. do not require user log-in. The overall rate of LinkedIn use amongst UK academics could thus be higher. We also compared LinkedIn results for survey respondents and non-respondents to check for any biases. We found no significant differences in the incidence of LinkedIn profiles (48% vs 45%, p&gt;0.1), in the share of profiles with a profile photo (58% vs. 57%, p&gt;0.9), and the share of profiles with 500 or more contacts (15% vs. 12%, p&gt;0.1).</w:t>
      </w:r>
    </w:p>
  </w:footnote>
  <w:footnote w:id="3">
    <w:p w14:paraId="35EAC4BC" w14:textId="77777777" w:rsidR="002A357D" w:rsidRDefault="002A357D">
      <w:pPr>
        <w:pStyle w:val="FootnoteText"/>
      </w:pPr>
      <w:r w:rsidRPr="00E3034E">
        <w:rPr>
          <w:rStyle w:val="FootnoteReference"/>
          <w:sz w:val="21"/>
        </w:rPr>
        <w:footnoteRef/>
      </w:r>
      <w:r w:rsidRPr="00E3034E">
        <w:rPr>
          <w:sz w:val="21"/>
        </w:rPr>
        <w:t xml:space="preserve"> </w:t>
      </w:r>
      <w:r w:rsidRPr="00E3034E">
        <w:rPr>
          <w:szCs w:val="18"/>
        </w:rPr>
        <w:t xml:space="preserve">Publication information is missing </w:t>
      </w:r>
      <w:r>
        <w:rPr>
          <w:szCs w:val="18"/>
        </w:rPr>
        <w:t xml:space="preserve">for 17% of the sample. These are </w:t>
      </w:r>
      <w:r w:rsidRPr="00E3034E">
        <w:rPr>
          <w:szCs w:val="18"/>
        </w:rPr>
        <w:t>mostly academics at teaching ins</w:t>
      </w:r>
      <w:r>
        <w:rPr>
          <w:szCs w:val="18"/>
        </w:rPr>
        <w:t xml:space="preserve">titutions, in the arts, and </w:t>
      </w:r>
      <w:r w:rsidRPr="00E3034E">
        <w:rPr>
          <w:szCs w:val="18"/>
        </w:rPr>
        <w:t xml:space="preserve">with </w:t>
      </w:r>
      <w:r>
        <w:rPr>
          <w:szCs w:val="18"/>
        </w:rPr>
        <w:t xml:space="preserve">a stronger </w:t>
      </w:r>
      <w:r w:rsidRPr="00E3034E">
        <w:rPr>
          <w:szCs w:val="18"/>
        </w:rPr>
        <w:t>focus on teaching and applied research. However, we cannot assume that these respondents</w:t>
      </w:r>
      <w:r>
        <w:rPr>
          <w:szCs w:val="18"/>
        </w:rPr>
        <w:t xml:space="preserve"> </w:t>
      </w:r>
      <w:r w:rsidRPr="00E3034E">
        <w:rPr>
          <w:szCs w:val="18"/>
        </w:rPr>
        <w:t>have zero publications</w:t>
      </w:r>
      <w:r>
        <w:rPr>
          <w:szCs w:val="18"/>
        </w:rPr>
        <w:t xml:space="preserve"> (given that all indicate some research activity)</w:t>
      </w:r>
      <w:r w:rsidRPr="00E3034E">
        <w:rPr>
          <w:szCs w:val="18"/>
        </w:rPr>
        <w:t>, and therefore need to drop them from the analysis.</w:t>
      </w:r>
    </w:p>
  </w:footnote>
  <w:footnote w:id="4">
    <w:p w14:paraId="7E1478D7" w14:textId="77777777" w:rsidR="002A357D" w:rsidRPr="00DB7FD6" w:rsidRDefault="002A357D" w:rsidP="00EF72CB">
      <w:pPr>
        <w:pStyle w:val="FootnoteText"/>
        <w:rPr>
          <w:sz w:val="18"/>
          <w:szCs w:val="18"/>
        </w:rPr>
      </w:pPr>
      <w:r w:rsidRPr="00DB7FD6">
        <w:rPr>
          <w:rStyle w:val="FootnoteReference"/>
          <w:sz w:val="18"/>
          <w:szCs w:val="18"/>
        </w:rPr>
        <w:footnoteRef/>
      </w:r>
      <w:r w:rsidRPr="00DB7FD6">
        <w:rPr>
          <w:sz w:val="18"/>
          <w:szCs w:val="18"/>
        </w:rPr>
        <w:t xml:space="preserve"> </w:t>
      </w:r>
      <w:r>
        <w:rPr>
          <w:sz w:val="18"/>
          <w:szCs w:val="18"/>
        </w:rPr>
        <w:t xml:space="preserve">A </w:t>
      </w:r>
      <w:r w:rsidRPr="00D86CA2">
        <w:rPr>
          <w:sz w:val="18"/>
          <w:szCs w:val="18"/>
        </w:rPr>
        <w:t>principal component analysis</w:t>
      </w:r>
      <w:r>
        <w:rPr>
          <w:sz w:val="18"/>
          <w:szCs w:val="18"/>
        </w:rPr>
        <w:t xml:space="preserve"> (unreported</w:t>
      </w:r>
      <w:r w:rsidRPr="00D86CA2">
        <w:rPr>
          <w:sz w:val="18"/>
          <w:szCs w:val="18"/>
        </w:rPr>
        <w:t xml:space="preserve">) </w:t>
      </w:r>
      <w:r>
        <w:rPr>
          <w:sz w:val="18"/>
          <w:szCs w:val="18"/>
        </w:rPr>
        <w:t>helps to</w:t>
      </w:r>
      <w:r w:rsidRPr="00D86CA2">
        <w:rPr>
          <w:sz w:val="18"/>
          <w:szCs w:val="18"/>
        </w:rPr>
        <w:t xml:space="preserve"> determine potentially underlying common rationales of engagement</w:t>
      </w:r>
      <w:r>
        <w:rPr>
          <w:sz w:val="18"/>
          <w:szCs w:val="18"/>
        </w:rPr>
        <w:t>.</w:t>
      </w:r>
      <w:r w:rsidRPr="00DB7FD6">
        <w:rPr>
          <w:sz w:val="18"/>
          <w:szCs w:val="18"/>
        </w:rPr>
        <w:t xml:space="preserve"> The Kaiser-Meyer-Olkin measu</w:t>
      </w:r>
      <w:r>
        <w:rPr>
          <w:sz w:val="18"/>
          <w:szCs w:val="18"/>
        </w:rPr>
        <w:t>re of sampling adequacy is 0.899</w:t>
      </w:r>
      <w:r w:rsidRPr="00DB7FD6">
        <w:rPr>
          <w:sz w:val="18"/>
          <w:szCs w:val="18"/>
        </w:rPr>
        <w:t>. The Bartlett test of sphericity rejects the hypothesis that variables are not intercorrelated, confirming that the variables are suitable for factor analysis</w:t>
      </w:r>
      <w:r>
        <w:rPr>
          <w:sz w:val="18"/>
          <w:szCs w:val="18"/>
        </w:rPr>
        <w:t xml:space="preserve">. The </w:t>
      </w:r>
      <w:proofErr w:type="spellStart"/>
      <w:r>
        <w:rPr>
          <w:sz w:val="18"/>
          <w:szCs w:val="18"/>
        </w:rPr>
        <w:t>Crohnbach’s</w:t>
      </w:r>
      <w:proofErr w:type="spellEnd"/>
      <w:r>
        <w:rPr>
          <w:sz w:val="18"/>
          <w:szCs w:val="18"/>
        </w:rPr>
        <w:t xml:space="preserve"> alpha is 0.846</w:t>
      </w:r>
      <w:r w:rsidRPr="00DB7FD6">
        <w:rPr>
          <w:sz w:val="18"/>
          <w:szCs w:val="18"/>
        </w:rPr>
        <w:t xml:space="preserve"> confirming that the scales are reliable.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CE8"/>
    <w:multiLevelType w:val="hybridMultilevel"/>
    <w:tmpl w:val="1040BD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4EFA"/>
    <w:multiLevelType w:val="hybridMultilevel"/>
    <w:tmpl w:val="3772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A0262"/>
    <w:multiLevelType w:val="hybridMultilevel"/>
    <w:tmpl w:val="05C6ED66"/>
    <w:lvl w:ilvl="0" w:tplc="13FC15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F4977"/>
    <w:multiLevelType w:val="multilevel"/>
    <w:tmpl w:val="3B7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9758D"/>
    <w:multiLevelType w:val="hybridMultilevel"/>
    <w:tmpl w:val="ED7A240E"/>
    <w:lvl w:ilvl="0" w:tplc="947264EC">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6729652">
    <w:abstractNumId w:val="4"/>
  </w:num>
  <w:num w:numId="2" w16cid:durableId="943072972">
    <w:abstractNumId w:val="4"/>
    <w:lvlOverride w:ilvl="0">
      <w:startOverride w:val="1"/>
    </w:lvlOverride>
  </w:num>
  <w:num w:numId="3" w16cid:durableId="1212419398">
    <w:abstractNumId w:val="3"/>
  </w:num>
  <w:num w:numId="4" w16cid:durableId="1801342247">
    <w:abstractNumId w:val="1"/>
  </w:num>
  <w:num w:numId="5" w16cid:durableId="532546503">
    <w:abstractNumId w:val="2"/>
  </w:num>
  <w:num w:numId="6" w16cid:durableId="1678384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Manchest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es02d5teezd6ewr5x5vprcpxr0zrfvs2ap&quot;&gt;Allreferences Copy&lt;record-ids&gt;&lt;item&gt;43603&lt;/item&gt;&lt;/record-ids&gt;&lt;/item&gt;&lt;/Libraries&gt;"/>
  </w:docVars>
  <w:rsids>
    <w:rsidRoot w:val="008E35E4"/>
    <w:rsid w:val="00002DFB"/>
    <w:rsid w:val="00002FAA"/>
    <w:rsid w:val="00012B0D"/>
    <w:rsid w:val="00015887"/>
    <w:rsid w:val="00016695"/>
    <w:rsid w:val="000248FA"/>
    <w:rsid w:val="00031E89"/>
    <w:rsid w:val="00033014"/>
    <w:rsid w:val="00034BC1"/>
    <w:rsid w:val="0003779C"/>
    <w:rsid w:val="00041708"/>
    <w:rsid w:val="00041D5F"/>
    <w:rsid w:val="00042D2B"/>
    <w:rsid w:val="00045176"/>
    <w:rsid w:val="00045383"/>
    <w:rsid w:val="00055079"/>
    <w:rsid w:val="00056141"/>
    <w:rsid w:val="00061F00"/>
    <w:rsid w:val="000646B1"/>
    <w:rsid w:val="000722C4"/>
    <w:rsid w:val="0007743D"/>
    <w:rsid w:val="000878F2"/>
    <w:rsid w:val="000941C3"/>
    <w:rsid w:val="000A0DA3"/>
    <w:rsid w:val="000A25B8"/>
    <w:rsid w:val="000A4F4D"/>
    <w:rsid w:val="000B2116"/>
    <w:rsid w:val="000B3EC8"/>
    <w:rsid w:val="000B69DB"/>
    <w:rsid w:val="000C0617"/>
    <w:rsid w:val="000C0886"/>
    <w:rsid w:val="000C0B8A"/>
    <w:rsid w:val="000C546D"/>
    <w:rsid w:val="000D1136"/>
    <w:rsid w:val="000D4E48"/>
    <w:rsid w:val="000D54F3"/>
    <w:rsid w:val="000E0DFD"/>
    <w:rsid w:val="000E0EED"/>
    <w:rsid w:val="000E73E4"/>
    <w:rsid w:val="000F71E7"/>
    <w:rsid w:val="0010093A"/>
    <w:rsid w:val="00103028"/>
    <w:rsid w:val="0010306C"/>
    <w:rsid w:val="00105B9E"/>
    <w:rsid w:val="00111C5A"/>
    <w:rsid w:val="00111DF4"/>
    <w:rsid w:val="00115165"/>
    <w:rsid w:val="00116FB2"/>
    <w:rsid w:val="00124ACB"/>
    <w:rsid w:val="00132A08"/>
    <w:rsid w:val="00132AEC"/>
    <w:rsid w:val="00134F42"/>
    <w:rsid w:val="00135363"/>
    <w:rsid w:val="00156088"/>
    <w:rsid w:val="00160B2F"/>
    <w:rsid w:val="00170445"/>
    <w:rsid w:val="001715B4"/>
    <w:rsid w:val="00174D94"/>
    <w:rsid w:val="0017519D"/>
    <w:rsid w:val="00180552"/>
    <w:rsid w:val="00184A51"/>
    <w:rsid w:val="00184A81"/>
    <w:rsid w:val="00193516"/>
    <w:rsid w:val="001938FA"/>
    <w:rsid w:val="001955CD"/>
    <w:rsid w:val="001A6A76"/>
    <w:rsid w:val="001A7AD1"/>
    <w:rsid w:val="001B3C44"/>
    <w:rsid w:val="001B5389"/>
    <w:rsid w:val="001B6647"/>
    <w:rsid w:val="001B692B"/>
    <w:rsid w:val="001C2973"/>
    <w:rsid w:val="001C317A"/>
    <w:rsid w:val="001C3534"/>
    <w:rsid w:val="001C7039"/>
    <w:rsid w:val="001C76B6"/>
    <w:rsid w:val="001D03FE"/>
    <w:rsid w:val="001D2C6D"/>
    <w:rsid w:val="001D73D9"/>
    <w:rsid w:val="001E23C4"/>
    <w:rsid w:val="001E29F5"/>
    <w:rsid w:val="001E75B7"/>
    <w:rsid w:val="001F0745"/>
    <w:rsid w:val="001F10E3"/>
    <w:rsid w:val="001F35EE"/>
    <w:rsid w:val="00200F9F"/>
    <w:rsid w:val="00212921"/>
    <w:rsid w:val="00212B47"/>
    <w:rsid w:val="00213B06"/>
    <w:rsid w:val="002207D3"/>
    <w:rsid w:val="00222EE6"/>
    <w:rsid w:val="0022340F"/>
    <w:rsid w:val="00227070"/>
    <w:rsid w:val="00234F91"/>
    <w:rsid w:val="002379D9"/>
    <w:rsid w:val="00237AF2"/>
    <w:rsid w:val="00241C76"/>
    <w:rsid w:val="00242F86"/>
    <w:rsid w:val="002437C5"/>
    <w:rsid w:val="0024424D"/>
    <w:rsid w:val="002529F0"/>
    <w:rsid w:val="00255055"/>
    <w:rsid w:val="002559C7"/>
    <w:rsid w:val="00255C7E"/>
    <w:rsid w:val="00260B89"/>
    <w:rsid w:val="00264C24"/>
    <w:rsid w:val="00266446"/>
    <w:rsid w:val="002700FF"/>
    <w:rsid w:val="00271EB2"/>
    <w:rsid w:val="0027245E"/>
    <w:rsid w:val="002729CB"/>
    <w:rsid w:val="0027307A"/>
    <w:rsid w:val="002745FE"/>
    <w:rsid w:val="00275FE4"/>
    <w:rsid w:val="00280FF2"/>
    <w:rsid w:val="00282021"/>
    <w:rsid w:val="00286F3E"/>
    <w:rsid w:val="002906B3"/>
    <w:rsid w:val="002971C8"/>
    <w:rsid w:val="002A1DAA"/>
    <w:rsid w:val="002A357D"/>
    <w:rsid w:val="002A3C64"/>
    <w:rsid w:val="002A5E0C"/>
    <w:rsid w:val="002A5E31"/>
    <w:rsid w:val="002A5FCB"/>
    <w:rsid w:val="002A781B"/>
    <w:rsid w:val="002B222A"/>
    <w:rsid w:val="002B23B2"/>
    <w:rsid w:val="002B6C32"/>
    <w:rsid w:val="002B76DE"/>
    <w:rsid w:val="002C282C"/>
    <w:rsid w:val="002C3160"/>
    <w:rsid w:val="002C4268"/>
    <w:rsid w:val="002C79D6"/>
    <w:rsid w:val="002C7DB4"/>
    <w:rsid w:val="002D6338"/>
    <w:rsid w:val="002D73E2"/>
    <w:rsid w:val="002E39E2"/>
    <w:rsid w:val="002E3C45"/>
    <w:rsid w:val="002E4599"/>
    <w:rsid w:val="002E75B3"/>
    <w:rsid w:val="002F2555"/>
    <w:rsid w:val="002F51CE"/>
    <w:rsid w:val="002F616E"/>
    <w:rsid w:val="002F7CDE"/>
    <w:rsid w:val="003025F7"/>
    <w:rsid w:val="00302E67"/>
    <w:rsid w:val="00302EB9"/>
    <w:rsid w:val="00306AB1"/>
    <w:rsid w:val="00310E14"/>
    <w:rsid w:val="003115D6"/>
    <w:rsid w:val="0031211C"/>
    <w:rsid w:val="00312C6A"/>
    <w:rsid w:val="00313988"/>
    <w:rsid w:val="00316708"/>
    <w:rsid w:val="003200E6"/>
    <w:rsid w:val="003204FD"/>
    <w:rsid w:val="003209D4"/>
    <w:rsid w:val="003240B2"/>
    <w:rsid w:val="00331930"/>
    <w:rsid w:val="00331B28"/>
    <w:rsid w:val="0033321C"/>
    <w:rsid w:val="0033583C"/>
    <w:rsid w:val="00335BDC"/>
    <w:rsid w:val="003364DF"/>
    <w:rsid w:val="003403C8"/>
    <w:rsid w:val="00340616"/>
    <w:rsid w:val="003427A1"/>
    <w:rsid w:val="00352823"/>
    <w:rsid w:val="00353B7E"/>
    <w:rsid w:val="003542AE"/>
    <w:rsid w:val="00361257"/>
    <w:rsid w:val="00362042"/>
    <w:rsid w:val="00363CE9"/>
    <w:rsid w:val="003666C8"/>
    <w:rsid w:val="003676A5"/>
    <w:rsid w:val="00373953"/>
    <w:rsid w:val="00373B6D"/>
    <w:rsid w:val="00376E90"/>
    <w:rsid w:val="00385C90"/>
    <w:rsid w:val="00387DAC"/>
    <w:rsid w:val="0039072C"/>
    <w:rsid w:val="00390966"/>
    <w:rsid w:val="00394516"/>
    <w:rsid w:val="00396E21"/>
    <w:rsid w:val="00397A35"/>
    <w:rsid w:val="003A1536"/>
    <w:rsid w:val="003A3CF7"/>
    <w:rsid w:val="003A4127"/>
    <w:rsid w:val="003A43D0"/>
    <w:rsid w:val="003A634E"/>
    <w:rsid w:val="003A69CF"/>
    <w:rsid w:val="003C3276"/>
    <w:rsid w:val="003C3AA6"/>
    <w:rsid w:val="003C6EEB"/>
    <w:rsid w:val="003D122D"/>
    <w:rsid w:val="003D24A6"/>
    <w:rsid w:val="003D4228"/>
    <w:rsid w:val="003D439A"/>
    <w:rsid w:val="003D4E0D"/>
    <w:rsid w:val="003D50CC"/>
    <w:rsid w:val="003E36F0"/>
    <w:rsid w:val="003F0DB5"/>
    <w:rsid w:val="003F0F4A"/>
    <w:rsid w:val="003F2655"/>
    <w:rsid w:val="003F2BCF"/>
    <w:rsid w:val="003F5560"/>
    <w:rsid w:val="003F72A0"/>
    <w:rsid w:val="004003DF"/>
    <w:rsid w:val="00401DDD"/>
    <w:rsid w:val="00402A98"/>
    <w:rsid w:val="00405F09"/>
    <w:rsid w:val="00405F33"/>
    <w:rsid w:val="00411159"/>
    <w:rsid w:val="00416AB0"/>
    <w:rsid w:val="00421002"/>
    <w:rsid w:val="0042334F"/>
    <w:rsid w:val="00430128"/>
    <w:rsid w:val="00430CAC"/>
    <w:rsid w:val="00433860"/>
    <w:rsid w:val="00433C66"/>
    <w:rsid w:val="00436A79"/>
    <w:rsid w:val="00440A07"/>
    <w:rsid w:val="00440A27"/>
    <w:rsid w:val="00443C74"/>
    <w:rsid w:val="00444080"/>
    <w:rsid w:val="004442C2"/>
    <w:rsid w:val="00445AC4"/>
    <w:rsid w:val="004471A6"/>
    <w:rsid w:val="004500B0"/>
    <w:rsid w:val="00450F14"/>
    <w:rsid w:val="0045504B"/>
    <w:rsid w:val="00456406"/>
    <w:rsid w:val="00456B33"/>
    <w:rsid w:val="00457D48"/>
    <w:rsid w:val="004619C6"/>
    <w:rsid w:val="004657C3"/>
    <w:rsid w:val="0046664E"/>
    <w:rsid w:val="00473830"/>
    <w:rsid w:val="00477086"/>
    <w:rsid w:val="004806B8"/>
    <w:rsid w:val="00480CF0"/>
    <w:rsid w:val="0048187B"/>
    <w:rsid w:val="00482468"/>
    <w:rsid w:val="00482535"/>
    <w:rsid w:val="00483310"/>
    <w:rsid w:val="00485F96"/>
    <w:rsid w:val="004913AA"/>
    <w:rsid w:val="00497DC3"/>
    <w:rsid w:val="004A2929"/>
    <w:rsid w:val="004A3FD6"/>
    <w:rsid w:val="004A4907"/>
    <w:rsid w:val="004A763B"/>
    <w:rsid w:val="004B2BF9"/>
    <w:rsid w:val="004B4754"/>
    <w:rsid w:val="004C1403"/>
    <w:rsid w:val="004C7F61"/>
    <w:rsid w:val="004D5E55"/>
    <w:rsid w:val="004E2033"/>
    <w:rsid w:val="004E2FCD"/>
    <w:rsid w:val="004E43FC"/>
    <w:rsid w:val="004F0B28"/>
    <w:rsid w:val="004F751F"/>
    <w:rsid w:val="00511760"/>
    <w:rsid w:val="00513C8D"/>
    <w:rsid w:val="00517A23"/>
    <w:rsid w:val="00525954"/>
    <w:rsid w:val="00531432"/>
    <w:rsid w:val="00534878"/>
    <w:rsid w:val="005353CB"/>
    <w:rsid w:val="00536B7B"/>
    <w:rsid w:val="005440F2"/>
    <w:rsid w:val="00545A0C"/>
    <w:rsid w:val="005464BB"/>
    <w:rsid w:val="00547A6F"/>
    <w:rsid w:val="0055232F"/>
    <w:rsid w:val="005527DD"/>
    <w:rsid w:val="00556AF8"/>
    <w:rsid w:val="00556DBB"/>
    <w:rsid w:val="00565F7F"/>
    <w:rsid w:val="0056737D"/>
    <w:rsid w:val="005708FE"/>
    <w:rsid w:val="00576D20"/>
    <w:rsid w:val="005840BB"/>
    <w:rsid w:val="0059126D"/>
    <w:rsid w:val="00591639"/>
    <w:rsid w:val="00592F01"/>
    <w:rsid w:val="005960B7"/>
    <w:rsid w:val="005A1057"/>
    <w:rsid w:val="005A282D"/>
    <w:rsid w:val="005A7E95"/>
    <w:rsid w:val="005B0266"/>
    <w:rsid w:val="005B57C1"/>
    <w:rsid w:val="005C305E"/>
    <w:rsid w:val="005D1BBC"/>
    <w:rsid w:val="005D3288"/>
    <w:rsid w:val="005E1AEB"/>
    <w:rsid w:val="005E5DBE"/>
    <w:rsid w:val="005F10CD"/>
    <w:rsid w:val="005F4CC0"/>
    <w:rsid w:val="005F7F66"/>
    <w:rsid w:val="00610A43"/>
    <w:rsid w:val="0061278B"/>
    <w:rsid w:val="00612BA4"/>
    <w:rsid w:val="00615D16"/>
    <w:rsid w:val="006170C9"/>
    <w:rsid w:val="00624332"/>
    <w:rsid w:val="006252B9"/>
    <w:rsid w:val="00643355"/>
    <w:rsid w:val="00644D90"/>
    <w:rsid w:val="00647E25"/>
    <w:rsid w:val="00651D97"/>
    <w:rsid w:val="006616EF"/>
    <w:rsid w:val="00662DEE"/>
    <w:rsid w:val="00662E58"/>
    <w:rsid w:val="006665F3"/>
    <w:rsid w:val="006670D2"/>
    <w:rsid w:val="0067137E"/>
    <w:rsid w:val="00672D2B"/>
    <w:rsid w:val="00674FEC"/>
    <w:rsid w:val="00675E3D"/>
    <w:rsid w:val="006779BF"/>
    <w:rsid w:val="00680649"/>
    <w:rsid w:val="00682F23"/>
    <w:rsid w:val="00692A6D"/>
    <w:rsid w:val="006938B0"/>
    <w:rsid w:val="00693FE1"/>
    <w:rsid w:val="006A4407"/>
    <w:rsid w:val="006B014F"/>
    <w:rsid w:val="006B034A"/>
    <w:rsid w:val="006B446C"/>
    <w:rsid w:val="006B7A9F"/>
    <w:rsid w:val="006C14DA"/>
    <w:rsid w:val="006C2828"/>
    <w:rsid w:val="006C2A95"/>
    <w:rsid w:val="006D107E"/>
    <w:rsid w:val="006D2DC2"/>
    <w:rsid w:val="006D48E1"/>
    <w:rsid w:val="006F2E96"/>
    <w:rsid w:val="006F3A1C"/>
    <w:rsid w:val="006F6C0E"/>
    <w:rsid w:val="00700DE3"/>
    <w:rsid w:val="00705DBB"/>
    <w:rsid w:val="007076CB"/>
    <w:rsid w:val="007107F1"/>
    <w:rsid w:val="00710970"/>
    <w:rsid w:val="007118E0"/>
    <w:rsid w:val="007139C1"/>
    <w:rsid w:val="00714260"/>
    <w:rsid w:val="007153E6"/>
    <w:rsid w:val="00717C80"/>
    <w:rsid w:val="00720636"/>
    <w:rsid w:val="00720E67"/>
    <w:rsid w:val="00721C16"/>
    <w:rsid w:val="00723FE3"/>
    <w:rsid w:val="007242E0"/>
    <w:rsid w:val="00726A2E"/>
    <w:rsid w:val="00726E72"/>
    <w:rsid w:val="007273C1"/>
    <w:rsid w:val="007315EA"/>
    <w:rsid w:val="00732A29"/>
    <w:rsid w:val="00735717"/>
    <w:rsid w:val="0073731C"/>
    <w:rsid w:val="007418D5"/>
    <w:rsid w:val="00742AC6"/>
    <w:rsid w:val="00744657"/>
    <w:rsid w:val="00744944"/>
    <w:rsid w:val="007451EA"/>
    <w:rsid w:val="007506A5"/>
    <w:rsid w:val="0075174A"/>
    <w:rsid w:val="00760F52"/>
    <w:rsid w:val="00761143"/>
    <w:rsid w:val="00763C56"/>
    <w:rsid w:val="0076585B"/>
    <w:rsid w:val="00767070"/>
    <w:rsid w:val="00772550"/>
    <w:rsid w:val="007735A5"/>
    <w:rsid w:val="00774B77"/>
    <w:rsid w:val="00795E6A"/>
    <w:rsid w:val="007A6AA7"/>
    <w:rsid w:val="007A76FC"/>
    <w:rsid w:val="007B303E"/>
    <w:rsid w:val="007B58E8"/>
    <w:rsid w:val="007C1C9A"/>
    <w:rsid w:val="007C340A"/>
    <w:rsid w:val="007C3E64"/>
    <w:rsid w:val="007C3FD2"/>
    <w:rsid w:val="007C6356"/>
    <w:rsid w:val="007D0B02"/>
    <w:rsid w:val="007D28C3"/>
    <w:rsid w:val="007D3CC1"/>
    <w:rsid w:val="007D41DE"/>
    <w:rsid w:val="007D4772"/>
    <w:rsid w:val="007D4C6A"/>
    <w:rsid w:val="007E4DA9"/>
    <w:rsid w:val="007E5E01"/>
    <w:rsid w:val="007F4DAA"/>
    <w:rsid w:val="007F5409"/>
    <w:rsid w:val="007F6261"/>
    <w:rsid w:val="00800534"/>
    <w:rsid w:val="00812C20"/>
    <w:rsid w:val="00813444"/>
    <w:rsid w:val="00820224"/>
    <w:rsid w:val="00820631"/>
    <w:rsid w:val="00826215"/>
    <w:rsid w:val="00826D20"/>
    <w:rsid w:val="00837F3D"/>
    <w:rsid w:val="00847416"/>
    <w:rsid w:val="00850EF4"/>
    <w:rsid w:val="00867000"/>
    <w:rsid w:val="008712D5"/>
    <w:rsid w:val="00871B76"/>
    <w:rsid w:val="008878DB"/>
    <w:rsid w:val="008924F1"/>
    <w:rsid w:val="00895E1E"/>
    <w:rsid w:val="008A2EBD"/>
    <w:rsid w:val="008A4C73"/>
    <w:rsid w:val="008B2ACC"/>
    <w:rsid w:val="008B5C3C"/>
    <w:rsid w:val="008B7670"/>
    <w:rsid w:val="008C2775"/>
    <w:rsid w:val="008C7E13"/>
    <w:rsid w:val="008D3641"/>
    <w:rsid w:val="008D675D"/>
    <w:rsid w:val="008E1BE1"/>
    <w:rsid w:val="008E2C1D"/>
    <w:rsid w:val="008E35E4"/>
    <w:rsid w:val="008E6173"/>
    <w:rsid w:val="008E6822"/>
    <w:rsid w:val="008E7A20"/>
    <w:rsid w:val="008F013C"/>
    <w:rsid w:val="008F168D"/>
    <w:rsid w:val="008F634A"/>
    <w:rsid w:val="00905495"/>
    <w:rsid w:val="0090718B"/>
    <w:rsid w:val="00912C42"/>
    <w:rsid w:val="0091791D"/>
    <w:rsid w:val="00922D9B"/>
    <w:rsid w:val="00927257"/>
    <w:rsid w:val="00930607"/>
    <w:rsid w:val="009321C0"/>
    <w:rsid w:val="00933C47"/>
    <w:rsid w:val="00934225"/>
    <w:rsid w:val="0093486F"/>
    <w:rsid w:val="00937002"/>
    <w:rsid w:val="0094063C"/>
    <w:rsid w:val="00940EDE"/>
    <w:rsid w:val="0095000A"/>
    <w:rsid w:val="00951749"/>
    <w:rsid w:val="00962478"/>
    <w:rsid w:val="00973C8C"/>
    <w:rsid w:val="00974B4E"/>
    <w:rsid w:val="00976318"/>
    <w:rsid w:val="00977AEA"/>
    <w:rsid w:val="009916C6"/>
    <w:rsid w:val="0099278E"/>
    <w:rsid w:val="00995024"/>
    <w:rsid w:val="0099576C"/>
    <w:rsid w:val="00995EAC"/>
    <w:rsid w:val="009A103B"/>
    <w:rsid w:val="009A5611"/>
    <w:rsid w:val="009B2BBD"/>
    <w:rsid w:val="009C1B98"/>
    <w:rsid w:val="009C5238"/>
    <w:rsid w:val="009C5BBE"/>
    <w:rsid w:val="009C7E55"/>
    <w:rsid w:val="009D08C8"/>
    <w:rsid w:val="009D1ECF"/>
    <w:rsid w:val="009D3FD4"/>
    <w:rsid w:val="009D7318"/>
    <w:rsid w:val="009E02C7"/>
    <w:rsid w:val="009E5DC9"/>
    <w:rsid w:val="009E6ED2"/>
    <w:rsid w:val="009F28B4"/>
    <w:rsid w:val="00A00BD1"/>
    <w:rsid w:val="00A133F1"/>
    <w:rsid w:val="00A15A7B"/>
    <w:rsid w:val="00A2032C"/>
    <w:rsid w:val="00A21CF1"/>
    <w:rsid w:val="00A24E71"/>
    <w:rsid w:val="00A2748B"/>
    <w:rsid w:val="00A27D62"/>
    <w:rsid w:val="00A30E14"/>
    <w:rsid w:val="00A37464"/>
    <w:rsid w:val="00A4421B"/>
    <w:rsid w:val="00A451EB"/>
    <w:rsid w:val="00A45671"/>
    <w:rsid w:val="00A46677"/>
    <w:rsid w:val="00A46B7C"/>
    <w:rsid w:val="00A52885"/>
    <w:rsid w:val="00A55078"/>
    <w:rsid w:val="00A5689C"/>
    <w:rsid w:val="00A568A0"/>
    <w:rsid w:val="00A60925"/>
    <w:rsid w:val="00A618A9"/>
    <w:rsid w:val="00A621BF"/>
    <w:rsid w:val="00A65ED9"/>
    <w:rsid w:val="00A66C28"/>
    <w:rsid w:val="00A73943"/>
    <w:rsid w:val="00A7494E"/>
    <w:rsid w:val="00A7567E"/>
    <w:rsid w:val="00A8393F"/>
    <w:rsid w:val="00A83C10"/>
    <w:rsid w:val="00A870AA"/>
    <w:rsid w:val="00A879D4"/>
    <w:rsid w:val="00A87E27"/>
    <w:rsid w:val="00A91DF7"/>
    <w:rsid w:val="00A931A5"/>
    <w:rsid w:val="00AB0F86"/>
    <w:rsid w:val="00AB3A9A"/>
    <w:rsid w:val="00AB4FC1"/>
    <w:rsid w:val="00AB53A7"/>
    <w:rsid w:val="00AB79A7"/>
    <w:rsid w:val="00AC0C1A"/>
    <w:rsid w:val="00AC2757"/>
    <w:rsid w:val="00AC6015"/>
    <w:rsid w:val="00AC76E8"/>
    <w:rsid w:val="00AD1470"/>
    <w:rsid w:val="00AD706B"/>
    <w:rsid w:val="00AE0AD8"/>
    <w:rsid w:val="00AE374A"/>
    <w:rsid w:val="00AF5BC0"/>
    <w:rsid w:val="00AF6CBF"/>
    <w:rsid w:val="00AF7CAE"/>
    <w:rsid w:val="00B01D7E"/>
    <w:rsid w:val="00B049FF"/>
    <w:rsid w:val="00B07186"/>
    <w:rsid w:val="00B13AFB"/>
    <w:rsid w:val="00B26275"/>
    <w:rsid w:val="00B27155"/>
    <w:rsid w:val="00B34EA7"/>
    <w:rsid w:val="00B36D8A"/>
    <w:rsid w:val="00B41893"/>
    <w:rsid w:val="00B43EB3"/>
    <w:rsid w:val="00B447CF"/>
    <w:rsid w:val="00B461F7"/>
    <w:rsid w:val="00B526C5"/>
    <w:rsid w:val="00B55E21"/>
    <w:rsid w:val="00B57550"/>
    <w:rsid w:val="00B5760C"/>
    <w:rsid w:val="00B57EE1"/>
    <w:rsid w:val="00B644F5"/>
    <w:rsid w:val="00B656A3"/>
    <w:rsid w:val="00B66CBF"/>
    <w:rsid w:val="00B70B32"/>
    <w:rsid w:val="00B719BF"/>
    <w:rsid w:val="00B72BDD"/>
    <w:rsid w:val="00B755DE"/>
    <w:rsid w:val="00B75AE6"/>
    <w:rsid w:val="00B76F6E"/>
    <w:rsid w:val="00B81D55"/>
    <w:rsid w:val="00B843D9"/>
    <w:rsid w:val="00B8577B"/>
    <w:rsid w:val="00B86646"/>
    <w:rsid w:val="00B921C0"/>
    <w:rsid w:val="00B92532"/>
    <w:rsid w:val="00B92778"/>
    <w:rsid w:val="00B96DC6"/>
    <w:rsid w:val="00B9738C"/>
    <w:rsid w:val="00BA130C"/>
    <w:rsid w:val="00BA5C88"/>
    <w:rsid w:val="00BB369B"/>
    <w:rsid w:val="00BC1153"/>
    <w:rsid w:val="00BC1859"/>
    <w:rsid w:val="00BC21D6"/>
    <w:rsid w:val="00BC284C"/>
    <w:rsid w:val="00BD2005"/>
    <w:rsid w:val="00BD25E1"/>
    <w:rsid w:val="00BD30A9"/>
    <w:rsid w:val="00BD5731"/>
    <w:rsid w:val="00BD7041"/>
    <w:rsid w:val="00BE06A8"/>
    <w:rsid w:val="00BE0EE1"/>
    <w:rsid w:val="00BE3052"/>
    <w:rsid w:val="00BE5B9B"/>
    <w:rsid w:val="00BF423C"/>
    <w:rsid w:val="00BF4A29"/>
    <w:rsid w:val="00BF5228"/>
    <w:rsid w:val="00C00FC4"/>
    <w:rsid w:val="00C06232"/>
    <w:rsid w:val="00C11A53"/>
    <w:rsid w:val="00C11F36"/>
    <w:rsid w:val="00C21541"/>
    <w:rsid w:val="00C259A4"/>
    <w:rsid w:val="00C277D5"/>
    <w:rsid w:val="00C31900"/>
    <w:rsid w:val="00C32DDB"/>
    <w:rsid w:val="00C343F8"/>
    <w:rsid w:val="00C3488B"/>
    <w:rsid w:val="00C35289"/>
    <w:rsid w:val="00C370C1"/>
    <w:rsid w:val="00C37B6E"/>
    <w:rsid w:val="00C40C1F"/>
    <w:rsid w:val="00C47009"/>
    <w:rsid w:val="00C5038A"/>
    <w:rsid w:val="00C5109D"/>
    <w:rsid w:val="00C52E8C"/>
    <w:rsid w:val="00C53868"/>
    <w:rsid w:val="00C54755"/>
    <w:rsid w:val="00C54BED"/>
    <w:rsid w:val="00C55788"/>
    <w:rsid w:val="00C559B7"/>
    <w:rsid w:val="00C56BE0"/>
    <w:rsid w:val="00C65633"/>
    <w:rsid w:val="00C70B57"/>
    <w:rsid w:val="00C70D40"/>
    <w:rsid w:val="00C7191F"/>
    <w:rsid w:val="00C71B10"/>
    <w:rsid w:val="00C7324C"/>
    <w:rsid w:val="00C81BE2"/>
    <w:rsid w:val="00C844F8"/>
    <w:rsid w:val="00C87E74"/>
    <w:rsid w:val="00C91E5A"/>
    <w:rsid w:val="00C94516"/>
    <w:rsid w:val="00C9564E"/>
    <w:rsid w:val="00C9567F"/>
    <w:rsid w:val="00C95AD8"/>
    <w:rsid w:val="00CA38E6"/>
    <w:rsid w:val="00CA5AC5"/>
    <w:rsid w:val="00CA6B60"/>
    <w:rsid w:val="00CB0A24"/>
    <w:rsid w:val="00CB0AE6"/>
    <w:rsid w:val="00CB211A"/>
    <w:rsid w:val="00CB2AB0"/>
    <w:rsid w:val="00CB7A20"/>
    <w:rsid w:val="00CC020D"/>
    <w:rsid w:val="00CC5BA1"/>
    <w:rsid w:val="00CC68DE"/>
    <w:rsid w:val="00CD2534"/>
    <w:rsid w:val="00CD278E"/>
    <w:rsid w:val="00CD4A7A"/>
    <w:rsid w:val="00CD5CB6"/>
    <w:rsid w:val="00CD7195"/>
    <w:rsid w:val="00CE171B"/>
    <w:rsid w:val="00CE3FF4"/>
    <w:rsid w:val="00CE6831"/>
    <w:rsid w:val="00CF306A"/>
    <w:rsid w:val="00CF4C50"/>
    <w:rsid w:val="00CF7035"/>
    <w:rsid w:val="00D02C22"/>
    <w:rsid w:val="00D0506D"/>
    <w:rsid w:val="00D079A6"/>
    <w:rsid w:val="00D1318E"/>
    <w:rsid w:val="00D17E8B"/>
    <w:rsid w:val="00D211B2"/>
    <w:rsid w:val="00D216B8"/>
    <w:rsid w:val="00D21AC8"/>
    <w:rsid w:val="00D25CD4"/>
    <w:rsid w:val="00D3367B"/>
    <w:rsid w:val="00D339B0"/>
    <w:rsid w:val="00D33A73"/>
    <w:rsid w:val="00D34F2B"/>
    <w:rsid w:val="00D35E39"/>
    <w:rsid w:val="00D3737C"/>
    <w:rsid w:val="00D37C10"/>
    <w:rsid w:val="00D4152D"/>
    <w:rsid w:val="00D41FBA"/>
    <w:rsid w:val="00D43C0F"/>
    <w:rsid w:val="00D45766"/>
    <w:rsid w:val="00D46D7F"/>
    <w:rsid w:val="00D50053"/>
    <w:rsid w:val="00D53603"/>
    <w:rsid w:val="00D546DD"/>
    <w:rsid w:val="00D554B0"/>
    <w:rsid w:val="00D62AEA"/>
    <w:rsid w:val="00D6555F"/>
    <w:rsid w:val="00D65C72"/>
    <w:rsid w:val="00D65D4F"/>
    <w:rsid w:val="00D670C3"/>
    <w:rsid w:val="00D722F3"/>
    <w:rsid w:val="00D72A83"/>
    <w:rsid w:val="00D72C47"/>
    <w:rsid w:val="00D72D14"/>
    <w:rsid w:val="00D73A3B"/>
    <w:rsid w:val="00D73ACF"/>
    <w:rsid w:val="00D77740"/>
    <w:rsid w:val="00D83410"/>
    <w:rsid w:val="00D8571D"/>
    <w:rsid w:val="00D87355"/>
    <w:rsid w:val="00D90A3A"/>
    <w:rsid w:val="00D9449E"/>
    <w:rsid w:val="00D967FA"/>
    <w:rsid w:val="00DA2425"/>
    <w:rsid w:val="00DA27C8"/>
    <w:rsid w:val="00DA5D52"/>
    <w:rsid w:val="00DB12C5"/>
    <w:rsid w:val="00DB4490"/>
    <w:rsid w:val="00DC2C53"/>
    <w:rsid w:val="00DD30F3"/>
    <w:rsid w:val="00DD7010"/>
    <w:rsid w:val="00DE40FE"/>
    <w:rsid w:val="00DE666B"/>
    <w:rsid w:val="00DF1943"/>
    <w:rsid w:val="00DF2B45"/>
    <w:rsid w:val="00DF64A7"/>
    <w:rsid w:val="00E0140B"/>
    <w:rsid w:val="00E04D07"/>
    <w:rsid w:val="00E078D8"/>
    <w:rsid w:val="00E12713"/>
    <w:rsid w:val="00E130AA"/>
    <w:rsid w:val="00E14898"/>
    <w:rsid w:val="00E14D97"/>
    <w:rsid w:val="00E178DD"/>
    <w:rsid w:val="00E21278"/>
    <w:rsid w:val="00E3034E"/>
    <w:rsid w:val="00E30601"/>
    <w:rsid w:val="00E31988"/>
    <w:rsid w:val="00E376E4"/>
    <w:rsid w:val="00E41BA0"/>
    <w:rsid w:val="00E437BA"/>
    <w:rsid w:val="00E4690C"/>
    <w:rsid w:val="00E4789C"/>
    <w:rsid w:val="00E574C3"/>
    <w:rsid w:val="00E63886"/>
    <w:rsid w:val="00E64D37"/>
    <w:rsid w:val="00E71BF1"/>
    <w:rsid w:val="00E72574"/>
    <w:rsid w:val="00E80017"/>
    <w:rsid w:val="00E80B60"/>
    <w:rsid w:val="00E80F78"/>
    <w:rsid w:val="00E8235C"/>
    <w:rsid w:val="00E8334B"/>
    <w:rsid w:val="00E85EAE"/>
    <w:rsid w:val="00E86667"/>
    <w:rsid w:val="00E92667"/>
    <w:rsid w:val="00E953EB"/>
    <w:rsid w:val="00EA00A0"/>
    <w:rsid w:val="00EA13D5"/>
    <w:rsid w:val="00EA50E5"/>
    <w:rsid w:val="00EB62DE"/>
    <w:rsid w:val="00EC1206"/>
    <w:rsid w:val="00EC16CF"/>
    <w:rsid w:val="00EC74AF"/>
    <w:rsid w:val="00EC7C02"/>
    <w:rsid w:val="00ED2303"/>
    <w:rsid w:val="00ED6B99"/>
    <w:rsid w:val="00ED7E98"/>
    <w:rsid w:val="00EE06BB"/>
    <w:rsid w:val="00EF45AB"/>
    <w:rsid w:val="00EF72CB"/>
    <w:rsid w:val="00F05DE4"/>
    <w:rsid w:val="00F06086"/>
    <w:rsid w:val="00F14722"/>
    <w:rsid w:val="00F1601B"/>
    <w:rsid w:val="00F1758C"/>
    <w:rsid w:val="00F2362B"/>
    <w:rsid w:val="00F23B45"/>
    <w:rsid w:val="00F3162E"/>
    <w:rsid w:val="00F31E54"/>
    <w:rsid w:val="00F34746"/>
    <w:rsid w:val="00F35F39"/>
    <w:rsid w:val="00F36037"/>
    <w:rsid w:val="00F37275"/>
    <w:rsid w:val="00F4235E"/>
    <w:rsid w:val="00F44CF7"/>
    <w:rsid w:val="00F45635"/>
    <w:rsid w:val="00F45C13"/>
    <w:rsid w:val="00F578F4"/>
    <w:rsid w:val="00F63692"/>
    <w:rsid w:val="00F643C8"/>
    <w:rsid w:val="00F67B5E"/>
    <w:rsid w:val="00F71202"/>
    <w:rsid w:val="00F7647D"/>
    <w:rsid w:val="00F768F9"/>
    <w:rsid w:val="00F77335"/>
    <w:rsid w:val="00F83821"/>
    <w:rsid w:val="00F868E6"/>
    <w:rsid w:val="00F94814"/>
    <w:rsid w:val="00FA2807"/>
    <w:rsid w:val="00FA3FD4"/>
    <w:rsid w:val="00FA45BA"/>
    <w:rsid w:val="00FA6D8F"/>
    <w:rsid w:val="00FA7496"/>
    <w:rsid w:val="00FA773B"/>
    <w:rsid w:val="00FB056B"/>
    <w:rsid w:val="00FB51D9"/>
    <w:rsid w:val="00FC257D"/>
    <w:rsid w:val="00FC7F5B"/>
    <w:rsid w:val="00FD2FE2"/>
    <w:rsid w:val="00FD4DA1"/>
    <w:rsid w:val="00FD6262"/>
    <w:rsid w:val="00FE2376"/>
    <w:rsid w:val="00FE2F17"/>
    <w:rsid w:val="00FE7D8B"/>
    <w:rsid w:val="00FF1FC5"/>
    <w:rsid w:val="00FF4095"/>
    <w:rsid w:val="00FF68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D3A50"/>
  <w15:chartTrackingRefBased/>
  <w15:docId w15:val="{6D732930-6C9C-4B50-A2A7-239BBD5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43"/>
  </w:style>
  <w:style w:type="paragraph" w:styleId="Heading1">
    <w:name w:val="heading 1"/>
    <w:basedOn w:val="Normal"/>
    <w:next w:val="Normal"/>
    <w:link w:val="Heading1Char"/>
    <w:uiPriority w:val="99"/>
    <w:qFormat/>
    <w:rsid w:val="00F45C13"/>
    <w:pPr>
      <w:keepNext/>
      <w:keepLines/>
      <w:spacing w:before="240" w:after="240"/>
      <w:outlineLvl w:val="0"/>
    </w:pPr>
    <w:rPr>
      <w:rFonts w:eastAsiaTheme="majorEastAsia"/>
      <w:b/>
      <w:szCs w:val="24"/>
    </w:rPr>
  </w:style>
  <w:style w:type="paragraph" w:styleId="Heading2">
    <w:name w:val="heading 2"/>
    <w:basedOn w:val="Normal"/>
    <w:next w:val="Normal"/>
    <w:link w:val="Heading2Char"/>
    <w:uiPriority w:val="9"/>
    <w:unhideWhenUsed/>
    <w:qFormat/>
    <w:rsid w:val="00E0140B"/>
    <w:pPr>
      <w:keepNext/>
      <w:keepLines/>
      <w:spacing w:before="4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F94814"/>
  </w:style>
  <w:style w:type="character" w:customStyle="1" w:styleId="Heading1Char">
    <w:name w:val="Heading 1 Char"/>
    <w:basedOn w:val="DefaultParagraphFont"/>
    <w:link w:val="Heading1"/>
    <w:uiPriority w:val="9"/>
    <w:rsid w:val="00F45C13"/>
    <w:rPr>
      <w:rFonts w:eastAsiaTheme="majorEastAsia"/>
      <w:b/>
      <w:szCs w:val="24"/>
    </w:rPr>
  </w:style>
  <w:style w:type="paragraph" w:customStyle="1" w:styleId="Style2">
    <w:name w:val="Style2"/>
    <w:basedOn w:val="Heading2"/>
    <w:autoRedefine/>
    <w:qFormat/>
    <w:rsid w:val="00E0140B"/>
    <w:rPr>
      <w:b w:val="0"/>
    </w:rPr>
  </w:style>
  <w:style w:type="character" w:customStyle="1" w:styleId="Heading2Char">
    <w:name w:val="Heading 2 Char"/>
    <w:basedOn w:val="DefaultParagraphFont"/>
    <w:link w:val="Heading2"/>
    <w:uiPriority w:val="9"/>
    <w:rsid w:val="00E0140B"/>
    <w:rPr>
      <w:rFonts w:eastAsiaTheme="majorEastAsia" w:cstheme="majorBidi"/>
      <w:b/>
      <w:szCs w:val="26"/>
    </w:rPr>
  </w:style>
  <w:style w:type="paragraph" w:customStyle="1" w:styleId="EndNoteBibliographyTitle">
    <w:name w:val="EndNote Bibliography Title"/>
    <w:basedOn w:val="Normal"/>
    <w:link w:val="EndNoteBibliographyTitleChar"/>
    <w:rsid w:val="00C65633"/>
    <w:pPr>
      <w:jc w:val="center"/>
    </w:pPr>
    <w:rPr>
      <w:noProof/>
    </w:rPr>
  </w:style>
  <w:style w:type="character" w:customStyle="1" w:styleId="EndNoteBibliographyTitleChar">
    <w:name w:val="EndNote Bibliography Title Char"/>
    <w:basedOn w:val="DefaultParagraphFont"/>
    <w:link w:val="EndNoteBibliographyTitle"/>
    <w:rsid w:val="00C65633"/>
    <w:rPr>
      <w:noProof/>
    </w:rPr>
  </w:style>
  <w:style w:type="paragraph" w:customStyle="1" w:styleId="EndNoteBibliography">
    <w:name w:val="EndNote Bibliography"/>
    <w:basedOn w:val="Normal"/>
    <w:link w:val="EndNoteBibliographyChar"/>
    <w:rsid w:val="00C65633"/>
    <w:rPr>
      <w:noProof/>
    </w:rPr>
  </w:style>
  <w:style w:type="character" w:customStyle="1" w:styleId="EndNoteBibliographyChar">
    <w:name w:val="EndNote Bibliography Char"/>
    <w:basedOn w:val="DefaultParagraphFont"/>
    <w:link w:val="EndNoteBibliography"/>
    <w:rsid w:val="00C65633"/>
    <w:rPr>
      <w:noProof/>
    </w:rPr>
  </w:style>
  <w:style w:type="paragraph" w:styleId="FootnoteText">
    <w:name w:val="footnote text"/>
    <w:basedOn w:val="Normal"/>
    <w:link w:val="FootnoteTextChar"/>
    <w:uiPriority w:val="99"/>
    <w:unhideWhenUsed/>
    <w:rsid w:val="00CE6831"/>
    <w:rPr>
      <w:sz w:val="20"/>
      <w:szCs w:val="20"/>
    </w:rPr>
  </w:style>
  <w:style w:type="character" w:customStyle="1" w:styleId="FootnoteTextChar">
    <w:name w:val="Footnote Text Char"/>
    <w:basedOn w:val="DefaultParagraphFont"/>
    <w:link w:val="FootnoteText"/>
    <w:uiPriority w:val="99"/>
    <w:rsid w:val="00CE6831"/>
    <w:rPr>
      <w:sz w:val="20"/>
      <w:szCs w:val="20"/>
    </w:rPr>
  </w:style>
  <w:style w:type="character" w:styleId="FootnoteReference">
    <w:name w:val="footnote reference"/>
    <w:basedOn w:val="DefaultParagraphFont"/>
    <w:uiPriority w:val="99"/>
    <w:unhideWhenUsed/>
    <w:rsid w:val="00CE6831"/>
    <w:rPr>
      <w:vertAlign w:val="superscript"/>
    </w:rPr>
  </w:style>
  <w:style w:type="paragraph" w:styleId="Header">
    <w:name w:val="header"/>
    <w:basedOn w:val="Normal"/>
    <w:link w:val="HeaderChar"/>
    <w:uiPriority w:val="99"/>
    <w:unhideWhenUsed/>
    <w:rsid w:val="00111C5A"/>
    <w:pPr>
      <w:tabs>
        <w:tab w:val="center" w:pos="4513"/>
        <w:tab w:val="right" w:pos="9026"/>
      </w:tabs>
    </w:pPr>
  </w:style>
  <w:style w:type="character" w:customStyle="1" w:styleId="HeaderChar">
    <w:name w:val="Header Char"/>
    <w:basedOn w:val="DefaultParagraphFont"/>
    <w:link w:val="Header"/>
    <w:uiPriority w:val="99"/>
    <w:rsid w:val="00111C5A"/>
  </w:style>
  <w:style w:type="paragraph" w:styleId="Footer">
    <w:name w:val="footer"/>
    <w:basedOn w:val="Normal"/>
    <w:link w:val="FooterChar"/>
    <w:uiPriority w:val="99"/>
    <w:unhideWhenUsed/>
    <w:rsid w:val="00111C5A"/>
    <w:pPr>
      <w:tabs>
        <w:tab w:val="center" w:pos="4513"/>
        <w:tab w:val="right" w:pos="9026"/>
      </w:tabs>
    </w:pPr>
  </w:style>
  <w:style w:type="character" w:customStyle="1" w:styleId="FooterChar">
    <w:name w:val="Footer Char"/>
    <w:basedOn w:val="DefaultParagraphFont"/>
    <w:link w:val="Footer"/>
    <w:uiPriority w:val="99"/>
    <w:rsid w:val="00111C5A"/>
  </w:style>
  <w:style w:type="paragraph" w:styleId="BalloonText">
    <w:name w:val="Balloon Text"/>
    <w:basedOn w:val="Normal"/>
    <w:link w:val="BalloonTextChar"/>
    <w:uiPriority w:val="99"/>
    <w:semiHidden/>
    <w:unhideWhenUsed/>
    <w:rsid w:val="00693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E1"/>
    <w:rPr>
      <w:rFonts w:ascii="Segoe UI" w:hAnsi="Segoe UI" w:cs="Segoe UI"/>
      <w:sz w:val="18"/>
      <w:szCs w:val="18"/>
    </w:rPr>
  </w:style>
  <w:style w:type="character" w:styleId="CommentReference">
    <w:name w:val="annotation reference"/>
    <w:basedOn w:val="DefaultParagraphFont"/>
    <w:uiPriority w:val="99"/>
    <w:semiHidden/>
    <w:unhideWhenUsed/>
    <w:rsid w:val="00433860"/>
    <w:rPr>
      <w:sz w:val="16"/>
      <w:szCs w:val="16"/>
    </w:rPr>
  </w:style>
  <w:style w:type="paragraph" w:styleId="CommentText">
    <w:name w:val="annotation text"/>
    <w:basedOn w:val="Normal"/>
    <w:link w:val="CommentTextChar"/>
    <w:uiPriority w:val="99"/>
    <w:unhideWhenUsed/>
    <w:rsid w:val="00433860"/>
    <w:rPr>
      <w:sz w:val="20"/>
      <w:szCs w:val="20"/>
    </w:rPr>
  </w:style>
  <w:style w:type="character" w:customStyle="1" w:styleId="CommentTextChar">
    <w:name w:val="Comment Text Char"/>
    <w:basedOn w:val="DefaultParagraphFont"/>
    <w:link w:val="CommentText"/>
    <w:uiPriority w:val="99"/>
    <w:rsid w:val="00433860"/>
    <w:rPr>
      <w:sz w:val="20"/>
      <w:szCs w:val="20"/>
    </w:rPr>
  </w:style>
  <w:style w:type="paragraph" w:styleId="CommentSubject">
    <w:name w:val="annotation subject"/>
    <w:basedOn w:val="CommentText"/>
    <w:next w:val="CommentText"/>
    <w:link w:val="CommentSubjectChar"/>
    <w:uiPriority w:val="99"/>
    <w:semiHidden/>
    <w:unhideWhenUsed/>
    <w:rsid w:val="00433860"/>
    <w:rPr>
      <w:b/>
      <w:bCs/>
    </w:rPr>
  </w:style>
  <w:style w:type="character" w:customStyle="1" w:styleId="CommentSubjectChar">
    <w:name w:val="Comment Subject Char"/>
    <w:basedOn w:val="CommentTextChar"/>
    <w:link w:val="CommentSubject"/>
    <w:uiPriority w:val="99"/>
    <w:semiHidden/>
    <w:rsid w:val="00433860"/>
    <w:rPr>
      <w:b/>
      <w:bCs/>
      <w:sz w:val="20"/>
      <w:szCs w:val="20"/>
    </w:rPr>
  </w:style>
  <w:style w:type="paragraph" w:styleId="Revision">
    <w:name w:val="Revision"/>
    <w:hidden/>
    <w:uiPriority w:val="99"/>
    <w:semiHidden/>
    <w:rsid w:val="003F2655"/>
  </w:style>
  <w:style w:type="character" w:customStyle="1" w:styleId="title-text">
    <w:name w:val="title-text"/>
    <w:basedOn w:val="DefaultParagraphFont"/>
    <w:rsid w:val="00BA5C88"/>
  </w:style>
  <w:style w:type="paragraph" w:customStyle="1" w:styleId="Default">
    <w:name w:val="Default"/>
    <w:rsid w:val="00FC7F5B"/>
    <w:pPr>
      <w:autoSpaceDE w:val="0"/>
      <w:autoSpaceDN w:val="0"/>
      <w:adjustRightInd w:val="0"/>
    </w:pPr>
    <w:rPr>
      <w:rFonts w:ascii="Arial" w:hAnsi="Arial" w:cs="Arial"/>
      <w:color w:val="000000"/>
      <w:szCs w:val="24"/>
    </w:rPr>
  </w:style>
  <w:style w:type="table" w:styleId="TableGrid">
    <w:name w:val="Table Grid"/>
    <w:basedOn w:val="TableNormal"/>
    <w:uiPriority w:val="39"/>
    <w:rsid w:val="0061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64C24"/>
    <w:rPr>
      <w:rFonts w:cs="Times New Roman"/>
      <w:color w:val="0000FF"/>
      <w:u w:val="single"/>
    </w:rPr>
  </w:style>
  <w:style w:type="character" w:styleId="UnresolvedMention">
    <w:name w:val="Unresolved Mention"/>
    <w:basedOn w:val="DefaultParagraphFont"/>
    <w:uiPriority w:val="99"/>
    <w:semiHidden/>
    <w:unhideWhenUsed/>
    <w:rsid w:val="006670D2"/>
    <w:rPr>
      <w:color w:val="605E5C"/>
      <w:shd w:val="clear" w:color="auto" w:fill="E1DFDD"/>
    </w:rPr>
  </w:style>
  <w:style w:type="paragraph" w:styleId="ListParagraph">
    <w:name w:val="List Paragraph"/>
    <w:basedOn w:val="Normal"/>
    <w:uiPriority w:val="34"/>
    <w:qFormat/>
    <w:rsid w:val="00760F52"/>
    <w:pPr>
      <w:ind w:left="720"/>
      <w:contextualSpacing/>
    </w:pPr>
    <w:rPr>
      <w:rFonts w:eastAsia="Times New Roman"/>
      <w:szCs w:val="24"/>
      <w:lang w:eastAsia="sv-SE"/>
    </w:rPr>
  </w:style>
  <w:style w:type="character" w:customStyle="1" w:styleId="aat">
    <w:name w:val="aat"/>
    <w:basedOn w:val="DefaultParagraphFont"/>
    <w:rsid w:val="00951749"/>
  </w:style>
  <w:style w:type="character" w:styleId="Emphasis">
    <w:name w:val="Emphasis"/>
    <w:basedOn w:val="DefaultParagraphFont"/>
    <w:uiPriority w:val="20"/>
    <w:qFormat/>
    <w:rsid w:val="00951749"/>
    <w:rPr>
      <w:i/>
      <w:iCs/>
    </w:rPr>
  </w:style>
  <w:style w:type="character" w:customStyle="1" w:styleId="ref-title">
    <w:name w:val="ref-title"/>
    <w:basedOn w:val="DefaultParagraphFont"/>
    <w:rsid w:val="00C31900"/>
  </w:style>
  <w:style w:type="character" w:customStyle="1" w:styleId="ref-journal">
    <w:name w:val="ref-journal"/>
    <w:basedOn w:val="DefaultParagraphFont"/>
    <w:rsid w:val="00C31900"/>
  </w:style>
  <w:style w:type="character" w:customStyle="1" w:styleId="ref-vol">
    <w:name w:val="ref-vol"/>
    <w:basedOn w:val="DefaultParagraphFont"/>
    <w:rsid w:val="00C31900"/>
  </w:style>
  <w:style w:type="character" w:customStyle="1" w:styleId="ref-iss">
    <w:name w:val="ref-iss"/>
    <w:basedOn w:val="DefaultParagraphFont"/>
    <w:rsid w:val="00C31900"/>
  </w:style>
  <w:style w:type="character" w:customStyle="1" w:styleId="author">
    <w:name w:val="author"/>
    <w:basedOn w:val="DefaultParagraphFont"/>
    <w:rsid w:val="00E80017"/>
  </w:style>
  <w:style w:type="character" w:customStyle="1" w:styleId="pubyear">
    <w:name w:val="pubyear"/>
    <w:basedOn w:val="DefaultParagraphFont"/>
    <w:rsid w:val="00E80017"/>
  </w:style>
  <w:style w:type="character" w:customStyle="1" w:styleId="articletitle">
    <w:name w:val="articletitle"/>
    <w:basedOn w:val="DefaultParagraphFont"/>
    <w:rsid w:val="00E80017"/>
  </w:style>
  <w:style w:type="character" w:customStyle="1" w:styleId="journaltitle">
    <w:name w:val="journaltitle"/>
    <w:basedOn w:val="DefaultParagraphFont"/>
    <w:rsid w:val="00E80017"/>
  </w:style>
  <w:style w:type="character" w:customStyle="1" w:styleId="vol">
    <w:name w:val="vol"/>
    <w:basedOn w:val="DefaultParagraphFont"/>
    <w:rsid w:val="00E80017"/>
  </w:style>
  <w:style w:type="character" w:customStyle="1" w:styleId="pagefirst">
    <w:name w:val="pagefirst"/>
    <w:basedOn w:val="DefaultParagraphFont"/>
    <w:rsid w:val="00E80017"/>
  </w:style>
  <w:style w:type="character" w:customStyle="1" w:styleId="pagelast">
    <w:name w:val="pagelast"/>
    <w:basedOn w:val="DefaultParagraphFont"/>
    <w:rsid w:val="00E80017"/>
  </w:style>
  <w:style w:type="character" w:styleId="Strong">
    <w:name w:val="Strong"/>
    <w:basedOn w:val="DefaultParagraphFont"/>
    <w:uiPriority w:val="22"/>
    <w:qFormat/>
    <w:rsid w:val="00567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4370">
      <w:bodyDiv w:val="1"/>
      <w:marLeft w:val="0"/>
      <w:marRight w:val="0"/>
      <w:marTop w:val="0"/>
      <w:marBottom w:val="0"/>
      <w:divBdr>
        <w:top w:val="none" w:sz="0" w:space="0" w:color="auto"/>
        <w:left w:val="none" w:sz="0" w:space="0" w:color="auto"/>
        <w:bottom w:val="none" w:sz="0" w:space="0" w:color="auto"/>
        <w:right w:val="none" w:sz="0" w:space="0" w:color="auto"/>
      </w:divBdr>
    </w:div>
    <w:div w:id="315229658">
      <w:bodyDiv w:val="1"/>
      <w:marLeft w:val="0"/>
      <w:marRight w:val="0"/>
      <w:marTop w:val="0"/>
      <w:marBottom w:val="0"/>
      <w:divBdr>
        <w:top w:val="none" w:sz="0" w:space="0" w:color="auto"/>
        <w:left w:val="none" w:sz="0" w:space="0" w:color="auto"/>
        <w:bottom w:val="none" w:sz="0" w:space="0" w:color="auto"/>
        <w:right w:val="none" w:sz="0" w:space="0" w:color="auto"/>
      </w:divBdr>
    </w:div>
    <w:div w:id="600989171">
      <w:bodyDiv w:val="1"/>
      <w:marLeft w:val="0"/>
      <w:marRight w:val="0"/>
      <w:marTop w:val="0"/>
      <w:marBottom w:val="0"/>
      <w:divBdr>
        <w:top w:val="none" w:sz="0" w:space="0" w:color="auto"/>
        <w:left w:val="none" w:sz="0" w:space="0" w:color="auto"/>
        <w:bottom w:val="none" w:sz="0" w:space="0" w:color="auto"/>
        <w:right w:val="none" w:sz="0" w:space="0" w:color="auto"/>
      </w:divBdr>
    </w:div>
    <w:div w:id="867991356">
      <w:bodyDiv w:val="1"/>
      <w:marLeft w:val="0"/>
      <w:marRight w:val="0"/>
      <w:marTop w:val="0"/>
      <w:marBottom w:val="0"/>
      <w:divBdr>
        <w:top w:val="none" w:sz="0" w:space="0" w:color="auto"/>
        <w:left w:val="none" w:sz="0" w:space="0" w:color="auto"/>
        <w:bottom w:val="none" w:sz="0" w:space="0" w:color="auto"/>
        <w:right w:val="none" w:sz="0" w:space="0" w:color="auto"/>
      </w:divBdr>
    </w:div>
    <w:div w:id="1035303314">
      <w:bodyDiv w:val="1"/>
      <w:marLeft w:val="0"/>
      <w:marRight w:val="0"/>
      <w:marTop w:val="0"/>
      <w:marBottom w:val="0"/>
      <w:divBdr>
        <w:top w:val="none" w:sz="0" w:space="0" w:color="auto"/>
        <w:left w:val="none" w:sz="0" w:space="0" w:color="auto"/>
        <w:bottom w:val="none" w:sz="0" w:space="0" w:color="auto"/>
        <w:right w:val="none" w:sz="0" w:space="0" w:color="auto"/>
      </w:divBdr>
    </w:div>
    <w:div w:id="1164977321">
      <w:bodyDiv w:val="1"/>
      <w:marLeft w:val="0"/>
      <w:marRight w:val="0"/>
      <w:marTop w:val="0"/>
      <w:marBottom w:val="0"/>
      <w:divBdr>
        <w:top w:val="none" w:sz="0" w:space="0" w:color="auto"/>
        <w:left w:val="none" w:sz="0" w:space="0" w:color="auto"/>
        <w:bottom w:val="none" w:sz="0" w:space="0" w:color="auto"/>
        <w:right w:val="none" w:sz="0" w:space="0" w:color="auto"/>
      </w:divBdr>
    </w:div>
    <w:div w:id="1182552807">
      <w:bodyDiv w:val="1"/>
      <w:marLeft w:val="0"/>
      <w:marRight w:val="0"/>
      <w:marTop w:val="0"/>
      <w:marBottom w:val="0"/>
      <w:divBdr>
        <w:top w:val="none" w:sz="0" w:space="0" w:color="auto"/>
        <w:left w:val="none" w:sz="0" w:space="0" w:color="auto"/>
        <w:bottom w:val="none" w:sz="0" w:space="0" w:color="auto"/>
        <w:right w:val="none" w:sz="0" w:space="0" w:color="auto"/>
      </w:divBdr>
    </w:div>
    <w:div w:id="1197082891">
      <w:bodyDiv w:val="1"/>
      <w:marLeft w:val="0"/>
      <w:marRight w:val="0"/>
      <w:marTop w:val="0"/>
      <w:marBottom w:val="0"/>
      <w:divBdr>
        <w:top w:val="none" w:sz="0" w:space="0" w:color="auto"/>
        <w:left w:val="none" w:sz="0" w:space="0" w:color="auto"/>
        <w:bottom w:val="none" w:sz="0" w:space="0" w:color="auto"/>
        <w:right w:val="none" w:sz="0" w:space="0" w:color="auto"/>
      </w:divBdr>
    </w:div>
    <w:div w:id="1229992942">
      <w:bodyDiv w:val="1"/>
      <w:marLeft w:val="0"/>
      <w:marRight w:val="0"/>
      <w:marTop w:val="0"/>
      <w:marBottom w:val="0"/>
      <w:divBdr>
        <w:top w:val="none" w:sz="0" w:space="0" w:color="auto"/>
        <w:left w:val="none" w:sz="0" w:space="0" w:color="auto"/>
        <w:bottom w:val="none" w:sz="0" w:space="0" w:color="auto"/>
        <w:right w:val="none" w:sz="0" w:space="0" w:color="auto"/>
      </w:divBdr>
    </w:div>
    <w:div w:id="1233658943">
      <w:bodyDiv w:val="1"/>
      <w:marLeft w:val="0"/>
      <w:marRight w:val="0"/>
      <w:marTop w:val="0"/>
      <w:marBottom w:val="0"/>
      <w:divBdr>
        <w:top w:val="none" w:sz="0" w:space="0" w:color="auto"/>
        <w:left w:val="none" w:sz="0" w:space="0" w:color="auto"/>
        <w:bottom w:val="none" w:sz="0" w:space="0" w:color="auto"/>
        <w:right w:val="none" w:sz="0" w:space="0" w:color="auto"/>
      </w:divBdr>
    </w:div>
    <w:div w:id="1256744189">
      <w:bodyDiv w:val="1"/>
      <w:marLeft w:val="0"/>
      <w:marRight w:val="0"/>
      <w:marTop w:val="0"/>
      <w:marBottom w:val="0"/>
      <w:divBdr>
        <w:top w:val="none" w:sz="0" w:space="0" w:color="auto"/>
        <w:left w:val="none" w:sz="0" w:space="0" w:color="auto"/>
        <w:bottom w:val="none" w:sz="0" w:space="0" w:color="auto"/>
        <w:right w:val="none" w:sz="0" w:space="0" w:color="auto"/>
      </w:divBdr>
    </w:div>
    <w:div w:id="1455438838">
      <w:bodyDiv w:val="1"/>
      <w:marLeft w:val="0"/>
      <w:marRight w:val="0"/>
      <w:marTop w:val="0"/>
      <w:marBottom w:val="0"/>
      <w:divBdr>
        <w:top w:val="none" w:sz="0" w:space="0" w:color="auto"/>
        <w:left w:val="none" w:sz="0" w:space="0" w:color="auto"/>
        <w:bottom w:val="none" w:sz="0" w:space="0" w:color="auto"/>
        <w:right w:val="none" w:sz="0" w:space="0" w:color="auto"/>
      </w:divBdr>
    </w:div>
    <w:div w:id="1609197732">
      <w:bodyDiv w:val="1"/>
      <w:marLeft w:val="0"/>
      <w:marRight w:val="0"/>
      <w:marTop w:val="0"/>
      <w:marBottom w:val="0"/>
      <w:divBdr>
        <w:top w:val="none" w:sz="0" w:space="0" w:color="auto"/>
        <w:left w:val="none" w:sz="0" w:space="0" w:color="auto"/>
        <w:bottom w:val="none" w:sz="0" w:space="0" w:color="auto"/>
        <w:right w:val="none" w:sz="0" w:space="0" w:color="auto"/>
      </w:divBdr>
    </w:div>
    <w:div w:id="1743409080">
      <w:bodyDiv w:val="1"/>
      <w:marLeft w:val="0"/>
      <w:marRight w:val="0"/>
      <w:marTop w:val="0"/>
      <w:marBottom w:val="0"/>
      <w:divBdr>
        <w:top w:val="none" w:sz="0" w:space="0" w:color="auto"/>
        <w:left w:val="none" w:sz="0" w:space="0" w:color="auto"/>
        <w:bottom w:val="none" w:sz="0" w:space="0" w:color="auto"/>
        <w:right w:val="none" w:sz="0" w:space="0" w:color="auto"/>
      </w:divBdr>
    </w:div>
    <w:div w:id="1963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262-5142" TargetMode="External"/><Relationship Id="rId13" Type="http://schemas.openxmlformats.org/officeDocument/2006/relationships/hyperlink" Target="https://doi.org/10.1093/scipol/scab086" TargetMode="External"/><Relationship Id="rId18" Type="http://schemas.openxmlformats.org/officeDocument/2006/relationships/hyperlink" Target="https://doi.org/10.1002/asi.23833"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doi.org/10.1177/0162243917735900" TargetMode="External"/><Relationship Id="rId17" Type="http://schemas.openxmlformats.org/officeDocument/2006/relationships/hyperlink" Target="http://doi.org/10.1016/j.joi.2014.11.004" TargetMode="External"/><Relationship Id="rId2" Type="http://schemas.openxmlformats.org/officeDocument/2006/relationships/numbering" Target="numbering.xml"/><Relationship Id="rId16" Type="http://schemas.openxmlformats.org/officeDocument/2006/relationships/hyperlink" Target="https://doi.org/10.1111/ijsa.1206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7/978-3-319-00026-8_7"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doi.org/10.1177/1461444815604143" TargetMode="External"/><Relationship Id="rId4" Type="http://schemas.openxmlformats.org/officeDocument/2006/relationships/settings" Target="settings.xml"/><Relationship Id="rId9" Type="http://schemas.openxmlformats.org/officeDocument/2006/relationships/hyperlink" Target="https://orcid.org/0000-0003-0332-8784" TargetMode="External"/><Relationship Id="rId14" Type="http://schemas.openxmlformats.org/officeDocument/2006/relationships/hyperlink" Target="https://doi.org/10.1093/reseval/rvv032" TargetMode="External"/><Relationship Id="rId22"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Sheet1!$Q$4</c:f>
              <c:strCache>
                <c:ptCount val="1"/>
                <c:pt idx="0">
                  <c:v>Non-users</c:v>
                </c:pt>
              </c:strCache>
            </c:strRef>
          </c:tx>
          <c:spPr>
            <a:solidFill>
              <a:schemeClr val="accent1"/>
            </a:solidFill>
            <a:ln>
              <a:noFill/>
            </a:ln>
            <a:effectLst/>
          </c:spPr>
          <c:invertIfNegative val="0"/>
          <c:cat>
            <c:strRef>
              <c:f>Sheet1!$P$5:$P$7</c:f>
              <c:strCache>
                <c:ptCount val="3"/>
                <c:pt idx="0">
                  <c:v>third sector</c:v>
                </c:pt>
                <c:pt idx="1">
                  <c:v>public sector</c:v>
                </c:pt>
                <c:pt idx="2">
                  <c:v>private sector</c:v>
                </c:pt>
              </c:strCache>
            </c:strRef>
          </c:cat>
          <c:val>
            <c:numRef>
              <c:f>Sheet1!$Q$5:$Q$7</c:f>
              <c:numCache>
                <c:formatCode>0%</c:formatCode>
                <c:ptCount val="3"/>
                <c:pt idx="0">
                  <c:v>0.38900000000000001</c:v>
                </c:pt>
                <c:pt idx="1">
                  <c:v>0.33800000000000002</c:v>
                </c:pt>
                <c:pt idx="2">
                  <c:v>0.28799999999999998</c:v>
                </c:pt>
              </c:numCache>
            </c:numRef>
          </c:val>
          <c:extLst>
            <c:ext xmlns:c16="http://schemas.microsoft.com/office/drawing/2014/chart" uri="{C3380CC4-5D6E-409C-BE32-E72D297353CC}">
              <c16:uniqueId val="{00000000-94B0-47C1-8F9B-186ECFB35DAE}"/>
            </c:ext>
          </c:extLst>
        </c:ser>
        <c:ser>
          <c:idx val="1"/>
          <c:order val="1"/>
          <c:tx>
            <c:strRef>
              <c:f>Sheet1!$R$4</c:f>
              <c:strCache>
                <c:ptCount val="1"/>
                <c:pt idx="0">
                  <c:v>Users</c:v>
                </c:pt>
              </c:strCache>
            </c:strRef>
          </c:tx>
          <c:spPr>
            <a:solidFill>
              <a:schemeClr val="accent2"/>
            </a:solidFill>
            <a:ln>
              <a:noFill/>
            </a:ln>
            <a:effectLst/>
          </c:spPr>
          <c:invertIfNegative val="0"/>
          <c:cat>
            <c:strRef>
              <c:f>Sheet1!$P$5:$P$7</c:f>
              <c:strCache>
                <c:ptCount val="3"/>
                <c:pt idx="0">
                  <c:v>third sector</c:v>
                </c:pt>
                <c:pt idx="1">
                  <c:v>public sector</c:v>
                </c:pt>
                <c:pt idx="2">
                  <c:v>private sector</c:v>
                </c:pt>
              </c:strCache>
            </c:strRef>
          </c:cat>
          <c:val>
            <c:numRef>
              <c:f>Sheet1!$R$5:$R$7</c:f>
              <c:numCache>
                <c:formatCode>0%</c:formatCode>
                <c:ptCount val="3"/>
                <c:pt idx="0">
                  <c:v>0.41099999999999998</c:v>
                </c:pt>
                <c:pt idx="1">
                  <c:v>0.36499999999999999</c:v>
                </c:pt>
                <c:pt idx="2">
                  <c:v>0.33700000000000002</c:v>
                </c:pt>
              </c:numCache>
            </c:numRef>
          </c:val>
          <c:extLst>
            <c:ext xmlns:c16="http://schemas.microsoft.com/office/drawing/2014/chart" uri="{C3380CC4-5D6E-409C-BE32-E72D297353CC}">
              <c16:uniqueId val="{00000001-94B0-47C1-8F9B-186ECFB35DAE}"/>
            </c:ext>
          </c:extLst>
        </c:ser>
        <c:dLbls>
          <c:showLegendKey val="0"/>
          <c:showVal val="0"/>
          <c:showCatName val="0"/>
          <c:showSerName val="0"/>
          <c:showPercent val="0"/>
          <c:showBubbleSize val="0"/>
        </c:dLbls>
        <c:gapWidth val="182"/>
        <c:axId val="470431408"/>
        <c:axId val="461198536"/>
      </c:barChart>
      <c:catAx>
        <c:axId val="470431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61198536"/>
        <c:crosses val="autoZero"/>
        <c:auto val="1"/>
        <c:lblAlgn val="ctr"/>
        <c:lblOffset val="100"/>
        <c:noMultiLvlLbl val="0"/>
      </c:catAx>
      <c:valAx>
        <c:axId val="461198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43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Sheet1!$Q$4</c:f>
              <c:strCache>
                <c:ptCount val="1"/>
                <c:pt idx="0">
                  <c:v>Non-users</c:v>
                </c:pt>
              </c:strCache>
            </c:strRef>
          </c:tx>
          <c:spPr>
            <a:solidFill>
              <a:schemeClr val="accent1"/>
            </a:solidFill>
            <a:ln>
              <a:noFill/>
            </a:ln>
            <a:effectLst/>
          </c:spPr>
          <c:invertIfNegative val="0"/>
          <c:cat>
            <c:strRef>
              <c:f>Sheet1!$P$8:$P$12</c:f>
              <c:strCache>
                <c:ptCount val="5"/>
                <c:pt idx="0">
                  <c:v>public engagement</c:v>
                </c:pt>
                <c:pt idx="1">
                  <c:v>commercialisation</c:v>
                </c:pt>
                <c:pt idx="2">
                  <c:v>joint research</c:v>
                </c:pt>
                <c:pt idx="3">
                  <c:v>meeting/consulting</c:v>
                </c:pt>
                <c:pt idx="4">
                  <c:v>training</c:v>
                </c:pt>
              </c:strCache>
            </c:strRef>
          </c:cat>
          <c:val>
            <c:numRef>
              <c:f>Sheet1!$Q$8:$Q$12</c:f>
              <c:numCache>
                <c:formatCode>General</c:formatCode>
                <c:ptCount val="5"/>
                <c:pt idx="0">
                  <c:v>3.0979999999999999</c:v>
                </c:pt>
                <c:pt idx="1">
                  <c:v>0.70799999999999996</c:v>
                </c:pt>
                <c:pt idx="2">
                  <c:v>4.0179999999999998</c:v>
                </c:pt>
                <c:pt idx="3">
                  <c:v>6.2130000000000001</c:v>
                </c:pt>
                <c:pt idx="4">
                  <c:v>2.59</c:v>
                </c:pt>
              </c:numCache>
            </c:numRef>
          </c:val>
          <c:extLst>
            <c:ext xmlns:c16="http://schemas.microsoft.com/office/drawing/2014/chart" uri="{C3380CC4-5D6E-409C-BE32-E72D297353CC}">
              <c16:uniqueId val="{00000000-4A0B-4F11-8B9F-A18E1FBEE151}"/>
            </c:ext>
          </c:extLst>
        </c:ser>
        <c:ser>
          <c:idx val="1"/>
          <c:order val="1"/>
          <c:tx>
            <c:strRef>
              <c:f>Sheet1!$R$4</c:f>
              <c:strCache>
                <c:ptCount val="1"/>
                <c:pt idx="0">
                  <c:v>Users</c:v>
                </c:pt>
              </c:strCache>
            </c:strRef>
          </c:tx>
          <c:spPr>
            <a:solidFill>
              <a:schemeClr val="accent2"/>
            </a:solidFill>
            <a:ln>
              <a:noFill/>
            </a:ln>
            <a:effectLst/>
          </c:spPr>
          <c:invertIfNegative val="0"/>
          <c:cat>
            <c:strRef>
              <c:f>Sheet1!$P$8:$P$12</c:f>
              <c:strCache>
                <c:ptCount val="5"/>
                <c:pt idx="0">
                  <c:v>public engagement</c:v>
                </c:pt>
                <c:pt idx="1">
                  <c:v>commercialisation</c:v>
                </c:pt>
                <c:pt idx="2">
                  <c:v>joint research</c:v>
                </c:pt>
                <c:pt idx="3">
                  <c:v>meeting/consulting</c:v>
                </c:pt>
                <c:pt idx="4">
                  <c:v>training</c:v>
                </c:pt>
              </c:strCache>
            </c:strRef>
          </c:cat>
          <c:val>
            <c:numRef>
              <c:f>Sheet1!$R$8:$R$12</c:f>
              <c:numCache>
                <c:formatCode>General</c:formatCode>
                <c:ptCount val="5"/>
                <c:pt idx="0">
                  <c:v>3.177</c:v>
                </c:pt>
                <c:pt idx="1">
                  <c:v>0.89900000000000002</c:v>
                </c:pt>
                <c:pt idx="2">
                  <c:v>4.6130000000000004</c:v>
                </c:pt>
                <c:pt idx="3">
                  <c:v>6.9029999999999996</c:v>
                </c:pt>
                <c:pt idx="4">
                  <c:v>3.2280000000000002</c:v>
                </c:pt>
              </c:numCache>
            </c:numRef>
          </c:val>
          <c:extLst>
            <c:ext xmlns:c16="http://schemas.microsoft.com/office/drawing/2014/chart" uri="{C3380CC4-5D6E-409C-BE32-E72D297353CC}">
              <c16:uniqueId val="{00000001-4A0B-4F11-8B9F-A18E1FBEE151}"/>
            </c:ext>
          </c:extLst>
        </c:ser>
        <c:dLbls>
          <c:showLegendKey val="0"/>
          <c:showVal val="0"/>
          <c:showCatName val="0"/>
          <c:showSerName val="0"/>
          <c:showPercent val="0"/>
          <c:showBubbleSize val="0"/>
        </c:dLbls>
        <c:gapWidth val="182"/>
        <c:axId val="461703208"/>
        <c:axId val="461695664"/>
      </c:barChart>
      <c:catAx>
        <c:axId val="461703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61695664"/>
        <c:crosses val="autoZero"/>
        <c:auto val="1"/>
        <c:lblAlgn val="ctr"/>
        <c:lblOffset val="100"/>
        <c:noMultiLvlLbl val="0"/>
      </c:catAx>
      <c:valAx>
        <c:axId val="46169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703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3B60-EEDC-4216-B893-72429536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Lawson</dc:creator>
  <cp:keywords/>
  <dc:description/>
  <cp:lastModifiedBy>Mayra Morales Tirado</cp:lastModifiedBy>
  <cp:revision>110</cp:revision>
  <dcterms:created xsi:type="dcterms:W3CDTF">2023-03-01T22:28:00Z</dcterms:created>
  <dcterms:modified xsi:type="dcterms:W3CDTF">2023-04-21T19:53:00Z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http://www.zotero.org/styles/oxford-university-press-humsoc</vt:lpwstr>
  </property>
  <property fmtid="{D5CDD505-2E9C-101B-9397-08002B2CF9AE}" pid="21" name="Mendeley Recent Style Name 9_1">
    <vt:lpwstr>Oxford University Press HUMSOC</vt:lpwstr>
  </property>
</Properties>
</file>