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5E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  <w:t>How</w:t>
      </w:r>
      <w:proofErr w:type="spellEnd"/>
      <w:r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  <w:t>can</w:t>
      </w:r>
      <w:proofErr w:type="spellEnd"/>
      <w:r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  <w:t xml:space="preserve"> altmetrics improve </w:t>
      </w:r>
      <w:proofErr w:type="spellStart"/>
      <w:r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  <w:t xml:space="preserve"> Public</w:t>
      </w:r>
    </w:p>
    <w:p w14:paraId="00000002" w14:textId="77777777" w:rsidR="009E5E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E101A"/>
          <w:sz w:val="36"/>
          <w:szCs w:val="36"/>
        </w:rPr>
        <w:t>Communication of Science and Technology?</w:t>
      </w:r>
    </w:p>
    <w:p w14:paraId="00000003" w14:textId="77777777" w:rsidR="009E5E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analysis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universities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and altmetrics</w:t>
      </w:r>
    </w:p>
    <w:p w14:paraId="00000004" w14:textId="77777777" w:rsidR="009E5E9D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67924D9B" w:rsidR="009E5E9D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Cibele Maria Garcia de Aguiar*; Sergio Luiz Monteiro Salles-Filho**; Ana Carolina Spatti**; Karen E F Pinto**</w:t>
      </w:r>
      <w:r w:rsidR="00070FA3">
        <w:rPr>
          <w:rFonts w:ascii="Times New Roman" w:eastAsia="Times New Roman" w:hAnsi="Times New Roman" w:cs="Times New Roman"/>
          <w:sz w:val="24"/>
          <w:szCs w:val="24"/>
        </w:rPr>
        <w:t>; Sérgio Parreiras Pereira**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9E5E9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cibele.aguiar2@gmail.com</w:t>
        </w:r>
      </w:hyperlink>
    </w:p>
    <w:p w14:paraId="00000007" w14:textId="77777777" w:rsidR="009E5E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ORCID: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0000-0002-2416-9818</w:t>
        </w:r>
      </w:hyperlink>
    </w:p>
    <w:p w14:paraId="00000008" w14:textId="77777777" w:rsidR="009E5E9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Science and Technology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-University of Campinas</w:t>
      </w:r>
    </w:p>
    <w:p w14:paraId="00000009" w14:textId="77777777" w:rsidR="009E5E9D" w:rsidRDefault="009E5E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37D8B616" w:rsidR="009E5E9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sallesfi@unicamp.br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anaspatti@ige.unicamp.br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karenefp@unicamp.br</w:t>
        </w:r>
      </w:hyperlink>
      <w:r w:rsidR="00070FA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; s</w:t>
      </w:r>
      <w:r w:rsidR="00070FA3" w:rsidRPr="00070FA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ergio.parreiras@sp.gov.br</w:t>
      </w:r>
    </w:p>
    <w:p w14:paraId="0000000B" w14:textId="2E8F6514" w:rsidR="009E5E9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0000-0002-8727-4500; 0000-0001-8839-8276; 0000-0002-7217-2632; </w:t>
      </w:r>
      <w:r w:rsidR="00070FA3" w:rsidRPr="00070FA3">
        <w:rPr>
          <w:rFonts w:ascii="Times New Roman" w:eastAsia="Times New Roman" w:hAnsi="Times New Roman" w:cs="Times New Roman"/>
          <w:sz w:val="24"/>
          <w:szCs w:val="24"/>
        </w:rPr>
        <w:t>0000-0002-6388-8284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0286CD2C" w:rsidR="009E5E9D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Science and Technology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-University of Campinas</w:t>
      </w:r>
      <w:r w:rsidR="00070F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70FA3" w:rsidRPr="00070FA3">
        <w:rPr>
          <w:rFonts w:ascii="Times New Roman" w:eastAsia="Times New Roman" w:hAnsi="Times New Roman" w:cs="Times New Roman"/>
          <w:sz w:val="24"/>
          <w:szCs w:val="24"/>
        </w:rPr>
        <w:t xml:space="preserve">Instituto </w:t>
      </w:r>
      <w:proofErr w:type="spellStart"/>
      <w:r w:rsidR="00070FA3" w:rsidRPr="00070FA3">
        <w:rPr>
          <w:rFonts w:ascii="Times New Roman" w:eastAsia="Times New Roman" w:hAnsi="Times New Roman" w:cs="Times New Roman"/>
          <w:sz w:val="24"/>
          <w:szCs w:val="24"/>
        </w:rPr>
        <w:t>Agronômico</w:t>
      </w:r>
      <w:proofErr w:type="spellEnd"/>
      <w:r w:rsidR="00070FA3" w:rsidRPr="00070FA3">
        <w:rPr>
          <w:rFonts w:ascii="Times New Roman" w:eastAsia="Times New Roman" w:hAnsi="Times New Roman" w:cs="Times New Roman"/>
          <w:sz w:val="24"/>
          <w:szCs w:val="24"/>
        </w:rPr>
        <w:t>/IAC</w:t>
      </w:r>
      <w:r w:rsidR="00142F9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0FA3" w:rsidRPr="00070FA3">
        <w:rPr>
          <w:rFonts w:ascii="Times New Roman" w:eastAsia="Times New Roman" w:hAnsi="Times New Roman" w:cs="Times New Roman"/>
          <w:sz w:val="24"/>
          <w:szCs w:val="24"/>
        </w:rPr>
        <w:t xml:space="preserve"> Campinas</w:t>
      </w:r>
      <w:r w:rsidR="00142F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0FA3" w:rsidRPr="00070FA3">
        <w:rPr>
          <w:rFonts w:ascii="Times New Roman" w:eastAsia="Times New Roman" w:hAnsi="Times New Roman" w:cs="Times New Roman"/>
          <w:sz w:val="24"/>
          <w:szCs w:val="24"/>
        </w:rPr>
        <w:t xml:space="preserve"> SP, Brasil.</w:t>
      </w:r>
    </w:p>
    <w:p w14:paraId="0000000D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peer-reviewed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 Science and Technology Public Communication activities.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survey,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PCST of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outlier in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66.7%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(7 and 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21.5%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(1.9%)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45%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it, 41.1%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11.7%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short term. </w:t>
      </w:r>
    </w:p>
    <w:p w14:paraId="0000000F" w14:textId="77777777" w:rsidR="009E5E9D" w:rsidRDefault="009E5E9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E5E9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proofErr w:type="spellEnd"/>
    </w:p>
    <w:p w14:paraId="00000011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management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performance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countries (Garfield, 2003).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derivated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Ioannidis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Boyack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Bass, 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frameworks,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activities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citation-based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Leydesdorf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2015; Fonseca Jr., 2019;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Jonker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Ysebaert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2022). </w:t>
      </w:r>
    </w:p>
    <w:p w14:paraId="00000012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reinforced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Public Communication of Science and Technology (PCST).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agencies,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policymakers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response,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PCST activities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(Mayne, 2015; Buhmann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2018; Ziegler,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Fischer, 2021).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(Altmetrics)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research. </w:t>
      </w:r>
    </w:p>
    <w:p w14:paraId="00000013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tracking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social networks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2017; Zahedi &amp; Costas, 2018; Joubert &amp; Costas, 2020). It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Kiss, 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guarantees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(Haustein, Bowman &amp; Costas, 2016). </w:t>
      </w:r>
    </w:p>
    <w:p w14:paraId="00000014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altimetric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research.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survey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9E5E9D" w:rsidRDefault="009E5E9D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E5E9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Theoretical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background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proofErr w:type="spellEnd"/>
    </w:p>
    <w:p w14:paraId="00000017" w14:textId="77777777" w:rsidR="009E5E9D" w:rsidRDefault="009E5E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bibliographical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framework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science-society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Kiss (2020)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channels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traces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mapping,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clusters.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management of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of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Ninerola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Impact Assessment (SIA)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plays a fundamental role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sector.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Horizon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Union)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(2015)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milestones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appreciation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assessment as crucial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-making. The Horizon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accompanied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activities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disseminating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dialogue,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(Gertrudix &amp; Rajas, 2020). </w:t>
      </w:r>
    </w:p>
    <w:p w14:paraId="0000001A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Haustein, Bowman, and Costas (2016),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article-level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CPCT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general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conceptualization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interface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phenomenon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Costas, Rijcke, and Marres (2021)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heterogeneous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couplings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(Haustein, Bowman &amp; Costas, 2016).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Aguiar &amp; Salles-Filho (2022) PCST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outputs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media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complete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CPCT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science-society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performance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systems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requires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(Fonseca Jr. et al., 2019). </w:t>
      </w:r>
    </w:p>
    <w:p w14:paraId="0000001E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S&amp;T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Villaseñor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of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monitor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digital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activity is more common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F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Zahedi and Costas (2018)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media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capturing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aggregator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of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track social media data. When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CPCT, it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complexity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S&amp;T communicators in general.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1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some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in PCST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S&amp;T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9E5E9D" w:rsidRDefault="009E5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E5E9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Methodology</w:t>
      </w:r>
      <w:proofErr w:type="spellEnd"/>
    </w:p>
    <w:p w14:paraId="00000024" w14:textId="77777777" w:rsidR="009E5E9D" w:rsidRDefault="009E5E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9E5E9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survey,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PCST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(73.4%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communication,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Communication managers.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perspective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altmetrics.</w:t>
      </w:r>
    </w:p>
    <w:p w14:paraId="00000026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July 7th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2nd, 2022.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answered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sector,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nomenclatures.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a)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PCST activities;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 in PCST activities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 in PCST activities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and d)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 in PCST activities.</w:t>
      </w:r>
    </w:p>
    <w:p w14:paraId="00000027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-point Likert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-point Likert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(1,3,5,7,9),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Campinas (CEP/Unicamp)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CAAE 50650921.4.0000.8142.</w:t>
      </w:r>
    </w:p>
    <w:p w14:paraId="00000029" w14:textId="77777777" w:rsidR="009E5E9D" w:rsidRDefault="009E5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E5E9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proofErr w:type="spellEnd"/>
    </w:p>
    <w:p w14:paraId="0000002B" w14:textId="77777777" w:rsidR="009E5E9D" w:rsidRDefault="009E5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out,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66.7%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for PCST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15.7%, altmetrics is a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use, and 13.7%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Only 3.9%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D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of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13.7% and nine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7.8%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for S&amp;T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surveyed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outputs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media"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(1.9%)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45%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it, 41.1%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11.7%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short term.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outlier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of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F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Villaseñor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(2018) and Zahedi &amp; Costas (2018)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Ninerola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perspective of communication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PCST.</w:t>
      </w:r>
    </w:p>
    <w:p w14:paraId="00000030" w14:textId="77777777" w:rsidR="009E5E9D" w:rsidRDefault="009E5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9E5E9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Final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considerations</w:t>
      </w:r>
      <w:proofErr w:type="spellEnd"/>
    </w:p>
    <w:p w14:paraId="00000032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assume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altmetrics still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S&amp;T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communicators,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CPCT is still a marginal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CPCT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models in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3" w14:textId="77777777" w:rsidR="009E5E9D" w:rsidRDefault="0000000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CPCT perspective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CPCT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research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S&amp;T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boundaries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altmetrics is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review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use.</w:t>
      </w:r>
    </w:p>
    <w:p w14:paraId="00000034" w14:textId="77777777" w:rsidR="009E5E9D" w:rsidRDefault="009E5E9D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E5E9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practices</w:t>
      </w:r>
      <w:proofErr w:type="spellEnd"/>
    </w:p>
    <w:p w14:paraId="00000036" w14:textId="77777777" w:rsidR="009E5E9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aggregated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cibele.aguiar2@gmail.com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37" w14:textId="77777777" w:rsidR="009E5E9D" w:rsidRDefault="009E5E9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9E5E9D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Acknowledgments</w:t>
      </w:r>
      <w:proofErr w:type="spellEnd"/>
    </w:p>
    <w:p w14:paraId="00000039" w14:textId="77777777" w:rsidR="009E5E9D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São Paulo Research Foundation - FAPESP</w:t>
      </w:r>
    </w:p>
    <w:p w14:paraId="567DA64C" w14:textId="77777777" w:rsidR="00070FA3" w:rsidRDefault="00070FA3" w:rsidP="00070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09CE9D85" w:rsidR="009E5E9D" w:rsidRDefault="00000000" w:rsidP="00070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contributions</w:t>
      </w:r>
      <w:proofErr w:type="spellEnd"/>
    </w:p>
    <w:p w14:paraId="0000003B" w14:textId="77777777" w:rsidR="009E5E9D" w:rsidRDefault="00000000" w:rsidP="00070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Cibele Maria Garcia de Aguiar: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conceptualization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draft,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</w:p>
    <w:p w14:paraId="0000003C" w14:textId="77777777" w:rsidR="009E5E9D" w:rsidRDefault="00000000" w:rsidP="00070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Sergio Luiz Monteiro Salles-Filho: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conceptualization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proofErr w:type="spellEnd"/>
    </w:p>
    <w:p w14:paraId="0000003D" w14:textId="77777777" w:rsidR="009E5E9D" w:rsidRDefault="00000000" w:rsidP="00070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Carolina Spatti: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draft,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editing</w:t>
      </w:r>
      <w:proofErr w:type="spellEnd"/>
    </w:p>
    <w:p w14:paraId="0000003E" w14:textId="77777777" w:rsidR="009E5E9D" w:rsidRDefault="00000000" w:rsidP="00070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E. F. Pinto: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draft,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editing</w:t>
      </w:r>
      <w:proofErr w:type="spellEnd"/>
    </w:p>
    <w:p w14:paraId="118BB3D3" w14:textId="239FE37A" w:rsidR="00070FA3" w:rsidRDefault="00070FA3" w:rsidP="00070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Sérgio Parreiras Pereira: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editing</w:t>
      </w:r>
      <w:proofErr w:type="spellEnd"/>
    </w:p>
    <w:p w14:paraId="0000003F" w14:textId="77777777" w:rsidR="009E5E9D" w:rsidRDefault="009E5E9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9E5E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interests</w:t>
      </w:r>
      <w:proofErr w:type="spellEnd"/>
    </w:p>
    <w:p w14:paraId="00000041" w14:textId="77777777" w:rsidR="009E5E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declare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2" w14:textId="77777777" w:rsidR="009E5E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3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proofErr w:type="spellEnd"/>
    </w:p>
    <w:p w14:paraId="00000044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Alomoto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W.,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Niñerola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Pié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L. (2022). Social Impact Assessment: A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systematic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review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Social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Research, 161(1), 225-250.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https://doi.org/10.1007/s11205-021-02809-1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0000045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Aguiar Pereira, C. M. G., &amp; Salles-Filho, S. L. M. (2022). Tipos ideais e Teoria da Mudança: proposição de modelo de avaliação para a comunicação pública de ciência e tecnologia.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Science Communication, América Latina, 5(2), A03.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https://doi.org/10.22323/3.05020203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0000046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Buhmann, A., &amp;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Likely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F. (2018). Evaluation and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measurement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communication. The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encyclopedia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communication, 1, 625-640.</w:t>
      </w:r>
    </w:p>
    <w:p w14:paraId="00000047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Costas, R., de Rijcke, S., &amp; Marres, N. (2021). “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Heterogeneous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couplings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”: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Operationalizing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network perspectives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science‐society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interactions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social media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metrics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Association for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Science and Technology, 72(5), 595-610.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https://doi.org/10.1002/asi.24427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0000048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da Fonseca Júnior, W. C., de Camargo Penteado Filho, R., Avila, A. F. D., de Desempenho Institucional, C. D. A., &amp; Cardoso, C. C. (2019). A avaliação bibliométrica de instituições de pesquisa para além da comunicação científica: o caso Embrapa.</w:t>
      </w:r>
    </w:p>
    <w:p w14:paraId="00000049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Garfield, E. (2003). The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meaning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International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Health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 3(2), 363-369.</w:t>
      </w:r>
    </w:p>
    <w:p w14:paraId="0000004A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Gertrudix, M., &amp; Rajas, M. (2020). Gestión de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científica de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proyectos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investigación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H2020. Funciones, modelos y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estrategias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29(4).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https://doi.org/10.3145/epi.2020.jul.24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000004B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Haustein, S., Bowman, T. D., &amp; Costas, R. (2016).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Interpreting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“altmetrics”: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viewing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social media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lens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citation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social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theories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Theories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informetrics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scholarly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communication, 372-406.</w:t>
      </w:r>
    </w:p>
    <w:p w14:paraId="0000004C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Ioannidis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J. P.,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Boyack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K. W., &amp;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Baas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J. (2020).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Updated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science-wide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databases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standardized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citation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PLoS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biology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 18(10), e3000918.</w:t>
      </w:r>
    </w:p>
    <w:p w14:paraId="0000004D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Jonker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Vanlee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F., &amp;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Ysebaert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W. (2022). Societal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research in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press: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media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SIUR and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open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agenda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scientists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Flanders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Scientometrics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1-18.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https://doi.org/10.1007/s11192-022-04374-x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000004E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Kassab, O., Bornmann, L., &amp;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Haunschild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R. (2020).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altmetrics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reflect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societal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considerations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Exploring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altmetrics in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sustainability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research center.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Quantitative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Science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1(2), 792-809.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https://doi.org/10.1162/qss_a_00032</w:t>
        </w:r>
      </w:hyperlink>
    </w:p>
    <w:p w14:paraId="0000004F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Mayne, J. (2015).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models. Canadian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Evaluation, 30(2).</w:t>
      </w:r>
    </w:p>
    <w:p w14:paraId="00000050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Leydesdorff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(2015). A review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scientometrics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research, 246(1), 1-19.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https://doi.org/10.1016/j.ejor.2015.04.002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1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Villaseñor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Rodríguez, I. (2018). El impacto social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Complutense de Madrid.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cultura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(39), 37-60.</w:t>
      </w:r>
    </w:p>
    <w:p w14:paraId="00000052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Larivière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&amp; Haustein, S. (2017).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of social media and altmetrics: A review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68(9), 2037-2062.</w:t>
      </w:r>
    </w:p>
    <w:p w14:paraId="00000053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Zahedi, Z., &amp; Costas, R. (2017).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countries: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of global vs. 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Twitter. In 16th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Scientometrics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(ISSI2017).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https://doi.org/10.1002/asi.23833/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4" w14:textId="77777777" w:rsidR="009E5E9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Ziegler,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R., &amp; Fischer, L. (2021). Evaluation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future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Communication, 6, 669744.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https://doi.org/10.3389/fcomm.2021.669744</w:t>
        </w:r>
      </w:hyperlink>
    </w:p>
    <w:p w14:paraId="00000055" w14:textId="77777777" w:rsidR="009E5E9D" w:rsidRDefault="009E5E9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6" w14:textId="77777777" w:rsidR="009E5E9D" w:rsidRDefault="009E5E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E5E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9D"/>
    <w:rsid w:val="00070FA3"/>
    <w:rsid w:val="00142F96"/>
    <w:rsid w:val="009E5E9D"/>
    <w:rsid w:val="00F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CA5F"/>
  <w15:docId w15:val="{69FB5D07-76DA-4BF5-BD60-2FC4D5A7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efp@unicamp.br" TargetMode="External"/><Relationship Id="rId13" Type="http://schemas.openxmlformats.org/officeDocument/2006/relationships/hyperlink" Target="https://doi.org/10.3145/epi.2020.jul.24" TargetMode="External"/><Relationship Id="rId18" Type="http://schemas.openxmlformats.org/officeDocument/2006/relationships/hyperlink" Target="https://doi.org/10.3389/fcomm.2021.6697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spatti@ige.unicamp.br" TargetMode="External"/><Relationship Id="rId12" Type="http://schemas.openxmlformats.org/officeDocument/2006/relationships/hyperlink" Target="https://doi.org/10.1002/asi.24427" TargetMode="External"/><Relationship Id="rId17" Type="http://schemas.openxmlformats.org/officeDocument/2006/relationships/hyperlink" Target="https://doi.org/10.1002/asi.238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ejor.2015.04.0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llesfi@unicamp.br" TargetMode="External"/><Relationship Id="rId11" Type="http://schemas.openxmlformats.org/officeDocument/2006/relationships/hyperlink" Target="https://doi.org/10.22323/3.05020203" TargetMode="External"/><Relationship Id="rId5" Type="http://schemas.openxmlformats.org/officeDocument/2006/relationships/hyperlink" Target="https://orcid.org/0000-0002-2416-9818" TargetMode="External"/><Relationship Id="rId15" Type="http://schemas.openxmlformats.org/officeDocument/2006/relationships/hyperlink" Target="https://doi.org/10.1162/qss_a_00032" TargetMode="External"/><Relationship Id="rId10" Type="http://schemas.openxmlformats.org/officeDocument/2006/relationships/hyperlink" Target="https://doi.org/10.1007/s11205-021-02809-1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ibele.aguiar@ufla.br" TargetMode="External"/><Relationship Id="rId9" Type="http://schemas.openxmlformats.org/officeDocument/2006/relationships/hyperlink" Target="mailto:cibele.aguiar2@gmail.com" TargetMode="External"/><Relationship Id="rId14" Type="http://schemas.openxmlformats.org/officeDocument/2006/relationships/hyperlink" Target="https://doi.org/10.1007/s11192-022-04374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2867</Words>
  <Characters>16662</Characters>
  <Application>Microsoft Office Word</Application>
  <DocSecurity>0</DocSecurity>
  <Lines>260</Lines>
  <Paragraphs>68</Paragraphs>
  <ScaleCrop>false</ScaleCrop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Maria Garcia de Aguiar Pereira</dc:creator>
  <cp:lastModifiedBy>Cibele Maria Garcia de Aguiar Pereira</cp:lastModifiedBy>
  <cp:revision>4</cp:revision>
  <dcterms:created xsi:type="dcterms:W3CDTF">2023-04-22T01:03:00Z</dcterms:created>
  <dcterms:modified xsi:type="dcterms:W3CDTF">2023-04-22T01:05:00Z</dcterms:modified>
</cp:coreProperties>
</file>