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CDF4" w14:textId="7E226608" w:rsidR="003D3EC0" w:rsidRPr="00076B84" w:rsidRDefault="00405B92" w:rsidP="006E6E92">
      <w:pPr>
        <w:pStyle w:val="001-Title"/>
        <w:rPr>
          <w:sz w:val="36"/>
          <w:szCs w:val="36"/>
          <w:lang w:val="nl-NL"/>
        </w:rPr>
      </w:pPr>
      <w:r w:rsidRPr="00DA07FD">
        <w:rPr>
          <w:sz w:val="36"/>
          <w:szCs w:val="36"/>
          <w:lang w:val="nl-NL"/>
        </w:rPr>
        <w:t>Bi</w:t>
      </w:r>
      <w:r w:rsidRPr="00076B84">
        <w:rPr>
          <w:sz w:val="36"/>
          <w:szCs w:val="36"/>
          <w:lang w:val="nl-NL"/>
        </w:rPr>
        <w:t>bliometric indicators as items</w:t>
      </w:r>
    </w:p>
    <w:p w14:paraId="24A4D6D2" w14:textId="3B18F38B" w:rsidR="0048099F" w:rsidRPr="00076B84" w:rsidRDefault="0048099F" w:rsidP="0048099F">
      <w:pPr>
        <w:pStyle w:val="002-Authors"/>
        <w:rPr>
          <w:lang w:val="nl-NL"/>
        </w:rPr>
      </w:pPr>
      <w:r w:rsidRPr="00076B84">
        <w:rPr>
          <w:lang w:val="nl-NL"/>
        </w:rPr>
        <w:t>Peter van den Besselaar</w:t>
      </w:r>
      <w:r w:rsidRPr="00076B84">
        <w:rPr>
          <w:vertAlign w:val="superscript"/>
          <w:lang w:val="nl-NL"/>
        </w:rPr>
        <w:t>1</w:t>
      </w:r>
      <w:r w:rsidRPr="00076B84">
        <w:rPr>
          <w:lang w:val="nl-NL"/>
        </w:rPr>
        <w:t xml:space="preserve"> </w:t>
      </w:r>
      <w:proofErr w:type="spellStart"/>
      <w:r w:rsidRPr="00076B84">
        <w:rPr>
          <w:lang w:val="nl-NL"/>
        </w:rPr>
        <w:t>and</w:t>
      </w:r>
      <w:proofErr w:type="spellEnd"/>
      <w:r w:rsidRPr="00076B84">
        <w:rPr>
          <w:lang w:val="nl-NL"/>
        </w:rPr>
        <w:t xml:space="preserve"> Charlie Mom</w:t>
      </w:r>
      <w:r w:rsidRPr="00076B84">
        <w:rPr>
          <w:vertAlign w:val="superscript"/>
          <w:lang w:val="nl-NL"/>
        </w:rPr>
        <w:t>2</w:t>
      </w:r>
    </w:p>
    <w:p w14:paraId="62D1ED36" w14:textId="77777777" w:rsidR="0048099F" w:rsidRPr="00076B84" w:rsidRDefault="0048099F" w:rsidP="0048099F">
      <w:pPr>
        <w:pStyle w:val="003-Email"/>
        <w:rPr>
          <w:szCs w:val="20"/>
          <w:lang w:val="nl-NL"/>
        </w:rPr>
      </w:pPr>
      <w:r w:rsidRPr="00076B84">
        <w:rPr>
          <w:szCs w:val="20"/>
          <w:vertAlign w:val="superscript"/>
          <w:lang w:val="nl-NL"/>
        </w:rPr>
        <w:t xml:space="preserve">1 </w:t>
      </w:r>
      <w:r w:rsidRPr="00076B84">
        <w:rPr>
          <w:szCs w:val="20"/>
          <w:lang w:val="nl-NL"/>
        </w:rPr>
        <w:t>peter@vandenbesselaar.net</w:t>
      </w:r>
    </w:p>
    <w:p w14:paraId="6F19A9FD" w14:textId="4965564E" w:rsidR="00547165" w:rsidRPr="00076B84" w:rsidRDefault="00547165" w:rsidP="00547165">
      <w:pPr>
        <w:jc w:val="center"/>
        <w:rPr>
          <w:sz w:val="20"/>
          <w:szCs w:val="20"/>
        </w:rPr>
      </w:pPr>
      <w:r w:rsidRPr="00076B84">
        <w:rPr>
          <w:sz w:val="20"/>
          <w:szCs w:val="20"/>
        </w:rPr>
        <w:t>0000-0002-8304-8565</w:t>
      </w:r>
    </w:p>
    <w:p w14:paraId="2A860FED" w14:textId="0490E8C6" w:rsidR="0048099F" w:rsidRPr="00076B84" w:rsidRDefault="00DA07FD" w:rsidP="0048099F">
      <w:pPr>
        <w:pStyle w:val="004-Affiliation"/>
        <w:rPr>
          <w:szCs w:val="20"/>
          <w:lang w:val="nl-NL"/>
        </w:rPr>
      </w:pPr>
      <w:r w:rsidRPr="00076B84">
        <w:rPr>
          <w:szCs w:val="20"/>
          <w:lang w:val="en-US"/>
        </w:rPr>
        <w:t>Department of Organization Sciences</w:t>
      </w:r>
      <w:r w:rsidR="00076B84" w:rsidRPr="00341EB9">
        <w:rPr>
          <w:szCs w:val="20"/>
          <w:lang w:val="nl-NL"/>
        </w:rPr>
        <w:t xml:space="preserve"> -</w:t>
      </w:r>
      <w:r w:rsidRPr="00076B84">
        <w:rPr>
          <w:szCs w:val="20"/>
          <w:lang w:val="nl-NL"/>
        </w:rPr>
        <w:t xml:space="preserve"> </w:t>
      </w:r>
      <w:r w:rsidR="0048099F" w:rsidRPr="00076B84">
        <w:rPr>
          <w:szCs w:val="20"/>
          <w:lang w:val="nl-NL"/>
        </w:rPr>
        <w:t>Vrije Universiteit Amsterdam (Netherlands)</w:t>
      </w:r>
    </w:p>
    <w:p w14:paraId="741DD2BB" w14:textId="77777777" w:rsidR="0048099F" w:rsidRPr="00F47500" w:rsidRDefault="00000000" w:rsidP="0048099F">
      <w:pPr>
        <w:pStyle w:val="003-Email"/>
        <w:rPr>
          <w:rStyle w:val="Hyperlink"/>
          <w:color w:val="000000" w:themeColor="text1"/>
          <w:szCs w:val="20"/>
          <w:u w:val="none"/>
          <w:lang w:val="en-US"/>
        </w:rPr>
      </w:pPr>
      <w:hyperlink r:id="rId7" w:history="1">
        <w:r w:rsidR="0048099F" w:rsidRPr="00F47500">
          <w:rPr>
            <w:rStyle w:val="Hyperlink"/>
            <w:color w:val="000000" w:themeColor="text1"/>
            <w:szCs w:val="20"/>
            <w:u w:val="none"/>
            <w:vertAlign w:val="superscript"/>
            <w:lang w:val="en-US"/>
          </w:rPr>
          <w:t>2</w:t>
        </w:r>
        <w:r w:rsidR="0048099F" w:rsidRPr="00F47500">
          <w:rPr>
            <w:rStyle w:val="Hyperlink"/>
            <w:color w:val="000000" w:themeColor="text1"/>
            <w:szCs w:val="20"/>
            <w:u w:val="none"/>
            <w:lang w:val="en-US"/>
          </w:rPr>
          <w:t>charlie@teresamom.com</w:t>
        </w:r>
      </w:hyperlink>
    </w:p>
    <w:p w14:paraId="74B71C7D" w14:textId="0D0E0DAA" w:rsidR="00547165" w:rsidRPr="00076B84" w:rsidRDefault="00547165" w:rsidP="00547165">
      <w:pPr>
        <w:pStyle w:val="004-Affiliation"/>
        <w:rPr>
          <w:szCs w:val="20"/>
          <w:lang w:val="en-US"/>
        </w:rPr>
      </w:pPr>
      <w:r w:rsidRPr="00076B84">
        <w:rPr>
          <w:szCs w:val="20"/>
          <w:lang w:val="en-US"/>
        </w:rPr>
        <w:t>0000-0003-1734-1963</w:t>
      </w:r>
    </w:p>
    <w:p w14:paraId="372A55C2" w14:textId="1A5C70F8" w:rsidR="0048099F" w:rsidRPr="00076B84" w:rsidRDefault="0048099F" w:rsidP="0048099F">
      <w:pPr>
        <w:pStyle w:val="003-Email"/>
        <w:spacing w:before="0"/>
        <w:rPr>
          <w:szCs w:val="20"/>
          <w:highlight w:val="yellow"/>
          <w:lang w:val="en-US"/>
        </w:rPr>
      </w:pPr>
      <w:r w:rsidRPr="00076B84">
        <w:rPr>
          <w:szCs w:val="20"/>
          <w:lang w:val="en-US"/>
        </w:rPr>
        <w:t>TMC Research, Amsterdam (Netherlands)</w:t>
      </w:r>
    </w:p>
    <w:p w14:paraId="6E28B6D6" w14:textId="77777777" w:rsidR="0048099F" w:rsidRPr="00076B84" w:rsidRDefault="0048099F" w:rsidP="0048099F">
      <w:pPr>
        <w:pStyle w:val="005-AbstractHeader"/>
        <w:spacing w:before="0"/>
        <w:rPr>
          <w:lang w:val="en-US"/>
        </w:rPr>
      </w:pPr>
    </w:p>
    <w:p w14:paraId="2AFB14E6" w14:textId="77777777" w:rsidR="006E6E92" w:rsidRPr="00076B84" w:rsidRDefault="006E6E92" w:rsidP="0048099F">
      <w:pPr>
        <w:pStyle w:val="005-AbstractHeader"/>
        <w:spacing w:before="0"/>
        <w:rPr>
          <w:lang w:val="en-US"/>
        </w:rPr>
      </w:pPr>
      <w:r w:rsidRPr="00076B84">
        <w:rPr>
          <w:lang w:val="en-US"/>
        </w:rPr>
        <w:t>Abstract</w:t>
      </w:r>
    </w:p>
    <w:p w14:paraId="7CEFF60E" w14:textId="6EA47C02" w:rsidR="005D382F" w:rsidRPr="00076B84" w:rsidRDefault="00405B92" w:rsidP="0048099F">
      <w:pPr>
        <w:rPr>
          <w:iCs/>
          <w:sz w:val="20"/>
          <w:szCs w:val="20"/>
          <w:lang w:val="en-US"/>
        </w:rPr>
      </w:pPr>
      <w:r w:rsidRPr="00076B84">
        <w:rPr>
          <w:iCs/>
          <w:sz w:val="20"/>
          <w:szCs w:val="20"/>
          <w:lang w:val="en-US"/>
        </w:rPr>
        <w:t xml:space="preserve">The question of what bibliometric indicator indicate </w:t>
      </w:r>
      <w:r w:rsidR="005D382F" w:rsidRPr="00076B84">
        <w:rPr>
          <w:iCs/>
          <w:sz w:val="20"/>
          <w:szCs w:val="20"/>
          <w:lang w:val="en-US"/>
        </w:rPr>
        <w:t>has been discussed for several</w:t>
      </w:r>
      <w:r w:rsidRPr="00076B84">
        <w:rPr>
          <w:iCs/>
          <w:sz w:val="20"/>
          <w:szCs w:val="20"/>
          <w:lang w:val="en-US"/>
        </w:rPr>
        <w:t xml:space="preserve"> decades. </w:t>
      </w:r>
      <w:r w:rsidR="005D382F" w:rsidRPr="00076B84">
        <w:rPr>
          <w:iCs/>
          <w:sz w:val="20"/>
          <w:szCs w:val="20"/>
          <w:lang w:val="en-US"/>
        </w:rPr>
        <w:t>O</w:t>
      </w:r>
      <w:r w:rsidRPr="00076B84">
        <w:rPr>
          <w:iCs/>
          <w:sz w:val="20"/>
          <w:szCs w:val="20"/>
          <w:lang w:val="en-US"/>
        </w:rPr>
        <w:t xml:space="preserve">ver that period, the use of indicators has increased, the number of indicators too, but the question of what the indicators exactly measure </w:t>
      </w:r>
      <w:r w:rsidR="0048099F" w:rsidRPr="00076B84">
        <w:rPr>
          <w:iCs/>
          <w:sz w:val="20"/>
          <w:szCs w:val="20"/>
          <w:lang w:val="en-US"/>
        </w:rPr>
        <w:t>remain</w:t>
      </w:r>
      <w:r w:rsidR="005D382F" w:rsidRPr="00076B84">
        <w:rPr>
          <w:iCs/>
          <w:sz w:val="20"/>
          <w:szCs w:val="20"/>
          <w:lang w:val="en-US"/>
        </w:rPr>
        <w:t>s</w:t>
      </w:r>
      <w:r w:rsidR="0048099F" w:rsidRPr="00076B84">
        <w:rPr>
          <w:iCs/>
          <w:sz w:val="20"/>
          <w:szCs w:val="20"/>
          <w:lang w:val="en-US"/>
        </w:rPr>
        <w:t xml:space="preserve"> to be debated</w:t>
      </w:r>
      <w:r w:rsidRPr="00076B84">
        <w:rPr>
          <w:iCs/>
          <w:sz w:val="20"/>
          <w:szCs w:val="20"/>
          <w:lang w:val="en-US"/>
        </w:rPr>
        <w:t xml:space="preserve">. In this paper we propose to approach it from </w:t>
      </w:r>
      <w:r w:rsidR="0048099F" w:rsidRPr="00076B84">
        <w:rPr>
          <w:iCs/>
          <w:sz w:val="20"/>
          <w:szCs w:val="20"/>
          <w:lang w:val="en-US"/>
        </w:rPr>
        <w:t>the perspective of</w:t>
      </w:r>
      <w:r w:rsidRPr="00076B84">
        <w:rPr>
          <w:iCs/>
          <w:sz w:val="20"/>
          <w:szCs w:val="20"/>
          <w:lang w:val="en-US"/>
        </w:rPr>
        <w:t xml:space="preserve"> </w:t>
      </w:r>
      <w:r w:rsidRPr="00076B84">
        <w:rPr>
          <w:i/>
          <w:iCs/>
          <w:sz w:val="20"/>
          <w:szCs w:val="20"/>
          <w:lang w:val="en-US"/>
        </w:rPr>
        <w:t>scale construction</w:t>
      </w:r>
      <w:r w:rsidRPr="00076B84">
        <w:rPr>
          <w:iCs/>
          <w:sz w:val="20"/>
          <w:szCs w:val="20"/>
          <w:lang w:val="en-US"/>
        </w:rPr>
        <w:t xml:space="preserve">. </w:t>
      </w:r>
      <w:r w:rsidR="005D382F" w:rsidRPr="00076B84">
        <w:rPr>
          <w:iCs/>
          <w:sz w:val="20"/>
          <w:szCs w:val="20"/>
          <w:lang w:val="en-US"/>
        </w:rPr>
        <w:t>Basically,</w:t>
      </w:r>
      <w:r w:rsidRPr="00076B84">
        <w:rPr>
          <w:iCs/>
          <w:sz w:val="20"/>
          <w:szCs w:val="20"/>
          <w:lang w:val="en-US"/>
        </w:rPr>
        <w:t xml:space="preserve"> this means that we interpret the publication</w:t>
      </w:r>
      <w:r w:rsidR="005D382F" w:rsidRPr="00076B84">
        <w:rPr>
          <w:iCs/>
          <w:sz w:val="20"/>
          <w:szCs w:val="20"/>
          <w:lang w:val="en-US"/>
        </w:rPr>
        <w:t>-based</w:t>
      </w:r>
      <w:r w:rsidRPr="00076B84">
        <w:rPr>
          <w:iCs/>
          <w:sz w:val="20"/>
          <w:szCs w:val="20"/>
          <w:lang w:val="en-US"/>
        </w:rPr>
        <w:t xml:space="preserve"> and citation</w:t>
      </w:r>
      <w:r w:rsidR="005D382F" w:rsidRPr="00076B84">
        <w:rPr>
          <w:iCs/>
          <w:sz w:val="20"/>
          <w:szCs w:val="20"/>
          <w:lang w:val="en-US"/>
        </w:rPr>
        <w:t>-</w:t>
      </w:r>
      <w:r w:rsidRPr="00076B84">
        <w:rPr>
          <w:iCs/>
          <w:sz w:val="20"/>
          <w:szCs w:val="20"/>
          <w:lang w:val="en-US"/>
        </w:rPr>
        <w:t xml:space="preserve">based indicators as items that </w:t>
      </w:r>
      <w:r w:rsidR="0048099F" w:rsidRPr="00076B84">
        <w:rPr>
          <w:iCs/>
          <w:sz w:val="20"/>
          <w:szCs w:val="20"/>
          <w:lang w:val="en-US"/>
        </w:rPr>
        <w:t>measure</w:t>
      </w:r>
      <w:r w:rsidRPr="00076B84">
        <w:rPr>
          <w:iCs/>
          <w:sz w:val="20"/>
          <w:szCs w:val="20"/>
          <w:lang w:val="en-US"/>
        </w:rPr>
        <w:t xml:space="preserve"> aspects of the scientific quality, but</w:t>
      </w:r>
      <w:r w:rsidR="0048099F" w:rsidRPr="00076B84">
        <w:rPr>
          <w:iCs/>
          <w:sz w:val="20"/>
          <w:szCs w:val="20"/>
          <w:lang w:val="en-US"/>
        </w:rPr>
        <w:t xml:space="preserve"> </w:t>
      </w:r>
      <w:r w:rsidR="005D382F" w:rsidRPr="00076B84">
        <w:rPr>
          <w:iCs/>
          <w:sz w:val="20"/>
          <w:szCs w:val="20"/>
          <w:lang w:val="en-US"/>
        </w:rPr>
        <w:t xml:space="preserve">at the same time we accept that </w:t>
      </w:r>
      <w:r w:rsidR="0048099F" w:rsidRPr="00076B84">
        <w:rPr>
          <w:iCs/>
          <w:sz w:val="20"/>
          <w:szCs w:val="20"/>
          <w:lang w:val="en-US"/>
        </w:rPr>
        <w:t xml:space="preserve">all these indicators are characterized by error. </w:t>
      </w:r>
      <w:r w:rsidR="005D382F" w:rsidRPr="00076B84">
        <w:rPr>
          <w:iCs/>
          <w:sz w:val="20"/>
          <w:szCs w:val="20"/>
          <w:lang w:val="en-US"/>
        </w:rPr>
        <w:t>However, s</w:t>
      </w:r>
      <w:r w:rsidR="0048099F" w:rsidRPr="00076B84">
        <w:rPr>
          <w:iCs/>
          <w:sz w:val="20"/>
          <w:szCs w:val="20"/>
          <w:lang w:val="en-US"/>
        </w:rPr>
        <w:t xml:space="preserve">everal indicators together, may lead to a valid and reliable variable, representing a </w:t>
      </w:r>
      <w:r w:rsidR="005D382F" w:rsidRPr="00076B84">
        <w:rPr>
          <w:iCs/>
          <w:sz w:val="20"/>
          <w:szCs w:val="20"/>
          <w:lang w:val="en-US"/>
        </w:rPr>
        <w:t xml:space="preserve">latent </w:t>
      </w:r>
      <w:r w:rsidR="0048099F" w:rsidRPr="00076B84">
        <w:rPr>
          <w:iCs/>
          <w:sz w:val="20"/>
          <w:szCs w:val="20"/>
          <w:lang w:val="en-US"/>
        </w:rPr>
        <w:t xml:space="preserve">quality dimension. </w:t>
      </w:r>
      <w:r w:rsidR="005D382F" w:rsidRPr="00076B84">
        <w:rPr>
          <w:iCs/>
          <w:sz w:val="20"/>
          <w:szCs w:val="20"/>
          <w:lang w:val="en-US"/>
        </w:rPr>
        <w:t>This approach should not be confused with composite indicators, such as deployed in university rankings.</w:t>
      </w:r>
    </w:p>
    <w:p w14:paraId="1CBF7D36" w14:textId="77777777" w:rsidR="00405B92" w:rsidRPr="00076B84" w:rsidRDefault="00405B92" w:rsidP="0048099F">
      <w:pPr>
        <w:rPr>
          <w:iCs/>
          <w:lang w:val="en-US"/>
        </w:rPr>
      </w:pPr>
    </w:p>
    <w:p w14:paraId="7933397C" w14:textId="44A3A524" w:rsidR="00405B92" w:rsidRPr="00076B84" w:rsidRDefault="00826114" w:rsidP="0048099F">
      <w:pPr>
        <w:rPr>
          <w:b/>
        </w:rPr>
      </w:pPr>
      <w:r w:rsidRPr="00076B84">
        <w:rPr>
          <w:b/>
          <w:lang w:val="en-US"/>
        </w:rPr>
        <w:t xml:space="preserve">1. </w:t>
      </w:r>
      <w:r w:rsidR="005D382F" w:rsidRPr="00076B84">
        <w:rPr>
          <w:b/>
          <w:lang w:val="en-US"/>
        </w:rPr>
        <w:t>Studying bias</w:t>
      </w:r>
    </w:p>
    <w:p w14:paraId="3D314514" w14:textId="09341493" w:rsidR="00BB6ED4" w:rsidRPr="00F47500" w:rsidRDefault="00BB6ED4" w:rsidP="00BB6ED4">
      <w:pPr>
        <w:rPr>
          <w:lang w:val="en-US"/>
        </w:rPr>
      </w:pPr>
      <w:r w:rsidRPr="00076B84">
        <w:t xml:space="preserve">When studying gender differences in career decisions and grant decisions, </w:t>
      </w:r>
      <w:r w:rsidR="00CE7CC9" w:rsidRPr="00076B84">
        <w:t>one needs valid and reliable performance measures, in order to distinguish between merit-based gender differences and non-merit</w:t>
      </w:r>
      <w:r w:rsidR="005D382F" w:rsidRPr="00076B84">
        <w:t>-</w:t>
      </w:r>
      <w:r w:rsidR="00CE7CC9" w:rsidRPr="00076B84">
        <w:t>based gender differences. The latter can be classified as gender bias</w:t>
      </w:r>
      <w:r w:rsidR="005D382F" w:rsidRPr="00076B84">
        <w:t>, but the former not, as long as one accepts that science should be a merit-driven system</w:t>
      </w:r>
      <w:r w:rsidR="00CE7CC9" w:rsidRPr="00076B84">
        <w:t>. P</w:t>
      </w:r>
      <w:r w:rsidRPr="00076B84">
        <w:t xml:space="preserve">revious work (Cruz-Castro &amp; Sanz Menendez 2019; van den Besselaar et al. 2020) </w:t>
      </w:r>
      <w:r w:rsidR="00CE7CC9" w:rsidRPr="00076B84">
        <w:t xml:space="preserve">showed that </w:t>
      </w:r>
      <w:r w:rsidRPr="00076B84">
        <w:t xml:space="preserve">it is necessary to conceptually and empirically differentiate between </w:t>
      </w:r>
      <w:r w:rsidRPr="00076B84">
        <w:rPr>
          <w:i/>
        </w:rPr>
        <w:t>gender differences</w:t>
      </w:r>
      <w:r w:rsidRPr="00076B84">
        <w:t xml:space="preserve"> and </w:t>
      </w:r>
      <w:r w:rsidRPr="00076B84">
        <w:rPr>
          <w:i/>
        </w:rPr>
        <w:t>gender bias</w:t>
      </w:r>
      <w:r w:rsidRPr="00076B84">
        <w:t xml:space="preserve"> as outcomes of processes. If big differences between males and females are found in the outcome data, we should not conclude or assume that there is gender bias. We always need to account for </w:t>
      </w:r>
      <w:r w:rsidRPr="00076B84">
        <w:rPr>
          <w:i/>
        </w:rPr>
        <w:t>competing explanations</w:t>
      </w:r>
      <w:r w:rsidR="005D382F" w:rsidRPr="00076B84">
        <w:t xml:space="preserve"> </w:t>
      </w:r>
      <w:r w:rsidRPr="00076B84">
        <w:t xml:space="preserve">or, if we are constructing empirical models, control for other relevant factors, most importantly those representing </w:t>
      </w:r>
      <w:r w:rsidRPr="00076B84">
        <w:rPr>
          <w:i/>
        </w:rPr>
        <w:t>merit</w:t>
      </w:r>
      <w:r w:rsidRPr="00076B84">
        <w:t xml:space="preserve">. At the minimum, if we model gender differences we consider </w:t>
      </w:r>
      <w:r w:rsidRPr="00076B84">
        <w:rPr>
          <w:i/>
        </w:rPr>
        <w:t>gender bias</w:t>
      </w:r>
      <w:r w:rsidRPr="00076B84">
        <w:t xml:space="preserve"> as the residual effect, after controlling for other factors, like merit, preferences, reputation, etc. This in order to replace </w:t>
      </w:r>
      <w:r w:rsidRPr="00076B84">
        <w:rPr>
          <w:i/>
        </w:rPr>
        <w:t>naïve residualism</w:t>
      </w:r>
      <w:r w:rsidRPr="00076B84">
        <w:t xml:space="preserve"> (J.R Cole, 1979) with at least </w:t>
      </w:r>
      <w:r w:rsidRPr="00076B84">
        <w:rPr>
          <w:i/>
        </w:rPr>
        <w:t>sophisticated residualism</w:t>
      </w:r>
      <w:r w:rsidRPr="00076B84">
        <w:t xml:space="preserve"> (Cole &amp; Fiorentine 1991).</w:t>
      </w:r>
      <w:r w:rsidR="00076B84" w:rsidRPr="00076B84">
        <w:rPr>
          <w:lang w:val="en-US"/>
        </w:rPr>
        <w:t xml:space="preserve"> However, the issue then is how to measure merit, and using the standard bibliometric indicators for that remains problematic: the problems of validity and reliability are not satisfactory answered. </w:t>
      </w:r>
    </w:p>
    <w:p w14:paraId="2633F3FF" w14:textId="77777777" w:rsidR="00CE7CC9" w:rsidRPr="00076B84" w:rsidRDefault="00CE7CC9" w:rsidP="00CE7CC9"/>
    <w:p w14:paraId="32244E69" w14:textId="44F84225" w:rsidR="005D382F" w:rsidRPr="00076B84" w:rsidRDefault="00826114" w:rsidP="00CE7CC9">
      <w:pPr>
        <w:rPr>
          <w:b/>
        </w:rPr>
      </w:pPr>
      <w:r w:rsidRPr="00076B84">
        <w:rPr>
          <w:b/>
          <w:lang w:val="en-US"/>
        </w:rPr>
        <w:t xml:space="preserve">2. </w:t>
      </w:r>
      <w:r w:rsidR="00EE4774" w:rsidRPr="00076B84">
        <w:rPr>
          <w:b/>
        </w:rPr>
        <w:t>The indicator problem</w:t>
      </w:r>
    </w:p>
    <w:p w14:paraId="02E0FB30" w14:textId="20D63E9E" w:rsidR="00076B84" w:rsidRDefault="00076B84" w:rsidP="00CE7CC9">
      <w:pPr>
        <w:rPr>
          <w:rFonts w:cs="Calibri"/>
          <w:bCs/>
          <w:lang w:val="en-US"/>
        </w:rPr>
      </w:pPr>
      <w:r>
        <w:rPr>
          <w:lang w:val="en-US"/>
        </w:rPr>
        <w:t>A</w:t>
      </w:r>
      <w:r w:rsidRPr="00076B84">
        <w:rPr>
          <w:bCs/>
        </w:rPr>
        <w:t xml:space="preserve">lthough bibliometric indicators are used within the science system, the discussion about the meaning and use of the indicators has intensified. </w:t>
      </w:r>
      <w:r w:rsidRPr="00576B40">
        <w:rPr>
          <w:rFonts w:cs="Calibri"/>
          <w:bCs/>
        </w:rPr>
        <w:t xml:space="preserve">We do not aim to review the literature here. Overviews are available, like Glänzel et al 2019, and recently also studies have been published that report about the opinions of researchers about the use of indicators (Cruz-Castro &amp; Sanz-Menendez 2021), and that report about the use in practice (Van den Besselaar &amp; Sandström 2020). </w:t>
      </w:r>
      <w:r w:rsidRPr="00576B40">
        <w:rPr>
          <w:rFonts w:cs="Calibri"/>
          <w:bCs/>
          <w:lang w:val="en-US"/>
        </w:rPr>
        <w:t>Well</w:t>
      </w:r>
      <w:r w:rsidRPr="00576B40">
        <w:rPr>
          <w:rFonts w:cs="Calibri"/>
          <w:bCs/>
        </w:rPr>
        <w:t xml:space="preserve"> known reports (Wilsdon et al. 2015) and statements (Hicks et al. 2015) about ‘proper use’ have attracted quite some attention, and a long discussion exists on the possible negative (perverse) effects of indicator use (Butler 2003)</w:t>
      </w:r>
      <w:r w:rsidR="00086D25">
        <w:rPr>
          <w:rFonts w:cs="Calibri"/>
          <w:bCs/>
          <w:lang w:val="en-US"/>
        </w:rPr>
        <w:t xml:space="preserve"> for which the evidence is </w:t>
      </w:r>
      <w:r w:rsidRPr="00576B40">
        <w:rPr>
          <w:rFonts w:cs="Calibri"/>
          <w:bCs/>
        </w:rPr>
        <w:t>questionable (Van den Besselaar et al. 2017).</w:t>
      </w:r>
      <w:r w:rsidRPr="00576B40">
        <w:rPr>
          <w:rFonts w:cs="Calibri"/>
          <w:bCs/>
          <w:lang w:val="en-US"/>
        </w:rPr>
        <w:t xml:space="preserve"> </w:t>
      </w:r>
    </w:p>
    <w:p w14:paraId="407FCF37" w14:textId="77777777" w:rsidR="00076B84" w:rsidRDefault="00076B84" w:rsidP="00CE7CC9">
      <w:pPr>
        <w:rPr>
          <w:rFonts w:cs="Calibri"/>
          <w:bCs/>
          <w:lang w:val="en-US"/>
        </w:rPr>
      </w:pPr>
    </w:p>
    <w:p w14:paraId="09DAA08F" w14:textId="54169CC6" w:rsidR="00A54E35" w:rsidRPr="00F47500" w:rsidRDefault="00086D25" w:rsidP="00A54E35">
      <w:pPr>
        <w:rPr>
          <w:bCs/>
          <w:lang w:val="en-US"/>
        </w:rPr>
      </w:pPr>
      <w:r>
        <w:rPr>
          <w:bCs/>
          <w:lang w:val="en-US"/>
        </w:rPr>
        <w:lastRenderedPageBreak/>
        <w:t xml:space="preserve">Within the fields of science studies and research evaluation the view is dominant </w:t>
      </w:r>
      <w:r w:rsidR="00076B84" w:rsidRPr="00576B40">
        <w:rPr>
          <w:bCs/>
          <w:lang w:val="en-US"/>
        </w:rPr>
        <w:t>that indicators are at best supportive and that human decision making (and in science by experts) should be central in selection processes, there is quite some literature in selection psychology showing that ‘algorithmic’ selection is generally better than ‘holistic’ selection in terms of predicting human performance (</w:t>
      </w:r>
      <w:proofErr w:type="gramStart"/>
      <w:r w:rsidR="00A54E35">
        <w:rPr>
          <w:bCs/>
          <w:lang w:val="en-US"/>
        </w:rPr>
        <w:t>e.g.</w:t>
      </w:r>
      <w:proofErr w:type="gramEnd"/>
      <w:r w:rsidR="00A54E35">
        <w:rPr>
          <w:bCs/>
          <w:lang w:val="en-US"/>
        </w:rPr>
        <w:t xml:space="preserve"> </w:t>
      </w:r>
      <w:r w:rsidR="00076B84" w:rsidRPr="00576B40">
        <w:rPr>
          <w:bCs/>
          <w:lang w:val="en-US"/>
        </w:rPr>
        <w:t>Neumann et al 2023).</w:t>
      </w:r>
      <w:r w:rsidR="00A54E35">
        <w:rPr>
          <w:bCs/>
          <w:lang w:val="en-US"/>
        </w:rPr>
        <w:t xml:space="preserve"> </w:t>
      </w:r>
      <w:r w:rsidR="00076B84" w:rsidRPr="00576B40">
        <w:rPr>
          <w:bCs/>
          <w:lang w:val="en-US"/>
        </w:rPr>
        <w:t xml:space="preserve">This is </w:t>
      </w:r>
      <w:r>
        <w:rPr>
          <w:bCs/>
          <w:lang w:val="en-US"/>
        </w:rPr>
        <w:t xml:space="preserve">to some extent </w:t>
      </w:r>
      <w:r w:rsidR="00076B84" w:rsidRPr="00576B40">
        <w:rPr>
          <w:bCs/>
          <w:lang w:val="en-US"/>
        </w:rPr>
        <w:t xml:space="preserve">supported by the (also in science) well known fact that </w:t>
      </w:r>
      <w:r>
        <w:rPr>
          <w:bCs/>
          <w:lang w:val="en-US"/>
        </w:rPr>
        <w:t xml:space="preserve">future </w:t>
      </w:r>
      <w:r w:rsidR="00076B84" w:rsidRPr="00576B40">
        <w:rPr>
          <w:bCs/>
          <w:lang w:val="en-US"/>
        </w:rPr>
        <w:t>performance is best predicted by past performance.</w:t>
      </w:r>
    </w:p>
    <w:p w14:paraId="35E0E4A4" w14:textId="2025B042" w:rsidR="00CE7CC9" w:rsidRPr="00076B84" w:rsidRDefault="00086D25" w:rsidP="00A54E35">
      <w:r>
        <w:rPr>
          <w:lang w:val="en-US"/>
        </w:rPr>
        <w:t xml:space="preserve">Nevertheless, the existing set of indicators is not ideal at all. </w:t>
      </w:r>
      <w:r w:rsidR="00CE7CC9" w:rsidRPr="00076B84">
        <w:t>Many bibliometric indicators are available (Wilgaard et al. 2014), all directly measuring some property of publications (</w:t>
      </w:r>
      <w:proofErr w:type="gramStart"/>
      <w:r w:rsidR="00CE7CC9" w:rsidRPr="00076B84">
        <w:t>e.g.</w:t>
      </w:r>
      <w:proofErr w:type="gramEnd"/>
      <w:r w:rsidR="00CE7CC9" w:rsidRPr="00076B84">
        <w:t xml:space="preserve"> how often cited) and of authors (e.g. how many publications), and if applied correctly always considering the context of the scientific domains and countries. Although one can argue that these indicators may reflect some underlying quality dimension, there are no good reasons to expect that the individual indicators are a reliable measure for that dimension, as there may be much error </w:t>
      </w:r>
      <w:r>
        <w:rPr>
          <w:lang w:val="en-US"/>
        </w:rPr>
        <w:t xml:space="preserve">– noise - </w:t>
      </w:r>
      <w:r w:rsidR="00CE7CC9" w:rsidRPr="00076B84">
        <w:t>in the data</w:t>
      </w:r>
      <w:r>
        <w:rPr>
          <w:lang w:val="en-US"/>
        </w:rPr>
        <w:t>, even when there is no bias (Kahneman et al. 2021)</w:t>
      </w:r>
      <w:r w:rsidR="00CE7CC9" w:rsidRPr="00076B84">
        <w:t xml:space="preserve">. </w:t>
      </w:r>
    </w:p>
    <w:p w14:paraId="36FB0BD0" w14:textId="77777777" w:rsidR="00086D25" w:rsidRDefault="00086D25" w:rsidP="00CE7CC9"/>
    <w:p w14:paraId="77B65872" w14:textId="0F6D3629" w:rsidR="00CE7CC9" w:rsidRPr="00076B84" w:rsidRDefault="00086D25" w:rsidP="00CE7CC9">
      <w:r>
        <w:rPr>
          <w:lang w:val="en-US"/>
        </w:rPr>
        <w:t>W</w:t>
      </w:r>
      <w:r w:rsidR="00CE7CC9" w:rsidRPr="00076B84">
        <w:t xml:space="preserve">e propose to interpret bibliometric indicators as items, and that one needs several items to construct reliable measures. </w:t>
      </w:r>
      <w:r w:rsidR="00CE7CC9" w:rsidRPr="0085226F">
        <w:t xml:space="preserve">This can be done using a </w:t>
      </w:r>
      <w:r w:rsidR="0085226F" w:rsidRPr="00F47500">
        <w:rPr>
          <w:color w:val="000000"/>
        </w:rPr>
        <w:t>Principal Axis Factoring</w:t>
      </w:r>
      <w:r w:rsidR="0085226F" w:rsidRPr="0085226F" w:rsidDel="0085226F">
        <w:t xml:space="preserve"> </w:t>
      </w:r>
      <w:r w:rsidR="00CE7CC9" w:rsidRPr="0085226F">
        <w:t>of a set of individual indicators to find out what variables measure the same underlying quality dimension, and a scale analysis to find out</w:t>
      </w:r>
      <w:r w:rsidR="00CE7CC9" w:rsidRPr="00076B84">
        <w:t xml:space="preserve"> whether the derived components (factors) create</w:t>
      </w:r>
      <w:r w:rsidR="0085226F">
        <w:rPr>
          <w:lang w:val="en-US"/>
        </w:rPr>
        <w:t xml:space="preserve"> </w:t>
      </w:r>
      <w:r w:rsidR="00CE7CC9" w:rsidRPr="00076B84">
        <w:t xml:space="preserve">reliable scales. This by the way, should not be restricted to bibliometric indicators only, </w:t>
      </w:r>
      <w:r w:rsidR="005D382F" w:rsidRPr="00076B84">
        <w:t>as</w:t>
      </w:r>
      <w:r w:rsidR="00CE7CC9" w:rsidRPr="00076B84">
        <w:t xml:space="preserve"> many other </w:t>
      </w:r>
      <w:r w:rsidR="005D382F" w:rsidRPr="00076B84">
        <w:t xml:space="preserve">merit </w:t>
      </w:r>
      <w:r w:rsidR="00CE7CC9" w:rsidRPr="00076B84">
        <w:t xml:space="preserve">indicators could be included. </w:t>
      </w:r>
      <w:r w:rsidR="005D382F" w:rsidRPr="00076B84">
        <w:t>And not all</w:t>
      </w:r>
      <w:r w:rsidR="00CE7CC9" w:rsidRPr="00076B84">
        <w:t xml:space="preserve"> reputational dimensions can be properly measured with bibliometric indicators only (Espeland &amp; Sauder 2016).</w:t>
      </w:r>
    </w:p>
    <w:p w14:paraId="673BF151" w14:textId="77777777" w:rsidR="0085226F" w:rsidRDefault="00CE7CC9" w:rsidP="003D6BE0">
      <w:pPr>
        <w:rPr>
          <w:bCs/>
        </w:rPr>
      </w:pPr>
      <w:r w:rsidRPr="00076B84">
        <w:rPr>
          <w:bCs/>
        </w:rPr>
        <w:t xml:space="preserve">These indicators are intended to measure aspects of scientific quality, a concept that actually covers a variety of dimensions. </w:t>
      </w:r>
    </w:p>
    <w:p w14:paraId="1661F97A" w14:textId="77777777" w:rsidR="0085226F" w:rsidRDefault="0085226F" w:rsidP="003D6BE0">
      <w:pPr>
        <w:rPr>
          <w:bCs/>
        </w:rPr>
      </w:pPr>
    </w:p>
    <w:p w14:paraId="2FD4E96C" w14:textId="0F22AC64" w:rsidR="00CE7CC9" w:rsidRPr="00076B84" w:rsidRDefault="00C62CCC" w:rsidP="00CE7CC9">
      <w:pPr>
        <w:rPr>
          <w:bCs/>
        </w:rPr>
      </w:pPr>
      <w:r w:rsidRPr="00076B84">
        <w:rPr>
          <w:bCs/>
        </w:rPr>
        <w:t>W</w:t>
      </w:r>
      <w:r w:rsidR="00CE7CC9" w:rsidRPr="00076B84">
        <w:rPr>
          <w:bCs/>
        </w:rPr>
        <w:t>e w</w:t>
      </w:r>
      <w:r w:rsidRPr="00076B84">
        <w:rPr>
          <w:bCs/>
        </w:rPr>
        <w:t>ould</w:t>
      </w:r>
      <w:r w:rsidR="00CE7CC9" w:rsidRPr="00076B84">
        <w:rPr>
          <w:bCs/>
        </w:rPr>
        <w:t xml:space="preserve"> argue</w:t>
      </w:r>
      <w:r w:rsidRPr="00076B84">
        <w:rPr>
          <w:bCs/>
        </w:rPr>
        <w:t xml:space="preserve"> that</w:t>
      </w:r>
      <w:r w:rsidR="00CE7CC9" w:rsidRPr="00076B84">
        <w:rPr>
          <w:bCs/>
        </w:rPr>
        <w:t xml:space="preserve"> only some of those dimensions are to some extent covered by the indicator toolbox, and even those not always correctly. </w:t>
      </w:r>
      <w:r w:rsidRPr="00076B84">
        <w:rPr>
          <w:bCs/>
        </w:rPr>
        <w:t>W</w:t>
      </w:r>
      <w:r w:rsidR="00CE7CC9" w:rsidRPr="00076B84">
        <w:rPr>
          <w:bCs/>
        </w:rPr>
        <w:t xml:space="preserve">e do not aim to develop the concept of quality in its various dimensions </w:t>
      </w:r>
      <w:r w:rsidRPr="00076B84">
        <w:rPr>
          <w:bCs/>
        </w:rPr>
        <w:t xml:space="preserve">here </w:t>
      </w:r>
      <w:r w:rsidR="00CE7CC9" w:rsidRPr="00076B84">
        <w:rPr>
          <w:bCs/>
        </w:rPr>
        <w:t>(contributing new knowledge; independence</w:t>
      </w:r>
      <w:r w:rsidR="00CE7CC9" w:rsidRPr="00076B84">
        <w:rPr>
          <w:rStyle w:val="FootnoteReference"/>
          <w:bCs/>
        </w:rPr>
        <w:footnoteReference w:id="1"/>
      </w:r>
      <w:r w:rsidR="00CE7CC9" w:rsidRPr="00076B84">
        <w:rPr>
          <w:bCs/>
        </w:rPr>
        <w:t xml:space="preserve">; leadership of research teams; creating societal impact; supervising PhD students; teaching; etc.), nor do we aim at developing ways of measuring </w:t>
      </w:r>
      <w:r w:rsidR="0085226F">
        <w:rPr>
          <w:bCs/>
          <w:lang w:val="en-US"/>
        </w:rPr>
        <w:t xml:space="preserve">all </w:t>
      </w:r>
      <w:r w:rsidR="00CE7CC9" w:rsidRPr="00076B84">
        <w:rPr>
          <w:bCs/>
        </w:rPr>
        <w:t xml:space="preserve">these quality dimensions. </w:t>
      </w:r>
      <w:r w:rsidRPr="00076B84">
        <w:rPr>
          <w:bCs/>
        </w:rPr>
        <w:t xml:space="preserve">The aim of the paper is methodologically, and </w:t>
      </w:r>
      <w:r w:rsidR="005D382F" w:rsidRPr="00076B84">
        <w:rPr>
          <w:bCs/>
        </w:rPr>
        <w:t xml:space="preserve">we propose </w:t>
      </w:r>
      <w:r w:rsidRPr="00076B84">
        <w:rPr>
          <w:bCs/>
        </w:rPr>
        <w:t>a</w:t>
      </w:r>
      <w:r w:rsidR="005D382F" w:rsidRPr="00076B84">
        <w:rPr>
          <w:bCs/>
        </w:rPr>
        <w:t xml:space="preserve"> somewhat different </w:t>
      </w:r>
      <w:r w:rsidRPr="00076B84">
        <w:rPr>
          <w:bCs/>
        </w:rPr>
        <w:t xml:space="preserve">approach to the use of indicators. </w:t>
      </w:r>
      <w:r w:rsidR="00CE7CC9" w:rsidRPr="00076B84">
        <w:rPr>
          <w:bCs/>
        </w:rPr>
        <w:t xml:space="preserve">We </w:t>
      </w:r>
      <w:r w:rsidRPr="00076B84">
        <w:rPr>
          <w:bCs/>
        </w:rPr>
        <w:t xml:space="preserve">do so by </w:t>
      </w:r>
      <w:r w:rsidR="00CE7CC9" w:rsidRPr="00076B84">
        <w:rPr>
          <w:bCs/>
        </w:rPr>
        <w:t>start</w:t>
      </w:r>
      <w:r w:rsidRPr="00076B84">
        <w:rPr>
          <w:bCs/>
        </w:rPr>
        <w:t>ing</w:t>
      </w:r>
      <w:r w:rsidR="00CE7CC9" w:rsidRPr="00076B84">
        <w:rPr>
          <w:bCs/>
        </w:rPr>
        <w:t xml:space="preserve"> from the commonly used indicators, and address two in our view important aspects of the discussion</w:t>
      </w:r>
      <w:r w:rsidR="005D382F" w:rsidRPr="00076B84">
        <w:rPr>
          <w:bCs/>
        </w:rPr>
        <w:t xml:space="preserve"> about indicators</w:t>
      </w:r>
      <w:r w:rsidR="00CE7CC9" w:rsidRPr="00076B84">
        <w:rPr>
          <w:bCs/>
        </w:rPr>
        <w:t xml:space="preserve">, that is the </w:t>
      </w:r>
      <w:r w:rsidR="00CE7CC9" w:rsidRPr="00076B84">
        <w:rPr>
          <w:bCs/>
          <w:i/>
        </w:rPr>
        <w:t>validity</w:t>
      </w:r>
      <w:r w:rsidR="00CE7CC9" w:rsidRPr="00076B84">
        <w:rPr>
          <w:bCs/>
        </w:rPr>
        <w:t xml:space="preserve"> and the </w:t>
      </w:r>
      <w:r w:rsidR="00CE7CC9" w:rsidRPr="00076B84">
        <w:rPr>
          <w:bCs/>
          <w:i/>
        </w:rPr>
        <w:t>reliability</w:t>
      </w:r>
      <w:r w:rsidR="00CE7CC9" w:rsidRPr="00076B84">
        <w:rPr>
          <w:bCs/>
        </w:rPr>
        <w:t xml:space="preserve"> of the indicators. The first point relates to the question what the indicators do measure, which is especially important when discussing indicators like the </w:t>
      </w:r>
      <w:r w:rsidRPr="00076B84">
        <w:rPr>
          <w:bCs/>
        </w:rPr>
        <w:t>J</w:t>
      </w:r>
      <w:r w:rsidR="00CE7CC9" w:rsidRPr="00076B84">
        <w:rPr>
          <w:bCs/>
        </w:rPr>
        <w:t xml:space="preserve">ournal </w:t>
      </w:r>
      <w:r w:rsidRPr="00076B84">
        <w:rPr>
          <w:bCs/>
        </w:rPr>
        <w:t>I</w:t>
      </w:r>
      <w:r w:rsidR="00CE7CC9" w:rsidRPr="00076B84">
        <w:rPr>
          <w:bCs/>
        </w:rPr>
        <w:t>mpact</w:t>
      </w:r>
      <w:r w:rsidRPr="00076B84">
        <w:rPr>
          <w:bCs/>
        </w:rPr>
        <w:t xml:space="preserve"> Factor</w:t>
      </w:r>
      <w:r w:rsidR="00CE7CC9" w:rsidRPr="00076B84">
        <w:rPr>
          <w:bCs/>
        </w:rPr>
        <w:t xml:space="preserve">, or the H-index: The first is only indirectly related to the own performance, and the second in not field normalized, and not restricted in terms of the period covered. The second point relates to how we should measure the various quality dimensions, as there are quite some alternative indicators around. </w:t>
      </w:r>
      <w:r w:rsidRPr="00076B84">
        <w:rPr>
          <w:bCs/>
        </w:rPr>
        <w:t>W</w:t>
      </w:r>
      <w:r w:rsidR="00CE7CC9" w:rsidRPr="00076B84">
        <w:rPr>
          <w:bCs/>
        </w:rPr>
        <w:t>e propos</w:t>
      </w:r>
      <w:r w:rsidRPr="00076B84">
        <w:rPr>
          <w:bCs/>
        </w:rPr>
        <w:t>e</w:t>
      </w:r>
      <w:r w:rsidR="00CE7CC9" w:rsidRPr="00076B84">
        <w:rPr>
          <w:bCs/>
        </w:rPr>
        <w:t xml:space="preserve"> to focus not on the individual indicators but on the underlying dimensions. </w:t>
      </w:r>
      <w:r w:rsidR="00EE4774" w:rsidRPr="00076B84">
        <w:rPr>
          <w:bCs/>
        </w:rPr>
        <w:t xml:space="preserve">This approach is common in </w:t>
      </w:r>
      <w:r w:rsidR="0085226F">
        <w:rPr>
          <w:bCs/>
          <w:lang w:val="en-US"/>
        </w:rPr>
        <w:t xml:space="preserve">test </w:t>
      </w:r>
      <w:r w:rsidR="00EE4774" w:rsidRPr="00076B84">
        <w:rPr>
          <w:bCs/>
        </w:rPr>
        <w:t>psychology (</w:t>
      </w:r>
      <w:r w:rsidR="00F9336E" w:rsidRPr="00076B84">
        <w:rPr>
          <w:bCs/>
        </w:rPr>
        <w:t>Drenth &amp; Sijtsma 2006</w:t>
      </w:r>
      <w:r w:rsidR="00EE4774" w:rsidRPr="00076B84">
        <w:rPr>
          <w:bCs/>
        </w:rPr>
        <w:t>).</w:t>
      </w:r>
    </w:p>
    <w:p w14:paraId="160BA037" w14:textId="77777777" w:rsidR="00BB6ED4" w:rsidRPr="00076B84" w:rsidRDefault="00BB6ED4" w:rsidP="0048099F">
      <w:pPr>
        <w:rPr>
          <w:bCs/>
        </w:rPr>
      </w:pPr>
    </w:p>
    <w:p w14:paraId="570E1880" w14:textId="2E23C685" w:rsidR="00CE7CC9" w:rsidRPr="00076B84" w:rsidRDefault="00826114" w:rsidP="0048099F">
      <w:pPr>
        <w:rPr>
          <w:b/>
          <w:bCs/>
        </w:rPr>
      </w:pPr>
      <w:r w:rsidRPr="00076B84">
        <w:rPr>
          <w:b/>
          <w:bCs/>
          <w:lang w:val="en-US"/>
        </w:rPr>
        <w:t xml:space="preserve">3. </w:t>
      </w:r>
      <w:r w:rsidR="00CE7CC9" w:rsidRPr="00076B84">
        <w:rPr>
          <w:b/>
          <w:bCs/>
        </w:rPr>
        <w:t>Measurement</w:t>
      </w:r>
    </w:p>
    <w:p w14:paraId="52CEBB05" w14:textId="26B2E465" w:rsidR="0048099F" w:rsidRPr="00076B84" w:rsidRDefault="0048099F" w:rsidP="0048099F">
      <w:r w:rsidRPr="00076B84">
        <w:rPr>
          <w:bCs/>
        </w:rPr>
        <w:t>Many</w:t>
      </w:r>
      <w:r w:rsidRPr="00076B84">
        <w:rPr>
          <w:b/>
        </w:rPr>
        <w:t xml:space="preserve"> </w:t>
      </w:r>
      <w:r w:rsidRPr="00076B84">
        <w:t xml:space="preserve">bibliometric indicators have been developed, although most of them all measure </w:t>
      </w:r>
      <w:r w:rsidR="00EE4774" w:rsidRPr="00076B84">
        <w:t xml:space="preserve">the same small number of </w:t>
      </w:r>
      <w:r w:rsidRPr="00076B84">
        <w:t>phenomena: productivity, impact, and (international) collaboration (co-authoring). Wilgaard et al. (2014) already distinguished 108 different variants, and since the number has grown even more. However, there is a lack of indicators for many relevant merit dimensions such as received awards</w:t>
      </w:r>
      <w:r w:rsidR="00EE4774" w:rsidRPr="00076B84">
        <w:t>,</w:t>
      </w:r>
      <w:r w:rsidRPr="00076B84">
        <w:t xml:space="preserve"> and </w:t>
      </w:r>
      <w:r w:rsidR="00EE4774" w:rsidRPr="00076B84">
        <w:t>researcher’s</w:t>
      </w:r>
      <w:r w:rsidRPr="00076B84">
        <w:t xml:space="preserve"> independence. The literature comparing </w:t>
      </w:r>
      <w:r w:rsidRPr="00076B84">
        <w:lastRenderedPageBreak/>
        <w:t xml:space="preserve">the various indicators and arguing which ones are better than others, is also abundant but not at all conclusive. </w:t>
      </w:r>
    </w:p>
    <w:p w14:paraId="1C8B6DF3" w14:textId="288C132A" w:rsidR="00011FBE" w:rsidRPr="00076B84" w:rsidRDefault="0048099F" w:rsidP="0048099F">
      <w:pPr>
        <w:rPr>
          <w:bCs/>
        </w:rPr>
      </w:pPr>
      <w:r w:rsidRPr="00076B84">
        <w:t xml:space="preserve">We would argue that most indicators measure an underlying dimension </w:t>
      </w:r>
      <w:r w:rsidR="0085226F">
        <w:rPr>
          <w:lang w:val="en-US"/>
        </w:rPr>
        <w:t xml:space="preserve">with error </w:t>
      </w:r>
      <w:r w:rsidRPr="00076B84">
        <w:t>but cannot be conceived as a direct measurement.</w:t>
      </w:r>
      <w:r w:rsidRPr="00076B84">
        <w:rPr>
          <w:bCs/>
        </w:rPr>
        <w:t xml:space="preserve"> Therefore, we suggest treating bibliometric indicators as items measuring an underlying (latent) performance or reputation dimension, and that we should use traditional tools to assess the items and the scale they may form. </w:t>
      </w:r>
      <w:r w:rsidR="0028476F" w:rsidRPr="00076B84">
        <w:rPr>
          <w:bCs/>
        </w:rPr>
        <w:t xml:space="preserve">This has to be distinguished from composite indicators, such as in most university rankings, where different valuation dimensions are combined into one score, without any theoretical or methodological </w:t>
      </w:r>
      <w:r w:rsidR="00011FBE" w:rsidRPr="00076B84">
        <w:rPr>
          <w:bCs/>
        </w:rPr>
        <w:t>argument.</w:t>
      </w:r>
      <w:r w:rsidR="0028476F" w:rsidRPr="00076B84">
        <w:rPr>
          <w:bCs/>
        </w:rPr>
        <w:t xml:space="preserve"> </w:t>
      </w:r>
      <w:r w:rsidR="00011FBE" w:rsidRPr="00076B84">
        <w:rPr>
          <w:bCs/>
        </w:rPr>
        <w:t xml:space="preserve">Some rankings (like the THE-ranking) present individual rankings for various evaluation dimensions, but also an overall score which is a weighted average and this can be very sensitive for the selected weights. Furthermore, as for each dimension a single indicator has been selected, one does not know how sensitive the rankings are for the measurement error. In contrast, the Leiden Ranking does not present an overall ranking and shows only the rankings per indicator. This is as such an advantage, but also here the use of single indicators for the evaluation dimensions remains a problem. </w:t>
      </w:r>
    </w:p>
    <w:p w14:paraId="2C05B6E8" w14:textId="4D58FEE4" w:rsidR="0028476F" w:rsidRDefault="0028476F" w:rsidP="0048099F">
      <w:pPr>
        <w:rPr>
          <w:bCs/>
        </w:rPr>
      </w:pPr>
      <w:r w:rsidRPr="00076B84">
        <w:rPr>
          <w:bCs/>
        </w:rPr>
        <w:t>Within the bibliometrics community, Gl</w:t>
      </w:r>
      <w:r w:rsidR="001F4604" w:rsidRPr="00076B84">
        <w:rPr>
          <w:bCs/>
        </w:rPr>
        <w:t>ä</w:t>
      </w:r>
      <w:r w:rsidRPr="00076B84">
        <w:rPr>
          <w:bCs/>
        </w:rPr>
        <w:t xml:space="preserve">nzel already argued a long time ago that </w:t>
      </w:r>
      <w:r w:rsidR="00011FBE" w:rsidRPr="00076B84">
        <w:rPr>
          <w:bCs/>
        </w:rPr>
        <w:t>composite indicators are</w:t>
      </w:r>
      <w:r w:rsidRPr="00076B84">
        <w:rPr>
          <w:bCs/>
        </w:rPr>
        <w:t xml:space="preserve"> not a good idea, and therefore he argued that we better </w:t>
      </w:r>
      <w:r w:rsidR="00011FBE" w:rsidRPr="00076B84">
        <w:rPr>
          <w:bCs/>
        </w:rPr>
        <w:t>stick</w:t>
      </w:r>
      <w:r w:rsidRPr="00076B84">
        <w:rPr>
          <w:bCs/>
        </w:rPr>
        <w:t xml:space="preserve"> </w:t>
      </w:r>
      <w:r w:rsidR="00011FBE" w:rsidRPr="00076B84">
        <w:rPr>
          <w:bCs/>
        </w:rPr>
        <w:t xml:space="preserve">to </w:t>
      </w:r>
      <w:r w:rsidRPr="00076B84">
        <w:rPr>
          <w:bCs/>
        </w:rPr>
        <w:t>the single bibliometric indicators (</w:t>
      </w:r>
      <w:r w:rsidR="00F9336E" w:rsidRPr="00076B84">
        <w:rPr>
          <w:bCs/>
        </w:rPr>
        <w:t xml:space="preserve">Glänzel </w:t>
      </w:r>
      <w:r w:rsidR="00FE1927" w:rsidRPr="00076B84">
        <w:rPr>
          <w:bCs/>
          <w:lang w:val="en-US"/>
        </w:rPr>
        <w:t xml:space="preserve">&amp; </w:t>
      </w:r>
      <w:proofErr w:type="spellStart"/>
      <w:r w:rsidR="00FE1927" w:rsidRPr="00076B84">
        <w:rPr>
          <w:bCs/>
          <w:lang w:val="en-US"/>
        </w:rPr>
        <w:t>Debackere</w:t>
      </w:r>
      <w:proofErr w:type="spellEnd"/>
      <w:r w:rsidR="00F9336E" w:rsidRPr="00076B84">
        <w:rPr>
          <w:bCs/>
        </w:rPr>
        <w:t xml:space="preserve"> </w:t>
      </w:r>
      <w:r w:rsidR="00FE1927" w:rsidRPr="00076B84">
        <w:rPr>
          <w:bCs/>
          <w:lang w:val="en-US"/>
        </w:rPr>
        <w:t>2009</w:t>
      </w:r>
      <w:r w:rsidRPr="00076B84">
        <w:rPr>
          <w:bCs/>
        </w:rPr>
        <w:t xml:space="preserve">). However, we would argue that this are not the only </w:t>
      </w:r>
      <w:r w:rsidR="0085226F">
        <w:rPr>
          <w:bCs/>
          <w:lang w:val="en-US"/>
        </w:rPr>
        <w:t xml:space="preserve">two </w:t>
      </w:r>
      <w:r w:rsidRPr="00076B84">
        <w:rPr>
          <w:bCs/>
        </w:rPr>
        <w:t>options, as the important thing would be to investigate what is measured by bibliometric (always with some error), and whether different indicators that are measuring the same underlying dimension can be combined into one more reliable (a</w:t>
      </w:r>
      <w:proofErr w:type="spellStart"/>
      <w:r w:rsidR="0085226F">
        <w:rPr>
          <w:bCs/>
          <w:lang w:val="en-US"/>
        </w:rPr>
        <w:t>nd</w:t>
      </w:r>
      <w:proofErr w:type="spellEnd"/>
      <w:r w:rsidRPr="00076B84">
        <w:rPr>
          <w:bCs/>
        </w:rPr>
        <w:t xml:space="preserve"> more valid) measure. </w:t>
      </w:r>
    </w:p>
    <w:p w14:paraId="5CFD0E90" w14:textId="77777777" w:rsidR="0085226F" w:rsidRDefault="0085226F" w:rsidP="0048099F">
      <w:pPr>
        <w:rPr>
          <w:bCs/>
        </w:rPr>
      </w:pPr>
    </w:p>
    <w:p w14:paraId="6E54AF0C" w14:textId="7EE5B6CC" w:rsidR="0085226F" w:rsidRPr="0055399B" w:rsidRDefault="0085226F" w:rsidP="0048099F">
      <w:pPr>
        <w:rPr>
          <w:bCs/>
          <w:lang w:val="en-US"/>
        </w:rPr>
      </w:pPr>
      <w:r>
        <w:rPr>
          <w:bCs/>
          <w:lang w:val="en-US"/>
        </w:rPr>
        <w:t xml:space="preserve">In previous studies, we experienced that bibliometric indicators that </w:t>
      </w:r>
      <w:r w:rsidR="0055399B">
        <w:rPr>
          <w:bCs/>
          <w:lang w:val="en-US"/>
        </w:rPr>
        <w:t xml:space="preserve">should </w:t>
      </w:r>
      <w:r>
        <w:rPr>
          <w:bCs/>
          <w:lang w:val="en-US"/>
        </w:rPr>
        <w:t xml:space="preserve">measure a similar dimension, lead to different outcomes of the analysis. For example, when explaining grant success, PP10 had no significant positive effect, but PP5 did </w:t>
      </w:r>
      <w:r w:rsidR="0055399B">
        <w:rPr>
          <w:bCs/>
          <w:lang w:val="en-US"/>
        </w:rPr>
        <w:t>have a modest positive effect</w:t>
      </w:r>
      <w:r>
        <w:rPr>
          <w:bCs/>
          <w:lang w:val="en-US"/>
        </w:rPr>
        <w:t xml:space="preserve">, and again PP1 did not. That makes conclusions about the effect of ‘top papers’ on grant success difficult to draw. The alternative was to </w:t>
      </w:r>
      <w:r w:rsidR="0055399B">
        <w:rPr>
          <w:bCs/>
          <w:lang w:val="en-US"/>
        </w:rPr>
        <w:t xml:space="preserve">use more indicators in the statistical analysis (PP5 and PP10), but that also resulted in uninterpretable outcomes, as the one indicator suddenly had a strong positive effect, and the other a strong negative effect multicollinearity). These problems can be avoided in the proposed approach.  </w:t>
      </w:r>
    </w:p>
    <w:p w14:paraId="72469B86" w14:textId="77777777" w:rsidR="0028476F" w:rsidRPr="00076B84" w:rsidRDefault="0028476F" w:rsidP="0048099F">
      <w:pPr>
        <w:rPr>
          <w:bCs/>
        </w:rPr>
      </w:pPr>
    </w:p>
    <w:p w14:paraId="19C95B31" w14:textId="4940ADCC" w:rsidR="00011FBE" w:rsidRPr="00076B84" w:rsidRDefault="003D6BE0" w:rsidP="0048099F">
      <w:pPr>
        <w:rPr>
          <w:bCs/>
        </w:rPr>
      </w:pPr>
      <w:r w:rsidRPr="00076B84">
        <w:rPr>
          <w:b/>
          <w:lang w:val="en-US"/>
        </w:rPr>
        <w:t xml:space="preserve">4. </w:t>
      </w:r>
      <w:r w:rsidR="00011FBE" w:rsidRPr="00076B84">
        <w:rPr>
          <w:b/>
          <w:lang w:val="en-US"/>
        </w:rPr>
        <w:t>An example</w:t>
      </w:r>
      <w:r w:rsidR="00011FBE" w:rsidRPr="00076B84">
        <w:rPr>
          <w:bCs/>
        </w:rPr>
        <w:t xml:space="preserve"> </w:t>
      </w:r>
    </w:p>
    <w:p w14:paraId="5CBC35D9" w14:textId="77777777" w:rsidR="00011FBE" w:rsidRPr="00076B84" w:rsidRDefault="0028476F" w:rsidP="0048099F">
      <w:pPr>
        <w:rPr>
          <w:bCs/>
        </w:rPr>
      </w:pPr>
      <w:r w:rsidRPr="00076B84">
        <w:rPr>
          <w:bCs/>
        </w:rPr>
        <w:t>For bibliometrics this is important, as currently many studies use a single indicator for each qu</w:t>
      </w:r>
      <w:r w:rsidR="00011FBE" w:rsidRPr="00076B84">
        <w:rPr>
          <w:bCs/>
        </w:rPr>
        <w:t xml:space="preserve">ality dimension, without much attention for issues like reliability and validity. In this example, we show how one can come to </w:t>
      </w:r>
      <w:r w:rsidR="00930890" w:rsidRPr="00076B84">
        <w:rPr>
          <w:bCs/>
        </w:rPr>
        <w:t>reliable measures and to a better understanding of the underlying evaluation dimension.</w:t>
      </w:r>
    </w:p>
    <w:p w14:paraId="3B6AB7E0" w14:textId="22809C7F" w:rsidR="00930890" w:rsidRPr="00076B84" w:rsidRDefault="00930890" w:rsidP="0048099F">
      <w:pPr>
        <w:rPr>
          <w:bCs/>
        </w:rPr>
      </w:pPr>
      <w:r w:rsidRPr="00076B84">
        <w:rPr>
          <w:bCs/>
        </w:rPr>
        <w:t xml:space="preserve">We have </w:t>
      </w:r>
      <w:r w:rsidR="00FE7968" w:rsidRPr="00076B84">
        <w:rPr>
          <w:bCs/>
        </w:rPr>
        <w:t xml:space="preserve">used in </w:t>
      </w:r>
      <w:r w:rsidR="001F5D18" w:rsidRPr="00076B84">
        <w:rPr>
          <w:bCs/>
        </w:rPr>
        <w:t>a</w:t>
      </w:r>
      <w:r w:rsidRPr="00076B84">
        <w:rPr>
          <w:bCs/>
        </w:rPr>
        <w:t xml:space="preserve"> stud</w:t>
      </w:r>
      <w:r w:rsidR="001F5D18" w:rsidRPr="00076B84">
        <w:rPr>
          <w:bCs/>
        </w:rPr>
        <w:t>y</w:t>
      </w:r>
      <w:r w:rsidRPr="00076B84">
        <w:rPr>
          <w:bCs/>
        </w:rPr>
        <w:t xml:space="preserve"> a large dataset (N=</w:t>
      </w:r>
      <w:r w:rsidR="005D63E8" w:rsidRPr="00076B84">
        <w:rPr>
          <w:bCs/>
        </w:rPr>
        <w:t>2579</w:t>
      </w:r>
      <w:r w:rsidRPr="00076B84">
        <w:rPr>
          <w:bCs/>
        </w:rPr>
        <w:t>) of researchers</w:t>
      </w:r>
      <w:r w:rsidR="005D63E8" w:rsidRPr="00076B84">
        <w:rPr>
          <w:bCs/>
        </w:rPr>
        <w:t xml:space="preserve"> from all disciplines</w:t>
      </w:r>
      <w:r w:rsidRPr="00076B84">
        <w:rPr>
          <w:bCs/>
        </w:rPr>
        <w:t xml:space="preserve">, for which we needed bibliometric performance data. The data come from Scopus, and they were manually cleaned in order to avoid problems when more researchers have the same name (synonyms), or single researchers are in the database with more than one name (homonyms). The related bibliometric indicators were retrieved from </w:t>
      </w:r>
      <w:r w:rsidR="0048099F" w:rsidRPr="00076B84">
        <w:rPr>
          <w:bCs/>
        </w:rPr>
        <w:t>Sci</w:t>
      </w:r>
      <w:r w:rsidRPr="00076B84">
        <w:rPr>
          <w:bCs/>
        </w:rPr>
        <w:t>V</w:t>
      </w:r>
      <w:r w:rsidR="0048099F" w:rsidRPr="00076B84">
        <w:rPr>
          <w:bCs/>
        </w:rPr>
        <w:t xml:space="preserve">al. We won’t discuss here the details of those indicators (see: Elsevier, Research metrics guidebook), as we are interested in </w:t>
      </w:r>
      <w:r w:rsidR="005D63E8" w:rsidRPr="00076B84">
        <w:rPr>
          <w:bCs/>
        </w:rPr>
        <w:t xml:space="preserve">using </w:t>
      </w:r>
      <w:r w:rsidRPr="00076B84">
        <w:rPr>
          <w:bCs/>
        </w:rPr>
        <w:t xml:space="preserve">these indicators </w:t>
      </w:r>
      <w:r w:rsidR="005D63E8" w:rsidRPr="00076B84">
        <w:rPr>
          <w:bCs/>
        </w:rPr>
        <w:t xml:space="preserve">to develop </w:t>
      </w:r>
      <w:r w:rsidRPr="00076B84">
        <w:rPr>
          <w:bCs/>
        </w:rPr>
        <w:t xml:space="preserve">the </w:t>
      </w:r>
      <w:r w:rsidR="0048099F" w:rsidRPr="00076B84">
        <w:rPr>
          <w:bCs/>
        </w:rPr>
        <w:t xml:space="preserve">scales to measure the underlying quality dimensions. </w:t>
      </w:r>
    </w:p>
    <w:p w14:paraId="514C89F5" w14:textId="77777777" w:rsidR="0055399B" w:rsidRPr="00076B84" w:rsidRDefault="00930890" w:rsidP="0055399B">
      <w:pPr>
        <w:rPr>
          <w:bCs/>
        </w:rPr>
      </w:pPr>
      <w:r w:rsidRPr="00076B84">
        <w:rPr>
          <w:bCs/>
        </w:rPr>
        <w:t>For this experiment, w</w:t>
      </w:r>
      <w:r w:rsidR="0048099F" w:rsidRPr="00076B84">
        <w:rPr>
          <w:bCs/>
        </w:rPr>
        <w:t xml:space="preserve">e included </w:t>
      </w:r>
      <w:r w:rsidR="007B2CDC" w:rsidRPr="00076B84">
        <w:rPr>
          <w:bCs/>
        </w:rPr>
        <w:t xml:space="preserve">nine </w:t>
      </w:r>
      <w:r w:rsidR="0048099F" w:rsidRPr="00076B84">
        <w:rPr>
          <w:bCs/>
        </w:rPr>
        <w:t>bibliometric indicators</w:t>
      </w:r>
      <w:r w:rsidR="005D63E8" w:rsidRPr="00076B84">
        <w:rPr>
          <w:bCs/>
        </w:rPr>
        <w:t xml:space="preserve"> as listed in table 1. </w:t>
      </w:r>
      <w:r w:rsidR="0055399B" w:rsidRPr="00076B84">
        <w:rPr>
          <w:bCs/>
        </w:rPr>
        <w:t xml:space="preserve">Firstly, the z-scores at discipline (here operationalized as faculty) levels were calculated, this in order to field-normalize the values. This corrects the data for filed differences in publication and citation behaviour. </w:t>
      </w:r>
    </w:p>
    <w:p w14:paraId="081CD163" w14:textId="00555A6B" w:rsidR="005D63E8" w:rsidRDefault="005D63E8" w:rsidP="0048099F">
      <w:pPr>
        <w:rPr>
          <w:bCs/>
        </w:rPr>
      </w:pPr>
    </w:p>
    <w:p w14:paraId="45C36B65" w14:textId="77777777" w:rsidR="0055399B" w:rsidRDefault="0055399B" w:rsidP="0048099F">
      <w:pPr>
        <w:rPr>
          <w:bCs/>
        </w:rPr>
      </w:pPr>
    </w:p>
    <w:p w14:paraId="200DEB75" w14:textId="77777777" w:rsidR="005D63E8" w:rsidRPr="0055399B" w:rsidRDefault="00C90272" w:rsidP="00C90272">
      <w:pPr>
        <w:rPr>
          <w:bCs/>
          <w:sz w:val="22"/>
          <w:szCs w:val="22"/>
        </w:rPr>
      </w:pPr>
      <w:r w:rsidRPr="0055399B">
        <w:rPr>
          <w:bCs/>
        </w:rPr>
        <w:lastRenderedPageBreak/>
        <w:t xml:space="preserve">     </w:t>
      </w:r>
      <w:r w:rsidR="00F106EE" w:rsidRPr="0055399B">
        <w:rPr>
          <w:b/>
          <w:sz w:val="22"/>
          <w:szCs w:val="22"/>
        </w:rPr>
        <w:t>Table 1:</w:t>
      </w:r>
      <w:r w:rsidR="00F106EE" w:rsidRPr="0055399B">
        <w:rPr>
          <w:bCs/>
          <w:sz w:val="22"/>
          <w:szCs w:val="22"/>
        </w:rPr>
        <w:t xml:space="preserve"> Scival indicators</w:t>
      </w:r>
    </w:p>
    <w:tbl>
      <w:tblPr>
        <w:tblStyle w:val="TableGrid"/>
        <w:tblW w:w="0" w:type="auto"/>
        <w:jc w:val="center"/>
        <w:tblLook w:val="04A0" w:firstRow="1" w:lastRow="0" w:firstColumn="1" w:lastColumn="0" w:noHBand="0" w:noVBand="1"/>
      </w:tblPr>
      <w:tblGrid>
        <w:gridCol w:w="562"/>
        <w:gridCol w:w="2127"/>
        <w:gridCol w:w="6372"/>
      </w:tblGrid>
      <w:tr w:rsidR="008D7159" w:rsidRPr="00076B84" w14:paraId="37BC88AE" w14:textId="77777777" w:rsidTr="008D7159">
        <w:trPr>
          <w:trHeight w:val="127"/>
          <w:jc w:val="center"/>
        </w:trPr>
        <w:tc>
          <w:tcPr>
            <w:tcW w:w="562" w:type="dxa"/>
            <w:tcBorders>
              <w:bottom w:val="single" w:sz="4" w:space="0" w:color="auto"/>
            </w:tcBorders>
          </w:tcPr>
          <w:p w14:paraId="510E9A4E" w14:textId="77777777" w:rsidR="008D7159" w:rsidRPr="00076B84" w:rsidRDefault="008D7159" w:rsidP="00C90272">
            <w:pPr>
              <w:rPr>
                <w:bCs/>
                <w:sz w:val="22"/>
                <w:szCs w:val="22"/>
              </w:rPr>
            </w:pPr>
          </w:p>
        </w:tc>
        <w:tc>
          <w:tcPr>
            <w:tcW w:w="2127" w:type="dxa"/>
            <w:tcBorders>
              <w:bottom w:val="single" w:sz="4" w:space="0" w:color="auto"/>
            </w:tcBorders>
          </w:tcPr>
          <w:p w14:paraId="38428205" w14:textId="77777777" w:rsidR="008D7159" w:rsidRPr="00076B84" w:rsidRDefault="008D7159" w:rsidP="00C90272">
            <w:pPr>
              <w:rPr>
                <w:bCs/>
                <w:sz w:val="22"/>
                <w:szCs w:val="22"/>
              </w:rPr>
            </w:pPr>
            <w:r w:rsidRPr="00076B84">
              <w:rPr>
                <w:bCs/>
                <w:sz w:val="22"/>
                <w:szCs w:val="22"/>
              </w:rPr>
              <w:t>Abbreviation</w:t>
            </w:r>
          </w:p>
        </w:tc>
        <w:tc>
          <w:tcPr>
            <w:tcW w:w="6372" w:type="dxa"/>
            <w:tcBorders>
              <w:bottom w:val="single" w:sz="4" w:space="0" w:color="auto"/>
            </w:tcBorders>
          </w:tcPr>
          <w:p w14:paraId="6A82D1EE" w14:textId="7153DF82" w:rsidR="008D7159" w:rsidRPr="00076B84" w:rsidRDefault="008D7159" w:rsidP="00C90272">
            <w:pPr>
              <w:rPr>
                <w:bCs/>
                <w:sz w:val="22"/>
                <w:szCs w:val="22"/>
              </w:rPr>
            </w:pPr>
            <w:r w:rsidRPr="00076B84">
              <w:rPr>
                <w:bCs/>
                <w:sz w:val="22"/>
                <w:szCs w:val="22"/>
              </w:rPr>
              <w:t>Indicator</w:t>
            </w:r>
          </w:p>
        </w:tc>
      </w:tr>
      <w:tr w:rsidR="008D7159" w:rsidRPr="00076B84" w14:paraId="0EE944B1" w14:textId="77777777" w:rsidTr="008D7159">
        <w:trPr>
          <w:trHeight w:val="127"/>
          <w:jc w:val="center"/>
        </w:trPr>
        <w:tc>
          <w:tcPr>
            <w:tcW w:w="562" w:type="dxa"/>
            <w:tcBorders>
              <w:top w:val="single" w:sz="4" w:space="0" w:color="auto"/>
              <w:left w:val="single" w:sz="4" w:space="0" w:color="auto"/>
              <w:bottom w:val="nil"/>
              <w:right w:val="single" w:sz="4" w:space="0" w:color="auto"/>
            </w:tcBorders>
          </w:tcPr>
          <w:p w14:paraId="56D4404B" w14:textId="77777777" w:rsidR="008D7159" w:rsidRPr="00076B84" w:rsidRDefault="008D7159" w:rsidP="00C90272">
            <w:pPr>
              <w:rPr>
                <w:bCs/>
                <w:sz w:val="22"/>
                <w:szCs w:val="22"/>
              </w:rPr>
            </w:pPr>
            <w:r w:rsidRPr="00076B84">
              <w:rPr>
                <w:bCs/>
                <w:sz w:val="22"/>
                <w:szCs w:val="22"/>
              </w:rPr>
              <w:t>1</w:t>
            </w:r>
          </w:p>
        </w:tc>
        <w:tc>
          <w:tcPr>
            <w:tcW w:w="2127" w:type="dxa"/>
            <w:tcBorders>
              <w:top w:val="single" w:sz="4" w:space="0" w:color="auto"/>
              <w:left w:val="single" w:sz="4" w:space="0" w:color="auto"/>
              <w:bottom w:val="nil"/>
              <w:right w:val="single" w:sz="4" w:space="0" w:color="auto"/>
            </w:tcBorders>
          </w:tcPr>
          <w:p w14:paraId="27B36938" w14:textId="77777777" w:rsidR="008D7159" w:rsidRPr="00076B84" w:rsidRDefault="008D7159" w:rsidP="00C90272">
            <w:pPr>
              <w:rPr>
                <w:bCs/>
                <w:sz w:val="22"/>
                <w:szCs w:val="22"/>
              </w:rPr>
            </w:pPr>
            <w:r w:rsidRPr="00076B84">
              <w:rPr>
                <w:bCs/>
                <w:sz w:val="22"/>
                <w:szCs w:val="22"/>
              </w:rPr>
              <w:t>P</w:t>
            </w:r>
          </w:p>
        </w:tc>
        <w:tc>
          <w:tcPr>
            <w:tcW w:w="6372" w:type="dxa"/>
            <w:tcBorders>
              <w:top w:val="single" w:sz="4" w:space="0" w:color="auto"/>
              <w:left w:val="single" w:sz="4" w:space="0" w:color="auto"/>
              <w:bottom w:val="nil"/>
              <w:right w:val="single" w:sz="4" w:space="0" w:color="auto"/>
            </w:tcBorders>
          </w:tcPr>
          <w:p w14:paraId="28D8595E" w14:textId="77777777" w:rsidR="008D7159" w:rsidRPr="00076B84" w:rsidRDefault="008D7159" w:rsidP="00C90272">
            <w:pPr>
              <w:rPr>
                <w:bCs/>
                <w:sz w:val="22"/>
                <w:szCs w:val="22"/>
              </w:rPr>
            </w:pPr>
            <w:r w:rsidRPr="00076B84">
              <w:rPr>
                <w:bCs/>
                <w:sz w:val="22"/>
                <w:szCs w:val="22"/>
              </w:rPr>
              <w:t>Total publications</w:t>
            </w:r>
          </w:p>
        </w:tc>
      </w:tr>
      <w:tr w:rsidR="008D7159" w:rsidRPr="00076B84" w14:paraId="63240EC5" w14:textId="77777777" w:rsidTr="008D7159">
        <w:trPr>
          <w:trHeight w:val="126"/>
          <w:jc w:val="center"/>
        </w:trPr>
        <w:tc>
          <w:tcPr>
            <w:tcW w:w="562" w:type="dxa"/>
            <w:tcBorders>
              <w:top w:val="nil"/>
              <w:left w:val="single" w:sz="4" w:space="0" w:color="auto"/>
              <w:bottom w:val="nil"/>
              <w:right w:val="single" w:sz="4" w:space="0" w:color="auto"/>
            </w:tcBorders>
          </w:tcPr>
          <w:p w14:paraId="25FCF01A" w14:textId="77777777" w:rsidR="008D7159" w:rsidRPr="00076B84" w:rsidRDefault="008D7159" w:rsidP="005D63E8">
            <w:pPr>
              <w:rPr>
                <w:bCs/>
                <w:sz w:val="22"/>
                <w:szCs w:val="22"/>
              </w:rPr>
            </w:pPr>
            <w:r w:rsidRPr="00076B84">
              <w:rPr>
                <w:bCs/>
                <w:sz w:val="22"/>
                <w:szCs w:val="22"/>
              </w:rPr>
              <w:t>2</w:t>
            </w:r>
          </w:p>
        </w:tc>
        <w:tc>
          <w:tcPr>
            <w:tcW w:w="2127" w:type="dxa"/>
            <w:tcBorders>
              <w:top w:val="nil"/>
              <w:left w:val="single" w:sz="4" w:space="0" w:color="auto"/>
              <w:bottom w:val="nil"/>
              <w:right w:val="single" w:sz="4" w:space="0" w:color="auto"/>
            </w:tcBorders>
          </w:tcPr>
          <w:p w14:paraId="7393D8F4" w14:textId="77777777" w:rsidR="008D7159" w:rsidRPr="00076B84" w:rsidRDefault="008D7159" w:rsidP="005D63E8">
            <w:pPr>
              <w:rPr>
                <w:bCs/>
                <w:sz w:val="22"/>
                <w:szCs w:val="22"/>
              </w:rPr>
            </w:pPr>
            <w:r w:rsidRPr="00076B84">
              <w:rPr>
                <w:bCs/>
                <w:sz w:val="22"/>
                <w:szCs w:val="22"/>
              </w:rPr>
              <w:t>P frac</w:t>
            </w:r>
          </w:p>
        </w:tc>
        <w:tc>
          <w:tcPr>
            <w:tcW w:w="6372" w:type="dxa"/>
            <w:tcBorders>
              <w:top w:val="nil"/>
              <w:left w:val="single" w:sz="4" w:space="0" w:color="auto"/>
              <w:bottom w:val="nil"/>
              <w:right w:val="single" w:sz="4" w:space="0" w:color="auto"/>
            </w:tcBorders>
          </w:tcPr>
          <w:p w14:paraId="09F6FBBC" w14:textId="77777777" w:rsidR="008D7159" w:rsidRPr="00076B84" w:rsidRDefault="008D7159" w:rsidP="005D63E8">
            <w:pPr>
              <w:rPr>
                <w:bCs/>
                <w:sz w:val="22"/>
                <w:szCs w:val="22"/>
              </w:rPr>
            </w:pPr>
            <w:r w:rsidRPr="00076B84">
              <w:rPr>
                <w:bCs/>
                <w:sz w:val="22"/>
                <w:szCs w:val="22"/>
              </w:rPr>
              <w:t>Total publications, fractional counting</w:t>
            </w:r>
          </w:p>
        </w:tc>
      </w:tr>
      <w:tr w:rsidR="008D7159" w:rsidRPr="00076B84" w14:paraId="5E78E837" w14:textId="77777777" w:rsidTr="008D7159">
        <w:trPr>
          <w:trHeight w:val="126"/>
          <w:jc w:val="center"/>
        </w:trPr>
        <w:tc>
          <w:tcPr>
            <w:tcW w:w="562" w:type="dxa"/>
            <w:tcBorders>
              <w:top w:val="nil"/>
              <w:left w:val="single" w:sz="4" w:space="0" w:color="auto"/>
              <w:bottom w:val="nil"/>
              <w:right w:val="single" w:sz="4" w:space="0" w:color="auto"/>
            </w:tcBorders>
          </w:tcPr>
          <w:p w14:paraId="79579399" w14:textId="77777777" w:rsidR="008D7159" w:rsidRPr="00076B84" w:rsidRDefault="008D7159" w:rsidP="005D63E8">
            <w:pPr>
              <w:rPr>
                <w:bCs/>
                <w:sz w:val="22"/>
                <w:szCs w:val="22"/>
              </w:rPr>
            </w:pPr>
            <w:r w:rsidRPr="00076B84">
              <w:rPr>
                <w:bCs/>
                <w:sz w:val="22"/>
                <w:szCs w:val="22"/>
              </w:rPr>
              <w:t>3</w:t>
            </w:r>
          </w:p>
        </w:tc>
        <w:tc>
          <w:tcPr>
            <w:tcW w:w="2127" w:type="dxa"/>
            <w:tcBorders>
              <w:top w:val="nil"/>
              <w:left w:val="single" w:sz="4" w:space="0" w:color="auto"/>
              <w:bottom w:val="nil"/>
              <w:right w:val="single" w:sz="4" w:space="0" w:color="auto"/>
            </w:tcBorders>
          </w:tcPr>
          <w:p w14:paraId="2FC65456" w14:textId="77777777" w:rsidR="008D7159" w:rsidRPr="00076B84" w:rsidRDefault="008D7159" w:rsidP="005D63E8">
            <w:pPr>
              <w:rPr>
                <w:bCs/>
                <w:sz w:val="22"/>
                <w:szCs w:val="22"/>
              </w:rPr>
            </w:pPr>
            <w:r w:rsidRPr="00076B84">
              <w:rPr>
                <w:bCs/>
                <w:sz w:val="22"/>
                <w:szCs w:val="22"/>
              </w:rPr>
              <w:t>C</w:t>
            </w:r>
          </w:p>
        </w:tc>
        <w:tc>
          <w:tcPr>
            <w:tcW w:w="6372" w:type="dxa"/>
            <w:tcBorders>
              <w:top w:val="nil"/>
              <w:left w:val="single" w:sz="4" w:space="0" w:color="auto"/>
              <w:bottom w:val="nil"/>
              <w:right w:val="single" w:sz="4" w:space="0" w:color="auto"/>
            </w:tcBorders>
          </w:tcPr>
          <w:p w14:paraId="669E358A" w14:textId="77777777" w:rsidR="008D7159" w:rsidRPr="00076B84" w:rsidRDefault="008D7159" w:rsidP="005D63E8">
            <w:pPr>
              <w:rPr>
                <w:bCs/>
                <w:sz w:val="22"/>
                <w:szCs w:val="22"/>
              </w:rPr>
            </w:pPr>
            <w:r w:rsidRPr="00076B84">
              <w:rPr>
                <w:bCs/>
                <w:sz w:val="22"/>
                <w:szCs w:val="22"/>
              </w:rPr>
              <w:t>Citations</w:t>
            </w:r>
          </w:p>
        </w:tc>
      </w:tr>
      <w:tr w:rsidR="008D7159" w:rsidRPr="00076B84" w14:paraId="196B61DB" w14:textId="77777777" w:rsidTr="008D7159">
        <w:trPr>
          <w:trHeight w:val="126"/>
          <w:jc w:val="center"/>
        </w:trPr>
        <w:tc>
          <w:tcPr>
            <w:tcW w:w="562" w:type="dxa"/>
            <w:tcBorders>
              <w:top w:val="nil"/>
              <w:left w:val="single" w:sz="4" w:space="0" w:color="auto"/>
              <w:bottom w:val="nil"/>
              <w:right w:val="single" w:sz="4" w:space="0" w:color="auto"/>
            </w:tcBorders>
          </w:tcPr>
          <w:p w14:paraId="5F717433" w14:textId="77777777" w:rsidR="008D7159" w:rsidRPr="00076B84" w:rsidRDefault="008D7159" w:rsidP="005D63E8">
            <w:pPr>
              <w:rPr>
                <w:bCs/>
                <w:sz w:val="22"/>
                <w:szCs w:val="22"/>
              </w:rPr>
            </w:pPr>
            <w:r w:rsidRPr="00076B84">
              <w:rPr>
                <w:bCs/>
                <w:sz w:val="22"/>
                <w:szCs w:val="22"/>
              </w:rPr>
              <w:t>4</w:t>
            </w:r>
          </w:p>
        </w:tc>
        <w:tc>
          <w:tcPr>
            <w:tcW w:w="2127" w:type="dxa"/>
            <w:tcBorders>
              <w:top w:val="nil"/>
              <w:left w:val="single" w:sz="4" w:space="0" w:color="auto"/>
              <w:bottom w:val="nil"/>
              <w:right w:val="single" w:sz="4" w:space="0" w:color="auto"/>
            </w:tcBorders>
          </w:tcPr>
          <w:p w14:paraId="1E83A9C9" w14:textId="77777777" w:rsidR="008D7159" w:rsidRPr="00076B84" w:rsidRDefault="008D7159" w:rsidP="005D63E8">
            <w:pPr>
              <w:rPr>
                <w:bCs/>
                <w:sz w:val="22"/>
                <w:szCs w:val="22"/>
              </w:rPr>
            </w:pPr>
            <w:r w:rsidRPr="00076B84">
              <w:rPr>
                <w:bCs/>
                <w:sz w:val="22"/>
                <w:szCs w:val="22"/>
              </w:rPr>
              <w:t>C frac</w:t>
            </w:r>
          </w:p>
        </w:tc>
        <w:tc>
          <w:tcPr>
            <w:tcW w:w="6372" w:type="dxa"/>
            <w:tcBorders>
              <w:top w:val="nil"/>
              <w:left w:val="single" w:sz="4" w:space="0" w:color="auto"/>
              <w:bottom w:val="nil"/>
              <w:right w:val="single" w:sz="4" w:space="0" w:color="auto"/>
            </w:tcBorders>
          </w:tcPr>
          <w:p w14:paraId="3C155505" w14:textId="77777777" w:rsidR="008D7159" w:rsidRPr="00076B84" w:rsidRDefault="008D7159" w:rsidP="005D63E8">
            <w:pPr>
              <w:rPr>
                <w:bCs/>
                <w:sz w:val="22"/>
                <w:szCs w:val="22"/>
              </w:rPr>
            </w:pPr>
            <w:r w:rsidRPr="00076B84">
              <w:rPr>
                <w:bCs/>
                <w:sz w:val="22"/>
                <w:szCs w:val="22"/>
              </w:rPr>
              <w:t>Citations, fractional counting</w:t>
            </w:r>
          </w:p>
        </w:tc>
      </w:tr>
      <w:tr w:rsidR="008D7159" w:rsidRPr="00076B84" w14:paraId="767692B7" w14:textId="77777777" w:rsidTr="008D7159">
        <w:trPr>
          <w:trHeight w:val="126"/>
          <w:jc w:val="center"/>
        </w:trPr>
        <w:tc>
          <w:tcPr>
            <w:tcW w:w="562" w:type="dxa"/>
            <w:tcBorders>
              <w:top w:val="nil"/>
              <w:left w:val="single" w:sz="4" w:space="0" w:color="auto"/>
              <w:bottom w:val="nil"/>
              <w:right w:val="single" w:sz="4" w:space="0" w:color="auto"/>
            </w:tcBorders>
          </w:tcPr>
          <w:p w14:paraId="4795DB83" w14:textId="77777777" w:rsidR="008D7159" w:rsidRPr="00076B84" w:rsidRDefault="008D7159" w:rsidP="005D63E8">
            <w:pPr>
              <w:rPr>
                <w:bCs/>
                <w:sz w:val="22"/>
                <w:szCs w:val="22"/>
              </w:rPr>
            </w:pPr>
            <w:r w:rsidRPr="00076B84">
              <w:rPr>
                <w:bCs/>
                <w:sz w:val="22"/>
                <w:szCs w:val="22"/>
              </w:rPr>
              <w:t>5</w:t>
            </w:r>
          </w:p>
        </w:tc>
        <w:tc>
          <w:tcPr>
            <w:tcW w:w="2127" w:type="dxa"/>
            <w:tcBorders>
              <w:top w:val="nil"/>
              <w:left w:val="single" w:sz="4" w:space="0" w:color="auto"/>
              <w:bottom w:val="nil"/>
              <w:right w:val="single" w:sz="4" w:space="0" w:color="auto"/>
            </w:tcBorders>
          </w:tcPr>
          <w:p w14:paraId="5B12F8F8" w14:textId="77777777" w:rsidR="008D7159" w:rsidRPr="00076B84" w:rsidRDefault="008D7159" w:rsidP="005D63E8">
            <w:pPr>
              <w:rPr>
                <w:bCs/>
                <w:sz w:val="22"/>
                <w:szCs w:val="22"/>
              </w:rPr>
            </w:pPr>
            <w:r w:rsidRPr="00076B84">
              <w:rPr>
                <w:bCs/>
                <w:sz w:val="22"/>
                <w:szCs w:val="22"/>
              </w:rPr>
              <w:t>C/P</w:t>
            </w:r>
          </w:p>
        </w:tc>
        <w:tc>
          <w:tcPr>
            <w:tcW w:w="6372" w:type="dxa"/>
            <w:tcBorders>
              <w:top w:val="nil"/>
              <w:left w:val="single" w:sz="4" w:space="0" w:color="auto"/>
              <w:bottom w:val="nil"/>
              <w:right w:val="single" w:sz="4" w:space="0" w:color="auto"/>
            </w:tcBorders>
          </w:tcPr>
          <w:p w14:paraId="01E62DC5" w14:textId="77777777" w:rsidR="008D7159" w:rsidRPr="00076B84" w:rsidRDefault="008D7159" w:rsidP="005D63E8">
            <w:pPr>
              <w:rPr>
                <w:bCs/>
                <w:sz w:val="22"/>
                <w:szCs w:val="22"/>
              </w:rPr>
            </w:pPr>
            <w:r w:rsidRPr="00076B84">
              <w:rPr>
                <w:bCs/>
                <w:sz w:val="22"/>
                <w:szCs w:val="22"/>
              </w:rPr>
              <w:t xml:space="preserve">Citations per publication </w:t>
            </w:r>
          </w:p>
        </w:tc>
      </w:tr>
      <w:tr w:rsidR="008D7159" w:rsidRPr="00076B84" w14:paraId="54DC856F" w14:textId="77777777" w:rsidTr="008D7159">
        <w:trPr>
          <w:trHeight w:val="126"/>
          <w:jc w:val="center"/>
        </w:trPr>
        <w:tc>
          <w:tcPr>
            <w:tcW w:w="562" w:type="dxa"/>
            <w:tcBorders>
              <w:top w:val="nil"/>
              <w:left w:val="single" w:sz="4" w:space="0" w:color="auto"/>
              <w:bottom w:val="nil"/>
              <w:right w:val="single" w:sz="4" w:space="0" w:color="auto"/>
            </w:tcBorders>
          </w:tcPr>
          <w:p w14:paraId="3DE76082" w14:textId="77777777" w:rsidR="008D7159" w:rsidRPr="00076B84" w:rsidRDefault="008D7159" w:rsidP="005D63E8">
            <w:pPr>
              <w:rPr>
                <w:bCs/>
                <w:sz w:val="22"/>
                <w:szCs w:val="22"/>
              </w:rPr>
            </w:pPr>
            <w:r w:rsidRPr="00076B84">
              <w:rPr>
                <w:bCs/>
                <w:sz w:val="22"/>
                <w:szCs w:val="22"/>
              </w:rPr>
              <w:t>6</w:t>
            </w:r>
          </w:p>
        </w:tc>
        <w:tc>
          <w:tcPr>
            <w:tcW w:w="2127" w:type="dxa"/>
            <w:tcBorders>
              <w:top w:val="nil"/>
              <w:left w:val="single" w:sz="4" w:space="0" w:color="auto"/>
              <w:bottom w:val="nil"/>
              <w:right w:val="single" w:sz="4" w:space="0" w:color="auto"/>
            </w:tcBorders>
          </w:tcPr>
          <w:p w14:paraId="706E2687" w14:textId="77777777" w:rsidR="008D7159" w:rsidRPr="00076B84" w:rsidRDefault="008D7159" w:rsidP="005D63E8">
            <w:pPr>
              <w:rPr>
                <w:bCs/>
                <w:sz w:val="22"/>
                <w:szCs w:val="22"/>
              </w:rPr>
            </w:pPr>
            <w:r w:rsidRPr="00076B84">
              <w:rPr>
                <w:bCs/>
                <w:sz w:val="22"/>
                <w:szCs w:val="22"/>
              </w:rPr>
              <w:t>FWCI Sum</w:t>
            </w:r>
          </w:p>
        </w:tc>
        <w:tc>
          <w:tcPr>
            <w:tcW w:w="6372" w:type="dxa"/>
            <w:tcBorders>
              <w:top w:val="nil"/>
              <w:left w:val="single" w:sz="4" w:space="0" w:color="auto"/>
              <w:bottom w:val="nil"/>
              <w:right w:val="single" w:sz="4" w:space="0" w:color="auto"/>
            </w:tcBorders>
          </w:tcPr>
          <w:p w14:paraId="4CC8F7F0" w14:textId="77777777" w:rsidR="008D7159" w:rsidRPr="00076B84" w:rsidRDefault="008D7159" w:rsidP="005D63E8">
            <w:pPr>
              <w:rPr>
                <w:bCs/>
                <w:sz w:val="22"/>
                <w:szCs w:val="22"/>
              </w:rPr>
            </w:pPr>
            <w:r w:rsidRPr="00076B84">
              <w:rPr>
                <w:bCs/>
                <w:sz w:val="22"/>
                <w:szCs w:val="22"/>
              </w:rPr>
              <w:t>Sum field weighted citation impact</w:t>
            </w:r>
          </w:p>
        </w:tc>
      </w:tr>
      <w:tr w:rsidR="008D7159" w:rsidRPr="00076B84" w14:paraId="09CF68F2" w14:textId="77777777" w:rsidTr="008D7159">
        <w:trPr>
          <w:trHeight w:val="126"/>
          <w:jc w:val="center"/>
        </w:trPr>
        <w:tc>
          <w:tcPr>
            <w:tcW w:w="562" w:type="dxa"/>
            <w:tcBorders>
              <w:top w:val="nil"/>
              <w:left w:val="single" w:sz="4" w:space="0" w:color="auto"/>
              <w:bottom w:val="nil"/>
              <w:right w:val="single" w:sz="4" w:space="0" w:color="auto"/>
            </w:tcBorders>
          </w:tcPr>
          <w:p w14:paraId="2AF7C599" w14:textId="77777777" w:rsidR="008D7159" w:rsidRPr="00076B84" w:rsidRDefault="008D7159" w:rsidP="005D63E8">
            <w:pPr>
              <w:rPr>
                <w:bCs/>
                <w:sz w:val="22"/>
                <w:szCs w:val="22"/>
              </w:rPr>
            </w:pPr>
            <w:r w:rsidRPr="00076B84">
              <w:rPr>
                <w:bCs/>
                <w:sz w:val="22"/>
                <w:szCs w:val="22"/>
              </w:rPr>
              <w:t>7</w:t>
            </w:r>
          </w:p>
        </w:tc>
        <w:tc>
          <w:tcPr>
            <w:tcW w:w="2127" w:type="dxa"/>
            <w:tcBorders>
              <w:top w:val="nil"/>
              <w:left w:val="single" w:sz="4" w:space="0" w:color="auto"/>
              <w:bottom w:val="nil"/>
              <w:right w:val="single" w:sz="4" w:space="0" w:color="auto"/>
            </w:tcBorders>
          </w:tcPr>
          <w:p w14:paraId="7E6442FD" w14:textId="77777777" w:rsidR="008D7159" w:rsidRPr="00076B84" w:rsidRDefault="008D7159" w:rsidP="005D63E8">
            <w:pPr>
              <w:rPr>
                <w:bCs/>
                <w:sz w:val="22"/>
                <w:szCs w:val="22"/>
              </w:rPr>
            </w:pPr>
            <w:r w:rsidRPr="00076B84">
              <w:rPr>
                <w:bCs/>
                <w:sz w:val="22"/>
                <w:szCs w:val="22"/>
              </w:rPr>
              <w:t>FWCI Average</w:t>
            </w:r>
          </w:p>
        </w:tc>
        <w:tc>
          <w:tcPr>
            <w:tcW w:w="6372" w:type="dxa"/>
            <w:tcBorders>
              <w:top w:val="nil"/>
              <w:left w:val="single" w:sz="4" w:space="0" w:color="auto"/>
              <w:bottom w:val="nil"/>
              <w:right w:val="single" w:sz="4" w:space="0" w:color="auto"/>
            </w:tcBorders>
          </w:tcPr>
          <w:p w14:paraId="676ADDE4" w14:textId="77777777" w:rsidR="008D7159" w:rsidRPr="00076B84" w:rsidRDefault="008D7159" w:rsidP="005D63E8">
            <w:pPr>
              <w:rPr>
                <w:bCs/>
                <w:sz w:val="22"/>
                <w:szCs w:val="22"/>
              </w:rPr>
            </w:pPr>
            <w:r w:rsidRPr="00076B84">
              <w:rPr>
                <w:bCs/>
                <w:sz w:val="22"/>
                <w:szCs w:val="22"/>
              </w:rPr>
              <w:t>Average field weighted citation impact</w:t>
            </w:r>
          </w:p>
        </w:tc>
      </w:tr>
      <w:tr w:rsidR="008D7159" w:rsidRPr="00076B84" w14:paraId="0A679E7E" w14:textId="77777777" w:rsidTr="008D7159">
        <w:trPr>
          <w:trHeight w:val="126"/>
          <w:jc w:val="center"/>
        </w:trPr>
        <w:tc>
          <w:tcPr>
            <w:tcW w:w="562" w:type="dxa"/>
            <w:tcBorders>
              <w:top w:val="nil"/>
              <w:left w:val="single" w:sz="4" w:space="0" w:color="auto"/>
              <w:bottom w:val="nil"/>
              <w:right w:val="single" w:sz="4" w:space="0" w:color="auto"/>
            </w:tcBorders>
          </w:tcPr>
          <w:p w14:paraId="74F9BBB7" w14:textId="77777777" w:rsidR="008D7159" w:rsidRPr="00076B84" w:rsidRDefault="008D7159" w:rsidP="005D63E8">
            <w:pPr>
              <w:rPr>
                <w:bCs/>
                <w:sz w:val="22"/>
                <w:szCs w:val="22"/>
              </w:rPr>
            </w:pPr>
            <w:r w:rsidRPr="00076B84">
              <w:rPr>
                <w:bCs/>
                <w:sz w:val="22"/>
                <w:szCs w:val="22"/>
              </w:rPr>
              <w:t>8</w:t>
            </w:r>
          </w:p>
        </w:tc>
        <w:tc>
          <w:tcPr>
            <w:tcW w:w="2127" w:type="dxa"/>
            <w:tcBorders>
              <w:top w:val="nil"/>
              <w:left w:val="single" w:sz="4" w:space="0" w:color="auto"/>
              <w:bottom w:val="nil"/>
              <w:right w:val="single" w:sz="4" w:space="0" w:color="auto"/>
            </w:tcBorders>
          </w:tcPr>
          <w:p w14:paraId="2BA35757" w14:textId="77777777" w:rsidR="008D7159" w:rsidRPr="00076B84" w:rsidRDefault="008D7159" w:rsidP="005D63E8">
            <w:pPr>
              <w:rPr>
                <w:bCs/>
                <w:sz w:val="22"/>
                <w:szCs w:val="22"/>
              </w:rPr>
            </w:pPr>
            <w:r w:rsidRPr="00076B84">
              <w:rPr>
                <w:bCs/>
                <w:sz w:val="22"/>
                <w:szCs w:val="22"/>
              </w:rPr>
              <w:t>P10%</w:t>
            </w:r>
          </w:p>
        </w:tc>
        <w:tc>
          <w:tcPr>
            <w:tcW w:w="6372" w:type="dxa"/>
            <w:tcBorders>
              <w:top w:val="nil"/>
              <w:left w:val="single" w:sz="4" w:space="0" w:color="auto"/>
              <w:bottom w:val="nil"/>
              <w:right w:val="single" w:sz="4" w:space="0" w:color="auto"/>
            </w:tcBorders>
          </w:tcPr>
          <w:p w14:paraId="345A61D3" w14:textId="77777777" w:rsidR="008D7159" w:rsidRPr="00076B84" w:rsidRDefault="008D7159" w:rsidP="005D63E8">
            <w:pPr>
              <w:rPr>
                <w:bCs/>
                <w:sz w:val="22"/>
                <w:szCs w:val="22"/>
              </w:rPr>
            </w:pPr>
            <w:r w:rsidRPr="00076B84">
              <w:rPr>
                <w:bCs/>
                <w:sz w:val="22"/>
                <w:szCs w:val="22"/>
              </w:rPr>
              <w:t xml:space="preserve">Number top 10% cited papers </w:t>
            </w:r>
          </w:p>
        </w:tc>
      </w:tr>
      <w:tr w:rsidR="008D7159" w:rsidRPr="00076B84" w14:paraId="24E2E649" w14:textId="77777777" w:rsidTr="008D7159">
        <w:trPr>
          <w:trHeight w:val="126"/>
          <w:jc w:val="center"/>
        </w:trPr>
        <w:tc>
          <w:tcPr>
            <w:tcW w:w="562" w:type="dxa"/>
            <w:tcBorders>
              <w:top w:val="nil"/>
              <w:left w:val="single" w:sz="4" w:space="0" w:color="auto"/>
              <w:bottom w:val="nil"/>
              <w:right w:val="single" w:sz="4" w:space="0" w:color="auto"/>
            </w:tcBorders>
          </w:tcPr>
          <w:p w14:paraId="4437FC26" w14:textId="77777777" w:rsidR="008D7159" w:rsidRPr="00076B84" w:rsidRDefault="008D7159" w:rsidP="00F106EE">
            <w:pPr>
              <w:rPr>
                <w:bCs/>
                <w:sz w:val="22"/>
                <w:szCs w:val="22"/>
              </w:rPr>
            </w:pPr>
            <w:r w:rsidRPr="00076B84">
              <w:rPr>
                <w:bCs/>
                <w:sz w:val="22"/>
                <w:szCs w:val="22"/>
              </w:rPr>
              <w:t>9</w:t>
            </w:r>
          </w:p>
        </w:tc>
        <w:tc>
          <w:tcPr>
            <w:tcW w:w="2127" w:type="dxa"/>
            <w:tcBorders>
              <w:top w:val="nil"/>
              <w:left w:val="single" w:sz="4" w:space="0" w:color="auto"/>
              <w:bottom w:val="nil"/>
              <w:right w:val="single" w:sz="4" w:space="0" w:color="auto"/>
            </w:tcBorders>
          </w:tcPr>
          <w:p w14:paraId="32D1165F" w14:textId="77777777" w:rsidR="008D7159" w:rsidRPr="00076B84" w:rsidRDefault="008D7159" w:rsidP="00F106EE">
            <w:pPr>
              <w:rPr>
                <w:bCs/>
                <w:sz w:val="22"/>
                <w:szCs w:val="22"/>
              </w:rPr>
            </w:pPr>
            <w:r w:rsidRPr="00076B84">
              <w:rPr>
                <w:bCs/>
                <w:sz w:val="22"/>
                <w:szCs w:val="22"/>
              </w:rPr>
              <w:t>P10% FN</w:t>
            </w:r>
          </w:p>
        </w:tc>
        <w:tc>
          <w:tcPr>
            <w:tcW w:w="6372" w:type="dxa"/>
            <w:tcBorders>
              <w:top w:val="nil"/>
              <w:left w:val="single" w:sz="4" w:space="0" w:color="auto"/>
              <w:bottom w:val="nil"/>
              <w:right w:val="single" w:sz="4" w:space="0" w:color="auto"/>
            </w:tcBorders>
          </w:tcPr>
          <w:p w14:paraId="1A5408D0" w14:textId="77777777" w:rsidR="008D7159" w:rsidRPr="00076B84" w:rsidRDefault="008D7159" w:rsidP="00F106EE">
            <w:pPr>
              <w:rPr>
                <w:bCs/>
                <w:sz w:val="22"/>
                <w:szCs w:val="22"/>
              </w:rPr>
            </w:pPr>
            <w:r w:rsidRPr="00076B84">
              <w:rPr>
                <w:bCs/>
                <w:sz w:val="22"/>
                <w:szCs w:val="22"/>
              </w:rPr>
              <w:t>Number top 10% cited papers, field normalized</w:t>
            </w:r>
          </w:p>
        </w:tc>
      </w:tr>
      <w:tr w:rsidR="008D7159" w:rsidRPr="00076B84" w14:paraId="1DCCA4BC" w14:textId="77777777" w:rsidTr="008D7159">
        <w:trPr>
          <w:trHeight w:val="126"/>
          <w:jc w:val="center"/>
        </w:trPr>
        <w:tc>
          <w:tcPr>
            <w:tcW w:w="562" w:type="dxa"/>
            <w:tcBorders>
              <w:top w:val="nil"/>
              <w:left w:val="single" w:sz="4" w:space="0" w:color="auto"/>
              <w:bottom w:val="nil"/>
              <w:right w:val="single" w:sz="4" w:space="0" w:color="auto"/>
            </w:tcBorders>
          </w:tcPr>
          <w:p w14:paraId="2FA94661" w14:textId="77777777" w:rsidR="008D7159" w:rsidRPr="00076B84" w:rsidRDefault="008D7159" w:rsidP="00F106EE">
            <w:pPr>
              <w:rPr>
                <w:bCs/>
                <w:sz w:val="22"/>
                <w:szCs w:val="22"/>
              </w:rPr>
            </w:pPr>
            <w:r w:rsidRPr="00076B84">
              <w:rPr>
                <w:bCs/>
                <w:sz w:val="22"/>
                <w:szCs w:val="22"/>
              </w:rPr>
              <w:t>10</w:t>
            </w:r>
          </w:p>
        </w:tc>
        <w:tc>
          <w:tcPr>
            <w:tcW w:w="2127" w:type="dxa"/>
            <w:tcBorders>
              <w:top w:val="nil"/>
              <w:left w:val="single" w:sz="4" w:space="0" w:color="auto"/>
              <w:bottom w:val="nil"/>
              <w:right w:val="single" w:sz="4" w:space="0" w:color="auto"/>
            </w:tcBorders>
          </w:tcPr>
          <w:p w14:paraId="0BFDB223" w14:textId="77777777" w:rsidR="008D7159" w:rsidRPr="00076B84" w:rsidRDefault="008D7159" w:rsidP="00F106EE">
            <w:pPr>
              <w:rPr>
                <w:bCs/>
                <w:sz w:val="22"/>
                <w:szCs w:val="22"/>
              </w:rPr>
            </w:pPr>
            <w:r w:rsidRPr="00076B84">
              <w:rPr>
                <w:bCs/>
                <w:sz w:val="22"/>
                <w:szCs w:val="22"/>
              </w:rPr>
              <w:t>P10% FN frac</w:t>
            </w:r>
          </w:p>
        </w:tc>
        <w:tc>
          <w:tcPr>
            <w:tcW w:w="6372" w:type="dxa"/>
            <w:tcBorders>
              <w:top w:val="nil"/>
              <w:left w:val="single" w:sz="4" w:space="0" w:color="auto"/>
              <w:bottom w:val="nil"/>
              <w:right w:val="single" w:sz="4" w:space="0" w:color="auto"/>
            </w:tcBorders>
          </w:tcPr>
          <w:p w14:paraId="1EA7935A" w14:textId="77777777" w:rsidR="008D7159" w:rsidRPr="00076B84" w:rsidRDefault="008D7159" w:rsidP="00F106EE">
            <w:pPr>
              <w:rPr>
                <w:bCs/>
                <w:sz w:val="22"/>
                <w:szCs w:val="22"/>
              </w:rPr>
            </w:pPr>
            <w:r w:rsidRPr="00076B84">
              <w:rPr>
                <w:bCs/>
                <w:sz w:val="22"/>
                <w:szCs w:val="22"/>
              </w:rPr>
              <w:t>Number top 10% cited papers, field normalized, frac counted</w:t>
            </w:r>
          </w:p>
        </w:tc>
      </w:tr>
      <w:tr w:rsidR="008D7159" w:rsidRPr="00076B84" w14:paraId="1066B369" w14:textId="77777777" w:rsidTr="008D7159">
        <w:trPr>
          <w:trHeight w:val="126"/>
          <w:jc w:val="center"/>
        </w:trPr>
        <w:tc>
          <w:tcPr>
            <w:tcW w:w="562" w:type="dxa"/>
            <w:tcBorders>
              <w:top w:val="nil"/>
              <w:left w:val="single" w:sz="4" w:space="0" w:color="auto"/>
              <w:bottom w:val="nil"/>
              <w:right w:val="single" w:sz="4" w:space="0" w:color="auto"/>
            </w:tcBorders>
          </w:tcPr>
          <w:p w14:paraId="4ED88D3F" w14:textId="77777777" w:rsidR="008D7159" w:rsidRPr="00076B84" w:rsidRDefault="008D7159" w:rsidP="00F106EE">
            <w:pPr>
              <w:rPr>
                <w:bCs/>
                <w:sz w:val="22"/>
                <w:szCs w:val="22"/>
              </w:rPr>
            </w:pPr>
            <w:r w:rsidRPr="00076B84">
              <w:rPr>
                <w:bCs/>
                <w:sz w:val="22"/>
                <w:szCs w:val="22"/>
              </w:rPr>
              <w:t>11</w:t>
            </w:r>
          </w:p>
        </w:tc>
        <w:tc>
          <w:tcPr>
            <w:tcW w:w="2127" w:type="dxa"/>
            <w:tcBorders>
              <w:top w:val="nil"/>
              <w:left w:val="single" w:sz="4" w:space="0" w:color="auto"/>
              <w:bottom w:val="nil"/>
              <w:right w:val="single" w:sz="4" w:space="0" w:color="auto"/>
            </w:tcBorders>
          </w:tcPr>
          <w:p w14:paraId="64AF98A1" w14:textId="77777777" w:rsidR="008D7159" w:rsidRPr="00076B84" w:rsidRDefault="008D7159" w:rsidP="00F106EE">
            <w:pPr>
              <w:rPr>
                <w:bCs/>
                <w:sz w:val="22"/>
                <w:szCs w:val="22"/>
              </w:rPr>
            </w:pPr>
            <w:r w:rsidRPr="00076B84">
              <w:rPr>
                <w:bCs/>
                <w:sz w:val="22"/>
                <w:szCs w:val="22"/>
              </w:rPr>
              <w:t>P10% share</w:t>
            </w:r>
          </w:p>
        </w:tc>
        <w:tc>
          <w:tcPr>
            <w:tcW w:w="6372" w:type="dxa"/>
            <w:tcBorders>
              <w:top w:val="nil"/>
              <w:left w:val="single" w:sz="4" w:space="0" w:color="auto"/>
              <w:bottom w:val="nil"/>
              <w:right w:val="single" w:sz="4" w:space="0" w:color="auto"/>
            </w:tcBorders>
          </w:tcPr>
          <w:p w14:paraId="3F7F4429" w14:textId="77777777" w:rsidR="008D7159" w:rsidRPr="00076B84" w:rsidRDefault="008D7159" w:rsidP="00F106EE">
            <w:pPr>
              <w:rPr>
                <w:bCs/>
                <w:sz w:val="22"/>
                <w:szCs w:val="22"/>
              </w:rPr>
            </w:pPr>
            <w:r w:rsidRPr="00076B84">
              <w:rPr>
                <w:bCs/>
                <w:sz w:val="22"/>
                <w:szCs w:val="22"/>
              </w:rPr>
              <w:t>Share top 10% cited papers</w:t>
            </w:r>
          </w:p>
        </w:tc>
      </w:tr>
      <w:tr w:rsidR="008D7159" w:rsidRPr="00076B84" w14:paraId="673D7093" w14:textId="77777777" w:rsidTr="008D7159">
        <w:trPr>
          <w:trHeight w:val="126"/>
          <w:jc w:val="center"/>
        </w:trPr>
        <w:tc>
          <w:tcPr>
            <w:tcW w:w="562" w:type="dxa"/>
            <w:tcBorders>
              <w:top w:val="nil"/>
              <w:left w:val="single" w:sz="4" w:space="0" w:color="auto"/>
              <w:bottom w:val="nil"/>
              <w:right w:val="single" w:sz="4" w:space="0" w:color="auto"/>
            </w:tcBorders>
          </w:tcPr>
          <w:p w14:paraId="4EFD86CE" w14:textId="77777777" w:rsidR="008D7159" w:rsidRPr="00076B84" w:rsidRDefault="008D7159" w:rsidP="00F106EE">
            <w:pPr>
              <w:rPr>
                <w:color w:val="000000"/>
                <w:sz w:val="22"/>
                <w:szCs w:val="22"/>
              </w:rPr>
            </w:pPr>
            <w:r w:rsidRPr="00076B84">
              <w:rPr>
                <w:color w:val="000000"/>
                <w:sz w:val="22"/>
                <w:szCs w:val="22"/>
              </w:rPr>
              <w:t>12</w:t>
            </w:r>
          </w:p>
        </w:tc>
        <w:tc>
          <w:tcPr>
            <w:tcW w:w="2127" w:type="dxa"/>
            <w:tcBorders>
              <w:top w:val="nil"/>
              <w:left w:val="single" w:sz="4" w:space="0" w:color="auto"/>
              <w:bottom w:val="nil"/>
              <w:right w:val="single" w:sz="4" w:space="0" w:color="auto"/>
            </w:tcBorders>
          </w:tcPr>
          <w:p w14:paraId="6F29677F" w14:textId="77777777" w:rsidR="008D7159" w:rsidRPr="00076B84" w:rsidRDefault="008D7159" w:rsidP="00F106EE">
            <w:pPr>
              <w:rPr>
                <w:bCs/>
                <w:sz w:val="22"/>
                <w:szCs w:val="22"/>
              </w:rPr>
            </w:pPr>
            <w:r w:rsidRPr="00076B84">
              <w:rPr>
                <w:color w:val="000000"/>
                <w:sz w:val="22"/>
                <w:szCs w:val="22"/>
              </w:rPr>
              <w:t>PP10%</w:t>
            </w:r>
          </w:p>
        </w:tc>
        <w:tc>
          <w:tcPr>
            <w:tcW w:w="6372" w:type="dxa"/>
            <w:tcBorders>
              <w:top w:val="nil"/>
              <w:left w:val="single" w:sz="4" w:space="0" w:color="auto"/>
              <w:bottom w:val="nil"/>
              <w:right w:val="single" w:sz="4" w:space="0" w:color="auto"/>
            </w:tcBorders>
          </w:tcPr>
          <w:p w14:paraId="22746B19" w14:textId="77777777" w:rsidR="008D7159" w:rsidRPr="00076B84" w:rsidRDefault="008D7159" w:rsidP="00F106EE">
            <w:pPr>
              <w:rPr>
                <w:bCs/>
                <w:sz w:val="22"/>
                <w:szCs w:val="22"/>
              </w:rPr>
            </w:pPr>
            <w:r w:rsidRPr="00076B84">
              <w:rPr>
                <w:bCs/>
                <w:sz w:val="22"/>
                <w:szCs w:val="22"/>
              </w:rPr>
              <w:t>Share top 10% cited papers</w:t>
            </w:r>
          </w:p>
        </w:tc>
      </w:tr>
      <w:tr w:rsidR="008D7159" w:rsidRPr="00076B84" w14:paraId="2EB0B836" w14:textId="77777777" w:rsidTr="008D7159">
        <w:trPr>
          <w:trHeight w:val="126"/>
          <w:jc w:val="center"/>
        </w:trPr>
        <w:tc>
          <w:tcPr>
            <w:tcW w:w="562" w:type="dxa"/>
            <w:tcBorders>
              <w:top w:val="nil"/>
              <w:left w:val="single" w:sz="4" w:space="0" w:color="auto"/>
              <w:bottom w:val="nil"/>
              <w:right w:val="single" w:sz="4" w:space="0" w:color="auto"/>
            </w:tcBorders>
          </w:tcPr>
          <w:p w14:paraId="3B14B715" w14:textId="77777777" w:rsidR="008D7159" w:rsidRPr="00076B84" w:rsidRDefault="008D7159" w:rsidP="00F106EE">
            <w:pPr>
              <w:rPr>
                <w:bCs/>
                <w:sz w:val="22"/>
                <w:szCs w:val="22"/>
              </w:rPr>
            </w:pPr>
            <w:r w:rsidRPr="00076B84">
              <w:rPr>
                <w:bCs/>
                <w:sz w:val="22"/>
                <w:szCs w:val="22"/>
              </w:rPr>
              <w:t>13</w:t>
            </w:r>
          </w:p>
        </w:tc>
        <w:tc>
          <w:tcPr>
            <w:tcW w:w="2127" w:type="dxa"/>
            <w:tcBorders>
              <w:top w:val="nil"/>
              <w:left w:val="single" w:sz="4" w:space="0" w:color="auto"/>
              <w:bottom w:val="nil"/>
              <w:right w:val="single" w:sz="4" w:space="0" w:color="auto"/>
            </w:tcBorders>
          </w:tcPr>
          <w:p w14:paraId="24C067E3" w14:textId="77777777" w:rsidR="008D7159" w:rsidRPr="00076B84" w:rsidRDefault="008D7159" w:rsidP="00F106EE">
            <w:pPr>
              <w:rPr>
                <w:bCs/>
                <w:sz w:val="22"/>
                <w:szCs w:val="22"/>
              </w:rPr>
            </w:pPr>
            <w:r w:rsidRPr="00076B84">
              <w:rPr>
                <w:bCs/>
                <w:sz w:val="22"/>
                <w:szCs w:val="22"/>
              </w:rPr>
              <w:t xml:space="preserve">PP10% FN </w:t>
            </w:r>
          </w:p>
        </w:tc>
        <w:tc>
          <w:tcPr>
            <w:tcW w:w="6372" w:type="dxa"/>
            <w:tcBorders>
              <w:top w:val="nil"/>
              <w:left w:val="single" w:sz="4" w:space="0" w:color="auto"/>
              <w:bottom w:val="nil"/>
              <w:right w:val="single" w:sz="4" w:space="0" w:color="auto"/>
            </w:tcBorders>
          </w:tcPr>
          <w:p w14:paraId="045E3F58" w14:textId="77777777" w:rsidR="008D7159" w:rsidRPr="00076B84" w:rsidRDefault="008D7159" w:rsidP="00F106EE">
            <w:pPr>
              <w:rPr>
                <w:bCs/>
                <w:sz w:val="22"/>
                <w:szCs w:val="22"/>
              </w:rPr>
            </w:pPr>
            <w:r w:rsidRPr="00076B84">
              <w:rPr>
                <w:bCs/>
                <w:sz w:val="22"/>
                <w:szCs w:val="22"/>
              </w:rPr>
              <w:t xml:space="preserve">Share top 10% cited papers, field normalized, </w:t>
            </w:r>
          </w:p>
        </w:tc>
      </w:tr>
      <w:tr w:rsidR="008D7159" w:rsidRPr="00076B84" w14:paraId="2A5E57CF" w14:textId="77777777" w:rsidTr="008D7159">
        <w:trPr>
          <w:trHeight w:val="126"/>
          <w:jc w:val="center"/>
        </w:trPr>
        <w:tc>
          <w:tcPr>
            <w:tcW w:w="562" w:type="dxa"/>
            <w:tcBorders>
              <w:top w:val="nil"/>
              <w:left w:val="single" w:sz="4" w:space="0" w:color="auto"/>
              <w:bottom w:val="nil"/>
              <w:right w:val="single" w:sz="4" w:space="0" w:color="auto"/>
            </w:tcBorders>
          </w:tcPr>
          <w:p w14:paraId="4C97ADA8" w14:textId="77777777" w:rsidR="008D7159" w:rsidRPr="00076B84" w:rsidRDefault="008D7159" w:rsidP="00F106EE">
            <w:pPr>
              <w:rPr>
                <w:color w:val="000000"/>
                <w:sz w:val="22"/>
                <w:szCs w:val="22"/>
              </w:rPr>
            </w:pPr>
            <w:r w:rsidRPr="00076B84">
              <w:rPr>
                <w:color w:val="000000"/>
                <w:sz w:val="22"/>
                <w:szCs w:val="22"/>
              </w:rPr>
              <w:t>14</w:t>
            </w:r>
          </w:p>
        </w:tc>
        <w:tc>
          <w:tcPr>
            <w:tcW w:w="2127" w:type="dxa"/>
            <w:tcBorders>
              <w:top w:val="nil"/>
              <w:left w:val="single" w:sz="4" w:space="0" w:color="auto"/>
              <w:bottom w:val="nil"/>
              <w:right w:val="single" w:sz="4" w:space="0" w:color="auto"/>
            </w:tcBorders>
            <w:vAlign w:val="bottom"/>
          </w:tcPr>
          <w:p w14:paraId="71EDEF27" w14:textId="77777777" w:rsidR="008D7159" w:rsidRPr="00076B84" w:rsidRDefault="008D7159" w:rsidP="00F106EE">
            <w:pPr>
              <w:rPr>
                <w:bCs/>
                <w:sz w:val="22"/>
                <w:szCs w:val="22"/>
              </w:rPr>
            </w:pPr>
            <w:r w:rsidRPr="00076B84">
              <w:rPr>
                <w:color w:val="000000"/>
                <w:sz w:val="22"/>
                <w:szCs w:val="22"/>
              </w:rPr>
              <w:t xml:space="preserve">PP10% FN frac </w:t>
            </w:r>
          </w:p>
        </w:tc>
        <w:tc>
          <w:tcPr>
            <w:tcW w:w="6372" w:type="dxa"/>
            <w:tcBorders>
              <w:top w:val="nil"/>
              <w:left w:val="single" w:sz="4" w:space="0" w:color="auto"/>
              <w:bottom w:val="nil"/>
              <w:right w:val="single" w:sz="4" w:space="0" w:color="auto"/>
            </w:tcBorders>
          </w:tcPr>
          <w:p w14:paraId="4FFCA54D" w14:textId="77777777" w:rsidR="008D7159" w:rsidRPr="00076B84" w:rsidRDefault="008D7159" w:rsidP="00F106EE">
            <w:pPr>
              <w:rPr>
                <w:bCs/>
                <w:sz w:val="22"/>
                <w:szCs w:val="22"/>
              </w:rPr>
            </w:pPr>
            <w:r w:rsidRPr="00076B84">
              <w:rPr>
                <w:bCs/>
                <w:sz w:val="22"/>
                <w:szCs w:val="22"/>
              </w:rPr>
              <w:t>Share top 10% cited papers, field normalized, frac counted</w:t>
            </w:r>
          </w:p>
        </w:tc>
      </w:tr>
      <w:tr w:rsidR="008D7159" w:rsidRPr="00076B84" w14:paraId="3698F1A8" w14:textId="77777777" w:rsidTr="008D7159">
        <w:trPr>
          <w:trHeight w:val="126"/>
          <w:jc w:val="center"/>
        </w:trPr>
        <w:tc>
          <w:tcPr>
            <w:tcW w:w="562" w:type="dxa"/>
            <w:tcBorders>
              <w:top w:val="nil"/>
              <w:left w:val="single" w:sz="4" w:space="0" w:color="auto"/>
              <w:bottom w:val="nil"/>
              <w:right w:val="single" w:sz="4" w:space="0" w:color="auto"/>
            </w:tcBorders>
          </w:tcPr>
          <w:p w14:paraId="005B7C11" w14:textId="77777777" w:rsidR="008D7159" w:rsidRPr="00076B84" w:rsidRDefault="008D7159" w:rsidP="00F106EE">
            <w:pPr>
              <w:rPr>
                <w:bCs/>
                <w:sz w:val="22"/>
                <w:szCs w:val="22"/>
              </w:rPr>
            </w:pPr>
            <w:r w:rsidRPr="00076B84">
              <w:rPr>
                <w:bCs/>
                <w:sz w:val="22"/>
                <w:szCs w:val="22"/>
              </w:rPr>
              <w:t>15</w:t>
            </w:r>
          </w:p>
        </w:tc>
        <w:tc>
          <w:tcPr>
            <w:tcW w:w="2127" w:type="dxa"/>
            <w:tcBorders>
              <w:top w:val="nil"/>
              <w:left w:val="single" w:sz="4" w:space="0" w:color="auto"/>
              <w:bottom w:val="nil"/>
              <w:right w:val="single" w:sz="4" w:space="0" w:color="auto"/>
            </w:tcBorders>
          </w:tcPr>
          <w:p w14:paraId="50B33FD0" w14:textId="77777777" w:rsidR="008D7159" w:rsidRPr="00076B84" w:rsidRDefault="008D7159" w:rsidP="00F106EE">
            <w:pPr>
              <w:rPr>
                <w:bCs/>
                <w:sz w:val="22"/>
                <w:szCs w:val="22"/>
              </w:rPr>
            </w:pPr>
            <w:r w:rsidRPr="00076B84">
              <w:rPr>
                <w:bCs/>
                <w:sz w:val="22"/>
                <w:szCs w:val="22"/>
              </w:rPr>
              <w:t>SJR</w:t>
            </w:r>
          </w:p>
        </w:tc>
        <w:tc>
          <w:tcPr>
            <w:tcW w:w="6372" w:type="dxa"/>
            <w:tcBorders>
              <w:top w:val="nil"/>
              <w:left w:val="single" w:sz="4" w:space="0" w:color="auto"/>
              <w:bottom w:val="nil"/>
              <w:right w:val="single" w:sz="4" w:space="0" w:color="auto"/>
            </w:tcBorders>
          </w:tcPr>
          <w:p w14:paraId="07A3EBC7" w14:textId="77777777" w:rsidR="008D7159" w:rsidRPr="00076B84" w:rsidRDefault="008D7159" w:rsidP="00F106EE">
            <w:pPr>
              <w:rPr>
                <w:bCs/>
                <w:sz w:val="22"/>
                <w:szCs w:val="22"/>
              </w:rPr>
            </w:pPr>
            <w:r w:rsidRPr="00076B84">
              <w:rPr>
                <w:bCs/>
                <w:sz w:val="22"/>
                <w:szCs w:val="22"/>
              </w:rPr>
              <w:t>SJR</w:t>
            </w:r>
          </w:p>
        </w:tc>
      </w:tr>
      <w:tr w:rsidR="008D7159" w:rsidRPr="00076B84" w14:paraId="1E630A00" w14:textId="77777777" w:rsidTr="008D7159">
        <w:trPr>
          <w:trHeight w:val="126"/>
          <w:jc w:val="center"/>
        </w:trPr>
        <w:tc>
          <w:tcPr>
            <w:tcW w:w="562" w:type="dxa"/>
            <w:tcBorders>
              <w:top w:val="nil"/>
              <w:left w:val="single" w:sz="4" w:space="0" w:color="auto"/>
              <w:bottom w:val="nil"/>
              <w:right w:val="single" w:sz="4" w:space="0" w:color="auto"/>
            </w:tcBorders>
          </w:tcPr>
          <w:p w14:paraId="247B94FF" w14:textId="77777777" w:rsidR="008D7159" w:rsidRPr="00076B84" w:rsidRDefault="008D7159" w:rsidP="00F106EE">
            <w:pPr>
              <w:rPr>
                <w:bCs/>
                <w:sz w:val="22"/>
                <w:szCs w:val="22"/>
              </w:rPr>
            </w:pPr>
            <w:r w:rsidRPr="00076B84">
              <w:rPr>
                <w:bCs/>
                <w:sz w:val="22"/>
                <w:szCs w:val="22"/>
              </w:rPr>
              <w:t>16</w:t>
            </w:r>
          </w:p>
        </w:tc>
        <w:tc>
          <w:tcPr>
            <w:tcW w:w="2127" w:type="dxa"/>
            <w:tcBorders>
              <w:top w:val="nil"/>
              <w:left w:val="single" w:sz="4" w:space="0" w:color="auto"/>
              <w:bottom w:val="nil"/>
              <w:right w:val="single" w:sz="4" w:space="0" w:color="auto"/>
            </w:tcBorders>
          </w:tcPr>
          <w:p w14:paraId="340FC1BF" w14:textId="77777777" w:rsidR="008D7159" w:rsidRPr="00076B84" w:rsidRDefault="008D7159" w:rsidP="00F106EE">
            <w:pPr>
              <w:rPr>
                <w:bCs/>
                <w:sz w:val="22"/>
                <w:szCs w:val="22"/>
              </w:rPr>
            </w:pPr>
            <w:r w:rsidRPr="00076B84">
              <w:rPr>
                <w:bCs/>
                <w:sz w:val="22"/>
                <w:szCs w:val="22"/>
              </w:rPr>
              <w:t>SNIP</w:t>
            </w:r>
          </w:p>
        </w:tc>
        <w:tc>
          <w:tcPr>
            <w:tcW w:w="6372" w:type="dxa"/>
            <w:tcBorders>
              <w:top w:val="nil"/>
              <w:left w:val="single" w:sz="4" w:space="0" w:color="auto"/>
              <w:bottom w:val="nil"/>
              <w:right w:val="single" w:sz="4" w:space="0" w:color="auto"/>
            </w:tcBorders>
          </w:tcPr>
          <w:p w14:paraId="5B887E52" w14:textId="77777777" w:rsidR="008D7159" w:rsidRPr="00076B84" w:rsidRDefault="008D7159" w:rsidP="00F106EE">
            <w:pPr>
              <w:rPr>
                <w:bCs/>
                <w:sz w:val="22"/>
                <w:szCs w:val="22"/>
              </w:rPr>
            </w:pPr>
            <w:r w:rsidRPr="00076B84">
              <w:rPr>
                <w:bCs/>
                <w:sz w:val="22"/>
                <w:szCs w:val="22"/>
              </w:rPr>
              <w:t>Average SNIP</w:t>
            </w:r>
          </w:p>
        </w:tc>
      </w:tr>
      <w:tr w:rsidR="008D7159" w:rsidRPr="00076B84" w14:paraId="0720418D" w14:textId="77777777" w:rsidTr="008D7159">
        <w:trPr>
          <w:trHeight w:val="126"/>
          <w:jc w:val="center"/>
        </w:trPr>
        <w:tc>
          <w:tcPr>
            <w:tcW w:w="562" w:type="dxa"/>
            <w:tcBorders>
              <w:top w:val="nil"/>
              <w:left w:val="single" w:sz="4" w:space="0" w:color="auto"/>
              <w:bottom w:val="single" w:sz="4" w:space="0" w:color="auto"/>
              <w:right w:val="single" w:sz="4" w:space="0" w:color="auto"/>
            </w:tcBorders>
          </w:tcPr>
          <w:p w14:paraId="58835F4A" w14:textId="77777777" w:rsidR="008D7159" w:rsidRPr="00076B84" w:rsidRDefault="008D7159" w:rsidP="00F106EE">
            <w:pPr>
              <w:rPr>
                <w:bCs/>
                <w:sz w:val="22"/>
                <w:szCs w:val="22"/>
              </w:rPr>
            </w:pPr>
            <w:r w:rsidRPr="00076B84">
              <w:rPr>
                <w:bCs/>
                <w:sz w:val="22"/>
                <w:szCs w:val="22"/>
              </w:rPr>
              <w:t>17</w:t>
            </w:r>
          </w:p>
        </w:tc>
        <w:tc>
          <w:tcPr>
            <w:tcW w:w="2127" w:type="dxa"/>
            <w:tcBorders>
              <w:top w:val="nil"/>
              <w:left w:val="single" w:sz="4" w:space="0" w:color="auto"/>
              <w:bottom w:val="single" w:sz="4" w:space="0" w:color="auto"/>
              <w:right w:val="single" w:sz="4" w:space="0" w:color="auto"/>
            </w:tcBorders>
          </w:tcPr>
          <w:p w14:paraId="42EB8A0D" w14:textId="77777777" w:rsidR="008D7159" w:rsidRPr="00076B84" w:rsidRDefault="008D7159" w:rsidP="00F106EE">
            <w:pPr>
              <w:rPr>
                <w:bCs/>
                <w:sz w:val="22"/>
                <w:szCs w:val="22"/>
              </w:rPr>
            </w:pPr>
            <w:r w:rsidRPr="00076B84">
              <w:rPr>
                <w:bCs/>
                <w:sz w:val="22"/>
                <w:szCs w:val="22"/>
              </w:rPr>
              <w:t>Citescore</w:t>
            </w:r>
          </w:p>
        </w:tc>
        <w:tc>
          <w:tcPr>
            <w:tcW w:w="6372" w:type="dxa"/>
            <w:tcBorders>
              <w:top w:val="nil"/>
              <w:left w:val="single" w:sz="4" w:space="0" w:color="auto"/>
              <w:bottom w:val="single" w:sz="4" w:space="0" w:color="auto"/>
              <w:right w:val="single" w:sz="4" w:space="0" w:color="auto"/>
            </w:tcBorders>
          </w:tcPr>
          <w:p w14:paraId="611BEB57" w14:textId="77777777" w:rsidR="008D7159" w:rsidRPr="00076B84" w:rsidRDefault="008D7159" w:rsidP="00F106EE">
            <w:pPr>
              <w:rPr>
                <w:bCs/>
                <w:sz w:val="22"/>
                <w:szCs w:val="22"/>
              </w:rPr>
            </w:pPr>
            <w:r w:rsidRPr="00076B84">
              <w:rPr>
                <w:bCs/>
                <w:sz w:val="22"/>
                <w:szCs w:val="22"/>
              </w:rPr>
              <w:t>Citescore</w:t>
            </w:r>
          </w:p>
        </w:tc>
      </w:tr>
    </w:tbl>
    <w:p w14:paraId="7B7F62A2" w14:textId="77777777" w:rsidR="005D63E8" w:rsidRPr="00076B84" w:rsidRDefault="005D63E8" w:rsidP="005D63E8">
      <w:pPr>
        <w:rPr>
          <w:bCs/>
        </w:rPr>
      </w:pPr>
    </w:p>
    <w:p w14:paraId="531EB9DD" w14:textId="5C73C30F" w:rsidR="0055399B" w:rsidRPr="00076B84" w:rsidRDefault="00F106EE" w:rsidP="0048099F">
      <w:pPr>
        <w:rPr>
          <w:bCs/>
        </w:rPr>
      </w:pPr>
      <w:r w:rsidRPr="00076B84">
        <w:rPr>
          <w:bCs/>
        </w:rPr>
        <w:t xml:space="preserve">Secondly, a </w:t>
      </w:r>
      <w:r w:rsidR="0048099F" w:rsidRPr="00076B84">
        <w:rPr>
          <w:bCs/>
        </w:rPr>
        <w:t>Principal Axis Factoring (PAF) with oblique rotation and Kaiser normalization</w:t>
      </w:r>
      <w:r w:rsidR="007B2CDC" w:rsidRPr="00076B84">
        <w:rPr>
          <w:bCs/>
        </w:rPr>
        <w:t xml:space="preserve"> was done and this resulted in the</w:t>
      </w:r>
      <w:r w:rsidR="0048099F" w:rsidRPr="00076B84">
        <w:rPr>
          <w:bCs/>
        </w:rPr>
        <w:t xml:space="preserve"> </w:t>
      </w:r>
      <w:r w:rsidR="007B2CDC" w:rsidRPr="00076B84">
        <w:rPr>
          <w:bCs/>
        </w:rPr>
        <w:t>identification of</w:t>
      </w:r>
      <w:r w:rsidR="0048099F" w:rsidRPr="00076B84">
        <w:rPr>
          <w:bCs/>
        </w:rPr>
        <w:t xml:space="preserve"> three underlying dimensions (Table </w:t>
      </w:r>
      <w:r w:rsidRPr="00076B84">
        <w:rPr>
          <w:bCs/>
        </w:rPr>
        <w:t>2</w:t>
      </w:r>
      <w:r w:rsidR="0048099F" w:rsidRPr="00076B84">
        <w:rPr>
          <w:bCs/>
        </w:rPr>
        <w:t>).</w:t>
      </w:r>
      <w:r w:rsidR="0055399B">
        <w:rPr>
          <w:lang w:val="en-US"/>
        </w:rPr>
        <w:t xml:space="preserve"> </w:t>
      </w:r>
    </w:p>
    <w:p w14:paraId="2F7FA0CA" w14:textId="77777777" w:rsidR="00F106EE" w:rsidRPr="00076B84" w:rsidRDefault="00F106EE" w:rsidP="0055399B">
      <w:pPr>
        <w:rPr>
          <w:bCs/>
        </w:rPr>
      </w:pPr>
    </w:p>
    <w:tbl>
      <w:tblPr>
        <w:tblW w:w="9056" w:type="dxa"/>
        <w:jc w:val="center"/>
        <w:tblLayout w:type="fixed"/>
        <w:tblLook w:val="04A0" w:firstRow="1" w:lastRow="0" w:firstColumn="1" w:lastColumn="0" w:noHBand="0" w:noVBand="1"/>
      </w:tblPr>
      <w:tblGrid>
        <w:gridCol w:w="2122"/>
        <w:gridCol w:w="2131"/>
        <w:gridCol w:w="2835"/>
        <w:gridCol w:w="257"/>
        <w:gridCol w:w="1711"/>
      </w:tblGrid>
      <w:tr w:rsidR="0048099F" w:rsidRPr="00076B84" w14:paraId="71960EEC" w14:textId="77777777" w:rsidTr="001B795A">
        <w:trPr>
          <w:trHeight w:val="304"/>
          <w:jc w:val="center"/>
        </w:trPr>
        <w:tc>
          <w:tcPr>
            <w:tcW w:w="7345" w:type="dxa"/>
            <w:gridSpan w:val="4"/>
            <w:tcBorders>
              <w:top w:val="nil"/>
              <w:left w:val="nil"/>
              <w:bottom w:val="nil"/>
              <w:right w:val="nil"/>
            </w:tcBorders>
            <w:shd w:val="clear" w:color="auto" w:fill="auto"/>
            <w:noWrap/>
            <w:vAlign w:val="bottom"/>
            <w:hideMark/>
          </w:tcPr>
          <w:p w14:paraId="4E484271" w14:textId="77777777" w:rsidR="0048099F" w:rsidRPr="00F47500" w:rsidRDefault="0048099F" w:rsidP="0048099F">
            <w:pPr>
              <w:rPr>
                <w:color w:val="000000"/>
                <w:sz w:val="22"/>
                <w:szCs w:val="22"/>
              </w:rPr>
            </w:pPr>
            <w:r w:rsidRPr="00F47500">
              <w:rPr>
                <w:b/>
                <w:bCs/>
                <w:color w:val="000000"/>
                <w:sz w:val="22"/>
                <w:szCs w:val="22"/>
              </w:rPr>
              <w:t>Table</w:t>
            </w:r>
            <w:r w:rsidR="008B4D8A" w:rsidRPr="00F47500">
              <w:rPr>
                <w:b/>
                <w:bCs/>
                <w:color w:val="000000"/>
                <w:sz w:val="22"/>
                <w:szCs w:val="22"/>
              </w:rPr>
              <w:t xml:space="preserve"> 2</w:t>
            </w:r>
            <w:r w:rsidRPr="00F47500">
              <w:rPr>
                <w:b/>
                <w:bCs/>
                <w:color w:val="000000"/>
                <w:sz w:val="22"/>
                <w:szCs w:val="22"/>
              </w:rPr>
              <w:t xml:space="preserve">: </w:t>
            </w:r>
            <w:r w:rsidRPr="00F47500">
              <w:rPr>
                <w:color w:val="000000"/>
                <w:sz w:val="22"/>
                <w:szCs w:val="22"/>
              </w:rPr>
              <w:t>The bibliometric performance indicators.</w:t>
            </w:r>
          </w:p>
        </w:tc>
        <w:tc>
          <w:tcPr>
            <w:tcW w:w="1711" w:type="dxa"/>
            <w:tcBorders>
              <w:top w:val="nil"/>
              <w:left w:val="nil"/>
              <w:bottom w:val="nil"/>
              <w:right w:val="nil"/>
            </w:tcBorders>
            <w:shd w:val="clear" w:color="auto" w:fill="auto"/>
            <w:noWrap/>
            <w:vAlign w:val="bottom"/>
            <w:hideMark/>
          </w:tcPr>
          <w:p w14:paraId="4529D9D1" w14:textId="77777777" w:rsidR="0048099F" w:rsidRPr="00076B84" w:rsidRDefault="0048099F" w:rsidP="0048099F">
            <w:pPr>
              <w:rPr>
                <w:color w:val="000000"/>
              </w:rPr>
            </w:pPr>
          </w:p>
        </w:tc>
      </w:tr>
      <w:tr w:rsidR="0048099F" w:rsidRPr="00076B84" w14:paraId="6DCE500D" w14:textId="77777777" w:rsidTr="00C90272">
        <w:trPr>
          <w:trHeight w:val="20"/>
          <w:jc w:val="center"/>
        </w:trPr>
        <w:tc>
          <w:tcPr>
            <w:tcW w:w="2122" w:type="dxa"/>
            <w:tcBorders>
              <w:top w:val="single" w:sz="4" w:space="0" w:color="auto"/>
              <w:left w:val="single" w:sz="4" w:space="0" w:color="auto"/>
              <w:bottom w:val="nil"/>
              <w:right w:val="nil"/>
            </w:tcBorders>
            <w:shd w:val="clear" w:color="auto" w:fill="auto"/>
            <w:noWrap/>
            <w:vAlign w:val="bottom"/>
            <w:hideMark/>
          </w:tcPr>
          <w:p w14:paraId="5F31C3FE" w14:textId="77777777" w:rsidR="0048099F" w:rsidRDefault="0048099F" w:rsidP="0048099F">
            <w:pPr>
              <w:rPr>
                <w:color w:val="000000"/>
                <w:sz w:val="22"/>
                <w:szCs w:val="22"/>
              </w:rPr>
            </w:pPr>
            <w:r w:rsidRPr="00076B84">
              <w:rPr>
                <w:color w:val="000000"/>
                <w:sz w:val="22"/>
                <w:szCs w:val="22"/>
              </w:rPr>
              <w:t> Pattern matrix</w:t>
            </w:r>
          </w:p>
          <w:p w14:paraId="24C7786F" w14:textId="23F09285" w:rsidR="00A52244" w:rsidRPr="00076B84" w:rsidRDefault="00A52244" w:rsidP="0048099F">
            <w:pPr>
              <w:rPr>
                <w:color w:val="000000"/>
                <w:sz w:val="22"/>
                <w:szCs w:val="22"/>
              </w:rPr>
            </w:pPr>
          </w:p>
        </w:tc>
        <w:tc>
          <w:tcPr>
            <w:tcW w:w="2131" w:type="dxa"/>
            <w:tcBorders>
              <w:top w:val="single" w:sz="4" w:space="0" w:color="auto"/>
              <w:left w:val="single" w:sz="4" w:space="0" w:color="auto"/>
              <w:bottom w:val="nil"/>
              <w:right w:val="nil"/>
            </w:tcBorders>
            <w:shd w:val="clear" w:color="auto" w:fill="auto"/>
            <w:noWrap/>
            <w:vAlign w:val="bottom"/>
            <w:hideMark/>
          </w:tcPr>
          <w:p w14:paraId="259F5805" w14:textId="77777777" w:rsidR="0048099F" w:rsidRDefault="0048099F" w:rsidP="0048099F">
            <w:pPr>
              <w:jc w:val="center"/>
              <w:rPr>
                <w:color w:val="000000"/>
                <w:sz w:val="22"/>
                <w:szCs w:val="22"/>
              </w:rPr>
            </w:pPr>
            <w:r w:rsidRPr="00076B84">
              <w:rPr>
                <w:color w:val="000000"/>
                <w:sz w:val="22"/>
                <w:szCs w:val="22"/>
              </w:rPr>
              <w:t>Relative impact (1)</w:t>
            </w:r>
          </w:p>
          <w:p w14:paraId="1364082E" w14:textId="46BB9712" w:rsidR="00A52244" w:rsidRPr="00076B84" w:rsidRDefault="00A52244" w:rsidP="0048099F">
            <w:pPr>
              <w:jc w:val="center"/>
              <w:rPr>
                <w:color w:val="000000"/>
                <w:sz w:val="22"/>
                <w:szCs w:val="22"/>
              </w:rPr>
            </w:pPr>
          </w:p>
        </w:tc>
        <w:tc>
          <w:tcPr>
            <w:tcW w:w="2835" w:type="dxa"/>
            <w:tcBorders>
              <w:top w:val="single" w:sz="4" w:space="0" w:color="auto"/>
              <w:left w:val="nil"/>
              <w:bottom w:val="nil"/>
              <w:right w:val="nil"/>
            </w:tcBorders>
            <w:shd w:val="clear" w:color="auto" w:fill="auto"/>
            <w:noWrap/>
            <w:vAlign w:val="bottom"/>
            <w:hideMark/>
          </w:tcPr>
          <w:p w14:paraId="4FC19AD4" w14:textId="77777777" w:rsidR="0048099F" w:rsidRDefault="0048099F" w:rsidP="0048099F">
            <w:pPr>
              <w:jc w:val="center"/>
              <w:rPr>
                <w:color w:val="000000"/>
                <w:sz w:val="22"/>
                <w:szCs w:val="22"/>
              </w:rPr>
            </w:pPr>
            <w:r w:rsidRPr="00076B84">
              <w:rPr>
                <w:color w:val="000000"/>
                <w:sz w:val="22"/>
                <w:szCs w:val="22"/>
              </w:rPr>
              <w:t>Total impact (2)</w:t>
            </w:r>
          </w:p>
          <w:p w14:paraId="7F9A759E" w14:textId="20F41B22" w:rsidR="00A52244" w:rsidRPr="00076B84" w:rsidRDefault="00A52244" w:rsidP="0048099F">
            <w:pPr>
              <w:jc w:val="center"/>
              <w:rPr>
                <w:color w:val="000000"/>
                <w:sz w:val="22"/>
                <w:szCs w:val="22"/>
              </w:rPr>
            </w:pPr>
          </w:p>
        </w:tc>
        <w:tc>
          <w:tcPr>
            <w:tcW w:w="1968" w:type="dxa"/>
            <w:gridSpan w:val="2"/>
            <w:tcBorders>
              <w:top w:val="single" w:sz="4" w:space="0" w:color="auto"/>
              <w:left w:val="nil"/>
              <w:bottom w:val="nil"/>
              <w:right w:val="single" w:sz="4" w:space="0" w:color="auto"/>
            </w:tcBorders>
            <w:shd w:val="clear" w:color="auto" w:fill="auto"/>
            <w:noWrap/>
            <w:vAlign w:val="bottom"/>
            <w:hideMark/>
          </w:tcPr>
          <w:p w14:paraId="4D9D33BF" w14:textId="77777777" w:rsidR="00F47500" w:rsidRDefault="00F47500" w:rsidP="00F47500">
            <w:pPr>
              <w:ind w:right="-122"/>
              <w:jc w:val="center"/>
              <w:rPr>
                <w:color w:val="000000"/>
                <w:sz w:val="22"/>
                <w:szCs w:val="22"/>
                <w:lang w:val="en-US"/>
              </w:rPr>
            </w:pPr>
            <w:r>
              <w:rPr>
                <w:color w:val="000000"/>
                <w:sz w:val="22"/>
                <w:szCs w:val="22"/>
                <w:lang w:val="en-US"/>
              </w:rPr>
              <w:t>‘Reputation’</w:t>
            </w:r>
          </w:p>
          <w:p w14:paraId="6A533E59" w14:textId="6787538D" w:rsidR="0048099F" w:rsidRDefault="0048099F" w:rsidP="00F47500">
            <w:pPr>
              <w:ind w:right="-122"/>
              <w:jc w:val="center"/>
              <w:rPr>
                <w:color w:val="000000"/>
                <w:sz w:val="22"/>
                <w:szCs w:val="22"/>
              </w:rPr>
            </w:pPr>
            <w:r w:rsidRPr="00076B84">
              <w:rPr>
                <w:color w:val="000000"/>
                <w:sz w:val="22"/>
                <w:szCs w:val="22"/>
              </w:rPr>
              <w:t>Journal impact (3)</w:t>
            </w:r>
          </w:p>
          <w:p w14:paraId="639F3558" w14:textId="2E4F80C8" w:rsidR="00A52244" w:rsidRPr="00F47500" w:rsidRDefault="00A52244" w:rsidP="00C90272">
            <w:pPr>
              <w:ind w:right="-122"/>
              <w:jc w:val="center"/>
              <w:rPr>
                <w:color w:val="000000"/>
                <w:sz w:val="22"/>
                <w:szCs w:val="22"/>
                <w:lang w:val="en-US"/>
              </w:rPr>
            </w:pPr>
          </w:p>
        </w:tc>
      </w:tr>
      <w:tr w:rsidR="0048099F" w:rsidRPr="00076B84" w14:paraId="37EF8618" w14:textId="77777777" w:rsidTr="00C90272">
        <w:trPr>
          <w:trHeight w:val="20"/>
          <w:jc w:val="center"/>
        </w:trPr>
        <w:tc>
          <w:tcPr>
            <w:tcW w:w="2122" w:type="dxa"/>
            <w:tcBorders>
              <w:top w:val="nil"/>
              <w:left w:val="single" w:sz="4" w:space="0" w:color="auto"/>
              <w:bottom w:val="single" w:sz="4" w:space="0" w:color="auto"/>
              <w:right w:val="nil"/>
            </w:tcBorders>
            <w:shd w:val="clear" w:color="auto" w:fill="auto"/>
            <w:noWrap/>
            <w:vAlign w:val="bottom"/>
            <w:hideMark/>
          </w:tcPr>
          <w:p w14:paraId="1EE1EFD2" w14:textId="77777777" w:rsidR="0048099F" w:rsidRPr="00076B84" w:rsidRDefault="0048099F" w:rsidP="0048099F">
            <w:pPr>
              <w:rPr>
                <w:color w:val="000000"/>
                <w:sz w:val="22"/>
                <w:szCs w:val="22"/>
              </w:rPr>
            </w:pPr>
          </w:p>
        </w:tc>
        <w:tc>
          <w:tcPr>
            <w:tcW w:w="2131" w:type="dxa"/>
            <w:tcBorders>
              <w:top w:val="nil"/>
              <w:left w:val="single" w:sz="4" w:space="0" w:color="auto"/>
              <w:bottom w:val="single" w:sz="4" w:space="0" w:color="auto"/>
              <w:right w:val="nil"/>
            </w:tcBorders>
            <w:shd w:val="clear" w:color="auto" w:fill="auto"/>
            <w:noWrap/>
            <w:vAlign w:val="bottom"/>
            <w:hideMark/>
          </w:tcPr>
          <w:p w14:paraId="5CBA10BF" w14:textId="77777777" w:rsidR="0048099F" w:rsidRPr="00076B84" w:rsidRDefault="0048099F" w:rsidP="0048099F">
            <w:pPr>
              <w:jc w:val="center"/>
              <w:rPr>
                <w:color w:val="000000"/>
                <w:sz w:val="22"/>
                <w:szCs w:val="22"/>
              </w:rPr>
            </w:pPr>
          </w:p>
        </w:tc>
        <w:tc>
          <w:tcPr>
            <w:tcW w:w="2835" w:type="dxa"/>
            <w:tcBorders>
              <w:top w:val="nil"/>
              <w:left w:val="nil"/>
              <w:bottom w:val="single" w:sz="4" w:space="0" w:color="auto"/>
              <w:right w:val="nil"/>
            </w:tcBorders>
            <w:shd w:val="clear" w:color="auto" w:fill="auto"/>
            <w:noWrap/>
            <w:vAlign w:val="bottom"/>
            <w:hideMark/>
          </w:tcPr>
          <w:p w14:paraId="692157D6" w14:textId="77777777" w:rsidR="0048099F" w:rsidRPr="00076B84" w:rsidRDefault="0048099F" w:rsidP="0048099F">
            <w:pPr>
              <w:jc w:val="center"/>
              <w:rPr>
                <w:color w:val="000000"/>
                <w:sz w:val="22"/>
                <w:szCs w:val="22"/>
              </w:rPr>
            </w:pPr>
          </w:p>
        </w:tc>
        <w:tc>
          <w:tcPr>
            <w:tcW w:w="1968" w:type="dxa"/>
            <w:gridSpan w:val="2"/>
            <w:tcBorders>
              <w:top w:val="nil"/>
              <w:left w:val="nil"/>
              <w:bottom w:val="single" w:sz="4" w:space="0" w:color="auto"/>
              <w:right w:val="single" w:sz="4" w:space="0" w:color="auto"/>
            </w:tcBorders>
            <w:shd w:val="clear" w:color="auto" w:fill="auto"/>
            <w:noWrap/>
            <w:vAlign w:val="bottom"/>
            <w:hideMark/>
          </w:tcPr>
          <w:p w14:paraId="3F338E86" w14:textId="77777777" w:rsidR="0048099F" w:rsidRPr="00076B84" w:rsidRDefault="0048099F" w:rsidP="0048099F">
            <w:pPr>
              <w:jc w:val="center"/>
              <w:rPr>
                <w:color w:val="000000"/>
                <w:sz w:val="22"/>
                <w:szCs w:val="22"/>
              </w:rPr>
            </w:pPr>
          </w:p>
        </w:tc>
      </w:tr>
      <w:tr w:rsidR="0048099F" w:rsidRPr="00076B84" w14:paraId="2FC1A0F4"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7AF81145" w14:textId="77777777" w:rsidR="0048099F" w:rsidRPr="00076B84" w:rsidRDefault="0048099F" w:rsidP="0048099F">
            <w:pPr>
              <w:rPr>
                <w:color w:val="000000"/>
                <w:sz w:val="22"/>
                <w:szCs w:val="22"/>
              </w:rPr>
            </w:pPr>
            <w:r w:rsidRPr="00076B84">
              <w:rPr>
                <w:color w:val="000000"/>
                <w:sz w:val="22"/>
                <w:szCs w:val="22"/>
              </w:rPr>
              <w:t xml:space="preserve">PP10% FN </w:t>
            </w:r>
          </w:p>
        </w:tc>
        <w:tc>
          <w:tcPr>
            <w:tcW w:w="2131" w:type="dxa"/>
            <w:tcBorders>
              <w:top w:val="nil"/>
              <w:left w:val="single" w:sz="4" w:space="0" w:color="auto"/>
              <w:bottom w:val="nil"/>
              <w:right w:val="nil"/>
            </w:tcBorders>
            <w:shd w:val="clear" w:color="auto" w:fill="auto"/>
            <w:noWrap/>
            <w:vAlign w:val="bottom"/>
            <w:hideMark/>
          </w:tcPr>
          <w:p w14:paraId="19BB7A02" w14:textId="77777777" w:rsidR="0048099F" w:rsidRPr="00076B84" w:rsidRDefault="0048099F" w:rsidP="0048099F">
            <w:pPr>
              <w:jc w:val="center"/>
              <w:rPr>
                <w:color w:val="000000"/>
                <w:sz w:val="22"/>
                <w:szCs w:val="22"/>
              </w:rPr>
            </w:pPr>
            <w:r w:rsidRPr="00076B84">
              <w:rPr>
                <w:color w:val="000000"/>
                <w:sz w:val="22"/>
                <w:szCs w:val="22"/>
              </w:rPr>
              <w:t>0.980</w:t>
            </w:r>
          </w:p>
        </w:tc>
        <w:tc>
          <w:tcPr>
            <w:tcW w:w="2835" w:type="dxa"/>
            <w:tcBorders>
              <w:top w:val="nil"/>
              <w:left w:val="nil"/>
              <w:bottom w:val="nil"/>
              <w:right w:val="nil"/>
            </w:tcBorders>
            <w:shd w:val="clear" w:color="auto" w:fill="auto"/>
            <w:noWrap/>
            <w:vAlign w:val="bottom"/>
            <w:hideMark/>
          </w:tcPr>
          <w:p w14:paraId="48444E9B" w14:textId="77777777" w:rsidR="0048099F" w:rsidRPr="00076B84" w:rsidRDefault="0048099F" w:rsidP="0048099F">
            <w:pPr>
              <w:jc w:val="center"/>
              <w:rPr>
                <w:color w:val="000000"/>
                <w:sz w:val="22"/>
                <w:szCs w:val="22"/>
              </w:rPr>
            </w:pPr>
            <w:r w:rsidRPr="00076B84">
              <w:rPr>
                <w:color w:val="000000"/>
                <w:sz w:val="22"/>
                <w:szCs w:val="22"/>
              </w:rPr>
              <w:t> </w:t>
            </w:r>
          </w:p>
        </w:tc>
        <w:tc>
          <w:tcPr>
            <w:tcW w:w="1968" w:type="dxa"/>
            <w:gridSpan w:val="2"/>
            <w:tcBorders>
              <w:top w:val="nil"/>
              <w:left w:val="nil"/>
              <w:bottom w:val="nil"/>
              <w:right w:val="single" w:sz="4" w:space="0" w:color="auto"/>
            </w:tcBorders>
            <w:shd w:val="clear" w:color="auto" w:fill="auto"/>
            <w:noWrap/>
            <w:vAlign w:val="bottom"/>
            <w:hideMark/>
          </w:tcPr>
          <w:p w14:paraId="7F886CC4" w14:textId="77777777" w:rsidR="0048099F" w:rsidRPr="00076B84" w:rsidRDefault="0048099F" w:rsidP="0048099F">
            <w:pPr>
              <w:jc w:val="center"/>
              <w:rPr>
                <w:color w:val="000000"/>
                <w:sz w:val="22"/>
                <w:szCs w:val="22"/>
              </w:rPr>
            </w:pPr>
            <w:r w:rsidRPr="00076B84">
              <w:rPr>
                <w:color w:val="000000"/>
                <w:sz w:val="22"/>
                <w:szCs w:val="22"/>
              </w:rPr>
              <w:t> </w:t>
            </w:r>
          </w:p>
        </w:tc>
      </w:tr>
      <w:tr w:rsidR="0048099F" w:rsidRPr="00076B84" w14:paraId="3E9962BB"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32486CF6" w14:textId="77777777" w:rsidR="0048099F" w:rsidRPr="00076B84" w:rsidRDefault="0048099F" w:rsidP="0048099F">
            <w:pPr>
              <w:rPr>
                <w:color w:val="000000"/>
                <w:sz w:val="22"/>
                <w:szCs w:val="22"/>
              </w:rPr>
            </w:pPr>
            <w:r w:rsidRPr="00076B84">
              <w:rPr>
                <w:color w:val="000000"/>
                <w:sz w:val="22"/>
                <w:szCs w:val="22"/>
              </w:rPr>
              <w:t>PP10% FN</w:t>
            </w:r>
            <w:r w:rsidR="00F106EE" w:rsidRPr="00076B84">
              <w:rPr>
                <w:color w:val="000000"/>
                <w:sz w:val="22"/>
                <w:szCs w:val="22"/>
              </w:rPr>
              <w:t xml:space="preserve"> frac</w:t>
            </w:r>
            <w:r w:rsidRPr="00076B84">
              <w:rPr>
                <w:color w:val="000000"/>
                <w:sz w:val="22"/>
                <w:szCs w:val="22"/>
              </w:rPr>
              <w:t xml:space="preserve"> </w:t>
            </w:r>
          </w:p>
        </w:tc>
        <w:tc>
          <w:tcPr>
            <w:tcW w:w="2131" w:type="dxa"/>
            <w:tcBorders>
              <w:top w:val="nil"/>
              <w:left w:val="single" w:sz="4" w:space="0" w:color="auto"/>
              <w:bottom w:val="nil"/>
              <w:right w:val="nil"/>
            </w:tcBorders>
            <w:shd w:val="clear" w:color="auto" w:fill="auto"/>
            <w:noWrap/>
            <w:vAlign w:val="bottom"/>
            <w:hideMark/>
          </w:tcPr>
          <w:p w14:paraId="1F88D550" w14:textId="77777777" w:rsidR="0048099F" w:rsidRPr="00076B84" w:rsidRDefault="0048099F" w:rsidP="0048099F">
            <w:pPr>
              <w:jc w:val="center"/>
              <w:rPr>
                <w:color w:val="000000"/>
                <w:sz w:val="22"/>
                <w:szCs w:val="22"/>
              </w:rPr>
            </w:pPr>
            <w:r w:rsidRPr="00076B84">
              <w:rPr>
                <w:color w:val="000000"/>
                <w:sz w:val="22"/>
                <w:szCs w:val="22"/>
              </w:rPr>
              <w:t>0.950</w:t>
            </w:r>
          </w:p>
        </w:tc>
        <w:tc>
          <w:tcPr>
            <w:tcW w:w="2835" w:type="dxa"/>
            <w:tcBorders>
              <w:top w:val="nil"/>
              <w:left w:val="nil"/>
              <w:bottom w:val="nil"/>
              <w:right w:val="nil"/>
            </w:tcBorders>
            <w:shd w:val="clear" w:color="auto" w:fill="auto"/>
            <w:noWrap/>
            <w:vAlign w:val="bottom"/>
            <w:hideMark/>
          </w:tcPr>
          <w:p w14:paraId="5F6C1D86" w14:textId="77777777" w:rsidR="0048099F" w:rsidRPr="00076B84" w:rsidRDefault="0048099F" w:rsidP="0048099F">
            <w:pPr>
              <w:jc w:val="center"/>
              <w:rPr>
                <w:color w:val="000000"/>
                <w:sz w:val="22"/>
                <w:szCs w:val="22"/>
              </w:rPr>
            </w:pPr>
          </w:p>
        </w:tc>
        <w:tc>
          <w:tcPr>
            <w:tcW w:w="1968" w:type="dxa"/>
            <w:gridSpan w:val="2"/>
            <w:tcBorders>
              <w:top w:val="nil"/>
              <w:left w:val="nil"/>
              <w:bottom w:val="nil"/>
              <w:right w:val="single" w:sz="4" w:space="0" w:color="auto"/>
            </w:tcBorders>
            <w:shd w:val="clear" w:color="auto" w:fill="auto"/>
            <w:noWrap/>
            <w:vAlign w:val="bottom"/>
            <w:hideMark/>
          </w:tcPr>
          <w:p w14:paraId="51B5981D" w14:textId="77777777" w:rsidR="0048099F" w:rsidRPr="00076B84" w:rsidRDefault="0048099F" w:rsidP="0048099F">
            <w:pPr>
              <w:jc w:val="center"/>
              <w:rPr>
                <w:color w:val="D9D9D9" w:themeColor="background1" w:themeShade="D9"/>
                <w:sz w:val="22"/>
                <w:szCs w:val="22"/>
              </w:rPr>
            </w:pPr>
          </w:p>
        </w:tc>
      </w:tr>
      <w:tr w:rsidR="0048099F" w:rsidRPr="00076B84" w14:paraId="5003476C"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1D6D83BE" w14:textId="77777777" w:rsidR="0048099F" w:rsidRPr="00076B84" w:rsidRDefault="0048099F" w:rsidP="0048099F">
            <w:pPr>
              <w:rPr>
                <w:color w:val="000000"/>
                <w:sz w:val="22"/>
                <w:szCs w:val="22"/>
              </w:rPr>
            </w:pPr>
            <w:r w:rsidRPr="00076B84">
              <w:rPr>
                <w:color w:val="000000"/>
                <w:sz w:val="22"/>
                <w:szCs w:val="22"/>
              </w:rPr>
              <w:t>FWCI</w:t>
            </w:r>
            <w:r w:rsidR="00F106EE" w:rsidRPr="00076B84">
              <w:rPr>
                <w:color w:val="000000"/>
                <w:sz w:val="22"/>
                <w:szCs w:val="22"/>
              </w:rPr>
              <w:t xml:space="preserve"> average</w:t>
            </w:r>
          </w:p>
        </w:tc>
        <w:tc>
          <w:tcPr>
            <w:tcW w:w="2131" w:type="dxa"/>
            <w:tcBorders>
              <w:top w:val="nil"/>
              <w:left w:val="single" w:sz="4" w:space="0" w:color="auto"/>
              <w:bottom w:val="nil"/>
              <w:right w:val="nil"/>
            </w:tcBorders>
            <w:shd w:val="clear" w:color="auto" w:fill="auto"/>
            <w:noWrap/>
            <w:vAlign w:val="bottom"/>
            <w:hideMark/>
          </w:tcPr>
          <w:p w14:paraId="0D63C168" w14:textId="77777777" w:rsidR="0048099F" w:rsidRPr="00076B84" w:rsidRDefault="0048099F" w:rsidP="0048099F">
            <w:pPr>
              <w:jc w:val="center"/>
              <w:rPr>
                <w:color w:val="000000"/>
                <w:sz w:val="22"/>
                <w:szCs w:val="22"/>
              </w:rPr>
            </w:pPr>
            <w:r w:rsidRPr="00076B84">
              <w:rPr>
                <w:color w:val="000000"/>
                <w:sz w:val="22"/>
                <w:szCs w:val="22"/>
              </w:rPr>
              <w:t>0.719</w:t>
            </w:r>
          </w:p>
        </w:tc>
        <w:tc>
          <w:tcPr>
            <w:tcW w:w="2835" w:type="dxa"/>
            <w:tcBorders>
              <w:top w:val="nil"/>
              <w:left w:val="nil"/>
              <w:bottom w:val="nil"/>
              <w:right w:val="nil"/>
            </w:tcBorders>
            <w:shd w:val="clear" w:color="auto" w:fill="auto"/>
            <w:noWrap/>
            <w:vAlign w:val="bottom"/>
            <w:hideMark/>
          </w:tcPr>
          <w:p w14:paraId="46FF5ACB" w14:textId="77777777" w:rsidR="0048099F" w:rsidRPr="00076B84" w:rsidRDefault="0048099F" w:rsidP="0048099F">
            <w:pPr>
              <w:jc w:val="center"/>
              <w:rPr>
                <w:color w:val="000000"/>
                <w:sz w:val="22"/>
                <w:szCs w:val="22"/>
              </w:rPr>
            </w:pPr>
          </w:p>
        </w:tc>
        <w:tc>
          <w:tcPr>
            <w:tcW w:w="1968" w:type="dxa"/>
            <w:gridSpan w:val="2"/>
            <w:tcBorders>
              <w:top w:val="nil"/>
              <w:left w:val="nil"/>
              <w:bottom w:val="nil"/>
              <w:right w:val="single" w:sz="4" w:space="0" w:color="auto"/>
            </w:tcBorders>
            <w:shd w:val="clear" w:color="auto" w:fill="auto"/>
            <w:noWrap/>
            <w:vAlign w:val="bottom"/>
            <w:hideMark/>
          </w:tcPr>
          <w:p w14:paraId="4D4AF76F" w14:textId="77777777" w:rsidR="0048099F" w:rsidRPr="00076B84" w:rsidRDefault="0048099F" w:rsidP="0048099F">
            <w:pPr>
              <w:jc w:val="center"/>
              <w:rPr>
                <w:color w:val="D9D9D9" w:themeColor="background1" w:themeShade="D9"/>
                <w:sz w:val="22"/>
                <w:szCs w:val="22"/>
              </w:rPr>
            </w:pPr>
          </w:p>
        </w:tc>
      </w:tr>
      <w:tr w:rsidR="0048099F" w:rsidRPr="00076B84" w14:paraId="54167574"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28D7DBDE" w14:textId="77777777" w:rsidR="0048099F" w:rsidRPr="00076B84" w:rsidRDefault="0048099F" w:rsidP="0048099F">
            <w:pPr>
              <w:rPr>
                <w:color w:val="000000"/>
                <w:sz w:val="22"/>
                <w:szCs w:val="22"/>
              </w:rPr>
            </w:pPr>
            <w:r w:rsidRPr="00076B84">
              <w:rPr>
                <w:color w:val="000000"/>
                <w:sz w:val="22"/>
                <w:szCs w:val="22"/>
              </w:rPr>
              <w:t xml:space="preserve">PP10% </w:t>
            </w:r>
          </w:p>
        </w:tc>
        <w:tc>
          <w:tcPr>
            <w:tcW w:w="2131" w:type="dxa"/>
            <w:tcBorders>
              <w:top w:val="nil"/>
              <w:left w:val="single" w:sz="4" w:space="0" w:color="auto"/>
              <w:bottom w:val="nil"/>
              <w:right w:val="nil"/>
            </w:tcBorders>
            <w:shd w:val="clear" w:color="auto" w:fill="auto"/>
            <w:noWrap/>
            <w:vAlign w:val="bottom"/>
            <w:hideMark/>
          </w:tcPr>
          <w:p w14:paraId="7C1AA11F" w14:textId="77777777" w:rsidR="0048099F" w:rsidRPr="00076B84" w:rsidRDefault="0048099F" w:rsidP="0048099F">
            <w:pPr>
              <w:jc w:val="center"/>
              <w:rPr>
                <w:color w:val="000000"/>
                <w:sz w:val="22"/>
                <w:szCs w:val="22"/>
              </w:rPr>
            </w:pPr>
            <w:r w:rsidRPr="00076B84">
              <w:rPr>
                <w:color w:val="000000"/>
                <w:sz w:val="22"/>
                <w:szCs w:val="22"/>
              </w:rPr>
              <w:t>0.670</w:t>
            </w:r>
          </w:p>
        </w:tc>
        <w:tc>
          <w:tcPr>
            <w:tcW w:w="2835" w:type="dxa"/>
            <w:tcBorders>
              <w:top w:val="nil"/>
              <w:left w:val="nil"/>
              <w:bottom w:val="nil"/>
              <w:right w:val="nil"/>
            </w:tcBorders>
            <w:shd w:val="clear" w:color="auto" w:fill="auto"/>
            <w:noWrap/>
            <w:vAlign w:val="bottom"/>
            <w:hideMark/>
          </w:tcPr>
          <w:p w14:paraId="24A41B6C" w14:textId="77777777" w:rsidR="0048099F" w:rsidRPr="00076B84" w:rsidRDefault="0048099F" w:rsidP="0048099F">
            <w:pPr>
              <w:jc w:val="center"/>
              <w:rPr>
                <w:color w:val="000000"/>
                <w:sz w:val="22"/>
                <w:szCs w:val="22"/>
              </w:rPr>
            </w:pPr>
          </w:p>
        </w:tc>
        <w:tc>
          <w:tcPr>
            <w:tcW w:w="1968" w:type="dxa"/>
            <w:gridSpan w:val="2"/>
            <w:tcBorders>
              <w:top w:val="nil"/>
              <w:left w:val="nil"/>
              <w:bottom w:val="nil"/>
              <w:right w:val="single" w:sz="4" w:space="0" w:color="auto"/>
            </w:tcBorders>
            <w:shd w:val="clear" w:color="auto" w:fill="auto"/>
            <w:noWrap/>
            <w:vAlign w:val="bottom"/>
            <w:hideMark/>
          </w:tcPr>
          <w:p w14:paraId="46BCCD22" w14:textId="77777777" w:rsidR="0048099F" w:rsidRPr="00076B84" w:rsidRDefault="0048099F" w:rsidP="00C90272">
            <w:pPr>
              <w:ind w:left="-112"/>
              <w:jc w:val="center"/>
              <w:rPr>
                <w:color w:val="D9D9D9" w:themeColor="background1" w:themeShade="D9"/>
                <w:sz w:val="22"/>
                <w:szCs w:val="22"/>
              </w:rPr>
            </w:pPr>
          </w:p>
        </w:tc>
      </w:tr>
      <w:tr w:rsidR="0048099F" w:rsidRPr="00076B84" w14:paraId="1469CF56"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7CA4D6C0" w14:textId="77777777" w:rsidR="0048099F" w:rsidRPr="00076B84" w:rsidRDefault="00F106EE" w:rsidP="0048099F">
            <w:pPr>
              <w:rPr>
                <w:color w:val="000000"/>
                <w:sz w:val="22"/>
                <w:szCs w:val="22"/>
              </w:rPr>
            </w:pPr>
            <w:r w:rsidRPr="00076B84">
              <w:rPr>
                <w:color w:val="000000"/>
                <w:sz w:val="22"/>
                <w:szCs w:val="22"/>
              </w:rPr>
              <w:t>C/P</w:t>
            </w:r>
          </w:p>
        </w:tc>
        <w:tc>
          <w:tcPr>
            <w:tcW w:w="2131" w:type="dxa"/>
            <w:tcBorders>
              <w:top w:val="nil"/>
              <w:left w:val="single" w:sz="4" w:space="0" w:color="auto"/>
              <w:bottom w:val="nil"/>
              <w:right w:val="nil"/>
            </w:tcBorders>
            <w:shd w:val="clear" w:color="auto" w:fill="auto"/>
            <w:noWrap/>
            <w:vAlign w:val="bottom"/>
            <w:hideMark/>
          </w:tcPr>
          <w:p w14:paraId="5ACF8E5E" w14:textId="77777777" w:rsidR="0048099F" w:rsidRPr="00076B84" w:rsidRDefault="0048099F" w:rsidP="0048099F">
            <w:pPr>
              <w:jc w:val="center"/>
              <w:rPr>
                <w:color w:val="000000"/>
                <w:sz w:val="22"/>
                <w:szCs w:val="22"/>
              </w:rPr>
            </w:pPr>
            <w:r w:rsidRPr="00076B84">
              <w:rPr>
                <w:color w:val="000000"/>
                <w:sz w:val="22"/>
                <w:szCs w:val="22"/>
              </w:rPr>
              <w:t>0.593</w:t>
            </w:r>
          </w:p>
        </w:tc>
        <w:tc>
          <w:tcPr>
            <w:tcW w:w="2835" w:type="dxa"/>
            <w:tcBorders>
              <w:top w:val="nil"/>
              <w:left w:val="nil"/>
              <w:bottom w:val="nil"/>
              <w:right w:val="nil"/>
            </w:tcBorders>
            <w:shd w:val="clear" w:color="auto" w:fill="auto"/>
            <w:noWrap/>
            <w:vAlign w:val="bottom"/>
            <w:hideMark/>
          </w:tcPr>
          <w:p w14:paraId="6795877C" w14:textId="77777777" w:rsidR="0048099F" w:rsidRPr="00076B84" w:rsidRDefault="0048099F" w:rsidP="0048099F">
            <w:pPr>
              <w:jc w:val="center"/>
              <w:rPr>
                <w:color w:val="000000"/>
                <w:sz w:val="22"/>
                <w:szCs w:val="22"/>
              </w:rPr>
            </w:pPr>
          </w:p>
        </w:tc>
        <w:tc>
          <w:tcPr>
            <w:tcW w:w="1968" w:type="dxa"/>
            <w:gridSpan w:val="2"/>
            <w:tcBorders>
              <w:top w:val="nil"/>
              <w:left w:val="nil"/>
              <w:bottom w:val="nil"/>
              <w:right w:val="single" w:sz="4" w:space="0" w:color="auto"/>
            </w:tcBorders>
            <w:shd w:val="clear" w:color="auto" w:fill="auto"/>
            <w:noWrap/>
            <w:vAlign w:val="bottom"/>
            <w:hideMark/>
          </w:tcPr>
          <w:p w14:paraId="6E7B89FE" w14:textId="77777777" w:rsidR="0048099F" w:rsidRPr="00076B84" w:rsidRDefault="0048099F" w:rsidP="0048099F">
            <w:pPr>
              <w:jc w:val="center"/>
              <w:rPr>
                <w:color w:val="D9D9D9" w:themeColor="background1" w:themeShade="D9"/>
                <w:sz w:val="22"/>
                <w:szCs w:val="22"/>
              </w:rPr>
            </w:pPr>
          </w:p>
        </w:tc>
      </w:tr>
      <w:tr w:rsidR="0048099F" w:rsidRPr="00076B84" w14:paraId="64E79824"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3A43C5AC" w14:textId="77777777" w:rsidR="0048099F" w:rsidRPr="00076B84" w:rsidRDefault="00F106EE" w:rsidP="0048099F">
            <w:pPr>
              <w:rPr>
                <w:color w:val="000000"/>
                <w:sz w:val="22"/>
                <w:szCs w:val="22"/>
              </w:rPr>
            </w:pPr>
            <w:r w:rsidRPr="00076B84">
              <w:rPr>
                <w:color w:val="000000"/>
                <w:sz w:val="22"/>
                <w:szCs w:val="22"/>
              </w:rPr>
              <w:t>P f</w:t>
            </w:r>
            <w:r w:rsidR="0048099F" w:rsidRPr="00076B84">
              <w:rPr>
                <w:color w:val="000000"/>
                <w:sz w:val="22"/>
                <w:szCs w:val="22"/>
              </w:rPr>
              <w:t>rac</w:t>
            </w:r>
          </w:p>
        </w:tc>
        <w:tc>
          <w:tcPr>
            <w:tcW w:w="2131" w:type="dxa"/>
            <w:tcBorders>
              <w:top w:val="nil"/>
              <w:left w:val="single" w:sz="4" w:space="0" w:color="auto"/>
              <w:bottom w:val="nil"/>
              <w:right w:val="nil"/>
            </w:tcBorders>
            <w:shd w:val="clear" w:color="auto" w:fill="auto"/>
            <w:noWrap/>
            <w:vAlign w:val="bottom"/>
            <w:hideMark/>
          </w:tcPr>
          <w:p w14:paraId="55033080" w14:textId="77777777" w:rsidR="0048099F" w:rsidRPr="00076B84" w:rsidRDefault="0048099F" w:rsidP="0048099F">
            <w:pPr>
              <w:jc w:val="center"/>
              <w:rPr>
                <w:color w:val="000000"/>
                <w:sz w:val="22"/>
                <w:szCs w:val="22"/>
              </w:rPr>
            </w:pPr>
          </w:p>
        </w:tc>
        <w:tc>
          <w:tcPr>
            <w:tcW w:w="2835" w:type="dxa"/>
            <w:tcBorders>
              <w:top w:val="nil"/>
              <w:left w:val="nil"/>
              <w:bottom w:val="nil"/>
              <w:right w:val="nil"/>
            </w:tcBorders>
            <w:shd w:val="clear" w:color="auto" w:fill="auto"/>
            <w:noWrap/>
            <w:vAlign w:val="bottom"/>
            <w:hideMark/>
          </w:tcPr>
          <w:p w14:paraId="7668703E" w14:textId="77777777" w:rsidR="0048099F" w:rsidRPr="00076B84" w:rsidRDefault="0048099F" w:rsidP="0048099F">
            <w:pPr>
              <w:jc w:val="center"/>
              <w:rPr>
                <w:color w:val="000000"/>
                <w:sz w:val="22"/>
                <w:szCs w:val="22"/>
              </w:rPr>
            </w:pPr>
            <w:r w:rsidRPr="00076B84">
              <w:rPr>
                <w:color w:val="000000"/>
                <w:sz w:val="22"/>
                <w:szCs w:val="22"/>
              </w:rPr>
              <w:t>0.919</w:t>
            </w:r>
          </w:p>
        </w:tc>
        <w:tc>
          <w:tcPr>
            <w:tcW w:w="1968" w:type="dxa"/>
            <w:gridSpan w:val="2"/>
            <w:tcBorders>
              <w:top w:val="nil"/>
              <w:left w:val="nil"/>
              <w:bottom w:val="nil"/>
              <w:right w:val="single" w:sz="4" w:space="0" w:color="auto"/>
            </w:tcBorders>
            <w:shd w:val="clear" w:color="auto" w:fill="auto"/>
            <w:noWrap/>
            <w:vAlign w:val="bottom"/>
            <w:hideMark/>
          </w:tcPr>
          <w:p w14:paraId="1FA7013F" w14:textId="77777777" w:rsidR="0048099F" w:rsidRPr="00076B84" w:rsidRDefault="0048099F" w:rsidP="0048099F">
            <w:pPr>
              <w:jc w:val="center"/>
              <w:rPr>
                <w:color w:val="D9D9D9" w:themeColor="background1" w:themeShade="D9"/>
                <w:sz w:val="22"/>
                <w:szCs w:val="22"/>
              </w:rPr>
            </w:pPr>
            <w:r w:rsidRPr="00076B84">
              <w:rPr>
                <w:color w:val="D9D9D9" w:themeColor="background1" w:themeShade="D9"/>
                <w:sz w:val="22"/>
                <w:szCs w:val="22"/>
              </w:rPr>
              <w:t> </w:t>
            </w:r>
          </w:p>
        </w:tc>
      </w:tr>
      <w:tr w:rsidR="0048099F" w:rsidRPr="00076B84" w14:paraId="4E5477A9"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23C47725" w14:textId="77777777" w:rsidR="0048099F" w:rsidRPr="00076B84" w:rsidRDefault="0048099F" w:rsidP="0048099F">
            <w:pPr>
              <w:rPr>
                <w:color w:val="000000"/>
                <w:sz w:val="22"/>
                <w:szCs w:val="22"/>
              </w:rPr>
            </w:pPr>
            <w:r w:rsidRPr="00076B84">
              <w:rPr>
                <w:color w:val="000000"/>
                <w:sz w:val="22"/>
                <w:szCs w:val="22"/>
              </w:rPr>
              <w:t>P10% FN</w:t>
            </w:r>
            <w:r w:rsidR="00F106EE" w:rsidRPr="00076B84">
              <w:rPr>
                <w:color w:val="000000"/>
                <w:sz w:val="22"/>
                <w:szCs w:val="22"/>
              </w:rPr>
              <w:t xml:space="preserve"> frac</w:t>
            </w:r>
          </w:p>
        </w:tc>
        <w:tc>
          <w:tcPr>
            <w:tcW w:w="2131" w:type="dxa"/>
            <w:tcBorders>
              <w:top w:val="nil"/>
              <w:left w:val="single" w:sz="4" w:space="0" w:color="auto"/>
              <w:bottom w:val="nil"/>
              <w:right w:val="nil"/>
            </w:tcBorders>
            <w:shd w:val="clear" w:color="auto" w:fill="auto"/>
            <w:noWrap/>
            <w:vAlign w:val="bottom"/>
            <w:hideMark/>
          </w:tcPr>
          <w:p w14:paraId="431B86A8" w14:textId="77777777" w:rsidR="0048099F" w:rsidRPr="00076B84" w:rsidRDefault="0048099F" w:rsidP="0048099F">
            <w:pPr>
              <w:jc w:val="center"/>
              <w:rPr>
                <w:color w:val="000000"/>
                <w:sz w:val="22"/>
                <w:szCs w:val="22"/>
              </w:rPr>
            </w:pPr>
          </w:p>
        </w:tc>
        <w:tc>
          <w:tcPr>
            <w:tcW w:w="2835" w:type="dxa"/>
            <w:tcBorders>
              <w:top w:val="nil"/>
              <w:left w:val="nil"/>
              <w:bottom w:val="nil"/>
              <w:right w:val="nil"/>
            </w:tcBorders>
            <w:shd w:val="clear" w:color="auto" w:fill="auto"/>
            <w:noWrap/>
            <w:vAlign w:val="bottom"/>
            <w:hideMark/>
          </w:tcPr>
          <w:p w14:paraId="1209A810" w14:textId="77777777" w:rsidR="0048099F" w:rsidRPr="00076B84" w:rsidRDefault="0048099F" w:rsidP="0048099F">
            <w:pPr>
              <w:jc w:val="center"/>
              <w:rPr>
                <w:color w:val="000000"/>
                <w:sz w:val="22"/>
                <w:szCs w:val="22"/>
              </w:rPr>
            </w:pPr>
            <w:r w:rsidRPr="00076B84">
              <w:rPr>
                <w:color w:val="000000"/>
                <w:sz w:val="22"/>
                <w:szCs w:val="22"/>
              </w:rPr>
              <w:t>0.801</w:t>
            </w:r>
          </w:p>
        </w:tc>
        <w:tc>
          <w:tcPr>
            <w:tcW w:w="1968" w:type="dxa"/>
            <w:gridSpan w:val="2"/>
            <w:tcBorders>
              <w:top w:val="nil"/>
              <w:left w:val="nil"/>
              <w:bottom w:val="nil"/>
              <w:right w:val="single" w:sz="4" w:space="0" w:color="auto"/>
            </w:tcBorders>
            <w:shd w:val="clear" w:color="auto" w:fill="auto"/>
            <w:noWrap/>
            <w:vAlign w:val="bottom"/>
            <w:hideMark/>
          </w:tcPr>
          <w:p w14:paraId="178116CD" w14:textId="77777777" w:rsidR="0048099F" w:rsidRPr="00076B84" w:rsidRDefault="0048099F" w:rsidP="0048099F">
            <w:pPr>
              <w:jc w:val="center"/>
              <w:rPr>
                <w:color w:val="D9D9D9" w:themeColor="background1" w:themeShade="D9"/>
                <w:sz w:val="22"/>
                <w:szCs w:val="22"/>
              </w:rPr>
            </w:pPr>
          </w:p>
        </w:tc>
      </w:tr>
      <w:tr w:rsidR="0048099F" w:rsidRPr="00076B84" w14:paraId="569452D9"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197F6949" w14:textId="77777777" w:rsidR="0048099F" w:rsidRPr="00076B84" w:rsidRDefault="00F106EE" w:rsidP="0048099F">
            <w:pPr>
              <w:rPr>
                <w:color w:val="000000"/>
                <w:sz w:val="22"/>
                <w:szCs w:val="22"/>
              </w:rPr>
            </w:pPr>
            <w:r w:rsidRPr="00076B84">
              <w:rPr>
                <w:color w:val="000000"/>
                <w:sz w:val="22"/>
                <w:szCs w:val="22"/>
              </w:rPr>
              <w:t>C</w:t>
            </w:r>
            <w:r w:rsidR="007B2CDC" w:rsidRPr="00076B84">
              <w:rPr>
                <w:color w:val="000000"/>
                <w:sz w:val="22"/>
                <w:szCs w:val="22"/>
              </w:rPr>
              <w:t xml:space="preserve"> </w:t>
            </w:r>
            <w:r w:rsidRPr="00076B84">
              <w:rPr>
                <w:color w:val="000000"/>
                <w:sz w:val="22"/>
                <w:szCs w:val="22"/>
              </w:rPr>
              <w:t>frac</w:t>
            </w:r>
          </w:p>
        </w:tc>
        <w:tc>
          <w:tcPr>
            <w:tcW w:w="2131" w:type="dxa"/>
            <w:tcBorders>
              <w:top w:val="nil"/>
              <w:left w:val="single" w:sz="4" w:space="0" w:color="auto"/>
              <w:bottom w:val="nil"/>
              <w:right w:val="nil"/>
            </w:tcBorders>
            <w:shd w:val="clear" w:color="auto" w:fill="auto"/>
            <w:noWrap/>
            <w:vAlign w:val="bottom"/>
            <w:hideMark/>
          </w:tcPr>
          <w:p w14:paraId="47F6D5A8" w14:textId="77777777" w:rsidR="0048099F" w:rsidRPr="00076B84" w:rsidRDefault="0048099F" w:rsidP="0048099F">
            <w:pPr>
              <w:jc w:val="center"/>
              <w:rPr>
                <w:color w:val="000000"/>
                <w:sz w:val="22"/>
                <w:szCs w:val="22"/>
              </w:rPr>
            </w:pPr>
          </w:p>
        </w:tc>
        <w:tc>
          <w:tcPr>
            <w:tcW w:w="2835" w:type="dxa"/>
            <w:tcBorders>
              <w:top w:val="nil"/>
              <w:left w:val="nil"/>
              <w:bottom w:val="nil"/>
              <w:right w:val="nil"/>
            </w:tcBorders>
            <w:shd w:val="clear" w:color="auto" w:fill="auto"/>
            <w:noWrap/>
            <w:vAlign w:val="bottom"/>
            <w:hideMark/>
          </w:tcPr>
          <w:p w14:paraId="636F7A73" w14:textId="77777777" w:rsidR="0048099F" w:rsidRPr="00076B84" w:rsidRDefault="0048099F" w:rsidP="0048099F">
            <w:pPr>
              <w:jc w:val="center"/>
              <w:rPr>
                <w:color w:val="000000"/>
                <w:sz w:val="22"/>
                <w:szCs w:val="22"/>
              </w:rPr>
            </w:pPr>
            <w:r w:rsidRPr="00076B84">
              <w:rPr>
                <w:color w:val="000000"/>
                <w:sz w:val="22"/>
                <w:szCs w:val="22"/>
              </w:rPr>
              <w:t>0.709</w:t>
            </w:r>
          </w:p>
        </w:tc>
        <w:tc>
          <w:tcPr>
            <w:tcW w:w="1968" w:type="dxa"/>
            <w:gridSpan w:val="2"/>
            <w:tcBorders>
              <w:top w:val="nil"/>
              <w:left w:val="nil"/>
              <w:bottom w:val="nil"/>
              <w:right w:val="single" w:sz="4" w:space="0" w:color="auto"/>
            </w:tcBorders>
            <w:shd w:val="clear" w:color="auto" w:fill="auto"/>
            <w:noWrap/>
            <w:vAlign w:val="bottom"/>
            <w:hideMark/>
          </w:tcPr>
          <w:p w14:paraId="46B9879C" w14:textId="77777777" w:rsidR="0048099F" w:rsidRPr="00076B84" w:rsidRDefault="0048099F" w:rsidP="0048099F">
            <w:pPr>
              <w:jc w:val="center"/>
              <w:rPr>
                <w:color w:val="000000"/>
                <w:sz w:val="22"/>
                <w:szCs w:val="22"/>
              </w:rPr>
            </w:pPr>
            <w:r w:rsidRPr="00076B84">
              <w:rPr>
                <w:color w:val="000000"/>
                <w:sz w:val="22"/>
                <w:szCs w:val="22"/>
              </w:rPr>
              <w:t> </w:t>
            </w:r>
          </w:p>
        </w:tc>
      </w:tr>
      <w:tr w:rsidR="0048099F" w:rsidRPr="00076B84" w14:paraId="40D108A1" w14:textId="77777777" w:rsidTr="00C90272">
        <w:trPr>
          <w:trHeight w:val="20"/>
          <w:jc w:val="center"/>
        </w:trPr>
        <w:tc>
          <w:tcPr>
            <w:tcW w:w="2122" w:type="dxa"/>
            <w:tcBorders>
              <w:top w:val="nil"/>
              <w:left w:val="single" w:sz="4" w:space="0" w:color="auto"/>
              <w:bottom w:val="nil"/>
              <w:right w:val="nil"/>
            </w:tcBorders>
            <w:shd w:val="clear" w:color="auto" w:fill="auto"/>
            <w:noWrap/>
            <w:vAlign w:val="bottom"/>
            <w:hideMark/>
          </w:tcPr>
          <w:p w14:paraId="133B2D3F" w14:textId="77777777" w:rsidR="0048099F" w:rsidRPr="00076B84" w:rsidRDefault="0048099F" w:rsidP="0048099F">
            <w:pPr>
              <w:rPr>
                <w:color w:val="000000"/>
                <w:sz w:val="22"/>
                <w:szCs w:val="22"/>
              </w:rPr>
            </w:pPr>
            <w:r w:rsidRPr="00076B84">
              <w:rPr>
                <w:color w:val="000000"/>
                <w:sz w:val="22"/>
                <w:szCs w:val="22"/>
              </w:rPr>
              <w:t>SJR</w:t>
            </w:r>
          </w:p>
        </w:tc>
        <w:tc>
          <w:tcPr>
            <w:tcW w:w="2131" w:type="dxa"/>
            <w:tcBorders>
              <w:top w:val="nil"/>
              <w:left w:val="single" w:sz="4" w:space="0" w:color="auto"/>
              <w:bottom w:val="nil"/>
              <w:right w:val="nil"/>
            </w:tcBorders>
            <w:shd w:val="clear" w:color="auto" w:fill="auto"/>
            <w:noWrap/>
            <w:vAlign w:val="bottom"/>
            <w:hideMark/>
          </w:tcPr>
          <w:p w14:paraId="60437844" w14:textId="77777777" w:rsidR="0048099F" w:rsidRPr="00076B84" w:rsidRDefault="0048099F" w:rsidP="0048099F">
            <w:pPr>
              <w:jc w:val="center"/>
              <w:rPr>
                <w:color w:val="000000"/>
                <w:sz w:val="22"/>
                <w:szCs w:val="22"/>
              </w:rPr>
            </w:pPr>
            <w:r w:rsidRPr="00076B84">
              <w:rPr>
                <w:color w:val="000000"/>
                <w:sz w:val="22"/>
                <w:szCs w:val="22"/>
              </w:rPr>
              <w:t> </w:t>
            </w:r>
          </w:p>
        </w:tc>
        <w:tc>
          <w:tcPr>
            <w:tcW w:w="2835" w:type="dxa"/>
            <w:tcBorders>
              <w:top w:val="nil"/>
              <w:left w:val="nil"/>
              <w:bottom w:val="nil"/>
              <w:right w:val="nil"/>
            </w:tcBorders>
            <w:shd w:val="clear" w:color="auto" w:fill="auto"/>
            <w:noWrap/>
            <w:vAlign w:val="bottom"/>
            <w:hideMark/>
          </w:tcPr>
          <w:p w14:paraId="1769B341" w14:textId="77777777" w:rsidR="0048099F" w:rsidRPr="00076B84" w:rsidRDefault="0048099F" w:rsidP="0048099F">
            <w:pPr>
              <w:jc w:val="center"/>
              <w:rPr>
                <w:color w:val="000000"/>
                <w:sz w:val="22"/>
                <w:szCs w:val="22"/>
              </w:rPr>
            </w:pPr>
          </w:p>
        </w:tc>
        <w:tc>
          <w:tcPr>
            <w:tcW w:w="1968" w:type="dxa"/>
            <w:gridSpan w:val="2"/>
            <w:tcBorders>
              <w:top w:val="nil"/>
              <w:left w:val="nil"/>
              <w:bottom w:val="nil"/>
              <w:right w:val="single" w:sz="4" w:space="0" w:color="auto"/>
            </w:tcBorders>
            <w:shd w:val="clear" w:color="auto" w:fill="auto"/>
            <w:noWrap/>
            <w:vAlign w:val="bottom"/>
            <w:hideMark/>
          </w:tcPr>
          <w:p w14:paraId="4D0E8354" w14:textId="77777777" w:rsidR="0048099F" w:rsidRPr="00076B84" w:rsidRDefault="0048099F" w:rsidP="0048099F">
            <w:pPr>
              <w:jc w:val="center"/>
              <w:rPr>
                <w:color w:val="000000"/>
                <w:sz w:val="22"/>
                <w:szCs w:val="22"/>
              </w:rPr>
            </w:pPr>
            <w:r w:rsidRPr="00076B84">
              <w:rPr>
                <w:color w:val="000000"/>
                <w:sz w:val="22"/>
                <w:szCs w:val="22"/>
              </w:rPr>
              <w:t>0.942</w:t>
            </w:r>
          </w:p>
        </w:tc>
      </w:tr>
      <w:tr w:rsidR="0048099F" w:rsidRPr="00076B84" w14:paraId="49EB09A9" w14:textId="77777777" w:rsidTr="00C90272">
        <w:trPr>
          <w:trHeight w:val="20"/>
          <w:jc w:val="center"/>
        </w:trPr>
        <w:tc>
          <w:tcPr>
            <w:tcW w:w="2122" w:type="dxa"/>
            <w:tcBorders>
              <w:top w:val="nil"/>
              <w:left w:val="single" w:sz="4" w:space="0" w:color="auto"/>
              <w:bottom w:val="single" w:sz="4" w:space="0" w:color="auto"/>
              <w:right w:val="nil"/>
            </w:tcBorders>
            <w:shd w:val="clear" w:color="auto" w:fill="auto"/>
            <w:noWrap/>
            <w:vAlign w:val="bottom"/>
            <w:hideMark/>
          </w:tcPr>
          <w:p w14:paraId="2E44DD89" w14:textId="77777777" w:rsidR="0048099F" w:rsidRPr="00076B84" w:rsidRDefault="0048099F" w:rsidP="0048099F">
            <w:pPr>
              <w:rPr>
                <w:color w:val="000000"/>
                <w:sz w:val="22"/>
                <w:szCs w:val="22"/>
              </w:rPr>
            </w:pPr>
            <w:r w:rsidRPr="00076B84">
              <w:rPr>
                <w:color w:val="000000"/>
                <w:sz w:val="22"/>
                <w:szCs w:val="22"/>
              </w:rPr>
              <w:t>SNIP average</w:t>
            </w:r>
          </w:p>
        </w:tc>
        <w:tc>
          <w:tcPr>
            <w:tcW w:w="2131" w:type="dxa"/>
            <w:tcBorders>
              <w:top w:val="nil"/>
              <w:left w:val="single" w:sz="4" w:space="0" w:color="auto"/>
              <w:bottom w:val="single" w:sz="4" w:space="0" w:color="auto"/>
              <w:right w:val="nil"/>
            </w:tcBorders>
            <w:shd w:val="clear" w:color="auto" w:fill="auto"/>
            <w:noWrap/>
            <w:vAlign w:val="bottom"/>
            <w:hideMark/>
          </w:tcPr>
          <w:p w14:paraId="22F38A77" w14:textId="77777777" w:rsidR="0048099F" w:rsidRPr="00076B84" w:rsidRDefault="0048099F" w:rsidP="0048099F">
            <w:pPr>
              <w:jc w:val="center"/>
              <w:rPr>
                <w:color w:val="000000"/>
                <w:sz w:val="22"/>
                <w:szCs w:val="22"/>
              </w:rPr>
            </w:pPr>
          </w:p>
        </w:tc>
        <w:tc>
          <w:tcPr>
            <w:tcW w:w="2835" w:type="dxa"/>
            <w:tcBorders>
              <w:top w:val="nil"/>
              <w:left w:val="nil"/>
              <w:bottom w:val="single" w:sz="4" w:space="0" w:color="auto"/>
              <w:right w:val="nil"/>
            </w:tcBorders>
            <w:shd w:val="clear" w:color="auto" w:fill="auto"/>
            <w:noWrap/>
            <w:vAlign w:val="bottom"/>
            <w:hideMark/>
          </w:tcPr>
          <w:p w14:paraId="7413CBD2" w14:textId="77777777" w:rsidR="0048099F" w:rsidRPr="00076B84" w:rsidRDefault="0048099F" w:rsidP="0048099F">
            <w:pPr>
              <w:jc w:val="center"/>
              <w:rPr>
                <w:color w:val="000000"/>
                <w:sz w:val="22"/>
                <w:szCs w:val="22"/>
              </w:rPr>
            </w:pPr>
            <w:r w:rsidRPr="00076B84">
              <w:rPr>
                <w:color w:val="000000"/>
                <w:sz w:val="22"/>
                <w:szCs w:val="22"/>
              </w:rPr>
              <w:t> </w:t>
            </w:r>
          </w:p>
        </w:tc>
        <w:tc>
          <w:tcPr>
            <w:tcW w:w="1968" w:type="dxa"/>
            <w:gridSpan w:val="2"/>
            <w:tcBorders>
              <w:top w:val="nil"/>
              <w:left w:val="nil"/>
              <w:bottom w:val="single" w:sz="4" w:space="0" w:color="auto"/>
              <w:right w:val="single" w:sz="4" w:space="0" w:color="auto"/>
            </w:tcBorders>
            <w:shd w:val="clear" w:color="auto" w:fill="auto"/>
            <w:noWrap/>
            <w:vAlign w:val="bottom"/>
            <w:hideMark/>
          </w:tcPr>
          <w:p w14:paraId="367F3A44" w14:textId="77777777" w:rsidR="0048099F" w:rsidRPr="00076B84" w:rsidRDefault="0048099F" w:rsidP="0048099F">
            <w:pPr>
              <w:jc w:val="center"/>
              <w:rPr>
                <w:color w:val="000000"/>
                <w:sz w:val="22"/>
                <w:szCs w:val="22"/>
              </w:rPr>
            </w:pPr>
            <w:r w:rsidRPr="00076B84">
              <w:rPr>
                <w:color w:val="000000"/>
                <w:sz w:val="22"/>
                <w:szCs w:val="22"/>
              </w:rPr>
              <w:t>0.703</w:t>
            </w:r>
          </w:p>
        </w:tc>
      </w:tr>
      <w:tr w:rsidR="0048099F" w:rsidRPr="00076B84" w14:paraId="41836F38" w14:textId="77777777" w:rsidTr="001B795A">
        <w:trPr>
          <w:trHeight w:val="20"/>
          <w:jc w:val="center"/>
        </w:trPr>
        <w:tc>
          <w:tcPr>
            <w:tcW w:w="9056" w:type="dxa"/>
            <w:gridSpan w:val="5"/>
            <w:tcBorders>
              <w:top w:val="single" w:sz="4" w:space="0" w:color="auto"/>
              <w:bottom w:val="nil"/>
            </w:tcBorders>
            <w:shd w:val="clear" w:color="auto" w:fill="auto"/>
            <w:noWrap/>
            <w:vAlign w:val="bottom"/>
            <w:hideMark/>
          </w:tcPr>
          <w:p w14:paraId="58DE72C2" w14:textId="77777777" w:rsidR="00F106EE" w:rsidRPr="00076B84" w:rsidRDefault="0048099F" w:rsidP="0048099F">
            <w:pPr>
              <w:rPr>
                <w:color w:val="000000"/>
                <w:sz w:val="22"/>
                <w:szCs w:val="22"/>
              </w:rPr>
            </w:pPr>
            <w:r w:rsidRPr="00076B84">
              <w:rPr>
                <w:color w:val="000000"/>
                <w:sz w:val="22"/>
                <w:szCs w:val="22"/>
              </w:rPr>
              <w:t xml:space="preserve">Extraction Method: Principal Axis Factoring. </w:t>
            </w:r>
          </w:p>
          <w:p w14:paraId="68E55890" w14:textId="77777777" w:rsidR="0048099F" w:rsidRPr="00076B84" w:rsidRDefault="0048099F" w:rsidP="0048099F">
            <w:pPr>
              <w:rPr>
                <w:color w:val="000000"/>
                <w:sz w:val="22"/>
                <w:szCs w:val="22"/>
              </w:rPr>
            </w:pPr>
            <w:r w:rsidRPr="00076B84">
              <w:rPr>
                <w:color w:val="000000"/>
                <w:sz w:val="22"/>
                <w:szCs w:val="22"/>
              </w:rPr>
              <w:t>Rotation Method: Oblimin with Kaiser Normalization.</w:t>
            </w:r>
          </w:p>
        </w:tc>
      </w:tr>
    </w:tbl>
    <w:p w14:paraId="6A4E8830" w14:textId="77777777" w:rsidR="00EE4774" w:rsidRPr="00076B84" w:rsidRDefault="00EE4774" w:rsidP="00EE4774">
      <w:pPr>
        <w:rPr>
          <w:color w:val="000000"/>
          <w:sz w:val="22"/>
          <w:szCs w:val="22"/>
        </w:rPr>
      </w:pPr>
      <w:r w:rsidRPr="00076B84">
        <w:rPr>
          <w:color w:val="000000"/>
          <w:sz w:val="22"/>
          <w:szCs w:val="22"/>
        </w:rPr>
        <w:t xml:space="preserve">  All items are panel-based z-scores</w:t>
      </w:r>
    </w:p>
    <w:p w14:paraId="61CB9943" w14:textId="77777777" w:rsidR="0048099F" w:rsidRPr="00076B84" w:rsidRDefault="00EE4774" w:rsidP="00EE4774">
      <w:pPr>
        <w:rPr>
          <w:sz w:val="22"/>
          <w:szCs w:val="22"/>
        </w:rPr>
      </w:pPr>
      <w:r w:rsidRPr="00076B84">
        <w:rPr>
          <w:color w:val="000000"/>
          <w:sz w:val="22"/>
          <w:szCs w:val="22"/>
        </w:rPr>
        <w:t xml:space="preserve">  |loadings| &lt; .30 not shown</w:t>
      </w:r>
    </w:p>
    <w:p w14:paraId="5AC39AE5" w14:textId="77777777" w:rsidR="00EE4774" w:rsidRDefault="00EE4774" w:rsidP="0048099F"/>
    <w:p w14:paraId="17292417" w14:textId="77777777" w:rsidR="0055399B" w:rsidRPr="00076B84" w:rsidRDefault="0055399B" w:rsidP="0055399B">
      <w:r w:rsidRPr="00076B84">
        <w:t xml:space="preserve">Which factors can </w:t>
      </w:r>
      <w:r>
        <w:rPr>
          <w:lang w:val="en-US"/>
        </w:rPr>
        <w:t>be</w:t>
      </w:r>
      <w:r w:rsidRPr="00076B84">
        <w:t xml:space="preserve"> </w:t>
      </w:r>
      <w:r w:rsidRPr="00076B84">
        <w:t>distinguish</w:t>
      </w:r>
      <w:r>
        <w:rPr>
          <w:lang w:val="en-US"/>
        </w:rPr>
        <w:t>ed</w:t>
      </w:r>
      <w:r w:rsidRPr="00076B84">
        <w:t>?</w:t>
      </w:r>
    </w:p>
    <w:p w14:paraId="205A4D51" w14:textId="77777777" w:rsidR="0055399B" w:rsidRPr="00076B84" w:rsidRDefault="0055399B" w:rsidP="0055399B">
      <w:pPr>
        <w:pStyle w:val="ListParagraph"/>
        <w:numPr>
          <w:ilvl w:val="0"/>
          <w:numId w:val="1"/>
        </w:numPr>
        <w:spacing w:after="0" w:line="240" w:lineRule="auto"/>
        <w:ind w:left="567" w:hanging="283"/>
        <w:rPr>
          <w:rFonts w:ascii="Times New Roman" w:hAnsi="Times New Roman" w:cs="Times New Roman"/>
          <w:sz w:val="24"/>
        </w:rPr>
      </w:pPr>
      <w:r w:rsidRPr="00076B84">
        <w:rPr>
          <w:rFonts w:ascii="Times New Roman" w:hAnsi="Times New Roman" w:cs="Times New Roman"/>
          <w:sz w:val="24"/>
        </w:rPr>
        <w:t xml:space="preserve">The first factor measures </w:t>
      </w:r>
      <w:r w:rsidRPr="00076B84">
        <w:rPr>
          <w:rFonts w:ascii="Times New Roman" w:hAnsi="Times New Roman" w:cs="Times New Roman"/>
          <w:i/>
          <w:sz w:val="24"/>
        </w:rPr>
        <w:t>relative impact</w:t>
      </w:r>
      <w:r w:rsidRPr="00076B84">
        <w:rPr>
          <w:rFonts w:ascii="Times New Roman" w:hAnsi="Times New Roman" w:cs="Times New Roman"/>
          <w:sz w:val="24"/>
        </w:rPr>
        <w:t>, the impact relative to the total output. This factor consists of the items that represent the relative indicators like ‘share of top 10% highly cited papers’, C/P (average citations per publication), average FWCI. The Cronbach alpha of this scale is 0.914 which is very high.</w:t>
      </w:r>
    </w:p>
    <w:p w14:paraId="4354D06D" w14:textId="77777777" w:rsidR="0055399B" w:rsidRPr="00076B84" w:rsidRDefault="0055399B" w:rsidP="0055399B">
      <w:pPr>
        <w:pStyle w:val="ListParagraph"/>
        <w:numPr>
          <w:ilvl w:val="0"/>
          <w:numId w:val="1"/>
        </w:numPr>
        <w:spacing w:after="0" w:line="240" w:lineRule="auto"/>
        <w:ind w:left="567" w:hanging="283"/>
        <w:rPr>
          <w:rFonts w:ascii="Times New Roman" w:hAnsi="Times New Roman" w:cs="Times New Roman"/>
          <w:sz w:val="24"/>
        </w:rPr>
      </w:pPr>
      <w:r w:rsidRPr="00076B84">
        <w:rPr>
          <w:rFonts w:ascii="Times New Roman" w:hAnsi="Times New Roman" w:cs="Times New Roman"/>
          <w:sz w:val="24"/>
        </w:rPr>
        <w:t xml:space="preserve">The second factor measures </w:t>
      </w:r>
      <w:r w:rsidRPr="00076B84">
        <w:rPr>
          <w:rFonts w:ascii="Times New Roman" w:hAnsi="Times New Roman" w:cs="Times New Roman"/>
          <w:i/>
          <w:sz w:val="24"/>
        </w:rPr>
        <w:t>total impact</w:t>
      </w:r>
      <w:r w:rsidRPr="00076B84">
        <w:rPr>
          <w:rFonts w:ascii="Times New Roman" w:hAnsi="Times New Roman" w:cs="Times New Roman"/>
          <w:sz w:val="24"/>
        </w:rPr>
        <w:t>, and the following items loaded high on this component: Publications (fractionally counted), Citations (fractionally counted) and the fractional count of top 10% field normalized highly cited papers. The Cronbach alpha of this scale is 0.873, again rather high.</w:t>
      </w:r>
    </w:p>
    <w:p w14:paraId="27CCC1B0" w14:textId="77777777" w:rsidR="0055399B" w:rsidRPr="00076B84" w:rsidRDefault="0055399B" w:rsidP="0055399B">
      <w:pPr>
        <w:pStyle w:val="ListParagraph"/>
        <w:numPr>
          <w:ilvl w:val="0"/>
          <w:numId w:val="1"/>
        </w:numPr>
        <w:spacing w:after="0" w:line="240" w:lineRule="auto"/>
        <w:ind w:left="567" w:hanging="283"/>
        <w:rPr>
          <w:rFonts w:ascii="Times New Roman" w:hAnsi="Times New Roman" w:cs="Times New Roman"/>
          <w:sz w:val="24"/>
        </w:rPr>
      </w:pPr>
      <w:r w:rsidRPr="00076B84">
        <w:rPr>
          <w:rFonts w:ascii="Times New Roman" w:hAnsi="Times New Roman" w:cs="Times New Roman"/>
          <w:sz w:val="24"/>
        </w:rPr>
        <w:t xml:space="preserve">The third factor measures </w:t>
      </w:r>
      <w:r w:rsidRPr="00076B84">
        <w:rPr>
          <w:rFonts w:ascii="Times New Roman" w:hAnsi="Times New Roman" w:cs="Times New Roman"/>
          <w:i/>
          <w:sz w:val="24"/>
        </w:rPr>
        <w:t>journal impact</w:t>
      </w:r>
      <w:r w:rsidRPr="00076B84">
        <w:rPr>
          <w:rFonts w:ascii="Times New Roman" w:hAnsi="Times New Roman" w:cs="Times New Roman"/>
          <w:sz w:val="24"/>
        </w:rPr>
        <w:t xml:space="preserve">, and on this component the SNIP and SJR loaded. The related Cronbach alpha is 0.851. </w:t>
      </w:r>
    </w:p>
    <w:p w14:paraId="17C83059" w14:textId="77777777" w:rsidR="0055399B" w:rsidRPr="00076B84" w:rsidRDefault="0055399B" w:rsidP="0048099F"/>
    <w:p w14:paraId="38816827" w14:textId="44A71E8A" w:rsidR="0055399B" w:rsidRPr="00F47500" w:rsidRDefault="007B2CDC" w:rsidP="0048099F">
      <w:pPr>
        <w:rPr>
          <w:lang w:val="en-US"/>
        </w:rPr>
      </w:pPr>
      <w:r w:rsidRPr="00076B84">
        <w:lastRenderedPageBreak/>
        <w:t xml:space="preserve">Why is the </w:t>
      </w:r>
      <w:r w:rsidRPr="00076B84">
        <w:rPr>
          <w:i/>
        </w:rPr>
        <w:t>second factor</w:t>
      </w:r>
      <w:r w:rsidRPr="00076B84">
        <w:t xml:space="preserve"> called total impact, as it includes one output indicator and two citation-based indicators</w:t>
      </w:r>
      <w:r w:rsidR="0055399B">
        <w:rPr>
          <w:lang w:val="en-US"/>
        </w:rPr>
        <w:t>?</w:t>
      </w:r>
      <w:r w:rsidR="0055399B" w:rsidRPr="00076B84">
        <w:t xml:space="preserve"> </w:t>
      </w:r>
      <w:r w:rsidRPr="00076B84">
        <w:t>Normally these indicators are differently classified as output versus impact</w:t>
      </w:r>
      <w:r w:rsidRPr="0055399B">
        <w:t>. In contrast to this, one may argue that researchers can have impact in two different ways</w:t>
      </w:r>
      <w:r w:rsidR="0055399B" w:rsidRPr="0055399B">
        <w:rPr>
          <w:lang w:val="en-US"/>
        </w:rPr>
        <w:t>:</w:t>
      </w:r>
    </w:p>
    <w:p w14:paraId="5B8277EA" w14:textId="3B69B146" w:rsidR="0055399B" w:rsidRPr="00F47500" w:rsidRDefault="007B2CDC" w:rsidP="0055399B">
      <w:pPr>
        <w:pStyle w:val="ListParagraph"/>
        <w:numPr>
          <w:ilvl w:val="0"/>
          <w:numId w:val="1"/>
        </w:numPr>
        <w:rPr>
          <w:rFonts w:ascii="Times New Roman" w:hAnsi="Times New Roman" w:cs="Times New Roman"/>
          <w:sz w:val="24"/>
        </w:rPr>
      </w:pPr>
      <w:r w:rsidRPr="00F47500">
        <w:rPr>
          <w:rFonts w:ascii="Times New Roman" w:hAnsi="Times New Roman" w:cs="Times New Roman"/>
          <w:sz w:val="24"/>
        </w:rPr>
        <w:t>Firstly</w:t>
      </w:r>
      <w:r w:rsidR="00C90272" w:rsidRPr="00F47500">
        <w:rPr>
          <w:rFonts w:ascii="Times New Roman" w:hAnsi="Times New Roman" w:cs="Times New Roman"/>
          <w:sz w:val="24"/>
        </w:rPr>
        <w:t>,</w:t>
      </w:r>
      <w:r w:rsidRPr="00F47500">
        <w:rPr>
          <w:rFonts w:ascii="Times New Roman" w:hAnsi="Times New Roman" w:cs="Times New Roman"/>
          <w:sz w:val="24"/>
        </w:rPr>
        <w:t xml:space="preserve"> by b</w:t>
      </w:r>
      <w:r w:rsidR="00E413F0" w:rsidRPr="00F47500">
        <w:rPr>
          <w:rFonts w:ascii="Times New Roman" w:hAnsi="Times New Roman" w:cs="Times New Roman"/>
          <w:sz w:val="24"/>
        </w:rPr>
        <w:t>ringing many new ideas (=</w:t>
      </w:r>
      <w:r w:rsidR="0055399B">
        <w:rPr>
          <w:rFonts w:ascii="Times New Roman" w:hAnsi="Times New Roman" w:cs="Times New Roman"/>
          <w:sz w:val="24"/>
        </w:rPr>
        <w:t xml:space="preserve"> </w:t>
      </w:r>
      <w:r w:rsidR="00E413F0" w:rsidRPr="00F47500">
        <w:rPr>
          <w:rFonts w:ascii="Times New Roman" w:hAnsi="Times New Roman" w:cs="Times New Roman"/>
          <w:sz w:val="24"/>
        </w:rPr>
        <w:t xml:space="preserve">papers) </w:t>
      </w:r>
      <w:r w:rsidRPr="00F47500">
        <w:rPr>
          <w:rFonts w:ascii="Times New Roman" w:hAnsi="Times New Roman" w:cs="Times New Roman"/>
          <w:sz w:val="24"/>
        </w:rPr>
        <w:t xml:space="preserve">into the community, which can be assessed and become </w:t>
      </w:r>
      <w:proofErr w:type="gramStart"/>
      <w:r w:rsidRPr="00F47500">
        <w:rPr>
          <w:rFonts w:ascii="Times New Roman" w:hAnsi="Times New Roman" w:cs="Times New Roman"/>
          <w:sz w:val="24"/>
        </w:rPr>
        <w:t>more or less adopted</w:t>
      </w:r>
      <w:proofErr w:type="gramEnd"/>
      <w:r w:rsidRPr="00F47500">
        <w:rPr>
          <w:rFonts w:ascii="Times New Roman" w:hAnsi="Times New Roman" w:cs="Times New Roman"/>
          <w:sz w:val="24"/>
        </w:rPr>
        <w:t xml:space="preserve"> and used. </w:t>
      </w:r>
    </w:p>
    <w:p w14:paraId="658EC14F" w14:textId="77777777" w:rsidR="0055399B" w:rsidRPr="00F47500" w:rsidRDefault="007B2CDC" w:rsidP="00F47500">
      <w:pPr>
        <w:pStyle w:val="ListParagraph"/>
        <w:numPr>
          <w:ilvl w:val="0"/>
          <w:numId w:val="1"/>
        </w:numPr>
        <w:spacing w:after="0"/>
        <w:rPr>
          <w:rFonts w:ascii="Times New Roman" w:hAnsi="Times New Roman" w:cs="Times New Roman"/>
          <w:sz w:val="24"/>
        </w:rPr>
      </w:pPr>
      <w:r w:rsidRPr="00F47500">
        <w:rPr>
          <w:rFonts w:ascii="Times New Roman" w:hAnsi="Times New Roman" w:cs="Times New Roman"/>
          <w:sz w:val="24"/>
        </w:rPr>
        <w:t xml:space="preserve">Secondly, </w:t>
      </w:r>
      <w:r w:rsidR="00E413F0" w:rsidRPr="00F47500">
        <w:rPr>
          <w:rFonts w:ascii="Times New Roman" w:hAnsi="Times New Roman" w:cs="Times New Roman"/>
          <w:sz w:val="24"/>
        </w:rPr>
        <w:t xml:space="preserve">the </w:t>
      </w:r>
      <w:r w:rsidRPr="00F47500">
        <w:rPr>
          <w:rFonts w:ascii="Times New Roman" w:hAnsi="Times New Roman" w:cs="Times New Roman"/>
          <w:sz w:val="24"/>
        </w:rPr>
        <w:t xml:space="preserve">impact in terms of the </w:t>
      </w:r>
      <w:r w:rsidR="00E413F0" w:rsidRPr="00F47500">
        <w:rPr>
          <w:rFonts w:ascii="Times New Roman" w:hAnsi="Times New Roman" w:cs="Times New Roman"/>
          <w:sz w:val="24"/>
        </w:rPr>
        <w:t>reception of these new ideas</w:t>
      </w:r>
      <w:r w:rsidRPr="00F47500">
        <w:rPr>
          <w:rFonts w:ascii="Times New Roman" w:hAnsi="Times New Roman" w:cs="Times New Roman"/>
          <w:sz w:val="24"/>
        </w:rPr>
        <w:t xml:space="preserve"> can be measured by citation-based indicators</w:t>
      </w:r>
      <w:r w:rsidR="00E413F0" w:rsidRPr="00F47500">
        <w:rPr>
          <w:rFonts w:ascii="Times New Roman" w:hAnsi="Times New Roman" w:cs="Times New Roman"/>
          <w:sz w:val="24"/>
        </w:rPr>
        <w:t xml:space="preserve">. </w:t>
      </w:r>
    </w:p>
    <w:p w14:paraId="1D1A3130" w14:textId="0D8294AF" w:rsidR="008B4D8A" w:rsidRPr="00076B84" w:rsidRDefault="00E413F0" w:rsidP="0055399B">
      <w:r w:rsidRPr="0055399B">
        <w:t>But as we see here, these two sides of</w:t>
      </w:r>
      <w:r w:rsidRPr="00076B84">
        <w:t xml:space="preserve"> impact are in fact one, as the </w:t>
      </w:r>
      <w:r w:rsidR="007B2CDC" w:rsidRPr="00076B84">
        <w:t xml:space="preserve">factor </w:t>
      </w:r>
      <w:r w:rsidRPr="00076B84">
        <w:t>analysis s</w:t>
      </w:r>
      <w:r w:rsidR="007B2CDC" w:rsidRPr="00076B84">
        <w:t>uggest</w:t>
      </w:r>
      <w:r w:rsidRPr="00076B84">
        <w:t xml:space="preserve">. </w:t>
      </w:r>
      <w:r w:rsidR="008B4D8A" w:rsidRPr="00076B84">
        <w:t xml:space="preserve">This result was not unexpected as we found elsewhere that more output leads to more highly cited papers (Sandström &amp; van den Besselaar 2017), and as is well known also the number of publications and the number of citations </w:t>
      </w:r>
      <w:proofErr w:type="gramStart"/>
      <w:r w:rsidR="008B4D8A" w:rsidRPr="00076B84">
        <w:t>do</w:t>
      </w:r>
      <w:proofErr w:type="gramEnd"/>
      <w:r w:rsidR="008B4D8A" w:rsidRPr="00076B84">
        <w:t xml:space="preserve"> correlate with each other.</w:t>
      </w:r>
    </w:p>
    <w:p w14:paraId="069E92C6" w14:textId="77777777" w:rsidR="0055399B" w:rsidRDefault="0055399B" w:rsidP="00E413F0"/>
    <w:p w14:paraId="10DDCACB" w14:textId="1B25724C" w:rsidR="00E413F0" w:rsidRPr="00076B84" w:rsidRDefault="007B2CDC" w:rsidP="00E413F0">
      <w:r w:rsidRPr="00076B84">
        <w:t xml:space="preserve">The </w:t>
      </w:r>
      <w:r w:rsidRPr="00076B84">
        <w:rPr>
          <w:i/>
        </w:rPr>
        <w:t>third factor</w:t>
      </w:r>
      <w:r w:rsidR="00E413F0" w:rsidRPr="00076B84">
        <w:t xml:space="preserve"> </w:t>
      </w:r>
      <w:r w:rsidR="00C90272" w:rsidRPr="00076B84">
        <w:t xml:space="preserve">represents </w:t>
      </w:r>
      <w:r w:rsidR="00E413F0" w:rsidRPr="00076B84">
        <w:t xml:space="preserve">the impact </w:t>
      </w:r>
      <w:r w:rsidR="00C90272" w:rsidRPr="00076B84">
        <w:t>of the journals in which the papers have been published. As argued elsewhere (</w:t>
      </w:r>
      <w:r w:rsidR="00F9336E" w:rsidRPr="00076B84">
        <w:t>Van den Besselaar et al 2019</w:t>
      </w:r>
      <w:r w:rsidR="00C90272" w:rsidRPr="00076B84">
        <w:t xml:space="preserve">), the underlying variable may be </w:t>
      </w:r>
      <w:r w:rsidR="00E413F0" w:rsidRPr="00076B84">
        <w:rPr>
          <w:i/>
        </w:rPr>
        <w:t>reputation</w:t>
      </w:r>
      <w:r w:rsidR="00E413F0" w:rsidRPr="00076B84">
        <w:t>, and not so much own impact.</w:t>
      </w:r>
    </w:p>
    <w:p w14:paraId="37593390" w14:textId="77777777" w:rsidR="00A52244" w:rsidRDefault="00A52244" w:rsidP="0048099F"/>
    <w:p w14:paraId="27B984BF" w14:textId="691D62B2" w:rsidR="008B4D8A" w:rsidRPr="00076B84" w:rsidRDefault="0048099F" w:rsidP="0048099F">
      <w:r w:rsidRPr="00076B84">
        <w:t xml:space="preserve">The meaning of the </w:t>
      </w:r>
      <w:r w:rsidRPr="00076B84">
        <w:rPr>
          <w:i/>
        </w:rPr>
        <w:t xml:space="preserve">first factor </w:t>
      </w:r>
      <w:r w:rsidRPr="00076B84">
        <w:t xml:space="preserve">is somewhat less clear, as it measures the share of ‘good’ output among all output. This </w:t>
      </w:r>
      <w:r w:rsidR="00C90272" w:rsidRPr="00076B84">
        <w:t xml:space="preserve">has a less straightforward interpretation, as for example </w:t>
      </w:r>
      <w:r w:rsidRPr="00076B84">
        <w:t>a</w:t>
      </w:r>
      <w:r w:rsidR="00C90272" w:rsidRPr="00076B84">
        <w:t>n early career researcher</w:t>
      </w:r>
      <w:r w:rsidRPr="00076B84">
        <w:t xml:space="preserve"> </w:t>
      </w:r>
      <w:r w:rsidR="00C90272" w:rsidRPr="00076B84">
        <w:t xml:space="preserve">working in a good team may become co-author of two papers that end up as highly cited papers. Such a researcher would score higher than a </w:t>
      </w:r>
      <w:r w:rsidRPr="00076B84">
        <w:t xml:space="preserve">researcher who contributed to 50 papers, of which are 30 of very highly cited. </w:t>
      </w:r>
      <w:r w:rsidR="008B4D8A" w:rsidRPr="00076B84">
        <w:t xml:space="preserve">For these authors the relative impact component starts high and would be expected to drop off: as they publish more papers their share of top papers should come down. Generally, one can expected that people with </w:t>
      </w:r>
      <w:r w:rsidR="008B4D8A" w:rsidRPr="00076B84">
        <w:rPr>
          <w:i/>
        </w:rPr>
        <w:t>high shares</w:t>
      </w:r>
      <w:r w:rsidR="008B4D8A" w:rsidRPr="00076B84">
        <w:t xml:space="preserve"> of top papers will be </w:t>
      </w:r>
      <w:r w:rsidR="00A52244">
        <w:rPr>
          <w:lang w:val="en-US"/>
        </w:rPr>
        <w:t xml:space="preserve">either </w:t>
      </w:r>
      <w:r w:rsidR="008B4D8A" w:rsidRPr="00076B84">
        <w:t>on the lower end of productivity (in terms of total output)</w:t>
      </w:r>
      <w:r w:rsidR="00A52244">
        <w:rPr>
          <w:lang w:val="en-US"/>
        </w:rPr>
        <w:t>, or exceptional researchers with high output and high overall impact</w:t>
      </w:r>
      <w:r w:rsidR="008B4D8A" w:rsidRPr="00076B84">
        <w:t>.</w:t>
      </w:r>
    </w:p>
    <w:p w14:paraId="1326534E" w14:textId="09DC62B5" w:rsidR="0048099F" w:rsidRDefault="00C90272" w:rsidP="0048099F">
      <w:pPr>
        <w:rPr>
          <w:lang w:val="en-US"/>
        </w:rPr>
      </w:pPr>
      <w:r w:rsidRPr="00076B84">
        <w:t xml:space="preserve">If </w:t>
      </w:r>
      <w:r w:rsidR="008B4D8A" w:rsidRPr="00076B84">
        <w:t xml:space="preserve">very </w:t>
      </w:r>
      <w:r w:rsidRPr="00076B84">
        <w:t xml:space="preserve">different cases may end up scoring high on this </w:t>
      </w:r>
      <w:r w:rsidR="008B4D8A" w:rsidRPr="00076B84">
        <w:t xml:space="preserve">relative impact </w:t>
      </w:r>
      <w:r w:rsidRPr="00076B84">
        <w:t xml:space="preserve">variable, the dimension may not be so useful. Indeed, when applying these three variables in a study (Van den Besselaar &amp; Mom, forthcoming), the variable relative impact was </w:t>
      </w:r>
      <w:r w:rsidR="008B4D8A" w:rsidRPr="00076B84">
        <w:t xml:space="preserve">almost </w:t>
      </w:r>
      <w:r w:rsidRPr="00076B84">
        <w:t>never close to statistically significant</w:t>
      </w:r>
      <w:r w:rsidR="00A52244">
        <w:rPr>
          <w:lang w:val="en-US"/>
        </w:rPr>
        <w:t xml:space="preserve"> (</w:t>
      </w:r>
      <w:r w:rsidR="00F47500">
        <w:rPr>
          <w:lang w:val="en-US"/>
        </w:rPr>
        <w:t>T</w:t>
      </w:r>
      <w:r w:rsidR="00F47500">
        <w:rPr>
          <w:lang w:val="en-US"/>
        </w:rPr>
        <w:t xml:space="preserve">able </w:t>
      </w:r>
      <w:r w:rsidR="006218BB">
        <w:rPr>
          <w:lang w:val="en-US"/>
        </w:rPr>
        <w:t>3</w:t>
      </w:r>
      <w:r w:rsidR="00A52244">
        <w:rPr>
          <w:lang w:val="en-US"/>
        </w:rPr>
        <w:t xml:space="preserve"> as example).</w:t>
      </w:r>
      <w:r w:rsidR="00964937">
        <w:rPr>
          <w:lang w:val="en-US"/>
        </w:rPr>
        <w:t xml:space="preserve"> We predict receiving an award, using among others our performance variables. And indeed, relative impact has no effect.</w:t>
      </w:r>
    </w:p>
    <w:p w14:paraId="191A3714" w14:textId="77777777" w:rsidR="00A52244" w:rsidRDefault="00A52244" w:rsidP="0048099F">
      <w:pPr>
        <w:rPr>
          <w:lang w:val="en-US"/>
        </w:rPr>
      </w:pPr>
    </w:p>
    <w:tbl>
      <w:tblPr>
        <w:tblW w:w="8662" w:type="dxa"/>
        <w:jc w:val="center"/>
        <w:tblLook w:val="04A0" w:firstRow="1" w:lastRow="0" w:firstColumn="1" w:lastColumn="0" w:noHBand="0" w:noVBand="1"/>
      </w:tblPr>
      <w:tblGrid>
        <w:gridCol w:w="2474"/>
        <w:gridCol w:w="855"/>
        <w:gridCol w:w="760"/>
        <w:gridCol w:w="917"/>
        <w:gridCol w:w="400"/>
        <w:gridCol w:w="760"/>
        <w:gridCol w:w="864"/>
        <w:gridCol w:w="831"/>
        <w:gridCol w:w="840"/>
      </w:tblGrid>
      <w:tr w:rsidR="006218BB" w:rsidRPr="00F47500" w14:paraId="1F6750D3" w14:textId="77777777" w:rsidTr="00576B40">
        <w:trPr>
          <w:trHeight w:val="240"/>
          <w:jc w:val="center"/>
        </w:trPr>
        <w:tc>
          <w:tcPr>
            <w:tcW w:w="8662" w:type="dxa"/>
            <w:gridSpan w:val="9"/>
            <w:tcBorders>
              <w:top w:val="nil"/>
              <w:left w:val="nil"/>
              <w:bottom w:val="single" w:sz="4" w:space="0" w:color="auto"/>
              <w:right w:val="nil"/>
            </w:tcBorders>
            <w:shd w:val="clear" w:color="auto" w:fill="auto"/>
            <w:noWrap/>
            <w:vAlign w:val="bottom"/>
            <w:hideMark/>
          </w:tcPr>
          <w:p w14:paraId="176F2EE9" w14:textId="24BF0CDC" w:rsidR="006218BB" w:rsidRPr="00F47500" w:rsidRDefault="006218BB" w:rsidP="00576B40">
            <w:pPr>
              <w:rPr>
                <w:b/>
                <w:bCs/>
                <w:color w:val="000000"/>
                <w:sz w:val="22"/>
                <w:szCs w:val="22"/>
              </w:rPr>
            </w:pPr>
            <w:r w:rsidRPr="00F47500">
              <w:rPr>
                <w:b/>
                <w:bCs/>
                <w:color w:val="000000"/>
                <w:sz w:val="22"/>
                <w:szCs w:val="22"/>
              </w:rPr>
              <w:t xml:space="preserve">Table </w:t>
            </w:r>
            <w:r w:rsidRPr="00F47500">
              <w:rPr>
                <w:b/>
                <w:bCs/>
                <w:color w:val="000000"/>
                <w:sz w:val="22"/>
                <w:szCs w:val="22"/>
                <w:lang w:val="en-US"/>
              </w:rPr>
              <w:t>3</w:t>
            </w:r>
            <w:r w:rsidRPr="00F47500">
              <w:rPr>
                <w:b/>
                <w:bCs/>
                <w:color w:val="000000"/>
                <w:sz w:val="22"/>
                <w:szCs w:val="22"/>
              </w:rPr>
              <w:t xml:space="preserve">. </w:t>
            </w:r>
            <w:r w:rsidR="00964937">
              <w:rPr>
                <w:color w:val="000000"/>
                <w:sz w:val="22"/>
                <w:szCs w:val="22"/>
                <w:lang w:val="en-US"/>
              </w:rPr>
              <w:t>Award</w:t>
            </w:r>
            <w:r w:rsidRPr="00F47500">
              <w:rPr>
                <w:color w:val="000000"/>
                <w:sz w:val="22"/>
                <w:szCs w:val="22"/>
              </w:rPr>
              <w:t xml:space="preserve"> by gender, </w:t>
            </w:r>
            <w:proofErr w:type="gramStart"/>
            <w:r w:rsidRPr="00F47500">
              <w:rPr>
                <w:color w:val="000000"/>
                <w:sz w:val="22"/>
                <w:szCs w:val="22"/>
              </w:rPr>
              <w:t>faculty</w:t>
            </w:r>
            <w:proofErr w:type="gramEnd"/>
            <w:r w:rsidRPr="00F47500">
              <w:rPr>
                <w:color w:val="000000"/>
                <w:sz w:val="22"/>
                <w:szCs w:val="22"/>
              </w:rPr>
              <w:t xml:space="preserve"> and quality*</w:t>
            </w:r>
          </w:p>
        </w:tc>
      </w:tr>
      <w:tr w:rsidR="006218BB" w:rsidRPr="00F47500" w14:paraId="3D9BF4BB"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5994809F" w14:textId="77777777" w:rsidR="006218BB" w:rsidRPr="00F47500" w:rsidRDefault="006218BB" w:rsidP="00576B40">
            <w:pPr>
              <w:rPr>
                <w:color w:val="000000"/>
                <w:sz w:val="22"/>
                <w:szCs w:val="22"/>
              </w:rPr>
            </w:pPr>
            <w:r w:rsidRPr="00F47500">
              <w:rPr>
                <w:color w:val="000000"/>
                <w:sz w:val="22"/>
                <w:szCs w:val="22"/>
              </w:rPr>
              <w:t> </w:t>
            </w:r>
          </w:p>
        </w:tc>
        <w:tc>
          <w:tcPr>
            <w:tcW w:w="855" w:type="dxa"/>
            <w:tcBorders>
              <w:top w:val="nil"/>
              <w:left w:val="nil"/>
              <w:bottom w:val="nil"/>
              <w:right w:val="nil"/>
            </w:tcBorders>
            <w:shd w:val="clear" w:color="auto" w:fill="auto"/>
            <w:noWrap/>
            <w:vAlign w:val="bottom"/>
            <w:hideMark/>
          </w:tcPr>
          <w:p w14:paraId="31174907" w14:textId="77777777" w:rsidR="006218BB" w:rsidRPr="00F47500" w:rsidRDefault="006218BB" w:rsidP="00576B40">
            <w:pPr>
              <w:jc w:val="center"/>
              <w:rPr>
                <w:color w:val="000000"/>
                <w:sz w:val="22"/>
                <w:szCs w:val="22"/>
              </w:rPr>
            </w:pPr>
            <w:r w:rsidRPr="00F47500">
              <w:rPr>
                <w:color w:val="000000"/>
                <w:sz w:val="22"/>
                <w:szCs w:val="22"/>
              </w:rPr>
              <w:t>B</w:t>
            </w:r>
          </w:p>
        </w:tc>
        <w:tc>
          <w:tcPr>
            <w:tcW w:w="760" w:type="dxa"/>
            <w:tcBorders>
              <w:top w:val="nil"/>
              <w:left w:val="nil"/>
              <w:bottom w:val="nil"/>
              <w:right w:val="nil"/>
            </w:tcBorders>
            <w:shd w:val="clear" w:color="auto" w:fill="auto"/>
            <w:noWrap/>
            <w:vAlign w:val="bottom"/>
            <w:hideMark/>
          </w:tcPr>
          <w:p w14:paraId="65594F48" w14:textId="77777777" w:rsidR="006218BB" w:rsidRPr="00F47500" w:rsidRDefault="006218BB" w:rsidP="00576B40">
            <w:pPr>
              <w:jc w:val="center"/>
              <w:rPr>
                <w:color w:val="000000"/>
                <w:sz w:val="22"/>
                <w:szCs w:val="22"/>
              </w:rPr>
            </w:pPr>
            <w:r w:rsidRPr="00F47500">
              <w:rPr>
                <w:color w:val="000000"/>
                <w:sz w:val="22"/>
                <w:szCs w:val="22"/>
              </w:rPr>
              <w:t>S.E.</w:t>
            </w:r>
          </w:p>
        </w:tc>
        <w:tc>
          <w:tcPr>
            <w:tcW w:w="917" w:type="dxa"/>
            <w:tcBorders>
              <w:top w:val="nil"/>
              <w:left w:val="nil"/>
              <w:bottom w:val="nil"/>
              <w:right w:val="nil"/>
            </w:tcBorders>
            <w:shd w:val="clear" w:color="auto" w:fill="auto"/>
            <w:noWrap/>
            <w:vAlign w:val="bottom"/>
            <w:hideMark/>
          </w:tcPr>
          <w:p w14:paraId="2E4370C6" w14:textId="77777777" w:rsidR="006218BB" w:rsidRPr="00F47500" w:rsidRDefault="006218BB" w:rsidP="00576B40">
            <w:pPr>
              <w:jc w:val="center"/>
              <w:rPr>
                <w:color w:val="000000"/>
                <w:sz w:val="22"/>
                <w:szCs w:val="22"/>
              </w:rPr>
            </w:pPr>
            <w:r w:rsidRPr="00F47500">
              <w:rPr>
                <w:color w:val="000000"/>
                <w:sz w:val="22"/>
                <w:szCs w:val="22"/>
              </w:rPr>
              <w:t>Wald</w:t>
            </w:r>
          </w:p>
        </w:tc>
        <w:tc>
          <w:tcPr>
            <w:tcW w:w="366" w:type="dxa"/>
            <w:tcBorders>
              <w:top w:val="nil"/>
              <w:left w:val="nil"/>
              <w:bottom w:val="nil"/>
              <w:right w:val="nil"/>
            </w:tcBorders>
            <w:shd w:val="clear" w:color="auto" w:fill="auto"/>
            <w:noWrap/>
            <w:vAlign w:val="bottom"/>
            <w:hideMark/>
          </w:tcPr>
          <w:p w14:paraId="6C4A19D1" w14:textId="77777777" w:rsidR="006218BB" w:rsidRPr="00F47500" w:rsidRDefault="006218BB" w:rsidP="00576B40">
            <w:pPr>
              <w:jc w:val="center"/>
              <w:rPr>
                <w:color w:val="000000"/>
                <w:sz w:val="22"/>
                <w:szCs w:val="22"/>
              </w:rPr>
            </w:pPr>
            <w:r w:rsidRPr="00F47500">
              <w:rPr>
                <w:color w:val="000000"/>
                <w:sz w:val="22"/>
                <w:szCs w:val="22"/>
              </w:rPr>
              <w:t>df</w:t>
            </w:r>
          </w:p>
        </w:tc>
        <w:tc>
          <w:tcPr>
            <w:tcW w:w="760" w:type="dxa"/>
            <w:tcBorders>
              <w:top w:val="nil"/>
              <w:left w:val="nil"/>
              <w:bottom w:val="nil"/>
              <w:right w:val="nil"/>
            </w:tcBorders>
            <w:shd w:val="clear" w:color="auto" w:fill="auto"/>
            <w:noWrap/>
            <w:vAlign w:val="bottom"/>
            <w:hideMark/>
          </w:tcPr>
          <w:p w14:paraId="71CD6879" w14:textId="77777777" w:rsidR="006218BB" w:rsidRPr="00F47500" w:rsidRDefault="006218BB" w:rsidP="00576B40">
            <w:pPr>
              <w:jc w:val="center"/>
              <w:rPr>
                <w:color w:val="000000"/>
                <w:sz w:val="22"/>
                <w:szCs w:val="22"/>
              </w:rPr>
            </w:pPr>
            <w:r w:rsidRPr="00F47500">
              <w:rPr>
                <w:color w:val="000000"/>
                <w:sz w:val="22"/>
                <w:szCs w:val="22"/>
              </w:rPr>
              <w:t>Sig.</w:t>
            </w:r>
          </w:p>
        </w:tc>
        <w:tc>
          <w:tcPr>
            <w:tcW w:w="859" w:type="dxa"/>
            <w:tcBorders>
              <w:top w:val="nil"/>
              <w:left w:val="nil"/>
              <w:bottom w:val="nil"/>
              <w:right w:val="nil"/>
            </w:tcBorders>
            <w:shd w:val="clear" w:color="auto" w:fill="auto"/>
            <w:noWrap/>
            <w:vAlign w:val="bottom"/>
            <w:hideMark/>
          </w:tcPr>
          <w:p w14:paraId="702DEC68" w14:textId="77777777" w:rsidR="006218BB" w:rsidRPr="00F47500" w:rsidRDefault="006218BB" w:rsidP="00576B40">
            <w:pPr>
              <w:jc w:val="center"/>
              <w:rPr>
                <w:color w:val="000000"/>
                <w:sz w:val="22"/>
                <w:szCs w:val="22"/>
              </w:rPr>
            </w:pPr>
            <w:r w:rsidRPr="00F47500">
              <w:rPr>
                <w:color w:val="000000"/>
                <w:sz w:val="22"/>
                <w:szCs w:val="22"/>
              </w:rPr>
              <w:t>Exp(B)</w:t>
            </w:r>
          </w:p>
        </w:tc>
        <w:tc>
          <w:tcPr>
            <w:tcW w:w="1671" w:type="dxa"/>
            <w:gridSpan w:val="2"/>
            <w:tcBorders>
              <w:top w:val="single" w:sz="4" w:space="0" w:color="auto"/>
              <w:left w:val="nil"/>
              <w:bottom w:val="nil"/>
              <w:right w:val="single" w:sz="4" w:space="0" w:color="000000"/>
            </w:tcBorders>
            <w:shd w:val="clear" w:color="auto" w:fill="auto"/>
            <w:noWrap/>
            <w:vAlign w:val="bottom"/>
            <w:hideMark/>
          </w:tcPr>
          <w:p w14:paraId="2CD334C3" w14:textId="4F2D1174" w:rsidR="006218BB" w:rsidRPr="00F47500" w:rsidRDefault="006218BB" w:rsidP="00576B40">
            <w:pPr>
              <w:jc w:val="center"/>
              <w:rPr>
                <w:color w:val="000000"/>
                <w:sz w:val="22"/>
                <w:szCs w:val="22"/>
              </w:rPr>
            </w:pPr>
            <w:r w:rsidRPr="00F47500">
              <w:rPr>
                <w:color w:val="000000"/>
                <w:sz w:val="22"/>
                <w:szCs w:val="22"/>
              </w:rPr>
              <w:t>95% CI</w:t>
            </w:r>
            <w:r w:rsidR="00964937">
              <w:rPr>
                <w:color w:val="000000"/>
                <w:sz w:val="22"/>
                <w:szCs w:val="22"/>
                <w:lang w:val="en-US"/>
              </w:rPr>
              <w:t xml:space="preserve"> Exp</w:t>
            </w:r>
            <w:r w:rsidRPr="00F47500">
              <w:rPr>
                <w:color w:val="000000"/>
                <w:sz w:val="22"/>
                <w:szCs w:val="22"/>
              </w:rPr>
              <w:t>(B)</w:t>
            </w:r>
          </w:p>
        </w:tc>
      </w:tr>
      <w:tr w:rsidR="006218BB" w:rsidRPr="00F47500" w14:paraId="0E27E840" w14:textId="77777777" w:rsidTr="00576B40">
        <w:trPr>
          <w:trHeight w:val="24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2308863F" w14:textId="77777777" w:rsidR="006218BB" w:rsidRPr="00F47500" w:rsidRDefault="006218BB" w:rsidP="00576B40">
            <w:pPr>
              <w:rPr>
                <w:color w:val="000000"/>
                <w:sz w:val="22"/>
                <w:szCs w:val="22"/>
              </w:rPr>
            </w:pPr>
            <w:r w:rsidRPr="00F47500">
              <w:rPr>
                <w:color w:val="000000"/>
                <w:sz w:val="22"/>
                <w:szCs w:val="22"/>
              </w:rPr>
              <w:t> </w:t>
            </w:r>
          </w:p>
        </w:tc>
        <w:tc>
          <w:tcPr>
            <w:tcW w:w="855" w:type="dxa"/>
            <w:tcBorders>
              <w:top w:val="nil"/>
              <w:left w:val="nil"/>
              <w:bottom w:val="single" w:sz="4" w:space="0" w:color="auto"/>
              <w:right w:val="nil"/>
            </w:tcBorders>
            <w:shd w:val="clear" w:color="auto" w:fill="auto"/>
            <w:noWrap/>
            <w:vAlign w:val="bottom"/>
            <w:hideMark/>
          </w:tcPr>
          <w:p w14:paraId="1912F056" w14:textId="77777777" w:rsidR="006218BB" w:rsidRPr="00F47500" w:rsidRDefault="006218BB" w:rsidP="00576B40">
            <w:pPr>
              <w:jc w:val="center"/>
              <w:rPr>
                <w:color w:val="000000"/>
                <w:sz w:val="22"/>
                <w:szCs w:val="22"/>
              </w:rPr>
            </w:pPr>
            <w:r w:rsidRPr="00F47500">
              <w:rPr>
                <w:color w:val="000000"/>
                <w:sz w:val="22"/>
                <w:szCs w:val="22"/>
              </w:rPr>
              <w:t> </w:t>
            </w:r>
          </w:p>
        </w:tc>
        <w:tc>
          <w:tcPr>
            <w:tcW w:w="760" w:type="dxa"/>
            <w:tcBorders>
              <w:top w:val="nil"/>
              <w:left w:val="nil"/>
              <w:bottom w:val="single" w:sz="4" w:space="0" w:color="auto"/>
              <w:right w:val="nil"/>
            </w:tcBorders>
            <w:shd w:val="clear" w:color="auto" w:fill="auto"/>
            <w:noWrap/>
            <w:vAlign w:val="bottom"/>
            <w:hideMark/>
          </w:tcPr>
          <w:p w14:paraId="069AD7BB" w14:textId="77777777" w:rsidR="006218BB" w:rsidRPr="00F47500" w:rsidRDefault="006218BB" w:rsidP="00576B40">
            <w:pPr>
              <w:jc w:val="center"/>
              <w:rPr>
                <w:color w:val="000000"/>
                <w:sz w:val="22"/>
                <w:szCs w:val="22"/>
              </w:rPr>
            </w:pPr>
            <w:r w:rsidRPr="00F47500">
              <w:rPr>
                <w:color w:val="000000"/>
                <w:sz w:val="22"/>
                <w:szCs w:val="22"/>
              </w:rPr>
              <w:t> </w:t>
            </w:r>
          </w:p>
        </w:tc>
        <w:tc>
          <w:tcPr>
            <w:tcW w:w="917" w:type="dxa"/>
            <w:tcBorders>
              <w:top w:val="nil"/>
              <w:left w:val="nil"/>
              <w:bottom w:val="single" w:sz="4" w:space="0" w:color="auto"/>
              <w:right w:val="nil"/>
            </w:tcBorders>
            <w:shd w:val="clear" w:color="auto" w:fill="auto"/>
            <w:noWrap/>
            <w:vAlign w:val="bottom"/>
            <w:hideMark/>
          </w:tcPr>
          <w:p w14:paraId="7D52D528" w14:textId="77777777" w:rsidR="006218BB" w:rsidRPr="00F47500" w:rsidRDefault="006218BB" w:rsidP="00576B40">
            <w:pPr>
              <w:jc w:val="center"/>
              <w:rPr>
                <w:color w:val="000000"/>
                <w:sz w:val="22"/>
                <w:szCs w:val="22"/>
              </w:rPr>
            </w:pPr>
            <w:r w:rsidRPr="00F47500">
              <w:rPr>
                <w:color w:val="000000"/>
                <w:sz w:val="22"/>
                <w:szCs w:val="22"/>
              </w:rPr>
              <w:t> </w:t>
            </w:r>
          </w:p>
        </w:tc>
        <w:tc>
          <w:tcPr>
            <w:tcW w:w="366" w:type="dxa"/>
            <w:tcBorders>
              <w:top w:val="nil"/>
              <w:left w:val="nil"/>
              <w:bottom w:val="single" w:sz="4" w:space="0" w:color="auto"/>
              <w:right w:val="nil"/>
            </w:tcBorders>
            <w:shd w:val="clear" w:color="auto" w:fill="auto"/>
            <w:noWrap/>
            <w:vAlign w:val="bottom"/>
            <w:hideMark/>
          </w:tcPr>
          <w:p w14:paraId="6DC85085" w14:textId="77777777" w:rsidR="006218BB" w:rsidRPr="00F47500" w:rsidRDefault="006218BB" w:rsidP="00576B40">
            <w:pPr>
              <w:jc w:val="center"/>
              <w:rPr>
                <w:color w:val="000000"/>
                <w:sz w:val="22"/>
                <w:szCs w:val="22"/>
              </w:rPr>
            </w:pPr>
            <w:r w:rsidRPr="00F47500">
              <w:rPr>
                <w:color w:val="000000"/>
                <w:sz w:val="22"/>
                <w:szCs w:val="22"/>
              </w:rPr>
              <w:t> </w:t>
            </w:r>
          </w:p>
        </w:tc>
        <w:tc>
          <w:tcPr>
            <w:tcW w:w="760" w:type="dxa"/>
            <w:tcBorders>
              <w:top w:val="nil"/>
              <w:left w:val="nil"/>
              <w:bottom w:val="single" w:sz="4" w:space="0" w:color="auto"/>
              <w:right w:val="nil"/>
            </w:tcBorders>
            <w:shd w:val="clear" w:color="auto" w:fill="auto"/>
            <w:noWrap/>
            <w:vAlign w:val="bottom"/>
            <w:hideMark/>
          </w:tcPr>
          <w:p w14:paraId="38C5FB39" w14:textId="77777777" w:rsidR="006218BB" w:rsidRPr="00F47500" w:rsidRDefault="006218BB" w:rsidP="00576B40">
            <w:pPr>
              <w:jc w:val="center"/>
              <w:rPr>
                <w:color w:val="000000"/>
                <w:sz w:val="22"/>
                <w:szCs w:val="22"/>
              </w:rPr>
            </w:pPr>
            <w:r w:rsidRPr="00F47500">
              <w:rPr>
                <w:color w:val="000000"/>
                <w:sz w:val="22"/>
                <w:szCs w:val="22"/>
              </w:rPr>
              <w:t> </w:t>
            </w:r>
          </w:p>
        </w:tc>
        <w:tc>
          <w:tcPr>
            <w:tcW w:w="859" w:type="dxa"/>
            <w:tcBorders>
              <w:top w:val="nil"/>
              <w:left w:val="nil"/>
              <w:bottom w:val="single" w:sz="4" w:space="0" w:color="auto"/>
              <w:right w:val="nil"/>
            </w:tcBorders>
            <w:shd w:val="clear" w:color="auto" w:fill="auto"/>
            <w:noWrap/>
            <w:vAlign w:val="bottom"/>
            <w:hideMark/>
          </w:tcPr>
          <w:p w14:paraId="1E438BC2" w14:textId="77777777" w:rsidR="006218BB" w:rsidRPr="00F47500" w:rsidRDefault="006218BB" w:rsidP="00576B40">
            <w:pPr>
              <w:jc w:val="center"/>
              <w:rPr>
                <w:color w:val="000000"/>
                <w:sz w:val="22"/>
                <w:szCs w:val="22"/>
              </w:rPr>
            </w:pPr>
            <w:r w:rsidRPr="00F47500">
              <w:rPr>
                <w:color w:val="000000"/>
                <w:sz w:val="22"/>
                <w:szCs w:val="22"/>
              </w:rPr>
              <w:t> </w:t>
            </w:r>
          </w:p>
        </w:tc>
        <w:tc>
          <w:tcPr>
            <w:tcW w:w="831" w:type="dxa"/>
            <w:tcBorders>
              <w:top w:val="nil"/>
              <w:left w:val="nil"/>
              <w:bottom w:val="single" w:sz="4" w:space="0" w:color="auto"/>
              <w:right w:val="nil"/>
            </w:tcBorders>
            <w:shd w:val="clear" w:color="auto" w:fill="auto"/>
            <w:noWrap/>
            <w:vAlign w:val="bottom"/>
            <w:hideMark/>
          </w:tcPr>
          <w:p w14:paraId="205540FC" w14:textId="77777777" w:rsidR="006218BB" w:rsidRPr="00F47500" w:rsidRDefault="006218BB" w:rsidP="00576B40">
            <w:pPr>
              <w:jc w:val="center"/>
              <w:rPr>
                <w:color w:val="000000"/>
                <w:sz w:val="22"/>
                <w:szCs w:val="22"/>
              </w:rPr>
            </w:pPr>
            <w:r w:rsidRPr="00F47500">
              <w:rPr>
                <w:color w:val="000000"/>
                <w:sz w:val="22"/>
                <w:szCs w:val="22"/>
              </w:rPr>
              <w:t>Lower</w:t>
            </w:r>
          </w:p>
        </w:tc>
        <w:tc>
          <w:tcPr>
            <w:tcW w:w="840" w:type="dxa"/>
            <w:tcBorders>
              <w:top w:val="nil"/>
              <w:left w:val="nil"/>
              <w:bottom w:val="single" w:sz="4" w:space="0" w:color="auto"/>
              <w:right w:val="single" w:sz="4" w:space="0" w:color="auto"/>
            </w:tcBorders>
            <w:shd w:val="clear" w:color="auto" w:fill="auto"/>
            <w:noWrap/>
            <w:vAlign w:val="bottom"/>
            <w:hideMark/>
          </w:tcPr>
          <w:p w14:paraId="01AABD2C" w14:textId="77777777" w:rsidR="006218BB" w:rsidRPr="00F47500" w:rsidRDefault="006218BB" w:rsidP="00576B40">
            <w:pPr>
              <w:jc w:val="center"/>
              <w:rPr>
                <w:color w:val="000000"/>
                <w:sz w:val="22"/>
                <w:szCs w:val="22"/>
              </w:rPr>
            </w:pPr>
            <w:r w:rsidRPr="00F47500">
              <w:rPr>
                <w:color w:val="000000"/>
                <w:sz w:val="22"/>
                <w:szCs w:val="22"/>
              </w:rPr>
              <w:t>Upper</w:t>
            </w:r>
          </w:p>
        </w:tc>
      </w:tr>
      <w:tr w:rsidR="006218BB" w:rsidRPr="00F47500" w14:paraId="59D8878D"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2C05999F" w14:textId="77777777" w:rsidR="006218BB" w:rsidRPr="00F47500" w:rsidRDefault="006218BB" w:rsidP="00576B40">
            <w:pPr>
              <w:rPr>
                <w:color w:val="000000"/>
                <w:sz w:val="22"/>
                <w:szCs w:val="22"/>
              </w:rPr>
            </w:pPr>
            <w:r w:rsidRPr="00F47500">
              <w:rPr>
                <w:color w:val="000000"/>
                <w:sz w:val="22"/>
                <w:szCs w:val="22"/>
              </w:rPr>
              <w:t>Sex of PhD candidate(1)</w:t>
            </w:r>
          </w:p>
        </w:tc>
        <w:tc>
          <w:tcPr>
            <w:tcW w:w="855" w:type="dxa"/>
            <w:tcBorders>
              <w:top w:val="nil"/>
              <w:left w:val="nil"/>
              <w:bottom w:val="nil"/>
              <w:right w:val="nil"/>
            </w:tcBorders>
            <w:shd w:val="clear" w:color="auto" w:fill="auto"/>
            <w:noWrap/>
            <w:vAlign w:val="bottom"/>
            <w:hideMark/>
          </w:tcPr>
          <w:p w14:paraId="6DE34658" w14:textId="77777777" w:rsidR="006218BB" w:rsidRPr="00F47500" w:rsidRDefault="006218BB" w:rsidP="00576B40">
            <w:pPr>
              <w:jc w:val="center"/>
              <w:rPr>
                <w:color w:val="000000"/>
                <w:sz w:val="22"/>
                <w:szCs w:val="22"/>
              </w:rPr>
            </w:pPr>
            <w:r w:rsidRPr="00F47500">
              <w:rPr>
                <w:color w:val="000000"/>
                <w:sz w:val="22"/>
                <w:szCs w:val="22"/>
              </w:rPr>
              <w:t>-0.714</w:t>
            </w:r>
          </w:p>
        </w:tc>
        <w:tc>
          <w:tcPr>
            <w:tcW w:w="760" w:type="dxa"/>
            <w:tcBorders>
              <w:top w:val="nil"/>
              <w:left w:val="nil"/>
              <w:bottom w:val="nil"/>
              <w:right w:val="nil"/>
            </w:tcBorders>
            <w:shd w:val="clear" w:color="auto" w:fill="auto"/>
            <w:noWrap/>
            <w:vAlign w:val="bottom"/>
            <w:hideMark/>
          </w:tcPr>
          <w:p w14:paraId="430E9927" w14:textId="77777777" w:rsidR="006218BB" w:rsidRPr="00F47500" w:rsidRDefault="006218BB" w:rsidP="00576B40">
            <w:pPr>
              <w:jc w:val="center"/>
              <w:rPr>
                <w:color w:val="000000"/>
                <w:sz w:val="22"/>
                <w:szCs w:val="22"/>
              </w:rPr>
            </w:pPr>
            <w:r w:rsidRPr="00F47500">
              <w:rPr>
                <w:color w:val="000000"/>
                <w:sz w:val="22"/>
                <w:szCs w:val="22"/>
              </w:rPr>
              <w:t>0.228</w:t>
            </w:r>
          </w:p>
        </w:tc>
        <w:tc>
          <w:tcPr>
            <w:tcW w:w="917" w:type="dxa"/>
            <w:tcBorders>
              <w:top w:val="nil"/>
              <w:left w:val="nil"/>
              <w:bottom w:val="nil"/>
              <w:right w:val="nil"/>
            </w:tcBorders>
            <w:shd w:val="clear" w:color="auto" w:fill="auto"/>
            <w:noWrap/>
            <w:vAlign w:val="bottom"/>
            <w:hideMark/>
          </w:tcPr>
          <w:p w14:paraId="22163853" w14:textId="77777777" w:rsidR="006218BB" w:rsidRPr="00F47500" w:rsidRDefault="006218BB" w:rsidP="00576B40">
            <w:pPr>
              <w:jc w:val="center"/>
              <w:rPr>
                <w:color w:val="000000"/>
                <w:sz w:val="22"/>
                <w:szCs w:val="22"/>
              </w:rPr>
            </w:pPr>
            <w:r w:rsidRPr="00F47500">
              <w:rPr>
                <w:color w:val="000000"/>
                <w:sz w:val="22"/>
                <w:szCs w:val="22"/>
              </w:rPr>
              <w:t>9.824</w:t>
            </w:r>
          </w:p>
        </w:tc>
        <w:tc>
          <w:tcPr>
            <w:tcW w:w="366" w:type="dxa"/>
            <w:tcBorders>
              <w:top w:val="nil"/>
              <w:left w:val="nil"/>
              <w:bottom w:val="nil"/>
              <w:right w:val="nil"/>
            </w:tcBorders>
            <w:shd w:val="clear" w:color="auto" w:fill="auto"/>
            <w:noWrap/>
            <w:vAlign w:val="bottom"/>
            <w:hideMark/>
          </w:tcPr>
          <w:p w14:paraId="497B82BF"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253B4E0" w14:textId="77777777" w:rsidR="006218BB" w:rsidRPr="00F47500" w:rsidRDefault="006218BB" w:rsidP="00576B40">
            <w:pPr>
              <w:jc w:val="center"/>
              <w:rPr>
                <w:color w:val="000000"/>
                <w:sz w:val="22"/>
                <w:szCs w:val="22"/>
              </w:rPr>
            </w:pPr>
            <w:r w:rsidRPr="00F47500">
              <w:rPr>
                <w:color w:val="000000"/>
                <w:sz w:val="22"/>
                <w:szCs w:val="22"/>
              </w:rPr>
              <w:t>0.002</w:t>
            </w:r>
          </w:p>
        </w:tc>
        <w:tc>
          <w:tcPr>
            <w:tcW w:w="859" w:type="dxa"/>
            <w:tcBorders>
              <w:top w:val="nil"/>
              <w:left w:val="nil"/>
              <w:bottom w:val="nil"/>
              <w:right w:val="nil"/>
            </w:tcBorders>
            <w:shd w:val="clear" w:color="auto" w:fill="auto"/>
            <w:noWrap/>
            <w:vAlign w:val="bottom"/>
            <w:hideMark/>
          </w:tcPr>
          <w:p w14:paraId="004EC6E7" w14:textId="77777777" w:rsidR="006218BB" w:rsidRPr="00F47500" w:rsidRDefault="006218BB" w:rsidP="00576B40">
            <w:pPr>
              <w:jc w:val="center"/>
              <w:rPr>
                <w:color w:val="000000"/>
                <w:sz w:val="22"/>
                <w:szCs w:val="22"/>
              </w:rPr>
            </w:pPr>
            <w:r w:rsidRPr="00F47500">
              <w:rPr>
                <w:color w:val="000000"/>
                <w:sz w:val="22"/>
                <w:szCs w:val="22"/>
              </w:rPr>
              <w:t>0.49</w:t>
            </w:r>
          </w:p>
        </w:tc>
        <w:tc>
          <w:tcPr>
            <w:tcW w:w="831" w:type="dxa"/>
            <w:tcBorders>
              <w:top w:val="nil"/>
              <w:left w:val="nil"/>
              <w:bottom w:val="nil"/>
              <w:right w:val="nil"/>
            </w:tcBorders>
            <w:shd w:val="clear" w:color="auto" w:fill="auto"/>
            <w:noWrap/>
            <w:vAlign w:val="bottom"/>
            <w:hideMark/>
          </w:tcPr>
          <w:p w14:paraId="69313101" w14:textId="77777777" w:rsidR="006218BB" w:rsidRPr="00F47500" w:rsidRDefault="006218BB" w:rsidP="00576B40">
            <w:pPr>
              <w:jc w:val="center"/>
              <w:rPr>
                <w:color w:val="000000"/>
                <w:sz w:val="22"/>
                <w:szCs w:val="22"/>
              </w:rPr>
            </w:pPr>
            <w:r w:rsidRPr="00F47500">
              <w:rPr>
                <w:color w:val="000000"/>
                <w:sz w:val="22"/>
                <w:szCs w:val="22"/>
              </w:rPr>
              <w:t>0.313</w:t>
            </w:r>
          </w:p>
        </w:tc>
        <w:tc>
          <w:tcPr>
            <w:tcW w:w="840" w:type="dxa"/>
            <w:tcBorders>
              <w:top w:val="nil"/>
              <w:left w:val="nil"/>
              <w:bottom w:val="nil"/>
              <w:right w:val="single" w:sz="4" w:space="0" w:color="auto"/>
            </w:tcBorders>
            <w:shd w:val="clear" w:color="auto" w:fill="auto"/>
            <w:noWrap/>
            <w:vAlign w:val="bottom"/>
            <w:hideMark/>
          </w:tcPr>
          <w:p w14:paraId="1F31F033" w14:textId="77777777" w:rsidR="006218BB" w:rsidRPr="00F47500" w:rsidRDefault="006218BB" w:rsidP="00576B40">
            <w:pPr>
              <w:jc w:val="center"/>
              <w:rPr>
                <w:color w:val="000000"/>
                <w:sz w:val="22"/>
                <w:szCs w:val="22"/>
              </w:rPr>
            </w:pPr>
            <w:r w:rsidRPr="00F47500">
              <w:rPr>
                <w:color w:val="000000"/>
                <w:sz w:val="22"/>
                <w:szCs w:val="22"/>
              </w:rPr>
              <w:t>0.765</w:t>
            </w:r>
          </w:p>
        </w:tc>
      </w:tr>
      <w:tr w:rsidR="006218BB" w:rsidRPr="00F47500" w14:paraId="287FA3F0"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62D520CF" w14:textId="77777777" w:rsidR="006218BB" w:rsidRPr="00F47500" w:rsidRDefault="006218BB" w:rsidP="00576B40">
            <w:pPr>
              <w:rPr>
                <w:color w:val="000000"/>
                <w:sz w:val="22"/>
                <w:szCs w:val="22"/>
              </w:rPr>
            </w:pPr>
            <w:r w:rsidRPr="00F47500">
              <w:rPr>
                <w:color w:val="000000"/>
                <w:sz w:val="22"/>
                <w:szCs w:val="22"/>
              </w:rPr>
              <w:t>faculty</w:t>
            </w:r>
          </w:p>
        </w:tc>
        <w:tc>
          <w:tcPr>
            <w:tcW w:w="855" w:type="dxa"/>
            <w:tcBorders>
              <w:top w:val="nil"/>
              <w:left w:val="nil"/>
              <w:bottom w:val="nil"/>
              <w:right w:val="nil"/>
            </w:tcBorders>
            <w:shd w:val="clear" w:color="auto" w:fill="auto"/>
            <w:noWrap/>
            <w:vAlign w:val="bottom"/>
            <w:hideMark/>
          </w:tcPr>
          <w:p w14:paraId="25589751" w14:textId="77777777" w:rsidR="006218BB" w:rsidRPr="00F47500" w:rsidRDefault="006218BB" w:rsidP="00576B40">
            <w:pPr>
              <w:rPr>
                <w:color w:val="000000"/>
                <w:sz w:val="22"/>
                <w:szCs w:val="22"/>
              </w:rPr>
            </w:pPr>
          </w:p>
        </w:tc>
        <w:tc>
          <w:tcPr>
            <w:tcW w:w="760" w:type="dxa"/>
            <w:tcBorders>
              <w:top w:val="nil"/>
              <w:left w:val="nil"/>
              <w:bottom w:val="nil"/>
              <w:right w:val="nil"/>
            </w:tcBorders>
            <w:shd w:val="clear" w:color="auto" w:fill="auto"/>
            <w:noWrap/>
            <w:vAlign w:val="bottom"/>
            <w:hideMark/>
          </w:tcPr>
          <w:p w14:paraId="52B1CA67" w14:textId="77777777" w:rsidR="006218BB" w:rsidRPr="00F47500" w:rsidRDefault="006218BB" w:rsidP="00576B40">
            <w:pPr>
              <w:jc w:val="center"/>
              <w:rPr>
                <w:sz w:val="22"/>
                <w:szCs w:val="22"/>
              </w:rPr>
            </w:pPr>
          </w:p>
        </w:tc>
        <w:tc>
          <w:tcPr>
            <w:tcW w:w="917" w:type="dxa"/>
            <w:tcBorders>
              <w:top w:val="nil"/>
              <w:left w:val="nil"/>
              <w:bottom w:val="nil"/>
              <w:right w:val="nil"/>
            </w:tcBorders>
            <w:shd w:val="clear" w:color="auto" w:fill="auto"/>
            <w:noWrap/>
            <w:vAlign w:val="bottom"/>
            <w:hideMark/>
          </w:tcPr>
          <w:p w14:paraId="09AEB24E" w14:textId="77777777" w:rsidR="006218BB" w:rsidRPr="00F47500" w:rsidRDefault="006218BB" w:rsidP="00576B40">
            <w:pPr>
              <w:jc w:val="center"/>
              <w:rPr>
                <w:color w:val="000000"/>
                <w:sz w:val="22"/>
                <w:szCs w:val="22"/>
              </w:rPr>
            </w:pPr>
            <w:r w:rsidRPr="00F47500">
              <w:rPr>
                <w:color w:val="000000"/>
                <w:sz w:val="22"/>
                <w:szCs w:val="22"/>
              </w:rPr>
              <w:t>33.673</w:t>
            </w:r>
          </w:p>
        </w:tc>
        <w:tc>
          <w:tcPr>
            <w:tcW w:w="366" w:type="dxa"/>
            <w:tcBorders>
              <w:top w:val="nil"/>
              <w:left w:val="nil"/>
              <w:bottom w:val="nil"/>
              <w:right w:val="nil"/>
            </w:tcBorders>
            <w:shd w:val="clear" w:color="auto" w:fill="auto"/>
            <w:noWrap/>
            <w:vAlign w:val="bottom"/>
            <w:hideMark/>
          </w:tcPr>
          <w:p w14:paraId="0DFB087F" w14:textId="77777777" w:rsidR="006218BB" w:rsidRPr="00F47500" w:rsidRDefault="006218BB" w:rsidP="00576B40">
            <w:pPr>
              <w:jc w:val="center"/>
              <w:rPr>
                <w:color w:val="000000"/>
                <w:sz w:val="22"/>
                <w:szCs w:val="22"/>
              </w:rPr>
            </w:pPr>
            <w:r w:rsidRPr="00F47500">
              <w:rPr>
                <w:color w:val="000000"/>
                <w:sz w:val="22"/>
                <w:szCs w:val="22"/>
              </w:rPr>
              <w:t>5</w:t>
            </w:r>
          </w:p>
        </w:tc>
        <w:tc>
          <w:tcPr>
            <w:tcW w:w="760" w:type="dxa"/>
            <w:tcBorders>
              <w:top w:val="nil"/>
              <w:left w:val="nil"/>
              <w:bottom w:val="nil"/>
              <w:right w:val="nil"/>
            </w:tcBorders>
            <w:shd w:val="clear" w:color="auto" w:fill="auto"/>
            <w:noWrap/>
            <w:vAlign w:val="bottom"/>
            <w:hideMark/>
          </w:tcPr>
          <w:p w14:paraId="72819F6A" w14:textId="77777777" w:rsidR="006218BB" w:rsidRPr="00F47500" w:rsidRDefault="006218BB" w:rsidP="00576B40">
            <w:pPr>
              <w:jc w:val="center"/>
              <w:rPr>
                <w:color w:val="000000"/>
                <w:sz w:val="22"/>
                <w:szCs w:val="22"/>
              </w:rPr>
            </w:pPr>
            <w:r w:rsidRPr="00F47500">
              <w:rPr>
                <w:color w:val="000000"/>
                <w:sz w:val="22"/>
                <w:szCs w:val="22"/>
              </w:rPr>
              <w:t>0</w:t>
            </w:r>
          </w:p>
        </w:tc>
        <w:tc>
          <w:tcPr>
            <w:tcW w:w="859" w:type="dxa"/>
            <w:tcBorders>
              <w:top w:val="nil"/>
              <w:left w:val="nil"/>
              <w:bottom w:val="nil"/>
              <w:right w:val="nil"/>
            </w:tcBorders>
            <w:shd w:val="clear" w:color="auto" w:fill="auto"/>
            <w:noWrap/>
            <w:vAlign w:val="bottom"/>
            <w:hideMark/>
          </w:tcPr>
          <w:p w14:paraId="71CD96F2" w14:textId="77777777" w:rsidR="006218BB" w:rsidRPr="00F47500" w:rsidRDefault="006218BB" w:rsidP="00576B40">
            <w:pPr>
              <w:jc w:val="center"/>
              <w:rPr>
                <w:color w:val="000000"/>
                <w:sz w:val="22"/>
                <w:szCs w:val="22"/>
              </w:rPr>
            </w:pPr>
          </w:p>
        </w:tc>
        <w:tc>
          <w:tcPr>
            <w:tcW w:w="831" w:type="dxa"/>
            <w:tcBorders>
              <w:top w:val="nil"/>
              <w:left w:val="nil"/>
              <w:bottom w:val="nil"/>
              <w:right w:val="nil"/>
            </w:tcBorders>
            <w:shd w:val="clear" w:color="auto" w:fill="auto"/>
            <w:noWrap/>
            <w:vAlign w:val="bottom"/>
            <w:hideMark/>
          </w:tcPr>
          <w:p w14:paraId="7724C26A" w14:textId="77777777" w:rsidR="006218BB" w:rsidRPr="00F47500" w:rsidRDefault="006218BB" w:rsidP="00576B40">
            <w:pPr>
              <w:jc w:val="center"/>
              <w:rPr>
                <w:sz w:val="22"/>
                <w:szCs w:val="22"/>
              </w:rPr>
            </w:pPr>
          </w:p>
        </w:tc>
        <w:tc>
          <w:tcPr>
            <w:tcW w:w="840" w:type="dxa"/>
            <w:tcBorders>
              <w:top w:val="nil"/>
              <w:left w:val="nil"/>
              <w:bottom w:val="nil"/>
              <w:right w:val="single" w:sz="4" w:space="0" w:color="auto"/>
            </w:tcBorders>
            <w:shd w:val="clear" w:color="auto" w:fill="auto"/>
            <w:noWrap/>
            <w:vAlign w:val="bottom"/>
            <w:hideMark/>
          </w:tcPr>
          <w:p w14:paraId="58434A20" w14:textId="77777777" w:rsidR="006218BB" w:rsidRPr="00F47500" w:rsidRDefault="006218BB" w:rsidP="00576B40">
            <w:pPr>
              <w:jc w:val="center"/>
              <w:rPr>
                <w:color w:val="000000"/>
                <w:sz w:val="22"/>
                <w:szCs w:val="22"/>
              </w:rPr>
            </w:pPr>
            <w:r w:rsidRPr="00F47500">
              <w:rPr>
                <w:color w:val="000000"/>
                <w:sz w:val="22"/>
                <w:szCs w:val="22"/>
              </w:rPr>
              <w:t> </w:t>
            </w:r>
          </w:p>
        </w:tc>
      </w:tr>
      <w:tr w:rsidR="006218BB" w:rsidRPr="00F47500" w14:paraId="3667EDFB"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43C100C2" w14:textId="77777777" w:rsidR="006218BB" w:rsidRPr="00F47500" w:rsidRDefault="006218BB" w:rsidP="00576B40">
            <w:pPr>
              <w:rPr>
                <w:color w:val="000000"/>
                <w:sz w:val="22"/>
                <w:szCs w:val="22"/>
              </w:rPr>
            </w:pPr>
            <w:r w:rsidRPr="00F47500">
              <w:rPr>
                <w:color w:val="000000"/>
                <w:sz w:val="22"/>
                <w:szCs w:val="22"/>
              </w:rPr>
              <w:t>faculty(1)</w:t>
            </w:r>
          </w:p>
        </w:tc>
        <w:tc>
          <w:tcPr>
            <w:tcW w:w="855" w:type="dxa"/>
            <w:tcBorders>
              <w:top w:val="nil"/>
              <w:left w:val="nil"/>
              <w:bottom w:val="nil"/>
              <w:right w:val="nil"/>
            </w:tcBorders>
            <w:shd w:val="clear" w:color="auto" w:fill="auto"/>
            <w:noWrap/>
            <w:vAlign w:val="bottom"/>
            <w:hideMark/>
          </w:tcPr>
          <w:p w14:paraId="5E46F2C2" w14:textId="77777777" w:rsidR="006218BB" w:rsidRPr="00F47500" w:rsidRDefault="006218BB" w:rsidP="00576B40">
            <w:pPr>
              <w:jc w:val="center"/>
              <w:rPr>
                <w:color w:val="000000"/>
                <w:sz w:val="22"/>
                <w:szCs w:val="22"/>
              </w:rPr>
            </w:pPr>
            <w:r w:rsidRPr="00F47500">
              <w:rPr>
                <w:color w:val="000000"/>
                <w:sz w:val="22"/>
                <w:szCs w:val="22"/>
              </w:rPr>
              <w:t>-0.702</w:t>
            </w:r>
          </w:p>
        </w:tc>
        <w:tc>
          <w:tcPr>
            <w:tcW w:w="760" w:type="dxa"/>
            <w:tcBorders>
              <w:top w:val="nil"/>
              <w:left w:val="nil"/>
              <w:bottom w:val="nil"/>
              <w:right w:val="nil"/>
            </w:tcBorders>
            <w:shd w:val="clear" w:color="auto" w:fill="auto"/>
            <w:noWrap/>
            <w:vAlign w:val="bottom"/>
            <w:hideMark/>
          </w:tcPr>
          <w:p w14:paraId="62DBE5F9" w14:textId="77777777" w:rsidR="006218BB" w:rsidRPr="00F47500" w:rsidRDefault="006218BB" w:rsidP="00576B40">
            <w:pPr>
              <w:jc w:val="center"/>
              <w:rPr>
                <w:color w:val="000000"/>
                <w:sz w:val="22"/>
                <w:szCs w:val="22"/>
              </w:rPr>
            </w:pPr>
            <w:r w:rsidRPr="00F47500">
              <w:rPr>
                <w:color w:val="000000"/>
                <w:sz w:val="22"/>
                <w:szCs w:val="22"/>
              </w:rPr>
              <w:t>0.258</w:t>
            </w:r>
          </w:p>
        </w:tc>
        <w:tc>
          <w:tcPr>
            <w:tcW w:w="917" w:type="dxa"/>
            <w:tcBorders>
              <w:top w:val="nil"/>
              <w:left w:val="nil"/>
              <w:bottom w:val="nil"/>
              <w:right w:val="nil"/>
            </w:tcBorders>
            <w:shd w:val="clear" w:color="auto" w:fill="auto"/>
            <w:noWrap/>
            <w:vAlign w:val="bottom"/>
            <w:hideMark/>
          </w:tcPr>
          <w:p w14:paraId="29127812" w14:textId="77777777" w:rsidR="006218BB" w:rsidRPr="00F47500" w:rsidRDefault="006218BB" w:rsidP="00576B40">
            <w:pPr>
              <w:jc w:val="center"/>
              <w:rPr>
                <w:color w:val="000000"/>
                <w:sz w:val="22"/>
                <w:szCs w:val="22"/>
              </w:rPr>
            </w:pPr>
            <w:r w:rsidRPr="00F47500">
              <w:rPr>
                <w:color w:val="000000"/>
                <w:sz w:val="22"/>
                <w:szCs w:val="22"/>
              </w:rPr>
              <w:t>7.373</w:t>
            </w:r>
          </w:p>
        </w:tc>
        <w:tc>
          <w:tcPr>
            <w:tcW w:w="366" w:type="dxa"/>
            <w:tcBorders>
              <w:top w:val="nil"/>
              <w:left w:val="nil"/>
              <w:bottom w:val="nil"/>
              <w:right w:val="nil"/>
            </w:tcBorders>
            <w:shd w:val="clear" w:color="auto" w:fill="auto"/>
            <w:noWrap/>
            <w:vAlign w:val="bottom"/>
            <w:hideMark/>
          </w:tcPr>
          <w:p w14:paraId="4495129F"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5F82D90" w14:textId="77777777" w:rsidR="006218BB" w:rsidRPr="00F47500" w:rsidRDefault="006218BB" w:rsidP="00576B40">
            <w:pPr>
              <w:jc w:val="center"/>
              <w:rPr>
                <w:color w:val="000000"/>
                <w:sz w:val="22"/>
                <w:szCs w:val="22"/>
              </w:rPr>
            </w:pPr>
            <w:r w:rsidRPr="00F47500">
              <w:rPr>
                <w:color w:val="000000"/>
                <w:sz w:val="22"/>
                <w:szCs w:val="22"/>
              </w:rPr>
              <w:t>0.007</w:t>
            </w:r>
          </w:p>
        </w:tc>
        <w:tc>
          <w:tcPr>
            <w:tcW w:w="859" w:type="dxa"/>
            <w:tcBorders>
              <w:top w:val="nil"/>
              <w:left w:val="nil"/>
              <w:bottom w:val="nil"/>
              <w:right w:val="nil"/>
            </w:tcBorders>
            <w:shd w:val="clear" w:color="auto" w:fill="auto"/>
            <w:noWrap/>
            <w:vAlign w:val="bottom"/>
            <w:hideMark/>
          </w:tcPr>
          <w:p w14:paraId="3CF8B1F3" w14:textId="77777777" w:rsidR="006218BB" w:rsidRPr="00F47500" w:rsidRDefault="006218BB" w:rsidP="00576B40">
            <w:pPr>
              <w:jc w:val="center"/>
              <w:rPr>
                <w:color w:val="000000"/>
                <w:sz w:val="22"/>
                <w:szCs w:val="22"/>
              </w:rPr>
            </w:pPr>
            <w:r w:rsidRPr="00F47500">
              <w:rPr>
                <w:color w:val="000000"/>
                <w:sz w:val="22"/>
                <w:szCs w:val="22"/>
              </w:rPr>
              <w:t>0.496</w:t>
            </w:r>
          </w:p>
        </w:tc>
        <w:tc>
          <w:tcPr>
            <w:tcW w:w="831" w:type="dxa"/>
            <w:tcBorders>
              <w:top w:val="nil"/>
              <w:left w:val="nil"/>
              <w:bottom w:val="nil"/>
              <w:right w:val="nil"/>
            </w:tcBorders>
            <w:shd w:val="clear" w:color="auto" w:fill="auto"/>
            <w:noWrap/>
            <w:vAlign w:val="bottom"/>
            <w:hideMark/>
          </w:tcPr>
          <w:p w14:paraId="2BCF7971" w14:textId="77777777" w:rsidR="006218BB" w:rsidRPr="00F47500" w:rsidRDefault="006218BB" w:rsidP="00576B40">
            <w:pPr>
              <w:jc w:val="center"/>
              <w:rPr>
                <w:color w:val="000000"/>
                <w:sz w:val="22"/>
                <w:szCs w:val="22"/>
              </w:rPr>
            </w:pPr>
            <w:r w:rsidRPr="00F47500">
              <w:rPr>
                <w:color w:val="000000"/>
                <w:sz w:val="22"/>
                <w:szCs w:val="22"/>
              </w:rPr>
              <w:t>0.299</w:t>
            </w:r>
          </w:p>
        </w:tc>
        <w:tc>
          <w:tcPr>
            <w:tcW w:w="840" w:type="dxa"/>
            <w:tcBorders>
              <w:top w:val="nil"/>
              <w:left w:val="nil"/>
              <w:bottom w:val="nil"/>
              <w:right w:val="single" w:sz="4" w:space="0" w:color="auto"/>
            </w:tcBorders>
            <w:shd w:val="clear" w:color="auto" w:fill="auto"/>
            <w:noWrap/>
            <w:vAlign w:val="bottom"/>
            <w:hideMark/>
          </w:tcPr>
          <w:p w14:paraId="5172A670" w14:textId="77777777" w:rsidR="006218BB" w:rsidRPr="00F47500" w:rsidRDefault="006218BB" w:rsidP="00576B40">
            <w:pPr>
              <w:jc w:val="center"/>
              <w:rPr>
                <w:color w:val="000000"/>
                <w:sz w:val="22"/>
                <w:szCs w:val="22"/>
              </w:rPr>
            </w:pPr>
            <w:r w:rsidRPr="00F47500">
              <w:rPr>
                <w:color w:val="000000"/>
                <w:sz w:val="22"/>
                <w:szCs w:val="22"/>
              </w:rPr>
              <w:t>0.823</w:t>
            </w:r>
          </w:p>
        </w:tc>
      </w:tr>
      <w:tr w:rsidR="006218BB" w:rsidRPr="00F47500" w14:paraId="72EB44FF"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4C21811D" w14:textId="77777777" w:rsidR="006218BB" w:rsidRPr="00F47500" w:rsidRDefault="006218BB" w:rsidP="00576B40">
            <w:pPr>
              <w:rPr>
                <w:color w:val="000000"/>
                <w:sz w:val="22"/>
                <w:szCs w:val="22"/>
              </w:rPr>
            </w:pPr>
            <w:r w:rsidRPr="00F47500">
              <w:rPr>
                <w:color w:val="000000"/>
                <w:sz w:val="22"/>
                <w:szCs w:val="22"/>
              </w:rPr>
              <w:t>faculty(2)</w:t>
            </w:r>
          </w:p>
        </w:tc>
        <w:tc>
          <w:tcPr>
            <w:tcW w:w="855" w:type="dxa"/>
            <w:tcBorders>
              <w:top w:val="nil"/>
              <w:left w:val="nil"/>
              <w:bottom w:val="nil"/>
              <w:right w:val="nil"/>
            </w:tcBorders>
            <w:shd w:val="clear" w:color="auto" w:fill="auto"/>
            <w:noWrap/>
            <w:vAlign w:val="bottom"/>
            <w:hideMark/>
          </w:tcPr>
          <w:p w14:paraId="3C630197" w14:textId="77777777" w:rsidR="006218BB" w:rsidRPr="00F47500" w:rsidRDefault="006218BB" w:rsidP="00576B40">
            <w:pPr>
              <w:jc w:val="center"/>
              <w:rPr>
                <w:color w:val="000000"/>
                <w:sz w:val="22"/>
                <w:szCs w:val="22"/>
              </w:rPr>
            </w:pPr>
            <w:r w:rsidRPr="00F47500">
              <w:rPr>
                <w:color w:val="000000"/>
                <w:sz w:val="22"/>
                <w:szCs w:val="22"/>
              </w:rPr>
              <w:t>-1.806</w:t>
            </w:r>
          </w:p>
        </w:tc>
        <w:tc>
          <w:tcPr>
            <w:tcW w:w="760" w:type="dxa"/>
            <w:tcBorders>
              <w:top w:val="nil"/>
              <w:left w:val="nil"/>
              <w:bottom w:val="nil"/>
              <w:right w:val="nil"/>
            </w:tcBorders>
            <w:shd w:val="clear" w:color="auto" w:fill="auto"/>
            <w:noWrap/>
            <w:vAlign w:val="bottom"/>
            <w:hideMark/>
          </w:tcPr>
          <w:p w14:paraId="3D40BF58" w14:textId="77777777" w:rsidR="006218BB" w:rsidRPr="00F47500" w:rsidRDefault="006218BB" w:rsidP="00576B40">
            <w:pPr>
              <w:jc w:val="center"/>
              <w:rPr>
                <w:color w:val="000000"/>
                <w:sz w:val="22"/>
                <w:szCs w:val="22"/>
              </w:rPr>
            </w:pPr>
            <w:r w:rsidRPr="00F47500">
              <w:rPr>
                <w:color w:val="000000"/>
                <w:sz w:val="22"/>
                <w:szCs w:val="22"/>
              </w:rPr>
              <w:t>0.402</w:t>
            </w:r>
          </w:p>
        </w:tc>
        <w:tc>
          <w:tcPr>
            <w:tcW w:w="917" w:type="dxa"/>
            <w:tcBorders>
              <w:top w:val="nil"/>
              <w:left w:val="nil"/>
              <w:bottom w:val="nil"/>
              <w:right w:val="nil"/>
            </w:tcBorders>
            <w:shd w:val="clear" w:color="auto" w:fill="auto"/>
            <w:noWrap/>
            <w:vAlign w:val="bottom"/>
            <w:hideMark/>
          </w:tcPr>
          <w:p w14:paraId="77F9635D" w14:textId="77777777" w:rsidR="006218BB" w:rsidRPr="00F47500" w:rsidRDefault="006218BB" w:rsidP="00576B40">
            <w:pPr>
              <w:jc w:val="center"/>
              <w:rPr>
                <w:color w:val="000000"/>
                <w:sz w:val="22"/>
                <w:szCs w:val="22"/>
              </w:rPr>
            </w:pPr>
            <w:r w:rsidRPr="00F47500">
              <w:rPr>
                <w:color w:val="000000"/>
                <w:sz w:val="22"/>
                <w:szCs w:val="22"/>
              </w:rPr>
              <w:t>20.154</w:t>
            </w:r>
          </w:p>
        </w:tc>
        <w:tc>
          <w:tcPr>
            <w:tcW w:w="366" w:type="dxa"/>
            <w:tcBorders>
              <w:top w:val="nil"/>
              <w:left w:val="nil"/>
              <w:bottom w:val="nil"/>
              <w:right w:val="nil"/>
            </w:tcBorders>
            <w:shd w:val="clear" w:color="auto" w:fill="auto"/>
            <w:noWrap/>
            <w:vAlign w:val="bottom"/>
            <w:hideMark/>
          </w:tcPr>
          <w:p w14:paraId="3565E32B"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0C8B02E" w14:textId="77777777" w:rsidR="006218BB" w:rsidRPr="00F47500" w:rsidRDefault="006218BB" w:rsidP="00576B40">
            <w:pPr>
              <w:jc w:val="center"/>
              <w:rPr>
                <w:color w:val="000000"/>
                <w:sz w:val="22"/>
                <w:szCs w:val="22"/>
              </w:rPr>
            </w:pPr>
            <w:r w:rsidRPr="00F47500">
              <w:rPr>
                <w:color w:val="000000"/>
                <w:sz w:val="22"/>
                <w:szCs w:val="22"/>
              </w:rPr>
              <w:t>0</w:t>
            </w:r>
          </w:p>
        </w:tc>
        <w:tc>
          <w:tcPr>
            <w:tcW w:w="859" w:type="dxa"/>
            <w:tcBorders>
              <w:top w:val="nil"/>
              <w:left w:val="nil"/>
              <w:bottom w:val="nil"/>
              <w:right w:val="nil"/>
            </w:tcBorders>
            <w:shd w:val="clear" w:color="auto" w:fill="auto"/>
            <w:noWrap/>
            <w:vAlign w:val="bottom"/>
            <w:hideMark/>
          </w:tcPr>
          <w:p w14:paraId="4E1B9A18" w14:textId="77777777" w:rsidR="006218BB" w:rsidRPr="00F47500" w:rsidRDefault="006218BB" w:rsidP="00576B40">
            <w:pPr>
              <w:jc w:val="center"/>
              <w:rPr>
                <w:color w:val="000000"/>
                <w:sz w:val="22"/>
                <w:szCs w:val="22"/>
              </w:rPr>
            </w:pPr>
            <w:r w:rsidRPr="00F47500">
              <w:rPr>
                <w:color w:val="000000"/>
                <w:sz w:val="22"/>
                <w:szCs w:val="22"/>
              </w:rPr>
              <w:t>0.164</w:t>
            </w:r>
          </w:p>
        </w:tc>
        <w:tc>
          <w:tcPr>
            <w:tcW w:w="831" w:type="dxa"/>
            <w:tcBorders>
              <w:top w:val="nil"/>
              <w:left w:val="nil"/>
              <w:bottom w:val="nil"/>
              <w:right w:val="nil"/>
            </w:tcBorders>
            <w:shd w:val="clear" w:color="auto" w:fill="auto"/>
            <w:noWrap/>
            <w:vAlign w:val="bottom"/>
            <w:hideMark/>
          </w:tcPr>
          <w:p w14:paraId="13F36C34" w14:textId="77777777" w:rsidR="006218BB" w:rsidRPr="00F47500" w:rsidRDefault="006218BB" w:rsidP="00576B40">
            <w:pPr>
              <w:jc w:val="center"/>
              <w:rPr>
                <w:color w:val="000000"/>
                <w:sz w:val="22"/>
                <w:szCs w:val="22"/>
              </w:rPr>
            </w:pPr>
            <w:r w:rsidRPr="00F47500">
              <w:rPr>
                <w:color w:val="000000"/>
                <w:sz w:val="22"/>
                <w:szCs w:val="22"/>
              </w:rPr>
              <w:t>0.075</w:t>
            </w:r>
          </w:p>
        </w:tc>
        <w:tc>
          <w:tcPr>
            <w:tcW w:w="840" w:type="dxa"/>
            <w:tcBorders>
              <w:top w:val="nil"/>
              <w:left w:val="nil"/>
              <w:bottom w:val="nil"/>
              <w:right w:val="single" w:sz="4" w:space="0" w:color="auto"/>
            </w:tcBorders>
            <w:shd w:val="clear" w:color="auto" w:fill="auto"/>
            <w:noWrap/>
            <w:vAlign w:val="bottom"/>
            <w:hideMark/>
          </w:tcPr>
          <w:p w14:paraId="7C8AC66D" w14:textId="77777777" w:rsidR="006218BB" w:rsidRPr="00F47500" w:rsidRDefault="006218BB" w:rsidP="00576B40">
            <w:pPr>
              <w:jc w:val="center"/>
              <w:rPr>
                <w:color w:val="000000"/>
                <w:sz w:val="22"/>
                <w:szCs w:val="22"/>
              </w:rPr>
            </w:pPr>
            <w:r w:rsidRPr="00F47500">
              <w:rPr>
                <w:color w:val="000000"/>
                <w:sz w:val="22"/>
                <w:szCs w:val="22"/>
              </w:rPr>
              <w:t>0.362</w:t>
            </w:r>
          </w:p>
        </w:tc>
      </w:tr>
      <w:tr w:rsidR="006218BB" w:rsidRPr="00F47500" w14:paraId="3F863992"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46C2DF26" w14:textId="77777777" w:rsidR="006218BB" w:rsidRPr="00F47500" w:rsidRDefault="006218BB" w:rsidP="00576B40">
            <w:pPr>
              <w:rPr>
                <w:color w:val="000000"/>
                <w:sz w:val="22"/>
                <w:szCs w:val="22"/>
              </w:rPr>
            </w:pPr>
            <w:r w:rsidRPr="00F47500">
              <w:rPr>
                <w:color w:val="000000"/>
                <w:sz w:val="22"/>
                <w:szCs w:val="22"/>
              </w:rPr>
              <w:t>faculty(3)</w:t>
            </w:r>
          </w:p>
        </w:tc>
        <w:tc>
          <w:tcPr>
            <w:tcW w:w="855" w:type="dxa"/>
            <w:tcBorders>
              <w:top w:val="nil"/>
              <w:left w:val="nil"/>
              <w:bottom w:val="nil"/>
              <w:right w:val="nil"/>
            </w:tcBorders>
            <w:shd w:val="clear" w:color="auto" w:fill="auto"/>
            <w:noWrap/>
            <w:vAlign w:val="bottom"/>
            <w:hideMark/>
          </w:tcPr>
          <w:p w14:paraId="3CF7A007" w14:textId="77777777" w:rsidR="006218BB" w:rsidRPr="00F47500" w:rsidRDefault="006218BB" w:rsidP="00576B40">
            <w:pPr>
              <w:jc w:val="center"/>
              <w:rPr>
                <w:color w:val="000000"/>
                <w:sz w:val="22"/>
                <w:szCs w:val="22"/>
              </w:rPr>
            </w:pPr>
            <w:r w:rsidRPr="00F47500">
              <w:rPr>
                <w:color w:val="000000"/>
                <w:sz w:val="22"/>
                <w:szCs w:val="22"/>
              </w:rPr>
              <w:t>0.004</w:t>
            </w:r>
          </w:p>
        </w:tc>
        <w:tc>
          <w:tcPr>
            <w:tcW w:w="760" w:type="dxa"/>
            <w:tcBorders>
              <w:top w:val="nil"/>
              <w:left w:val="nil"/>
              <w:bottom w:val="nil"/>
              <w:right w:val="nil"/>
            </w:tcBorders>
            <w:shd w:val="clear" w:color="auto" w:fill="auto"/>
            <w:noWrap/>
            <w:vAlign w:val="bottom"/>
            <w:hideMark/>
          </w:tcPr>
          <w:p w14:paraId="02C3039D" w14:textId="77777777" w:rsidR="006218BB" w:rsidRPr="00F47500" w:rsidRDefault="006218BB" w:rsidP="00576B40">
            <w:pPr>
              <w:jc w:val="center"/>
              <w:rPr>
                <w:color w:val="000000"/>
                <w:sz w:val="22"/>
                <w:szCs w:val="22"/>
              </w:rPr>
            </w:pPr>
            <w:r w:rsidRPr="00F47500">
              <w:rPr>
                <w:color w:val="000000"/>
                <w:sz w:val="22"/>
                <w:szCs w:val="22"/>
              </w:rPr>
              <w:t>0.268</w:t>
            </w:r>
          </w:p>
        </w:tc>
        <w:tc>
          <w:tcPr>
            <w:tcW w:w="917" w:type="dxa"/>
            <w:tcBorders>
              <w:top w:val="nil"/>
              <w:left w:val="nil"/>
              <w:bottom w:val="nil"/>
              <w:right w:val="nil"/>
            </w:tcBorders>
            <w:shd w:val="clear" w:color="auto" w:fill="auto"/>
            <w:noWrap/>
            <w:vAlign w:val="bottom"/>
            <w:hideMark/>
          </w:tcPr>
          <w:p w14:paraId="0E6E5410" w14:textId="77777777" w:rsidR="006218BB" w:rsidRPr="00F47500" w:rsidRDefault="006218BB" w:rsidP="00576B40">
            <w:pPr>
              <w:jc w:val="center"/>
              <w:rPr>
                <w:color w:val="000000"/>
                <w:sz w:val="22"/>
                <w:szCs w:val="22"/>
              </w:rPr>
            </w:pPr>
            <w:r w:rsidRPr="00F47500">
              <w:rPr>
                <w:color w:val="000000"/>
                <w:sz w:val="22"/>
                <w:szCs w:val="22"/>
              </w:rPr>
              <w:t>0</w:t>
            </w:r>
          </w:p>
        </w:tc>
        <w:tc>
          <w:tcPr>
            <w:tcW w:w="366" w:type="dxa"/>
            <w:tcBorders>
              <w:top w:val="nil"/>
              <w:left w:val="nil"/>
              <w:bottom w:val="nil"/>
              <w:right w:val="nil"/>
            </w:tcBorders>
            <w:shd w:val="clear" w:color="auto" w:fill="auto"/>
            <w:noWrap/>
            <w:vAlign w:val="bottom"/>
            <w:hideMark/>
          </w:tcPr>
          <w:p w14:paraId="399B9BDE"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1B76B04" w14:textId="77777777" w:rsidR="006218BB" w:rsidRPr="00F47500" w:rsidRDefault="006218BB" w:rsidP="00576B40">
            <w:pPr>
              <w:jc w:val="center"/>
              <w:rPr>
                <w:color w:val="000000"/>
                <w:sz w:val="22"/>
                <w:szCs w:val="22"/>
              </w:rPr>
            </w:pPr>
            <w:r w:rsidRPr="00F47500">
              <w:rPr>
                <w:color w:val="000000"/>
                <w:sz w:val="22"/>
                <w:szCs w:val="22"/>
              </w:rPr>
              <w:t>0.988</w:t>
            </w:r>
          </w:p>
        </w:tc>
        <w:tc>
          <w:tcPr>
            <w:tcW w:w="859" w:type="dxa"/>
            <w:tcBorders>
              <w:top w:val="nil"/>
              <w:left w:val="nil"/>
              <w:bottom w:val="nil"/>
              <w:right w:val="nil"/>
            </w:tcBorders>
            <w:shd w:val="clear" w:color="auto" w:fill="auto"/>
            <w:noWrap/>
            <w:vAlign w:val="bottom"/>
            <w:hideMark/>
          </w:tcPr>
          <w:p w14:paraId="14914A5A" w14:textId="77777777" w:rsidR="006218BB" w:rsidRPr="00F47500" w:rsidRDefault="006218BB" w:rsidP="00576B40">
            <w:pPr>
              <w:jc w:val="center"/>
              <w:rPr>
                <w:color w:val="000000"/>
                <w:sz w:val="22"/>
                <w:szCs w:val="22"/>
              </w:rPr>
            </w:pPr>
            <w:r w:rsidRPr="00F47500">
              <w:rPr>
                <w:color w:val="000000"/>
                <w:sz w:val="22"/>
                <w:szCs w:val="22"/>
              </w:rPr>
              <w:t>1.004</w:t>
            </w:r>
          </w:p>
        </w:tc>
        <w:tc>
          <w:tcPr>
            <w:tcW w:w="831" w:type="dxa"/>
            <w:tcBorders>
              <w:top w:val="nil"/>
              <w:left w:val="nil"/>
              <w:bottom w:val="nil"/>
              <w:right w:val="nil"/>
            </w:tcBorders>
            <w:shd w:val="clear" w:color="auto" w:fill="auto"/>
            <w:noWrap/>
            <w:vAlign w:val="bottom"/>
            <w:hideMark/>
          </w:tcPr>
          <w:p w14:paraId="24DE26A1" w14:textId="77777777" w:rsidR="006218BB" w:rsidRPr="00F47500" w:rsidRDefault="006218BB" w:rsidP="00576B40">
            <w:pPr>
              <w:jc w:val="center"/>
              <w:rPr>
                <w:color w:val="000000"/>
                <w:sz w:val="22"/>
                <w:szCs w:val="22"/>
              </w:rPr>
            </w:pPr>
            <w:r w:rsidRPr="00F47500">
              <w:rPr>
                <w:color w:val="000000"/>
                <w:sz w:val="22"/>
                <w:szCs w:val="22"/>
              </w:rPr>
              <w:t>0.594</w:t>
            </w:r>
          </w:p>
        </w:tc>
        <w:tc>
          <w:tcPr>
            <w:tcW w:w="840" w:type="dxa"/>
            <w:tcBorders>
              <w:top w:val="nil"/>
              <w:left w:val="nil"/>
              <w:bottom w:val="nil"/>
              <w:right w:val="single" w:sz="4" w:space="0" w:color="auto"/>
            </w:tcBorders>
            <w:shd w:val="clear" w:color="auto" w:fill="auto"/>
            <w:noWrap/>
            <w:vAlign w:val="bottom"/>
            <w:hideMark/>
          </w:tcPr>
          <w:p w14:paraId="797CB059" w14:textId="77777777" w:rsidR="006218BB" w:rsidRPr="00F47500" w:rsidRDefault="006218BB" w:rsidP="00576B40">
            <w:pPr>
              <w:jc w:val="center"/>
              <w:rPr>
                <w:color w:val="000000"/>
                <w:sz w:val="22"/>
                <w:szCs w:val="22"/>
              </w:rPr>
            </w:pPr>
            <w:r w:rsidRPr="00F47500">
              <w:rPr>
                <w:color w:val="000000"/>
                <w:sz w:val="22"/>
                <w:szCs w:val="22"/>
              </w:rPr>
              <w:t>1.697</w:t>
            </w:r>
          </w:p>
        </w:tc>
      </w:tr>
      <w:tr w:rsidR="006218BB" w:rsidRPr="00F47500" w14:paraId="00AA6E29"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1B5B7DF8" w14:textId="77777777" w:rsidR="006218BB" w:rsidRPr="00F47500" w:rsidRDefault="006218BB" w:rsidP="00576B40">
            <w:pPr>
              <w:rPr>
                <w:color w:val="000000"/>
                <w:sz w:val="22"/>
                <w:szCs w:val="22"/>
              </w:rPr>
            </w:pPr>
            <w:r w:rsidRPr="00F47500">
              <w:rPr>
                <w:color w:val="000000"/>
                <w:sz w:val="22"/>
                <w:szCs w:val="22"/>
              </w:rPr>
              <w:t>faculty(4)</w:t>
            </w:r>
          </w:p>
        </w:tc>
        <w:tc>
          <w:tcPr>
            <w:tcW w:w="855" w:type="dxa"/>
            <w:tcBorders>
              <w:top w:val="nil"/>
              <w:left w:val="nil"/>
              <w:bottom w:val="nil"/>
              <w:right w:val="nil"/>
            </w:tcBorders>
            <w:shd w:val="clear" w:color="auto" w:fill="auto"/>
            <w:noWrap/>
            <w:vAlign w:val="bottom"/>
            <w:hideMark/>
          </w:tcPr>
          <w:p w14:paraId="1FFC4419" w14:textId="77777777" w:rsidR="006218BB" w:rsidRPr="00F47500" w:rsidRDefault="006218BB" w:rsidP="00576B40">
            <w:pPr>
              <w:jc w:val="center"/>
              <w:rPr>
                <w:color w:val="000000"/>
                <w:sz w:val="22"/>
                <w:szCs w:val="22"/>
              </w:rPr>
            </w:pPr>
            <w:r w:rsidRPr="00F47500">
              <w:rPr>
                <w:color w:val="000000"/>
                <w:sz w:val="22"/>
                <w:szCs w:val="22"/>
              </w:rPr>
              <w:t>-1.677</w:t>
            </w:r>
          </w:p>
        </w:tc>
        <w:tc>
          <w:tcPr>
            <w:tcW w:w="760" w:type="dxa"/>
            <w:tcBorders>
              <w:top w:val="nil"/>
              <w:left w:val="nil"/>
              <w:bottom w:val="nil"/>
              <w:right w:val="nil"/>
            </w:tcBorders>
            <w:shd w:val="clear" w:color="auto" w:fill="auto"/>
            <w:noWrap/>
            <w:vAlign w:val="bottom"/>
            <w:hideMark/>
          </w:tcPr>
          <w:p w14:paraId="2BCD44FB" w14:textId="77777777" w:rsidR="006218BB" w:rsidRPr="00F47500" w:rsidRDefault="006218BB" w:rsidP="00576B40">
            <w:pPr>
              <w:jc w:val="center"/>
              <w:rPr>
                <w:color w:val="000000"/>
                <w:sz w:val="22"/>
                <w:szCs w:val="22"/>
              </w:rPr>
            </w:pPr>
            <w:r w:rsidRPr="00F47500">
              <w:rPr>
                <w:color w:val="000000"/>
                <w:sz w:val="22"/>
                <w:szCs w:val="22"/>
              </w:rPr>
              <w:t>0.495</w:t>
            </w:r>
          </w:p>
        </w:tc>
        <w:tc>
          <w:tcPr>
            <w:tcW w:w="917" w:type="dxa"/>
            <w:tcBorders>
              <w:top w:val="nil"/>
              <w:left w:val="nil"/>
              <w:bottom w:val="nil"/>
              <w:right w:val="nil"/>
            </w:tcBorders>
            <w:shd w:val="clear" w:color="auto" w:fill="auto"/>
            <w:noWrap/>
            <w:vAlign w:val="bottom"/>
            <w:hideMark/>
          </w:tcPr>
          <w:p w14:paraId="7CDC191D" w14:textId="77777777" w:rsidR="006218BB" w:rsidRPr="00F47500" w:rsidRDefault="006218BB" w:rsidP="00576B40">
            <w:pPr>
              <w:jc w:val="center"/>
              <w:rPr>
                <w:color w:val="000000"/>
                <w:sz w:val="22"/>
                <w:szCs w:val="22"/>
              </w:rPr>
            </w:pPr>
            <w:r w:rsidRPr="00F47500">
              <w:rPr>
                <w:color w:val="000000"/>
                <w:sz w:val="22"/>
                <w:szCs w:val="22"/>
              </w:rPr>
              <w:t>11.462</w:t>
            </w:r>
          </w:p>
        </w:tc>
        <w:tc>
          <w:tcPr>
            <w:tcW w:w="366" w:type="dxa"/>
            <w:tcBorders>
              <w:top w:val="nil"/>
              <w:left w:val="nil"/>
              <w:bottom w:val="nil"/>
              <w:right w:val="nil"/>
            </w:tcBorders>
            <w:shd w:val="clear" w:color="auto" w:fill="auto"/>
            <w:noWrap/>
            <w:vAlign w:val="bottom"/>
            <w:hideMark/>
          </w:tcPr>
          <w:p w14:paraId="22BC55C3"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E32E6CB" w14:textId="77777777" w:rsidR="006218BB" w:rsidRPr="00F47500" w:rsidRDefault="006218BB" w:rsidP="00576B40">
            <w:pPr>
              <w:jc w:val="center"/>
              <w:rPr>
                <w:color w:val="000000"/>
                <w:sz w:val="22"/>
                <w:szCs w:val="22"/>
              </w:rPr>
            </w:pPr>
            <w:r w:rsidRPr="00F47500">
              <w:rPr>
                <w:color w:val="000000"/>
                <w:sz w:val="22"/>
                <w:szCs w:val="22"/>
              </w:rPr>
              <w:t>0.001</w:t>
            </w:r>
          </w:p>
        </w:tc>
        <w:tc>
          <w:tcPr>
            <w:tcW w:w="859" w:type="dxa"/>
            <w:tcBorders>
              <w:top w:val="nil"/>
              <w:left w:val="nil"/>
              <w:bottom w:val="nil"/>
              <w:right w:val="nil"/>
            </w:tcBorders>
            <w:shd w:val="clear" w:color="auto" w:fill="auto"/>
            <w:noWrap/>
            <w:vAlign w:val="bottom"/>
            <w:hideMark/>
          </w:tcPr>
          <w:p w14:paraId="71CCC220" w14:textId="77777777" w:rsidR="006218BB" w:rsidRPr="00F47500" w:rsidRDefault="006218BB" w:rsidP="00576B40">
            <w:pPr>
              <w:jc w:val="center"/>
              <w:rPr>
                <w:color w:val="000000"/>
                <w:sz w:val="22"/>
                <w:szCs w:val="22"/>
              </w:rPr>
            </w:pPr>
            <w:r w:rsidRPr="00F47500">
              <w:rPr>
                <w:color w:val="000000"/>
                <w:sz w:val="22"/>
                <w:szCs w:val="22"/>
              </w:rPr>
              <w:t>0.187</w:t>
            </w:r>
          </w:p>
        </w:tc>
        <w:tc>
          <w:tcPr>
            <w:tcW w:w="831" w:type="dxa"/>
            <w:tcBorders>
              <w:top w:val="nil"/>
              <w:left w:val="nil"/>
              <w:bottom w:val="nil"/>
              <w:right w:val="nil"/>
            </w:tcBorders>
            <w:shd w:val="clear" w:color="auto" w:fill="auto"/>
            <w:noWrap/>
            <w:vAlign w:val="bottom"/>
            <w:hideMark/>
          </w:tcPr>
          <w:p w14:paraId="5740314C" w14:textId="77777777" w:rsidR="006218BB" w:rsidRPr="00F47500" w:rsidRDefault="006218BB" w:rsidP="00576B40">
            <w:pPr>
              <w:jc w:val="center"/>
              <w:rPr>
                <w:color w:val="000000"/>
                <w:sz w:val="22"/>
                <w:szCs w:val="22"/>
              </w:rPr>
            </w:pPr>
            <w:r w:rsidRPr="00F47500">
              <w:rPr>
                <w:color w:val="000000"/>
                <w:sz w:val="22"/>
                <w:szCs w:val="22"/>
              </w:rPr>
              <w:t>0.071</w:t>
            </w:r>
          </w:p>
        </w:tc>
        <w:tc>
          <w:tcPr>
            <w:tcW w:w="840" w:type="dxa"/>
            <w:tcBorders>
              <w:top w:val="nil"/>
              <w:left w:val="nil"/>
              <w:bottom w:val="nil"/>
              <w:right w:val="single" w:sz="4" w:space="0" w:color="auto"/>
            </w:tcBorders>
            <w:shd w:val="clear" w:color="auto" w:fill="auto"/>
            <w:noWrap/>
            <w:vAlign w:val="bottom"/>
            <w:hideMark/>
          </w:tcPr>
          <w:p w14:paraId="54B00B32" w14:textId="77777777" w:rsidR="006218BB" w:rsidRPr="00F47500" w:rsidRDefault="006218BB" w:rsidP="00576B40">
            <w:pPr>
              <w:jc w:val="center"/>
              <w:rPr>
                <w:color w:val="000000"/>
                <w:sz w:val="22"/>
                <w:szCs w:val="22"/>
              </w:rPr>
            </w:pPr>
            <w:r w:rsidRPr="00F47500">
              <w:rPr>
                <w:color w:val="000000"/>
                <w:sz w:val="22"/>
                <w:szCs w:val="22"/>
              </w:rPr>
              <w:t>0.494</w:t>
            </w:r>
          </w:p>
        </w:tc>
      </w:tr>
      <w:tr w:rsidR="006218BB" w:rsidRPr="00F47500" w14:paraId="757C1DD4"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2550CB13" w14:textId="77777777" w:rsidR="006218BB" w:rsidRPr="00F47500" w:rsidRDefault="006218BB" w:rsidP="00576B40">
            <w:pPr>
              <w:rPr>
                <w:color w:val="000000"/>
                <w:sz w:val="22"/>
                <w:szCs w:val="22"/>
              </w:rPr>
            </w:pPr>
            <w:r w:rsidRPr="00F47500">
              <w:rPr>
                <w:color w:val="000000"/>
                <w:sz w:val="22"/>
                <w:szCs w:val="22"/>
              </w:rPr>
              <w:t>faculty(5)</w:t>
            </w:r>
          </w:p>
        </w:tc>
        <w:tc>
          <w:tcPr>
            <w:tcW w:w="855" w:type="dxa"/>
            <w:tcBorders>
              <w:top w:val="nil"/>
              <w:left w:val="nil"/>
              <w:bottom w:val="nil"/>
              <w:right w:val="nil"/>
            </w:tcBorders>
            <w:shd w:val="clear" w:color="auto" w:fill="auto"/>
            <w:noWrap/>
            <w:vAlign w:val="bottom"/>
            <w:hideMark/>
          </w:tcPr>
          <w:p w14:paraId="278B69E0" w14:textId="77777777" w:rsidR="006218BB" w:rsidRPr="00F47500" w:rsidRDefault="006218BB" w:rsidP="00576B40">
            <w:pPr>
              <w:jc w:val="center"/>
              <w:rPr>
                <w:color w:val="000000"/>
                <w:sz w:val="22"/>
                <w:szCs w:val="22"/>
              </w:rPr>
            </w:pPr>
            <w:r w:rsidRPr="00F47500">
              <w:rPr>
                <w:color w:val="000000"/>
                <w:sz w:val="22"/>
                <w:szCs w:val="22"/>
              </w:rPr>
              <w:t>-1.125</w:t>
            </w:r>
          </w:p>
        </w:tc>
        <w:tc>
          <w:tcPr>
            <w:tcW w:w="760" w:type="dxa"/>
            <w:tcBorders>
              <w:top w:val="nil"/>
              <w:left w:val="nil"/>
              <w:bottom w:val="nil"/>
              <w:right w:val="nil"/>
            </w:tcBorders>
            <w:shd w:val="clear" w:color="auto" w:fill="auto"/>
            <w:noWrap/>
            <w:vAlign w:val="bottom"/>
            <w:hideMark/>
          </w:tcPr>
          <w:p w14:paraId="2A6990C7" w14:textId="77777777" w:rsidR="006218BB" w:rsidRPr="00F47500" w:rsidRDefault="006218BB" w:rsidP="00576B40">
            <w:pPr>
              <w:jc w:val="center"/>
              <w:rPr>
                <w:color w:val="000000"/>
                <w:sz w:val="22"/>
                <w:szCs w:val="22"/>
              </w:rPr>
            </w:pPr>
            <w:r w:rsidRPr="00F47500">
              <w:rPr>
                <w:color w:val="000000"/>
                <w:sz w:val="22"/>
                <w:szCs w:val="22"/>
              </w:rPr>
              <w:t>0.764</w:t>
            </w:r>
          </w:p>
        </w:tc>
        <w:tc>
          <w:tcPr>
            <w:tcW w:w="917" w:type="dxa"/>
            <w:tcBorders>
              <w:top w:val="nil"/>
              <w:left w:val="nil"/>
              <w:bottom w:val="nil"/>
              <w:right w:val="nil"/>
            </w:tcBorders>
            <w:shd w:val="clear" w:color="auto" w:fill="auto"/>
            <w:noWrap/>
            <w:vAlign w:val="bottom"/>
            <w:hideMark/>
          </w:tcPr>
          <w:p w14:paraId="2EE3EEAF" w14:textId="77777777" w:rsidR="006218BB" w:rsidRPr="00F47500" w:rsidRDefault="006218BB" w:rsidP="00576B40">
            <w:pPr>
              <w:jc w:val="center"/>
              <w:rPr>
                <w:color w:val="000000"/>
                <w:sz w:val="22"/>
                <w:szCs w:val="22"/>
              </w:rPr>
            </w:pPr>
            <w:r w:rsidRPr="00F47500">
              <w:rPr>
                <w:color w:val="000000"/>
                <w:sz w:val="22"/>
                <w:szCs w:val="22"/>
              </w:rPr>
              <w:t>2.164</w:t>
            </w:r>
          </w:p>
        </w:tc>
        <w:tc>
          <w:tcPr>
            <w:tcW w:w="366" w:type="dxa"/>
            <w:tcBorders>
              <w:top w:val="nil"/>
              <w:left w:val="nil"/>
              <w:bottom w:val="nil"/>
              <w:right w:val="nil"/>
            </w:tcBorders>
            <w:shd w:val="clear" w:color="auto" w:fill="auto"/>
            <w:noWrap/>
            <w:vAlign w:val="bottom"/>
            <w:hideMark/>
          </w:tcPr>
          <w:p w14:paraId="79487D3C"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6CF95E31" w14:textId="77777777" w:rsidR="006218BB" w:rsidRPr="00F47500" w:rsidRDefault="006218BB" w:rsidP="00576B40">
            <w:pPr>
              <w:jc w:val="center"/>
              <w:rPr>
                <w:color w:val="000000"/>
                <w:sz w:val="22"/>
                <w:szCs w:val="22"/>
              </w:rPr>
            </w:pPr>
            <w:r w:rsidRPr="00F47500">
              <w:rPr>
                <w:color w:val="000000"/>
                <w:sz w:val="22"/>
                <w:szCs w:val="22"/>
              </w:rPr>
              <w:t>0.141</w:t>
            </w:r>
          </w:p>
        </w:tc>
        <w:tc>
          <w:tcPr>
            <w:tcW w:w="859" w:type="dxa"/>
            <w:tcBorders>
              <w:top w:val="nil"/>
              <w:left w:val="nil"/>
              <w:bottom w:val="nil"/>
              <w:right w:val="nil"/>
            </w:tcBorders>
            <w:shd w:val="clear" w:color="auto" w:fill="auto"/>
            <w:noWrap/>
            <w:vAlign w:val="bottom"/>
            <w:hideMark/>
          </w:tcPr>
          <w:p w14:paraId="359F7BE8" w14:textId="77777777" w:rsidR="006218BB" w:rsidRPr="00F47500" w:rsidRDefault="006218BB" w:rsidP="00576B40">
            <w:pPr>
              <w:jc w:val="center"/>
              <w:rPr>
                <w:color w:val="000000"/>
                <w:sz w:val="22"/>
                <w:szCs w:val="22"/>
              </w:rPr>
            </w:pPr>
            <w:r w:rsidRPr="00F47500">
              <w:rPr>
                <w:color w:val="000000"/>
                <w:sz w:val="22"/>
                <w:szCs w:val="22"/>
              </w:rPr>
              <w:t>0.325</w:t>
            </w:r>
          </w:p>
        </w:tc>
        <w:tc>
          <w:tcPr>
            <w:tcW w:w="831" w:type="dxa"/>
            <w:tcBorders>
              <w:top w:val="nil"/>
              <w:left w:val="nil"/>
              <w:bottom w:val="nil"/>
              <w:right w:val="nil"/>
            </w:tcBorders>
            <w:shd w:val="clear" w:color="auto" w:fill="auto"/>
            <w:noWrap/>
            <w:vAlign w:val="bottom"/>
            <w:hideMark/>
          </w:tcPr>
          <w:p w14:paraId="426141BB" w14:textId="77777777" w:rsidR="006218BB" w:rsidRPr="00F47500" w:rsidRDefault="006218BB" w:rsidP="00576B40">
            <w:pPr>
              <w:jc w:val="center"/>
              <w:rPr>
                <w:color w:val="000000"/>
                <w:sz w:val="22"/>
                <w:szCs w:val="22"/>
              </w:rPr>
            </w:pPr>
            <w:r w:rsidRPr="00F47500">
              <w:rPr>
                <w:color w:val="000000"/>
                <w:sz w:val="22"/>
                <w:szCs w:val="22"/>
              </w:rPr>
              <w:t>0.073</w:t>
            </w:r>
          </w:p>
        </w:tc>
        <w:tc>
          <w:tcPr>
            <w:tcW w:w="840" w:type="dxa"/>
            <w:tcBorders>
              <w:top w:val="nil"/>
              <w:left w:val="nil"/>
              <w:bottom w:val="nil"/>
              <w:right w:val="single" w:sz="4" w:space="0" w:color="auto"/>
            </w:tcBorders>
            <w:shd w:val="clear" w:color="auto" w:fill="auto"/>
            <w:noWrap/>
            <w:vAlign w:val="bottom"/>
            <w:hideMark/>
          </w:tcPr>
          <w:p w14:paraId="28238398" w14:textId="77777777" w:rsidR="006218BB" w:rsidRPr="00F47500" w:rsidRDefault="006218BB" w:rsidP="00576B40">
            <w:pPr>
              <w:jc w:val="center"/>
              <w:rPr>
                <w:color w:val="000000"/>
                <w:sz w:val="22"/>
                <w:szCs w:val="22"/>
              </w:rPr>
            </w:pPr>
            <w:r w:rsidRPr="00F47500">
              <w:rPr>
                <w:color w:val="000000"/>
                <w:sz w:val="22"/>
                <w:szCs w:val="22"/>
              </w:rPr>
              <w:t>1.453</w:t>
            </w:r>
          </w:p>
        </w:tc>
      </w:tr>
      <w:tr w:rsidR="006218BB" w:rsidRPr="00F47500" w14:paraId="5F80D5D6"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35915663" w14:textId="77777777" w:rsidR="006218BB" w:rsidRPr="00F47500" w:rsidRDefault="006218BB" w:rsidP="00576B40">
            <w:pPr>
              <w:rPr>
                <w:color w:val="000000"/>
                <w:sz w:val="22"/>
                <w:szCs w:val="22"/>
              </w:rPr>
            </w:pPr>
            <w:r w:rsidRPr="00F47500">
              <w:rPr>
                <w:color w:val="000000"/>
                <w:sz w:val="22"/>
                <w:szCs w:val="22"/>
              </w:rPr>
              <w:t>PhD year</w:t>
            </w:r>
          </w:p>
        </w:tc>
        <w:tc>
          <w:tcPr>
            <w:tcW w:w="855" w:type="dxa"/>
            <w:tcBorders>
              <w:top w:val="nil"/>
              <w:left w:val="nil"/>
              <w:bottom w:val="nil"/>
              <w:right w:val="nil"/>
            </w:tcBorders>
            <w:shd w:val="clear" w:color="auto" w:fill="auto"/>
            <w:noWrap/>
            <w:vAlign w:val="bottom"/>
            <w:hideMark/>
          </w:tcPr>
          <w:p w14:paraId="23ABDDEC" w14:textId="77777777" w:rsidR="006218BB" w:rsidRPr="00F47500" w:rsidRDefault="006218BB" w:rsidP="00576B40">
            <w:pPr>
              <w:jc w:val="center"/>
              <w:rPr>
                <w:color w:val="000000"/>
                <w:sz w:val="22"/>
                <w:szCs w:val="22"/>
              </w:rPr>
            </w:pPr>
            <w:r w:rsidRPr="00F47500">
              <w:rPr>
                <w:color w:val="000000"/>
                <w:sz w:val="22"/>
                <w:szCs w:val="22"/>
              </w:rPr>
              <w:t>-0.041</w:t>
            </w:r>
          </w:p>
        </w:tc>
        <w:tc>
          <w:tcPr>
            <w:tcW w:w="760" w:type="dxa"/>
            <w:tcBorders>
              <w:top w:val="nil"/>
              <w:left w:val="nil"/>
              <w:bottom w:val="nil"/>
              <w:right w:val="nil"/>
            </w:tcBorders>
            <w:shd w:val="clear" w:color="auto" w:fill="auto"/>
            <w:noWrap/>
            <w:vAlign w:val="bottom"/>
            <w:hideMark/>
          </w:tcPr>
          <w:p w14:paraId="136D64EE" w14:textId="77777777" w:rsidR="006218BB" w:rsidRPr="00F47500" w:rsidRDefault="006218BB" w:rsidP="00576B40">
            <w:pPr>
              <w:jc w:val="center"/>
              <w:rPr>
                <w:color w:val="000000"/>
                <w:sz w:val="22"/>
                <w:szCs w:val="22"/>
              </w:rPr>
            </w:pPr>
            <w:r w:rsidRPr="00F47500">
              <w:rPr>
                <w:color w:val="000000"/>
                <w:sz w:val="22"/>
                <w:szCs w:val="22"/>
              </w:rPr>
              <w:t>0.024</w:t>
            </w:r>
          </w:p>
        </w:tc>
        <w:tc>
          <w:tcPr>
            <w:tcW w:w="917" w:type="dxa"/>
            <w:tcBorders>
              <w:top w:val="nil"/>
              <w:left w:val="nil"/>
              <w:bottom w:val="nil"/>
              <w:right w:val="nil"/>
            </w:tcBorders>
            <w:shd w:val="clear" w:color="auto" w:fill="auto"/>
            <w:noWrap/>
            <w:vAlign w:val="bottom"/>
            <w:hideMark/>
          </w:tcPr>
          <w:p w14:paraId="66C5A8CB" w14:textId="77777777" w:rsidR="006218BB" w:rsidRPr="00F47500" w:rsidRDefault="006218BB" w:rsidP="00576B40">
            <w:pPr>
              <w:jc w:val="center"/>
              <w:rPr>
                <w:color w:val="000000"/>
                <w:sz w:val="22"/>
                <w:szCs w:val="22"/>
              </w:rPr>
            </w:pPr>
            <w:r w:rsidRPr="00F47500">
              <w:rPr>
                <w:color w:val="000000"/>
                <w:sz w:val="22"/>
                <w:szCs w:val="22"/>
              </w:rPr>
              <w:t>2.967</w:t>
            </w:r>
          </w:p>
        </w:tc>
        <w:tc>
          <w:tcPr>
            <w:tcW w:w="366" w:type="dxa"/>
            <w:tcBorders>
              <w:top w:val="nil"/>
              <w:left w:val="nil"/>
              <w:bottom w:val="nil"/>
              <w:right w:val="nil"/>
            </w:tcBorders>
            <w:shd w:val="clear" w:color="auto" w:fill="auto"/>
            <w:noWrap/>
            <w:vAlign w:val="bottom"/>
            <w:hideMark/>
          </w:tcPr>
          <w:p w14:paraId="47E965A3"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5FECFBA6" w14:textId="77777777" w:rsidR="006218BB" w:rsidRPr="00F47500" w:rsidRDefault="006218BB" w:rsidP="00576B40">
            <w:pPr>
              <w:jc w:val="center"/>
              <w:rPr>
                <w:color w:val="000000"/>
                <w:sz w:val="22"/>
                <w:szCs w:val="22"/>
              </w:rPr>
            </w:pPr>
            <w:r w:rsidRPr="00F47500">
              <w:rPr>
                <w:color w:val="000000"/>
                <w:sz w:val="22"/>
                <w:szCs w:val="22"/>
              </w:rPr>
              <w:t>0.085</w:t>
            </w:r>
          </w:p>
        </w:tc>
        <w:tc>
          <w:tcPr>
            <w:tcW w:w="859" w:type="dxa"/>
            <w:tcBorders>
              <w:top w:val="nil"/>
              <w:left w:val="nil"/>
              <w:bottom w:val="nil"/>
              <w:right w:val="nil"/>
            </w:tcBorders>
            <w:shd w:val="clear" w:color="auto" w:fill="auto"/>
            <w:noWrap/>
            <w:vAlign w:val="bottom"/>
            <w:hideMark/>
          </w:tcPr>
          <w:p w14:paraId="217EFC8D" w14:textId="77777777" w:rsidR="006218BB" w:rsidRPr="00F47500" w:rsidRDefault="006218BB" w:rsidP="00576B40">
            <w:pPr>
              <w:jc w:val="center"/>
              <w:rPr>
                <w:color w:val="000000"/>
                <w:sz w:val="22"/>
                <w:szCs w:val="22"/>
              </w:rPr>
            </w:pPr>
            <w:r w:rsidRPr="00F47500">
              <w:rPr>
                <w:color w:val="000000"/>
                <w:sz w:val="22"/>
                <w:szCs w:val="22"/>
              </w:rPr>
              <w:t>0.96</w:t>
            </w:r>
          </w:p>
        </w:tc>
        <w:tc>
          <w:tcPr>
            <w:tcW w:w="831" w:type="dxa"/>
            <w:tcBorders>
              <w:top w:val="nil"/>
              <w:left w:val="nil"/>
              <w:bottom w:val="nil"/>
              <w:right w:val="nil"/>
            </w:tcBorders>
            <w:shd w:val="clear" w:color="auto" w:fill="auto"/>
            <w:noWrap/>
            <w:vAlign w:val="bottom"/>
            <w:hideMark/>
          </w:tcPr>
          <w:p w14:paraId="1FAB809F" w14:textId="77777777" w:rsidR="006218BB" w:rsidRPr="00F47500" w:rsidRDefault="006218BB" w:rsidP="00576B40">
            <w:pPr>
              <w:jc w:val="center"/>
              <w:rPr>
                <w:color w:val="000000"/>
                <w:sz w:val="22"/>
                <w:szCs w:val="22"/>
              </w:rPr>
            </w:pPr>
            <w:r w:rsidRPr="00F47500">
              <w:rPr>
                <w:color w:val="000000"/>
                <w:sz w:val="22"/>
                <w:szCs w:val="22"/>
              </w:rPr>
              <w:t>0.916</w:t>
            </w:r>
          </w:p>
        </w:tc>
        <w:tc>
          <w:tcPr>
            <w:tcW w:w="840" w:type="dxa"/>
            <w:tcBorders>
              <w:top w:val="nil"/>
              <w:left w:val="nil"/>
              <w:bottom w:val="nil"/>
              <w:right w:val="single" w:sz="4" w:space="0" w:color="auto"/>
            </w:tcBorders>
            <w:shd w:val="clear" w:color="auto" w:fill="auto"/>
            <w:noWrap/>
            <w:vAlign w:val="bottom"/>
            <w:hideMark/>
          </w:tcPr>
          <w:p w14:paraId="11720D9C" w14:textId="77777777" w:rsidR="006218BB" w:rsidRPr="00F47500" w:rsidRDefault="006218BB" w:rsidP="00576B40">
            <w:pPr>
              <w:jc w:val="center"/>
              <w:rPr>
                <w:color w:val="000000"/>
                <w:sz w:val="22"/>
                <w:szCs w:val="22"/>
              </w:rPr>
            </w:pPr>
            <w:r w:rsidRPr="00F47500">
              <w:rPr>
                <w:color w:val="000000"/>
                <w:sz w:val="22"/>
                <w:szCs w:val="22"/>
              </w:rPr>
              <w:t>1.006</w:t>
            </w:r>
          </w:p>
        </w:tc>
      </w:tr>
      <w:tr w:rsidR="006218BB" w:rsidRPr="00F47500" w14:paraId="5216830F"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6C986D79" w14:textId="134C1AED" w:rsidR="006218BB" w:rsidRPr="00F47500" w:rsidRDefault="006218BB" w:rsidP="00576B40">
            <w:pPr>
              <w:rPr>
                <w:color w:val="000000"/>
                <w:sz w:val="22"/>
                <w:szCs w:val="22"/>
              </w:rPr>
            </w:pPr>
            <w:r w:rsidRPr="00F47500">
              <w:rPr>
                <w:color w:val="000000"/>
                <w:sz w:val="22"/>
                <w:szCs w:val="22"/>
              </w:rPr>
              <w:t>relative impact</w:t>
            </w:r>
          </w:p>
        </w:tc>
        <w:tc>
          <w:tcPr>
            <w:tcW w:w="855" w:type="dxa"/>
            <w:tcBorders>
              <w:top w:val="nil"/>
              <w:left w:val="nil"/>
              <w:bottom w:val="nil"/>
              <w:right w:val="nil"/>
            </w:tcBorders>
            <w:shd w:val="clear" w:color="auto" w:fill="auto"/>
            <w:noWrap/>
            <w:vAlign w:val="bottom"/>
            <w:hideMark/>
          </w:tcPr>
          <w:p w14:paraId="2EACA907" w14:textId="77777777" w:rsidR="006218BB" w:rsidRPr="00F47500" w:rsidRDefault="006218BB" w:rsidP="00576B40">
            <w:pPr>
              <w:jc w:val="center"/>
              <w:rPr>
                <w:color w:val="000000"/>
                <w:sz w:val="22"/>
                <w:szCs w:val="22"/>
              </w:rPr>
            </w:pPr>
            <w:r w:rsidRPr="00F47500">
              <w:rPr>
                <w:color w:val="000000"/>
                <w:sz w:val="22"/>
                <w:szCs w:val="22"/>
              </w:rPr>
              <w:t>0.02</w:t>
            </w:r>
          </w:p>
        </w:tc>
        <w:tc>
          <w:tcPr>
            <w:tcW w:w="760" w:type="dxa"/>
            <w:tcBorders>
              <w:top w:val="nil"/>
              <w:left w:val="nil"/>
              <w:bottom w:val="nil"/>
              <w:right w:val="nil"/>
            </w:tcBorders>
            <w:shd w:val="clear" w:color="auto" w:fill="auto"/>
            <w:noWrap/>
            <w:vAlign w:val="bottom"/>
            <w:hideMark/>
          </w:tcPr>
          <w:p w14:paraId="30DD44F0" w14:textId="77777777" w:rsidR="006218BB" w:rsidRPr="00F47500" w:rsidRDefault="006218BB" w:rsidP="00576B40">
            <w:pPr>
              <w:jc w:val="center"/>
              <w:rPr>
                <w:color w:val="000000"/>
                <w:sz w:val="22"/>
                <w:szCs w:val="22"/>
              </w:rPr>
            </w:pPr>
            <w:r w:rsidRPr="00F47500">
              <w:rPr>
                <w:color w:val="000000"/>
                <w:sz w:val="22"/>
                <w:szCs w:val="22"/>
              </w:rPr>
              <w:t>0.1</w:t>
            </w:r>
          </w:p>
        </w:tc>
        <w:tc>
          <w:tcPr>
            <w:tcW w:w="917" w:type="dxa"/>
            <w:tcBorders>
              <w:top w:val="nil"/>
              <w:left w:val="nil"/>
              <w:bottom w:val="nil"/>
              <w:right w:val="nil"/>
            </w:tcBorders>
            <w:shd w:val="clear" w:color="auto" w:fill="auto"/>
            <w:noWrap/>
            <w:vAlign w:val="bottom"/>
            <w:hideMark/>
          </w:tcPr>
          <w:p w14:paraId="33AA8B66" w14:textId="77777777" w:rsidR="006218BB" w:rsidRPr="00F47500" w:rsidRDefault="006218BB" w:rsidP="00576B40">
            <w:pPr>
              <w:jc w:val="center"/>
              <w:rPr>
                <w:color w:val="000000"/>
                <w:sz w:val="22"/>
                <w:szCs w:val="22"/>
              </w:rPr>
            </w:pPr>
            <w:r w:rsidRPr="00F47500">
              <w:rPr>
                <w:color w:val="000000"/>
                <w:sz w:val="22"/>
                <w:szCs w:val="22"/>
              </w:rPr>
              <w:t>0.042</w:t>
            </w:r>
          </w:p>
        </w:tc>
        <w:tc>
          <w:tcPr>
            <w:tcW w:w="366" w:type="dxa"/>
            <w:tcBorders>
              <w:top w:val="nil"/>
              <w:left w:val="nil"/>
              <w:bottom w:val="nil"/>
              <w:right w:val="nil"/>
            </w:tcBorders>
            <w:shd w:val="clear" w:color="auto" w:fill="auto"/>
            <w:noWrap/>
            <w:vAlign w:val="bottom"/>
            <w:hideMark/>
          </w:tcPr>
          <w:p w14:paraId="30B28439"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4B875313" w14:textId="77777777" w:rsidR="006218BB" w:rsidRPr="00F47500" w:rsidRDefault="006218BB" w:rsidP="00576B40">
            <w:pPr>
              <w:jc w:val="center"/>
              <w:rPr>
                <w:color w:val="000000"/>
                <w:sz w:val="22"/>
                <w:szCs w:val="22"/>
              </w:rPr>
            </w:pPr>
            <w:r w:rsidRPr="00F47500">
              <w:rPr>
                <w:color w:val="000000"/>
                <w:sz w:val="22"/>
                <w:szCs w:val="22"/>
              </w:rPr>
              <w:t>0.838</w:t>
            </w:r>
          </w:p>
        </w:tc>
        <w:tc>
          <w:tcPr>
            <w:tcW w:w="859" w:type="dxa"/>
            <w:tcBorders>
              <w:top w:val="nil"/>
              <w:left w:val="nil"/>
              <w:bottom w:val="nil"/>
              <w:right w:val="nil"/>
            </w:tcBorders>
            <w:shd w:val="clear" w:color="auto" w:fill="auto"/>
            <w:noWrap/>
            <w:vAlign w:val="bottom"/>
            <w:hideMark/>
          </w:tcPr>
          <w:p w14:paraId="218AEDF9" w14:textId="77777777" w:rsidR="006218BB" w:rsidRPr="00F47500" w:rsidRDefault="006218BB" w:rsidP="00576B40">
            <w:pPr>
              <w:jc w:val="center"/>
              <w:rPr>
                <w:color w:val="000000"/>
                <w:sz w:val="22"/>
                <w:szCs w:val="22"/>
              </w:rPr>
            </w:pPr>
            <w:r w:rsidRPr="00F47500">
              <w:rPr>
                <w:color w:val="000000"/>
                <w:sz w:val="22"/>
                <w:szCs w:val="22"/>
              </w:rPr>
              <w:t>1.021</w:t>
            </w:r>
          </w:p>
        </w:tc>
        <w:tc>
          <w:tcPr>
            <w:tcW w:w="831" w:type="dxa"/>
            <w:tcBorders>
              <w:top w:val="nil"/>
              <w:left w:val="nil"/>
              <w:bottom w:val="nil"/>
              <w:right w:val="nil"/>
            </w:tcBorders>
            <w:shd w:val="clear" w:color="auto" w:fill="auto"/>
            <w:noWrap/>
            <w:vAlign w:val="bottom"/>
            <w:hideMark/>
          </w:tcPr>
          <w:p w14:paraId="69D83CC6" w14:textId="77777777" w:rsidR="006218BB" w:rsidRPr="00F47500" w:rsidRDefault="006218BB" w:rsidP="00576B40">
            <w:pPr>
              <w:jc w:val="center"/>
              <w:rPr>
                <w:color w:val="000000"/>
                <w:sz w:val="22"/>
                <w:szCs w:val="22"/>
              </w:rPr>
            </w:pPr>
            <w:r w:rsidRPr="00F47500">
              <w:rPr>
                <w:color w:val="000000"/>
                <w:sz w:val="22"/>
                <w:szCs w:val="22"/>
              </w:rPr>
              <w:t>0.839</w:t>
            </w:r>
          </w:p>
        </w:tc>
        <w:tc>
          <w:tcPr>
            <w:tcW w:w="840" w:type="dxa"/>
            <w:tcBorders>
              <w:top w:val="nil"/>
              <w:left w:val="nil"/>
              <w:bottom w:val="nil"/>
              <w:right w:val="single" w:sz="4" w:space="0" w:color="auto"/>
            </w:tcBorders>
            <w:shd w:val="clear" w:color="auto" w:fill="auto"/>
            <w:noWrap/>
            <w:vAlign w:val="bottom"/>
            <w:hideMark/>
          </w:tcPr>
          <w:p w14:paraId="27A07789" w14:textId="77777777" w:rsidR="006218BB" w:rsidRPr="00F47500" w:rsidRDefault="006218BB" w:rsidP="00576B40">
            <w:pPr>
              <w:jc w:val="center"/>
              <w:rPr>
                <w:color w:val="000000"/>
                <w:sz w:val="22"/>
                <w:szCs w:val="22"/>
              </w:rPr>
            </w:pPr>
            <w:r w:rsidRPr="00F47500">
              <w:rPr>
                <w:color w:val="000000"/>
                <w:sz w:val="22"/>
                <w:szCs w:val="22"/>
              </w:rPr>
              <w:t>1.241</w:t>
            </w:r>
          </w:p>
        </w:tc>
      </w:tr>
      <w:tr w:rsidR="006218BB" w:rsidRPr="00F47500" w14:paraId="50227A9E"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44AEAA72" w14:textId="69B1A154" w:rsidR="006218BB" w:rsidRPr="00F47500" w:rsidRDefault="006218BB" w:rsidP="00576B40">
            <w:pPr>
              <w:rPr>
                <w:color w:val="000000"/>
                <w:sz w:val="22"/>
                <w:szCs w:val="22"/>
              </w:rPr>
            </w:pPr>
            <w:r w:rsidRPr="00F47500">
              <w:rPr>
                <w:color w:val="000000"/>
                <w:sz w:val="22"/>
                <w:szCs w:val="22"/>
              </w:rPr>
              <w:t>total impact</w:t>
            </w:r>
          </w:p>
        </w:tc>
        <w:tc>
          <w:tcPr>
            <w:tcW w:w="855" w:type="dxa"/>
            <w:tcBorders>
              <w:top w:val="nil"/>
              <w:left w:val="nil"/>
              <w:bottom w:val="nil"/>
              <w:right w:val="nil"/>
            </w:tcBorders>
            <w:shd w:val="clear" w:color="auto" w:fill="auto"/>
            <w:noWrap/>
            <w:vAlign w:val="bottom"/>
            <w:hideMark/>
          </w:tcPr>
          <w:p w14:paraId="7BCDA2A4" w14:textId="77777777" w:rsidR="006218BB" w:rsidRPr="00F47500" w:rsidRDefault="006218BB" w:rsidP="00576B40">
            <w:pPr>
              <w:jc w:val="center"/>
              <w:rPr>
                <w:color w:val="000000"/>
                <w:sz w:val="22"/>
                <w:szCs w:val="22"/>
              </w:rPr>
            </w:pPr>
            <w:r w:rsidRPr="00F47500">
              <w:rPr>
                <w:color w:val="000000"/>
                <w:sz w:val="22"/>
                <w:szCs w:val="22"/>
              </w:rPr>
              <w:t>0.465</w:t>
            </w:r>
          </w:p>
        </w:tc>
        <w:tc>
          <w:tcPr>
            <w:tcW w:w="760" w:type="dxa"/>
            <w:tcBorders>
              <w:top w:val="nil"/>
              <w:left w:val="nil"/>
              <w:bottom w:val="nil"/>
              <w:right w:val="nil"/>
            </w:tcBorders>
            <w:shd w:val="clear" w:color="auto" w:fill="auto"/>
            <w:noWrap/>
            <w:vAlign w:val="bottom"/>
            <w:hideMark/>
          </w:tcPr>
          <w:p w14:paraId="1AE55582" w14:textId="77777777" w:rsidR="006218BB" w:rsidRPr="00F47500" w:rsidRDefault="006218BB" w:rsidP="00576B40">
            <w:pPr>
              <w:jc w:val="center"/>
              <w:rPr>
                <w:color w:val="000000"/>
                <w:sz w:val="22"/>
                <w:szCs w:val="22"/>
              </w:rPr>
            </w:pPr>
            <w:r w:rsidRPr="00F47500">
              <w:rPr>
                <w:color w:val="000000"/>
                <w:sz w:val="22"/>
                <w:szCs w:val="22"/>
              </w:rPr>
              <w:t>0.066</w:t>
            </w:r>
          </w:p>
        </w:tc>
        <w:tc>
          <w:tcPr>
            <w:tcW w:w="917" w:type="dxa"/>
            <w:tcBorders>
              <w:top w:val="nil"/>
              <w:left w:val="nil"/>
              <w:bottom w:val="nil"/>
              <w:right w:val="nil"/>
            </w:tcBorders>
            <w:shd w:val="clear" w:color="auto" w:fill="auto"/>
            <w:noWrap/>
            <w:vAlign w:val="bottom"/>
            <w:hideMark/>
          </w:tcPr>
          <w:p w14:paraId="6B0E0D4D" w14:textId="77777777" w:rsidR="006218BB" w:rsidRPr="00F47500" w:rsidRDefault="006218BB" w:rsidP="00576B40">
            <w:pPr>
              <w:jc w:val="center"/>
              <w:rPr>
                <w:color w:val="000000"/>
                <w:sz w:val="22"/>
                <w:szCs w:val="22"/>
              </w:rPr>
            </w:pPr>
            <w:r w:rsidRPr="00F47500">
              <w:rPr>
                <w:color w:val="000000"/>
                <w:sz w:val="22"/>
                <w:szCs w:val="22"/>
              </w:rPr>
              <w:t>49.777</w:t>
            </w:r>
          </w:p>
        </w:tc>
        <w:tc>
          <w:tcPr>
            <w:tcW w:w="366" w:type="dxa"/>
            <w:tcBorders>
              <w:top w:val="nil"/>
              <w:left w:val="nil"/>
              <w:bottom w:val="nil"/>
              <w:right w:val="nil"/>
            </w:tcBorders>
            <w:shd w:val="clear" w:color="auto" w:fill="auto"/>
            <w:noWrap/>
            <w:vAlign w:val="bottom"/>
            <w:hideMark/>
          </w:tcPr>
          <w:p w14:paraId="15214234"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37F588DA" w14:textId="77777777" w:rsidR="006218BB" w:rsidRPr="00F47500" w:rsidRDefault="006218BB" w:rsidP="00576B40">
            <w:pPr>
              <w:jc w:val="center"/>
              <w:rPr>
                <w:color w:val="000000"/>
                <w:sz w:val="22"/>
                <w:szCs w:val="22"/>
              </w:rPr>
            </w:pPr>
            <w:r w:rsidRPr="00F47500">
              <w:rPr>
                <w:color w:val="000000"/>
                <w:sz w:val="22"/>
                <w:szCs w:val="22"/>
              </w:rPr>
              <w:t>0</w:t>
            </w:r>
          </w:p>
        </w:tc>
        <w:tc>
          <w:tcPr>
            <w:tcW w:w="859" w:type="dxa"/>
            <w:tcBorders>
              <w:top w:val="nil"/>
              <w:left w:val="nil"/>
              <w:bottom w:val="nil"/>
              <w:right w:val="nil"/>
            </w:tcBorders>
            <w:shd w:val="clear" w:color="auto" w:fill="auto"/>
            <w:noWrap/>
            <w:vAlign w:val="bottom"/>
            <w:hideMark/>
          </w:tcPr>
          <w:p w14:paraId="618FE35E" w14:textId="77777777" w:rsidR="006218BB" w:rsidRPr="00F47500" w:rsidRDefault="006218BB" w:rsidP="00576B40">
            <w:pPr>
              <w:jc w:val="center"/>
              <w:rPr>
                <w:color w:val="000000"/>
                <w:sz w:val="22"/>
                <w:szCs w:val="22"/>
              </w:rPr>
            </w:pPr>
            <w:r w:rsidRPr="00F47500">
              <w:rPr>
                <w:color w:val="000000"/>
                <w:sz w:val="22"/>
                <w:szCs w:val="22"/>
              </w:rPr>
              <w:t>1.592</w:t>
            </w:r>
          </w:p>
        </w:tc>
        <w:tc>
          <w:tcPr>
            <w:tcW w:w="831" w:type="dxa"/>
            <w:tcBorders>
              <w:top w:val="nil"/>
              <w:left w:val="nil"/>
              <w:bottom w:val="nil"/>
              <w:right w:val="nil"/>
            </w:tcBorders>
            <w:shd w:val="clear" w:color="auto" w:fill="auto"/>
            <w:noWrap/>
            <w:vAlign w:val="bottom"/>
            <w:hideMark/>
          </w:tcPr>
          <w:p w14:paraId="6812749F" w14:textId="77777777" w:rsidR="006218BB" w:rsidRPr="00F47500" w:rsidRDefault="006218BB" w:rsidP="00576B40">
            <w:pPr>
              <w:jc w:val="center"/>
              <w:rPr>
                <w:color w:val="000000"/>
                <w:sz w:val="22"/>
                <w:szCs w:val="22"/>
              </w:rPr>
            </w:pPr>
            <w:r w:rsidRPr="00F47500">
              <w:rPr>
                <w:color w:val="000000"/>
                <w:sz w:val="22"/>
                <w:szCs w:val="22"/>
              </w:rPr>
              <w:t>1.399</w:t>
            </w:r>
          </w:p>
        </w:tc>
        <w:tc>
          <w:tcPr>
            <w:tcW w:w="840" w:type="dxa"/>
            <w:tcBorders>
              <w:top w:val="nil"/>
              <w:left w:val="nil"/>
              <w:bottom w:val="nil"/>
              <w:right w:val="single" w:sz="4" w:space="0" w:color="auto"/>
            </w:tcBorders>
            <w:shd w:val="clear" w:color="auto" w:fill="auto"/>
            <w:noWrap/>
            <w:vAlign w:val="bottom"/>
            <w:hideMark/>
          </w:tcPr>
          <w:p w14:paraId="2710F20C" w14:textId="77777777" w:rsidR="006218BB" w:rsidRPr="00F47500" w:rsidRDefault="006218BB" w:rsidP="00576B40">
            <w:pPr>
              <w:jc w:val="center"/>
              <w:rPr>
                <w:color w:val="000000"/>
                <w:sz w:val="22"/>
                <w:szCs w:val="22"/>
              </w:rPr>
            </w:pPr>
            <w:r w:rsidRPr="00F47500">
              <w:rPr>
                <w:color w:val="000000"/>
                <w:sz w:val="22"/>
                <w:szCs w:val="22"/>
              </w:rPr>
              <w:t>1.812</w:t>
            </w:r>
          </w:p>
        </w:tc>
      </w:tr>
      <w:tr w:rsidR="006218BB" w:rsidRPr="00F47500" w14:paraId="52339A4C" w14:textId="77777777" w:rsidTr="00576B40">
        <w:trPr>
          <w:trHeight w:val="240"/>
          <w:jc w:val="center"/>
        </w:trPr>
        <w:tc>
          <w:tcPr>
            <w:tcW w:w="2474" w:type="dxa"/>
            <w:tcBorders>
              <w:top w:val="nil"/>
              <w:left w:val="single" w:sz="4" w:space="0" w:color="auto"/>
              <w:bottom w:val="nil"/>
              <w:right w:val="single" w:sz="4" w:space="0" w:color="auto"/>
            </w:tcBorders>
            <w:shd w:val="clear" w:color="auto" w:fill="auto"/>
            <w:noWrap/>
            <w:vAlign w:val="bottom"/>
            <w:hideMark/>
          </w:tcPr>
          <w:p w14:paraId="55C6EB72" w14:textId="5E870C4C" w:rsidR="006218BB" w:rsidRPr="00F47500" w:rsidRDefault="006218BB" w:rsidP="00576B40">
            <w:pPr>
              <w:rPr>
                <w:color w:val="000000"/>
                <w:sz w:val="22"/>
                <w:szCs w:val="22"/>
              </w:rPr>
            </w:pPr>
            <w:r w:rsidRPr="00F47500">
              <w:rPr>
                <w:color w:val="000000"/>
                <w:sz w:val="22"/>
                <w:szCs w:val="22"/>
              </w:rPr>
              <w:t>journal impact</w:t>
            </w:r>
          </w:p>
        </w:tc>
        <w:tc>
          <w:tcPr>
            <w:tcW w:w="855" w:type="dxa"/>
            <w:tcBorders>
              <w:top w:val="nil"/>
              <w:left w:val="nil"/>
              <w:bottom w:val="nil"/>
              <w:right w:val="nil"/>
            </w:tcBorders>
            <w:shd w:val="clear" w:color="auto" w:fill="auto"/>
            <w:noWrap/>
            <w:vAlign w:val="bottom"/>
            <w:hideMark/>
          </w:tcPr>
          <w:p w14:paraId="4B434B68" w14:textId="77777777" w:rsidR="006218BB" w:rsidRPr="00F47500" w:rsidRDefault="006218BB" w:rsidP="00576B40">
            <w:pPr>
              <w:jc w:val="center"/>
              <w:rPr>
                <w:color w:val="000000"/>
                <w:sz w:val="22"/>
                <w:szCs w:val="22"/>
              </w:rPr>
            </w:pPr>
            <w:r w:rsidRPr="00F47500">
              <w:rPr>
                <w:color w:val="000000"/>
                <w:sz w:val="22"/>
                <w:szCs w:val="22"/>
              </w:rPr>
              <w:t>0.474</w:t>
            </w:r>
          </w:p>
        </w:tc>
        <w:tc>
          <w:tcPr>
            <w:tcW w:w="760" w:type="dxa"/>
            <w:tcBorders>
              <w:top w:val="nil"/>
              <w:left w:val="nil"/>
              <w:bottom w:val="nil"/>
              <w:right w:val="nil"/>
            </w:tcBorders>
            <w:shd w:val="clear" w:color="auto" w:fill="auto"/>
            <w:noWrap/>
            <w:vAlign w:val="bottom"/>
            <w:hideMark/>
          </w:tcPr>
          <w:p w14:paraId="6FB0AA32" w14:textId="77777777" w:rsidR="006218BB" w:rsidRPr="00F47500" w:rsidRDefault="006218BB" w:rsidP="00576B40">
            <w:pPr>
              <w:jc w:val="center"/>
              <w:rPr>
                <w:color w:val="000000"/>
                <w:sz w:val="22"/>
                <w:szCs w:val="22"/>
              </w:rPr>
            </w:pPr>
            <w:r w:rsidRPr="00F47500">
              <w:rPr>
                <w:color w:val="000000"/>
                <w:sz w:val="22"/>
                <w:szCs w:val="22"/>
              </w:rPr>
              <w:t>0.093</w:t>
            </w:r>
          </w:p>
        </w:tc>
        <w:tc>
          <w:tcPr>
            <w:tcW w:w="917" w:type="dxa"/>
            <w:tcBorders>
              <w:top w:val="nil"/>
              <w:left w:val="nil"/>
              <w:bottom w:val="nil"/>
              <w:right w:val="nil"/>
            </w:tcBorders>
            <w:shd w:val="clear" w:color="auto" w:fill="auto"/>
            <w:noWrap/>
            <w:vAlign w:val="bottom"/>
            <w:hideMark/>
          </w:tcPr>
          <w:p w14:paraId="677E4310" w14:textId="77777777" w:rsidR="006218BB" w:rsidRPr="00F47500" w:rsidRDefault="006218BB" w:rsidP="00576B40">
            <w:pPr>
              <w:jc w:val="center"/>
              <w:rPr>
                <w:color w:val="000000"/>
                <w:sz w:val="22"/>
                <w:szCs w:val="22"/>
              </w:rPr>
            </w:pPr>
            <w:r w:rsidRPr="00F47500">
              <w:rPr>
                <w:color w:val="000000"/>
                <w:sz w:val="22"/>
                <w:szCs w:val="22"/>
              </w:rPr>
              <w:t>26.051</w:t>
            </w:r>
          </w:p>
        </w:tc>
        <w:tc>
          <w:tcPr>
            <w:tcW w:w="366" w:type="dxa"/>
            <w:tcBorders>
              <w:top w:val="nil"/>
              <w:left w:val="nil"/>
              <w:bottom w:val="nil"/>
              <w:right w:val="nil"/>
            </w:tcBorders>
            <w:shd w:val="clear" w:color="auto" w:fill="auto"/>
            <w:noWrap/>
            <w:vAlign w:val="bottom"/>
            <w:hideMark/>
          </w:tcPr>
          <w:p w14:paraId="71DFA33D"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nil"/>
              <w:right w:val="nil"/>
            </w:tcBorders>
            <w:shd w:val="clear" w:color="auto" w:fill="auto"/>
            <w:noWrap/>
            <w:vAlign w:val="bottom"/>
            <w:hideMark/>
          </w:tcPr>
          <w:p w14:paraId="2B86409D" w14:textId="77777777" w:rsidR="006218BB" w:rsidRPr="00F47500" w:rsidRDefault="006218BB" w:rsidP="00576B40">
            <w:pPr>
              <w:jc w:val="center"/>
              <w:rPr>
                <w:color w:val="000000"/>
                <w:sz w:val="22"/>
                <w:szCs w:val="22"/>
              </w:rPr>
            </w:pPr>
            <w:r w:rsidRPr="00F47500">
              <w:rPr>
                <w:color w:val="000000"/>
                <w:sz w:val="22"/>
                <w:szCs w:val="22"/>
              </w:rPr>
              <w:t>0</w:t>
            </w:r>
          </w:p>
        </w:tc>
        <w:tc>
          <w:tcPr>
            <w:tcW w:w="859" w:type="dxa"/>
            <w:tcBorders>
              <w:top w:val="nil"/>
              <w:left w:val="nil"/>
              <w:bottom w:val="nil"/>
              <w:right w:val="nil"/>
            </w:tcBorders>
            <w:shd w:val="clear" w:color="auto" w:fill="auto"/>
            <w:noWrap/>
            <w:vAlign w:val="bottom"/>
            <w:hideMark/>
          </w:tcPr>
          <w:p w14:paraId="58699EC6" w14:textId="77777777" w:rsidR="006218BB" w:rsidRPr="00F47500" w:rsidRDefault="006218BB" w:rsidP="00576B40">
            <w:pPr>
              <w:jc w:val="center"/>
              <w:rPr>
                <w:color w:val="000000"/>
                <w:sz w:val="22"/>
                <w:szCs w:val="22"/>
              </w:rPr>
            </w:pPr>
            <w:r w:rsidRPr="00F47500">
              <w:rPr>
                <w:color w:val="000000"/>
                <w:sz w:val="22"/>
                <w:szCs w:val="22"/>
              </w:rPr>
              <w:t>1.606</w:t>
            </w:r>
          </w:p>
        </w:tc>
        <w:tc>
          <w:tcPr>
            <w:tcW w:w="831" w:type="dxa"/>
            <w:tcBorders>
              <w:top w:val="nil"/>
              <w:left w:val="nil"/>
              <w:bottom w:val="nil"/>
              <w:right w:val="nil"/>
            </w:tcBorders>
            <w:shd w:val="clear" w:color="auto" w:fill="auto"/>
            <w:noWrap/>
            <w:vAlign w:val="bottom"/>
            <w:hideMark/>
          </w:tcPr>
          <w:p w14:paraId="66FD06AA" w14:textId="77777777" w:rsidR="006218BB" w:rsidRPr="00F47500" w:rsidRDefault="006218BB" w:rsidP="00576B40">
            <w:pPr>
              <w:jc w:val="center"/>
              <w:rPr>
                <w:color w:val="000000"/>
                <w:sz w:val="22"/>
                <w:szCs w:val="22"/>
              </w:rPr>
            </w:pPr>
            <w:r w:rsidRPr="00F47500">
              <w:rPr>
                <w:color w:val="000000"/>
                <w:sz w:val="22"/>
                <w:szCs w:val="22"/>
              </w:rPr>
              <w:t>1.339</w:t>
            </w:r>
          </w:p>
        </w:tc>
        <w:tc>
          <w:tcPr>
            <w:tcW w:w="840" w:type="dxa"/>
            <w:tcBorders>
              <w:top w:val="nil"/>
              <w:left w:val="nil"/>
              <w:bottom w:val="nil"/>
              <w:right w:val="single" w:sz="4" w:space="0" w:color="auto"/>
            </w:tcBorders>
            <w:shd w:val="clear" w:color="auto" w:fill="auto"/>
            <w:noWrap/>
            <w:vAlign w:val="bottom"/>
            <w:hideMark/>
          </w:tcPr>
          <w:p w14:paraId="13F5A7D0" w14:textId="77777777" w:rsidR="006218BB" w:rsidRPr="00F47500" w:rsidRDefault="006218BB" w:rsidP="00576B40">
            <w:pPr>
              <w:jc w:val="center"/>
              <w:rPr>
                <w:color w:val="000000"/>
                <w:sz w:val="22"/>
                <w:szCs w:val="22"/>
              </w:rPr>
            </w:pPr>
            <w:r w:rsidRPr="00F47500">
              <w:rPr>
                <w:color w:val="000000"/>
                <w:sz w:val="22"/>
                <w:szCs w:val="22"/>
              </w:rPr>
              <w:t>1.926</w:t>
            </w:r>
          </w:p>
        </w:tc>
      </w:tr>
      <w:tr w:rsidR="006218BB" w:rsidRPr="00F47500" w14:paraId="5644D958" w14:textId="77777777" w:rsidTr="00576B40">
        <w:trPr>
          <w:trHeight w:val="24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20B3373E" w14:textId="77777777" w:rsidR="006218BB" w:rsidRPr="00F47500" w:rsidRDefault="006218BB" w:rsidP="00576B40">
            <w:pPr>
              <w:rPr>
                <w:color w:val="000000"/>
                <w:sz w:val="22"/>
                <w:szCs w:val="22"/>
              </w:rPr>
            </w:pPr>
            <w:r w:rsidRPr="00F47500">
              <w:rPr>
                <w:color w:val="000000"/>
                <w:sz w:val="22"/>
                <w:szCs w:val="22"/>
              </w:rPr>
              <w:t>Constant</w:t>
            </w:r>
          </w:p>
        </w:tc>
        <w:tc>
          <w:tcPr>
            <w:tcW w:w="855" w:type="dxa"/>
            <w:tcBorders>
              <w:top w:val="nil"/>
              <w:left w:val="nil"/>
              <w:bottom w:val="single" w:sz="4" w:space="0" w:color="auto"/>
              <w:right w:val="nil"/>
            </w:tcBorders>
            <w:shd w:val="clear" w:color="auto" w:fill="auto"/>
            <w:noWrap/>
            <w:vAlign w:val="bottom"/>
            <w:hideMark/>
          </w:tcPr>
          <w:p w14:paraId="165B1301" w14:textId="77777777" w:rsidR="006218BB" w:rsidRPr="00F47500" w:rsidRDefault="006218BB" w:rsidP="00576B40">
            <w:pPr>
              <w:jc w:val="center"/>
              <w:rPr>
                <w:color w:val="000000"/>
                <w:sz w:val="22"/>
                <w:szCs w:val="22"/>
              </w:rPr>
            </w:pPr>
            <w:r w:rsidRPr="00F47500">
              <w:rPr>
                <w:color w:val="000000"/>
                <w:sz w:val="22"/>
                <w:szCs w:val="22"/>
              </w:rPr>
              <w:t>-2.143</w:t>
            </w:r>
          </w:p>
        </w:tc>
        <w:tc>
          <w:tcPr>
            <w:tcW w:w="760" w:type="dxa"/>
            <w:tcBorders>
              <w:top w:val="nil"/>
              <w:left w:val="nil"/>
              <w:bottom w:val="single" w:sz="4" w:space="0" w:color="auto"/>
              <w:right w:val="nil"/>
            </w:tcBorders>
            <w:shd w:val="clear" w:color="auto" w:fill="auto"/>
            <w:noWrap/>
            <w:vAlign w:val="bottom"/>
            <w:hideMark/>
          </w:tcPr>
          <w:p w14:paraId="3EF4B9CC" w14:textId="77777777" w:rsidR="006218BB" w:rsidRPr="00F47500" w:rsidRDefault="006218BB" w:rsidP="00576B40">
            <w:pPr>
              <w:jc w:val="center"/>
              <w:rPr>
                <w:color w:val="000000"/>
                <w:sz w:val="22"/>
                <w:szCs w:val="22"/>
              </w:rPr>
            </w:pPr>
            <w:r w:rsidRPr="00F47500">
              <w:rPr>
                <w:color w:val="000000"/>
                <w:sz w:val="22"/>
                <w:szCs w:val="22"/>
              </w:rPr>
              <w:t>0.265</w:t>
            </w:r>
          </w:p>
        </w:tc>
        <w:tc>
          <w:tcPr>
            <w:tcW w:w="917" w:type="dxa"/>
            <w:tcBorders>
              <w:top w:val="nil"/>
              <w:left w:val="nil"/>
              <w:bottom w:val="single" w:sz="4" w:space="0" w:color="auto"/>
              <w:right w:val="nil"/>
            </w:tcBorders>
            <w:shd w:val="clear" w:color="auto" w:fill="auto"/>
            <w:noWrap/>
            <w:vAlign w:val="bottom"/>
            <w:hideMark/>
          </w:tcPr>
          <w:p w14:paraId="4D8895EF" w14:textId="77777777" w:rsidR="006218BB" w:rsidRPr="00F47500" w:rsidRDefault="006218BB" w:rsidP="00576B40">
            <w:pPr>
              <w:jc w:val="center"/>
              <w:rPr>
                <w:color w:val="000000"/>
                <w:sz w:val="22"/>
                <w:szCs w:val="22"/>
              </w:rPr>
            </w:pPr>
            <w:r w:rsidRPr="00F47500">
              <w:rPr>
                <w:color w:val="000000"/>
                <w:sz w:val="22"/>
                <w:szCs w:val="22"/>
              </w:rPr>
              <w:t>65.64</w:t>
            </w:r>
          </w:p>
        </w:tc>
        <w:tc>
          <w:tcPr>
            <w:tcW w:w="366" w:type="dxa"/>
            <w:tcBorders>
              <w:top w:val="nil"/>
              <w:left w:val="nil"/>
              <w:bottom w:val="single" w:sz="4" w:space="0" w:color="auto"/>
              <w:right w:val="nil"/>
            </w:tcBorders>
            <w:shd w:val="clear" w:color="auto" w:fill="auto"/>
            <w:noWrap/>
            <w:vAlign w:val="bottom"/>
            <w:hideMark/>
          </w:tcPr>
          <w:p w14:paraId="0BECCEF7" w14:textId="77777777" w:rsidR="006218BB" w:rsidRPr="00F47500" w:rsidRDefault="006218BB" w:rsidP="00576B40">
            <w:pPr>
              <w:jc w:val="center"/>
              <w:rPr>
                <w:color w:val="000000"/>
                <w:sz w:val="22"/>
                <w:szCs w:val="22"/>
              </w:rPr>
            </w:pPr>
            <w:r w:rsidRPr="00F47500">
              <w:rPr>
                <w:color w:val="000000"/>
                <w:sz w:val="22"/>
                <w:szCs w:val="22"/>
              </w:rPr>
              <w:t>1</w:t>
            </w:r>
          </w:p>
        </w:tc>
        <w:tc>
          <w:tcPr>
            <w:tcW w:w="760" w:type="dxa"/>
            <w:tcBorders>
              <w:top w:val="nil"/>
              <w:left w:val="nil"/>
              <w:bottom w:val="single" w:sz="4" w:space="0" w:color="auto"/>
              <w:right w:val="nil"/>
            </w:tcBorders>
            <w:shd w:val="clear" w:color="auto" w:fill="auto"/>
            <w:noWrap/>
            <w:vAlign w:val="bottom"/>
            <w:hideMark/>
          </w:tcPr>
          <w:p w14:paraId="16CC84BE" w14:textId="77777777" w:rsidR="006218BB" w:rsidRPr="00F47500" w:rsidRDefault="006218BB" w:rsidP="00576B40">
            <w:pPr>
              <w:jc w:val="center"/>
              <w:rPr>
                <w:color w:val="000000"/>
                <w:sz w:val="22"/>
                <w:szCs w:val="22"/>
              </w:rPr>
            </w:pPr>
            <w:r w:rsidRPr="00F47500">
              <w:rPr>
                <w:color w:val="000000"/>
                <w:sz w:val="22"/>
                <w:szCs w:val="22"/>
              </w:rPr>
              <w:t>0</w:t>
            </w:r>
          </w:p>
        </w:tc>
        <w:tc>
          <w:tcPr>
            <w:tcW w:w="859" w:type="dxa"/>
            <w:tcBorders>
              <w:top w:val="nil"/>
              <w:left w:val="nil"/>
              <w:bottom w:val="single" w:sz="4" w:space="0" w:color="auto"/>
              <w:right w:val="nil"/>
            </w:tcBorders>
            <w:shd w:val="clear" w:color="auto" w:fill="auto"/>
            <w:noWrap/>
            <w:vAlign w:val="bottom"/>
            <w:hideMark/>
          </w:tcPr>
          <w:p w14:paraId="3F0D2A8A" w14:textId="77777777" w:rsidR="006218BB" w:rsidRPr="00F47500" w:rsidRDefault="006218BB" w:rsidP="00576B40">
            <w:pPr>
              <w:jc w:val="center"/>
              <w:rPr>
                <w:color w:val="000000"/>
                <w:sz w:val="22"/>
                <w:szCs w:val="22"/>
              </w:rPr>
            </w:pPr>
            <w:r w:rsidRPr="00F47500">
              <w:rPr>
                <w:color w:val="000000"/>
                <w:sz w:val="22"/>
                <w:szCs w:val="22"/>
              </w:rPr>
              <w:t>0.117</w:t>
            </w:r>
          </w:p>
        </w:tc>
        <w:tc>
          <w:tcPr>
            <w:tcW w:w="831" w:type="dxa"/>
            <w:tcBorders>
              <w:top w:val="nil"/>
              <w:left w:val="nil"/>
              <w:bottom w:val="single" w:sz="4" w:space="0" w:color="auto"/>
              <w:right w:val="nil"/>
            </w:tcBorders>
            <w:shd w:val="clear" w:color="auto" w:fill="auto"/>
            <w:noWrap/>
            <w:vAlign w:val="bottom"/>
            <w:hideMark/>
          </w:tcPr>
          <w:p w14:paraId="7725CED7" w14:textId="77777777" w:rsidR="006218BB" w:rsidRPr="00F47500" w:rsidRDefault="006218BB" w:rsidP="00576B40">
            <w:pPr>
              <w:jc w:val="center"/>
              <w:rPr>
                <w:color w:val="000000"/>
                <w:sz w:val="22"/>
                <w:szCs w:val="22"/>
              </w:rPr>
            </w:pPr>
            <w:r w:rsidRPr="00F47500">
              <w:rPr>
                <w:color w:val="000000"/>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07CFEBA" w14:textId="77777777" w:rsidR="006218BB" w:rsidRPr="00F47500" w:rsidRDefault="006218BB" w:rsidP="00576B40">
            <w:pPr>
              <w:jc w:val="center"/>
              <w:rPr>
                <w:color w:val="000000"/>
                <w:sz w:val="22"/>
                <w:szCs w:val="22"/>
              </w:rPr>
            </w:pPr>
            <w:r w:rsidRPr="00F47500">
              <w:rPr>
                <w:color w:val="000000"/>
                <w:sz w:val="22"/>
                <w:szCs w:val="22"/>
              </w:rPr>
              <w:t> </w:t>
            </w:r>
          </w:p>
        </w:tc>
      </w:tr>
      <w:tr w:rsidR="006218BB" w:rsidRPr="00F47500" w14:paraId="4B2E8652" w14:textId="77777777" w:rsidTr="00576B40">
        <w:trPr>
          <w:trHeight w:val="240"/>
          <w:jc w:val="center"/>
        </w:trPr>
        <w:tc>
          <w:tcPr>
            <w:tcW w:w="8662" w:type="dxa"/>
            <w:gridSpan w:val="9"/>
            <w:tcBorders>
              <w:top w:val="single" w:sz="4" w:space="0" w:color="auto"/>
              <w:left w:val="nil"/>
              <w:bottom w:val="nil"/>
              <w:right w:val="nil"/>
            </w:tcBorders>
            <w:shd w:val="clear" w:color="auto" w:fill="auto"/>
            <w:noWrap/>
            <w:vAlign w:val="center"/>
            <w:hideMark/>
          </w:tcPr>
          <w:p w14:paraId="2A52F284" w14:textId="77777777" w:rsidR="006218BB" w:rsidRPr="00F47500" w:rsidRDefault="006218BB" w:rsidP="00576B40">
            <w:pPr>
              <w:rPr>
                <w:color w:val="000000"/>
                <w:sz w:val="22"/>
                <w:szCs w:val="22"/>
              </w:rPr>
            </w:pPr>
            <w:r w:rsidRPr="00F47500">
              <w:rPr>
                <w:color w:val="000000"/>
                <w:sz w:val="22"/>
                <w:szCs w:val="22"/>
              </w:rPr>
              <w:t>* Logistic regression; all PhD students in the selected faculties; ** Indicators calculated over the t-3 ~ t+3 period;</w:t>
            </w:r>
          </w:p>
        </w:tc>
      </w:tr>
      <w:tr w:rsidR="006218BB" w:rsidRPr="00F47500" w14:paraId="0BF5FC3F" w14:textId="77777777" w:rsidTr="00576B40">
        <w:trPr>
          <w:trHeight w:val="66"/>
          <w:jc w:val="center"/>
        </w:trPr>
        <w:tc>
          <w:tcPr>
            <w:tcW w:w="8662" w:type="dxa"/>
            <w:gridSpan w:val="9"/>
            <w:tcBorders>
              <w:top w:val="nil"/>
              <w:left w:val="nil"/>
              <w:bottom w:val="nil"/>
              <w:right w:val="nil"/>
            </w:tcBorders>
            <w:shd w:val="clear" w:color="auto" w:fill="auto"/>
            <w:noWrap/>
            <w:vAlign w:val="bottom"/>
            <w:hideMark/>
          </w:tcPr>
          <w:p w14:paraId="52E3E5DC" w14:textId="77777777" w:rsidR="006218BB" w:rsidRPr="00F47500" w:rsidRDefault="006218BB" w:rsidP="00576B40">
            <w:pPr>
              <w:rPr>
                <w:color w:val="000000"/>
                <w:sz w:val="22"/>
                <w:szCs w:val="22"/>
              </w:rPr>
            </w:pPr>
            <w:r w:rsidRPr="00F47500">
              <w:rPr>
                <w:color w:val="000000"/>
                <w:sz w:val="22"/>
                <w:szCs w:val="22"/>
              </w:rPr>
              <w:t>N=2579; Nagelkerke R Square: 0.177</w:t>
            </w:r>
          </w:p>
        </w:tc>
      </w:tr>
    </w:tbl>
    <w:p w14:paraId="3B94DAC8" w14:textId="77777777" w:rsidR="006218BB" w:rsidRDefault="006218BB" w:rsidP="0048099F">
      <w:pPr>
        <w:rPr>
          <w:lang w:val="en-US"/>
        </w:rPr>
      </w:pPr>
    </w:p>
    <w:p w14:paraId="4056887D" w14:textId="79375354" w:rsidR="0048099F" w:rsidRPr="00F47500" w:rsidRDefault="0048099F" w:rsidP="0048099F">
      <w:pPr>
        <w:rPr>
          <w:lang w:val="en-US"/>
        </w:rPr>
      </w:pPr>
      <w:r w:rsidRPr="00076B84">
        <w:lastRenderedPageBreak/>
        <w:t>We also tested the same approach including the full count</w:t>
      </w:r>
      <w:r w:rsidR="006218BB">
        <w:rPr>
          <w:lang w:val="en-US"/>
        </w:rPr>
        <w:t xml:space="preserve"> variant</w:t>
      </w:r>
      <w:r w:rsidRPr="00076B84">
        <w:t>s of the various variables (publicatio</w:t>
      </w:r>
      <w:r w:rsidR="008B4D8A" w:rsidRPr="00076B84">
        <w:t>n</w:t>
      </w:r>
      <w:r w:rsidRPr="00076B84">
        <w:t xml:space="preserve">s, citations, </w:t>
      </w:r>
      <w:r w:rsidR="00C90272" w:rsidRPr="00076B84">
        <w:t xml:space="preserve">various </w:t>
      </w:r>
      <w:r w:rsidR="008B4D8A" w:rsidRPr="00076B84">
        <w:t xml:space="preserve">variants of the </w:t>
      </w:r>
      <w:r w:rsidR="00C90272" w:rsidRPr="00076B84">
        <w:t xml:space="preserve">P10% </w:t>
      </w:r>
      <w:r w:rsidRPr="00076B84">
        <w:t>papers and</w:t>
      </w:r>
      <w:r w:rsidR="00C90272" w:rsidRPr="00076B84">
        <w:t xml:space="preserve"> the sum FWCI</w:t>
      </w:r>
      <w:r w:rsidRPr="00076B84">
        <w:t xml:space="preserve">) instead of only the fractional counts, but the results were very similar. These four additional variables loaded on the same component as their fractionalized counterparts, </w:t>
      </w:r>
      <w:r w:rsidR="008B4D8A" w:rsidRPr="00076B84">
        <w:t>and</w:t>
      </w:r>
      <w:r w:rsidRPr="00076B84">
        <w:t xml:space="preserve"> they do not influence the results of the Principle Component Analysis</w:t>
      </w:r>
      <w:r w:rsidR="008B4D8A" w:rsidRPr="00076B84">
        <w:t xml:space="preserve">. Also </w:t>
      </w:r>
      <w:r w:rsidRPr="00076B84">
        <w:t>the Cronbach Alphas did hardly change</w:t>
      </w:r>
      <w:r w:rsidR="006218BB">
        <w:rPr>
          <w:lang w:val="en-US"/>
        </w:rPr>
        <w:t xml:space="preserve"> </w:t>
      </w:r>
      <w:r w:rsidR="00964937">
        <w:rPr>
          <w:lang w:val="en-US"/>
        </w:rPr>
        <w:t>(</w:t>
      </w:r>
      <w:r w:rsidR="006218BB">
        <w:rPr>
          <w:lang w:val="en-US"/>
        </w:rPr>
        <w:t xml:space="preserve">See </w:t>
      </w:r>
      <w:r w:rsidR="00964937">
        <w:rPr>
          <w:lang w:val="en-US"/>
        </w:rPr>
        <w:t>table 5 below</w:t>
      </w:r>
      <w:r w:rsidR="00F47500">
        <w:rPr>
          <w:lang w:val="en-US"/>
        </w:rPr>
        <w:t xml:space="preserve"> for another example</w:t>
      </w:r>
      <w:r w:rsidR="00964937">
        <w:rPr>
          <w:lang w:val="en-US"/>
        </w:rPr>
        <w:t>).</w:t>
      </w:r>
    </w:p>
    <w:p w14:paraId="699714A7" w14:textId="77777777" w:rsidR="00A52244" w:rsidRPr="00076B84" w:rsidRDefault="00A52244" w:rsidP="0048099F"/>
    <w:p w14:paraId="52BF033E" w14:textId="7DF28CE5" w:rsidR="0048099F" w:rsidRPr="00076B84" w:rsidRDefault="0048099F" w:rsidP="0048099F">
      <w:r w:rsidRPr="00076B84">
        <w:t xml:space="preserve">The factor scores were saved using ‘regression’ and the three resulting dimensions are included as past performance measures. The correlations between </w:t>
      </w:r>
      <w:r w:rsidR="008B4D8A" w:rsidRPr="00076B84">
        <w:t>relative impact</w:t>
      </w:r>
      <w:r w:rsidRPr="00076B84">
        <w:t xml:space="preserve"> and </w:t>
      </w:r>
      <w:r w:rsidR="008B4D8A" w:rsidRPr="00076B84">
        <w:t xml:space="preserve">total impact, </w:t>
      </w:r>
      <w:r w:rsidRPr="00076B84">
        <w:t xml:space="preserve">and between </w:t>
      </w:r>
      <w:r w:rsidR="008B4D8A" w:rsidRPr="00076B84">
        <w:t>relative impact</w:t>
      </w:r>
      <w:r w:rsidRPr="00076B84">
        <w:t xml:space="preserve"> and </w:t>
      </w:r>
      <w:r w:rsidR="008B4D8A" w:rsidRPr="00076B84">
        <w:t>journal impact</w:t>
      </w:r>
      <w:r w:rsidRPr="00076B84">
        <w:t xml:space="preserve"> are moderate. But between </w:t>
      </w:r>
      <w:r w:rsidR="008B4D8A" w:rsidRPr="00076B84">
        <w:t xml:space="preserve">total impact and journal impact, </w:t>
      </w:r>
      <w:r w:rsidRPr="00076B84">
        <w:t xml:space="preserve">the correlation is low (table </w:t>
      </w:r>
      <w:r w:rsidR="00964937">
        <w:rPr>
          <w:lang w:val="en-US"/>
        </w:rPr>
        <w:t>4</w:t>
      </w:r>
      <w:r w:rsidRPr="00076B84">
        <w:t xml:space="preserve">). </w:t>
      </w:r>
    </w:p>
    <w:p w14:paraId="04EC4794" w14:textId="77777777" w:rsidR="0048099F" w:rsidRPr="00076B84" w:rsidRDefault="0048099F" w:rsidP="0048099F">
      <w:pPr>
        <w:ind w:left="2160" w:firstLine="540"/>
        <w:rPr>
          <w:b/>
          <w:bCs/>
        </w:rPr>
      </w:pPr>
    </w:p>
    <w:p w14:paraId="7782BB60" w14:textId="5FDEED37" w:rsidR="0048099F" w:rsidRPr="00F47500" w:rsidRDefault="0048099F" w:rsidP="0048099F">
      <w:pPr>
        <w:ind w:left="2160" w:firstLine="540"/>
        <w:rPr>
          <w:sz w:val="22"/>
          <w:szCs w:val="22"/>
        </w:rPr>
      </w:pPr>
      <w:r w:rsidRPr="00F47500">
        <w:rPr>
          <w:b/>
          <w:bCs/>
          <w:sz w:val="22"/>
          <w:szCs w:val="22"/>
        </w:rPr>
        <w:t xml:space="preserve">Table </w:t>
      </w:r>
      <w:r w:rsidR="00964937">
        <w:rPr>
          <w:b/>
          <w:bCs/>
          <w:sz w:val="22"/>
          <w:szCs w:val="22"/>
          <w:lang w:val="en-US"/>
        </w:rPr>
        <w:t>4</w:t>
      </w:r>
      <w:r w:rsidRPr="00F47500">
        <w:rPr>
          <w:sz w:val="22"/>
          <w:szCs w:val="22"/>
        </w:rPr>
        <w:t>: Factor correlations</w:t>
      </w:r>
    </w:p>
    <w:tbl>
      <w:tblPr>
        <w:tblW w:w="3711" w:type="dxa"/>
        <w:jc w:val="center"/>
        <w:tblLook w:val="04A0" w:firstRow="1" w:lastRow="0" w:firstColumn="1" w:lastColumn="0" w:noHBand="0" w:noVBand="1"/>
      </w:tblPr>
      <w:tblGrid>
        <w:gridCol w:w="1333"/>
        <w:gridCol w:w="1189"/>
        <w:gridCol w:w="1189"/>
      </w:tblGrid>
      <w:tr w:rsidR="0048099F" w:rsidRPr="00076B84" w14:paraId="76FCAFB8" w14:textId="77777777" w:rsidTr="00C90272">
        <w:trPr>
          <w:trHeight w:val="20"/>
          <w:jc w:val="center"/>
        </w:trPr>
        <w:tc>
          <w:tcPr>
            <w:tcW w:w="1333" w:type="dxa"/>
            <w:tcBorders>
              <w:top w:val="single" w:sz="4" w:space="0" w:color="auto"/>
              <w:left w:val="single" w:sz="4" w:space="0" w:color="auto"/>
              <w:bottom w:val="nil"/>
              <w:right w:val="nil"/>
            </w:tcBorders>
            <w:shd w:val="clear" w:color="auto" w:fill="auto"/>
            <w:noWrap/>
            <w:vAlign w:val="bottom"/>
            <w:hideMark/>
          </w:tcPr>
          <w:p w14:paraId="6D5B3E12" w14:textId="77777777" w:rsidR="0048099F" w:rsidRPr="00076B84" w:rsidRDefault="0048099F" w:rsidP="0048099F">
            <w:pPr>
              <w:rPr>
                <w:color w:val="000000"/>
                <w:sz w:val="22"/>
                <w:szCs w:val="22"/>
              </w:rPr>
            </w:pPr>
            <w:r w:rsidRPr="00076B84">
              <w:rPr>
                <w:color w:val="000000"/>
                <w:sz w:val="22"/>
                <w:szCs w:val="22"/>
              </w:rPr>
              <w:t>Factor</w:t>
            </w:r>
          </w:p>
        </w:tc>
        <w:tc>
          <w:tcPr>
            <w:tcW w:w="1189" w:type="dxa"/>
            <w:tcBorders>
              <w:top w:val="single" w:sz="4" w:space="0" w:color="auto"/>
              <w:left w:val="nil"/>
              <w:bottom w:val="single" w:sz="4" w:space="0" w:color="auto"/>
              <w:right w:val="nil"/>
            </w:tcBorders>
            <w:shd w:val="clear" w:color="auto" w:fill="auto"/>
            <w:noWrap/>
            <w:vAlign w:val="bottom"/>
            <w:hideMark/>
          </w:tcPr>
          <w:p w14:paraId="60691D77" w14:textId="77777777" w:rsidR="0048099F" w:rsidRPr="00076B84" w:rsidRDefault="001B795A" w:rsidP="0048099F">
            <w:pPr>
              <w:jc w:val="right"/>
              <w:rPr>
                <w:color w:val="000000"/>
                <w:sz w:val="22"/>
                <w:szCs w:val="22"/>
              </w:rPr>
            </w:pPr>
            <w:r w:rsidRPr="00076B84">
              <w:rPr>
                <w:color w:val="000000"/>
                <w:sz w:val="22"/>
                <w:szCs w:val="22"/>
              </w:rPr>
              <w:t>R</w:t>
            </w:r>
            <w:r w:rsidR="0048099F" w:rsidRPr="00076B84">
              <w:rPr>
                <w:color w:val="000000"/>
                <w:sz w:val="22"/>
                <w:szCs w:val="22"/>
              </w:rPr>
              <w:t>elative</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B9C51D8" w14:textId="77777777" w:rsidR="0048099F" w:rsidRPr="00076B84" w:rsidRDefault="0048099F" w:rsidP="0048099F">
            <w:pPr>
              <w:jc w:val="right"/>
              <w:rPr>
                <w:color w:val="000000"/>
                <w:sz w:val="22"/>
                <w:szCs w:val="22"/>
              </w:rPr>
            </w:pPr>
            <w:r w:rsidRPr="00076B84">
              <w:rPr>
                <w:color w:val="000000"/>
                <w:sz w:val="22"/>
                <w:szCs w:val="22"/>
              </w:rPr>
              <w:t>Total</w:t>
            </w:r>
          </w:p>
        </w:tc>
      </w:tr>
      <w:tr w:rsidR="0048099F" w:rsidRPr="00076B84" w14:paraId="2C156760" w14:textId="77777777" w:rsidTr="00C90272">
        <w:trPr>
          <w:trHeight w:val="20"/>
          <w:jc w:val="center"/>
        </w:trPr>
        <w:tc>
          <w:tcPr>
            <w:tcW w:w="1333" w:type="dxa"/>
            <w:tcBorders>
              <w:top w:val="nil"/>
              <w:left w:val="single" w:sz="4" w:space="0" w:color="auto"/>
              <w:bottom w:val="nil"/>
              <w:right w:val="nil"/>
            </w:tcBorders>
            <w:shd w:val="clear" w:color="auto" w:fill="auto"/>
            <w:noWrap/>
            <w:vAlign w:val="bottom"/>
            <w:hideMark/>
          </w:tcPr>
          <w:p w14:paraId="56EE2765" w14:textId="77777777" w:rsidR="0048099F" w:rsidRPr="00076B84" w:rsidRDefault="0048099F" w:rsidP="0048099F">
            <w:pPr>
              <w:jc w:val="right"/>
              <w:rPr>
                <w:color w:val="000000"/>
                <w:sz w:val="22"/>
                <w:szCs w:val="22"/>
              </w:rPr>
            </w:pPr>
            <w:r w:rsidRPr="00076B84">
              <w:rPr>
                <w:color w:val="000000"/>
                <w:sz w:val="22"/>
                <w:szCs w:val="22"/>
              </w:rPr>
              <w:t>Total</w:t>
            </w:r>
          </w:p>
        </w:tc>
        <w:tc>
          <w:tcPr>
            <w:tcW w:w="1189" w:type="dxa"/>
            <w:tcBorders>
              <w:top w:val="single" w:sz="4" w:space="0" w:color="auto"/>
              <w:left w:val="single" w:sz="4" w:space="0" w:color="auto"/>
              <w:bottom w:val="nil"/>
              <w:right w:val="nil"/>
            </w:tcBorders>
            <w:shd w:val="clear" w:color="auto" w:fill="auto"/>
            <w:noWrap/>
            <w:vAlign w:val="bottom"/>
            <w:hideMark/>
          </w:tcPr>
          <w:p w14:paraId="096A29C8" w14:textId="77777777" w:rsidR="0048099F" w:rsidRPr="00076B84" w:rsidRDefault="0048099F" w:rsidP="0048099F">
            <w:pPr>
              <w:jc w:val="right"/>
              <w:rPr>
                <w:color w:val="000000"/>
                <w:sz w:val="22"/>
                <w:szCs w:val="22"/>
              </w:rPr>
            </w:pPr>
            <w:r w:rsidRPr="00076B84">
              <w:rPr>
                <w:color w:val="000000"/>
                <w:sz w:val="22"/>
                <w:szCs w:val="22"/>
              </w:rPr>
              <w:t>0.349</w:t>
            </w:r>
          </w:p>
        </w:tc>
        <w:tc>
          <w:tcPr>
            <w:tcW w:w="1189" w:type="dxa"/>
            <w:tcBorders>
              <w:top w:val="single" w:sz="4" w:space="0" w:color="auto"/>
              <w:left w:val="nil"/>
              <w:bottom w:val="nil"/>
              <w:right w:val="single" w:sz="4" w:space="0" w:color="auto"/>
            </w:tcBorders>
            <w:shd w:val="clear" w:color="auto" w:fill="auto"/>
            <w:noWrap/>
            <w:vAlign w:val="bottom"/>
            <w:hideMark/>
          </w:tcPr>
          <w:p w14:paraId="48D19A33" w14:textId="77777777" w:rsidR="0048099F" w:rsidRPr="00076B84" w:rsidRDefault="0048099F" w:rsidP="0048099F">
            <w:pPr>
              <w:jc w:val="right"/>
              <w:rPr>
                <w:color w:val="000000"/>
                <w:sz w:val="22"/>
                <w:szCs w:val="22"/>
              </w:rPr>
            </w:pPr>
          </w:p>
        </w:tc>
      </w:tr>
      <w:tr w:rsidR="0048099F" w:rsidRPr="00076B84" w14:paraId="2D65E929" w14:textId="77777777" w:rsidTr="00C90272">
        <w:trPr>
          <w:trHeight w:val="20"/>
          <w:jc w:val="center"/>
        </w:trPr>
        <w:tc>
          <w:tcPr>
            <w:tcW w:w="1333" w:type="dxa"/>
            <w:tcBorders>
              <w:top w:val="nil"/>
              <w:left w:val="single" w:sz="4" w:space="0" w:color="auto"/>
              <w:bottom w:val="single" w:sz="4" w:space="0" w:color="auto"/>
              <w:right w:val="nil"/>
            </w:tcBorders>
            <w:shd w:val="clear" w:color="auto" w:fill="auto"/>
            <w:noWrap/>
            <w:vAlign w:val="bottom"/>
            <w:hideMark/>
          </w:tcPr>
          <w:p w14:paraId="4C2BA757" w14:textId="609F2902" w:rsidR="0048099F" w:rsidRPr="00076B84" w:rsidRDefault="00CE3D71" w:rsidP="0048099F">
            <w:pPr>
              <w:jc w:val="right"/>
              <w:rPr>
                <w:color w:val="000000"/>
                <w:sz w:val="22"/>
                <w:szCs w:val="22"/>
              </w:rPr>
            </w:pPr>
            <w:r w:rsidRPr="00076B84">
              <w:rPr>
                <w:color w:val="000000"/>
                <w:sz w:val="22"/>
                <w:szCs w:val="22"/>
                <w:lang w:val="en-US"/>
              </w:rPr>
              <w:t>J</w:t>
            </w:r>
            <w:r w:rsidRPr="00076B84">
              <w:rPr>
                <w:color w:val="000000"/>
                <w:sz w:val="22"/>
                <w:szCs w:val="22"/>
              </w:rPr>
              <w:t>ournal</w:t>
            </w:r>
          </w:p>
        </w:tc>
        <w:tc>
          <w:tcPr>
            <w:tcW w:w="1189" w:type="dxa"/>
            <w:tcBorders>
              <w:top w:val="nil"/>
              <w:left w:val="single" w:sz="4" w:space="0" w:color="auto"/>
              <w:bottom w:val="single" w:sz="4" w:space="0" w:color="auto"/>
              <w:right w:val="nil"/>
            </w:tcBorders>
            <w:shd w:val="clear" w:color="auto" w:fill="auto"/>
            <w:noWrap/>
            <w:vAlign w:val="bottom"/>
            <w:hideMark/>
          </w:tcPr>
          <w:p w14:paraId="41BF89CD" w14:textId="77777777" w:rsidR="0048099F" w:rsidRPr="00076B84" w:rsidRDefault="0048099F" w:rsidP="0048099F">
            <w:pPr>
              <w:jc w:val="right"/>
              <w:rPr>
                <w:color w:val="000000"/>
                <w:sz w:val="22"/>
                <w:szCs w:val="22"/>
              </w:rPr>
            </w:pPr>
            <w:r w:rsidRPr="00076B84">
              <w:rPr>
                <w:color w:val="000000"/>
                <w:sz w:val="22"/>
                <w:szCs w:val="22"/>
              </w:rPr>
              <w:t>0.463</w:t>
            </w:r>
          </w:p>
        </w:tc>
        <w:tc>
          <w:tcPr>
            <w:tcW w:w="1189" w:type="dxa"/>
            <w:tcBorders>
              <w:top w:val="nil"/>
              <w:left w:val="nil"/>
              <w:bottom w:val="single" w:sz="4" w:space="0" w:color="auto"/>
              <w:right w:val="single" w:sz="4" w:space="0" w:color="auto"/>
            </w:tcBorders>
            <w:shd w:val="clear" w:color="auto" w:fill="auto"/>
            <w:noWrap/>
            <w:vAlign w:val="bottom"/>
            <w:hideMark/>
          </w:tcPr>
          <w:p w14:paraId="6C16451A" w14:textId="77777777" w:rsidR="0048099F" w:rsidRPr="00076B84" w:rsidRDefault="0048099F" w:rsidP="0048099F">
            <w:pPr>
              <w:jc w:val="right"/>
              <w:rPr>
                <w:color w:val="000000"/>
                <w:sz w:val="22"/>
                <w:szCs w:val="22"/>
              </w:rPr>
            </w:pPr>
            <w:r w:rsidRPr="00076B84">
              <w:rPr>
                <w:color w:val="000000"/>
                <w:sz w:val="22"/>
                <w:szCs w:val="22"/>
              </w:rPr>
              <w:t>0.162</w:t>
            </w:r>
          </w:p>
        </w:tc>
      </w:tr>
    </w:tbl>
    <w:p w14:paraId="39AEA755" w14:textId="77777777" w:rsidR="0048099F" w:rsidRPr="00076B84" w:rsidRDefault="0048099F" w:rsidP="0048099F"/>
    <w:p w14:paraId="7C562EC2" w14:textId="0EC02283" w:rsidR="0048099F" w:rsidRPr="00076B84" w:rsidRDefault="0048099F" w:rsidP="0048099F">
      <w:r w:rsidRPr="00076B84">
        <w:t xml:space="preserve">For further validating the approach, we used the same method on two other datasets, and this resulted in the same three components, which suggest that the approach is robust. The advantage of using the underlying factors to measure performance and reputation over using single indicators </w:t>
      </w:r>
      <w:r w:rsidR="00964937">
        <w:rPr>
          <w:lang w:val="en-US"/>
        </w:rPr>
        <w:t>seems</w:t>
      </w:r>
      <w:r w:rsidR="00964937" w:rsidRPr="00076B84">
        <w:t xml:space="preserve"> </w:t>
      </w:r>
      <w:r w:rsidRPr="00076B84">
        <w:t>clear: the stability and reliability of the measurement is strongly improved.</w:t>
      </w:r>
    </w:p>
    <w:p w14:paraId="114CC23D" w14:textId="77777777" w:rsidR="0048099F" w:rsidRPr="00076B84" w:rsidRDefault="0048099F" w:rsidP="0048099F"/>
    <w:p w14:paraId="61FB6FA2" w14:textId="36723A51" w:rsidR="00E65AA3" w:rsidRPr="00076B84" w:rsidRDefault="00964937" w:rsidP="0048099F">
      <w:r>
        <w:rPr>
          <w:lang w:val="en-US"/>
        </w:rPr>
        <w:t>One of the other two datasets had</w:t>
      </w:r>
      <w:r w:rsidR="008D7159" w:rsidRPr="00076B84">
        <w:t xml:space="preserve"> a similar size, also covering all fields on a somewhat more granular level. </w:t>
      </w:r>
      <w:r w:rsidR="0048099F" w:rsidRPr="00076B84">
        <w:t xml:space="preserve">We again used </w:t>
      </w:r>
      <w:r w:rsidR="0048099F" w:rsidRPr="00076B84">
        <w:rPr>
          <w:i/>
        </w:rPr>
        <w:t>Scopus</w:t>
      </w:r>
      <w:r w:rsidR="0048099F" w:rsidRPr="00076B84">
        <w:t xml:space="preserve"> data, and the bibliometric indicators available in </w:t>
      </w:r>
      <w:r w:rsidR="0048099F" w:rsidRPr="00076B84">
        <w:rPr>
          <w:i/>
        </w:rPr>
        <w:t>Scival</w:t>
      </w:r>
      <w:r w:rsidR="0048099F" w:rsidRPr="00076B84">
        <w:t xml:space="preserve">. We won’t discuss here the details of those indicators, as we are </w:t>
      </w:r>
      <w:r w:rsidR="008D7159" w:rsidRPr="00076B84">
        <w:t>particularly</w:t>
      </w:r>
      <w:r w:rsidR="0048099F" w:rsidRPr="00076B84">
        <w:t xml:space="preserve"> interested in the underlying quality dimension. We included </w:t>
      </w:r>
      <w:r w:rsidR="008D7159" w:rsidRPr="00076B84">
        <w:t xml:space="preserve">now </w:t>
      </w:r>
      <w:r w:rsidR="0048099F" w:rsidRPr="00076B84">
        <w:t xml:space="preserve">fifteen bibliometric indicators, </w:t>
      </w:r>
      <w:r w:rsidR="008D7159" w:rsidRPr="00076B84">
        <w:t>so also the non-fractional counts of citations and publications. This resulted again in a three</w:t>
      </w:r>
      <w:r w:rsidR="00EE4774" w:rsidRPr="00076B84">
        <w:t>-</w:t>
      </w:r>
      <w:r w:rsidR="008D7159" w:rsidRPr="00076B84">
        <w:t xml:space="preserve">factor solution, </w:t>
      </w:r>
      <w:r w:rsidR="00BB6ED4" w:rsidRPr="00076B84">
        <w:t>with a similar structure</w:t>
      </w:r>
      <w:r w:rsidR="00EE4774" w:rsidRPr="00076B84">
        <w:t xml:space="preserve"> (Table </w:t>
      </w:r>
      <w:r>
        <w:rPr>
          <w:lang w:val="en-US"/>
        </w:rPr>
        <w:t>5</w:t>
      </w:r>
      <w:r w:rsidR="00EE4774" w:rsidRPr="00076B84">
        <w:t>)</w:t>
      </w:r>
      <w:r w:rsidR="00BB6ED4" w:rsidRPr="00076B84">
        <w:t>. Not</w:t>
      </w:r>
      <w:r w:rsidR="001F5D18" w:rsidRPr="00076B84">
        <w:t>e</w:t>
      </w:r>
      <w:r w:rsidR="00BB6ED4" w:rsidRPr="00076B84">
        <w:t xml:space="preserve"> that the total impact factor is now the first one, as it consists of much more indicators than in the previous example.</w:t>
      </w:r>
      <w:r w:rsidR="00E65AA3" w:rsidRPr="00076B84">
        <w:t xml:space="preserve"> </w:t>
      </w:r>
    </w:p>
    <w:p w14:paraId="5F2A14BE" w14:textId="77777777" w:rsidR="00E65AA3" w:rsidRPr="00076B84" w:rsidRDefault="00E65AA3" w:rsidP="0048099F"/>
    <w:p w14:paraId="2AC61D39" w14:textId="77777777" w:rsidR="00EE4774" w:rsidRPr="00076B84" w:rsidRDefault="00EE4774" w:rsidP="00EE4774">
      <w:r w:rsidRPr="00076B84">
        <w:t>The following factors were found:</w:t>
      </w:r>
    </w:p>
    <w:p w14:paraId="0D5BE382" w14:textId="77777777" w:rsidR="00EE4774" w:rsidRPr="00076B84" w:rsidRDefault="00EE4774" w:rsidP="00EE4774">
      <w:pPr>
        <w:pStyle w:val="ListParagraph"/>
        <w:numPr>
          <w:ilvl w:val="0"/>
          <w:numId w:val="2"/>
        </w:numPr>
        <w:spacing w:after="0" w:line="240" w:lineRule="auto"/>
        <w:rPr>
          <w:rFonts w:ascii="Times New Roman" w:hAnsi="Times New Roman" w:cs="Times New Roman"/>
          <w:sz w:val="24"/>
        </w:rPr>
      </w:pPr>
      <w:r w:rsidRPr="00076B84">
        <w:rPr>
          <w:rFonts w:ascii="Times New Roman" w:hAnsi="Times New Roman" w:cs="Times New Roman"/>
          <w:sz w:val="24"/>
        </w:rPr>
        <w:t xml:space="preserve">Firstly, the </w:t>
      </w:r>
      <w:r w:rsidRPr="00076B84">
        <w:rPr>
          <w:rFonts w:ascii="Times New Roman" w:hAnsi="Times New Roman" w:cs="Times New Roman"/>
          <w:i/>
          <w:sz w:val="24"/>
        </w:rPr>
        <w:t>total impact</w:t>
      </w:r>
      <w:r w:rsidRPr="00076B84">
        <w:rPr>
          <w:rFonts w:ascii="Times New Roman" w:hAnsi="Times New Roman" w:cs="Times New Roman"/>
          <w:sz w:val="24"/>
        </w:rPr>
        <w:t xml:space="preserve"> factor, and the following items loaded high on this component: Publications (total), Publications (fractionally counted), Citations (total), Citations (fractionally counted), Sum of the FWCI (Field Weighted Citation Impact), and several fractional and full counts of top 10 highly cited papers. The Cronbach alpha of this scale is very high: 0.957. </w:t>
      </w:r>
    </w:p>
    <w:p w14:paraId="1933B6DD" w14:textId="354A4E81" w:rsidR="00EE4774" w:rsidRPr="00076B84" w:rsidRDefault="00EE4774" w:rsidP="00EE4774">
      <w:pPr>
        <w:pStyle w:val="ListParagraph"/>
        <w:numPr>
          <w:ilvl w:val="0"/>
          <w:numId w:val="2"/>
        </w:numPr>
        <w:spacing w:after="0" w:line="240" w:lineRule="auto"/>
        <w:rPr>
          <w:rFonts w:ascii="Times New Roman" w:hAnsi="Times New Roman" w:cs="Times New Roman"/>
          <w:sz w:val="24"/>
        </w:rPr>
      </w:pPr>
      <w:r w:rsidRPr="00076B84">
        <w:rPr>
          <w:rFonts w:ascii="Times New Roman" w:hAnsi="Times New Roman" w:cs="Times New Roman"/>
          <w:sz w:val="24"/>
        </w:rPr>
        <w:t xml:space="preserve">The second factor is </w:t>
      </w:r>
      <w:r w:rsidRPr="00076B84">
        <w:rPr>
          <w:rFonts w:ascii="Times New Roman" w:hAnsi="Times New Roman" w:cs="Times New Roman"/>
          <w:i/>
          <w:sz w:val="24"/>
        </w:rPr>
        <w:t>journal impact</w:t>
      </w:r>
      <w:r w:rsidRPr="00076B84">
        <w:rPr>
          <w:rFonts w:ascii="Times New Roman" w:hAnsi="Times New Roman" w:cs="Times New Roman"/>
          <w:sz w:val="24"/>
        </w:rPr>
        <w:t xml:space="preserve">, and on this component the SNIP, SJR and the </w:t>
      </w:r>
      <w:proofErr w:type="spellStart"/>
      <w:r w:rsidRPr="00076B84">
        <w:rPr>
          <w:rFonts w:ascii="Times New Roman" w:hAnsi="Times New Roman" w:cs="Times New Roman"/>
          <w:sz w:val="24"/>
        </w:rPr>
        <w:t>Cite</w:t>
      </w:r>
      <w:r w:rsidR="00AE53D4" w:rsidRPr="00076B84">
        <w:rPr>
          <w:rFonts w:ascii="Times New Roman" w:hAnsi="Times New Roman" w:cs="Times New Roman"/>
          <w:sz w:val="24"/>
        </w:rPr>
        <w:t>S</w:t>
      </w:r>
      <w:r w:rsidRPr="00076B84">
        <w:rPr>
          <w:rFonts w:ascii="Times New Roman" w:hAnsi="Times New Roman" w:cs="Times New Roman"/>
          <w:sz w:val="24"/>
        </w:rPr>
        <w:t>core</w:t>
      </w:r>
      <w:proofErr w:type="spellEnd"/>
      <w:r w:rsidRPr="00076B84">
        <w:rPr>
          <w:rFonts w:ascii="Times New Roman" w:hAnsi="Times New Roman" w:cs="Times New Roman"/>
          <w:sz w:val="24"/>
        </w:rPr>
        <w:t xml:space="preserve"> loaded. The related Cronbach alpha is also very high: 0.933.</w:t>
      </w:r>
    </w:p>
    <w:p w14:paraId="6FFAFE72" w14:textId="77777777" w:rsidR="00EE4774" w:rsidRPr="00076B84" w:rsidRDefault="00EE4774" w:rsidP="00EE4774">
      <w:pPr>
        <w:pStyle w:val="ListParagraph"/>
        <w:numPr>
          <w:ilvl w:val="0"/>
          <w:numId w:val="2"/>
        </w:numPr>
        <w:spacing w:after="0" w:line="240" w:lineRule="auto"/>
        <w:rPr>
          <w:rFonts w:ascii="Times New Roman" w:hAnsi="Times New Roman" w:cs="Times New Roman"/>
          <w:sz w:val="24"/>
        </w:rPr>
      </w:pPr>
      <w:r w:rsidRPr="00076B84">
        <w:rPr>
          <w:rFonts w:ascii="Times New Roman" w:hAnsi="Times New Roman" w:cs="Times New Roman"/>
          <w:sz w:val="24"/>
        </w:rPr>
        <w:t xml:space="preserve">The third factor is </w:t>
      </w:r>
      <w:r w:rsidRPr="00076B84">
        <w:rPr>
          <w:rFonts w:ascii="Times New Roman" w:hAnsi="Times New Roman" w:cs="Times New Roman"/>
          <w:i/>
          <w:sz w:val="24"/>
        </w:rPr>
        <w:t>relative impact</w:t>
      </w:r>
      <w:r w:rsidRPr="00076B84">
        <w:rPr>
          <w:rFonts w:ascii="Times New Roman" w:hAnsi="Times New Roman" w:cs="Times New Roman"/>
          <w:sz w:val="24"/>
        </w:rPr>
        <w:t>, with the items that represent the relative indicators like ‘share of top 10% highly cited papers’, C/P (average citations per publication), average FWCI.  The Cronbach alpha of this scale is 0.924.</w:t>
      </w:r>
    </w:p>
    <w:p w14:paraId="2443D6B3" w14:textId="77777777" w:rsidR="0048099F" w:rsidRPr="00076B84" w:rsidRDefault="0048099F" w:rsidP="0048099F"/>
    <w:p w14:paraId="599069E4" w14:textId="4A3B1C48" w:rsidR="00EE4774" w:rsidRPr="00076B84" w:rsidRDefault="00CE3D71" w:rsidP="0048099F">
      <w:r w:rsidRPr="00076B84">
        <w:t xml:space="preserve">The correlations between component 1 and component 2 are small. Both component 1 and 2 correlate moderately strong but negative with component 3 (Table </w:t>
      </w:r>
      <w:r w:rsidRPr="00076B84">
        <w:rPr>
          <w:lang w:val="en-US"/>
        </w:rPr>
        <w:t>5</w:t>
      </w:r>
      <w:r w:rsidRPr="00076B84">
        <w:t xml:space="preserve">). This indicates that those with a high relative impact (so with among their papers many highly cited ones) have only a small oeuvre with a lower absolute impact. </w:t>
      </w:r>
    </w:p>
    <w:p w14:paraId="2F3EC855" w14:textId="77777777" w:rsidR="00CE3D71" w:rsidRPr="00076B84" w:rsidRDefault="00CE3D71" w:rsidP="00CE3D71">
      <w:r w:rsidRPr="00076B84">
        <w:rPr>
          <w:color w:val="010205"/>
        </w:rPr>
        <w:t xml:space="preserve">We also </w:t>
      </w:r>
      <w:r w:rsidRPr="00076B84">
        <w:t xml:space="preserve">tested whether the large first component does have a strong influence on the factor structure, and we therefore reran the PCA with only four out of the eight items like in the first </w:t>
      </w:r>
      <w:r w:rsidRPr="00076B84">
        <w:lastRenderedPageBreak/>
        <w:t xml:space="preserve">example above: only the fractional counted indicators were included. As in the first example, this did not change the factor structure. </w:t>
      </w:r>
    </w:p>
    <w:p w14:paraId="3F2CFA9A" w14:textId="39CBB0D9" w:rsidR="00EE4774" w:rsidRPr="00076B84" w:rsidRDefault="00CE3D71" w:rsidP="0048099F">
      <w:r w:rsidRPr="00076B84">
        <w:t>The factor scores were saved using ‘regression’ and the three resulting dimensions are included as past performance measures in studies we did (e.g., Van den Besselaar &amp; Mom, forthcoming</w:t>
      </w:r>
      <w:r w:rsidR="00964937">
        <w:rPr>
          <w:lang w:val="en-US"/>
        </w:rPr>
        <w:t>; see also Table 3</w:t>
      </w:r>
      <w:r w:rsidRPr="00076B84">
        <w:t>).</w:t>
      </w:r>
    </w:p>
    <w:p w14:paraId="3B96AF4D" w14:textId="77777777" w:rsidR="00EE4774" w:rsidRPr="00076B84" w:rsidRDefault="00EE4774" w:rsidP="0048099F"/>
    <w:p w14:paraId="1ECFF025" w14:textId="54E0F3EE" w:rsidR="0048099F" w:rsidRPr="00F47500" w:rsidRDefault="0048099F" w:rsidP="008D7159">
      <w:pPr>
        <w:ind w:left="720" w:firstLine="720"/>
        <w:rPr>
          <w:sz w:val="22"/>
          <w:szCs w:val="22"/>
        </w:rPr>
      </w:pPr>
      <w:r w:rsidRPr="00F47500">
        <w:rPr>
          <w:b/>
          <w:bCs/>
          <w:sz w:val="22"/>
          <w:szCs w:val="22"/>
        </w:rPr>
        <w:t xml:space="preserve">Table </w:t>
      </w:r>
      <w:r w:rsidR="00964937">
        <w:rPr>
          <w:b/>
          <w:bCs/>
          <w:sz w:val="22"/>
          <w:szCs w:val="22"/>
          <w:lang w:val="en-US"/>
        </w:rPr>
        <w:t>5</w:t>
      </w:r>
      <w:r w:rsidR="008D7159" w:rsidRPr="00F47500">
        <w:rPr>
          <w:b/>
          <w:bCs/>
          <w:sz w:val="22"/>
          <w:szCs w:val="22"/>
        </w:rPr>
        <w:t>.</w:t>
      </w:r>
      <w:r w:rsidRPr="00F47500">
        <w:rPr>
          <w:sz w:val="22"/>
          <w:szCs w:val="22"/>
        </w:rPr>
        <w:t xml:space="preserve"> </w:t>
      </w:r>
      <w:r w:rsidR="008D7159" w:rsidRPr="00F47500">
        <w:rPr>
          <w:color w:val="000000"/>
          <w:sz w:val="22"/>
          <w:szCs w:val="22"/>
        </w:rPr>
        <w:t>The bibliometric performance indicators.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8"/>
        <w:gridCol w:w="1334"/>
        <w:gridCol w:w="1518"/>
        <w:gridCol w:w="1603"/>
      </w:tblGrid>
      <w:tr w:rsidR="0048099F" w:rsidRPr="00076B84" w14:paraId="02F9D0D8" w14:textId="77777777" w:rsidTr="008D7159">
        <w:trPr>
          <w:jc w:val="center"/>
        </w:trPr>
        <w:tc>
          <w:tcPr>
            <w:tcW w:w="0" w:type="auto"/>
            <w:tcBorders>
              <w:top w:val="single" w:sz="4" w:space="0" w:color="auto"/>
              <w:bottom w:val="nil"/>
              <w:right w:val="single" w:sz="4" w:space="0" w:color="auto"/>
            </w:tcBorders>
            <w:shd w:val="clear" w:color="auto" w:fill="auto"/>
            <w:noWrap/>
            <w:vAlign w:val="bottom"/>
            <w:hideMark/>
          </w:tcPr>
          <w:p w14:paraId="2A3C86BF" w14:textId="77777777" w:rsidR="0048099F" w:rsidRPr="00076B84" w:rsidRDefault="0048099F" w:rsidP="0048099F">
            <w:pPr>
              <w:rPr>
                <w:color w:val="000000"/>
                <w:sz w:val="22"/>
                <w:szCs w:val="22"/>
              </w:rPr>
            </w:pPr>
            <w:r w:rsidRPr="00076B84">
              <w:rPr>
                <w:color w:val="000000"/>
                <w:sz w:val="22"/>
                <w:szCs w:val="22"/>
              </w:rPr>
              <w:t xml:space="preserve">Pattern </w:t>
            </w:r>
            <w:r w:rsidR="008D7159" w:rsidRPr="00076B84">
              <w:rPr>
                <w:color w:val="000000"/>
                <w:sz w:val="22"/>
                <w:szCs w:val="22"/>
              </w:rPr>
              <w:t>m</w:t>
            </w:r>
            <w:r w:rsidRPr="00076B84">
              <w:rPr>
                <w:color w:val="000000"/>
                <w:sz w:val="22"/>
                <w:szCs w:val="22"/>
              </w:rPr>
              <w:t>atrix</w:t>
            </w:r>
          </w:p>
        </w:tc>
        <w:tc>
          <w:tcPr>
            <w:tcW w:w="0" w:type="auto"/>
            <w:vMerge w:val="restart"/>
            <w:tcBorders>
              <w:top w:val="single" w:sz="4" w:space="0" w:color="auto"/>
              <w:left w:val="single" w:sz="4" w:space="0" w:color="auto"/>
            </w:tcBorders>
            <w:shd w:val="clear" w:color="auto" w:fill="auto"/>
            <w:noWrap/>
            <w:vAlign w:val="bottom"/>
            <w:hideMark/>
          </w:tcPr>
          <w:p w14:paraId="6F0A15EA" w14:textId="77777777" w:rsidR="0048099F" w:rsidRPr="00076B84" w:rsidRDefault="008D7159" w:rsidP="0048099F">
            <w:pPr>
              <w:jc w:val="center"/>
              <w:rPr>
                <w:color w:val="000000"/>
                <w:sz w:val="22"/>
                <w:szCs w:val="22"/>
              </w:rPr>
            </w:pPr>
            <w:r w:rsidRPr="00076B84">
              <w:rPr>
                <w:color w:val="000000"/>
                <w:sz w:val="22"/>
                <w:szCs w:val="22"/>
              </w:rPr>
              <w:t>Total</w:t>
            </w:r>
            <w:r w:rsidR="0048099F" w:rsidRPr="00076B84">
              <w:rPr>
                <w:color w:val="000000"/>
                <w:sz w:val="22"/>
                <w:szCs w:val="22"/>
              </w:rPr>
              <w:t xml:space="preserve"> impact</w:t>
            </w:r>
          </w:p>
        </w:tc>
        <w:tc>
          <w:tcPr>
            <w:tcW w:w="0" w:type="auto"/>
            <w:vMerge w:val="restart"/>
            <w:tcBorders>
              <w:top w:val="single" w:sz="4" w:space="0" w:color="auto"/>
            </w:tcBorders>
            <w:shd w:val="clear" w:color="auto" w:fill="auto"/>
            <w:noWrap/>
            <w:vAlign w:val="bottom"/>
            <w:hideMark/>
          </w:tcPr>
          <w:p w14:paraId="70F7AB9D" w14:textId="77777777" w:rsidR="0048099F" w:rsidRPr="00076B84" w:rsidRDefault="0048099F" w:rsidP="0048099F">
            <w:pPr>
              <w:jc w:val="center"/>
              <w:rPr>
                <w:color w:val="000000"/>
                <w:sz w:val="22"/>
                <w:szCs w:val="22"/>
              </w:rPr>
            </w:pPr>
            <w:r w:rsidRPr="00076B84">
              <w:rPr>
                <w:color w:val="000000"/>
                <w:sz w:val="22"/>
                <w:szCs w:val="22"/>
              </w:rPr>
              <w:t>Journal impact</w:t>
            </w:r>
          </w:p>
        </w:tc>
        <w:tc>
          <w:tcPr>
            <w:tcW w:w="0" w:type="auto"/>
            <w:vMerge w:val="restart"/>
            <w:tcBorders>
              <w:top w:val="single" w:sz="4" w:space="0" w:color="auto"/>
            </w:tcBorders>
            <w:shd w:val="clear" w:color="auto" w:fill="auto"/>
            <w:noWrap/>
            <w:vAlign w:val="bottom"/>
            <w:hideMark/>
          </w:tcPr>
          <w:p w14:paraId="687F9EBE" w14:textId="77777777" w:rsidR="0048099F" w:rsidRPr="00076B84" w:rsidRDefault="0048099F" w:rsidP="0048099F">
            <w:pPr>
              <w:jc w:val="center"/>
              <w:rPr>
                <w:sz w:val="22"/>
                <w:szCs w:val="22"/>
              </w:rPr>
            </w:pPr>
            <w:r w:rsidRPr="00076B84">
              <w:rPr>
                <w:color w:val="000000"/>
                <w:sz w:val="22"/>
                <w:szCs w:val="22"/>
              </w:rPr>
              <w:t>Relative impact</w:t>
            </w:r>
          </w:p>
        </w:tc>
      </w:tr>
      <w:tr w:rsidR="0048099F" w:rsidRPr="00076B84" w14:paraId="03C9041A" w14:textId="77777777" w:rsidTr="008D7159">
        <w:trPr>
          <w:jc w:val="center"/>
        </w:trPr>
        <w:tc>
          <w:tcPr>
            <w:tcW w:w="0" w:type="auto"/>
            <w:tcBorders>
              <w:top w:val="nil"/>
              <w:bottom w:val="single" w:sz="4" w:space="0" w:color="auto"/>
              <w:right w:val="single" w:sz="4" w:space="0" w:color="auto"/>
            </w:tcBorders>
            <w:shd w:val="clear" w:color="auto" w:fill="auto"/>
            <w:noWrap/>
            <w:vAlign w:val="bottom"/>
            <w:hideMark/>
          </w:tcPr>
          <w:p w14:paraId="44CD9E93" w14:textId="77777777" w:rsidR="0048099F" w:rsidRPr="00076B84" w:rsidRDefault="0048099F" w:rsidP="0048099F">
            <w:pPr>
              <w:rPr>
                <w:sz w:val="22"/>
                <w:szCs w:val="22"/>
              </w:rPr>
            </w:pPr>
          </w:p>
        </w:tc>
        <w:tc>
          <w:tcPr>
            <w:tcW w:w="0" w:type="auto"/>
            <w:vMerge/>
            <w:tcBorders>
              <w:left w:val="single" w:sz="4" w:space="0" w:color="auto"/>
              <w:bottom w:val="single" w:sz="4" w:space="0" w:color="auto"/>
            </w:tcBorders>
            <w:shd w:val="clear" w:color="auto" w:fill="auto"/>
            <w:noWrap/>
            <w:vAlign w:val="bottom"/>
            <w:hideMark/>
          </w:tcPr>
          <w:p w14:paraId="1F493869" w14:textId="77777777" w:rsidR="0048099F" w:rsidRPr="00076B84" w:rsidRDefault="0048099F" w:rsidP="0048099F">
            <w:pPr>
              <w:jc w:val="center"/>
              <w:rPr>
                <w:color w:val="000000"/>
                <w:sz w:val="22"/>
                <w:szCs w:val="22"/>
              </w:rPr>
            </w:pPr>
          </w:p>
        </w:tc>
        <w:tc>
          <w:tcPr>
            <w:tcW w:w="0" w:type="auto"/>
            <w:vMerge/>
            <w:tcBorders>
              <w:bottom w:val="single" w:sz="4" w:space="0" w:color="auto"/>
            </w:tcBorders>
            <w:shd w:val="clear" w:color="auto" w:fill="auto"/>
            <w:noWrap/>
            <w:vAlign w:val="bottom"/>
            <w:hideMark/>
          </w:tcPr>
          <w:p w14:paraId="5705D7CE" w14:textId="77777777" w:rsidR="0048099F" w:rsidRPr="00076B84" w:rsidRDefault="0048099F" w:rsidP="0048099F">
            <w:pPr>
              <w:jc w:val="center"/>
              <w:rPr>
                <w:color w:val="000000"/>
                <w:sz w:val="22"/>
                <w:szCs w:val="22"/>
              </w:rPr>
            </w:pPr>
          </w:p>
        </w:tc>
        <w:tc>
          <w:tcPr>
            <w:tcW w:w="2162" w:type="dxa"/>
            <w:vMerge/>
            <w:tcBorders>
              <w:bottom w:val="single" w:sz="4" w:space="0" w:color="auto"/>
            </w:tcBorders>
            <w:shd w:val="clear" w:color="auto" w:fill="auto"/>
            <w:noWrap/>
            <w:vAlign w:val="bottom"/>
            <w:hideMark/>
          </w:tcPr>
          <w:p w14:paraId="1634D481" w14:textId="77777777" w:rsidR="0048099F" w:rsidRPr="00076B84" w:rsidRDefault="0048099F" w:rsidP="0048099F">
            <w:pPr>
              <w:jc w:val="center"/>
              <w:rPr>
                <w:color w:val="000000"/>
                <w:sz w:val="22"/>
                <w:szCs w:val="22"/>
              </w:rPr>
            </w:pPr>
          </w:p>
        </w:tc>
      </w:tr>
      <w:tr w:rsidR="0048099F" w:rsidRPr="00076B84" w14:paraId="61BD85D6" w14:textId="77777777" w:rsidTr="008D7159">
        <w:trPr>
          <w:jc w:val="center"/>
        </w:trPr>
        <w:tc>
          <w:tcPr>
            <w:tcW w:w="0" w:type="auto"/>
            <w:tcBorders>
              <w:top w:val="single" w:sz="4" w:space="0" w:color="auto"/>
              <w:right w:val="single" w:sz="4" w:space="0" w:color="auto"/>
            </w:tcBorders>
            <w:shd w:val="clear" w:color="auto" w:fill="auto"/>
            <w:noWrap/>
            <w:vAlign w:val="bottom"/>
            <w:hideMark/>
          </w:tcPr>
          <w:p w14:paraId="51AF0581" w14:textId="77777777" w:rsidR="0048099F" w:rsidRPr="00076B84" w:rsidRDefault="0048099F" w:rsidP="0048099F">
            <w:pPr>
              <w:rPr>
                <w:color w:val="000000"/>
                <w:sz w:val="22"/>
                <w:szCs w:val="22"/>
              </w:rPr>
            </w:pPr>
            <w:r w:rsidRPr="00076B84">
              <w:rPr>
                <w:color w:val="000000"/>
                <w:sz w:val="22"/>
                <w:szCs w:val="22"/>
              </w:rPr>
              <w:t xml:space="preserve">P* </w:t>
            </w:r>
          </w:p>
        </w:tc>
        <w:tc>
          <w:tcPr>
            <w:tcW w:w="0" w:type="auto"/>
            <w:tcBorders>
              <w:top w:val="single" w:sz="4" w:space="0" w:color="auto"/>
              <w:left w:val="single" w:sz="4" w:space="0" w:color="auto"/>
            </w:tcBorders>
            <w:shd w:val="clear" w:color="auto" w:fill="auto"/>
            <w:noWrap/>
            <w:vAlign w:val="bottom"/>
            <w:hideMark/>
          </w:tcPr>
          <w:p w14:paraId="4272F836" w14:textId="77777777" w:rsidR="0048099F" w:rsidRPr="00076B84" w:rsidRDefault="0048099F" w:rsidP="0048099F">
            <w:pPr>
              <w:jc w:val="center"/>
              <w:rPr>
                <w:color w:val="000000"/>
                <w:sz w:val="22"/>
                <w:szCs w:val="22"/>
              </w:rPr>
            </w:pPr>
            <w:r w:rsidRPr="00076B84">
              <w:rPr>
                <w:color w:val="000000"/>
                <w:sz w:val="22"/>
                <w:szCs w:val="22"/>
              </w:rPr>
              <w:t>0.994</w:t>
            </w:r>
          </w:p>
        </w:tc>
        <w:tc>
          <w:tcPr>
            <w:tcW w:w="0" w:type="auto"/>
            <w:tcBorders>
              <w:top w:val="single" w:sz="4" w:space="0" w:color="auto"/>
            </w:tcBorders>
            <w:shd w:val="clear" w:color="auto" w:fill="auto"/>
            <w:noWrap/>
            <w:vAlign w:val="bottom"/>
            <w:hideMark/>
          </w:tcPr>
          <w:p w14:paraId="4FA8FAFF" w14:textId="77777777" w:rsidR="0048099F" w:rsidRPr="00076B84" w:rsidRDefault="0048099F" w:rsidP="0048099F">
            <w:pPr>
              <w:jc w:val="center"/>
              <w:rPr>
                <w:color w:val="000000"/>
                <w:sz w:val="22"/>
                <w:szCs w:val="22"/>
              </w:rPr>
            </w:pPr>
          </w:p>
        </w:tc>
        <w:tc>
          <w:tcPr>
            <w:tcW w:w="0" w:type="auto"/>
            <w:tcBorders>
              <w:top w:val="single" w:sz="4" w:space="0" w:color="auto"/>
            </w:tcBorders>
            <w:shd w:val="clear" w:color="auto" w:fill="auto"/>
            <w:noWrap/>
            <w:vAlign w:val="bottom"/>
            <w:hideMark/>
          </w:tcPr>
          <w:p w14:paraId="20B1D823" w14:textId="77777777" w:rsidR="0048099F" w:rsidRPr="00076B84" w:rsidRDefault="0048099F" w:rsidP="0048099F">
            <w:pPr>
              <w:jc w:val="center"/>
              <w:rPr>
                <w:sz w:val="22"/>
                <w:szCs w:val="22"/>
              </w:rPr>
            </w:pPr>
          </w:p>
        </w:tc>
      </w:tr>
      <w:tr w:rsidR="0048099F" w:rsidRPr="00076B84" w14:paraId="6D67B0D8" w14:textId="77777777" w:rsidTr="008D7159">
        <w:trPr>
          <w:jc w:val="center"/>
        </w:trPr>
        <w:tc>
          <w:tcPr>
            <w:tcW w:w="0" w:type="auto"/>
            <w:tcBorders>
              <w:right w:val="single" w:sz="4" w:space="0" w:color="auto"/>
            </w:tcBorders>
            <w:shd w:val="clear" w:color="auto" w:fill="auto"/>
            <w:noWrap/>
            <w:vAlign w:val="bottom"/>
            <w:hideMark/>
          </w:tcPr>
          <w:p w14:paraId="3EC45BC0" w14:textId="77777777" w:rsidR="0048099F" w:rsidRPr="00076B84" w:rsidRDefault="008D7159" w:rsidP="0048099F">
            <w:pPr>
              <w:rPr>
                <w:color w:val="000000"/>
                <w:sz w:val="22"/>
                <w:szCs w:val="22"/>
              </w:rPr>
            </w:pPr>
            <w:r w:rsidRPr="00076B84">
              <w:rPr>
                <w:color w:val="000000"/>
                <w:sz w:val="22"/>
                <w:szCs w:val="22"/>
              </w:rPr>
              <w:t>P frac</w:t>
            </w:r>
          </w:p>
        </w:tc>
        <w:tc>
          <w:tcPr>
            <w:tcW w:w="0" w:type="auto"/>
            <w:tcBorders>
              <w:left w:val="single" w:sz="4" w:space="0" w:color="auto"/>
            </w:tcBorders>
            <w:shd w:val="clear" w:color="auto" w:fill="auto"/>
            <w:noWrap/>
            <w:vAlign w:val="bottom"/>
            <w:hideMark/>
          </w:tcPr>
          <w:p w14:paraId="0E00BC01" w14:textId="77777777" w:rsidR="0048099F" w:rsidRPr="00076B84" w:rsidRDefault="0048099F" w:rsidP="0048099F">
            <w:pPr>
              <w:jc w:val="center"/>
              <w:rPr>
                <w:color w:val="000000"/>
                <w:sz w:val="22"/>
                <w:szCs w:val="22"/>
              </w:rPr>
            </w:pPr>
            <w:r w:rsidRPr="00076B84">
              <w:rPr>
                <w:color w:val="000000"/>
                <w:sz w:val="22"/>
                <w:szCs w:val="22"/>
              </w:rPr>
              <w:t>0.952</w:t>
            </w:r>
          </w:p>
        </w:tc>
        <w:tc>
          <w:tcPr>
            <w:tcW w:w="0" w:type="auto"/>
            <w:shd w:val="clear" w:color="auto" w:fill="auto"/>
            <w:noWrap/>
            <w:vAlign w:val="bottom"/>
            <w:hideMark/>
          </w:tcPr>
          <w:p w14:paraId="4D393161"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262826DD" w14:textId="77777777" w:rsidR="0048099F" w:rsidRPr="00076B84" w:rsidRDefault="0048099F" w:rsidP="0048099F">
            <w:pPr>
              <w:jc w:val="center"/>
              <w:rPr>
                <w:color w:val="000000"/>
                <w:sz w:val="22"/>
                <w:szCs w:val="22"/>
              </w:rPr>
            </w:pPr>
            <w:r w:rsidRPr="00076B84">
              <w:rPr>
                <w:color w:val="000000"/>
                <w:sz w:val="22"/>
                <w:szCs w:val="22"/>
              </w:rPr>
              <w:t>0.376</w:t>
            </w:r>
          </w:p>
        </w:tc>
      </w:tr>
      <w:tr w:rsidR="0048099F" w:rsidRPr="00076B84" w14:paraId="5ADA0759" w14:textId="77777777" w:rsidTr="008D7159">
        <w:trPr>
          <w:jc w:val="center"/>
        </w:trPr>
        <w:tc>
          <w:tcPr>
            <w:tcW w:w="0" w:type="auto"/>
            <w:tcBorders>
              <w:right w:val="single" w:sz="4" w:space="0" w:color="auto"/>
            </w:tcBorders>
            <w:shd w:val="clear" w:color="auto" w:fill="auto"/>
            <w:noWrap/>
            <w:vAlign w:val="bottom"/>
            <w:hideMark/>
          </w:tcPr>
          <w:p w14:paraId="3DF83007" w14:textId="77777777" w:rsidR="0048099F" w:rsidRPr="00076B84" w:rsidRDefault="0048099F" w:rsidP="0048099F">
            <w:pPr>
              <w:rPr>
                <w:color w:val="000000"/>
                <w:sz w:val="22"/>
                <w:szCs w:val="22"/>
              </w:rPr>
            </w:pPr>
            <w:r w:rsidRPr="00076B84">
              <w:rPr>
                <w:color w:val="000000"/>
                <w:sz w:val="22"/>
                <w:szCs w:val="22"/>
              </w:rPr>
              <w:t>P10%</w:t>
            </w:r>
          </w:p>
        </w:tc>
        <w:tc>
          <w:tcPr>
            <w:tcW w:w="0" w:type="auto"/>
            <w:tcBorders>
              <w:left w:val="single" w:sz="4" w:space="0" w:color="auto"/>
            </w:tcBorders>
            <w:shd w:val="clear" w:color="auto" w:fill="auto"/>
            <w:noWrap/>
            <w:vAlign w:val="bottom"/>
            <w:hideMark/>
          </w:tcPr>
          <w:p w14:paraId="75574333" w14:textId="77777777" w:rsidR="0048099F" w:rsidRPr="00076B84" w:rsidRDefault="0048099F" w:rsidP="0048099F">
            <w:pPr>
              <w:jc w:val="center"/>
              <w:rPr>
                <w:color w:val="000000"/>
                <w:sz w:val="22"/>
                <w:szCs w:val="22"/>
              </w:rPr>
            </w:pPr>
            <w:r w:rsidRPr="00076B84">
              <w:rPr>
                <w:color w:val="000000"/>
                <w:sz w:val="22"/>
                <w:szCs w:val="22"/>
              </w:rPr>
              <w:t>0.844</w:t>
            </w:r>
          </w:p>
        </w:tc>
        <w:tc>
          <w:tcPr>
            <w:tcW w:w="0" w:type="auto"/>
            <w:shd w:val="clear" w:color="auto" w:fill="auto"/>
            <w:noWrap/>
            <w:vAlign w:val="bottom"/>
            <w:hideMark/>
          </w:tcPr>
          <w:p w14:paraId="2FB9E062"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08E1D5F7" w14:textId="77777777" w:rsidR="0048099F" w:rsidRPr="00076B84" w:rsidRDefault="0048099F" w:rsidP="0048099F">
            <w:pPr>
              <w:jc w:val="center"/>
              <w:rPr>
                <w:sz w:val="22"/>
                <w:szCs w:val="22"/>
              </w:rPr>
            </w:pPr>
          </w:p>
        </w:tc>
      </w:tr>
      <w:tr w:rsidR="0048099F" w:rsidRPr="00076B84" w14:paraId="6A307C1F" w14:textId="77777777" w:rsidTr="008D7159">
        <w:trPr>
          <w:jc w:val="center"/>
        </w:trPr>
        <w:tc>
          <w:tcPr>
            <w:tcW w:w="0" w:type="auto"/>
            <w:tcBorders>
              <w:right w:val="single" w:sz="4" w:space="0" w:color="auto"/>
            </w:tcBorders>
            <w:shd w:val="clear" w:color="auto" w:fill="auto"/>
            <w:noWrap/>
            <w:vAlign w:val="bottom"/>
            <w:hideMark/>
          </w:tcPr>
          <w:p w14:paraId="7958B805" w14:textId="77777777" w:rsidR="0048099F" w:rsidRPr="00076B84" w:rsidRDefault="0048099F" w:rsidP="0048099F">
            <w:pPr>
              <w:rPr>
                <w:color w:val="000000"/>
                <w:sz w:val="22"/>
                <w:szCs w:val="22"/>
              </w:rPr>
            </w:pPr>
            <w:r w:rsidRPr="00076B84">
              <w:rPr>
                <w:color w:val="000000"/>
                <w:sz w:val="22"/>
                <w:szCs w:val="22"/>
              </w:rPr>
              <w:t>P10% FN</w:t>
            </w:r>
          </w:p>
        </w:tc>
        <w:tc>
          <w:tcPr>
            <w:tcW w:w="0" w:type="auto"/>
            <w:tcBorders>
              <w:left w:val="single" w:sz="4" w:space="0" w:color="auto"/>
            </w:tcBorders>
            <w:shd w:val="clear" w:color="auto" w:fill="auto"/>
            <w:noWrap/>
            <w:vAlign w:val="bottom"/>
            <w:hideMark/>
          </w:tcPr>
          <w:p w14:paraId="5B989E16" w14:textId="77777777" w:rsidR="0048099F" w:rsidRPr="00076B84" w:rsidRDefault="0048099F" w:rsidP="0048099F">
            <w:pPr>
              <w:jc w:val="center"/>
              <w:rPr>
                <w:color w:val="000000"/>
                <w:sz w:val="22"/>
                <w:szCs w:val="22"/>
              </w:rPr>
            </w:pPr>
            <w:r w:rsidRPr="00076B84">
              <w:rPr>
                <w:color w:val="000000"/>
                <w:sz w:val="22"/>
                <w:szCs w:val="22"/>
              </w:rPr>
              <w:t>0.837</w:t>
            </w:r>
          </w:p>
        </w:tc>
        <w:tc>
          <w:tcPr>
            <w:tcW w:w="0" w:type="auto"/>
            <w:shd w:val="clear" w:color="auto" w:fill="auto"/>
            <w:noWrap/>
            <w:vAlign w:val="bottom"/>
            <w:hideMark/>
          </w:tcPr>
          <w:p w14:paraId="08F59F04"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51E21AF1" w14:textId="77777777" w:rsidR="0048099F" w:rsidRPr="00076B84" w:rsidRDefault="0048099F" w:rsidP="0048099F">
            <w:pPr>
              <w:jc w:val="center"/>
              <w:rPr>
                <w:sz w:val="22"/>
                <w:szCs w:val="22"/>
              </w:rPr>
            </w:pPr>
          </w:p>
        </w:tc>
      </w:tr>
      <w:tr w:rsidR="0048099F" w:rsidRPr="00076B84" w14:paraId="73684D31" w14:textId="77777777" w:rsidTr="008D7159">
        <w:trPr>
          <w:jc w:val="center"/>
        </w:trPr>
        <w:tc>
          <w:tcPr>
            <w:tcW w:w="0" w:type="auto"/>
            <w:tcBorders>
              <w:right w:val="single" w:sz="4" w:space="0" w:color="auto"/>
            </w:tcBorders>
            <w:shd w:val="clear" w:color="auto" w:fill="auto"/>
            <w:noWrap/>
            <w:vAlign w:val="bottom"/>
            <w:hideMark/>
          </w:tcPr>
          <w:p w14:paraId="611692AB" w14:textId="77777777" w:rsidR="0048099F" w:rsidRPr="00076B84" w:rsidRDefault="0048099F" w:rsidP="0048099F">
            <w:pPr>
              <w:rPr>
                <w:color w:val="000000"/>
                <w:sz w:val="22"/>
                <w:szCs w:val="22"/>
              </w:rPr>
            </w:pPr>
            <w:r w:rsidRPr="00076B84">
              <w:rPr>
                <w:color w:val="000000"/>
                <w:sz w:val="22"/>
                <w:szCs w:val="22"/>
              </w:rPr>
              <w:t>FWCI</w:t>
            </w:r>
            <w:r w:rsidR="008D7159" w:rsidRPr="00076B84">
              <w:rPr>
                <w:color w:val="000000"/>
                <w:sz w:val="22"/>
                <w:szCs w:val="22"/>
              </w:rPr>
              <w:t xml:space="preserve"> sum</w:t>
            </w:r>
          </w:p>
        </w:tc>
        <w:tc>
          <w:tcPr>
            <w:tcW w:w="0" w:type="auto"/>
            <w:tcBorders>
              <w:left w:val="single" w:sz="4" w:space="0" w:color="auto"/>
            </w:tcBorders>
            <w:shd w:val="clear" w:color="auto" w:fill="auto"/>
            <w:noWrap/>
            <w:vAlign w:val="bottom"/>
            <w:hideMark/>
          </w:tcPr>
          <w:p w14:paraId="3A05890E" w14:textId="77777777" w:rsidR="0048099F" w:rsidRPr="00076B84" w:rsidRDefault="0048099F" w:rsidP="0048099F">
            <w:pPr>
              <w:jc w:val="center"/>
              <w:rPr>
                <w:color w:val="000000"/>
                <w:sz w:val="22"/>
                <w:szCs w:val="22"/>
              </w:rPr>
            </w:pPr>
            <w:r w:rsidRPr="00076B84">
              <w:rPr>
                <w:color w:val="000000"/>
                <w:sz w:val="22"/>
                <w:szCs w:val="22"/>
              </w:rPr>
              <w:t>0.815</w:t>
            </w:r>
          </w:p>
        </w:tc>
        <w:tc>
          <w:tcPr>
            <w:tcW w:w="0" w:type="auto"/>
            <w:shd w:val="clear" w:color="auto" w:fill="auto"/>
            <w:noWrap/>
            <w:vAlign w:val="bottom"/>
            <w:hideMark/>
          </w:tcPr>
          <w:p w14:paraId="0167BD40"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03D3E797" w14:textId="77777777" w:rsidR="0048099F" w:rsidRPr="00076B84" w:rsidRDefault="0048099F" w:rsidP="0048099F">
            <w:pPr>
              <w:jc w:val="center"/>
              <w:rPr>
                <w:sz w:val="22"/>
                <w:szCs w:val="22"/>
              </w:rPr>
            </w:pPr>
          </w:p>
        </w:tc>
      </w:tr>
      <w:tr w:rsidR="0048099F" w:rsidRPr="00076B84" w14:paraId="0B689B56" w14:textId="77777777" w:rsidTr="008D7159">
        <w:trPr>
          <w:jc w:val="center"/>
        </w:trPr>
        <w:tc>
          <w:tcPr>
            <w:tcW w:w="0" w:type="auto"/>
            <w:tcBorders>
              <w:right w:val="single" w:sz="4" w:space="0" w:color="auto"/>
            </w:tcBorders>
            <w:shd w:val="clear" w:color="auto" w:fill="auto"/>
            <w:noWrap/>
            <w:vAlign w:val="bottom"/>
            <w:hideMark/>
          </w:tcPr>
          <w:p w14:paraId="03664520" w14:textId="77777777" w:rsidR="0048099F" w:rsidRPr="00076B84" w:rsidRDefault="0048099F" w:rsidP="0048099F">
            <w:pPr>
              <w:rPr>
                <w:color w:val="000000"/>
                <w:sz w:val="22"/>
                <w:szCs w:val="22"/>
              </w:rPr>
            </w:pPr>
            <w:r w:rsidRPr="00076B84">
              <w:rPr>
                <w:color w:val="000000"/>
                <w:sz w:val="22"/>
                <w:szCs w:val="22"/>
              </w:rPr>
              <w:t>P10% FN</w:t>
            </w:r>
            <w:r w:rsidR="008D7159" w:rsidRPr="00076B84">
              <w:rPr>
                <w:color w:val="000000"/>
                <w:sz w:val="22"/>
                <w:szCs w:val="22"/>
              </w:rPr>
              <w:t xml:space="preserve"> frac</w:t>
            </w:r>
          </w:p>
        </w:tc>
        <w:tc>
          <w:tcPr>
            <w:tcW w:w="0" w:type="auto"/>
            <w:tcBorders>
              <w:left w:val="single" w:sz="4" w:space="0" w:color="auto"/>
            </w:tcBorders>
            <w:shd w:val="clear" w:color="auto" w:fill="auto"/>
            <w:noWrap/>
            <w:vAlign w:val="bottom"/>
            <w:hideMark/>
          </w:tcPr>
          <w:p w14:paraId="05769BA5" w14:textId="77777777" w:rsidR="0048099F" w:rsidRPr="00076B84" w:rsidRDefault="0048099F" w:rsidP="0048099F">
            <w:pPr>
              <w:jc w:val="center"/>
              <w:rPr>
                <w:color w:val="000000"/>
                <w:sz w:val="22"/>
                <w:szCs w:val="22"/>
              </w:rPr>
            </w:pPr>
            <w:r w:rsidRPr="00076B84">
              <w:rPr>
                <w:color w:val="000000"/>
                <w:sz w:val="22"/>
                <w:szCs w:val="22"/>
              </w:rPr>
              <w:t>0.773</w:t>
            </w:r>
          </w:p>
        </w:tc>
        <w:tc>
          <w:tcPr>
            <w:tcW w:w="0" w:type="auto"/>
            <w:shd w:val="clear" w:color="auto" w:fill="auto"/>
            <w:noWrap/>
            <w:vAlign w:val="bottom"/>
            <w:hideMark/>
          </w:tcPr>
          <w:p w14:paraId="323DB334"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04109674" w14:textId="77777777" w:rsidR="0048099F" w:rsidRPr="00076B84" w:rsidRDefault="0048099F" w:rsidP="0048099F">
            <w:pPr>
              <w:jc w:val="center"/>
              <w:rPr>
                <w:sz w:val="22"/>
                <w:szCs w:val="22"/>
              </w:rPr>
            </w:pPr>
          </w:p>
        </w:tc>
      </w:tr>
      <w:tr w:rsidR="0048099F" w:rsidRPr="00076B84" w14:paraId="4E1D91A4" w14:textId="77777777" w:rsidTr="008D7159">
        <w:trPr>
          <w:jc w:val="center"/>
        </w:trPr>
        <w:tc>
          <w:tcPr>
            <w:tcW w:w="0" w:type="auto"/>
            <w:tcBorders>
              <w:right w:val="single" w:sz="4" w:space="0" w:color="auto"/>
            </w:tcBorders>
            <w:shd w:val="clear" w:color="auto" w:fill="auto"/>
            <w:noWrap/>
            <w:vAlign w:val="bottom"/>
            <w:hideMark/>
          </w:tcPr>
          <w:p w14:paraId="471BF8C0" w14:textId="77777777" w:rsidR="0048099F" w:rsidRPr="00076B84" w:rsidRDefault="008D7159" w:rsidP="0048099F">
            <w:pPr>
              <w:rPr>
                <w:color w:val="000000"/>
                <w:sz w:val="22"/>
                <w:szCs w:val="22"/>
              </w:rPr>
            </w:pPr>
            <w:r w:rsidRPr="00076B84">
              <w:rPr>
                <w:color w:val="000000"/>
                <w:sz w:val="22"/>
                <w:szCs w:val="22"/>
              </w:rPr>
              <w:t>C frac</w:t>
            </w:r>
          </w:p>
        </w:tc>
        <w:tc>
          <w:tcPr>
            <w:tcW w:w="0" w:type="auto"/>
            <w:tcBorders>
              <w:left w:val="single" w:sz="4" w:space="0" w:color="auto"/>
            </w:tcBorders>
            <w:shd w:val="clear" w:color="auto" w:fill="auto"/>
            <w:noWrap/>
            <w:vAlign w:val="bottom"/>
            <w:hideMark/>
          </w:tcPr>
          <w:p w14:paraId="1722B4AB" w14:textId="77777777" w:rsidR="0048099F" w:rsidRPr="00076B84" w:rsidRDefault="0048099F" w:rsidP="0048099F">
            <w:pPr>
              <w:jc w:val="center"/>
              <w:rPr>
                <w:color w:val="000000"/>
                <w:sz w:val="22"/>
                <w:szCs w:val="22"/>
              </w:rPr>
            </w:pPr>
            <w:r w:rsidRPr="00076B84">
              <w:rPr>
                <w:color w:val="000000"/>
                <w:sz w:val="22"/>
                <w:szCs w:val="22"/>
              </w:rPr>
              <w:t>0.747</w:t>
            </w:r>
          </w:p>
        </w:tc>
        <w:tc>
          <w:tcPr>
            <w:tcW w:w="0" w:type="auto"/>
            <w:shd w:val="clear" w:color="auto" w:fill="auto"/>
            <w:noWrap/>
            <w:vAlign w:val="bottom"/>
            <w:hideMark/>
          </w:tcPr>
          <w:p w14:paraId="2979D293"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41900BB2" w14:textId="77777777" w:rsidR="0048099F" w:rsidRPr="00076B84" w:rsidRDefault="0048099F" w:rsidP="0048099F">
            <w:pPr>
              <w:jc w:val="center"/>
              <w:rPr>
                <w:sz w:val="22"/>
                <w:szCs w:val="22"/>
              </w:rPr>
            </w:pPr>
          </w:p>
        </w:tc>
      </w:tr>
      <w:tr w:rsidR="0048099F" w:rsidRPr="00076B84" w14:paraId="2C1FA046" w14:textId="77777777" w:rsidTr="008D7159">
        <w:trPr>
          <w:jc w:val="center"/>
        </w:trPr>
        <w:tc>
          <w:tcPr>
            <w:tcW w:w="0" w:type="auto"/>
            <w:tcBorders>
              <w:right w:val="single" w:sz="4" w:space="0" w:color="auto"/>
            </w:tcBorders>
            <w:shd w:val="clear" w:color="auto" w:fill="auto"/>
            <w:noWrap/>
            <w:vAlign w:val="bottom"/>
            <w:hideMark/>
          </w:tcPr>
          <w:p w14:paraId="5F692295" w14:textId="77777777" w:rsidR="0048099F" w:rsidRPr="00076B84" w:rsidRDefault="0048099F" w:rsidP="0048099F">
            <w:pPr>
              <w:rPr>
                <w:color w:val="000000"/>
                <w:sz w:val="22"/>
                <w:szCs w:val="22"/>
              </w:rPr>
            </w:pPr>
            <w:r w:rsidRPr="00076B84">
              <w:rPr>
                <w:color w:val="000000"/>
                <w:sz w:val="22"/>
                <w:szCs w:val="22"/>
              </w:rPr>
              <w:t>C</w:t>
            </w:r>
          </w:p>
        </w:tc>
        <w:tc>
          <w:tcPr>
            <w:tcW w:w="0" w:type="auto"/>
            <w:tcBorders>
              <w:left w:val="single" w:sz="4" w:space="0" w:color="auto"/>
            </w:tcBorders>
            <w:shd w:val="clear" w:color="auto" w:fill="auto"/>
            <w:noWrap/>
            <w:vAlign w:val="bottom"/>
            <w:hideMark/>
          </w:tcPr>
          <w:p w14:paraId="5F609E72" w14:textId="77777777" w:rsidR="0048099F" w:rsidRPr="00076B84" w:rsidRDefault="0048099F" w:rsidP="0048099F">
            <w:pPr>
              <w:jc w:val="center"/>
              <w:rPr>
                <w:color w:val="000000"/>
                <w:sz w:val="22"/>
                <w:szCs w:val="22"/>
              </w:rPr>
            </w:pPr>
            <w:r w:rsidRPr="00076B84">
              <w:rPr>
                <w:color w:val="000000"/>
                <w:sz w:val="22"/>
                <w:szCs w:val="22"/>
              </w:rPr>
              <w:t>0.747</w:t>
            </w:r>
          </w:p>
        </w:tc>
        <w:tc>
          <w:tcPr>
            <w:tcW w:w="0" w:type="auto"/>
            <w:shd w:val="clear" w:color="auto" w:fill="auto"/>
            <w:noWrap/>
            <w:vAlign w:val="bottom"/>
            <w:hideMark/>
          </w:tcPr>
          <w:p w14:paraId="18AB5FF8"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018D7DCC" w14:textId="77777777" w:rsidR="0048099F" w:rsidRPr="00076B84" w:rsidRDefault="0048099F" w:rsidP="0048099F">
            <w:pPr>
              <w:jc w:val="center"/>
              <w:rPr>
                <w:sz w:val="22"/>
                <w:szCs w:val="22"/>
              </w:rPr>
            </w:pPr>
          </w:p>
        </w:tc>
      </w:tr>
      <w:tr w:rsidR="0048099F" w:rsidRPr="00076B84" w14:paraId="39ADB4FF" w14:textId="77777777" w:rsidTr="008D7159">
        <w:trPr>
          <w:jc w:val="center"/>
        </w:trPr>
        <w:tc>
          <w:tcPr>
            <w:tcW w:w="0" w:type="auto"/>
            <w:tcBorders>
              <w:right w:val="single" w:sz="4" w:space="0" w:color="auto"/>
            </w:tcBorders>
            <w:shd w:val="clear" w:color="auto" w:fill="auto"/>
            <w:noWrap/>
            <w:vAlign w:val="bottom"/>
            <w:hideMark/>
          </w:tcPr>
          <w:p w14:paraId="54547ADE" w14:textId="77777777" w:rsidR="0048099F" w:rsidRPr="00076B84" w:rsidRDefault="0048099F" w:rsidP="0048099F">
            <w:pPr>
              <w:rPr>
                <w:color w:val="000000"/>
                <w:sz w:val="22"/>
                <w:szCs w:val="22"/>
              </w:rPr>
            </w:pPr>
            <w:r w:rsidRPr="00076B84">
              <w:rPr>
                <w:color w:val="000000"/>
                <w:sz w:val="22"/>
                <w:szCs w:val="22"/>
              </w:rPr>
              <w:t>SJR</w:t>
            </w:r>
          </w:p>
        </w:tc>
        <w:tc>
          <w:tcPr>
            <w:tcW w:w="0" w:type="auto"/>
            <w:tcBorders>
              <w:left w:val="single" w:sz="4" w:space="0" w:color="auto"/>
            </w:tcBorders>
            <w:shd w:val="clear" w:color="auto" w:fill="auto"/>
            <w:noWrap/>
            <w:vAlign w:val="bottom"/>
            <w:hideMark/>
          </w:tcPr>
          <w:p w14:paraId="47FA6908"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6C9C39E9" w14:textId="77777777" w:rsidR="0048099F" w:rsidRPr="00076B84" w:rsidRDefault="0048099F" w:rsidP="0048099F">
            <w:pPr>
              <w:jc w:val="center"/>
              <w:rPr>
                <w:color w:val="000000"/>
                <w:sz w:val="22"/>
                <w:szCs w:val="22"/>
              </w:rPr>
            </w:pPr>
            <w:r w:rsidRPr="00076B84">
              <w:rPr>
                <w:color w:val="000000"/>
                <w:sz w:val="22"/>
                <w:szCs w:val="22"/>
              </w:rPr>
              <w:t>0.951</w:t>
            </w:r>
          </w:p>
        </w:tc>
        <w:tc>
          <w:tcPr>
            <w:tcW w:w="0" w:type="auto"/>
            <w:shd w:val="clear" w:color="auto" w:fill="auto"/>
            <w:noWrap/>
            <w:vAlign w:val="bottom"/>
            <w:hideMark/>
          </w:tcPr>
          <w:p w14:paraId="40668FF6" w14:textId="77777777" w:rsidR="0048099F" w:rsidRPr="00076B84" w:rsidRDefault="0048099F" w:rsidP="0048099F">
            <w:pPr>
              <w:jc w:val="center"/>
              <w:rPr>
                <w:color w:val="000000"/>
                <w:sz w:val="22"/>
                <w:szCs w:val="22"/>
              </w:rPr>
            </w:pPr>
          </w:p>
        </w:tc>
      </w:tr>
      <w:tr w:rsidR="0048099F" w:rsidRPr="00076B84" w14:paraId="2AAD169A" w14:textId="77777777" w:rsidTr="008D7159">
        <w:trPr>
          <w:jc w:val="center"/>
        </w:trPr>
        <w:tc>
          <w:tcPr>
            <w:tcW w:w="0" w:type="auto"/>
            <w:tcBorders>
              <w:right w:val="single" w:sz="4" w:space="0" w:color="auto"/>
            </w:tcBorders>
            <w:shd w:val="clear" w:color="auto" w:fill="auto"/>
            <w:noWrap/>
            <w:vAlign w:val="bottom"/>
            <w:hideMark/>
          </w:tcPr>
          <w:p w14:paraId="5805724D" w14:textId="77777777" w:rsidR="0048099F" w:rsidRPr="00076B84" w:rsidRDefault="0048099F" w:rsidP="0048099F">
            <w:pPr>
              <w:rPr>
                <w:color w:val="000000"/>
                <w:sz w:val="22"/>
                <w:szCs w:val="22"/>
              </w:rPr>
            </w:pPr>
            <w:r w:rsidRPr="00076B84">
              <w:rPr>
                <w:color w:val="000000"/>
                <w:sz w:val="22"/>
                <w:szCs w:val="22"/>
              </w:rPr>
              <w:t>SNIP average</w:t>
            </w:r>
          </w:p>
        </w:tc>
        <w:tc>
          <w:tcPr>
            <w:tcW w:w="0" w:type="auto"/>
            <w:tcBorders>
              <w:left w:val="single" w:sz="4" w:space="0" w:color="auto"/>
            </w:tcBorders>
            <w:shd w:val="clear" w:color="auto" w:fill="auto"/>
            <w:noWrap/>
            <w:vAlign w:val="bottom"/>
            <w:hideMark/>
          </w:tcPr>
          <w:p w14:paraId="63FEE1BE"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442713D5" w14:textId="77777777" w:rsidR="0048099F" w:rsidRPr="00076B84" w:rsidRDefault="0048099F" w:rsidP="0048099F">
            <w:pPr>
              <w:jc w:val="center"/>
              <w:rPr>
                <w:color w:val="000000"/>
                <w:sz w:val="22"/>
                <w:szCs w:val="22"/>
              </w:rPr>
            </w:pPr>
            <w:r w:rsidRPr="00076B84">
              <w:rPr>
                <w:color w:val="000000"/>
                <w:sz w:val="22"/>
                <w:szCs w:val="22"/>
              </w:rPr>
              <w:t>0.928</w:t>
            </w:r>
          </w:p>
        </w:tc>
        <w:tc>
          <w:tcPr>
            <w:tcW w:w="0" w:type="auto"/>
            <w:shd w:val="clear" w:color="auto" w:fill="auto"/>
            <w:noWrap/>
            <w:vAlign w:val="bottom"/>
            <w:hideMark/>
          </w:tcPr>
          <w:p w14:paraId="2A30BC1B" w14:textId="77777777" w:rsidR="0048099F" w:rsidRPr="00076B84" w:rsidRDefault="0048099F" w:rsidP="0048099F">
            <w:pPr>
              <w:jc w:val="center"/>
              <w:rPr>
                <w:color w:val="000000"/>
                <w:sz w:val="22"/>
                <w:szCs w:val="22"/>
              </w:rPr>
            </w:pPr>
          </w:p>
        </w:tc>
      </w:tr>
      <w:tr w:rsidR="0048099F" w:rsidRPr="00076B84" w14:paraId="5CCB5A54" w14:textId="77777777" w:rsidTr="008D7159">
        <w:trPr>
          <w:jc w:val="center"/>
        </w:trPr>
        <w:tc>
          <w:tcPr>
            <w:tcW w:w="0" w:type="auto"/>
            <w:tcBorders>
              <w:right w:val="single" w:sz="4" w:space="0" w:color="auto"/>
            </w:tcBorders>
            <w:shd w:val="clear" w:color="auto" w:fill="auto"/>
            <w:noWrap/>
            <w:vAlign w:val="bottom"/>
            <w:hideMark/>
          </w:tcPr>
          <w:p w14:paraId="4D48CDAA" w14:textId="77777777" w:rsidR="0048099F" w:rsidRPr="00076B84" w:rsidRDefault="0048099F" w:rsidP="0048099F">
            <w:pPr>
              <w:rPr>
                <w:color w:val="000000"/>
                <w:sz w:val="22"/>
                <w:szCs w:val="22"/>
              </w:rPr>
            </w:pPr>
            <w:r w:rsidRPr="00076B84">
              <w:rPr>
                <w:color w:val="000000"/>
                <w:sz w:val="22"/>
                <w:szCs w:val="22"/>
              </w:rPr>
              <w:t>Citescore</w:t>
            </w:r>
          </w:p>
        </w:tc>
        <w:tc>
          <w:tcPr>
            <w:tcW w:w="0" w:type="auto"/>
            <w:tcBorders>
              <w:left w:val="single" w:sz="4" w:space="0" w:color="auto"/>
            </w:tcBorders>
            <w:shd w:val="clear" w:color="auto" w:fill="auto"/>
            <w:noWrap/>
            <w:vAlign w:val="bottom"/>
            <w:hideMark/>
          </w:tcPr>
          <w:p w14:paraId="7D06C3AD"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078DCAA6" w14:textId="77777777" w:rsidR="0048099F" w:rsidRPr="00076B84" w:rsidRDefault="0048099F" w:rsidP="0048099F">
            <w:pPr>
              <w:jc w:val="center"/>
              <w:rPr>
                <w:color w:val="000000"/>
                <w:sz w:val="22"/>
                <w:szCs w:val="22"/>
              </w:rPr>
            </w:pPr>
            <w:r w:rsidRPr="00076B84">
              <w:rPr>
                <w:color w:val="000000"/>
                <w:sz w:val="22"/>
                <w:szCs w:val="22"/>
              </w:rPr>
              <w:t>0.916</w:t>
            </w:r>
          </w:p>
        </w:tc>
        <w:tc>
          <w:tcPr>
            <w:tcW w:w="0" w:type="auto"/>
            <w:shd w:val="clear" w:color="auto" w:fill="auto"/>
            <w:noWrap/>
            <w:vAlign w:val="bottom"/>
            <w:hideMark/>
          </w:tcPr>
          <w:p w14:paraId="65A3ED16" w14:textId="77777777" w:rsidR="0048099F" w:rsidRPr="00076B84" w:rsidRDefault="0048099F" w:rsidP="0048099F">
            <w:pPr>
              <w:jc w:val="center"/>
              <w:rPr>
                <w:color w:val="000000"/>
                <w:sz w:val="22"/>
                <w:szCs w:val="22"/>
              </w:rPr>
            </w:pPr>
          </w:p>
        </w:tc>
      </w:tr>
      <w:tr w:rsidR="0048099F" w:rsidRPr="00076B84" w14:paraId="1E315E2E" w14:textId="77777777" w:rsidTr="008D7159">
        <w:trPr>
          <w:jc w:val="center"/>
        </w:trPr>
        <w:tc>
          <w:tcPr>
            <w:tcW w:w="0" w:type="auto"/>
            <w:tcBorders>
              <w:right w:val="single" w:sz="4" w:space="0" w:color="auto"/>
            </w:tcBorders>
            <w:shd w:val="clear" w:color="auto" w:fill="auto"/>
            <w:noWrap/>
            <w:vAlign w:val="bottom"/>
            <w:hideMark/>
          </w:tcPr>
          <w:p w14:paraId="00553398" w14:textId="77777777" w:rsidR="0048099F" w:rsidRPr="00076B84" w:rsidRDefault="0048099F" w:rsidP="0048099F">
            <w:pPr>
              <w:rPr>
                <w:color w:val="000000"/>
                <w:sz w:val="22"/>
                <w:szCs w:val="22"/>
              </w:rPr>
            </w:pPr>
            <w:r w:rsidRPr="00076B84">
              <w:rPr>
                <w:color w:val="000000"/>
                <w:sz w:val="22"/>
                <w:szCs w:val="22"/>
              </w:rPr>
              <w:t xml:space="preserve">P10% </w:t>
            </w:r>
            <w:r w:rsidR="008D7159" w:rsidRPr="00076B84">
              <w:rPr>
                <w:color w:val="000000"/>
                <w:sz w:val="22"/>
                <w:szCs w:val="22"/>
              </w:rPr>
              <w:t xml:space="preserve">share </w:t>
            </w:r>
            <w:r w:rsidRPr="00076B84">
              <w:rPr>
                <w:color w:val="000000"/>
                <w:sz w:val="22"/>
                <w:szCs w:val="22"/>
              </w:rPr>
              <w:t>FN</w:t>
            </w:r>
          </w:p>
        </w:tc>
        <w:tc>
          <w:tcPr>
            <w:tcW w:w="0" w:type="auto"/>
            <w:tcBorders>
              <w:left w:val="single" w:sz="4" w:space="0" w:color="auto"/>
            </w:tcBorders>
            <w:shd w:val="clear" w:color="auto" w:fill="auto"/>
            <w:noWrap/>
            <w:vAlign w:val="bottom"/>
            <w:hideMark/>
          </w:tcPr>
          <w:p w14:paraId="5FA8F0FC"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6F31D82D" w14:textId="77777777" w:rsidR="0048099F" w:rsidRPr="00076B84" w:rsidRDefault="0048099F" w:rsidP="0048099F">
            <w:pPr>
              <w:jc w:val="center"/>
              <w:rPr>
                <w:sz w:val="22"/>
                <w:szCs w:val="22"/>
              </w:rPr>
            </w:pPr>
          </w:p>
        </w:tc>
        <w:tc>
          <w:tcPr>
            <w:tcW w:w="0" w:type="auto"/>
            <w:shd w:val="clear" w:color="auto" w:fill="auto"/>
            <w:noWrap/>
            <w:vAlign w:val="bottom"/>
            <w:hideMark/>
          </w:tcPr>
          <w:p w14:paraId="663F1C66" w14:textId="77777777" w:rsidR="0048099F" w:rsidRPr="00076B84" w:rsidRDefault="0048099F" w:rsidP="0048099F">
            <w:pPr>
              <w:jc w:val="center"/>
              <w:rPr>
                <w:color w:val="000000"/>
                <w:sz w:val="22"/>
                <w:szCs w:val="22"/>
              </w:rPr>
            </w:pPr>
            <w:r w:rsidRPr="00076B84">
              <w:rPr>
                <w:color w:val="000000"/>
                <w:sz w:val="22"/>
                <w:szCs w:val="22"/>
              </w:rPr>
              <w:t>-0.839</w:t>
            </w:r>
          </w:p>
        </w:tc>
      </w:tr>
      <w:tr w:rsidR="0048099F" w:rsidRPr="00076B84" w14:paraId="7D157BEB" w14:textId="77777777" w:rsidTr="008D7159">
        <w:trPr>
          <w:jc w:val="center"/>
        </w:trPr>
        <w:tc>
          <w:tcPr>
            <w:tcW w:w="0" w:type="auto"/>
            <w:tcBorders>
              <w:right w:val="single" w:sz="4" w:space="0" w:color="auto"/>
            </w:tcBorders>
            <w:shd w:val="clear" w:color="auto" w:fill="auto"/>
            <w:noWrap/>
            <w:vAlign w:val="bottom"/>
            <w:hideMark/>
          </w:tcPr>
          <w:p w14:paraId="66F6DE7B" w14:textId="77777777" w:rsidR="0048099F" w:rsidRPr="00076B84" w:rsidRDefault="0048099F" w:rsidP="0048099F">
            <w:pPr>
              <w:rPr>
                <w:color w:val="000000"/>
                <w:sz w:val="22"/>
                <w:szCs w:val="22"/>
              </w:rPr>
            </w:pPr>
            <w:r w:rsidRPr="00076B84">
              <w:rPr>
                <w:color w:val="000000"/>
                <w:sz w:val="22"/>
                <w:szCs w:val="22"/>
              </w:rPr>
              <w:t>FWCI</w:t>
            </w:r>
            <w:r w:rsidR="008D7159" w:rsidRPr="00076B84">
              <w:rPr>
                <w:color w:val="000000"/>
                <w:sz w:val="22"/>
                <w:szCs w:val="22"/>
              </w:rPr>
              <w:t xml:space="preserve"> average</w:t>
            </w:r>
          </w:p>
        </w:tc>
        <w:tc>
          <w:tcPr>
            <w:tcW w:w="0" w:type="auto"/>
            <w:tcBorders>
              <w:left w:val="single" w:sz="4" w:space="0" w:color="auto"/>
            </w:tcBorders>
            <w:shd w:val="clear" w:color="auto" w:fill="auto"/>
            <w:noWrap/>
            <w:vAlign w:val="bottom"/>
            <w:hideMark/>
          </w:tcPr>
          <w:p w14:paraId="27C1F15F" w14:textId="77777777" w:rsidR="0048099F" w:rsidRPr="00076B84" w:rsidRDefault="0048099F" w:rsidP="0048099F">
            <w:pPr>
              <w:jc w:val="center"/>
              <w:rPr>
                <w:color w:val="000000"/>
                <w:sz w:val="22"/>
                <w:szCs w:val="22"/>
              </w:rPr>
            </w:pPr>
          </w:p>
        </w:tc>
        <w:tc>
          <w:tcPr>
            <w:tcW w:w="0" w:type="auto"/>
            <w:shd w:val="clear" w:color="auto" w:fill="auto"/>
            <w:noWrap/>
            <w:vAlign w:val="bottom"/>
            <w:hideMark/>
          </w:tcPr>
          <w:p w14:paraId="56559770" w14:textId="77777777" w:rsidR="0048099F" w:rsidRPr="00076B84" w:rsidRDefault="0048099F" w:rsidP="0048099F">
            <w:pPr>
              <w:jc w:val="center"/>
              <w:rPr>
                <w:sz w:val="22"/>
                <w:szCs w:val="22"/>
              </w:rPr>
            </w:pPr>
          </w:p>
        </w:tc>
        <w:tc>
          <w:tcPr>
            <w:tcW w:w="0" w:type="auto"/>
            <w:shd w:val="clear" w:color="auto" w:fill="auto"/>
            <w:noWrap/>
            <w:vAlign w:val="bottom"/>
            <w:hideMark/>
          </w:tcPr>
          <w:p w14:paraId="2C9F79EE" w14:textId="77777777" w:rsidR="0048099F" w:rsidRPr="00076B84" w:rsidRDefault="0048099F" w:rsidP="0048099F">
            <w:pPr>
              <w:jc w:val="center"/>
              <w:rPr>
                <w:color w:val="000000"/>
                <w:sz w:val="22"/>
                <w:szCs w:val="22"/>
              </w:rPr>
            </w:pPr>
            <w:r w:rsidRPr="00076B84">
              <w:rPr>
                <w:color w:val="000000"/>
                <w:sz w:val="22"/>
                <w:szCs w:val="22"/>
              </w:rPr>
              <w:t>-0.828</w:t>
            </w:r>
          </w:p>
        </w:tc>
      </w:tr>
      <w:tr w:rsidR="0048099F" w:rsidRPr="00076B84" w14:paraId="57EF4338" w14:textId="77777777" w:rsidTr="008D7159">
        <w:trPr>
          <w:jc w:val="center"/>
        </w:trPr>
        <w:tc>
          <w:tcPr>
            <w:tcW w:w="0" w:type="auto"/>
            <w:tcBorders>
              <w:bottom w:val="nil"/>
              <w:right w:val="single" w:sz="4" w:space="0" w:color="auto"/>
            </w:tcBorders>
            <w:shd w:val="clear" w:color="auto" w:fill="auto"/>
            <w:noWrap/>
            <w:vAlign w:val="bottom"/>
            <w:hideMark/>
          </w:tcPr>
          <w:p w14:paraId="3C3FEC1E" w14:textId="77777777" w:rsidR="0048099F" w:rsidRPr="00076B84" w:rsidRDefault="0048099F" w:rsidP="0048099F">
            <w:pPr>
              <w:rPr>
                <w:color w:val="000000"/>
                <w:sz w:val="22"/>
                <w:szCs w:val="22"/>
              </w:rPr>
            </w:pPr>
            <w:r w:rsidRPr="00076B84">
              <w:rPr>
                <w:color w:val="000000"/>
                <w:sz w:val="22"/>
                <w:szCs w:val="22"/>
              </w:rPr>
              <w:t>P10%</w:t>
            </w:r>
            <w:r w:rsidR="008D7159" w:rsidRPr="00076B84">
              <w:rPr>
                <w:color w:val="000000"/>
                <w:sz w:val="22"/>
                <w:szCs w:val="22"/>
              </w:rPr>
              <w:t xml:space="preserve"> sgare</w:t>
            </w:r>
          </w:p>
        </w:tc>
        <w:tc>
          <w:tcPr>
            <w:tcW w:w="0" w:type="auto"/>
            <w:tcBorders>
              <w:left w:val="single" w:sz="4" w:space="0" w:color="auto"/>
              <w:bottom w:val="nil"/>
            </w:tcBorders>
            <w:shd w:val="clear" w:color="auto" w:fill="auto"/>
            <w:noWrap/>
            <w:vAlign w:val="bottom"/>
            <w:hideMark/>
          </w:tcPr>
          <w:p w14:paraId="7B521D93" w14:textId="77777777" w:rsidR="0048099F" w:rsidRPr="00076B84" w:rsidRDefault="0048099F" w:rsidP="0048099F">
            <w:pPr>
              <w:jc w:val="center"/>
              <w:rPr>
                <w:color w:val="000000"/>
                <w:sz w:val="22"/>
                <w:szCs w:val="22"/>
              </w:rPr>
            </w:pPr>
          </w:p>
        </w:tc>
        <w:tc>
          <w:tcPr>
            <w:tcW w:w="0" w:type="auto"/>
            <w:tcBorders>
              <w:bottom w:val="nil"/>
            </w:tcBorders>
            <w:shd w:val="clear" w:color="auto" w:fill="auto"/>
            <w:noWrap/>
            <w:vAlign w:val="bottom"/>
            <w:hideMark/>
          </w:tcPr>
          <w:p w14:paraId="18459913" w14:textId="77777777" w:rsidR="0048099F" w:rsidRPr="00076B84" w:rsidRDefault="0048099F" w:rsidP="0048099F">
            <w:pPr>
              <w:jc w:val="center"/>
              <w:rPr>
                <w:sz w:val="22"/>
                <w:szCs w:val="22"/>
              </w:rPr>
            </w:pPr>
          </w:p>
        </w:tc>
        <w:tc>
          <w:tcPr>
            <w:tcW w:w="0" w:type="auto"/>
            <w:tcBorders>
              <w:bottom w:val="nil"/>
            </w:tcBorders>
            <w:shd w:val="clear" w:color="auto" w:fill="auto"/>
            <w:noWrap/>
            <w:vAlign w:val="bottom"/>
            <w:hideMark/>
          </w:tcPr>
          <w:p w14:paraId="410E2D5E" w14:textId="77777777" w:rsidR="0048099F" w:rsidRPr="00076B84" w:rsidRDefault="0048099F" w:rsidP="0048099F">
            <w:pPr>
              <w:jc w:val="center"/>
              <w:rPr>
                <w:color w:val="000000"/>
                <w:sz w:val="22"/>
                <w:szCs w:val="22"/>
              </w:rPr>
            </w:pPr>
            <w:r w:rsidRPr="00076B84">
              <w:rPr>
                <w:color w:val="000000"/>
                <w:sz w:val="22"/>
                <w:szCs w:val="22"/>
              </w:rPr>
              <w:t>-0.706</w:t>
            </w:r>
          </w:p>
        </w:tc>
      </w:tr>
      <w:tr w:rsidR="0048099F" w:rsidRPr="00076B84" w14:paraId="11B0336F" w14:textId="77777777" w:rsidTr="008D7159">
        <w:trPr>
          <w:jc w:val="center"/>
        </w:trPr>
        <w:tc>
          <w:tcPr>
            <w:tcW w:w="0" w:type="auto"/>
            <w:tcBorders>
              <w:top w:val="nil"/>
              <w:bottom w:val="single" w:sz="4" w:space="0" w:color="auto"/>
              <w:right w:val="single" w:sz="4" w:space="0" w:color="auto"/>
            </w:tcBorders>
            <w:shd w:val="clear" w:color="auto" w:fill="auto"/>
            <w:noWrap/>
            <w:vAlign w:val="bottom"/>
            <w:hideMark/>
          </w:tcPr>
          <w:p w14:paraId="10F28D8B" w14:textId="77777777" w:rsidR="0048099F" w:rsidRPr="00076B84" w:rsidRDefault="008D7159" w:rsidP="0048099F">
            <w:pPr>
              <w:rPr>
                <w:color w:val="000000"/>
                <w:sz w:val="22"/>
                <w:szCs w:val="22"/>
              </w:rPr>
            </w:pPr>
            <w:r w:rsidRPr="00076B84">
              <w:rPr>
                <w:color w:val="000000"/>
                <w:sz w:val="22"/>
                <w:szCs w:val="22"/>
              </w:rPr>
              <w:t>C/P</w:t>
            </w:r>
          </w:p>
        </w:tc>
        <w:tc>
          <w:tcPr>
            <w:tcW w:w="0" w:type="auto"/>
            <w:tcBorders>
              <w:top w:val="nil"/>
              <w:left w:val="single" w:sz="4" w:space="0" w:color="auto"/>
              <w:bottom w:val="single" w:sz="4" w:space="0" w:color="auto"/>
            </w:tcBorders>
            <w:shd w:val="clear" w:color="auto" w:fill="auto"/>
            <w:noWrap/>
            <w:vAlign w:val="bottom"/>
            <w:hideMark/>
          </w:tcPr>
          <w:p w14:paraId="442CCAF0" w14:textId="77777777" w:rsidR="0048099F" w:rsidRPr="00076B84" w:rsidRDefault="0048099F" w:rsidP="0048099F">
            <w:pPr>
              <w:jc w:val="center"/>
              <w:rPr>
                <w:color w:val="000000"/>
                <w:sz w:val="22"/>
                <w:szCs w:val="22"/>
              </w:rPr>
            </w:pPr>
          </w:p>
        </w:tc>
        <w:tc>
          <w:tcPr>
            <w:tcW w:w="0" w:type="auto"/>
            <w:tcBorders>
              <w:top w:val="nil"/>
              <w:bottom w:val="single" w:sz="4" w:space="0" w:color="auto"/>
            </w:tcBorders>
            <w:shd w:val="clear" w:color="auto" w:fill="auto"/>
            <w:noWrap/>
            <w:vAlign w:val="bottom"/>
            <w:hideMark/>
          </w:tcPr>
          <w:p w14:paraId="057230EF" w14:textId="77777777" w:rsidR="0048099F" w:rsidRPr="00076B84" w:rsidRDefault="0048099F" w:rsidP="0048099F">
            <w:pPr>
              <w:jc w:val="center"/>
              <w:rPr>
                <w:sz w:val="22"/>
                <w:szCs w:val="22"/>
              </w:rPr>
            </w:pPr>
          </w:p>
        </w:tc>
        <w:tc>
          <w:tcPr>
            <w:tcW w:w="0" w:type="auto"/>
            <w:tcBorders>
              <w:top w:val="nil"/>
              <w:bottom w:val="single" w:sz="4" w:space="0" w:color="auto"/>
              <w:right w:val="single" w:sz="4" w:space="0" w:color="auto"/>
            </w:tcBorders>
            <w:shd w:val="clear" w:color="auto" w:fill="auto"/>
            <w:noWrap/>
            <w:vAlign w:val="bottom"/>
            <w:hideMark/>
          </w:tcPr>
          <w:p w14:paraId="08CBE8D7" w14:textId="77777777" w:rsidR="0048099F" w:rsidRPr="00076B84" w:rsidRDefault="0048099F" w:rsidP="0048099F">
            <w:pPr>
              <w:jc w:val="center"/>
              <w:rPr>
                <w:color w:val="000000"/>
                <w:sz w:val="22"/>
                <w:szCs w:val="22"/>
              </w:rPr>
            </w:pPr>
            <w:r w:rsidRPr="00076B84">
              <w:rPr>
                <w:color w:val="000000"/>
                <w:sz w:val="22"/>
                <w:szCs w:val="22"/>
              </w:rPr>
              <w:t>-0.697</w:t>
            </w:r>
          </w:p>
        </w:tc>
      </w:tr>
      <w:tr w:rsidR="0048099F" w:rsidRPr="00076B84" w14:paraId="57E03A14" w14:textId="77777777" w:rsidTr="008D7159">
        <w:trPr>
          <w:jc w:val="center"/>
        </w:trPr>
        <w:tc>
          <w:tcPr>
            <w:tcW w:w="0" w:type="auto"/>
            <w:gridSpan w:val="4"/>
            <w:tcBorders>
              <w:top w:val="single" w:sz="4" w:space="0" w:color="auto"/>
              <w:left w:val="nil"/>
              <w:bottom w:val="nil"/>
              <w:right w:val="nil"/>
            </w:tcBorders>
            <w:shd w:val="clear" w:color="auto" w:fill="auto"/>
            <w:noWrap/>
            <w:vAlign w:val="bottom"/>
            <w:hideMark/>
          </w:tcPr>
          <w:p w14:paraId="2FB1ED10" w14:textId="77777777" w:rsidR="0048099F" w:rsidRPr="00076B84" w:rsidRDefault="0048099F" w:rsidP="0048099F">
            <w:pPr>
              <w:rPr>
                <w:color w:val="000000"/>
              </w:rPr>
            </w:pPr>
            <w:r w:rsidRPr="00076B84">
              <w:rPr>
                <w:color w:val="000000"/>
              </w:rPr>
              <w:t xml:space="preserve">Extraction Method: Principal Component Analysis. </w:t>
            </w:r>
          </w:p>
        </w:tc>
      </w:tr>
      <w:tr w:rsidR="0048099F" w:rsidRPr="00076B84" w14:paraId="1DCDAF9B" w14:textId="77777777" w:rsidTr="008D7159">
        <w:trPr>
          <w:jc w:val="center"/>
        </w:trPr>
        <w:tc>
          <w:tcPr>
            <w:tcW w:w="0" w:type="auto"/>
            <w:gridSpan w:val="4"/>
            <w:tcBorders>
              <w:top w:val="nil"/>
              <w:left w:val="nil"/>
              <w:bottom w:val="nil"/>
              <w:right w:val="nil"/>
            </w:tcBorders>
            <w:shd w:val="clear" w:color="auto" w:fill="auto"/>
            <w:noWrap/>
            <w:vAlign w:val="bottom"/>
            <w:hideMark/>
          </w:tcPr>
          <w:p w14:paraId="5021051B" w14:textId="77777777" w:rsidR="0048099F" w:rsidRPr="00076B84" w:rsidRDefault="0048099F" w:rsidP="0048099F">
            <w:pPr>
              <w:rPr>
                <w:color w:val="000000"/>
              </w:rPr>
            </w:pPr>
            <w:r w:rsidRPr="00076B84">
              <w:rPr>
                <w:color w:val="000000"/>
              </w:rPr>
              <w:t xml:space="preserve"> Rotation Method: Oblimin with Kaiser Normalization</w:t>
            </w:r>
          </w:p>
        </w:tc>
      </w:tr>
      <w:tr w:rsidR="0048099F" w:rsidRPr="00076B84" w14:paraId="3EB009DC" w14:textId="77777777" w:rsidTr="008D7159">
        <w:trPr>
          <w:jc w:val="center"/>
        </w:trPr>
        <w:tc>
          <w:tcPr>
            <w:tcW w:w="0" w:type="auto"/>
            <w:gridSpan w:val="3"/>
            <w:tcBorders>
              <w:top w:val="nil"/>
              <w:left w:val="nil"/>
              <w:bottom w:val="nil"/>
            </w:tcBorders>
            <w:shd w:val="clear" w:color="auto" w:fill="auto"/>
            <w:noWrap/>
            <w:vAlign w:val="bottom"/>
            <w:hideMark/>
          </w:tcPr>
          <w:p w14:paraId="76D69C21" w14:textId="77777777" w:rsidR="0048099F" w:rsidRPr="00076B84" w:rsidRDefault="0048099F" w:rsidP="0048099F">
            <w:pPr>
              <w:rPr>
                <w:color w:val="000000"/>
              </w:rPr>
            </w:pPr>
            <w:r w:rsidRPr="00076B84">
              <w:rPr>
                <w:color w:val="000000"/>
              </w:rPr>
              <w:t>Rotation converged in 9 iterations.</w:t>
            </w:r>
          </w:p>
        </w:tc>
        <w:tc>
          <w:tcPr>
            <w:tcW w:w="0" w:type="auto"/>
            <w:tcBorders>
              <w:top w:val="nil"/>
              <w:bottom w:val="nil"/>
              <w:right w:val="nil"/>
            </w:tcBorders>
            <w:shd w:val="clear" w:color="auto" w:fill="auto"/>
            <w:noWrap/>
            <w:vAlign w:val="bottom"/>
            <w:hideMark/>
          </w:tcPr>
          <w:p w14:paraId="2230A17D" w14:textId="77777777" w:rsidR="0048099F" w:rsidRPr="00076B84" w:rsidRDefault="0048099F" w:rsidP="0048099F">
            <w:pPr>
              <w:rPr>
                <w:color w:val="000000"/>
              </w:rPr>
            </w:pPr>
          </w:p>
        </w:tc>
      </w:tr>
      <w:tr w:rsidR="0048099F" w:rsidRPr="00076B84" w14:paraId="270CD2A0" w14:textId="77777777" w:rsidTr="008D7159">
        <w:trPr>
          <w:jc w:val="center"/>
        </w:trPr>
        <w:tc>
          <w:tcPr>
            <w:tcW w:w="0" w:type="auto"/>
            <w:gridSpan w:val="3"/>
            <w:tcBorders>
              <w:top w:val="nil"/>
              <w:left w:val="nil"/>
              <w:bottom w:val="nil"/>
            </w:tcBorders>
            <w:shd w:val="clear" w:color="auto" w:fill="auto"/>
            <w:noWrap/>
            <w:vAlign w:val="bottom"/>
            <w:hideMark/>
          </w:tcPr>
          <w:p w14:paraId="02770169" w14:textId="77777777" w:rsidR="0048099F" w:rsidRPr="00076B84" w:rsidRDefault="0048099F" w:rsidP="0048099F">
            <w:pPr>
              <w:rPr>
                <w:color w:val="000000"/>
              </w:rPr>
            </w:pPr>
            <w:r w:rsidRPr="00076B84">
              <w:rPr>
                <w:color w:val="000000"/>
              </w:rPr>
              <w:t>* all items are panel-based z-scores</w:t>
            </w:r>
          </w:p>
          <w:p w14:paraId="2A7DCD5F" w14:textId="77777777" w:rsidR="0048099F" w:rsidRPr="00076B84" w:rsidRDefault="0048099F" w:rsidP="0048099F">
            <w:pPr>
              <w:rPr>
                <w:color w:val="000000"/>
              </w:rPr>
            </w:pPr>
            <w:r w:rsidRPr="00076B84">
              <w:rPr>
                <w:color w:val="000000"/>
              </w:rPr>
              <w:t>|loadings| &lt; .30 not shown</w:t>
            </w:r>
          </w:p>
        </w:tc>
        <w:tc>
          <w:tcPr>
            <w:tcW w:w="0" w:type="auto"/>
            <w:tcBorders>
              <w:top w:val="nil"/>
              <w:bottom w:val="nil"/>
              <w:right w:val="nil"/>
            </w:tcBorders>
            <w:shd w:val="clear" w:color="auto" w:fill="auto"/>
            <w:noWrap/>
            <w:vAlign w:val="bottom"/>
            <w:hideMark/>
          </w:tcPr>
          <w:p w14:paraId="373C8025" w14:textId="77777777" w:rsidR="0048099F" w:rsidRPr="00076B84" w:rsidRDefault="0048099F" w:rsidP="0048099F">
            <w:pPr>
              <w:rPr>
                <w:color w:val="000000"/>
              </w:rPr>
            </w:pPr>
          </w:p>
        </w:tc>
      </w:tr>
    </w:tbl>
    <w:p w14:paraId="51ABF384" w14:textId="77777777" w:rsidR="0048099F" w:rsidRPr="00F47500" w:rsidRDefault="0048099F" w:rsidP="0048099F">
      <w:pPr>
        <w:rPr>
          <w:sz w:val="22"/>
          <w:szCs w:val="22"/>
        </w:rPr>
      </w:pPr>
    </w:p>
    <w:p w14:paraId="4CA9FB99" w14:textId="603555A4" w:rsidR="0048099F" w:rsidRPr="00F47500" w:rsidRDefault="0048099F" w:rsidP="00E65AA3">
      <w:pPr>
        <w:ind w:left="720" w:firstLine="720"/>
        <w:rPr>
          <w:sz w:val="22"/>
          <w:szCs w:val="22"/>
        </w:rPr>
      </w:pPr>
      <w:r w:rsidRPr="00F47500">
        <w:rPr>
          <w:b/>
          <w:bCs/>
          <w:sz w:val="22"/>
          <w:szCs w:val="22"/>
        </w:rPr>
        <w:t xml:space="preserve">Table </w:t>
      </w:r>
      <w:r w:rsidR="00E65AA3" w:rsidRPr="00F47500">
        <w:rPr>
          <w:b/>
          <w:bCs/>
          <w:sz w:val="22"/>
          <w:szCs w:val="22"/>
        </w:rPr>
        <w:t>5</w:t>
      </w:r>
      <w:r w:rsidRPr="00F47500">
        <w:rPr>
          <w:b/>
          <w:bCs/>
          <w:sz w:val="22"/>
          <w:szCs w:val="22"/>
        </w:rPr>
        <w:t>:</w:t>
      </w:r>
      <w:r w:rsidRPr="00F47500">
        <w:rPr>
          <w:rFonts w:eastAsiaTheme="minorHAnsi"/>
          <w:b/>
          <w:bCs/>
          <w:color w:val="010205"/>
          <w:sz w:val="22"/>
          <w:szCs w:val="22"/>
        </w:rPr>
        <w:t xml:space="preserve"> </w:t>
      </w:r>
      <w:r w:rsidRPr="00F47500">
        <w:rPr>
          <w:rFonts w:eastAsiaTheme="minorHAnsi"/>
          <w:color w:val="010205"/>
          <w:sz w:val="22"/>
          <w:szCs w:val="22"/>
        </w:rPr>
        <w:t>Component Correlation Matrix</w:t>
      </w:r>
    </w:p>
    <w:tbl>
      <w:tblPr>
        <w:tblW w:w="6091"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65"/>
        <w:gridCol w:w="1683"/>
        <w:gridCol w:w="1843"/>
      </w:tblGrid>
      <w:tr w:rsidR="0048099F" w:rsidRPr="00076B84" w14:paraId="1A48330C" w14:textId="77777777" w:rsidTr="00EE4774">
        <w:trPr>
          <w:cantSplit/>
          <w:jc w:val="center"/>
        </w:trPr>
        <w:tc>
          <w:tcPr>
            <w:tcW w:w="2565" w:type="dxa"/>
            <w:tcBorders>
              <w:top w:val="single" w:sz="4" w:space="0" w:color="auto"/>
              <w:bottom w:val="single" w:sz="4" w:space="0" w:color="auto"/>
              <w:right w:val="single" w:sz="4" w:space="0" w:color="auto"/>
            </w:tcBorders>
            <w:shd w:val="clear" w:color="auto" w:fill="auto"/>
            <w:vAlign w:val="bottom"/>
          </w:tcPr>
          <w:p w14:paraId="302604F5" w14:textId="77777777" w:rsidR="0048099F" w:rsidRPr="00076B84" w:rsidRDefault="0048099F" w:rsidP="00EE4774">
            <w:pPr>
              <w:autoSpaceDE w:val="0"/>
              <w:autoSpaceDN w:val="0"/>
              <w:adjustRightInd w:val="0"/>
              <w:ind w:left="60" w:right="60"/>
              <w:jc w:val="center"/>
              <w:rPr>
                <w:rFonts w:eastAsiaTheme="minorHAnsi"/>
                <w:sz w:val="22"/>
                <w:szCs w:val="22"/>
              </w:rPr>
            </w:pPr>
            <w:r w:rsidRPr="00076B84">
              <w:rPr>
                <w:rFonts w:eastAsiaTheme="minorHAnsi"/>
                <w:sz w:val="22"/>
                <w:szCs w:val="22"/>
              </w:rPr>
              <w:t>Component</w:t>
            </w:r>
          </w:p>
        </w:tc>
        <w:tc>
          <w:tcPr>
            <w:tcW w:w="1683" w:type="dxa"/>
            <w:tcBorders>
              <w:top w:val="single" w:sz="4" w:space="0" w:color="auto"/>
              <w:left w:val="single" w:sz="4" w:space="0" w:color="auto"/>
              <w:bottom w:val="single" w:sz="4" w:space="0" w:color="auto"/>
            </w:tcBorders>
            <w:vAlign w:val="bottom"/>
          </w:tcPr>
          <w:p w14:paraId="3D9905D1" w14:textId="77777777" w:rsidR="0048099F" w:rsidRPr="00076B84" w:rsidRDefault="00EE4774" w:rsidP="00EE4774">
            <w:pPr>
              <w:autoSpaceDE w:val="0"/>
              <w:autoSpaceDN w:val="0"/>
              <w:adjustRightInd w:val="0"/>
              <w:ind w:left="60" w:right="60"/>
              <w:jc w:val="center"/>
              <w:rPr>
                <w:sz w:val="22"/>
                <w:szCs w:val="22"/>
              </w:rPr>
            </w:pPr>
            <w:r w:rsidRPr="00076B84">
              <w:rPr>
                <w:sz w:val="22"/>
                <w:szCs w:val="22"/>
              </w:rPr>
              <w:t>R</w:t>
            </w:r>
            <w:r w:rsidR="0048099F" w:rsidRPr="00076B84">
              <w:rPr>
                <w:sz w:val="22"/>
                <w:szCs w:val="22"/>
              </w:rPr>
              <w:t>elative</w:t>
            </w:r>
            <w:r w:rsidRPr="00076B84">
              <w:rPr>
                <w:sz w:val="22"/>
                <w:szCs w:val="22"/>
              </w:rPr>
              <w:t xml:space="preserve"> impact</w:t>
            </w:r>
          </w:p>
        </w:tc>
        <w:tc>
          <w:tcPr>
            <w:tcW w:w="1843" w:type="dxa"/>
            <w:tcBorders>
              <w:top w:val="single" w:sz="4" w:space="0" w:color="auto"/>
              <w:bottom w:val="single" w:sz="4" w:space="0" w:color="auto"/>
            </w:tcBorders>
            <w:vAlign w:val="bottom"/>
          </w:tcPr>
          <w:p w14:paraId="32810276" w14:textId="77777777" w:rsidR="0048099F" w:rsidRPr="00076B84" w:rsidRDefault="00EE4774" w:rsidP="00EE4774">
            <w:pPr>
              <w:autoSpaceDE w:val="0"/>
              <w:autoSpaceDN w:val="0"/>
              <w:adjustRightInd w:val="0"/>
              <w:ind w:left="60" w:right="60"/>
              <w:jc w:val="center"/>
              <w:rPr>
                <w:sz w:val="22"/>
                <w:szCs w:val="22"/>
              </w:rPr>
            </w:pPr>
            <w:r w:rsidRPr="00076B84">
              <w:rPr>
                <w:sz w:val="22"/>
                <w:szCs w:val="22"/>
              </w:rPr>
              <w:t>T</w:t>
            </w:r>
            <w:r w:rsidR="0048099F" w:rsidRPr="00076B84">
              <w:rPr>
                <w:sz w:val="22"/>
                <w:szCs w:val="22"/>
              </w:rPr>
              <w:t>otal</w:t>
            </w:r>
            <w:r w:rsidRPr="00076B84">
              <w:rPr>
                <w:sz w:val="22"/>
                <w:szCs w:val="22"/>
              </w:rPr>
              <w:t xml:space="preserve"> impact</w:t>
            </w:r>
          </w:p>
        </w:tc>
      </w:tr>
      <w:tr w:rsidR="0048099F" w:rsidRPr="00076B84" w14:paraId="67F9C358" w14:textId="77777777" w:rsidTr="00EE4774">
        <w:trPr>
          <w:cantSplit/>
          <w:jc w:val="center"/>
        </w:trPr>
        <w:tc>
          <w:tcPr>
            <w:tcW w:w="2565" w:type="dxa"/>
            <w:tcBorders>
              <w:top w:val="single" w:sz="4" w:space="0" w:color="auto"/>
              <w:right w:val="single" w:sz="4" w:space="0" w:color="auto"/>
            </w:tcBorders>
            <w:shd w:val="clear" w:color="auto" w:fill="auto"/>
          </w:tcPr>
          <w:p w14:paraId="5EDB2674" w14:textId="77777777" w:rsidR="0048099F" w:rsidRPr="00076B84" w:rsidRDefault="00EE4774" w:rsidP="00EE4774">
            <w:pPr>
              <w:autoSpaceDE w:val="0"/>
              <w:autoSpaceDN w:val="0"/>
              <w:adjustRightInd w:val="0"/>
              <w:ind w:left="60" w:right="60"/>
              <w:jc w:val="center"/>
              <w:rPr>
                <w:rFonts w:eastAsiaTheme="minorHAnsi"/>
                <w:sz w:val="22"/>
                <w:szCs w:val="22"/>
              </w:rPr>
            </w:pPr>
            <w:r w:rsidRPr="00076B84">
              <w:rPr>
                <w:sz w:val="22"/>
                <w:szCs w:val="22"/>
              </w:rPr>
              <w:t>T</w:t>
            </w:r>
            <w:r w:rsidR="0048099F" w:rsidRPr="00076B84">
              <w:rPr>
                <w:sz w:val="22"/>
                <w:szCs w:val="22"/>
              </w:rPr>
              <w:t>otal</w:t>
            </w:r>
            <w:r w:rsidRPr="00076B84">
              <w:rPr>
                <w:sz w:val="22"/>
                <w:szCs w:val="22"/>
              </w:rPr>
              <w:t xml:space="preserve"> impact</w:t>
            </w:r>
          </w:p>
        </w:tc>
        <w:tc>
          <w:tcPr>
            <w:tcW w:w="1683" w:type="dxa"/>
            <w:tcBorders>
              <w:top w:val="single" w:sz="4" w:space="0" w:color="auto"/>
            </w:tcBorders>
          </w:tcPr>
          <w:p w14:paraId="185F1AD7" w14:textId="77777777" w:rsidR="0048099F" w:rsidRPr="00076B84" w:rsidRDefault="0048099F" w:rsidP="00EE4774">
            <w:pPr>
              <w:autoSpaceDE w:val="0"/>
              <w:autoSpaceDN w:val="0"/>
              <w:adjustRightInd w:val="0"/>
              <w:ind w:left="60" w:right="60"/>
              <w:jc w:val="center"/>
              <w:rPr>
                <w:sz w:val="22"/>
                <w:szCs w:val="22"/>
              </w:rPr>
            </w:pPr>
            <w:r w:rsidRPr="00076B84">
              <w:rPr>
                <w:rFonts w:eastAsiaTheme="minorHAnsi"/>
                <w:sz w:val="22"/>
                <w:szCs w:val="22"/>
              </w:rPr>
              <w:t>-.330</w:t>
            </w:r>
          </w:p>
        </w:tc>
        <w:tc>
          <w:tcPr>
            <w:tcW w:w="1843" w:type="dxa"/>
            <w:tcBorders>
              <w:top w:val="single" w:sz="4" w:space="0" w:color="auto"/>
            </w:tcBorders>
          </w:tcPr>
          <w:p w14:paraId="139576C3" w14:textId="77777777" w:rsidR="0048099F" w:rsidRPr="00076B84" w:rsidRDefault="0048099F" w:rsidP="00EE4774">
            <w:pPr>
              <w:autoSpaceDE w:val="0"/>
              <w:autoSpaceDN w:val="0"/>
              <w:adjustRightInd w:val="0"/>
              <w:ind w:left="60" w:right="60"/>
              <w:jc w:val="center"/>
              <w:rPr>
                <w:sz w:val="22"/>
                <w:szCs w:val="22"/>
              </w:rPr>
            </w:pPr>
          </w:p>
        </w:tc>
      </w:tr>
      <w:tr w:rsidR="0048099F" w:rsidRPr="00076B84" w14:paraId="25DAD483" w14:textId="77777777" w:rsidTr="00EE4774">
        <w:trPr>
          <w:cantSplit/>
          <w:jc w:val="center"/>
        </w:trPr>
        <w:tc>
          <w:tcPr>
            <w:tcW w:w="2565" w:type="dxa"/>
            <w:tcBorders>
              <w:right w:val="single" w:sz="4" w:space="0" w:color="auto"/>
            </w:tcBorders>
            <w:shd w:val="clear" w:color="auto" w:fill="auto"/>
          </w:tcPr>
          <w:p w14:paraId="73C8031F" w14:textId="77777777" w:rsidR="0048099F" w:rsidRPr="00076B84" w:rsidRDefault="00EE4774" w:rsidP="00EE4774">
            <w:pPr>
              <w:autoSpaceDE w:val="0"/>
              <w:autoSpaceDN w:val="0"/>
              <w:adjustRightInd w:val="0"/>
              <w:ind w:left="60" w:right="60"/>
              <w:jc w:val="center"/>
              <w:rPr>
                <w:rFonts w:eastAsiaTheme="minorHAnsi"/>
                <w:sz w:val="22"/>
                <w:szCs w:val="22"/>
              </w:rPr>
            </w:pPr>
            <w:r w:rsidRPr="00076B84">
              <w:rPr>
                <w:sz w:val="22"/>
                <w:szCs w:val="22"/>
              </w:rPr>
              <w:t>J</w:t>
            </w:r>
            <w:r w:rsidR="0048099F" w:rsidRPr="00076B84">
              <w:rPr>
                <w:sz w:val="22"/>
                <w:szCs w:val="22"/>
              </w:rPr>
              <w:t>ournal</w:t>
            </w:r>
            <w:r w:rsidRPr="00076B84">
              <w:rPr>
                <w:sz w:val="22"/>
                <w:szCs w:val="22"/>
              </w:rPr>
              <w:t xml:space="preserve"> impact</w:t>
            </w:r>
          </w:p>
        </w:tc>
        <w:tc>
          <w:tcPr>
            <w:tcW w:w="1683" w:type="dxa"/>
          </w:tcPr>
          <w:p w14:paraId="5B2CBBA3" w14:textId="77777777" w:rsidR="0048099F" w:rsidRPr="00076B84" w:rsidRDefault="0048099F" w:rsidP="00EE4774">
            <w:pPr>
              <w:autoSpaceDE w:val="0"/>
              <w:autoSpaceDN w:val="0"/>
              <w:adjustRightInd w:val="0"/>
              <w:ind w:left="60" w:right="60"/>
              <w:jc w:val="center"/>
              <w:rPr>
                <w:sz w:val="22"/>
                <w:szCs w:val="22"/>
              </w:rPr>
            </w:pPr>
            <w:r w:rsidRPr="00076B84">
              <w:rPr>
                <w:rFonts w:eastAsiaTheme="minorHAnsi"/>
                <w:sz w:val="22"/>
                <w:szCs w:val="22"/>
              </w:rPr>
              <w:t>-.515</w:t>
            </w:r>
          </w:p>
        </w:tc>
        <w:tc>
          <w:tcPr>
            <w:tcW w:w="1843" w:type="dxa"/>
          </w:tcPr>
          <w:p w14:paraId="5E275453" w14:textId="77777777" w:rsidR="0048099F" w:rsidRPr="00076B84" w:rsidRDefault="0048099F" w:rsidP="00EE4774">
            <w:pPr>
              <w:autoSpaceDE w:val="0"/>
              <w:autoSpaceDN w:val="0"/>
              <w:adjustRightInd w:val="0"/>
              <w:ind w:left="60" w:right="60"/>
              <w:jc w:val="center"/>
              <w:rPr>
                <w:sz w:val="22"/>
                <w:szCs w:val="22"/>
              </w:rPr>
            </w:pPr>
            <w:r w:rsidRPr="00076B84">
              <w:rPr>
                <w:rFonts w:eastAsiaTheme="minorHAnsi"/>
                <w:sz w:val="22"/>
                <w:szCs w:val="22"/>
              </w:rPr>
              <w:t>.142</w:t>
            </w:r>
          </w:p>
        </w:tc>
      </w:tr>
    </w:tbl>
    <w:p w14:paraId="57176FB1" w14:textId="77777777" w:rsidR="0048099F" w:rsidRPr="00076B84" w:rsidRDefault="0048099F" w:rsidP="0048099F">
      <w:pPr>
        <w:autoSpaceDE w:val="0"/>
        <w:autoSpaceDN w:val="0"/>
        <w:adjustRightInd w:val="0"/>
        <w:ind w:left="60" w:right="60"/>
        <w:rPr>
          <w:color w:val="010205"/>
        </w:rPr>
      </w:pPr>
    </w:p>
    <w:p w14:paraId="6040DE2A" w14:textId="77777777" w:rsidR="0048099F" w:rsidRPr="00076B84" w:rsidRDefault="0048099F" w:rsidP="0048099F"/>
    <w:p w14:paraId="3397EE04" w14:textId="328E792C" w:rsidR="00BB6ED4" w:rsidRPr="00076B84" w:rsidRDefault="003D6BE0" w:rsidP="00BB6ED4">
      <w:pPr>
        <w:rPr>
          <w:b/>
          <w:lang w:val="en-US"/>
        </w:rPr>
      </w:pPr>
      <w:r w:rsidRPr="00076B84">
        <w:rPr>
          <w:b/>
          <w:lang w:val="en-US"/>
        </w:rPr>
        <w:t xml:space="preserve">7. </w:t>
      </w:r>
      <w:r w:rsidR="00BB6ED4" w:rsidRPr="00076B84">
        <w:rPr>
          <w:b/>
          <w:lang w:val="en-US"/>
        </w:rPr>
        <w:t>Conclusions and discussion</w:t>
      </w:r>
    </w:p>
    <w:p w14:paraId="0A66B784" w14:textId="00807F25" w:rsidR="00F47500" w:rsidRDefault="001F5D18" w:rsidP="0048099F">
      <w:pPr>
        <w:rPr>
          <w:lang w:val="en-US"/>
        </w:rPr>
      </w:pPr>
      <w:r w:rsidRPr="00076B84">
        <w:t>The approach described here seems promising. It does appear that we can identify three distinct dimensions in the bibliometric data</w:t>
      </w:r>
      <w:r w:rsidR="002679F5" w:rsidRPr="00076B84">
        <w:t>, and these are similar between the two different datasets we used</w:t>
      </w:r>
      <w:r w:rsidRPr="00076B84">
        <w:t xml:space="preserve">. The </w:t>
      </w:r>
      <w:r w:rsidR="002679F5" w:rsidRPr="00076B84">
        <w:t>use of these resulting variables</w:t>
      </w:r>
      <w:r w:rsidRPr="00076B84">
        <w:t xml:space="preserve"> have </w:t>
      </w:r>
      <w:r w:rsidR="002679F5" w:rsidRPr="00076B84">
        <w:t xml:space="preserve">been </w:t>
      </w:r>
      <w:r w:rsidRPr="00076B84">
        <w:t xml:space="preserve">used </w:t>
      </w:r>
      <w:r w:rsidR="00964937">
        <w:rPr>
          <w:lang w:val="en-US"/>
        </w:rPr>
        <w:t>in d</w:t>
      </w:r>
      <w:r w:rsidR="002679F5" w:rsidRPr="00076B84">
        <w:t>ifferent studies about gender bias in careers, grants and awards (Van den Besselaar &amp; Mom 2021; Van den Besselaar &amp; Mom forthcoming)</w:t>
      </w:r>
      <w:r w:rsidRPr="00076B84">
        <w:t xml:space="preserve">. </w:t>
      </w:r>
      <w:r w:rsidR="00F47500" w:rsidRPr="00076B84">
        <w:t>The outcomes of those studies are less vulnerable for the choice of individual indicators.</w:t>
      </w:r>
      <w:r w:rsidR="00F47500" w:rsidRPr="00076B84">
        <w:rPr>
          <w:lang w:val="en-US"/>
        </w:rPr>
        <w:t xml:space="preserve"> </w:t>
      </w:r>
      <w:r w:rsidR="00F47500">
        <w:rPr>
          <w:lang w:val="en-US"/>
        </w:rPr>
        <w:t>Th</w:t>
      </w:r>
      <w:r w:rsidR="00964937">
        <w:rPr>
          <w:lang w:val="en-US"/>
        </w:rPr>
        <w:t>e use of the three dimensions in studies suggest that the relative impact is not very useful, as this variable gives similar scores for very different performance levels.</w:t>
      </w:r>
      <w:r w:rsidR="00964937">
        <w:rPr>
          <w:lang w:val="en-US"/>
        </w:rPr>
        <w:t xml:space="preserve"> Furthermore, the Journal Impact varia</w:t>
      </w:r>
      <w:r w:rsidR="00D54B85">
        <w:rPr>
          <w:lang w:val="en-US"/>
        </w:rPr>
        <w:t>ble</w:t>
      </w:r>
      <w:r w:rsidR="00F47500">
        <w:rPr>
          <w:lang w:val="en-US"/>
        </w:rPr>
        <w:t xml:space="preserve"> is for theoretical reasons probably more a reputation than as performance measure. Consequently, we reduced the original 17 indicators into two underlying variables with a measurement model: </w:t>
      </w:r>
    </w:p>
    <w:p w14:paraId="4898B5CF" w14:textId="77777777" w:rsidR="00F47500" w:rsidRPr="00F47500" w:rsidRDefault="00F47500" w:rsidP="00F47500">
      <w:pPr>
        <w:pStyle w:val="ListParagraph"/>
        <w:numPr>
          <w:ilvl w:val="0"/>
          <w:numId w:val="2"/>
        </w:numPr>
        <w:rPr>
          <w:rFonts w:ascii="Times New Roman" w:hAnsi="Times New Roman" w:cs="Times New Roman"/>
          <w:sz w:val="24"/>
        </w:rPr>
      </w:pPr>
      <w:r w:rsidRPr="00F47500">
        <w:rPr>
          <w:rFonts w:ascii="Times New Roman" w:hAnsi="Times New Roman" w:cs="Times New Roman"/>
          <w:sz w:val="24"/>
        </w:rPr>
        <w:t>(total) impact</w:t>
      </w:r>
    </w:p>
    <w:p w14:paraId="29C8398E" w14:textId="7E658433" w:rsidR="00C62CCC" w:rsidRPr="00F47500" w:rsidRDefault="00F47500" w:rsidP="00F47500">
      <w:pPr>
        <w:pStyle w:val="ListParagraph"/>
        <w:numPr>
          <w:ilvl w:val="0"/>
          <w:numId w:val="2"/>
        </w:numPr>
        <w:rPr>
          <w:rFonts w:ascii="Times New Roman" w:hAnsi="Times New Roman" w:cs="Times New Roman"/>
          <w:sz w:val="24"/>
        </w:rPr>
      </w:pPr>
      <w:r w:rsidRPr="00F47500">
        <w:rPr>
          <w:rFonts w:ascii="Times New Roman" w:hAnsi="Times New Roman" w:cs="Times New Roman"/>
          <w:sz w:val="24"/>
        </w:rPr>
        <w:t>(</w:t>
      </w:r>
      <w:proofErr w:type="gramStart"/>
      <w:r w:rsidRPr="00F47500">
        <w:rPr>
          <w:rFonts w:ascii="Times New Roman" w:hAnsi="Times New Roman" w:cs="Times New Roman"/>
          <w:sz w:val="24"/>
        </w:rPr>
        <w:t>journal</w:t>
      </w:r>
      <w:proofErr w:type="gramEnd"/>
      <w:r w:rsidRPr="00F47500">
        <w:rPr>
          <w:rFonts w:ascii="Times New Roman" w:hAnsi="Times New Roman" w:cs="Times New Roman"/>
          <w:sz w:val="24"/>
        </w:rPr>
        <w:t xml:space="preserve"> impact =) reputation</w:t>
      </w:r>
    </w:p>
    <w:p w14:paraId="7315A91E" w14:textId="77777777" w:rsidR="00B339EE" w:rsidRDefault="00B339EE" w:rsidP="0048099F"/>
    <w:p w14:paraId="6966D4DF" w14:textId="77777777" w:rsidR="00F47500" w:rsidRDefault="00F47500" w:rsidP="0048099F"/>
    <w:p w14:paraId="736616C2" w14:textId="77777777" w:rsidR="00F47500" w:rsidRPr="00076B84" w:rsidRDefault="00F47500" w:rsidP="0048099F"/>
    <w:p w14:paraId="482D218D" w14:textId="4DC3025E" w:rsidR="00BB6ED4" w:rsidRPr="00076B84" w:rsidRDefault="003D6BE0" w:rsidP="0048099F">
      <w:r w:rsidRPr="00076B84">
        <w:rPr>
          <w:b/>
          <w:iCs/>
          <w:lang w:val="en-US"/>
        </w:rPr>
        <w:lastRenderedPageBreak/>
        <w:t xml:space="preserve">8. </w:t>
      </w:r>
      <w:r w:rsidR="00BB6ED4" w:rsidRPr="00076B84">
        <w:rPr>
          <w:b/>
          <w:iCs/>
          <w:lang w:val="en-US"/>
        </w:rPr>
        <w:t>Acknowledgements</w:t>
      </w:r>
    </w:p>
    <w:p w14:paraId="066D012B" w14:textId="7B8C5240" w:rsidR="00BB6ED4" w:rsidRPr="00076B84" w:rsidRDefault="00BB6ED4" w:rsidP="0048099F">
      <w:r w:rsidRPr="00076B84">
        <w:t>This paper is an outcome of the GRANteD pro</w:t>
      </w:r>
      <w:r w:rsidR="00EE4774" w:rsidRPr="00076B84">
        <w:t>j</w:t>
      </w:r>
      <w:r w:rsidRPr="00076B84">
        <w:t>e</w:t>
      </w:r>
      <w:r w:rsidR="00EE4774" w:rsidRPr="00076B84">
        <w:t>c</w:t>
      </w:r>
      <w:r w:rsidRPr="00076B84">
        <w:t xml:space="preserve">t. This project received funding from the European Union’s Horizon 2020 </w:t>
      </w:r>
      <w:r w:rsidR="00CE7CC9" w:rsidRPr="00076B84">
        <w:t>research and innovation programme under grant agreement No 824574</w:t>
      </w:r>
    </w:p>
    <w:p w14:paraId="1ED28FD0" w14:textId="77777777" w:rsidR="00CE7CC9" w:rsidRPr="00076B84" w:rsidRDefault="00CE7CC9" w:rsidP="0048099F"/>
    <w:p w14:paraId="0EE3D317" w14:textId="36817929" w:rsidR="00BB6ED4" w:rsidRPr="00076B84" w:rsidRDefault="003D6BE0" w:rsidP="00BB6ED4">
      <w:pPr>
        <w:rPr>
          <w:b/>
          <w:lang w:val="en-US"/>
        </w:rPr>
      </w:pPr>
      <w:r w:rsidRPr="00076B84">
        <w:rPr>
          <w:b/>
          <w:lang w:val="en-US"/>
        </w:rPr>
        <w:t xml:space="preserve">9. </w:t>
      </w:r>
      <w:r w:rsidR="00BB6ED4" w:rsidRPr="00076B84">
        <w:rPr>
          <w:b/>
          <w:lang w:val="en-US"/>
        </w:rPr>
        <w:t>References</w:t>
      </w:r>
    </w:p>
    <w:p w14:paraId="5B93F5D2" w14:textId="681F4D8B" w:rsidR="00C84B90" w:rsidRPr="00076B84" w:rsidRDefault="00C84B90" w:rsidP="00FE1927">
      <w:pPr>
        <w:ind w:left="567" w:hanging="567"/>
        <w:rPr>
          <w:lang w:val="en-US"/>
        </w:rPr>
      </w:pPr>
      <w:r w:rsidRPr="00076B84">
        <w:rPr>
          <w:lang w:val="en-US"/>
        </w:rPr>
        <w:t xml:space="preserve">Butler, L. (2003). Explaining Australia’s increased share of ISI publications—the effects of a funding formula based on publication counts. </w:t>
      </w:r>
      <w:r w:rsidRPr="00076B84">
        <w:rPr>
          <w:i/>
          <w:lang w:val="en-US"/>
        </w:rPr>
        <w:t>Research Policy</w:t>
      </w:r>
      <w:r w:rsidRPr="00076B84">
        <w:rPr>
          <w:lang w:val="en-US"/>
        </w:rPr>
        <w:t xml:space="preserve"> </w:t>
      </w:r>
      <w:r w:rsidRPr="00076B84">
        <w:rPr>
          <w:b/>
          <w:lang w:val="en-US"/>
        </w:rPr>
        <w:t xml:space="preserve">32 </w:t>
      </w:r>
      <w:r w:rsidRPr="00076B84">
        <w:rPr>
          <w:lang w:val="en-US"/>
        </w:rPr>
        <w:t>pp. 143–155.</w:t>
      </w:r>
    </w:p>
    <w:p w14:paraId="387D4107" w14:textId="5C299191" w:rsidR="00F9336E" w:rsidRPr="00076B84" w:rsidRDefault="00F9336E" w:rsidP="00FE1927">
      <w:pPr>
        <w:ind w:left="567" w:hanging="567"/>
      </w:pPr>
      <w:r w:rsidRPr="00076B84">
        <w:t xml:space="preserve">Cole </w:t>
      </w:r>
      <w:r w:rsidR="00626DE3" w:rsidRPr="00076B84">
        <w:t>JR (</w:t>
      </w:r>
      <w:r w:rsidRPr="00076B84">
        <w:t>1979</w:t>
      </w:r>
      <w:r w:rsidR="00626DE3" w:rsidRPr="00076B84">
        <w:t xml:space="preserve">) Fair science: Women in the scientific community. The Free Press. </w:t>
      </w:r>
    </w:p>
    <w:p w14:paraId="4D9D0FA3" w14:textId="33B5E4A5" w:rsidR="00626DE3" w:rsidRPr="00076B84" w:rsidRDefault="00626DE3" w:rsidP="00FE1927">
      <w:pPr>
        <w:ind w:left="567" w:hanging="567"/>
      </w:pPr>
      <w:r w:rsidRPr="00076B84">
        <w:t xml:space="preserve">Cole S &amp; Fiorentine R (1991) Discrimination against women in science: the confusion of outcome with process. In: </w:t>
      </w:r>
      <w:r w:rsidRPr="00076B84">
        <w:rPr>
          <w:i/>
          <w:iCs/>
        </w:rPr>
        <w:t>The outer circle: Women in the scientific community</w:t>
      </w:r>
      <w:r w:rsidRPr="00076B84">
        <w:t>.</w:t>
      </w:r>
    </w:p>
    <w:p w14:paraId="2D467FC6" w14:textId="77777777" w:rsidR="00A76FB8" w:rsidRPr="00076B84" w:rsidRDefault="00A76FB8" w:rsidP="00FE1927">
      <w:pPr>
        <w:ind w:left="567" w:hanging="567"/>
      </w:pPr>
      <w:r w:rsidRPr="00076B84">
        <w:rPr>
          <w:lang w:val="es-ES"/>
        </w:rPr>
        <w:t>Cruz-Castro, L and Sanz-</w:t>
      </w:r>
      <w:proofErr w:type="spellStart"/>
      <w:r w:rsidRPr="00076B84">
        <w:rPr>
          <w:lang w:val="es-ES"/>
        </w:rPr>
        <w:t>Menendez</w:t>
      </w:r>
      <w:proofErr w:type="spellEnd"/>
      <w:r w:rsidRPr="00076B84">
        <w:rPr>
          <w:lang w:val="es-ES"/>
        </w:rPr>
        <w:t xml:space="preserve">, L (2019). </w:t>
      </w:r>
      <w:r w:rsidRPr="00076B84">
        <w:rPr>
          <w:i/>
        </w:rPr>
        <w:t>Grant Allocation Disparities from a Gender Perspective: Literature Review</w:t>
      </w:r>
      <w:r w:rsidRPr="00076B84">
        <w:t>. Synthesis Report. https://doi.org/10.13039/501100000780</w:t>
      </w:r>
    </w:p>
    <w:p w14:paraId="27E2D41C" w14:textId="77777777" w:rsidR="00A76FB8" w:rsidRPr="00076B84" w:rsidRDefault="00A76FB8" w:rsidP="00FE1927">
      <w:pPr>
        <w:ind w:left="567" w:hanging="567"/>
      </w:pPr>
      <w:r w:rsidRPr="00076B84">
        <w:t xml:space="preserve">Cruz-Castro, L., &amp; Sanz-Menéndez, L. (2021). What should be rewarded? Gender and evaluation criteria for tenure and promotion. </w:t>
      </w:r>
      <w:r w:rsidRPr="00076B84">
        <w:rPr>
          <w:i/>
        </w:rPr>
        <w:t>Journal of Informetrics</w:t>
      </w:r>
      <w:r w:rsidRPr="00076B84">
        <w:t>, 15(3), 101196. https://doi.org/10.1016/j.joi.2021.101196</w:t>
      </w:r>
    </w:p>
    <w:p w14:paraId="6EC645BE" w14:textId="7E99A788" w:rsidR="00F9336E" w:rsidRPr="00076B84" w:rsidRDefault="00F9336E" w:rsidP="00FE1927">
      <w:pPr>
        <w:ind w:left="567" w:hanging="567"/>
        <w:rPr>
          <w:bCs/>
          <w:lang w:val="en-US"/>
        </w:rPr>
      </w:pPr>
      <w:proofErr w:type="spellStart"/>
      <w:r w:rsidRPr="00076B84">
        <w:rPr>
          <w:bCs/>
          <w:lang w:val="en-US"/>
        </w:rPr>
        <w:t>Drenth</w:t>
      </w:r>
      <w:proofErr w:type="spellEnd"/>
      <w:r w:rsidRPr="00076B84">
        <w:rPr>
          <w:bCs/>
          <w:lang w:val="en-US"/>
        </w:rPr>
        <w:t xml:space="preserve"> </w:t>
      </w:r>
      <w:r w:rsidR="00FE1927" w:rsidRPr="00076B84">
        <w:rPr>
          <w:bCs/>
          <w:lang w:val="en-US"/>
        </w:rPr>
        <w:t xml:space="preserve">P </w:t>
      </w:r>
      <w:r w:rsidRPr="00076B84">
        <w:rPr>
          <w:bCs/>
          <w:lang w:val="en-US"/>
        </w:rPr>
        <w:t xml:space="preserve">&amp; </w:t>
      </w:r>
      <w:r w:rsidR="00FE1927" w:rsidRPr="00076B84">
        <w:rPr>
          <w:bCs/>
          <w:lang w:val="en-US"/>
        </w:rPr>
        <w:t xml:space="preserve">K </w:t>
      </w:r>
      <w:proofErr w:type="spellStart"/>
      <w:r w:rsidRPr="00076B84">
        <w:rPr>
          <w:bCs/>
          <w:lang w:val="en-US"/>
        </w:rPr>
        <w:t>Sijtsma</w:t>
      </w:r>
      <w:proofErr w:type="spellEnd"/>
      <w:r w:rsidRPr="00076B84">
        <w:rPr>
          <w:bCs/>
          <w:lang w:val="en-US"/>
        </w:rPr>
        <w:t xml:space="preserve"> </w:t>
      </w:r>
      <w:r w:rsidR="00FE1927" w:rsidRPr="00076B84">
        <w:rPr>
          <w:bCs/>
          <w:lang w:val="en-US"/>
        </w:rPr>
        <w:t>(</w:t>
      </w:r>
      <w:r w:rsidRPr="00076B84">
        <w:rPr>
          <w:bCs/>
          <w:lang w:val="en-US"/>
        </w:rPr>
        <w:t>2006</w:t>
      </w:r>
      <w:r w:rsidR="00FE1927" w:rsidRPr="00076B84">
        <w:rPr>
          <w:bCs/>
          <w:lang w:val="en-US"/>
        </w:rPr>
        <w:t xml:space="preserve">) Test theory. Introduction in the theory of the psychological test and its applications (in Dutch). Boom.   </w:t>
      </w:r>
    </w:p>
    <w:p w14:paraId="66C8FB63" w14:textId="1F0ACCA7" w:rsidR="00D060FA" w:rsidRPr="00076B84" w:rsidRDefault="00D060FA" w:rsidP="00FE1927">
      <w:pPr>
        <w:ind w:left="567" w:hanging="567"/>
      </w:pPr>
      <w:r w:rsidRPr="00076B84">
        <w:rPr>
          <w:rStyle w:val="previewtxt"/>
        </w:rPr>
        <w:t>Espeland W.N.</w:t>
      </w:r>
      <w:r w:rsidRPr="00076B84">
        <w:rPr>
          <w:color w:val="C0C0C0"/>
        </w:rPr>
        <w:t xml:space="preserve">, </w:t>
      </w:r>
      <w:r w:rsidRPr="00076B84">
        <w:rPr>
          <w:rStyle w:val="previewtxt"/>
        </w:rPr>
        <w:t>Sauder M.</w:t>
      </w:r>
      <w:r w:rsidRPr="00076B84">
        <w:t xml:space="preserve"> </w:t>
      </w:r>
      <w:r w:rsidRPr="00076B84">
        <w:rPr>
          <w:lang w:val="en-US"/>
        </w:rPr>
        <w:t xml:space="preserve"> </w:t>
      </w:r>
      <w:r w:rsidRPr="00076B84">
        <w:t>(2016)  </w:t>
      </w:r>
      <w:r w:rsidRPr="00076B84">
        <w:rPr>
          <w:i/>
          <w:iCs/>
        </w:rPr>
        <w:t>Engines of Anxiety: Academic Rankings, Reputation, and Accountability</w:t>
      </w:r>
      <w:r w:rsidRPr="00076B84">
        <w:t xml:space="preserve">. </w:t>
      </w:r>
    </w:p>
    <w:p w14:paraId="4F3CA6E0" w14:textId="4CC7FB4A" w:rsidR="001F4604" w:rsidRPr="00076B84" w:rsidRDefault="001F4604" w:rsidP="00FE1927">
      <w:pPr>
        <w:ind w:left="567" w:hanging="567"/>
        <w:rPr>
          <w:lang w:val="nl-NL"/>
        </w:rPr>
      </w:pPr>
      <w:proofErr w:type="spellStart"/>
      <w:r w:rsidRPr="00076B84">
        <w:rPr>
          <w:lang w:val="en-US"/>
        </w:rPr>
        <w:t>Glänzel</w:t>
      </w:r>
      <w:proofErr w:type="spellEnd"/>
      <w:r w:rsidRPr="00076B84">
        <w:rPr>
          <w:lang w:val="en-US"/>
        </w:rPr>
        <w:t xml:space="preserve"> </w:t>
      </w:r>
      <w:r w:rsidR="00FE1927" w:rsidRPr="00076B84">
        <w:rPr>
          <w:lang w:val="en-US"/>
        </w:rPr>
        <w:t xml:space="preserve">W &amp; </w:t>
      </w:r>
      <w:proofErr w:type="spellStart"/>
      <w:r w:rsidR="00FE1927" w:rsidRPr="00076B84">
        <w:rPr>
          <w:lang w:val="en-US"/>
        </w:rPr>
        <w:t>Debackere</w:t>
      </w:r>
      <w:proofErr w:type="spellEnd"/>
      <w:r w:rsidR="00FE1927" w:rsidRPr="00076B84">
        <w:rPr>
          <w:lang w:val="en-US"/>
        </w:rPr>
        <w:t xml:space="preserve"> K (2009) On the “multi-dimensionality” of ranking the role of bibliometrics in university assessments. </w:t>
      </w:r>
      <w:r w:rsidR="00FE1927" w:rsidRPr="00076B84">
        <w:rPr>
          <w:lang w:val="nl-NL"/>
        </w:rPr>
        <w:t xml:space="preserve">In: Ranking Universities. Brussels: VUB.   </w:t>
      </w:r>
    </w:p>
    <w:p w14:paraId="2756A61D" w14:textId="77777777" w:rsidR="00626DE3" w:rsidRPr="00076B84" w:rsidRDefault="00626DE3" w:rsidP="00547165">
      <w:pPr>
        <w:pStyle w:val="008-References"/>
        <w:ind w:left="567" w:hanging="567"/>
        <w:rPr>
          <w:sz w:val="24"/>
          <w:lang w:val="en-US"/>
        </w:rPr>
      </w:pPr>
      <w:r w:rsidRPr="00076B84">
        <w:rPr>
          <w:sz w:val="24"/>
          <w:lang w:val="nl-NL"/>
        </w:rPr>
        <w:t xml:space="preserve">Hicks D., Wouters P., Waltman L., de Rijcke S. &amp; Rafols I. (2015). </w:t>
      </w:r>
      <w:r w:rsidRPr="00076B84">
        <w:rPr>
          <w:sz w:val="24"/>
          <w:lang w:val="en-US"/>
        </w:rPr>
        <w:t xml:space="preserve">Bibliometrics: The Leiden Manifesto for research metrics. </w:t>
      </w:r>
      <w:r w:rsidRPr="00076B84">
        <w:rPr>
          <w:i/>
          <w:sz w:val="24"/>
          <w:lang w:val="en-US"/>
        </w:rPr>
        <w:t>Nature</w:t>
      </w:r>
      <w:r w:rsidRPr="00076B84">
        <w:rPr>
          <w:sz w:val="24"/>
          <w:lang w:val="en-US"/>
        </w:rPr>
        <w:t>, April 22, 2015</w:t>
      </w:r>
    </w:p>
    <w:p w14:paraId="3E7D846E" w14:textId="36AF3201" w:rsidR="006218BB" w:rsidRPr="00F47500" w:rsidRDefault="006218BB" w:rsidP="00547165">
      <w:pPr>
        <w:pStyle w:val="Bibliography1"/>
        <w:spacing w:line="240" w:lineRule="auto"/>
        <w:rPr>
          <w:color w:val="000000"/>
        </w:rPr>
      </w:pPr>
      <w:r w:rsidRPr="00F47500">
        <w:rPr>
          <w:color w:val="000000"/>
        </w:rPr>
        <w:t xml:space="preserve">Kahneman D, Sibony O, Sunstein CR, </w:t>
      </w:r>
      <w:r>
        <w:rPr>
          <w:color w:val="000000"/>
        </w:rPr>
        <w:t xml:space="preserve">(2019) </w:t>
      </w:r>
      <w:r w:rsidRPr="00F47500">
        <w:rPr>
          <w:i/>
          <w:iCs/>
          <w:color w:val="000000"/>
        </w:rPr>
        <w:t>Noise, a flaw in human judgement</w:t>
      </w:r>
      <w:r>
        <w:rPr>
          <w:color w:val="000000"/>
        </w:rPr>
        <w:t>. Hachett Book Group, New York.</w:t>
      </w:r>
    </w:p>
    <w:p w14:paraId="20884775" w14:textId="53CB6F66" w:rsidR="00547165" w:rsidRPr="00076B84" w:rsidRDefault="00547165" w:rsidP="00547165">
      <w:pPr>
        <w:pStyle w:val="Bibliography1"/>
        <w:spacing w:line="240" w:lineRule="auto"/>
        <w:rPr>
          <w:color w:val="000000"/>
        </w:rPr>
      </w:pPr>
      <w:r w:rsidRPr="00F47500">
        <w:rPr>
          <w:color w:val="000000"/>
        </w:rPr>
        <w:t xml:space="preserve">Neumann, M., Niessen, A. S. M., Hurks, P. P. M. &amp; Meijer, R. R., </w:t>
      </w:r>
      <w:r w:rsidRPr="00F47500">
        <w:rPr>
          <w:color w:val="000000"/>
        </w:rPr>
        <w:t>(30-Jan-2023</w:t>
      </w:r>
      <w:r w:rsidRPr="00F47500">
        <w:rPr>
          <w:color w:val="000000"/>
        </w:rPr>
        <w:t xml:space="preserve">. </w:t>
      </w:r>
      <w:r w:rsidRPr="00076B84">
        <w:rPr>
          <w:color w:val="000000"/>
        </w:rPr>
        <w:t>E-pub ahead of print)</w:t>
      </w:r>
      <w:r w:rsidRPr="00076B84">
        <w:rPr>
          <w:color w:val="000000"/>
        </w:rPr>
        <w:t xml:space="preserve">. </w:t>
      </w:r>
      <w:r w:rsidRPr="00076B84">
        <w:rPr>
          <w:color w:val="000000"/>
        </w:rPr>
        <w:t>Holistic and mechanical combination in psychological assessment: Why algorithms are underutilized and what is needed to increase their use</w:t>
      </w:r>
      <w:r w:rsidRPr="00076B84">
        <w:rPr>
          <w:color w:val="000000"/>
        </w:rPr>
        <w:t>.</w:t>
      </w:r>
      <w:r w:rsidRPr="00076B84">
        <w:rPr>
          <w:color w:val="000000"/>
        </w:rPr>
        <w:t xml:space="preserve"> </w:t>
      </w:r>
      <w:r w:rsidRPr="00076B84">
        <w:rPr>
          <w:color w:val="000000"/>
        </w:rPr>
        <w:t xml:space="preserve">In: </w:t>
      </w:r>
      <w:r w:rsidRPr="00076B84">
        <w:rPr>
          <w:i/>
          <w:iCs/>
          <w:color w:val="000000"/>
        </w:rPr>
        <w:t>International Journal of Selection and Assessment</w:t>
      </w:r>
      <w:r w:rsidRPr="00076B84">
        <w:rPr>
          <w:color w:val="000000"/>
        </w:rPr>
        <w:t>.</w:t>
      </w:r>
      <w:r w:rsidRPr="00076B84">
        <w:rPr>
          <w:color w:val="000000"/>
        </w:rPr>
        <w:t xml:space="preserve"> </w:t>
      </w:r>
    </w:p>
    <w:p w14:paraId="12DDF6AA" w14:textId="38905367" w:rsidR="00C84B90" w:rsidRPr="00076B84" w:rsidRDefault="00C84B90" w:rsidP="00FE1927">
      <w:pPr>
        <w:pStyle w:val="008-References"/>
        <w:ind w:left="567" w:hanging="567"/>
        <w:rPr>
          <w:sz w:val="24"/>
          <w:lang w:val="en-US"/>
        </w:rPr>
      </w:pPr>
      <w:r w:rsidRPr="00076B84">
        <w:rPr>
          <w:sz w:val="24"/>
          <w:lang w:val="nl-NL"/>
        </w:rPr>
        <w:t xml:space="preserve">Sandström U. &amp; van den Besselaar P. (2016). </w:t>
      </w:r>
      <w:r w:rsidRPr="00076B84">
        <w:rPr>
          <w:sz w:val="24"/>
          <w:lang w:val="en-US"/>
        </w:rPr>
        <w:t xml:space="preserve">Quantity and/or Quality? The Importance of Publishing Many Papers. </w:t>
      </w:r>
      <w:proofErr w:type="spellStart"/>
      <w:r w:rsidRPr="00076B84">
        <w:rPr>
          <w:sz w:val="24"/>
          <w:lang w:val="en-US"/>
        </w:rPr>
        <w:t>PLoS</w:t>
      </w:r>
      <w:proofErr w:type="spellEnd"/>
      <w:r w:rsidRPr="00076B84">
        <w:rPr>
          <w:sz w:val="24"/>
          <w:lang w:val="en-US"/>
        </w:rPr>
        <w:t xml:space="preserve"> ONE 11(11): e0166149. </w:t>
      </w:r>
      <w:proofErr w:type="spellStart"/>
      <w:r w:rsidRPr="00076B84">
        <w:rPr>
          <w:sz w:val="24"/>
          <w:lang w:val="en-US"/>
        </w:rPr>
        <w:t>doi</w:t>
      </w:r>
      <w:proofErr w:type="spellEnd"/>
      <w:r w:rsidRPr="00076B84">
        <w:rPr>
          <w:sz w:val="24"/>
          <w:lang w:val="en-US"/>
        </w:rPr>
        <w:t>:</w:t>
      </w:r>
    </w:p>
    <w:p w14:paraId="23EE1D32" w14:textId="583A86A3" w:rsidR="00D060FA" w:rsidRPr="00076B84" w:rsidRDefault="00D060FA" w:rsidP="00FE1927">
      <w:pPr>
        <w:ind w:left="567" w:hanging="567"/>
      </w:pPr>
      <w:r w:rsidRPr="00076B84">
        <w:rPr>
          <w:lang w:val="nl-NL"/>
        </w:rPr>
        <w:t xml:space="preserve">Van den Besselaar P, Mom C, Cruz-Castro L, </w:t>
      </w:r>
      <w:proofErr w:type="spellStart"/>
      <w:r w:rsidRPr="00076B84">
        <w:rPr>
          <w:lang w:val="nl-NL"/>
        </w:rPr>
        <w:t>Sanz-Menendez</w:t>
      </w:r>
      <w:proofErr w:type="spellEnd"/>
      <w:r w:rsidRPr="00076B84">
        <w:rPr>
          <w:lang w:val="nl-NL"/>
        </w:rPr>
        <w:t xml:space="preserve"> L (</w:t>
      </w:r>
      <w:proofErr w:type="spellStart"/>
      <w:r w:rsidRPr="00076B84">
        <w:rPr>
          <w:lang w:val="nl-NL"/>
        </w:rPr>
        <w:t>eds</w:t>
      </w:r>
      <w:proofErr w:type="spellEnd"/>
      <w:r w:rsidRPr="00076B84">
        <w:rPr>
          <w:lang w:val="nl-NL"/>
        </w:rPr>
        <w:t xml:space="preserve">.) </w:t>
      </w:r>
      <w:r w:rsidRPr="00076B84">
        <w:t xml:space="preserve">(2020) </w:t>
      </w:r>
      <w:r w:rsidRPr="00076B84">
        <w:rPr>
          <w:i/>
        </w:rPr>
        <w:t>Identifying gender bias in grant allocation, and its causes and effects</w:t>
      </w:r>
      <w:r w:rsidRPr="00076B84">
        <w:t xml:space="preserve">. Deliverable D2.1, GRANteD project. </w:t>
      </w:r>
    </w:p>
    <w:p w14:paraId="07D094E1" w14:textId="77777777" w:rsidR="00FE1927" w:rsidRPr="00F47500" w:rsidRDefault="00FE1927" w:rsidP="00FE1927">
      <w:pPr>
        <w:ind w:left="567" w:hanging="567"/>
        <w:rPr>
          <w:sz w:val="22"/>
          <w:szCs w:val="22"/>
        </w:rPr>
      </w:pPr>
      <w:r w:rsidRPr="00F47500">
        <w:rPr>
          <w:sz w:val="22"/>
          <w:szCs w:val="22"/>
        </w:rPr>
        <w:t xml:space="preserve">Van den Besselaar P, Heyman U, Sandström U, Perverse effects </w:t>
      </w:r>
      <w:r w:rsidRPr="00F47500">
        <w:rPr>
          <w:bCs/>
          <w:sz w:val="22"/>
          <w:szCs w:val="22"/>
        </w:rPr>
        <w:t>of output-based research funding? Butler’s Australian case revisited</w:t>
      </w:r>
      <w:r w:rsidRPr="00F47500">
        <w:rPr>
          <w:sz w:val="22"/>
          <w:szCs w:val="22"/>
        </w:rPr>
        <w:t xml:space="preserve">, </w:t>
      </w:r>
      <w:r w:rsidRPr="00F47500">
        <w:rPr>
          <w:i/>
          <w:sz w:val="22"/>
          <w:szCs w:val="22"/>
        </w:rPr>
        <w:t xml:space="preserve">Journal of Informetrics </w:t>
      </w:r>
      <w:r w:rsidRPr="00F47500">
        <w:rPr>
          <w:b/>
          <w:sz w:val="22"/>
          <w:szCs w:val="22"/>
        </w:rPr>
        <w:t>11</w:t>
      </w:r>
      <w:r w:rsidRPr="00F47500">
        <w:rPr>
          <w:sz w:val="22"/>
          <w:szCs w:val="22"/>
        </w:rPr>
        <w:t xml:space="preserve"> 2017, 905-918</w:t>
      </w:r>
    </w:p>
    <w:p w14:paraId="6A5A0912" w14:textId="34A64B7D" w:rsidR="00D060FA" w:rsidRPr="00076B84" w:rsidRDefault="00D060FA" w:rsidP="00FE1927">
      <w:pPr>
        <w:ind w:left="567" w:hanging="567"/>
        <w:rPr>
          <w:b/>
          <w:bCs/>
          <w:lang w:val="en-US"/>
        </w:rPr>
      </w:pPr>
      <w:r w:rsidRPr="00076B84">
        <w:rPr>
          <w:lang w:val="nl-NL"/>
        </w:rPr>
        <w:t xml:space="preserve">Van Den Besselaar, P., Sandström, U., &amp; Mom, C. (2019). </w:t>
      </w:r>
      <w:r w:rsidRPr="00076B84">
        <w:rPr>
          <w:lang w:val="en-US"/>
        </w:rPr>
        <w:t xml:space="preserve">Recognition through performance and reputation. In G. Catalano, C. </w:t>
      </w:r>
      <w:proofErr w:type="spellStart"/>
      <w:r w:rsidRPr="00076B84">
        <w:rPr>
          <w:lang w:val="en-US"/>
        </w:rPr>
        <w:t>Daraio</w:t>
      </w:r>
      <w:proofErr w:type="spellEnd"/>
      <w:r w:rsidRPr="00076B84">
        <w:rPr>
          <w:lang w:val="en-US"/>
        </w:rPr>
        <w:t xml:space="preserve">, M. </w:t>
      </w:r>
      <w:proofErr w:type="spellStart"/>
      <w:r w:rsidRPr="00076B84">
        <w:rPr>
          <w:lang w:val="en-US"/>
        </w:rPr>
        <w:t>Gregori</w:t>
      </w:r>
      <w:proofErr w:type="spellEnd"/>
      <w:r w:rsidRPr="00076B84">
        <w:rPr>
          <w:lang w:val="en-US"/>
        </w:rPr>
        <w:t xml:space="preserve">, H. F. </w:t>
      </w:r>
      <w:proofErr w:type="spellStart"/>
      <w:r w:rsidRPr="00076B84">
        <w:rPr>
          <w:lang w:val="en-US"/>
        </w:rPr>
        <w:t>Moed</w:t>
      </w:r>
      <w:proofErr w:type="spellEnd"/>
      <w:r w:rsidRPr="00076B84">
        <w:rPr>
          <w:lang w:val="en-US"/>
        </w:rPr>
        <w:t xml:space="preserve">, &amp; G. </w:t>
      </w:r>
      <w:proofErr w:type="spellStart"/>
      <w:r w:rsidRPr="00076B84">
        <w:rPr>
          <w:lang w:val="en-US"/>
        </w:rPr>
        <w:t>Ruocco</w:t>
      </w:r>
      <w:proofErr w:type="spellEnd"/>
      <w:r w:rsidRPr="00076B84">
        <w:rPr>
          <w:lang w:val="en-US"/>
        </w:rPr>
        <w:t xml:space="preserve"> (Eds.), </w:t>
      </w:r>
      <w:r w:rsidRPr="00076B84">
        <w:rPr>
          <w:i/>
          <w:lang w:val="en-US"/>
        </w:rPr>
        <w:t xml:space="preserve">17th International Conference on Scientometrics and </w:t>
      </w:r>
      <w:proofErr w:type="spellStart"/>
      <w:r w:rsidRPr="00076B84">
        <w:rPr>
          <w:i/>
          <w:lang w:val="en-US"/>
        </w:rPr>
        <w:t>Informetrics</w:t>
      </w:r>
      <w:proofErr w:type="spellEnd"/>
      <w:r w:rsidRPr="00076B84">
        <w:rPr>
          <w:i/>
          <w:lang w:val="en-US"/>
        </w:rPr>
        <w:t xml:space="preserve">, ISSI 2019 - Proceedings </w:t>
      </w:r>
      <w:r w:rsidRPr="00076B84">
        <w:rPr>
          <w:lang w:val="en-US"/>
        </w:rPr>
        <w:t xml:space="preserve">(Vol. 2, pp. 2065-2069). </w:t>
      </w:r>
    </w:p>
    <w:p w14:paraId="75160F6B" w14:textId="6AAAC423" w:rsidR="00F9336E" w:rsidRPr="00076B84" w:rsidRDefault="00D060FA" w:rsidP="00FE1927">
      <w:pPr>
        <w:ind w:left="567" w:hanging="567"/>
        <w:rPr>
          <w:color w:val="000000" w:themeColor="text1"/>
        </w:rPr>
      </w:pPr>
      <w:r w:rsidRPr="00076B84">
        <w:rPr>
          <w:color w:val="000000" w:themeColor="text1"/>
        </w:rPr>
        <w:t xml:space="preserve">Van den Besselaar P, Sandström U (2020) Bibliometrically disciplined peer review; using indicators in research evaluation. In: </w:t>
      </w:r>
      <w:r w:rsidRPr="00076B84">
        <w:rPr>
          <w:i/>
          <w:color w:val="000000" w:themeColor="text1"/>
        </w:rPr>
        <w:t>Scholarly Assessment Reports</w:t>
      </w:r>
      <w:r w:rsidRPr="00076B84">
        <w:rPr>
          <w:color w:val="000000" w:themeColor="text1"/>
        </w:rPr>
        <w:t xml:space="preserve"> </w:t>
      </w:r>
      <w:r w:rsidRPr="00076B84">
        <w:rPr>
          <w:b/>
          <w:color w:val="000000" w:themeColor="text1"/>
        </w:rPr>
        <w:t>1</w:t>
      </w:r>
    </w:p>
    <w:p w14:paraId="6A5A6362" w14:textId="7FEA587C" w:rsidR="00F9336E" w:rsidRPr="00076B84" w:rsidRDefault="00F9336E" w:rsidP="00FE1927">
      <w:pPr>
        <w:ind w:left="567" w:hanging="567"/>
      </w:pPr>
      <w:r w:rsidRPr="00076B84">
        <w:t xml:space="preserve">Van den Besselaar </w:t>
      </w:r>
      <w:r w:rsidR="00FE1927" w:rsidRPr="00076B84">
        <w:t xml:space="preserve">P </w:t>
      </w:r>
      <w:r w:rsidRPr="00076B84">
        <w:t xml:space="preserve">&amp; Mom </w:t>
      </w:r>
      <w:r w:rsidR="00FE1927" w:rsidRPr="00076B84">
        <w:t>C (</w:t>
      </w:r>
      <w:r w:rsidRPr="00076B84">
        <w:t>2021</w:t>
      </w:r>
      <w:r w:rsidR="00FE1927" w:rsidRPr="00076B84">
        <w:t>)</w:t>
      </w:r>
      <w:r w:rsidR="00FE1927" w:rsidRPr="00076B84">
        <w:rPr>
          <w:i/>
          <w:iCs/>
        </w:rPr>
        <w:t xml:space="preserve"> Gender bias in grant allocation, a mixed picture</w:t>
      </w:r>
      <w:r w:rsidR="00FE1927" w:rsidRPr="00076B84">
        <w:t>. Preprint.</w:t>
      </w:r>
    </w:p>
    <w:p w14:paraId="1A4CF327" w14:textId="50FE99A3" w:rsidR="00CE7CC9" w:rsidRPr="00076B84" w:rsidRDefault="00BB6ED4" w:rsidP="00FE1927">
      <w:pPr>
        <w:pStyle w:val="002-Authors"/>
        <w:spacing w:before="0"/>
        <w:ind w:left="567" w:hanging="567"/>
        <w:jc w:val="both"/>
        <w:rPr>
          <w:lang w:val="en-US"/>
        </w:rPr>
      </w:pPr>
      <w:r w:rsidRPr="00076B84">
        <w:t xml:space="preserve">van den Besselaar </w:t>
      </w:r>
      <w:r w:rsidR="00F9336E" w:rsidRPr="00076B84">
        <w:t xml:space="preserve">P </w:t>
      </w:r>
      <w:r w:rsidRPr="00076B84">
        <w:t>&amp; Mom</w:t>
      </w:r>
      <w:r w:rsidR="00F9336E" w:rsidRPr="00076B84">
        <w:t xml:space="preserve"> C</w:t>
      </w:r>
      <w:r w:rsidRPr="00076B84">
        <w:t xml:space="preserve">, </w:t>
      </w:r>
      <w:r w:rsidRPr="00076B84">
        <w:rPr>
          <w:bCs/>
          <w:i/>
          <w:iCs/>
        </w:rPr>
        <w:t>Gender and Merit in Awarding Cum Laude for the PhD Thesis.</w:t>
      </w:r>
      <w:r w:rsidRPr="00076B84">
        <w:rPr>
          <w:bCs/>
        </w:rPr>
        <w:t xml:space="preserve"> Forthcoming</w:t>
      </w:r>
      <w:r w:rsidR="00E65AA3" w:rsidRPr="00076B84">
        <w:rPr>
          <w:bCs/>
        </w:rPr>
        <w:t>.</w:t>
      </w:r>
    </w:p>
    <w:p w14:paraId="7EBA0702" w14:textId="77777777" w:rsidR="00D060FA" w:rsidRPr="00076B84" w:rsidRDefault="00D060FA" w:rsidP="00FE1927">
      <w:pPr>
        <w:ind w:left="567" w:hanging="567"/>
      </w:pPr>
      <w:r w:rsidRPr="00076B84">
        <w:rPr>
          <w:lang w:val="en-US"/>
        </w:rPr>
        <w:t xml:space="preserve">Wilgaard L, Schneider JW, Larsen B (2014). </w:t>
      </w:r>
      <w:r w:rsidRPr="00076B84">
        <w:t xml:space="preserve">A review of the characteristics of 108 author-level bibliometric indicators. </w:t>
      </w:r>
      <w:r w:rsidRPr="00076B84">
        <w:rPr>
          <w:i/>
        </w:rPr>
        <w:t>Scientometrics</w:t>
      </w:r>
      <w:r w:rsidRPr="00076B84">
        <w:t xml:space="preserve"> 101, 125-158</w:t>
      </w:r>
    </w:p>
    <w:p w14:paraId="4339DBCE" w14:textId="78EBA03C" w:rsidR="00C84B90" w:rsidRPr="00076B84" w:rsidRDefault="00C84B90" w:rsidP="00FE1927">
      <w:pPr>
        <w:ind w:left="567" w:hanging="567"/>
        <w:rPr>
          <w:lang w:val="en-US"/>
        </w:rPr>
      </w:pPr>
      <w:proofErr w:type="spellStart"/>
      <w:r w:rsidRPr="00076B84">
        <w:rPr>
          <w:lang w:val="en-US"/>
        </w:rPr>
        <w:lastRenderedPageBreak/>
        <w:t>Wilsdon</w:t>
      </w:r>
      <w:proofErr w:type="spellEnd"/>
      <w:r w:rsidRPr="00076B84">
        <w:rPr>
          <w:lang w:val="en-US"/>
        </w:rPr>
        <w:t xml:space="preserve">, J., et al. (2015). </w:t>
      </w:r>
      <w:r w:rsidRPr="00076B84">
        <w:rPr>
          <w:i/>
          <w:lang w:val="en-US"/>
        </w:rPr>
        <w:t>The Metric Tide: Report of the Independent Review of the Role of Metrics in Research Assessment and Management</w:t>
      </w:r>
      <w:r w:rsidRPr="00076B84">
        <w:rPr>
          <w:lang w:val="en-US"/>
        </w:rPr>
        <w:t xml:space="preserve">. </w:t>
      </w:r>
    </w:p>
    <w:p w14:paraId="6CF03F4F" w14:textId="77777777" w:rsidR="00CE7CC9" w:rsidRPr="00A719C8" w:rsidRDefault="00CE7CC9" w:rsidP="0048099F">
      <w:pPr>
        <w:rPr>
          <w:b/>
          <w:bCs/>
          <w:lang w:val="en-US"/>
        </w:rPr>
      </w:pPr>
    </w:p>
    <w:p w14:paraId="57B9BBA0" w14:textId="77777777" w:rsidR="00CE7CC9" w:rsidRPr="00A719C8" w:rsidRDefault="00CE7CC9" w:rsidP="0048099F">
      <w:pPr>
        <w:rPr>
          <w:b/>
          <w:bCs/>
          <w:lang w:val="en-US"/>
        </w:rPr>
      </w:pPr>
    </w:p>
    <w:sectPr w:rsidR="00CE7CC9" w:rsidRPr="00A719C8" w:rsidSect="006E6E92">
      <w:footerReference w:type="even"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206B" w14:textId="77777777" w:rsidR="00686637" w:rsidRDefault="00686637" w:rsidP="00405B92">
      <w:r>
        <w:separator/>
      </w:r>
    </w:p>
  </w:endnote>
  <w:endnote w:type="continuationSeparator" w:id="0">
    <w:p w14:paraId="50BD7A70" w14:textId="77777777" w:rsidR="00686637" w:rsidRDefault="00686637" w:rsidP="0040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580800"/>
      <w:docPartObj>
        <w:docPartGallery w:val="Page Numbers (Bottom of Page)"/>
        <w:docPartUnique/>
      </w:docPartObj>
    </w:sdtPr>
    <w:sdtContent>
      <w:p w14:paraId="553BAFE8" w14:textId="77777777" w:rsidR="008B4D8A" w:rsidRDefault="008B4D8A" w:rsidP="00BB7B7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827D4" w14:textId="77777777" w:rsidR="008B4D8A" w:rsidRDefault="008B4D8A" w:rsidP="008B4D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188391"/>
      <w:docPartObj>
        <w:docPartGallery w:val="Page Numbers (Bottom of Page)"/>
        <w:docPartUnique/>
      </w:docPartObj>
    </w:sdtPr>
    <w:sdtContent>
      <w:p w14:paraId="07DCB6ED" w14:textId="77777777" w:rsidR="008B4D8A" w:rsidRDefault="008B4D8A" w:rsidP="00BB7B7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624FCE" w14:textId="77777777" w:rsidR="008B4D8A" w:rsidRDefault="008B4D8A" w:rsidP="008B4D8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7041" w14:textId="77777777" w:rsidR="00686637" w:rsidRDefault="00686637" w:rsidP="00405B92">
      <w:r>
        <w:separator/>
      </w:r>
    </w:p>
  </w:footnote>
  <w:footnote w:type="continuationSeparator" w:id="0">
    <w:p w14:paraId="282E1382" w14:textId="77777777" w:rsidR="00686637" w:rsidRDefault="00686637" w:rsidP="00405B92">
      <w:r>
        <w:continuationSeparator/>
      </w:r>
    </w:p>
  </w:footnote>
  <w:footnote w:id="1">
    <w:p w14:paraId="4F89894C" w14:textId="77777777" w:rsidR="00CE7CC9" w:rsidRPr="003D6BE0" w:rsidRDefault="00CE7CC9" w:rsidP="00CE7CC9">
      <w:pPr>
        <w:pStyle w:val="FootnoteText"/>
        <w:rPr>
          <w:rFonts w:cs="Calibri"/>
        </w:rPr>
      </w:pPr>
      <w:r w:rsidRPr="003D6BE0">
        <w:rPr>
          <w:rStyle w:val="FootnoteReference"/>
          <w:rFonts w:cs="Calibri"/>
        </w:rPr>
        <w:footnoteRef/>
      </w:r>
      <w:r w:rsidRPr="003D6BE0">
        <w:rPr>
          <w:rFonts w:cs="Calibri"/>
        </w:rPr>
        <w:t xml:space="preserve"> </w:t>
      </w:r>
      <w:r w:rsidRPr="003D6BE0">
        <w:rPr>
          <w:rFonts w:cs="Calibri"/>
          <w:bCs/>
        </w:rPr>
        <w:t>But we do develop a new indicator for another understudied quality dimension: The researcher’s independence (section 2.3 and Annexes 5 and 6).</w:t>
      </w:r>
      <w:r w:rsidRPr="003D6BE0" w:rsidDel="000B5117">
        <w:rPr>
          <w:rFonts w:cs="Calibri"/>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BF2"/>
    <w:multiLevelType w:val="hybridMultilevel"/>
    <w:tmpl w:val="605C2C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912"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CE3AFF90">
      <w:start w:val="16"/>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 w15:restartNumberingAfterBreak="0">
    <w:nsid w:val="45660E69"/>
    <w:multiLevelType w:val="hybridMultilevel"/>
    <w:tmpl w:val="56347130"/>
    <w:lvl w:ilvl="0" w:tplc="F9DAA9EC">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367F2"/>
    <w:multiLevelType w:val="hybridMultilevel"/>
    <w:tmpl w:val="8FFA0DD2"/>
    <w:lvl w:ilvl="0" w:tplc="0FF0ADA2">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9676C"/>
    <w:multiLevelType w:val="hybridMultilevel"/>
    <w:tmpl w:val="BB204DA2"/>
    <w:lvl w:ilvl="0" w:tplc="122A3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467470">
    <w:abstractNumId w:val="2"/>
  </w:num>
  <w:num w:numId="2" w16cid:durableId="391007598">
    <w:abstractNumId w:val="3"/>
  </w:num>
  <w:num w:numId="3" w16cid:durableId="1849907915">
    <w:abstractNumId w:val="0"/>
  </w:num>
  <w:num w:numId="4" w16cid:durableId="479464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SortMethod w:val="00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9"/>
    <w:rsid w:val="00011FBE"/>
    <w:rsid w:val="00076B84"/>
    <w:rsid w:val="00086D25"/>
    <w:rsid w:val="00164A03"/>
    <w:rsid w:val="001918C5"/>
    <w:rsid w:val="001B795A"/>
    <w:rsid w:val="001F4604"/>
    <w:rsid w:val="001F5D18"/>
    <w:rsid w:val="00202961"/>
    <w:rsid w:val="0022622B"/>
    <w:rsid w:val="002679F5"/>
    <w:rsid w:val="0028476F"/>
    <w:rsid w:val="00330A15"/>
    <w:rsid w:val="0034263F"/>
    <w:rsid w:val="003A668E"/>
    <w:rsid w:val="003D3EC0"/>
    <w:rsid w:val="003D6BE0"/>
    <w:rsid w:val="003E2054"/>
    <w:rsid w:val="00405B92"/>
    <w:rsid w:val="00442DB0"/>
    <w:rsid w:val="0048099F"/>
    <w:rsid w:val="00493E01"/>
    <w:rsid w:val="004C0452"/>
    <w:rsid w:val="004D3559"/>
    <w:rsid w:val="004E69A1"/>
    <w:rsid w:val="004E79F9"/>
    <w:rsid w:val="005400E8"/>
    <w:rsid w:val="00547165"/>
    <w:rsid w:val="0055399B"/>
    <w:rsid w:val="005D382F"/>
    <w:rsid w:val="005D63E8"/>
    <w:rsid w:val="006218BB"/>
    <w:rsid w:val="00626DE3"/>
    <w:rsid w:val="00634FDF"/>
    <w:rsid w:val="006503A0"/>
    <w:rsid w:val="00684B0D"/>
    <w:rsid w:val="00686637"/>
    <w:rsid w:val="006B0788"/>
    <w:rsid w:val="006B3D7A"/>
    <w:rsid w:val="006E6E92"/>
    <w:rsid w:val="007B2CDC"/>
    <w:rsid w:val="007E1FC8"/>
    <w:rsid w:val="007F342D"/>
    <w:rsid w:val="007F6CD9"/>
    <w:rsid w:val="008037B4"/>
    <w:rsid w:val="00826114"/>
    <w:rsid w:val="008307A7"/>
    <w:rsid w:val="00831E04"/>
    <w:rsid w:val="0085226F"/>
    <w:rsid w:val="008B4D8A"/>
    <w:rsid w:val="008D2DA6"/>
    <w:rsid w:val="008D7159"/>
    <w:rsid w:val="008E6C31"/>
    <w:rsid w:val="00930890"/>
    <w:rsid w:val="00964937"/>
    <w:rsid w:val="00977639"/>
    <w:rsid w:val="00A0515D"/>
    <w:rsid w:val="00A1211D"/>
    <w:rsid w:val="00A468CF"/>
    <w:rsid w:val="00A52244"/>
    <w:rsid w:val="00A54E35"/>
    <w:rsid w:val="00A615C5"/>
    <w:rsid w:val="00A719C8"/>
    <w:rsid w:val="00A76FB8"/>
    <w:rsid w:val="00AE53D4"/>
    <w:rsid w:val="00B339EE"/>
    <w:rsid w:val="00B90B70"/>
    <w:rsid w:val="00BB6ED4"/>
    <w:rsid w:val="00BC098B"/>
    <w:rsid w:val="00BE5BAC"/>
    <w:rsid w:val="00C62CCC"/>
    <w:rsid w:val="00C72FEC"/>
    <w:rsid w:val="00C84B90"/>
    <w:rsid w:val="00C90272"/>
    <w:rsid w:val="00CE3D71"/>
    <w:rsid w:val="00CE7CC9"/>
    <w:rsid w:val="00D060FA"/>
    <w:rsid w:val="00D21979"/>
    <w:rsid w:val="00D51337"/>
    <w:rsid w:val="00D54B85"/>
    <w:rsid w:val="00D565E8"/>
    <w:rsid w:val="00DA07FD"/>
    <w:rsid w:val="00E413F0"/>
    <w:rsid w:val="00E65AA3"/>
    <w:rsid w:val="00E73B18"/>
    <w:rsid w:val="00E951F1"/>
    <w:rsid w:val="00EC29F2"/>
    <w:rsid w:val="00EE4774"/>
    <w:rsid w:val="00F106EE"/>
    <w:rsid w:val="00F47500"/>
    <w:rsid w:val="00F9336E"/>
    <w:rsid w:val="00FA7892"/>
    <w:rsid w:val="00FE1927"/>
    <w:rsid w:val="00FE7968"/>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28C63"/>
  <w15:docId w15:val="{71D8A558-CC86-42A9-86D4-733733C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0FA"/>
    <w:rPr>
      <w:rFonts w:ascii="Times New Roman" w:eastAsia="Times New Roman" w:hAnsi="Times New Roman"/>
      <w:sz w:val="24"/>
      <w:szCs w:val="24"/>
      <w:lang w:val="en-NL" w:eastAsia="en-GB"/>
    </w:rPr>
  </w:style>
  <w:style w:type="paragraph" w:styleId="Heading1">
    <w:name w:val="heading 1"/>
    <w:basedOn w:val="Normal"/>
    <w:next w:val="Normal"/>
    <w:link w:val="Heading1Char"/>
    <w:uiPriority w:val="9"/>
    <w:qFormat/>
    <w:rsid w:val="001F3073"/>
    <w:pPr>
      <w:keepNext/>
      <w:spacing w:before="240" w:after="60"/>
      <w:outlineLvl w:val="0"/>
    </w:pPr>
    <w:rPr>
      <w:b/>
      <w:bCs/>
      <w:kern w:val="32"/>
      <w:szCs w:val="32"/>
    </w:rPr>
  </w:style>
  <w:style w:type="paragraph" w:styleId="Heading2">
    <w:name w:val="heading 2"/>
    <w:basedOn w:val="Normal"/>
    <w:next w:val="Normal"/>
    <w:link w:val="Heading2Char"/>
    <w:uiPriority w:val="9"/>
    <w:qFormat/>
    <w:rsid w:val="00EA10C3"/>
    <w:pPr>
      <w:keepNext/>
      <w:spacing w:before="240" w:after="60"/>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Title">
    <w:name w:val="001-Title"/>
    <w:basedOn w:val="Normal"/>
    <w:next w:val="002-Authors"/>
    <w:qFormat/>
    <w:rsid w:val="00112E67"/>
    <w:pPr>
      <w:jc w:val="center"/>
    </w:pPr>
    <w:rPr>
      <w:sz w:val="32"/>
      <w:lang w:val="da-DK"/>
    </w:rPr>
  </w:style>
  <w:style w:type="paragraph" w:customStyle="1" w:styleId="002-Authors">
    <w:name w:val="002-Authors"/>
    <w:basedOn w:val="Normal"/>
    <w:next w:val="003-Email"/>
    <w:qFormat/>
    <w:rsid w:val="009D7DA5"/>
    <w:pPr>
      <w:spacing w:before="360"/>
      <w:jc w:val="center"/>
    </w:pPr>
  </w:style>
  <w:style w:type="paragraph" w:customStyle="1" w:styleId="003-Email">
    <w:name w:val="003-Email"/>
    <w:basedOn w:val="Normal"/>
    <w:next w:val="004-Affiliation"/>
    <w:qFormat/>
    <w:rsid w:val="009D7DA5"/>
    <w:pPr>
      <w:spacing w:before="240"/>
      <w:jc w:val="center"/>
    </w:pPr>
    <w:rPr>
      <w:i/>
      <w:sz w:val="20"/>
    </w:rPr>
  </w:style>
  <w:style w:type="character" w:styleId="Hyperlink">
    <w:name w:val="Hyperlink"/>
    <w:basedOn w:val="DefaultParagraphFont"/>
    <w:uiPriority w:val="99"/>
    <w:unhideWhenUsed/>
    <w:rsid w:val="00112E67"/>
    <w:rPr>
      <w:color w:val="0000FF"/>
      <w:u w:val="single"/>
    </w:rPr>
  </w:style>
  <w:style w:type="paragraph" w:customStyle="1" w:styleId="004-Affiliation">
    <w:name w:val="004-Affiliation"/>
    <w:basedOn w:val="Normal"/>
    <w:next w:val="Normal"/>
    <w:qFormat/>
    <w:rsid w:val="00112E67"/>
    <w:pPr>
      <w:jc w:val="center"/>
    </w:pPr>
    <w:rPr>
      <w:sz w:val="20"/>
    </w:rPr>
  </w:style>
  <w:style w:type="paragraph" w:customStyle="1" w:styleId="005-AbstractHeader">
    <w:name w:val="005-AbstractHeader"/>
    <w:basedOn w:val="Normal"/>
    <w:qFormat/>
    <w:rsid w:val="00EA10C3"/>
    <w:pPr>
      <w:spacing w:before="360"/>
    </w:pPr>
    <w:rPr>
      <w:b/>
    </w:rPr>
  </w:style>
  <w:style w:type="paragraph" w:customStyle="1" w:styleId="006-AbstractBodytext">
    <w:name w:val="006-AbstractBodytext"/>
    <w:basedOn w:val="005-AbstractHeader"/>
    <w:qFormat/>
    <w:rsid w:val="00EA10C3"/>
    <w:pPr>
      <w:spacing w:before="0"/>
    </w:pPr>
    <w:rPr>
      <w:b w:val="0"/>
      <w:sz w:val="20"/>
    </w:rPr>
  </w:style>
  <w:style w:type="character" w:customStyle="1" w:styleId="Heading1Char">
    <w:name w:val="Heading 1 Char"/>
    <w:basedOn w:val="DefaultParagraphFont"/>
    <w:link w:val="Heading1"/>
    <w:uiPriority w:val="9"/>
    <w:rsid w:val="001F3073"/>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
    <w:next w:val="Normal"/>
    <w:qFormat/>
    <w:rsid w:val="00EA10C3"/>
    <w:pPr>
      <w:spacing w:before="120" w:after="120"/>
      <w:jc w:val="center"/>
    </w:pPr>
    <w:rPr>
      <w:b/>
      <w:sz w:val="22"/>
    </w:rPr>
  </w:style>
  <w:style w:type="paragraph" w:customStyle="1" w:styleId="008-References">
    <w:name w:val="008-References"/>
    <w:basedOn w:val="Normal"/>
    <w:uiPriority w:val="99"/>
    <w:qFormat/>
    <w:rsid w:val="00596A76"/>
    <w:pPr>
      <w:ind w:left="284" w:hanging="284"/>
    </w:pPr>
    <w:rPr>
      <w:sz w:val="22"/>
    </w:rPr>
  </w:style>
  <w:style w:type="paragraph" w:styleId="BodyText">
    <w:name w:val="Body Text"/>
    <w:basedOn w:val="Normal"/>
    <w:link w:val="BodyTextChar"/>
    <w:uiPriority w:val="99"/>
    <w:rsid w:val="001F3073"/>
    <w:rPr>
      <w:color w:val="0000FF"/>
      <w:lang w:eastAsia="sv-SE"/>
    </w:rPr>
  </w:style>
  <w:style w:type="character" w:customStyle="1" w:styleId="BodyTextChar">
    <w:name w:val="Body Text Char"/>
    <w:basedOn w:val="DefaultParagraphFont"/>
    <w:link w:val="BodyText"/>
    <w:uiPriority w:val="99"/>
    <w:rsid w:val="001F3073"/>
    <w:rPr>
      <w:rFonts w:ascii="Times New Roman" w:eastAsia="Times New Roman" w:hAnsi="Times New Roman"/>
      <w:color w:val="0000FF"/>
      <w:sz w:val="24"/>
      <w:szCs w:val="24"/>
      <w:lang w:val="en-GB" w:eastAsia="sv-SE"/>
    </w:rPr>
  </w:style>
  <w:style w:type="paragraph" w:styleId="BodyText2">
    <w:name w:val="Body Text 2"/>
    <w:basedOn w:val="Normal"/>
    <w:link w:val="BodyText2Char"/>
    <w:uiPriority w:val="99"/>
    <w:semiHidden/>
    <w:unhideWhenUsed/>
    <w:rsid w:val="000B1B6C"/>
    <w:pPr>
      <w:spacing w:after="120" w:line="480" w:lineRule="auto"/>
    </w:pPr>
  </w:style>
  <w:style w:type="character" w:customStyle="1" w:styleId="BodyText2Char">
    <w:name w:val="Body Text 2 Char"/>
    <w:basedOn w:val="DefaultParagraphFont"/>
    <w:link w:val="BodyText2"/>
    <w:uiPriority w:val="99"/>
    <w:semiHidden/>
    <w:rsid w:val="000B1B6C"/>
    <w:rPr>
      <w:rFonts w:ascii="Times New Roman" w:hAnsi="Times New Roman"/>
      <w:sz w:val="24"/>
      <w:szCs w:val="22"/>
      <w:lang w:val="en-GB"/>
    </w:rPr>
  </w:style>
  <w:style w:type="paragraph" w:styleId="BalloonText">
    <w:name w:val="Balloon Text"/>
    <w:basedOn w:val="Normal"/>
    <w:link w:val="BalloonTextChar"/>
    <w:rsid w:val="00202961"/>
    <w:rPr>
      <w:rFonts w:ascii="Tahoma" w:hAnsi="Tahoma" w:cs="Tahoma"/>
      <w:sz w:val="16"/>
      <w:szCs w:val="16"/>
    </w:rPr>
  </w:style>
  <w:style w:type="character" w:customStyle="1" w:styleId="BalloonTextChar">
    <w:name w:val="Balloon Text Char"/>
    <w:basedOn w:val="DefaultParagraphFont"/>
    <w:link w:val="BalloonText"/>
    <w:rsid w:val="0020296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BE5BAC"/>
    <w:rPr>
      <w:color w:val="605E5C"/>
      <w:shd w:val="clear" w:color="auto" w:fill="E1DFDD"/>
    </w:rPr>
  </w:style>
  <w:style w:type="character" w:styleId="FollowedHyperlink">
    <w:name w:val="FollowedHyperlink"/>
    <w:basedOn w:val="DefaultParagraphFont"/>
    <w:rsid w:val="00BE5BAC"/>
    <w:rPr>
      <w:color w:val="800080" w:themeColor="followedHyperlink"/>
      <w:u w:val="single"/>
    </w:rPr>
  </w:style>
  <w:style w:type="paragraph" w:styleId="FootnoteText">
    <w:name w:val="footnote text"/>
    <w:aliases w:val="Schriftart: 9 pt,Schriftart: 10 pt,Schriftart: 8 pt,WB-Fußnotentext,fn,Footnotes,Footnote ak,Reference,FoodNote,ft,Footnote,Footnote Text Char1 Char Char,f"/>
    <w:basedOn w:val="Normal"/>
    <w:link w:val="FootnoteTextChar"/>
    <w:uiPriority w:val="99"/>
    <w:qFormat/>
    <w:rsid w:val="00405B92"/>
    <w:rPr>
      <w:sz w:val="20"/>
      <w:szCs w:val="20"/>
      <w:lang w:eastAsia="sv-SE"/>
    </w:rPr>
  </w:style>
  <w:style w:type="character" w:customStyle="1" w:styleId="FootnoteTextChar">
    <w:name w:val="Footnote Text Char"/>
    <w:aliases w:val="Schriftart: 9 pt Char,Schriftart: 10 pt Char,Schriftart: 8 pt Char,WB-Fußnotentext Char,fn Char,Footnotes Char,Footnote ak Char,Reference Char,FoodNote Char,ft Char,Footnote Char,Footnote Text Char1 Char Char Char,f Char"/>
    <w:basedOn w:val="DefaultParagraphFont"/>
    <w:link w:val="FootnoteText"/>
    <w:uiPriority w:val="99"/>
    <w:rsid w:val="00405B92"/>
    <w:rPr>
      <w:rFonts w:ascii="Times New Roman" w:eastAsia="Times New Roman" w:hAnsi="Times New Roman"/>
      <w:lang w:val="en-GB" w:eastAsia="sv-SE"/>
    </w:rPr>
  </w:style>
  <w:style w:type="character" w:styleId="FootnoteReference">
    <w:name w:val="footnote reference"/>
    <w:uiPriority w:val="99"/>
    <w:qFormat/>
    <w:rsid w:val="00405B92"/>
    <w:rPr>
      <w:rFonts w:cs="Times New Roman"/>
      <w:vertAlign w:val="superscript"/>
    </w:rPr>
  </w:style>
  <w:style w:type="paragraph" w:styleId="ListParagraph">
    <w:name w:val="List Paragraph"/>
    <w:basedOn w:val="Normal"/>
    <w:link w:val="ListParagraphChar"/>
    <w:uiPriority w:val="72"/>
    <w:qFormat/>
    <w:rsid w:val="00405B92"/>
    <w:pPr>
      <w:spacing w:after="160" w:line="259" w:lineRule="auto"/>
      <w:ind w:left="720"/>
      <w:contextualSpacing/>
    </w:pPr>
    <w:rPr>
      <w:rFonts w:ascii="Calibri" w:hAnsi="Calibri" w:cs="Arial"/>
      <w:sz w:val="22"/>
      <w:lang w:val="en-US"/>
    </w:rPr>
  </w:style>
  <w:style w:type="character" w:customStyle="1" w:styleId="ListParagraphChar">
    <w:name w:val="List Paragraph Char"/>
    <w:link w:val="ListParagraph"/>
    <w:uiPriority w:val="72"/>
    <w:locked/>
    <w:rsid w:val="00405B92"/>
    <w:rPr>
      <w:rFonts w:cs="Arial"/>
      <w:sz w:val="22"/>
      <w:szCs w:val="22"/>
      <w:lang w:val="en-US" w:eastAsia="en-US"/>
    </w:rPr>
  </w:style>
  <w:style w:type="character" w:styleId="CommentReference">
    <w:name w:val="annotation reference"/>
    <w:basedOn w:val="DefaultParagraphFont"/>
    <w:uiPriority w:val="99"/>
    <w:semiHidden/>
    <w:unhideWhenUsed/>
    <w:rsid w:val="0048099F"/>
    <w:rPr>
      <w:sz w:val="16"/>
      <w:szCs w:val="16"/>
    </w:rPr>
  </w:style>
  <w:style w:type="paragraph" w:styleId="CommentText">
    <w:name w:val="annotation text"/>
    <w:basedOn w:val="Normal"/>
    <w:link w:val="CommentTextChar"/>
    <w:uiPriority w:val="99"/>
    <w:unhideWhenUsed/>
    <w:rsid w:val="0048099F"/>
    <w:rPr>
      <w:sz w:val="20"/>
      <w:szCs w:val="20"/>
      <w:lang w:val="en-US"/>
    </w:rPr>
  </w:style>
  <w:style w:type="character" w:customStyle="1" w:styleId="CommentTextChar">
    <w:name w:val="Comment Text Char"/>
    <w:basedOn w:val="DefaultParagraphFont"/>
    <w:link w:val="CommentText"/>
    <w:uiPriority w:val="99"/>
    <w:rsid w:val="0048099F"/>
    <w:rPr>
      <w:rFonts w:ascii="Times New Roman" w:eastAsia="Times New Roman" w:hAnsi="Times New Roman"/>
      <w:lang w:val="en-US" w:eastAsia="en-US"/>
    </w:rPr>
  </w:style>
  <w:style w:type="table" w:styleId="TableGrid">
    <w:name w:val="Table Grid"/>
    <w:basedOn w:val="TableNormal"/>
    <w:rsid w:val="005D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B4D8A"/>
    <w:pPr>
      <w:tabs>
        <w:tab w:val="center" w:pos="4680"/>
        <w:tab w:val="right" w:pos="9360"/>
      </w:tabs>
    </w:pPr>
  </w:style>
  <w:style w:type="character" w:customStyle="1" w:styleId="FooterChar">
    <w:name w:val="Footer Char"/>
    <w:basedOn w:val="DefaultParagraphFont"/>
    <w:link w:val="Footer"/>
    <w:rsid w:val="008B4D8A"/>
    <w:rPr>
      <w:rFonts w:ascii="Times New Roman" w:hAnsi="Times New Roman"/>
      <w:sz w:val="24"/>
      <w:szCs w:val="22"/>
      <w:lang w:val="en-GB" w:eastAsia="en-US"/>
    </w:rPr>
  </w:style>
  <w:style w:type="character" w:styleId="PageNumber">
    <w:name w:val="page number"/>
    <w:basedOn w:val="DefaultParagraphFont"/>
    <w:semiHidden/>
    <w:unhideWhenUsed/>
    <w:rsid w:val="008B4D8A"/>
  </w:style>
  <w:style w:type="paragraph" w:styleId="Revision">
    <w:name w:val="Revision"/>
    <w:hidden/>
    <w:semiHidden/>
    <w:rsid w:val="00FE7968"/>
    <w:rPr>
      <w:rFonts w:ascii="Times New Roman" w:hAnsi="Times New Roman"/>
      <w:sz w:val="24"/>
      <w:szCs w:val="22"/>
      <w:lang w:val="en-GB" w:eastAsia="en-US"/>
    </w:rPr>
  </w:style>
  <w:style w:type="character" w:customStyle="1" w:styleId="citeddoctitle">
    <w:name w:val="citeddoctitle"/>
    <w:basedOn w:val="DefaultParagraphFont"/>
    <w:rsid w:val="00D060FA"/>
  </w:style>
  <w:style w:type="character" w:customStyle="1" w:styleId="previewtxt">
    <w:name w:val="previewtxt"/>
    <w:basedOn w:val="DefaultParagraphFont"/>
    <w:rsid w:val="00D060FA"/>
  </w:style>
  <w:style w:type="paragraph" w:customStyle="1" w:styleId="Bibliography1">
    <w:name w:val="Bibliography1"/>
    <w:basedOn w:val="Normal"/>
    <w:link w:val="BibliographyChar1"/>
    <w:rsid w:val="00547165"/>
    <w:pPr>
      <w:spacing w:line="480" w:lineRule="auto"/>
      <w:ind w:left="720" w:hanging="720"/>
    </w:pPr>
    <w:rPr>
      <w:noProof/>
      <w:color w:val="000000" w:themeColor="text1"/>
      <w:lang w:val="en-US" w:eastAsia="en-US"/>
    </w:rPr>
  </w:style>
  <w:style w:type="character" w:customStyle="1" w:styleId="BibliographyChar1">
    <w:name w:val="Bibliography Char1"/>
    <w:basedOn w:val="DefaultParagraphFont"/>
    <w:link w:val="Bibliography1"/>
    <w:rsid w:val="00547165"/>
    <w:rPr>
      <w:rFonts w:ascii="Times New Roman" w:eastAsia="Times New Roman" w:hAnsi="Times New Roman"/>
      <w:noProof/>
      <w:color w:val="000000" w:themeColor="tex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01427">
      <w:bodyDiv w:val="1"/>
      <w:marLeft w:val="0"/>
      <w:marRight w:val="0"/>
      <w:marTop w:val="0"/>
      <w:marBottom w:val="0"/>
      <w:divBdr>
        <w:top w:val="none" w:sz="0" w:space="0" w:color="auto"/>
        <w:left w:val="none" w:sz="0" w:space="0" w:color="auto"/>
        <w:bottom w:val="none" w:sz="0" w:space="0" w:color="auto"/>
        <w:right w:val="none" w:sz="0" w:space="0" w:color="auto"/>
      </w:divBdr>
      <w:divsChild>
        <w:div w:id="2021348418">
          <w:marLeft w:val="0"/>
          <w:marRight w:val="0"/>
          <w:marTop w:val="0"/>
          <w:marBottom w:val="0"/>
          <w:divBdr>
            <w:top w:val="none" w:sz="0" w:space="0" w:color="auto"/>
            <w:left w:val="none" w:sz="0" w:space="0" w:color="auto"/>
            <w:bottom w:val="none" w:sz="0" w:space="0" w:color="auto"/>
            <w:right w:val="none" w:sz="0" w:space="0" w:color="auto"/>
          </w:divBdr>
          <w:divsChild>
            <w:div w:id="1540781624">
              <w:marLeft w:val="0"/>
              <w:marRight w:val="0"/>
              <w:marTop w:val="0"/>
              <w:marBottom w:val="0"/>
              <w:divBdr>
                <w:top w:val="none" w:sz="0" w:space="0" w:color="auto"/>
                <w:left w:val="none" w:sz="0" w:space="0" w:color="auto"/>
                <w:bottom w:val="none" w:sz="0" w:space="0" w:color="auto"/>
                <w:right w:val="none" w:sz="0" w:space="0" w:color="auto"/>
              </w:divBdr>
            </w:div>
            <w:div w:id="18873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charlie@teresam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Settings\jaqueline leta\Meus documentos\Jacqueline - ISSI 2009\ISSI2009template.dot</Template>
  <TotalTime>105</TotalTime>
  <Pages>9</Pages>
  <Words>3758</Words>
  <Characters>21421</Characters>
  <Application>Microsoft Office Word</Application>
  <DocSecurity>0</DocSecurity>
  <Lines>178</Lines>
  <Paragraphs>50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Danmark Biblioteksskole</Company>
  <LinksUpToDate>false</LinksUpToDate>
  <CharactersWithSpaces>25129</CharactersWithSpaces>
  <SharedDoc>false</SharedDoc>
  <HLinks>
    <vt:vector size="18" baseType="variant">
      <vt:variant>
        <vt:i4>7012473</vt:i4>
      </vt:variant>
      <vt:variant>
        <vt:i4>6</vt:i4>
      </vt:variant>
      <vt:variant>
        <vt:i4>0</vt:i4>
      </vt:variant>
      <vt:variant>
        <vt:i4>5</vt:i4>
      </vt:variant>
      <vt:variant>
        <vt:lpwstr>http://www.csdl.tamu.edu/DL94/paper/kling.html</vt:lpwstr>
      </vt:variant>
      <vt:variant>
        <vt:lpwstr/>
      </vt:variant>
      <vt:variant>
        <vt:i4>1835094</vt:i4>
      </vt:variant>
      <vt:variant>
        <vt:i4>3</vt:i4>
      </vt:variant>
      <vt:variant>
        <vt:i4>0</vt:i4>
      </vt:variant>
      <vt:variant>
        <vt:i4>5</vt:i4>
      </vt:variant>
      <vt:variant>
        <vt:lpwstr>http://www.apastyle.org/elecref.html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leta</dc:creator>
  <cp:lastModifiedBy>peter van den besselaar</cp:lastModifiedBy>
  <cp:revision>6</cp:revision>
  <cp:lastPrinted>2023-04-03T12:15:00Z</cp:lastPrinted>
  <dcterms:created xsi:type="dcterms:W3CDTF">2023-04-18T20:26:00Z</dcterms:created>
  <dcterms:modified xsi:type="dcterms:W3CDTF">2023-04-22T12:38:00Z</dcterms:modified>
</cp:coreProperties>
</file>