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CC5C" w14:textId="1CDBAE44" w:rsidR="00AD6D2D" w:rsidRPr="00542798" w:rsidRDefault="008C420A" w:rsidP="00542798">
      <w:pPr>
        <w:pStyle w:val="berschrift1"/>
        <w:jc w:val="center"/>
      </w:pPr>
      <w:r>
        <w:t xml:space="preserve"> </w:t>
      </w:r>
      <w:r w:rsidR="00136DA4">
        <w:t>A local cohesion-maximising algorithm for the exploration of publication networks</w:t>
      </w:r>
    </w:p>
    <w:p w14:paraId="1448DA63" w14:textId="77777777" w:rsidR="00AD6D2D" w:rsidRPr="00AD6D2D" w:rsidRDefault="00AD6D2D" w:rsidP="00542798">
      <w:pPr>
        <w:jc w:val="center"/>
      </w:pPr>
    </w:p>
    <w:p w14:paraId="49EED032" w14:textId="1F696B55" w:rsidR="00AD6D2D" w:rsidRPr="00AD6D2D" w:rsidRDefault="004B5DF6" w:rsidP="00542798">
      <w:pPr>
        <w:jc w:val="center"/>
      </w:pPr>
      <w:r>
        <w:t>Matthias Held</w:t>
      </w:r>
      <w:r w:rsidR="00AD6D2D" w:rsidRPr="00AD6D2D">
        <w:rPr>
          <w:vertAlign w:val="superscript"/>
        </w:rPr>
        <w:t>*</w:t>
      </w:r>
      <w:r w:rsidR="00AD6D2D" w:rsidRPr="00AD6D2D">
        <w:t xml:space="preserve">, </w:t>
      </w:r>
      <w:r w:rsidR="001B3954">
        <w:t xml:space="preserve">Bastian </w:t>
      </w:r>
      <w:proofErr w:type="spellStart"/>
      <w:proofErr w:type="gramStart"/>
      <w:r w:rsidR="001B3954">
        <w:t>Steudel</w:t>
      </w:r>
      <w:proofErr w:type="spellEnd"/>
      <w:r w:rsidR="001B3954">
        <w:t>,</w:t>
      </w:r>
      <w:r w:rsidR="00C727E8">
        <w:t>*</w:t>
      </w:r>
      <w:proofErr w:type="gramEnd"/>
      <w:r w:rsidR="00C727E8">
        <w:t>*</w:t>
      </w:r>
      <w:r w:rsidR="001B3954">
        <w:t xml:space="preserve"> </w:t>
      </w:r>
      <w:r>
        <w:t xml:space="preserve">Jochen </w:t>
      </w:r>
      <w:proofErr w:type="spellStart"/>
      <w:r>
        <w:t>Gläser</w:t>
      </w:r>
      <w:proofErr w:type="spellEnd"/>
      <w:r w:rsidR="00AD6D2D" w:rsidRPr="00AD6D2D">
        <w:rPr>
          <w:vertAlign w:val="superscript"/>
        </w:rPr>
        <w:t>*</w:t>
      </w:r>
    </w:p>
    <w:p w14:paraId="69B5EBE6" w14:textId="77777777" w:rsidR="00AD6D2D" w:rsidRPr="00AD6D2D" w:rsidRDefault="00AD6D2D" w:rsidP="00542798">
      <w:pPr>
        <w:jc w:val="center"/>
        <w:rPr>
          <w:sz w:val="20"/>
          <w:szCs w:val="20"/>
        </w:rPr>
      </w:pPr>
    </w:p>
    <w:p w14:paraId="0327B950" w14:textId="5FB6A48F" w:rsidR="00AD6D2D" w:rsidRPr="00AD6D2D" w:rsidRDefault="00AF4F04" w:rsidP="00542798">
      <w:pPr>
        <w:jc w:val="center"/>
        <w:rPr>
          <w:sz w:val="20"/>
          <w:szCs w:val="20"/>
        </w:rPr>
      </w:pPr>
      <w:r w:rsidRPr="00AF4F04">
        <w:rPr>
          <w:sz w:val="20"/>
          <w:szCs w:val="20"/>
          <w:vertAlign w:val="superscript"/>
        </w:rPr>
        <w:t>*</w:t>
      </w:r>
      <w:r w:rsidRPr="00AF4F04">
        <w:rPr>
          <w:i/>
          <w:iCs/>
          <w:sz w:val="20"/>
          <w:szCs w:val="20"/>
        </w:rPr>
        <w:t>matthias.held@tu-berlin.de</w:t>
      </w:r>
      <w:r>
        <w:rPr>
          <w:i/>
          <w:iCs/>
          <w:sz w:val="20"/>
          <w:szCs w:val="20"/>
        </w:rPr>
        <w:t>; jochen.glaser@tu-berlin.de</w:t>
      </w:r>
    </w:p>
    <w:p w14:paraId="744ED62A" w14:textId="43877706" w:rsidR="00AD6D2D" w:rsidRPr="00AD6D2D" w:rsidRDefault="00703BCB" w:rsidP="00542798">
      <w:pPr>
        <w:jc w:val="center"/>
        <w:rPr>
          <w:sz w:val="20"/>
          <w:szCs w:val="20"/>
        </w:rPr>
      </w:pPr>
      <w:r>
        <w:rPr>
          <w:sz w:val="20"/>
          <w:szCs w:val="20"/>
        </w:rPr>
        <w:t>Social Studies of Science and Technology,</w:t>
      </w:r>
      <w:r w:rsidR="00AD6D2D" w:rsidRPr="00AD6D2D">
        <w:rPr>
          <w:sz w:val="20"/>
          <w:szCs w:val="20"/>
        </w:rPr>
        <w:t xml:space="preserve"> </w:t>
      </w:r>
      <w:r>
        <w:rPr>
          <w:sz w:val="20"/>
          <w:szCs w:val="20"/>
        </w:rPr>
        <w:t>TU Berlin</w:t>
      </w:r>
      <w:r w:rsidR="00AD6D2D" w:rsidRPr="00AD6D2D">
        <w:rPr>
          <w:sz w:val="20"/>
          <w:szCs w:val="20"/>
        </w:rPr>
        <w:t xml:space="preserve">, </w:t>
      </w:r>
      <w:r>
        <w:rPr>
          <w:sz w:val="20"/>
          <w:szCs w:val="20"/>
        </w:rPr>
        <w:t>Germany</w:t>
      </w:r>
    </w:p>
    <w:p w14:paraId="0F7AF4B5" w14:textId="0A361558" w:rsidR="00AD6D2D" w:rsidRPr="00C727E8" w:rsidRDefault="00C727E8" w:rsidP="00542798">
      <w:pPr>
        <w:jc w:val="center"/>
        <w:rPr>
          <w:i/>
          <w:iCs/>
          <w:sz w:val="20"/>
          <w:szCs w:val="20"/>
        </w:rPr>
      </w:pPr>
      <w:r>
        <w:rPr>
          <w:i/>
          <w:iCs/>
          <w:sz w:val="20"/>
          <w:szCs w:val="20"/>
        </w:rPr>
        <w:t>*</w:t>
      </w:r>
      <w:r w:rsidRPr="00C727E8">
        <w:rPr>
          <w:i/>
          <w:iCs/>
          <w:sz w:val="20"/>
          <w:szCs w:val="20"/>
        </w:rPr>
        <w:t>*Bastian.Steudel@gmx.net</w:t>
      </w:r>
    </w:p>
    <w:p w14:paraId="04927CB0" w14:textId="3FF61CA2" w:rsidR="008168F4" w:rsidRDefault="008168F4" w:rsidP="00542798">
      <w:pPr>
        <w:jc w:val="center"/>
      </w:pPr>
    </w:p>
    <w:p w14:paraId="26F746EB" w14:textId="4199E48C" w:rsidR="00CB15AC" w:rsidRDefault="00260147" w:rsidP="00CB15AC">
      <w:pPr>
        <w:jc w:val="both"/>
        <w:rPr>
          <w:sz w:val="20"/>
          <w:szCs w:val="20"/>
        </w:rPr>
      </w:pPr>
      <w:r>
        <w:rPr>
          <w:sz w:val="20"/>
          <w:szCs w:val="20"/>
        </w:rPr>
        <w:t xml:space="preserve">The dominant approach to the reconstruction of scientific topics </w:t>
      </w:r>
      <w:r w:rsidR="003C1A68">
        <w:rPr>
          <w:sz w:val="20"/>
          <w:szCs w:val="20"/>
        </w:rPr>
        <w:t xml:space="preserve">in networks of publications </w:t>
      </w:r>
      <w:r>
        <w:rPr>
          <w:sz w:val="20"/>
          <w:szCs w:val="20"/>
        </w:rPr>
        <w:t xml:space="preserve">is </w:t>
      </w:r>
      <w:r w:rsidR="00336A49">
        <w:rPr>
          <w:sz w:val="20"/>
          <w:szCs w:val="20"/>
        </w:rPr>
        <w:t xml:space="preserve">based on </w:t>
      </w:r>
      <w:r>
        <w:rPr>
          <w:sz w:val="20"/>
          <w:szCs w:val="20"/>
        </w:rPr>
        <w:t xml:space="preserve">the application of global community detection algorithms. </w:t>
      </w:r>
      <w:r w:rsidR="00336A49">
        <w:rPr>
          <w:sz w:val="20"/>
          <w:szCs w:val="20"/>
        </w:rPr>
        <w:t>However, s</w:t>
      </w:r>
      <w:r w:rsidR="004E4DDB">
        <w:rPr>
          <w:sz w:val="20"/>
          <w:szCs w:val="20"/>
        </w:rPr>
        <w:t xml:space="preserve">ome </w:t>
      </w:r>
      <w:r w:rsidR="0076008A">
        <w:rPr>
          <w:sz w:val="20"/>
          <w:szCs w:val="20"/>
        </w:rPr>
        <w:t>properties of these algorithms</w:t>
      </w:r>
      <w:r>
        <w:rPr>
          <w:sz w:val="20"/>
          <w:szCs w:val="20"/>
        </w:rPr>
        <w:t xml:space="preserve"> </w:t>
      </w:r>
      <w:r w:rsidR="00336A49">
        <w:rPr>
          <w:sz w:val="20"/>
          <w:szCs w:val="20"/>
        </w:rPr>
        <w:t>are at odds with</w:t>
      </w:r>
      <w:r>
        <w:rPr>
          <w:sz w:val="20"/>
          <w:szCs w:val="20"/>
        </w:rPr>
        <w:t xml:space="preserve"> the sociological </w:t>
      </w:r>
      <w:r w:rsidR="00336A49">
        <w:rPr>
          <w:sz w:val="20"/>
          <w:szCs w:val="20"/>
        </w:rPr>
        <w:t xml:space="preserve">understanding </w:t>
      </w:r>
      <w:r>
        <w:rPr>
          <w:sz w:val="20"/>
          <w:szCs w:val="20"/>
        </w:rPr>
        <w:t>o</w:t>
      </w:r>
      <w:r w:rsidR="00336A49">
        <w:rPr>
          <w:sz w:val="20"/>
          <w:szCs w:val="20"/>
        </w:rPr>
        <w:t>f</w:t>
      </w:r>
      <w:r>
        <w:rPr>
          <w:sz w:val="20"/>
          <w:szCs w:val="20"/>
        </w:rPr>
        <w:t xml:space="preserve"> topics. We present </w:t>
      </w:r>
      <w:r w:rsidR="00D96150">
        <w:rPr>
          <w:sz w:val="20"/>
          <w:szCs w:val="20"/>
        </w:rPr>
        <w:t xml:space="preserve">for consideration </w:t>
      </w:r>
      <w:r>
        <w:rPr>
          <w:sz w:val="20"/>
          <w:szCs w:val="20"/>
        </w:rPr>
        <w:t xml:space="preserve">a new local bibliometric algorithm </w:t>
      </w:r>
      <w:r w:rsidR="00336A49">
        <w:rPr>
          <w:sz w:val="20"/>
          <w:szCs w:val="20"/>
        </w:rPr>
        <w:t xml:space="preserve">which </w:t>
      </w:r>
      <w:r>
        <w:rPr>
          <w:sz w:val="20"/>
          <w:szCs w:val="20"/>
        </w:rPr>
        <w:t xml:space="preserve">is in line with sociological </w:t>
      </w:r>
      <w:r w:rsidR="00F95DA9">
        <w:rPr>
          <w:sz w:val="20"/>
          <w:szCs w:val="20"/>
        </w:rPr>
        <w:t>definitions of topics</w:t>
      </w:r>
      <w:r>
        <w:rPr>
          <w:sz w:val="20"/>
          <w:szCs w:val="20"/>
        </w:rPr>
        <w:t xml:space="preserve"> and </w:t>
      </w:r>
      <w:r w:rsidR="0076540D">
        <w:rPr>
          <w:sz w:val="20"/>
          <w:szCs w:val="20"/>
        </w:rPr>
        <w:t>reconstructs dense regions in bibliometric networks locally.</w:t>
      </w:r>
      <w:r>
        <w:rPr>
          <w:sz w:val="20"/>
          <w:szCs w:val="20"/>
        </w:rPr>
        <w:t xml:space="preserve"> </w:t>
      </w:r>
    </w:p>
    <w:p w14:paraId="2A986726" w14:textId="77777777" w:rsidR="00260147" w:rsidRPr="00D96243" w:rsidRDefault="00260147" w:rsidP="00CB15AC">
      <w:pPr>
        <w:jc w:val="both"/>
      </w:pPr>
    </w:p>
    <w:p w14:paraId="02C61035" w14:textId="77777777" w:rsidR="008168F4" w:rsidRPr="00D96243" w:rsidRDefault="000C25AF">
      <w:pPr>
        <w:pStyle w:val="berschrift2"/>
        <w:jc w:val="both"/>
      </w:pPr>
      <w:r w:rsidRPr="00D96243">
        <w:t xml:space="preserve">1. </w:t>
      </w:r>
      <w:r w:rsidR="008168F4" w:rsidRPr="00D96243">
        <w:t>Introduction</w:t>
      </w:r>
    </w:p>
    <w:p w14:paraId="49566E4E" w14:textId="647C1D7C" w:rsidR="006C028C" w:rsidRDefault="006F0630">
      <w:pPr>
        <w:jc w:val="both"/>
        <w:rPr>
          <w:iCs/>
        </w:rPr>
      </w:pPr>
      <w:r>
        <w:t xml:space="preserve">Reconstructing scientific topics from networks of papers is a primary focus of bibliometrics, with applications in both science studies and science policy. </w:t>
      </w:r>
      <w:r w:rsidR="007C435E">
        <w:rPr>
          <w:iCs/>
        </w:rPr>
        <w:t>The dominant approach applies global algorithms – algorithms that partition the whole network by optimising a quality function</w:t>
      </w:r>
      <w:r w:rsidR="003C1A68">
        <w:rPr>
          <w:iCs/>
        </w:rPr>
        <w:t xml:space="preserve"> to obtain a partition</w:t>
      </w:r>
      <w:r w:rsidR="007C435E">
        <w:rPr>
          <w:iCs/>
        </w:rPr>
        <w:t xml:space="preserve"> – with data models based on direct citation or </w:t>
      </w:r>
      <w:r w:rsidR="002A55CE">
        <w:rPr>
          <w:iCs/>
        </w:rPr>
        <w:t>bibliographic coupling and interprets the resulting clusters as topics</w:t>
      </w:r>
      <w:r w:rsidR="006E3104">
        <w:rPr>
          <w:iCs/>
        </w:rPr>
        <w:t xml:space="preserve"> </w:t>
      </w:r>
      <w:r w:rsidR="00A32AE8" w:rsidRPr="00A32AE8">
        <w:t>(</w:t>
      </w:r>
      <w:proofErr w:type="spellStart"/>
      <w:r w:rsidR="00A32AE8" w:rsidRPr="00A32AE8">
        <w:t>Gläser</w:t>
      </w:r>
      <w:proofErr w:type="spellEnd"/>
      <w:r w:rsidR="00A32AE8" w:rsidRPr="00A32AE8">
        <w:t xml:space="preserve"> et al., 2017)</w:t>
      </w:r>
      <w:r w:rsidR="002A55CE">
        <w:rPr>
          <w:iCs/>
        </w:rPr>
        <w:t>. The most popular global algorithms</w:t>
      </w:r>
      <w:r w:rsidR="00F752A3">
        <w:rPr>
          <w:iCs/>
        </w:rPr>
        <w:t xml:space="preserve"> </w:t>
      </w:r>
      <w:r w:rsidR="002A55CE">
        <w:rPr>
          <w:iCs/>
        </w:rPr>
        <w:t>prioritise the separation of clusters over their coherence</w:t>
      </w:r>
      <w:r w:rsidR="006E3104">
        <w:rPr>
          <w:iCs/>
        </w:rPr>
        <w:t xml:space="preserve"> </w:t>
      </w:r>
      <w:r w:rsidR="00A32AE8" w:rsidRPr="00A32AE8">
        <w:t>(Held, 2022)</w:t>
      </w:r>
      <w:r w:rsidR="00AE3EDD">
        <w:rPr>
          <w:iCs/>
        </w:rPr>
        <w:t>.</w:t>
      </w:r>
    </w:p>
    <w:p w14:paraId="2C7CCBAE" w14:textId="37708D63" w:rsidR="005E3CE0" w:rsidRDefault="006C028C">
      <w:pPr>
        <w:jc w:val="both"/>
        <w:rPr>
          <w:iCs/>
        </w:rPr>
      </w:pPr>
      <w:r>
        <w:rPr>
          <w:iCs/>
        </w:rPr>
        <w:t xml:space="preserve">This approach is problematic because it </w:t>
      </w:r>
      <w:r w:rsidR="009B56E7">
        <w:rPr>
          <w:iCs/>
        </w:rPr>
        <w:t xml:space="preserve">inadvertently </w:t>
      </w:r>
      <w:r>
        <w:rPr>
          <w:iCs/>
        </w:rPr>
        <w:t xml:space="preserve">decouples the bibliometric reconstruction of topics from the sociological discussion of their role in the production of scientific knowledge. Sociological definitions of topics imply an emphasis on coherence and on the perspective of those contributing to the topic, i.e. on a local perspective. Not surprisingly, </w:t>
      </w:r>
      <w:r w:rsidR="009B56E7">
        <w:rPr>
          <w:iCs/>
        </w:rPr>
        <w:t xml:space="preserve">established bibliometric approaches to topic reconstruction </w:t>
      </w:r>
      <w:r w:rsidR="001A0699">
        <w:rPr>
          <w:iCs/>
        </w:rPr>
        <w:t xml:space="preserve">proved unsuccessful when applied to </w:t>
      </w:r>
      <w:r>
        <w:rPr>
          <w:iCs/>
        </w:rPr>
        <w:t xml:space="preserve">‘ground truths’ </w:t>
      </w:r>
      <w:r w:rsidR="001A0699">
        <w:rPr>
          <w:iCs/>
        </w:rPr>
        <w:t>that were defined by scientists</w:t>
      </w:r>
      <w:r w:rsidR="00C47FD3">
        <w:rPr>
          <w:iCs/>
        </w:rPr>
        <w:t xml:space="preserve"> </w:t>
      </w:r>
      <w:r w:rsidR="00A32AE8" w:rsidRPr="00A32AE8">
        <w:t>(Held et al., 2021)</w:t>
      </w:r>
      <w:r w:rsidR="00C47FD3">
        <w:rPr>
          <w:iCs/>
        </w:rPr>
        <w:t>.</w:t>
      </w:r>
    </w:p>
    <w:p w14:paraId="3A958E60" w14:textId="5FBF388D" w:rsidR="00136DA4" w:rsidRDefault="005E3CE0">
      <w:pPr>
        <w:jc w:val="both"/>
        <w:rPr>
          <w:iCs/>
        </w:rPr>
      </w:pPr>
      <w:r>
        <w:rPr>
          <w:iCs/>
        </w:rPr>
        <w:t xml:space="preserve">These problems and their </w:t>
      </w:r>
      <w:r w:rsidR="001A0699">
        <w:rPr>
          <w:iCs/>
        </w:rPr>
        <w:t xml:space="preserve">apparent roots in currently popular </w:t>
      </w:r>
      <w:r>
        <w:rPr>
          <w:iCs/>
        </w:rPr>
        <w:t xml:space="preserve">algorithms in bibliometrics </w:t>
      </w:r>
      <w:r w:rsidR="006F0630">
        <w:rPr>
          <w:iCs/>
        </w:rPr>
        <w:t xml:space="preserve">motivated our search </w:t>
      </w:r>
      <w:r>
        <w:rPr>
          <w:iCs/>
        </w:rPr>
        <w:t xml:space="preserve">for new algorithms that might be more conducive to </w:t>
      </w:r>
      <w:r w:rsidR="00E62124">
        <w:rPr>
          <w:iCs/>
        </w:rPr>
        <w:t xml:space="preserve">a </w:t>
      </w:r>
      <w:r>
        <w:rPr>
          <w:iCs/>
        </w:rPr>
        <w:t>bibliometric operationalis</w:t>
      </w:r>
      <w:r w:rsidR="006F0630">
        <w:rPr>
          <w:iCs/>
        </w:rPr>
        <w:t>ation</w:t>
      </w:r>
      <w:r w:rsidR="00E62124">
        <w:rPr>
          <w:iCs/>
        </w:rPr>
        <w:t xml:space="preserve"> of</w:t>
      </w:r>
      <w:r>
        <w:rPr>
          <w:iCs/>
        </w:rPr>
        <w:t xml:space="preserve"> </w:t>
      </w:r>
      <w:r w:rsidR="00E62124">
        <w:rPr>
          <w:iCs/>
        </w:rPr>
        <w:t xml:space="preserve">the </w:t>
      </w:r>
      <w:r>
        <w:rPr>
          <w:iCs/>
        </w:rPr>
        <w:t xml:space="preserve">sociological concept </w:t>
      </w:r>
      <w:r w:rsidR="00E62124">
        <w:rPr>
          <w:iCs/>
        </w:rPr>
        <w:t>of ‘</w:t>
      </w:r>
      <w:r>
        <w:rPr>
          <w:iCs/>
        </w:rPr>
        <w:t>topic</w:t>
      </w:r>
      <w:r w:rsidR="00E62124">
        <w:rPr>
          <w:iCs/>
        </w:rPr>
        <w:t>’</w:t>
      </w:r>
      <w:r>
        <w:rPr>
          <w:iCs/>
        </w:rPr>
        <w:t xml:space="preserve">. Local algorithms – algorithms that grow clusters from seed subgraphs until a </w:t>
      </w:r>
      <w:r w:rsidR="002327FD">
        <w:rPr>
          <w:iCs/>
        </w:rPr>
        <w:t xml:space="preserve">condition for their termination is met – </w:t>
      </w:r>
      <w:r w:rsidR="00336A49">
        <w:rPr>
          <w:iCs/>
        </w:rPr>
        <w:t xml:space="preserve">appear to be </w:t>
      </w:r>
      <w:r w:rsidR="002327FD">
        <w:rPr>
          <w:iCs/>
        </w:rPr>
        <w:t>a promising solution to the tenet</w:t>
      </w:r>
      <w:r w:rsidR="001A0699">
        <w:rPr>
          <w:iCs/>
        </w:rPr>
        <w:t>s</w:t>
      </w:r>
      <w:r w:rsidR="002327FD">
        <w:rPr>
          <w:iCs/>
        </w:rPr>
        <w:t xml:space="preserve"> of using local information</w:t>
      </w:r>
      <w:r w:rsidR="001A0699">
        <w:rPr>
          <w:iCs/>
        </w:rPr>
        <w:t xml:space="preserve"> and of allowing for overlapping topics</w:t>
      </w:r>
      <w:r w:rsidR="002327FD">
        <w:rPr>
          <w:iCs/>
        </w:rPr>
        <w:t>. Some of these algorithms use quality functions that maximise cohesion, which corresponds to the sociological understanding of topics as shared perspectives of researchers.</w:t>
      </w:r>
    </w:p>
    <w:p w14:paraId="0E09C521" w14:textId="6ECE9EC0" w:rsidR="002327FD" w:rsidRDefault="00F709FF">
      <w:pPr>
        <w:jc w:val="both"/>
        <w:rPr>
          <w:iCs/>
        </w:rPr>
      </w:pPr>
      <w:r>
        <w:rPr>
          <w:iCs/>
        </w:rPr>
        <w:t xml:space="preserve">In this paper, we </w:t>
      </w:r>
      <w:r w:rsidR="00BD43CF">
        <w:rPr>
          <w:iCs/>
        </w:rPr>
        <w:t>provide</w:t>
      </w:r>
      <w:r w:rsidR="00536E6C">
        <w:rPr>
          <w:iCs/>
        </w:rPr>
        <w:t xml:space="preserve"> </w:t>
      </w:r>
      <w:r>
        <w:rPr>
          <w:iCs/>
        </w:rPr>
        <w:t>a rationale for using local cohesion-maximising algorithms</w:t>
      </w:r>
      <w:r w:rsidR="006B2A70">
        <w:rPr>
          <w:iCs/>
        </w:rPr>
        <w:t>,</w:t>
      </w:r>
      <w:r>
        <w:rPr>
          <w:iCs/>
        </w:rPr>
        <w:t xml:space="preserve"> present such an algorithm and discuss one application.</w:t>
      </w:r>
    </w:p>
    <w:p w14:paraId="58D4814C" w14:textId="77777777" w:rsidR="00E03487" w:rsidRDefault="00E03487">
      <w:pPr>
        <w:jc w:val="both"/>
      </w:pPr>
    </w:p>
    <w:p w14:paraId="7974EF73" w14:textId="173C67B5" w:rsidR="008168F4" w:rsidRDefault="000C25AF">
      <w:pPr>
        <w:pStyle w:val="berschrift2"/>
        <w:jc w:val="both"/>
      </w:pPr>
      <w:r>
        <w:t xml:space="preserve">2. </w:t>
      </w:r>
      <w:r w:rsidR="00F709FF">
        <w:t>A rationale for local density-maximising algorithms</w:t>
      </w:r>
    </w:p>
    <w:p w14:paraId="0E5F233C" w14:textId="77777777" w:rsidR="00F709FF" w:rsidRPr="0081573E" w:rsidRDefault="00F709FF" w:rsidP="005736CB">
      <w:pPr>
        <w:pStyle w:val="Textkrper"/>
        <w:jc w:val="both"/>
        <w:rPr>
          <w:i/>
          <w:color w:val="000000"/>
        </w:rPr>
      </w:pPr>
      <w:r w:rsidRPr="0081573E">
        <w:rPr>
          <w:i/>
          <w:color w:val="000000"/>
        </w:rPr>
        <w:t>2.1 Theory</w:t>
      </w:r>
    </w:p>
    <w:p w14:paraId="4E26C753" w14:textId="2B74EC49" w:rsidR="00F709FF" w:rsidRDefault="002A0EE6" w:rsidP="00860952">
      <w:pPr>
        <w:jc w:val="both"/>
        <w:rPr>
          <w:iCs/>
        </w:rPr>
      </w:pPr>
      <w:r>
        <w:rPr>
          <w:iCs/>
        </w:rPr>
        <w:t xml:space="preserve">An important methodological starting point of our search for approaches to topic reconstruction is the demand that these approaches, as procedures of empirical identification, operationalise a theoretical concept. </w:t>
      </w:r>
      <w:r w:rsidR="00F709FF" w:rsidRPr="00860952">
        <w:rPr>
          <w:iCs/>
        </w:rPr>
        <w:t xml:space="preserve">We </w:t>
      </w:r>
      <w:r w:rsidR="00E62124">
        <w:rPr>
          <w:iCs/>
        </w:rPr>
        <w:t xml:space="preserve">follow </w:t>
      </w:r>
      <w:proofErr w:type="spellStart"/>
      <w:r w:rsidR="00E62124">
        <w:rPr>
          <w:iCs/>
        </w:rPr>
        <w:t>Havemann</w:t>
      </w:r>
      <w:proofErr w:type="spellEnd"/>
      <w:r w:rsidR="00E62124">
        <w:rPr>
          <w:iCs/>
        </w:rPr>
        <w:t xml:space="preserve"> et al. (2017: 1091) in defining a </w:t>
      </w:r>
      <w:r w:rsidR="00F709FF" w:rsidRPr="00860952">
        <w:rPr>
          <w:iCs/>
        </w:rPr>
        <w:t xml:space="preserve">topic as </w:t>
      </w:r>
      <w:r>
        <w:rPr>
          <w:iCs/>
        </w:rPr>
        <w:t>“</w:t>
      </w:r>
      <w:r w:rsidR="00860952" w:rsidRPr="00860952">
        <w:rPr>
          <w:iCs/>
        </w:rPr>
        <w:t>a focus on theoretical, methodological or empirical</w:t>
      </w:r>
      <w:r w:rsidR="00860952">
        <w:rPr>
          <w:iCs/>
        </w:rPr>
        <w:t xml:space="preserve"> </w:t>
      </w:r>
      <w:r w:rsidR="00860952" w:rsidRPr="00860952">
        <w:rPr>
          <w:iCs/>
        </w:rPr>
        <w:t>knowledge that is shared by a number of researchers and thereby provides these researchers</w:t>
      </w:r>
      <w:r w:rsidR="00860952">
        <w:rPr>
          <w:iCs/>
        </w:rPr>
        <w:t xml:space="preserve"> </w:t>
      </w:r>
      <w:r w:rsidR="00860952" w:rsidRPr="00860952">
        <w:rPr>
          <w:iCs/>
        </w:rPr>
        <w:t>with a joint frame of reference for the formulation of problems, the selection of methods</w:t>
      </w:r>
      <w:r w:rsidR="00860952">
        <w:rPr>
          <w:iCs/>
        </w:rPr>
        <w:t xml:space="preserve"> </w:t>
      </w:r>
      <w:r w:rsidR="00860952" w:rsidRPr="00860952">
        <w:rPr>
          <w:iCs/>
        </w:rPr>
        <w:t>or objects, the organisation of empirical data, or the interpretation of data”</w:t>
      </w:r>
      <w:r w:rsidR="00685B6B">
        <w:rPr>
          <w:iCs/>
        </w:rPr>
        <w:t>.</w:t>
      </w:r>
    </w:p>
    <w:p w14:paraId="0E27500C" w14:textId="5B408783" w:rsidR="002A0EE6" w:rsidRDefault="002A0EE6" w:rsidP="00860952">
      <w:pPr>
        <w:jc w:val="both"/>
        <w:rPr>
          <w:iCs/>
        </w:rPr>
      </w:pPr>
      <w:r>
        <w:rPr>
          <w:iCs/>
        </w:rPr>
        <w:t xml:space="preserve">The researchers who share such a frame of reference form a scientific </w:t>
      </w:r>
      <w:r w:rsidR="000A7AAC">
        <w:rPr>
          <w:iCs/>
        </w:rPr>
        <w:t xml:space="preserve">specialty or scientific </w:t>
      </w:r>
      <w:r>
        <w:rPr>
          <w:iCs/>
        </w:rPr>
        <w:t>community</w:t>
      </w:r>
      <w:r w:rsidR="000A7AAC">
        <w:rPr>
          <w:iCs/>
        </w:rPr>
        <w:t>, i.e. a collective that jointly advances the shared knowledge and has a collective identity (self-perception) of jointly advancing that knowledge</w:t>
      </w:r>
      <w:r w:rsidR="008D4C77">
        <w:rPr>
          <w:iCs/>
        </w:rPr>
        <w:t xml:space="preserve"> </w:t>
      </w:r>
      <w:r w:rsidR="00A32AE8" w:rsidRPr="00A32AE8">
        <w:t>(</w:t>
      </w:r>
      <w:proofErr w:type="spellStart"/>
      <w:r w:rsidR="00A32AE8" w:rsidRPr="00A32AE8">
        <w:t>Gläser</w:t>
      </w:r>
      <w:proofErr w:type="spellEnd"/>
      <w:r w:rsidR="00A32AE8" w:rsidRPr="00A32AE8">
        <w:t>, 2019; Whitley, 2000)</w:t>
      </w:r>
      <w:r w:rsidR="00715DE9">
        <w:rPr>
          <w:iCs/>
        </w:rPr>
        <w:t>.</w:t>
      </w:r>
      <w:r w:rsidR="000A7AAC">
        <w:rPr>
          <w:iCs/>
        </w:rPr>
        <w:t xml:space="preserve"> This joint activity is based on intense communication because community members’ </w:t>
      </w:r>
      <w:r w:rsidR="000A7AAC">
        <w:rPr>
          <w:iCs/>
        </w:rPr>
        <w:lastRenderedPageBreak/>
        <w:t>publications contain contributions that are offered to fellow community members for further use</w:t>
      </w:r>
      <w:r w:rsidR="008D4C77">
        <w:rPr>
          <w:iCs/>
        </w:rPr>
        <w:t xml:space="preserve"> </w:t>
      </w:r>
      <w:r w:rsidR="00A32AE8" w:rsidRPr="00A32AE8">
        <w:t>(</w:t>
      </w:r>
      <w:r w:rsidR="00E62124" w:rsidRPr="00A32AE8">
        <w:t xml:space="preserve">Kuhn, </w:t>
      </w:r>
      <w:r w:rsidR="00E62124">
        <w:t>1970 [</w:t>
      </w:r>
      <w:r w:rsidR="00E62124" w:rsidRPr="00A32AE8">
        <w:t>1962</w:t>
      </w:r>
      <w:r w:rsidR="00E62124">
        <w:t>]:</w:t>
      </w:r>
      <w:r w:rsidR="00E62124" w:rsidRPr="00A32AE8">
        <w:t xml:space="preserve"> 19</w:t>
      </w:r>
      <w:r w:rsidR="00E62124">
        <w:t>, 23, 177</w:t>
      </w:r>
      <w:r w:rsidR="00A32AE8" w:rsidRPr="00A32AE8">
        <w:t>)</w:t>
      </w:r>
      <w:r w:rsidR="008D4C77">
        <w:rPr>
          <w:iCs/>
        </w:rPr>
        <w:t>.</w:t>
      </w:r>
      <w:r w:rsidR="00B849DF">
        <w:rPr>
          <w:iCs/>
        </w:rPr>
        <w:t xml:space="preserve"> It is also based on, and strengthens, the thematic similarity of community members’ work</w:t>
      </w:r>
      <w:r w:rsidR="000044BB">
        <w:rPr>
          <w:iCs/>
        </w:rPr>
        <w:t>. Finally, from the definition of a topic as a joint frame of reference follows that a topic is first and foremost a topic to those who work on it. The</w:t>
      </w:r>
      <w:r w:rsidR="0055398F">
        <w:rPr>
          <w:iCs/>
        </w:rPr>
        <w:t xml:space="preserve"> insider perspective </w:t>
      </w:r>
      <w:r w:rsidR="00657E9B">
        <w:rPr>
          <w:iCs/>
        </w:rPr>
        <w:t xml:space="preserve">that constitutes </w:t>
      </w:r>
      <w:r w:rsidR="0055398F">
        <w:rPr>
          <w:iCs/>
        </w:rPr>
        <w:t xml:space="preserve">a topic is likely to deviate from outsider perspectives, i.e. perspectives of colleagues from other communities. </w:t>
      </w:r>
    </w:p>
    <w:p w14:paraId="6F1B669A" w14:textId="7BAECCB1" w:rsidR="002A0EE6" w:rsidRDefault="0055398F" w:rsidP="00860952">
      <w:pPr>
        <w:jc w:val="both"/>
        <w:rPr>
          <w:iCs/>
        </w:rPr>
      </w:pPr>
      <w:r>
        <w:rPr>
          <w:iCs/>
        </w:rPr>
        <w:t>These theoretical</w:t>
      </w:r>
      <w:r w:rsidR="00C10EE5">
        <w:rPr>
          <w:iCs/>
        </w:rPr>
        <w:t>ly derived</w:t>
      </w:r>
      <w:r>
        <w:rPr>
          <w:iCs/>
        </w:rPr>
        <w:t xml:space="preserve"> properties of topics </w:t>
      </w:r>
      <w:r w:rsidR="00C10EE5">
        <w:rPr>
          <w:iCs/>
        </w:rPr>
        <w:t xml:space="preserve">should correspond to </w:t>
      </w:r>
      <w:r>
        <w:rPr>
          <w:iCs/>
        </w:rPr>
        <w:t xml:space="preserve">properties of subgraphs in </w:t>
      </w:r>
      <w:r w:rsidR="00C10EE5">
        <w:rPr>
          <w:iCs/>
        </w:rPr>
        <w:t xml:space="preserve">publication </w:t>
      </w:r>
      <w:r>
        <w:rPr>
          <w:iCs/>
        </w:rPr>
        <w:t xml:space="preserve">networks </w:t>
      </w:r>
      <w:r w:rsidR="00C10EE5">
        <w:rPr>
          <w:iCs/>
        </w:rPr>
        <w:t>if these subgraphs are meant to represent topics</w:t>
      </w:r>
      <w:r>
        <w:rPr>
          <w:iCs/>
        </w:rPr>
        <w:t xml:space="preserve">. </w:t>
      </w:r>
      <w:r w:rsidR="00957BDE">
        <w:rPr>
          <w:iCs/>
        </w:rPr>
        <w:t xml:space="preserve">Dense communication </w:t>
      </w:r>
      <w:r w:rsidR="0046783C">
        <w:rPr>
          <w:iCs/>
        </w:rPr>
        <w:t xml:space="preserve">should be reflected </w:t>
      </w:r>
      <w:r w:rsidR="00957BDE">
        <w:rPr>
          <w:iCs/>
        </w:rPr>
        <w:t xml:space="preserve">in above-average subgraph cohesion in direct citation networks. Thematic similarity </w:t>
      </w:r>
      <w:r w:rsidR="0046783C">
        <w:rPr>
          <w:iCs/>
        </w:rPr>
        <w:t xml:space="preserve">should be reflected </w:t>
      </w:r>
      <w:r w:rsidR="00957BDE">
        <w:rPr>
          <w:iCs/>
        </w:rPr>
        <w:t xml:space="preserve">in above-average subgraph density in bibliographic coupling networks. </w:t>
      </w:r>
      <w:r w:rsidR="00657E9B">
        <w:rPr>
          <w:iCs/>
        </w:rPr>
        <w:t xml:space="preserve">The insider perspective </w:t>
      </w:r>
      <w:r w:rsidR="0046783C">
        <w:rPr>
          <w:iCs/>
        </w:rPr>
        <w:t xml:space="preserve">should be realised </w:t>
      </w:r>
      <w:proofErr w:type="gramStart"/>
      <w:r w:rsidR="0046783C">
        <w:rPr>
          <w:iCs/>
        </w:rPr>
        <w:t xml:space="preserve">by </w:t>
      </w:r>
      <w:r w:rsidR="00657E9B">
        <w:rPr>
          <w:iCs/>
        </w:rPr>
        <w:t>the use of</w:t>
      </w:r>
      <w:proofErr w:type="gramEnd"/>
      <w:r w:rsidR="00657E9B">
        <w:rPr>
          <w:iCs/>
        </w:rPr>
        <w:t xml:space="preserve"> local information (information about a subgraph and its environment) for its delineation</w:t>
      </w:r>
      <w:r w:rsidR="008D4C77">
        <w:rPr>
          <w:iCs/>
        </w:rPr>
        <w:t xml:space="preserve"> </w:t>
      </w:r>
      <w:r w:rsidR="00A32AE8" w:rsidRPr="00A32AE8">
        <w:t>(Held, 2022)</w:t>
      </w:r>
      <w:r w:rsidR="00657E9B">
        <w:rPr>
          <w:iCs/>
        </w:rPr>
        <w:t>.</w:t>
      </w:r>
      <w:r w:rsidR="0026482B">
        <w:rPr>
          <w:iCs/>
        </w:rPr>
        <w:t xml:space="preserve"> Taken together, these </w:t>
      </w:r>
      <w:r w:rsidR="0046783C">
        <w:rPr>
          <w:iCs/>
        </w:rPr>
        <w:t>operationalisations</w:t>
      </w:r>
      <w:r w:rsidR="0026482B">
        <w:rPr>
          <w:iCs/>
        </w:rPr>
        <w:t xml:space="preserve"> </w:t>
      </w:r>
      <w:r w:rsidR="00C10EE5">
        <w:rPr>
          <w:iCs/>
        </w:rPr>
        <w:t>suggest experiment</w:t>
      </w:r>
      <w:r w:rsidR="005148EC">
        <w:rPr>
          <w:iCs/>
        </w:rPr>
        <w:t>ing</w:t>
      </w:r>
      <w:r w:rsidR="00C10EE5">
        <w:rPr>
          <w:iCs/>
        </w:rPr>
        <w:t xml:space="preserve"> with </w:t>
      </w:r>
      <w:r w:rsidR="0026482B">
        <w:rPr>
          <w:iCs/>
        </w:rPr>
        <w:t>local density-maximising algorithms, which can be applied to traditional bibliometric data models like direct citation and bibliographic coupling.</w:t>
      </w:r>
    </w:p>
    <w:p w14:paraId="479A4C7E" w14:textId="77777777" w:rsidR="0026482B" w:rsidRDefault="0026482B" w:rsidP="00860952">
      <w:pPr>
        <w:jc w:val="both"/>
        <w:rPr>
          <w:iCs/>
        </w:rPr>
      </w:pPr>
    </w:p>
    <w:p w14:paraId="6EBA3B61" w14:textId="54B01764" w:rsidR="00657E9B" w:rsidRPr="006A51DC" w:rsidRDefault="0026482B" w:rsidP="00860952">
      <w:pPr>
        <w:jc w:val="both"/>
        <w:rPr>
          <w:i/>
        </w:rPr>
      </w:pPr>
      <w:r w:rsidRPr="006A51DC">
        <w:rPr>
          <w:i/>
        </w:rPr>
        <w:t xml:space="preserve">2.2 Local algorithms </w:t>
      </w:r>
    </w:p>
    <w:p w14:paraId="0BCC7256" w14:textId="22A5B90B" w:rsidR="00134EB3" w:rsidRDefault="00134EB3" w:rsidP="004B5DF6">
      <w:pPr>
        <w:jc w:val="both"/>
        <w:rPr>
          <w:rFonts w:cs="Arial"/>
        </w:rPr>
      </w:pPr>
      <w:r>
        <w:t>In n</w:t>
      </w:r>
      <w:r w:rsidR="004B5DF6">
        <w:t>etwork research</w:t>
      </w:r>
      <w:r>
        <w:t>, many different</w:t>
      </w:r>
      <w:r w:rsidR="004B5DF6">
        <w:t xml:space="preserve"> </w:t>
      </w:r>
      <w:r w:rsidR="004B5DF6">
        <w:rPr>
          <w:i/>
          <w:iCs/>
        </w:rPr>
        <w:t xml:space="preserve">local community detection algorithms </w:t>
      </w:r>
      <w:r w:rsidR="004B5DF6">
        <w:t>(LCDA)</w:t>
      </w:r>
      <w:r w:rsidR="00084514">
        <w:t xml:space="preserve">, i.e. </w:t>
      </w:r>
      <w:r w:rsidR="004B5DF6">
        <w:t>algorithms which start locally from a seed in a network and grow a so-called community around it</w:t>
      </w:r>
      <w:r w:rsidR="00084514">
        <w:t>, have been developed</w:t>
      </w:r>
      <w:r w:rsidR="00CB676D">
        <w:t xml:space="preserve"> </w:t>
      </w:r>
      <w:r w:rsidR="00A32AE8" w:rsidRPr="00A32AE8">
        <w:t>(</w:t>
      </w:r>
      <w:proofErr w:type="spellStart"/>
      <w:r w:rsidR="00A32AE8" w:rsidRPr="00A32AE8">
        <w:t>Dilmaghani</w:t>
      </w:r>
      <w:proofErr w:type="spellEnd"/>
      <w:r w:rsidR="00A32AE8" w:rsidRPr="00A32AE8">
        <w:t xml:space="preserve"> et al., 2021)</w:t>
      </w:r>
      <w:r w:rsidR="004B5DF6">
        <w:t xml:space="preserve">. </w:t>
      </w:r>
      <w:r w:rsidR="006D03F6">
        <w:t>LCDAs share</w:t>
      </w:r>
      <w:r w:rsidR="004B5DF6">
        <w:t xml:space="preserve"> the classical idea of a </w:t>
      </w:r>
      <w:r w:rsidR="006D03F6">
        <w:t xml:space="preserve">community in a </w:t>
      </w:r>
      <w:r>
        <w:t xml:space="preserve">network </w:t>
      </w:r>
      <w:r w:rsidR="004B5DF6">
        <w:rPr>
          <w:rFonts w:cs="Arial"/>
        </w:rPr>
        <w:t>having “more edges ‘inside’ [...] than edges linking vertices […] with the rest of the graph”</w:t>
      </w:r>
      <w:r w:rsidR="00CB676D">
        <w:rPr>
          <w:rFonts w:cs="Arial"/>
        </w:rPr>
        <w:t xml:space="preserve"> </w:t>
      </w:r>
      <w:r w:rsidR="00A32AE8" w:rsidRPr="00A32AE8">
        <w:t>(Fortunato, 2010)</w:t>
      </w:r>
      <w:r w:rsidR="004B5DF6">
        <w:rPr>
          <w:rFonts w:cs="Arial"/>
        </w:rPr>
        <w:t xml:space="preserve">. </w:t>
      </w:r>
    </w:p>
    <w:p w14:paraId="5AD1C32C" w14:textId="17B8625E" w:rsidR="00672548" w:rsidRDefault="0014533C" w:rsidP="004B5DF6">
      <w:pPr>
        <w:jc w:val="both"/>
        <w:rPr>
          <w:rFonts w:cs="Arial"/>
        </w:rPr>
      </w:pPr>
      <w:r>
        <w:rPr>
          <w:rFonts w:cs="Arial"/>
        </w:rPr>
        <w:t xml:space="preserve">This understanding of communities in networks calls for a maximisation of a subgraph’s cohesion and separation. </w:t>
      </w:r>
      <w:r w:rsidR="004B5DF6">
        <w:rPr>
          <w:rFonts w:cs="Arial"/>
        </w:rPr>
        <w:t xml:space="preserve">While global network partition algorithms </w:t>
      </w:r>
      <w:r>
        <w:rPr>
          <w:rFonts w:cs="Arial"/>
        </w:rPr>
        <w:t>must</w:t>
      </w:r>
      <w:r w:rsidR="004B5DF6">
        <w:rPr>
          <w:rFonts w:cs="Arial"/>
        </w:rPr>
        <w:t xml:space="preserve"> solve </w:t>
      </w:r>
      <w:r>
        <w:rPr>
          <w:rFonts w:cs="Arial"/>
        </w:rPr>
        <w:t xml:space="preserve">this </w:t>
      </w:r>
      <w:r w:rsidR="004B5DF6">
        <w:rPr>
          <w:rFonts w:cs="Arial"/>
        </w:rPr>
        <w:t xml:space="preserve">problem by </w:t>
      </w:r>
      <w:r>
        <w:rPr>
          <w:rFonts w:cs="Arial"/>
        </w:rPr>
        <w:t xml:space="preserve">striking </w:t>
      </w:r>
      <w:r w:rsidR="004B5DF6">
        <w:rPr>
          <w:rFonts w:cs="Arial"/>
        </w:rPr>
        <w:t xml:space="preserve">a compromise </w:t>
      </w:r>
      <w:r>
        <w:rPr>
          <w:rFonts w:cs="Arial"/>
        </w:rPr>
        <w:t>because in a partition neither can be optimised individually</w:t>
      </w:r>
      <w:r w:rsidR="00CB676D">
        <w:rPr>
          <w:rFonts w:cs="Arial"/>
        </w:rPr>
        <w:t xml:space="preserve"> </w:t>
      </w:r>
      <w:r w:rsidR="00A32AE8" w:rsidRPr="00A32AE8">
        <w:t xml:space="preserve">(Fortunato &amp; </w:t>
      </w:r>
      <w:proofErr w:type="spellStart"/>
      <w:r w:rsidR="00A32AE8" w:rsidRPr="00A32AE8">
        <w:t>Hric</w:t>
      </w:r>
      <w:proofErr w:type="spellEnd"/>
      <w:r w:rsidR="00A32AE8" w:rsidRPr="00A32AE8">
        <w:t>, 2016)</w:t>
      </w:r>
      <w:r w:rsidR="004B5DF6">
        <w:rPr>
          <w:rFonts w:cs="Arial"/>
        </w:rPr>
        <w:t xml:space="preserve">, local algorithms </w:t>
      </w:r>
      <w:r w:rsidR="00084514">
        <w:rPr>
          <w:rFonts w:cs="Arial"/>
        </w:rPr>
        <w:t>can</w:t>
      </w:r>
      <w:r w:rsidR="004B5DF6">
        <w:rPr>
          <w:rFonts w:cs="Arial"/>
        </w:rPr>
        <w:t xml:space="preserve"> focus </w:t>
      </w:r>
      <w:r w:rsidR="00A9603D">
        <w:rPr>
          <w:rFonts w:cs="Arial"/>
        </w:rPr>
        <w:t xml:space="preserve">on </w:t>
      </w:r>
      <w:r w:rsidR="004B5DF6">
        <w:rPr>
          <w:rFonts w:cs="Arial"/>
        </w:rPr>
        <w:t>either separation or cohesion</w:t>
      </w:r>
      <w:r w:rsidR="00343FDD">
        <w:rPr>
          <w:rFonts w:cs="Arial"/>
        </w:rPr>
        <w:t xml:space="preserve">. Most </w:t>
      </w:r>
      <w:r w:rsidR="00134EB3">
        <w:rPr>
          <w:rFonts w:cs="Arial"/>
        </w:rPr>
        <w:t xml:space="preserve">local algorithms </w:t>
      </w:r>
      <w:r w:rsidR="004B5DF6">
        <w:rPr>
          <w:rFonts w:cs="Arial"/>
        </w:rPr>
        <w:t>evaluate</w:t>
      </w:r>
      <w:r w:rsidR="00134EB3">
        <w:rPr>
          <w:rFonts w:cs="Arial"/>
        </w:rPr>
        <w:t xml:space="preserve"> </w:t>
      </w:r>
      <w:r>
        <w:rPr>
          <w:rFonts w:cs="Arial"/>
        </w:rPr>
        <w:t xml:space="preserve">a </w:t>
      </w:r>
      <w:r w:rsidR="00134EB3">
        <w:rPr>
          <w:rFonts w:cs="Arial"/>
        </w:rPr>
        <w:t>community</w:t>
      </w:r>
      <w:r>
        <w:rPr>
          <w:rFonts w:cs="Arial"/>
        </w:rPr>
        <w:t>’s</w:t>
      </w:r>
      <w:r w:rsidR="00134EB3">
        <w:rPr>
          <w:rFonts w:cs="Arial"/>
        </w:rPr>
        <w:t xml:space="preserve"> quality</w:t>
      </w:r>
      <w:r w:rsidR="004B5DF6">
        <w:rPr>
          <w:rFonts w:cs="Arial"/>
        </w:rPr>
        <w:t xml:space="preserve"> by </w:t>
      </w:r>
      <w:r w:rsidR="00343FDD">
        <w:rPr>
          <w:rFonts w:cs="Arial"/>
        </w:rPr>
        <w:t xml:space="preserve">its </w:t>
      </w:r>
      <w:r w:rsidR="004B5DF6">
        <w:rPr>
          <w:rFonts w:cs="Arial"/>
        </w:rPr>
        <w:t xml:space="preserve">separation </w:t>
      </w:r>
      <w:r w:rsidR="00343FDD">
        <w:rPr>
          <w:rFonts w:cs="Arial"/>
        </w:rPr>
        <w:t xml:space="preserve">from </w:t>
      </w:r>
      <w:r w:rsidR="004B5DF6">
        <w:rPr>
          <w:rFonts w:cs="Arial"/>
        </w:rPr>
        <w:t xml:space="preserve">its </w:t>
      </w:r>
      <w:r w:rsidR="00343FDD">
        <w:rPr>
          <w:rFonts w:cs="Arial"/>
        </w:rPr>
        <w:t>environment</w:t>
      </w:r>
      <w:r w:rsidR="004B5DF6">
        <w:rPr>
          <w:rFonts w:cs="Arial"/>
        </w:rPr>
        <w:t xml:space="preserve">, </w:t>
      </w:r>
      <w:r w:rsidR="00343FDD">
        <w:rPr>
          <w:rFonts w:cs="Arial"/>
        </w:rPr>
        <w:t>which is</w:t>
      </w:r>
      <w:r w:rsidR="003C1A68">
        <w:rPr>
          <w:rFonts w:cs="Arial"/>
        </w:rPr>
        <w:t xml:space="preserve"> frequently</w:t>
      </w:r>
      <w:r w:rsidR="00343FDD">
        <w:rPr>
          <w:rFonts w:cs="Arial"/>
        </w:rPr>
        <w:t xml:space="preserve"> measured as </w:t>
      </w:r>
      <w:r w:rsidR="004B5DF6">
        <w:rPr>
          <w:rFonts w:cs="Arial"/>
        </w:rPr>
        <w:t>conductance</w:t>
      </w:r>
      <w:r w:rsidR="001B3954">
        <w:rPr>
          <w:rFonts w:cs="Arial"/>
        </w:rPr>
        <w:t xml:space="preserve"> (outward edges divided by volume</w:t>
      </w:r>
      <w:r w:rsidR="00A9603D">
        <w:rPr>
          <w:rFonts w:cs="Arial"/>
        </w:rPr>
        <w:t>,</w:t>
      </w:r>
      <w:r w:rsidR="00CB676D">
        <w:rPr>
          <w:rFonts w:cs="Arial"/>
        </w:rPr>
        <w:t xml:space="preserve"> </w:t>
      </w:r>
      <w:r w:rsidR="00A32AE8" w:rsidRPr="00A32AE8">
        <w:t>Hamann et al., 2017</w:t>
      </w:r>
      <w:r w:rsidR="00823132">
        <w:rPr>
          <w:rFonts w:cs="Arial"/>
        </w:rPr>
        <w:t>)</w:t>
      </w:r>
      <w:r>
        <w:rPr>
          <w:rFonts w:cs="Arial"/>
        </w:rPr>
        <w:t xml:space="preserve"> </w:t>
      </w:r>
      <w:r w:rsidR="004B5DF6">
        <w:rPr>
          <w:rFonts w:cs="Arial"/>
        </w:rPr>
        <w:t>or local modularity</w:t>
      </w:r>
      <w:r w:rsidR="001B3954">
        <w:rPr>
          <w:rFonts w:cs="Arial"/>
        </w:rPr>
        <w:t xml:space="preserve"> </w:t>
      </w:r>
      <w:r w:rsidR="00614DA2">
        <w:rPr>
          <w:rFonts w:cs="Arial"/>
        </w:rPr>
        <w:t>(</w:t>
      </w:r>
      <w:proofErr w:type="spellStart"/>
      <w:r w:rsidR="00614DA2">
        <w:rPr>
          <w:rFonts w:cs="Arial"/>
        </w:rPr>
        <w:t>Clauset</w:t>
      </w:r>
      <w:proofErr w:type="spellEnd"/>
      <w:r w:rsidR="00614DA2">
        <w:rPr>
          <w:rFonts w:cs="Arial"/>
        </w:rPr>
        <w:t>, 2005: 2).</w:t>
      </w:r>
      <w:r w:rsidR="004B5DF6">
        <w:rPr>
          <w:rFonts w:cs="Arial"/>
        </w:rPr>
        <w:t xml:space="preserve"> </w:t>
      </w:r>
      <w:r w:rsidR="00A522CC">
        <w:rPr>
          <w:rFonts w:cs="Arial"/>
        </w:rPr>
        <w:t>Only few local algorithms maximise cohesion</w:t>
      </w:r>
      <w:r w:rsidR="00672548">
        <w:rPr>
          <w:rFonts w:cs="Arial"/>
        </w:rPr>
        <w:t>. These include</w:t>
      </w:r>
      <w:r w:rsidR="00A522CC">
        <w:rPr>
          <w:rFonts w:cs="Arial"/>
        </w:rPr>
        <w:t xml:space="preserve">, </w:t>
      </w:r>
      <w:r w:rsidR="00672548">
        <w:rPr>
          <w:rFonts w:cs="Arial"/>
        </w:rPr>
        <w:t>among others,</w:t>
      </w:r>
      <w:r w:rsidR="00A522CC">
        <w:rPr>
          <w:rFonts w:cs="Arial"/>
        </w:rPr>
        <w:t xml:space="preserve"> </w:t>
      </w:r>
    </w:p>
    <w:p w14:paraId="4AD1A850" w14:textId="68CF8540" w:rsidR="00672548" w:rsidRDefault="00672548" w:rsidP="004B5DF6">
      <w:pPr>
        <w:jc w:val="both"/>
        <w:rPr>
          <w:rFonts w:cs="Arial"/>
        </w:rPr>
      </w:pPr>
      <w:r>
        <w:rPr>
          <w:rFonts w:cs="Arial"/>
        </w:rPr>
        <w:t xml:space="preserve">- </w:t>
      </w:r>
      <w:r w:rsidR="00614DA2">
        <w:rPr>
          <w:rFonts w:cs="Arial"/>
        </w:rPr>
        <w:t xml:space="preserve">the </w:t>
      </w:r>
      <w:r w:rsidR="003C1A68">
        <w:rPr>
          <w:rFonts w:cs="Arial"/>
        </w:rPr>
        <w:t>L</w:t>
      </w:r>
      <w:r w:rsidR="00614DA2">
        <w:rPr>
          <w:rFonts w:cs="Arial"/>
        </w:rPr>
        <w:t xml:space="preserve">ocal </w:t>
      </w:r>
      <w:r w:rsidR="003C1A68">
        <w:rPr>
          <w:rFonts w:cs="Arial"/>
        </w:rPr>
        <w:t>T</w:t>
      </w:r>
      <w:r w:rsidR="00614DA2">
        <w:rPr>
          <w:rFonts w:cs="Arial"/>
        </w:rPr>
        <w:t xml:space="preserve">ightness </w:t>
      </w:r>
      <w:r w:rsidR="003C1A68">
        <w:rPr>
          <w:rFonts w:cs="Arial"/>
        </w:rPr>
        <w:t>E</w:t>
      </w:r>
      <w:r w:rsidR="00614DA2">
        <w:rPr>
          <w:rFonts w:cs="Arial"/>
        </w:rPr>
        <w:t>xpansion algorithm (LTE)</w:t>
      </w:r>
      <w:r w:rsidR="00990AE3">
        <w:rPr>
          <w:rFonts w:cs="Arial"/>
        </w:rPr>
        <w:t>,</w:t>
      </w:r>
      <w:r w:rsidR="00614DA2">
        <w:rPr>
          <w:rFonts w:cs="Arial"/>
        </w:rPr>
        <w:t xml:space="preserve"> which </w:t>
      </w:r>
      <w:r w:rsidR="009E51A5">
        <w:rPr>
          <w:rFonts w:cs="Arial"/>
        </w:rPr>
        <w:t xml:space="preserve">grows </w:t>
      </w:r>
      <w:r w:rsidR="00614DA2">
        <w:rPr>
          <w:rFonts w:cs="Arial"/>
        </w:rPr>
        <w:t xml:space="preserve">the subgraph </w:t>
      </w:r>
      <w:r w:rsidR="00A522CC">
        <w:rPr>
          <w:rFonts w:cs="Arial"/>
        </w:rPr>
        <w:t xml:space="preserve">by adding </w:t>
      </w:r>
      <w:r w:rsidR="009E51A5">
        <w:rPr>
          <w:rFonts w:cs="Arial"/>
        </w:rPr>
        <w:t>nodes</w:t>
      </w:r>
      <w:r w:rsidR="00614DA2">
        <w:rPr>
          <w:rFonts w:cs="Arial"/>
        </w:rPr>
        <w:t xml:space="preserve"> </w:t>
      </w:r>
      <w:r w:rsidR="00A522CC">
        <w:rPr>
          <w:rFonts w:cs="Arial"/>
        </w:rPr>
        <w:t xml:space="preserve">that </w:t>
      </w:r>
      <w:r w:rsidR="00614DA2">
        <w:rPr>
          <w:rFonts w:cs="Arial"/>
        </w:rPr>
        <w:t xml:space="preserve">increase the subgraph’s </w:t>
      </w:r>
      <w:r w:rsidR="00673BAD">
        <w:rPr>
          <w:rFonts w:cs="Arial"/>
        </w:rPr>
        <w:t>“</w:t>
      </w:r>
      <w:r w:rsidR="00614DA2">
        <w:rPr>
          <w:rFonts w:cs="Arial"/>
        </w:rPr>
        <w:t>tightness</w:t>
      </w:r>
      <w:r w:rsidR="00673BAD">
        <w:rPr>
          <w:rFonts w:cs="Arial"/>
        </w:rPr>
        <w:t>”</w:t>
      </w:r>
      <w:r w:rsidR="009E51A5">
        <w:rPr>
          <w:rFonts w:cs="Arial"/>
        </w:rPr>
        <w:t xml:space="preserve"> </w:t>
      </w:r>
      <w:r w:rsidR="005148EC">
        <w:rPr>
          <w:rFonts w:cs="Arial"/>
        </w:rPr>
        <w:t xml:space="preserve">(shared neighbours </w:t>
      </w:r>
      <w:r w:rsidR="008D24BE">
        <w:rPr>
          <w:rFonts w:cs="Arial"/>
        </w:rPr>
        <w:t>of nodes inside the subgraph compared to neighbours of nodes inside and outside of the subgraph)</w:t>
      </w:r>
      <w:r w:rsidR="005148EC">
        <w:rPr>
          <w:rFonts w:cs="Arial"/>
        </w:rPr>
        <w:t xml:space="preserve"> </w:t>
      </w:r>
      <w:r w:rsidR="009E51A5">
        <w:rPr>
          <w:rFonts w:cs="Arial"/>
        </w:rPr>
        <w:t xml:space="preserve">and </w:t>
      </w:r>
      <w:r w:rsidR="00990AE3">
        <w:rPr>
          <w:rFonts w:cs="Arial"/>
        </w:rPr>
        <w:t>also uses “tightness” as termination criterion</w:t>
      </w:r>
      <w:r w:rsidR="00CB676D">
        <w:rPr>
          <w:rFonts w:cs="Arial"/>
        </w:rPr>
        <w:t xml:space="preserve"> </w:t>
      </w:r>
      <w:r w:rsidR="00A32AE8" w:rsidRPr="00A32AE8">
        <w:t>(Huang et al., 2011)</w:t>
      </w:r>
      <w:r w:rsidR="001B1386">
        <w:rPr>
          <w:rFonts w:cs="Arial"/>
        </w:rPr>
        <w:t xml:space="preserve">, and </w:t>
      </w:r>
    </w:p>
    <w:p w14:paraId="416D4AA7" w14:textId="0304210A" w:rsidR="004B5DF6" w:rsidRDefault="00672548" w:rsidP="004B5DF6">
      <w:pPr>
        <w:jc w:val="both"/>
        <w:rPr>
          <w:rFonts w:cs="Arial"/>
        </w:rPr>
      </w:pPr>
      <w:r>
        <w:rPr>
          <w:rFonts w:cs="Arial"/>
        </w:rPr>
        <w:t xml:space="preserve">- </w:t>
      </w:r>
      <w:r w:rsidR="001B1386">
        <w:rPr>
          <w:rFonts w:cs="Arial"/>
        </w:rPr>
        <w:t>t</w:t>
      </w:r>
      <w:r w:rsidR="009E51A5">
        <w:rPr>
          <w:rFonts w:cs="Arial"/>
        </w:rPr>
        <w:t>he Triangle Base</w:t>
      </w:r>
      <w:r w:rsidR="001B1386">
        <w:rPr>
          <w:rFonts w:cs="Arial"/>
        </w:rPr>
        <w:t>d</w:t>
      </w:r>
      <w:r w:rsidR="009E51A5">
        <w:rPr>
          <w:rFonts w:cs="Arial"/>
        </w:rPr>
        <w:t xml:space="preserve"> Community Expansion (TCE) algorithm</w:t>
      </w:r>
      <w:r w:rsidR="00CB676D">
        <w:rPr>
          <w:rFonts w:cs="Arial"/>
        </w:rPr>
        <w:t xml:space="preserve"> </w:t>
      </w:r>
      <w:r w:rsidR="00A32AE8" w:rsidRPr="00A32AE8">
        <w:t>(Hamann et al., 2017)</w:t>
      </w:r>
      <w:r w:rsidR="001B1386">
        <w:rPr>
          <w:rFonts w:cs="Arial"/>
        </w:rPr>
        <w:t>, which adds nodes when</w:t>
      </w:r>
      <w:r w:rsidR="008D24BE">
        <w:rPr>
          <w:rFonts w:cs="Arial"/>
        </w:rPr>
        <w:t xml:space="preserve"> they have a large share of triangular relationships with the subgraph compared to the nodes’ degree</w:t>
      </w:r>
      <w:r w:rsidR="009E51A5">
        <w:rPr>
          <w:rFonts w:cs="Arial"/>
        </w:rPr>
        <w:t xml:space="preserve"> but </w:t>
      </w:r>
      <w:r w:rsidR="00990AE3">
        <w:rPr>
          <w:rFonts w:cs="Arial"/>
        </w:rPr>
        <w:t xml:space="preserve">uses a separation-oriented criterion </w:t>
      </w:r>
      <w:r w:rsidR="001B1386">
        <w:rPr>
          <w:rFonts w:cs="Arial"/>
        </w:rPr>
        <w:t xml:space="preserve">(conductance) </w:t>
      </w:r>
      <w:r w:rsidR="00990AE3">
        <w:rPr>
          <w:rFonts w:cs="Arial"/>
        </w:rPr>
        <w:t>for termination.</w:t>
      </w:r>
    </w:p>
    <w:p w14:paraId="5DDE2C84" w14:textId="4C983A01" w:rsidR="004B5DF6" w:rsidRDefault="004B5DF6" w:rsidP="004B5DF6">
      <w:pPr>
        <w:jc w:val="both"/>
      </w:pPr>
      <w:r>
        <w:t>While some algorithms find their own seed to start from</w:t>
      </w:r>
      <w:r w:rsidR="0085249C">
        <w:t xml:space="preserve"> (</w:t>
      </w:r>
      <w:proofErr w:type="spellStart"/>
      <w:r w:rsidR="0085249C">
        <w:t>Dilmaghani</w:t>
      </w:r>
      <w:proofErr w:type="spellEnd"/>
      <w:r w:rsidR="0085249C">
        <w:t xml:space="preserve"> et al., 2021b: 762)</w:t>
      </w:r>
      <w:r>
        <w:t>,</w:t>
      </w:r>
      <w:r w:rsidR="00B70AFD">
        <w:t xml:space="preserve"> </w:t>
      </w:r>
      <w:proofErr w:type="gramStart"/>
      <w:r w:rsidR="001B1386">
        <w:t>e.g.</w:t>
      </w:r>
      <w:proofErr w:type="gramEnd"/>
      <w:r w:rsidR="00B70AFD">
        <w:t xml:space="preserve"> by random selection, </w:t>
      </w:r>
      <w:r>
        <w:t xml:space="preserve">others have to be provided a </w:t>
      </w:r>
      <w:r w:rsidR="002B497C">
        <w:t>user-defined</w:t>
      </w:r>
      <w:r>
        <w:t xml:space="preserve"> seed</w:t>
      </w:r>
      <w:r w:rsidR="002B497C">
        <w:t>.</w:t>
      </w:r>
      <w:r w:rsidR="00DA4B92">
        <w:t xml:space="preserve"> </w:t>
      </w:r>
      <w:r w:rsidR="007E46D2">
        <w:t xml:space="preserve">Some algorithms use user-defined seeds as starting point for </w:t>
      </w:r>
      <w:r>
        <w:t>find</w:t>
      </w:r>
      <w:r w:rsidR="007E46D2">
        <w:t xml:space="preserve">ing </w:t>
      </w:r>
      <w:r>
        <w:t xml:space="preserve">a suitable seed in </w:t>
      </w:r>
      <w:r w:rsidR="00DA4B92">
        <w:t>its</w:t>
      </w:r>
      <w:r>
        <w:t xml:space="preserve"> surrounding</w:t>
      </w:r>
      <w:r w:rsidR="007E46D2">
        <w:t xml:space="preserve">, e.g. by </w:t>
      </w:r>
      <w:r>
        <w:t>search</w:t>
      </w:r>
      <w:r w:rsidR="007E46D2">
        <w:t xml:space="preserve">ing </w:t>
      </w:r>
      <w:r>
        <w:t>for clique(-like) structures that include the seeds</w:t>
      </w:r>
      <w:r w:rsidR="007264CB">
        <w:t xml:space="preserve"> </w:t>
      </w:r>
      <w:r w:rsidR="00A32AE8" w:rsidRPr="00A32AE8">
        <w:t>(</w:t>
      </w:r>
      <w:proofErr w:type="spellStart"/>
      <w:r w:rsidR="00A32AE8" w:rsidRPr="00A32AE8">
        <w:t>Fanrong</w:t>
      </w:r>
      <w:proofErr w:type="spellEnd"/>
      <w:r w:rsidR="00A32AE8" w:rsidRPr="00A32AE8">
        <w:t xml:space="preserve"> et al., 2014)</w:t>
      </w:r>
      <w:r>
        <w:t xml:space="preserve"> or degree-central nodes </w:t>
      </w:r>
      <w:bookmarkStart w:id="0" w:name="ZOTERO_ITEM_CSL_CITATION_{&quot;citationID&quot;:&quot;"/>
      <w:r w:rsidR="00A32AE8" w:rsidRPr="00A32AE8">
        <w:t>(Q. Chen et al., 2013)</w:t>
      </w:r>
      <w:r w:rsidR="00A9603D">
        <w:t>.</w:t>
      </w:r>
      <w:r w:rsidR="007E46D2">
        <w:t xml:space="preserve"> </w:t>
      </w:r>
      <w:r w:rsidR="00A9603D">
        <w:t>O</w:t>
      </w:r>
      <w:r w:rsidR="007E46D2">
        <w:t xml:space="preserve">thers start the </w:t>
      </w:r>
      <w:r>
        <w:t>expansion</w:t>
      </w:r>
      <w:r w:rsidR="007E46D2">
        <w:t xml:space="preserve"> directly from the user-defined seed</w:t>
      </w:r>
      <w:r>
        <w:t>.</w:t>
      </w:r>
      <w:bookmarkEnd w:id="0"/>
    </w:p>
    <w:p w14:paraId="06D35C22" w14:textId="27537B84" w:rsidR="0026482B" w:rsidRDefault="007E46D2" w:rsidP="00860952">
      <w:pPr>
        <w:jc w:val="both"/>
        <w:rPr>
          <w:rFonts w:cs="Arial"/>
        </w:rPr>
      </w:pPr>
      <w:r>
        <w:rPr>
          <w:rFonts w:cs="Arial"/>
        </w:rPr>
        <w:t xml:space="preserve">To our knowledge, only two attempts have been made to </w:t>
      </w:r>
      <w:r w:rsidR="00895BEF">
        <w:rPr>
          <w:rFonts w:cs="Arial"/>
        </w:rPr>
        <w:t xml:space="preserve">utilise local algorithms for </w:t>
      </w:r>
      <w:r w:rsidR="00895BEF" w:rsidRPr="00A82C70">
        <w:rPr>
          <w:rFonts w:cs="Arial"/>
          <w:i/>
          <w:iCs/>
        </w:rPr>
        <w:t>bibliometric</w:t>
      </w:r>
      <w:r w:rsidR="00895BEF">
        <w:rPr>
          <w:rFonts w:cs="Arial"/>
        </w:rPr>
        <w:t xml:space="preserve"> questions. </w:t>
      </w:r>
      <w:proofErr w:type="spellStart"/>
      <w:r w:rsidR="00895BEF" w:rsidRPr="007264CB">
        <w:rPr>
          <w:rFonts w:cs="Arial"/>
        </w:rPr>
        <w:t>Havemann</w:t>
      </w:r>
      <w:proofErr w:type="spellEnd"/>
      <w:r w:rsidR="00895BEF" w:rsidRPr="007264CB">
        <w:rPr>
          <w:rFonts w:cs="Arial"/>
        </w:rPr>
        <w:t xml:space="preserve"> et al. (2017) used</w:t>
      </w:r>
      <w:r w:rsidR="00895BEF">
        <w:rPr>
          <w:rFonts w:cs="Arial"/>
        </w:rPr>
        <w:t xml:space="preserve"> a separation-based memetic local algorithm for topic reconstruction. </w:t>
      </w:r>
      <w:r w:rsidR="00A32AE8" w:rsidRPr="00A32AE8">
        <w:t xml:space="preserve">C. Chen </w:t>
      </w:r>
      <w:r w:rsidR="00A9603D">
        <w:t>(</w:t>
      </w:r>
      <w:r w:rsidR="00A32AE8" w:rsidRPr="00A32AE8">
        <w:t>2018)</w:t>
      </w:r>
      <w:r w:rsidR="007264CB">
        <w:rPr>
          <w:rFonts w:cs="Arial"/>
        </w:rPr>
        <w:t xml:space="preserve"> </w:t>
      </w:r>
      <w:r w:rsidR="00895BEF">
        <w:rPr>
          <w:rFonts w:cs="Arial"/>
        </w:rPr>
        <w:t xml:space="preserve">proposed </w:t>
      </w:r>
      <w:r w:rsidR="00A522CC">
        <w:rPr>
          <w:rFonts w:cs="Arial"/>
        </w:rPr>
        <w:t xml:space="preserve">cascading citation expansion, which is </w:t>
      </w:r>
      <w:r w:rsidR="00895BEF">
        <w:rPr>
          <w:rFonts w:cs="Arial"/>
        </w:rPr>
        <w:t xml:space="preserve">a local approach but </w:t>
      </w:r>
      <w:r w:rsidR="00A522CC">
        <w:rPr>
          <w:rFonts w:cs="Arial"/>
        </w:rPr>
        <w:t>not an algorithm for community detection.</w:t>
      </w:r>
      <w:r w:rsidR="00895BEF">
        <w:rPr>
          <w:rFonts w:cs="Arial"/>
        </w:rPr>
        <w:t xml:space="preserve"> </w:t>
      </w:r>
    </w:p>
    <w:p w14:paraId="36ECED56" w14:textId="77777777" w:rsidR="00660E12" w:rsidRDefault="00660E12" w:rsidP="005736CB">
      <w:pPr>
        <w:jc w:val="both"/>
        <w:rPr>
          <w:i/>
          <w:iCs/>
        </w:rPr>
      </w:pPr>
    </w:p>
    <w:p w14:paraId="2A755304" w14:textId="752210D7" w:rsidR="005736CB" w:rsidRPr="0081573E" w:rsidRDefault="006A51DC" w:rsidP="00672548">
      <w:pPr>
        <w:keepNext/>
        <w:jc w:val="both"/>
        <w:rPr>
          <w:i/>
          <w:iCs/>
        </w:rPr>
      </w:pPr>
      <w:r w:rsidRPr="0081573E">
        <w:rPr>
          <w:i/>
          <w:iCs/>
        </w:rPr>
        <w:t>2.3 The MALBA algorithm</w:t>
      </w:r>
    </w:p>
    <w:p w14:paraId="00395911" w14:textId="48B6396A" w:rsidR="0081573E" w:rsidRDefault="0068567E" w:rsidP="0081573E">
      <w:pPr>
        <w:jc w:val="both"/>
      </w:pPr>
      <w:r>
        <w:t xml:space="preserve">We present for consideration a </w:t>
      </w:r>
      <w:r w:rsidR="0081573E">
        <w:t>Multilayer Adjustable Local Bibliometric Algorithm (MALBA)</w:t>
      </w:r>
      <w:r w:rsidR="008B5218">
        <w:t xml:space="preserve">, which is inspired by the LTE algorithm. </w:t>
      </w:r>
      <w:r w:rsidR="0045290B">
        <w:t xml:space="preserve">MALBA constructs cohesive communities in networks </w:t>
      </w:r>
      <w:r w:rsidR="0045290B">
        <w:lastRenderedPageBreak/>
        <w:t>of papers</w:t>
      </w:r>
      <w:r w:rsidR="0081573E">
        <w:t xml:space="preserve"> </w:t>
      </w:r>
      <w:r w:rsidR="0045290B">
        <w:t xml:space="preserve">by </w:t>
      </w:r>
      <w:r w:rsidR="00581CB0">
        <w:t xml:space="preserve">iteratively </w:t>
      </w:r>
      <w:r w:rsidR="0045290B">
        <w:t xml:space="preserve">growing a </w:t>
      </w:r>
      <w:r w:rsidR="0081573E">
        <w:t>subgraph</w:t>
      </w:r>
      <w:r w:rsidR="00F9329F">
        <w:t xml:space="preserve"> from a seed, i.e. it operates </w:t>
      </w:r>
      <w:r w:rsidR="00F9329F" w:rsidRPr="00F9329F">
        <w:rPr>
          <w:i/>
          <w:iCs/>
        </w:rPr>
        <w:t>locally</w:t>
      </w:r>
      <w:r w:rsidR="00F9329F">
        <w:t>. Publications are added to the subgraph</w:t>
      </w:r>
      <w:r w:rsidR="0081573E">
        <w:t xml:space="preserve"> </w:t>
      </w:r>
      <w:r w:rsidR="00F9329F">
        <w:t xml:space="preserve">if they are densely connected in at least one of the two data models direct citation or bibliographic coupling, i.e. it operates in a </w:t>
      </w:r>
      <w:r w:rsidR="00870DDB" w:rsidRPr="00870DDB">
        <w:rPr>
          <w:i/>
          <w:iCs/>
        </w:rPr>
        <w:t>multi-layered</w:t>
      </w:r>
      <w:r w:rsidR="00870DDB">
        <w:t xml:space="preserve"> network</w:t>
      </w:r>
      <w:r w:rsidR="00CD0BE2">
        <w:t xml:space="preserve"> (Figure</w:t>
      </w:r>
      <w:r w:rsidR="003C1A68">
        <w:t xml:space="preserve"> </w:t>
      </w:r>
      <w:r w:rsidR="00CD0BE2">
        <w:t>1)</w:t>
      </w:r>
      <w:r w:rsidR="00870DDB">
        <w:t xml:space="preserve">. </w:t>
      </w:r>
      <w:r w:rsidR="00017221">
        <w:t xml:space="preserve">It can also be applied to networks based on only one of the two data models. </w:t>
      </w:r>
      <w:r w:rsidR="00870DDB">
        <w:t xml:space="preserve">The thresholds for the density of connections are </w:t>
      </w:r>
      <w:r w:rsidR="00870DDB" w:rsidRPr="00870DDB">
        <w:rPr>
          <w:i/>
          <w:iCs/>
        </w:rPr>
        <w:t>adjustable</w:t>
      </w:r>
      <w:r w:rsidR="00870DDB">
        <w:t xml:space="preserve"> by the user. </w:t>
      </w:r>
      <w:r w:rsidR="008B5218">
        <w:t xml:space="preserve">MALBA terminates when </w:t>
      </w:r>
      <w:r w:rsidR="00DD048E">
        <w:t xml:space="preserve">no more publications exist whose connections to the subgraph are above one </w:t>
      </w:r>
      <w:r w:rsidR="00A9603D">
        <w:t xml:space="preserve">of </w:t>
      </w:r>
      <w:r w:rsidR="00DD048E">
        <w:t>the density thresholds</w:t>
      </w:r>
      <w:r w:rsidR="008B5218">
        <w:t>.</w:t>
      </w:r>
      <w:r w:rsidR="00DD048E">
        <w:t xml:space="preserve"> </w:t>
      </w:r>
      <w:r w:rsidR="0081573E">
        <w:t xml:space="preserve">The separation of the subgraph </w:t>
      </w:r>
      <w:r w:rsidR="00870DDB">
        <w:t xml:space="preserve">from </w:t>
      </w:r>
      <w:r w:rsidR="0081573E">
        <w:t xml:space="preserve">its </w:t>
      </w:r>
      <w:r w:rsidR="0066589B">
        <w:t>neighbourhood</w:t>
      </w:r>
      <w:r w:rsidR="0081573E">
        <w:t xml:space="preserve"> is considered</w:t>
      </w:r>
      <w:r w:rsidR="00870DDB">
        <w:t xml:space="preserve"> only </w:t>
      </w:r>
      <w:r w:rsidR="0019247A">
        <w:t>collaterally</w:t>
      </w:r>
      <w:r w:rsidR="00870DDB">
        <w:t xml:space="preserve"> because papers that </w:t>
      </w:r>
      <w:r w:rsidR="0066589B">
        <w:t xml:space="preserve">are not connected well enough to be included </w:t>
      </w:r>
      <w:r w:rsidR="0019247A">
        <w:t xml:space="preserve">are </w:t>
      </w:r>
      <w:r w:rsidR="0066589B">
        <w:t xml:space="preserve">in turn better </w:t>
      </w:r>
      <w:r w:rsidR="0019247A">
        <w:t>separated from the subgraph</w:t>
      </w:r>
      <w:r w:rsidR="0081573E">
        <w:t xml:space="preserve">. </w:t>
      </w:r>
    </w:p>
    <w:p w14:paraId="27FD09D7" w14:textId="77777777" w:rsidR="00447BB2" w:rsidRDefault="00447BB2" w:rsidP="0081573E">
      <w:pPr>
        <w:jc w:val="both"/>
      </w:pPr>
    </w:p>
    <w:p w14:paraId="2D57D87C" w14:textId="26DB7B3A" w:rsidR="00CD0BE2" w:rsidRDefault="00CD0BE2" w:rsidP="00E0118A">
      <w:pPr>
        <w:keepNext/>
        <w:jc w:val="center"/>
      </w:pPr>
      <w:r>
        <w:rPr>
          <w:b/>
          <w:bCs/>
        </w:rPr>
        <w:t xml:space="preserve">Figure 1: </w:t>
      </w:r>
      <w:r w:rsidRPr="00437FA4">
        <w:t>I</w:t>
      </w:r>
      <w:r>
        <w:t>terative expansion steps of MALBA.</w:t>
      </w:r>
      <w:r w:rsidR="00447BB2">
        <w:rPr>
          <w:rStyle w:val="Funotenzeichen"/>
        </w:rPr>
        <w:footnoteReference w:id="1"/>
      </w:r>
    </w:p>
    <w:p w14:paraId="4D132D79" w14:textId="77777777" w:rsidR="001844A7" w:rsidRDefault="001844A7" w:rsidP="00E0118A">
      <w:pPr>
        <w:keepNext/>
        <w:jc w:val="center"/>
        <w:rPr>
          <w:b/>
          <w:bCs/>
        </w:rPr>
      </w:pPr>
    </w:p>
    <w:p w14:paraId="1E18D2E2" w14:textId="30272754" w:rsidR="00CD0BE2" w:rsidRDefault="0091028A" w:rsidP="00CD0BE2">
      <w:pPr>
        <w:jc w:val="center"/>
      </w:pPr>
      <w:r>
        <w:rPr>
          <w:noProof/>
        </w:rPr>
        <mc:AlternateContent>
          <mc:Choice Requires="wpg">
            <w:drawing>
              <wp:inline distT="0" distB="0" distL="0" distR="0" wp14:anchorId="72141E87" wp14:editId="73C446C8">
                <wp:extent cx="4834800" cy="2592000"/>
                <wp:effectExtent l="0" t="0" r="4445" b="18415"/>
                <wp:docPr id="1" name="Gruppieren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4800" cy="2592000"/>
                          <a:chOff x="0" y="0"/>
                          <a:chExt cx="48578" cy="31461"/>
                        </a:xfrm>
                      </wpg:grpSpPr>
                      <wps:wsp>
                        <wps:cNvPr id="4" name="Textfeld 4"/>
                        <wps:cNvSpPr txBox="1">
                          <a:spLocks noChangeArrowheads="1"/>
                        </wps:cNvSpPr>
                        <wps:spPr bwMode="auto">
                          <a:xfrm>
                            <a:off x="19450" y="0"/>
                            <a:ext cx="10040" cy="3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87698"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wps:txbx>
                        <wps:bodyPr rot="0" vert="horz" wrap="square" lIns="91440" tIns="45720" rIns="91440" bIns="45720" anchor="t" anchorCtr="0" upright="1">
                          <a:noAutofit/>
                        </wps:bodyPr>
                      </wps:wsp>
                      <wps:wsp>
                        <wps:cNvPr id="5" name="Gerade Verbindung mit Pfeil 2"/>
                        <wps:cNvCnPr>
                          <a:cxnSpLocks/>
                        </wps:cNvCnPr>
                        <wps:spPr bwMode="auto">
                          <a:xfrm flipV="1">
                            <a:off x="7261" y="2831"/>
                            <a:ext cx="14392" cy="21597"/>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 name="Gerade Verbindung mit Pfeil 3"/>
                        <wps:cNvCnPr>
                          <a:cxnSpLocks/>
                        </wps:cNvCnPr>
                        <wps:spPr bwMode="auto">
                          <a:xfrm>
                            <a:off x="27292" y="3066"/>
                            <a:ext cx="14484" cy="21792"/>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Gerade Verbindung mit Pfeil 4"/>
                        <wps:cNvCnPr>
                          <a:cxnSpLocks/>
                        </wps:cNvCnPr>
                        <wps:spPr bwMode="auto">
                          <a:xfrm flipH="1">
                            <a:off x="9134" y="27833"/>
                            <a:ext cx="30085" cy="0"/>
                          </a:xfrm>
                          <a:prstGeom prst="straightConnector1">
                            <a:avLst/>
                          </a:prstGeom>
                          <a:noFill/>
                          <a:ln w="381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 name="Textfeld 16"/>
                        <wps:cNvSpPr txBox="1">
                          <a:spLocks noChangeArrowheads="1"/>
                        </wps:cNvSpPr>
                        <wps:spPr bwMode="auto">
                          <a:xfrm>
                            <a:off x="38538" y="24858"/>
                            <a:ext cx="10040" cy="3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A983B"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wps:txbx>
                        <wps:bodyPr rot="0" vert="horz" wrap="square" lIns="91440" tIns="45720" rIns="91440" bIns="45720" anchor="t" anchorCtr="0" upright="1">
                          <a:noAutofit/>
                        </wps:bodyPr>
                      </wps:wsp>
                      <wps:wsp>
                        <wps:cNvPr id="9" name="Textfeld 17"/>
                        <wps:cNvSpPr txBox="1">
                          <a:spLocks noChangeArrowheads="1"/>
                        </wps:cNvSpPr>
                        <wps:spPr bwMode="auto">
                          <a:xfrm>
                            <a:off x="0" y="24439"/>
                            <a:ext cx="10039" cy="3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F08BE"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wps:txbx>
                        <wps:bodyPr rot="0" vert="horz" wrap="square" lIns="91440" tIns="45720" rIns="91440" bIns="45720" anchor="t" anchorCtr="0" upright="1">
                          <a:noAutofit/>
                        </wps:bodyPr>
                      </wps:wsp>
                      <wps:wsp>
                        <wps:cNvPr id="10" name="Textfeld 5"/>
                        <wps:cNvSpPr txBox="1">
                          <a:spLocks noChangeArrowheads="1"/>
                        </wps:cNvSpPr>
                        <wps:spPr bwMode="auto">
                          <a:xfrm>
                            <a:off x="25714" y="10481"/>
                            <a:ext cx="22034" cy="8891"/>
                          </a:xfrm>
                          <a:prstGeom prst="rect">
                            <a:avLst/>
                          </a:prstGeom>
                          <a:solidFill>
                            <a:srgbClr val="FFFFFF"/>
                          </a:solidFill>
                          <a:ln w="9525">
                            <a:solidFill>
                              <a:srgbClr val="000000"/>
                            </a:solidFill>
                            <a:miter lim="800000"/>
                            <a:headEnd/>
                            <a:tailEnd/>
                          </a:ln>
                        </wps:spPr>
                        <wps:txbx>
                          <w:txbxContent>
                            <w:p w14:paraId="4D3F3DC9"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BC Expansion:</w:t>
                              </w:r>
                            </w:p>
                            <w:p w14:paraId="0E321CEB" w14:textId="77777777"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included if above-threshold proportion of references is shared with references of publications in subgraph.</w:t>
                              </w:r>
                            </w:p>
                          </w:txbxContent>
                        </wps:txbx>
                        <wps:bodyPr rot="0" vert="horz" wrap="square" lIns="91440" tIns="45720" rIns="91440" bIns="45720" anchor="t" anchorCtr="0" upright="1">
                          <a:noAutofit/>
                        </wps:bodyPr>
                      </wps:wsp>
                      <wps:wsp>
                        <wps:cNvPr id="11" name="Textfeld 20"/>
                        <wps:cNvSpPr txBox="1">
                          <a:spLocks noChangeArrowheads="1"/>
                        </wps:cNvSpPr>
                        <wps:spPr bwMode="auto">
                          <a:xfrm>
                            <a:off x="13441" y="24428"/>
                            <a:ext cx="22035" cy="7033"/>
                          </a:xfrm>
                          <a:prstGeom prst="rect">
                            <a:avLst/>
                          </a:prstGeom>
                          <a:solidFill>
                            <a:srgbClr val="FFFFFF"/>
                          </a:solidFill>
                          <a:ln w="9525">
                            <a:solidFill>
                              <a:srgbClr val="000000"/>
                            </a:solidFill>
                            <a:miter lim="800000"/>
                            <a:headEnd/>
                            <a:tailEnd/>
                          </a:ln>
                        </wps:spPr>
                        <wps:txbx>
                          <w:txbxContent>
                            <w:p w14:paraId="338C0F21"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Backward Expansion DC</w:t>
                              </w:r>
                              <w:r w:rsidRPr="001844A7">
                                <w:rPr>
                                  <w:rFonts w:ascii="Calibri" w:hAnsi="Calibri" w:cs="Calibri"/>
                                  <w:color w:val="000000"/>
                                  <w:kern w:val="24"/>
                                  <w:position w:val="-6"/>
                                  <w:sz w:val="22"/>
                                  <w:szCs w:val="22"/>
                                  <w:vertAlign w:val="subscript"/>
                                </w:rPr>
                                <w:t>out</w:t>
                              </w:r>
                              <w:r w:rsidRPr="001844A7">
                                <w:rPr>
                                  <w:rFonts w:ascii="Calibri" w:hAnsi="Calibri" w:cs="Calibri"/>
                                  <w:color w:val="000000"/>
                                  <w:kern w:val="24"/>
                                  <w:sz w:val="22"/>
                                  <w:szCs w:val="22"/>
                                </w:rPr>
                                <w:t>:</w:t>
                              </w:r>
                            </w:p>
                            <w:p w14:paraId="1F2D41D4" w14:textId="77777777"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cited by subgraph at least threshold times.</w:t>
                              </w:r>
                            </w:p>
                          </w:txbxContent>
                        </wps:txbx>
                        <wps:bodyPr rot="0" vert="horz" wrap="square" lIns="91440" tIns="45720" rIns="91440" bIns="45720" anchor="t" anchorCtr="0" upright="1">
                          <a:noAutofit/>
                        </wps:bodyPr>
                      </wps:wsp>
                      <wps:wsp>
                        <wps:cNvPr id="12" name="Textfeld 21"/>
                        <wps:cNvSpPr txBox="1">
                          <a:spLocks noChangeArrowheads="1"/>
                        </wps:cNvSpPr>
                        <wps:spPr bwMode="auto">
                          <a:xfrm>
                            <a:off x="578" y="10481"/>
                            <a:ext cx="22035" cy="8891"/>
                          </a:xfrm>
                          <a:prstGeom prst="rect">
                            <a:avLst/>
                          </a:prstGeom>
                          <a:solidFill>
                            <a:srgbClr val="FFFFFF"/>
                          </a:solidFill>
                          <a:ln w="9525">
                            <a:solidFill>
                              <a:srgbClr val="000000"/>
                            </a:solidFill>
                            <a:miter lim="800000"/>
                            <a:headEnd/>
                            <a:tailEnd/>
                          </a:ln>
                        </wps:spPr>
                        <wps:txbx>
                          <w:txbxContent>
                            <w:p w14:paraId="26431784"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Forward Expansion DC</w:t>
                              </w:r>
                              <w:r w:rsidRPr="001844A7">
                                <w:rPr>
                                  <w:rFonts w:ascii="Calibri" w:hAnsi="Calibri" w:cs="Calibri"/>
                                  <w:color w:val="000000"/>
                                  <w:kern w:val="24"/>
                                  <w:position w:val="-6"/>
                                  <w:sz w:val="22"/>
                                  <w:szCs w:val="22"/>
                                  <w:vertAlign w:val="subscript"/>
                                </w:rPr>
                                <w:t>in</w:t>
                              </w:r>
                              <w:r w:rsidRPr="001844A7">
                                <w:rPr>
                                  <w:rFonts w:ascii="Calibri" w:hAnsi="Calibri" w:cs="Calibri"/>
                                  <w:color w:val="000000"/>
                                  <w:kern w:val="24"/>
                                  <w:sz w:val="22"/>
                                  <w:szCs w:val="22"/>
                                </w:rPr>
                                <w:t>:</w:t>
                              </w:r>
                            </w:p>
                            <w:p w14:paraId="76E9F0F3" w14:textId="30D2180B"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included if above-threshold proportion of its references are publications in subgraph.</w:t>
                              </w:r>
                            </w:p>
                          </w:txbxContent>
                        </wps:txbx>
                        <wps:bodyPr rot="0" vert="horz" wrap="square" lIns="91440" tIns="45720" rIns="91440" bIns="45720" anchor="t" anchorCtr="0" upright="1">
                          <a:noAutofit/>
                        </wps:bodyPr>
                      </wps:wsp>
                    </wpg:wgp>
                  </a:graphicData>
                </a:graphic>
              </wp:inline>
            </w:drawing>
          </mc:Choice>
          <mc:Fallback>
            <w:pict>
              <v:group w14:anchorId="72141E87" id="Gruppieren 29" o:spid="_x0000_s1026" style="width:380.7pt;height:204.1pt;mso-position-horizontal-relative:char;mso-position-vertical-relative:line" coordsize="48578,3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">
                <v:shapetype id="_x0000_t202" coordsize="21600,21600" o:spt="202" path="m,l,21600r21600,l21600,xe">
                  <v:stroke joinstyle="miter"/>
                  <v:path gradientshapeok="t" o:connecttype="rect"/>
                </v:shapetype>
                <v:shape id="Textfeld 4" o:spid="_x0000_s1027" type="#_x0000_t202" style="position:absolute;left:19450;width:10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5587698"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v:textbox>
                </v:shape>
                <v:shapetype id="_x0000_t32" coordsize="21600,21600" o:spt="32" o:oned="t" path="m,l21600,21600e" filled="f">
                  <v:path arrowok="t" fillok="f" o:connecttype="none"/>
                  <o:lock v:ext="edit" shapetype="t"/>
                </v:shapetype>
                <v:shape id="Gerade Verbindung mit Pfeil 2" o:spid="_x0000_s1028" type="#_x0000_t32" style="position:absolute;left:7261;top:2831;width:14392;height:215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" strokeweight="3pt">
                  <v:stroke endarrow="block" joinstyle="miter"/>
                  <o:lock v:ext="edit" shapetype="f"/>
                </v:shape>
                <v:shape id="Gerade Verbindung mit Pfeil 3" o:spid="_x0000_s1029" type="#_x0000_t32" style="position:absolute;left:27292;top:3066;width:14484;height:217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" strokeweight="3pt">
                  <v:stroke endarrow="block" joinstyle="miter"/>
                  <o:lock v:ext="edit" shapetype="f"/>
                </v:shape>
                <v:shape id="Gerade Verbindung mit Pfeil 4" o:spid="_x0000_s1030" type="#_x0000_t32" style="position:absolute;left:9134;top:27833;width:300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" strokeweight="3pt">
                  <v:stroke endarrow="block" joinstyle="miter"/>
                  <o:lock v:ext="edit" shapetype="f"/>
                </v:shape>
                <v:shape id="Textfeld 16" o:spid="_x0000_s1031" type="#_x0000_t202" style="position:absolute;left:38538;top:24858;width:10040;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DCA983B"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v:textbox>
                </v:shape>
                <v:shape id="Textfeld 17" o:spid="_x0000_s1032" type="#_x0000_t202" style="position:absolute;top:24439;width:10039;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03F08BE" w14:textId="77777777" w:rsidR="00D71EC9" w:rsidRPr="001844A7" w:rsidRDefault="00D71EC9" w:rsidP="00D71EC9">
                        <w:pPr>
                          <w:rPr>
                            <w:rFonts w:ascii="Calibri" w:hAnsi="Calibri" w:cs="Calibri"/>
                            <w:color w:val="000000"/>
                            <w:kern w:val="24"/>
                            <w:sz w:val="20"/>
                            <w:szCs w:val="20"/>
                          </w:rPr>
                        </w:pPr>
                        <w:r w:rsidRPr="001844A7">
                          <w:rPr>
                            <w:rFonts w:ascii="Calibri" w:hAnsi="Calibri" w:cs="Calibri"/>
                            <w:color w:val="000000"/>
                            <w:kern w:val="24"/>
                            <w:sz w:val="20"/>
                            <w:szCs w:val="20"/>
                          </w:rPr>
                          <w:t>New subgraph</w:t>
                        </w:r>
                      </w:p>
                    </w:txbxContent>
                  </v:textbox>
                </v:shape>
                <v:shape id="Textfeld 5" o:spid="_x0000_s1033" type="#_x0000_t202" style="position:absolute;left:25714;top:10481;width:22034;height:8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D3F3DC9"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BC Expansion:</w:t>
                        </w:r>
                      </w:p>
                      <w:p w14:paraId="0E321CEB" w14:textId="77777777"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included if above-threshold proportion of references is shared with references of publications in subgraph.</w:t>
                        </w:r>
                      </w:p>
                    </w:txbxContent>
                  </v:textbox>
                </v:shape>
                <v:shape id="Textfeld 20" o:spid="_x0000_s1034" type="#_x0000_t202" style="position:absolute;left:13441;top:24428;width:22035;height:7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338C0F21"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Backward Expansion DC</w:t>
                        </w:r>
                        <w:r w:rsidRPr="001844A7">
                          <w:rPr>
                            <w:rFonts w:ascii="Calibri" w:hAnsi="Calibri" w:cs="Calibri"/>
                            <w:color w:val="000000"/>
                            <w:kern w:val="24"/>
                            <w:position w:val="-6"/>
                            <w:sz w:val="22"/>
                            <w:szCs w:val="22"/>
                            <w:vertAlign w:val="subscript"/>
                          </w:rPr>
                          <w:t>out</w:t>
                        </w:r>
                        <w:r w:rsidRPr="001844A7">
                          <w:rPr>
                            <w:rFonts w:ascii="Calibri" w:hAnsi="Calibri" w:cs="Calibri"/>
                            <w:color w:val="000000"/>
                            <w:kern w:val="24"/>
                            <w:sz w:val="22"/>
                            <w:szCs w:val="22"/>
                          </w:rPr>
                          <w:t>:</w:t>
                        </w:r>
                      </w:p>
                      <w:p w14:paraId="1F2D41D4" w14:textId="77777777"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cited by subgraph at least threshold times.</w:t>
                        </w:r>
                      </w:p>
                    </w:txbxContent>
                  </v:textbox>
                </v:shape>
                <v:shape id="Textfeld 21" o:spid="_x0000_s1035" type="#_x0000_t202" style="position:absolute;left:578;top:10481;width:22035;height:8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26431784" w14:textId="77777777" w:rsidR="00D71EC9" w:rsidRPr="001844A7" w:rsidRDefault="00D71EC9" w:rsidP="00D71EC9">
                        <w:pPr>
                          <w:rPr>
                            <w:rFonts w:ascii="Calibri" w:hAnsi="Calibri" w:cs="Calibri"/>
                            <w:color w:val="000000"/>
                            <w:kern w:val="24"/>
                            <w:sz w:val="22"/>
                            <w:szCs w:val="22"/>
                          </w:rPr>
                        </w:pPr>
                        <w:r w:rsidRPr="001844A7">
                          <w:rPr>
                            <w:rFonts w:ascii="Calibri" w:hAnsi="Calibri" w:cs="Calibri"/>
                            <w:color w:val="000000"/>
                            <w:kern w:val="24"/>
                            <w:sz w:val="22"/>
                            <w:szCs w:val="22"/>
                          </w:rPr>
                          <w:t>Forward Expansion DC</w:t>
                        </w:r>
                        <w:r w:rsidRPr="001844A7">
                          <w:rPr>
                            <w:rFonts w:ascii="Calibri" w:hAnsi="Calibri" w:cs="Calibri"/>
                            <w:color w:val="000000"/>
                            <w:kern w:val="24"/>
                            <w:position w:val="-6"/>
                            <w:sz w:val="22"/>
                            <w:szCs w:val="22"/>
                            <w:vertAlign w:val="subscript"/>
                          </w:rPr>
                          <w:t>in</w:t>
                        </w:r>
                        <w:r w:rsidRPr="001844A7">
                          <w:rPr>
                            <w:rFonts w:ascii="Calibri" w:hAnsi="Calibri" w:cs="Calibri"/>
                            <w:color w:val="000000"/>
                            <w:kern w:val="24"/>
                            <w:sz w:val="22"/>
                            <w:szCs w:val="22"/>
                          </w:rPr>
                          <w:t>:</w:t>
                        </w:r>
                      </w:p>
                      <w:p w14:paraId="76E9F0F3" w14:textId="30D2180B" w:rsidR="00D71EC9" w:rsidRPr="001844A7" w:rsidRDefault="00D71EC9" w:rsidP="00D71EC9">
                        <w:pPr>
                          <w:rPr>
                            <w:rFonts w:ascii="Calibri" w:hAnsi="Calibri" w:cs="Calibri"/>
                            <w:color w:val="000000"/>
                            <w:kern w:val="24"/>
                            <w:sz w:val="18"/>
                            <w:szCs w:val="18"/>
                          </w:rPr>
                        </w:pPr>
                        <w:r w:rsidRPr="001844A7">
                          <w:rPr>
                            <w:rFonts w:ascii="Calibri" w:hAnsi="Calibri" w:cs="Calibri"/>
                            <w:color w:val="000000"/>
                            <w:kern w:val="24"/>
                            <w:sz w:val="18"/>
                            <w:szCs w:val="18"/>
                          </w:rPr>
                          <w:t>Publication included if above-threshold proportion of its references are publications in subgraph.</w:t>
                        </w:r>
                      </w:p>
                    </w:txbxContent>
                  </v:textbox>
                </v:shape>
                <w10:anchorlock/>
              </v:group>
            </w:pict>
          </mc:Fallback>
        </mc:AlternateContent>
      </w:r>
    </w:p>
    <w:p w14:paraId="2D0CA902" w14:textId="77777777" w:rsidR="00CD0BE2" w:rsidRDefault="00CD0BE2" w:rsidP="0081573E">
      <w:pPr>
        <w:jc w:val="both"/>
      </w:pPr>
    </w:p>
    <w:p w14:paraId="331AA00B" w14:textId="11C575C5" w:rsidR="0081573E" w:rsidRDefault="0068567E" w:rsidP="0081573E">
      <w:pPr>
        <w:jc w:val="both"/>
      </w:pPr>
      <w:r>
        <w:t xml:space="preserve">MALBA can be </w:t>
      </w:r>
      <w:r w:rsidR="00A91364">
        <w:t xml:space="preserve">applied to </w:t>
      </w:r>
      <w:r w:rsidR="000668C2">
        <w:t>pre</w:t>
      </w:r>
      <w:r w:rsidR="001844A7">
        <w:t>-</w:t>
      </w:r>
      <w:r w:rsidR="00962CFE">
        <w:t>existing</w:t>
      </w:r>
      <w:r w:rsidR="00017221">
        <w:t xml:space="preserve"> networks</w:t>
      </w:r>
      <w:r w:rsidR="00F51180">
        <w:t xml:space="preserve">, from which subgraphs </w:t>
      </w:r>
      <w:r w:rsidR="00962CFE">
        <w:t xml:space="preserve">are </w:t>
      </w:r>
      <w:r w:rsidR="00F51180">
        <w:t xml:space="preserve">selected as seeds. </w:t>
      </w:r>
      <w:r w:rsidR="00962CFE">
        <w:t xml:space="preserve">In this mode, MALBA can support the exploration of networks by </w:t>
      </w:r>
      <w:r w:rsidR="0091028A">
        <w:t xml:space="preserve">identifying </w:t>
      </w:r>
      <w:r w:rsidR="00A9603D">
        <w:t xml:space="preserve">dense </w:t>
      </w:r>
      <w:r w:rsidR="0091028A">
        <w:t xml:space="preserve">regions. </w:t>
      </w:r>
      <w:r w:rsidR="00F51180">
        <w:t xml:space="preserve">Alternatively, the algorithm can </w:t>
      </w:r>
      <w:r w:rsidR="0091028A">
        <w:t xml:space="preserve">be used to </w:t>
      </w:r>
      <w:r w:rsidR="00F51180">
        <w:t xml:space="preserve">explore </w:t>
      </w:r>
      <w:r w:rsidR="00962CFE">
        <w:t xml:space="preserve">a </w:t>
      </w:r>
      <w:r w:rsidR="00F51180">
        <w:t xml:space="preserve">publication database directly by starting from a seed and searching the database </w:t>
      </w:r>
      <w:r w:rsidR="000325EC">
        <w:t xml:space="preserve">for densely connected publications. In this case, MALBA utilises </w:t>
      </w:r>
      <w:r>
        <w:t xml:space="preserve">all information </w:t>
      </w:r>
      <w:r w:rsidR="0091028A">
        <w:t xml:space="preserve">about a subgraph’s </w:t>
      </w:r>
      <w:r w:rsidR="0091028A" w:rsidRPr="00E17306">
        <w:t xml:space="preserve">environment that exists in the database </w:t>
      </w:r>
      <w:r w:rsidR="000325EC" w:rsidRPr="00E17306">
        <w:t xml:space="preserve">but provides less information about </w:t>
      </w:r>
      <w:r w:rsidR="0091028A" w:rsidRPr="00E17306">
        <w:t xml:space="preserve">less </w:t>
      </w:r>
      <w:r w:rsidR="00D8197D" w:rsidRPr="00E17306">
        <w:t>well-connected</w:t>
      </w:r>
      <w:r w:rsidR="0091028A" w:rsidRPr="00E17306">
        <w:t xml:space="preserve"> publications</w:t>
      </w:r>
      <w:r w:rsidR="000668C2" w:rsidRPr="00E17306">
        <w:t>. The interface works with both approaches. Figure 2 presents the pseudocode of MALBA.</w:t>
      </w:r>
    </w:p>
    <w:p w14:paraId="123FEEF3" w14:textId="77777777" w:rsidR="00447BB2" w:rsidRDefault="00447BB2" w:rsidP="0081573E">
      <w:pPr>
        <w:jc w:val="both"/>
        <w:rPr>
          <w:b/>
          <w:bCs/>
        </w:rPr>
      </w:pPr>
    </w:p>
    <w:p w14:paraId="318D7C53" w14:textId="77777777" w:rsidR="00A81955" w:rsidRDefault="00A81955" w:rsidP="00953C87">
      <w:pPr>
        <w:keepNext/>
        <w:jc w:val="center"/>
      </w:pPr>
      <w:r>
        <w:rPr>
          <w:b/>
          <w:bCs/>
        </w:rPr>
        <w:lastRenderedPageBreak/>
        <w:t>Figure 2</w:t>
      </w:r>
      <w:r>
        <w:t>: Pseudocode of MALBA</w:t>
      </w:r>
    </w:p>
    <w:p w14:paraId="5B4A3AFB" w14:textId="295CB7A9" w:rsidR="00E0118A" w:rsidRDefault="00DD048E" w:rsidP="00953C87">
      <w:pPr>
        <w:keepNext/>
        <w:jc w:val="both"/>
      </w:pPr>
      <w:r w:rsidRPr="00DD048E">
        <w:rPr>
          <w:noProof/>
        </w:rPr>
        <w:drawing>
          <wp:inline distT="0" distB="0" distL="0" distR="0" wp14:anchorId="4F7DD2E5" wp14:editId="63656C9B">
            <wp:extent cx="5760085" cy="38569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856990"/>
                    </a:xfrm>
                    <a:prstGeom prst="rect">
                      <a:avLst/>
                    </a:prstGeom>
                    <a:noFill/>
                    <a:ln>
                      <a:noFill/>
                    </a:ln>
                  </pic:spPr>
                </pic:pic>
              </a:graphicData>
            </a:graphic>
          </wp:inline>
        </w:drawing>
      </w:r>
    </w:p>
    <w:p w14:paraId="448182C5" w14:textId="49C59D1A" w:rsidR="00A81955" w:rsidRDefault="00A81955" w:rsidP="00A81955">
      <w:pPr>
        <w:jc w:val="both"/>
      </w:pPr>
      <w:r>
        <w:t>The user can affect the operation of MALBA in three ways:</w:t>
      </w:r>
    </w:p>
    <w:p w14:paraId="3B974F36" w14:textId="6939C868" w:rsidR="00670E16" w:rsidRDefault="00A81955" w:rsidP="00A81955">
      <w:pPr>
        <w:jc w:val="both"/>
      </w:pPr>
      <w:r>
        <w:t>1) By deciding to work with a pre</w:t>
      </w:r>
      <w:r w:rsidR="00DD55FD">
        <w:t>-existing</w:t>
      </w:r>
      <w:r>
        <w:t xml:space="preserve"> network or to explore a database</w:t>
      </w:r>
      <w:r w:rsidR="00670E16">
        <w:t xml:space="preserve">. We already mentioned the main differences between the two approaches. </w:t>
      </w:r>
    </w:p>
    <w:p w14:paraId="1A6B1357" w14:textId="77777777" w:rsidR="00670E16" w:rsidRDefault="00670E16" w:rsidP="00A81955">
      <w:pPr>
        <w:jc w:val="both"/>
      </w:pPr>
      <w:r>
        <w:t>2) By constructing a seed subgraph as starting point for MALBA. The seed has a strong influence on the subgraph both through its size and through the region of the network in which it is located.</w:t>
      </w:r>
    </w:p>
    <w:p w14:paraId="7A2FC22C" w14:textId="0A25E1C3" w:rsidR="004E5906" w:rsidRDefault="00670E16" w:rsidP="00ED0DFC">
      <w:pPr>
        <w:jc w:val="both"/>
      </w:pPr>
      <w:r>
        <w:t>3) By deciding on the thresholds. The interface offers the option of automatically identifying the thresholds that return the largest subgraph</w:t>
      </w:r>
      <w:r w:rsidR="0016682B">
        <w:t xml:space="preserve"> that can be grown out of the seed with the algorithm terminating (see 3. Experiments). However, the </w:t>
      </w:r>
      <w:r w:rsidR="00447BB2">
        <w:t>user can also set thresholds manually to achieve an earlier termination of the algorithm.</w:t>
      </w:r>
      <w:r w:rsidR="00ED0DFC">
        <w:t xml:space="preserve"> Higher thresholds focus on reconstructing denser regions, lower thresholds also allow to reconstruct less dense regions.</w:t>
      </w:r>
    </w:p>
    <w:p w14:paraId="6A529FF3" w14:textId="7ECF0A43" w:rsidR="00930AB7" w:rsidRDefault="00930AB7" w:rsidP="00ED0DFC">
      <w:pPr>
        <w:jc w:val="both"/>
      </w:pPr>
    </w:p>
    <w:p w14:paraId="51B063A3" w14:textId="77777777" w:rsidR="00930AB7" w:rsidRDefault="00930AB7" w:rsidP="00930AB7">
      <w:pPr>
        <w:jc w:val="both"/>
      </w:pPr>
      <w:r>
        <w:t>Previous experiments with MALBA revealed the following common behaviours in bibliometric networks:</w:t>
      </w:r>
    </w:p>
    <w:p w14:paraId="76EB41CC" w14:textId="472AA84D" w:rsidR="00930AB7" w:rsidRDefault="00930AB7" w:rsidP="00930AB7">
      <w:pPr>
        <w:jc w:val="both"/>
      </w:pPr>
      <w:r>
        <w:t xml:space="preserve">(1) There are </w:t>
      </w:r>
      <w:r w:rsidR="00A9603D">
        <w:t xml:space="preserve">combinations of </w:t>
      </w:r>
      <w:r>
        <w:t>threshold</w:t>
      </w:r>
      <w:r w:rsidR="00A9603D">
        <w:t>s</w:t>
      </w:r>
      <w:r>
        <w:t xml:space="preserve"> </w:t>
      </w:r>
      <w:r w:rsidR="00A9603D">
        <w:t xml:space="preserve">for each of the connections at </w:t>
      </w:r>
      <w:r>
        <w:t xml:space="preserve">which the algorithm </w:t>
      </w:r>
      <w:r w:rsidR="00DD55FD">
        <w:t xml:space="preserve">terminates </w:t>
      </w:r>
      <w:r w:rsidR="00DD048E">
        <w:t xml:space="preserve">with a subgraph </w:t>
      </w:r>
      <w:r w:rsidR="00B0591A">
        <w:t xml:space="preserve">that is much smaller </w:t>
      </w:r>
      <w:r w:rsidR="00DD048E">
        <w:t xml:space="preserve">than the network or the database </w:t>
      </w:r>
      <w:r w:rsidR="00DD55FD">
        <w:t xml:space="preserve">because no new nodes can be added. Lower thresholds lead to an exponential growth of the </w:t>
      </w:r>
      <w:r>
        <w:t xml:space="preserve">subgraph </w:t>
      </w:r>
      <w:r w:rsidR="00DD55FD">
        <w:t>until it covers the whole network</w:t>
      </w:r>
      <w:r w:rsidR="00DD048E">
        <w:t xml:space="preserve"> or database</w:t>
      </w:r>
      <w:r w:rsidR="00DD55FD">
        <w:t>.</w:t>
      </w:r>
    </w:p>
    <w:p w14:paraId="71018BB1" w14:textId="4F10069F" w:rsidR="005F078F" w:rsidRDefault="005F078F" w:rsidP="005F078F">
      <w:pPr>
        <w:jc w:val="both"/>
      </w:pPr>
      <w:r>
        <w:t xml:space="preserve">(2) A minimum size of the seed </w:t>
      </w:r>
      <w:r w:rsidR="00076278">
        <w:t xml:space="preserve">(which depends on the region of the network) </w:t>
      </w:r>
      <w:r>
        <w:t xml:space="preserve">is necessary </w:t>
      </w:r>
      <w:r w:rsidR="00DD55FD">
        <w:t>for the subgraph to grow at all.</w:t>
      </w:r>
    </w:p>
    <w:p w14:paraId="3A482A4B" w14:textId="56DC905D" w:rsidR="00930AB7" w:rsidRDefault="00930AB7" w:rsidP="005F078F">
      <w:pPr>
        <w:jc w:val="both"/>
      </w:pPr>
      <w:r>
        <w:t>(</w:t>
      </w:r>
      <w:r w:rsidR="005F078F">
        <w:t>3</w:t>
      </w:r>
      <w:r>
        <w:t xml:space="preserve">) </w:t>
      </w:r>
      <w:r w:rsidR="00DD55FD">
        <w:t>A subgraph grown from a seed can itself be used as a seed for further growth</w:t>
      </w:r>
      <w:r>
        <w:t>.</w:t>
      </w:r>
    </w:p>
    <w:p w14:paraId="7F12AF68" w14:textId="0AE02072" w:rsidR="00A12F0F" w:rsidRDefault="00A12F0F" w:rsidP="005F078F">
      <w:pPr>
        <w:jc w:val="both"/>
      </w:pPr>
    </w:p>
    <w:p w14:paraId="40047A3F" w14:textId="49D2843B" w:rsidR="008168F4" w:rsidRDefault="000C25AF">
      <w:pPr>
        <w:pStyle w:val="berschrift2"/>
        <w:jc w:val="both"/>
      </w:pPr>
      <w:r>
        <w:t xml:space="preserve">3. </w:t>
      </w:r>
      <w:r w:rsidR="004E5906" w:rsidRPr="004E5906">
        <w:t>Experiments</w:t>
      </w:r>
      <w:r w:rsidR="004E5906">
        <w:t xml:space="preserve"> </w:t>
      </w:r>
    </w:p>
    <w:p w14:paraId="5CB74F61" w14:textId="0EC5624F" w:rsidR="007D25E7" w:rsidRDefault="00C5634F" w:rsidP="00ED0DFC">
      <w:pPr>
        <w:jc w:val="both"/>
      </w:pPr>
      <w:r>
        <w:t xml:space="preserve">We report first experiments with MALBA </w:t>
      </w:r>
      <w:r w:rsidR="00DD048E">
        <w:t xml:space="preserve">in which we explore publications on </w:t>
      </w:r>
      <w:r>
        <w:t xml:space="preserve">a topic from library and information science – the h-index. We chose this topic because it makes it easier to understand </w:t>
      </w:r>
      <w:r w:rsidR="007E1157">
        <w:t>publications</w:t>
      </w:r>
      <w:r>
        <w:t xml:space="preserve"> </w:t>
      </w:r>
      <w:r w:rsidR="007E1157">
        <w:t>included in the subgraph</w:t>
      </w:r>
      <w:r w:rsidR="001340BE">
        <w:t xml:space="preserve"> and in its environment</w:t>
      </w:r>
      <w:r w:rsidR="007E1157">
        <w:t xml:space="preserve">. We discuss the reasons </w:t>
      </w:r>
      <w:r w:rsidR="007E1157">
        <w:lastRenderedPageBreak/>
        <w:t xml:space="preserve">why publications may be included or excluded, the impact of seed sizes, and the impact of thresholds. </w:t>
      </w:r>
    </w:p>
    <w:p w14:paraId="73175445" w14:textId="77777777" w:rsidR="00DD048E" w:rsidRDefault="00DD048E" w:rsidP="00DD048E">
      <w:pPr>
        <w:jc w:val="both"/>
      </w:pPr>
      <w:r>
        <w:t>In the experiments presented in this paper, we used MALBA to explore directly the stable version from July 2022</w:t>
      </w:r>
      <w:r w:rsidRPr="00631A7C">
        <w:t xml:space="preserve"> </w:t>
      </w:r>
      <w:r>
        <w:t xml:space="preserve">of the bibliometric database provided by the German “Competence Network for Bibliometrics”, which consists of Web of Science data. When processing publications indexed in this database, we excluded all non-source items because their influence on bibliographic coupling (thematic similarity) and citation (communication) cannot be unambiguously assessed. The ratio-based thresholds for </w:t>
      </w:r>
      <w:proofErr w:type="spellStart"/>
      <w:r>
        <w:t>DC</w:t>
      </w:r>
      <w:r w:rsidRPr="00C5634F">
        <w:rPr>
          <w:vertAlign w:val="subscript"/>
        </w:rPr>
        <w:t>in</w:t>
      </w:r>
      <w:proofErr w:type="spellEnd"/>
      <w:r>
        <w:t xml:space="preserve"> and BC used by MALBA make it more difficult for publications with many non-source items in their reference lists to be included in the subgraph. </w:t>
      </w:r>
    </w:p>
    <w:p w14:paraId="616A88C3" w14:textId="77777777" w:rsidR="00CA5CA5" w:rsidRDefault="00CA5CA5" w:rsidP="00ED0DFC">
      <w:pPr>
        <w:jc w:val="both"/>
      </w:pPr>
    </w:p>
    <w:p w14:paraId="3AC0D75A" w14:textId="7A426D5D" w:rsidR="00ED0DFC" w:rsidRDefault="00ED0DFC" w:rsidP="00ED0DFC">
      <w:pPr>
        <w:jc w:val="both"/>
        <w:rPr>
          <w:i/>
          <w:iCs/>
        </w:rPr>
      </w:pPr>
      <w:r>
        <w:rPr>
          <w:i/>
          <w:iCs/>
        </w:rPr>
        <w:t>3.1 Seeds</w:t>
      </w:r>
    </w:p>
    <w:p w14:paraId="20F5FC70" w14:textId="7BEFCED3" w:rsidR="00F002C2" w:rsidRDefault="00ED0DFC" w:rsidP="00F002C2">
      <w:pPr>
        <w:jc w:val="both"/>
      </w:pPr>
      <w:r>
        <w:t xml:space="preserve">The algorithm is started with a seed set of </w:t>
      </w:r>
      <w:r w:rsidR="0006488B">
        <w:t>seven</w:t>
      </w:r>
      <w:r>
        <w:t xml:space="preserve"> </w:t>
      </w:r>
      <w:r w:rsidR="007E1157">
        <w:t xml:space="preserve">most </w:t>
      </w:r>
      <w:r w:rsidR="00995414">
        <w:t>highly</w:t>
      </w:r>
      <w:r w:rsidR="00C225DB">
        <w:t xml:space="preserve"> </w:t>
      </w:r>
      <w:r>
        <w:t xml:space="preserve">cited </w:t>
      </w:r>
      <w:r w:rsidR="008B4331">
        <w:t xml:space="preserve">bibliometric </w:t>
      </w:r>
      <w:r>
        <w:t xml:space="preserve">publications in the </w:t>
      </w:r>
      <w:proofErr w:type="spellStart"/>
      <w:r>
        <w:t>WoS</w:t>
      </w:r>
      <w:proofErr w:type="spellEnd"/>
      <w:r>
        <w:t xml:space="preserve"> </w:t>
      </w:r>
      <w:r w:rsidR="007E1157">
        <w:t xml:space="preserve">that </w:t>
      </w:r>
      <w:r>
        <w:t>have “h-index” in their title</w:t>
      </w:r>
      <w:r w:rsidR="00F73E7C">
        <w:t xml:space="preserve"> (Fig</w:t>
      </w:r>
      <w:r w:rsidR="007E1157">
        <w:t>ure</w:t>
      </w:r>
      <w:r w:rsidR="00F73E7C">
        <w:t xml:space="preserve"> 3)</w:t>
      </w:r>
      <w:r>
        <w:t xml:space="preserve">. </w:t>
      </w:r>
    </w:p>
    <w:p w14:paraId="6FF06FEC" w14:textId="0B096DB1" w:rsidR="00F002C2" w:rsidRPr="00F002C2" w:rsidRDefault="00F002C2" w:rsidP="00F002C2">
      <w:pPr>
        <w:jc w:val="both"/>
      </w:pPr>
    </w:p>
    <w:p w14:paraId="5791BB13" w14:textId="15282B0C" w:rsidR="00ED0DFC" w:rsidRDefault="00ED0DFC" w:rsidP="00ED0DFC">
      <w:pPr>
        <w:keepNext/>
        <w:jc w:val="center"/>
      </w:pPr>
      <w:r>
        <w:rPr>
          <w:b/>
          <w:bCs/>
        </w:rPr>
        <w:t>Figure 3</w:t>
      </w:r>
      <w:r>
        <w:t xml:space="preserve">: </w:t>
      </w:r>
      <w:r w:rsidR="0069114B">
        <w:t>Seven</w:t>
      </w:r>
      <w:r w:rsidR="009A2E9E">
        <w:t xml:space="preserve"> </w:t>
      </w:r>
      <w:r w:rsidR="0069114B">
        <w:t>h</w:t>
      </w:r>
      <w:r>
        <w:t>ighly cited publications for the topic h-index</w:t>
      </w:r>
      <w:r w:rsidR="009A2E9E">
        <w:t xml:space="preserve"> used as seed</w:t>
      </w:r>
      <w:r>
        <w:t>.</w:t>
      </w:r>
    </w:p>
    <w:p w14:paraId="36E4610F" w14:textId="78438713" w:rsidR="00ED0DFC" w:rsidRPr="0081573E" w:rsidRDefault="0069114B" w:rsidP="00995414">
      <w:pPr>
        <w:jc w:val="center"/>
        <w:rPr>
          <w:i/>
          <w:iCs/>
        </w:rPr>
      </w:pPr>
      <w:r>
        <w:rPr>
          <w:noProof/>
        </w:rPr>
        <w:drawing>
          <wp:inline distT="0" distB="0" distL="0" distR="0" wp14:anchorId="51A1D7BE" wp14:editId="54E3B13E">
            <wp:extent cx="5793698" cy="1455610"/>
            <wp:effectExtent l="0" t="0" r="0" b="0"/>
            <wp:docPr id="13" name="Grafik 1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1996" cy="1477794"/>
                    </a:xfrm>
                    <a:prstGeom prst="rect">
                      <a:avLst/>
                    </a:prstGeom>
                  </pic:spPr>
                </pic:pic>
              </a:graphicData>
            </a:graphic>
          </wp:inline>
        </w:drawing>
      </w:r>
    </w:p>
    <w:p w14:paraId="79403478" w14:textId="78D0669C" w:rsidR="004E5906" w:rsidRDefault="004E5906">
      <w:pPr>
        <w:jc w:val="both"/>
      </w:pPr>
    </w:p>
    <w:p w14:paraId="3B49ECAB" w14:textId="2AB66AA6" w:rsidR="00EB1044" w:rsidRDefault="00DE0ED7">
      <w:pPr>
        <w:jc w:val="both"/>
      </w:pPr>
      <w:r>
        <w:t xml:space="preserve">If </w:t>
      </w:r>
      <w:r w:rsidR="007F3363">
        <w:t>only</w:t>
      </w:r>
      <w:r w:rsidR="00425140">
        <w:t xml:space="preserve"> the seminal paper by Hirsch from 2005</w:t>
      </w:r>
      <w:r>
        <w:t xml:space="preserve"> from which the h-index topic emerged</w:t>
      </w:r>
      <w:r w:rsidR="00425140">
        <w:t xml:space="preserve"> (</w:t>
      </w:r>
      <w:r>
        <w:t xml:space="preserve">which is </w:t>
      </w:r>
      <w:r w:rsidR="00425140">
        <w:t xml:space="preserve">not </w:t>
      </w:r>
      <w:r w:rsidR="00032C46">
        <w:t xml:space="preserve">shown </w:t>
      </w:r>
      <w:r w:rsidR="00425140">
        <w:t>in Fig</w:t>
      </w:r>
      <w:r w:rsidR="007E1157">
        <w:t>ure</w:t>
      </w:r>
      <w:r w:rsidR="00425140">
        <w:t xml:space="preserve"> 3)</w:t>
      </w:r>
      <w:r>
        <w:t xml:space="preserve"> is used as seed</w:t>
      </w:r>
      <w:r w:rsidR="007E1157">
        <w:t xml:space="preserve">, </w:t>
      </w:r>
      <w:r w:rsidR="00425140">
        <w:t xml:space="preserve">the subgraph </w:t>
      </w:r>
      <w:r>
        <w:t xml:space="preserve">does not grow </w:t>
      </w:r>
      <w:r w:rsidR="00425140">
        <w:t>at all</w:t>
      </w:r>
      <w:r>
        <w:t xml:space="preserve">. This </w:t>
      </w:r>
      <w:r w:rsidR="007E1157">
        <w:t xml:space="preserve">is not surprising because </w:t>
      </w:r>
      <w:r>
        <w:t xml:space="preserve">the original Hirsch paper is a </w:t>
      </w:r>
      <w:r w:rsidR="007E1157">
        <w:t xml:space="preserve">publication outside the field of bibliometrics. </w:t>
      </w:r>
      <w:r w:rsidR="007F3363">
        <w:t xml:space="preserve">When </w:t>
      </w:r>
      <w:r w:rsidR="00A85C41">
        <w:t xml:space="preserve">only </w:t>
      </w:r>
      <w:r w:rsidR="00425140">
        <w:t>a</w:t>
      </w:r>
      <w:r w:rsidR="00A85C41">
        <w:t xml:space="preserve"> </w:t>
      </w:r>
      <w:r w:rsidR="00425140">
        <w:t xml:space="preserve">subset of the </w:t>
      </w:r>
      <w:r>
        <w:t xml:space="preserve">seven </w:t>
      </w:r>
      <w:r w:rsidR="00425140">
        <w:t xml:space="preserve">publications </w:t>
      </w:r>
      <w:r>
        <w:t xml:space="preserve">in </w:t>
      </w:r>
      <w:r w:rsidR="00425140">
        <w:t>Fig</w:t>
      </w:r>
      <w:r>
        <w:t xml:space="preserve">ure </w:t>
      </w:r>
      <w:r w:rsidR="00425140">
        <w:t xml:space="preserve">3 </w:t>
      </w:r>
      <w:r>
        <w:t>is used, the algorithm adds only few publications</w:t>
      </w:r>
      <w:r w:rsidR="00E80B3F">
        <w:t xml:space="preserve"> </w:t>
      </w:r>
      <w:r>
        <w:t xml:space="preserve">and terminates at </w:t>
      </w:r>
      <w:r w:rsidR="00425140">
        <w:t>a maximum of 12 publications</w:t>
      </w:r>
      <w:r w:rsidR="00874371">
        <w:t xml:space="preserve"> (Fig. 4, left column)</w:t>
      </w:r>
      <w:r w:rsidR="007F3363">
        <w:t>.</w:t>
      </w:r>
    </w:p>
    <w:p w14:paraId="4372F756" w14:textId="77777777" w:rsidR="00DE0ED7" w:rsidRDefault="00DE0ED7">
      <w:pPr>
        <w:jc w:val="both"/>
      </w:pPr>
    </w:p>
    <w:p w14:paraId="70672754" w14:textId="77777777" w:rsidR="007E1157" w:rsidRDefault="007E1157" w:rsidP="007E1157">
      <w:pPr>
        <w:jc w:val="both"/>
        <w:rPr>
          <w:i/>
          <w:iCs/>
        </w:rPr>
      </w:pPr>
      <w:r w:rsidRPr="00EB1044">
        <w:rPr>
          <w:i/>
          <w:iCs/>
        </w:rPr>
        <w:t>3.2 Results</w:t>
      </w:r>
    </w:p>
    <w:p w14:paraId="3FB12E4F" w14:textId="46D280AF" w:rsidR="007F3363" w:rsidRDefault="007F3363">
      <w:pPr>
        <w:jc w:val="both"/>
      </w:pPr>
      <w:r>
        <w:t xml:space="preserve">When </w:t>
      </w:r>
      <w:r w:rsidR="00DE0ED7">
        <w:t xml:space="preserve">starting from the seed consisting of the </w:t>
      </w:r>
      <w:r>
        <w:t>7 publications</w:t>
      </w:r>
      <w:r w:rsidR="00DE0ED7">
        <w:t xml:space="preserve"> in Figure 3</w:t>
      </w:r>
      <w:r>
        <w:t xml:space="preserve">, the subgraph </w:t>
      </w:r>
      <w:r w:rsidR="00DE0ED7">
        <w:t>terminates</w:t>
      </w:r>
      <w:r>
        <w:t xml:space="preserve"> at 805 publications</w:t>
      </w:r>
      <w:r w:rsidR="007F3C64">
        <w:t xml:space="preserve"> (Fig. 4, middle column)</w:t>
      </w:r>
      <w:r>
        <w:t xml:space="preserve">, at </w:t>
      </w:r>
      <w:r w:rsidR="00412C44">
        <w:t xml:space="preserve">the </w:t>
      </w:r>
      <w:r>
        <w:t xml:space="preserve">thresholds </w:t>
      </w:r>
      <w:proofErr w:type="spellStart"/>
      <w:r>
        <w:t>DC</w:t>
      </w:r>
      <w:r w:rsidRPr="00DE0ED7">
        <w:rPr>
          <w:vertAlign w:val="subscript"/>
        </w:rPr>
        <w:t>in</w:t>
      </w:r>
      <w:proofErr w:type="spellEnd"/>
      <w:r w:rsidR="00DE0ED7">
        <w:t>=</w:t>
      </w:r>
      <w:r>
        <w:t>0.55, BC</w:t>
      </w:r>
      <w:r w:rsidR="00DE0ED7">
        <w:t>=</w:t>
      </w:r>
      <w:r>
        <w:t xml:space="preserve">0.95, </w:t>
      </w:r>
      <w:proofErr w:type="spellStart"/>
      <w:r>
        <w:t>DC</w:t>
      </w:r>
      <w:r w:rsidRPr="00DE0ED7">
        <w:rPr>
          <w:vertAlign w:val="subscript"/>
        </w:rPr>
        <w:t>out</w:t>
      </w:r>
      <w:proofErr w:type="spellEnd"/>
      <w:r w:rsidR="00DE0ED7">
        <w:t>=</w:t>
      </w:r>
      <w:r>
        <w:t xml:space="preserve">11. </w:t>
      </w:r>
      <w:r w:rsidR="0048427D">
        <w:t xml:space="preserve">This means that </w:t>
      </w:r>
      <w:r w:rsidR="00067DA8">
        <w:t xml:space="preserve">at each stage of growth, </w:t>
      </w:r>
      <w:r w:rsidR="0048427D">
        <w:t xml:space="preserve">publications </w:t>
      </w:r>
      <w:r w:rsidR="00067DA8">
        <w:t xml:space="preserve">were added to </w:t>
      </w:r>
      <w:r w:rsidR="0048427D">
        <w:t xml:space="preserve">the subgraph </w:t>
      </w:r>
      <w:r w:rsidR="00067DA8">
        <w:t xml:space="preserve">if </w:t>
      </w:r>
      <w:r w:rsidR="0048427D">
        <w:t xml:space="preserve">at least 55% of their references </w:t>
      </w:r>
      <w:r w:rsidR="00067DA8">
        <w:t xml:space="preserve">(source items) were </w:t>
      </w:r>
      <w:r w:rsidR="0048427D">
        <w:t>publication</w:t>
      </w:r>
      <w:r w:rsidR="00067DA8">
        <w:t>s included in the subgraph</w:t>
      </w:r>
      <w:r w:rsidR="0048427D">
        <w:t xml:space="preserve">, </w:t>
      </w:r>
      <w:r w:rsidR="00067DA8">
        <w:t xml:space="preserve">if they shared at least </w:t>
      </w:r>
      <w:r w:rsidR="0048427D">
        <w:t xml:space="preserve">95% of their references </w:t>
      </w:r>
      <w:r w:rsidR="00067DA8">
        <w:t xml:space="preserve">(source items) </w:t>
      </w:r>
      <w:r w:rsidR="0048427D">
        <w:t xml:space="preserve">with </w:t>
      </w:r>
      <w:r w:rsidR="00067DA8">
        <w:t>references (source items) of the subgraph’s publications</w:t>
      </w:r>
      <w:r w:rsidR="0048427D">
        <w:t xml:space="preserve">, or </w:t>
      </w:r>
      <w:r w:rsidR="00B0591A">
        <w:t xml:space="preserve">if they </w:t>
      </w:r>
      <w:r w:rsidR="00B417A6">
        <w:t xml:space="preserve">were </w:t>
      </w:r>
      <w:r w:rsidR="0048427D">
        <w:t>cite</w:t>
      </w:r>
      <w:r w:rsidR="00067DA8">
        <w:t>d</w:t>
      </w:r>
      <w:r w:rsidR="0048427D">
        <w:t xml:space="preserve"> at least 11 </w:t>
      </w:r>
      <w:r w:rsidR="00B417A6">
        <w:t>times by</w:t>
      </w:r>
      <w:r w:rsidR="0048427D">
        <w:t xml:space="preserve"> </w:t>
      </w:r>
      <w:r w:rsidR="00067DA8">
        <w:t>the subgraph</w:t>
      </w:r>
      <w:r w:rsidR="0048427D">
        <w:t xml:space="preserve">. </w:t>
      </w:r>
      <w:r>
        <w:t xml:space="preserve">Lowering any of these thresholds </w:t>
      </w:r>
      <w:r w:rsidR="00067DA8">
        <w:t xml:space="preserve">slightly </w:t>
      </w:r>
      <w:r>
        <w:t xml:space="preserve">(e.g. </w:t>
      </w:r>
      <w:proofErr w:type="spellStart"/>
      <w:r>
        <w:t>DC</w:t>
      </w:r>
      <w:r w:rsidRPr="00067DA8">
        <w:rPr>
          <w:vertAlign w:val="subscript"/>
        </w:rPr>
        <w:t>in</w:t>
      </w:r>
      <w:proofErr w:type="spellEnd"/>
      <w:r>
        <w:t xml:space="preserve"> to 0.50) leads to an exponential growth </w:t>
      </w:r>
      <w:r w:rsidR="00067DA8">
        <w:t>of the subgraph without termination</w:t>
      </w:r>
      <w:r>
        <w:t>.</w:t>
      </w:r>
      <w:r w:rsidR="004C222D">
        <w:t xml:space="preserve"> </w:t>
      </w:r>
      <w:r w:rsidR="00067DA8">
        <w:t xml:space="preserve">Smaller subgraphs can be obtained by </w:t>
      </w:r>
      <w:r w:rsidR="001340BE">
        <w:t>increasing</w:t>
      </w:r>
      <w:r w:rsidR="00067DA8">
        <w:t xml:space="preserve"> the thresholds. </w:t>
      </w:r>
      <w:r w:rsidR="00F752A3">
        <w:t xml:space="preserve">When the seed size is further increased </w:t>
      </w:r>
      <w:r w:rsidR="00800FF8">
        <w:t xml:space="preserve">to </w:t>
      </w:r>
      <w:r w:rsidR="00F752A3">
        <w:t>15-20 publications</w:t>
      </w:r>
      <w:r w:rsidR="00800FF8">
        <w:t xml:space="preserve"> and the same </w:t>
      </w:r>
      <w:r w:rsidR="00F752A3">
        <w:t>thresholds</w:t>
      </w:r>
      <w:r w:rsidR="00800FF8">
        <w:t xml:space="preserve"> are used, </w:t>
      </w:r>
      <w:r w:rsidR="00F752A3">
        <w:t xml:space="preserve">almost the same subgraph </w:t>
      </w:r>
      <w:r w:rsidR="00800FF8">
        <w:t>emerges.</w:t>
      </w:r>
    </w:p>
    <w:p w14:paraId="27025CA4" w14:textId="2467931D" w:rsidR="00584D55" w:rsidRDefault="00800FF8" w:rsidP="005D0D05">
      <w:pPr>
        <w:jc w:val="both"/>
        <w:rPr>
          <w:lang w:eastAsia="de-DE"/>
        </w:rPr>
      </w:pPr>
      <w:r>
        <w:t xml:space="preserve">In the </w:t>
      </w:r>
      <w:r w:rsidR="00FB3391">
        <w:t>surrounding</w:t>
      </w:r>
      <w:r>
        <w:t xml:space="preserve"> </w:t>
      </w:r>
      <w:r w:rsidR="00646060">
        <w:t>of this subgraph</w:t>
      </w:r>
      <w:r>
        <w:t>,</w:t>
      </w:r>
      <w:r w:rsidR="00646060">
        <w:t xml:space="preserve"> </w:t>
      </w:r>
      <w:r>
        <w:t xml:space="preserve">we find </w:t>
      </w:r>
      <w:r w:rsidR="00646060">
        <w:t xml:space="preserve">false negatives </w:t>
      </w:r>
      <w:r>
        <w:t>– publications that address the h-index but ar</w:t>
      </w:r>
      <w:r w:rsidR="00A06C3E">
        <w:t>e</w:t>
      </w:r>
      <w:r>
        <w:t xml:space="preserve"> not included </w:t>
      </w:r>
      <w:r w:rsidR="00646060">
        <w:t>(FN</w:t>
      </w:r>
      <w:r w:rsidR="003103A8">
        <w:t>s</w:t>
      </w:r>
      <w:r w:rsidR="00646060">
        <w:t xml:space="preserve">, Fig. 4) </w:t>
      </w:r>
      <w:r>
        <w:t xml:space="preserve">– </w:t>
      </w:r>
      <w:r w:rsidR="00646060">
        <w:t xml:space="preserve">and true negatives (TNs). </w:t>
      </w:r>
      <w:r w:rsidR="00A06C3E">
        <w:t>An</w:t>
      </w:r>
      <w:r w:rsidR="00FC4862">
        <w:t xml:space="preserve"> example </w:t>
      </w:r>
      <w:r w:rsidR="00B07869">
        <w:t>of an</w:t>
      </w:r>
      <w:r w:rsidR="00FC4862">
        <w:t xml:space="preserve"> FN is the study </w:t>
      </w:r>
      <w:r>
        <w:t xml:space="preserve">by </w:t>
      </w:r>
      <w:proofErr w:type="spellStart"/>
      <w:r w:rsidR="00FC4862">
        <w:t>Montazerian</w:t>
      </w:r>
      <w:proofErr w:type="spellEnd"/>
      <w:r w:rsidR="00FC4862">
        <w:t xml:space="preserve"> et al</w:t>
      </w:r>
      <w:r w:rsidR="003F0AFC">
        <w:t>.</w:t>
      </w:r>
      <w:r w:rsidR="00FC4862">
        <w:t xml:space="preserve"> (2019)</w:t>
      </w:r>
      <w:r>
        <w:t xml:space="preserve"> “</w:t>
      </w:r>
      <w:r w:rsidR="00FC4862">
        <w:t xml:space="preserve">A new parameter for (normalized) evaluation of H-index: countries as a </w:t>
      </w:r>
      <w:r w:rsidR="00FC4862" w:rsidRPr="00752EDF">
        <w:t>case study”</w:t>
      </w:r>
      <w:r w:rsidRPr="00752EDF">
        <w:t>.</w:t>
      </w:r>
      <w:r w:rsidR="00FC4862" w:rsidRPr="00752EDF">
        <w:t xml:space="preserve"> It has only 54% of its reference</w:t>
      </w:r>
      <w:r w:rsidR="000C7803" w:rsidRPr="00752EDF">
        <w:t>s</w:t>
      </w:r>
      <w:r w:rsidR="00FC4862" w:rsidRPr="00752EDF">
        <w:t xml:space="preserve"> in the subgraph</w:t>
      </w:r>
      <w:r w:rsidRPr="00752EDF">
        <w:t xml:space="preserve"> and thus </w:t>
      </w:r>
      <w:r w:rsidR="007473AA" w:rsidRPr="00752EDF">
        <w:t xml:space="preserve">did not pass </w:t>
      </w:r>
      <w:r w:rsidR="00FC4862" w:rsidRPr="00752EDF">
        <w:t>the</w:t>
      </w:r>
      <w:r w:rsidR="00752EDF" w:rsidRPr="00752EDF">
        <w:t xml:space="preserve"> </w:t>
      </w:r>
      <w:proofErr w:type="spellStart"/>
      <w:r w:rsidR="00752EDF" w:rsidRPr="00752EDF">
        <w:t>DC</w:t>
      </w:r>
      <w:r w:rsidR="00752EDF" w:rsidRPr="00752EDF">
        <w:rPr>
          <w:vertAlign w:val="subscript"/>
        </w:rPr>
        <w:t>in</w:t>
      </w:r>
      <w:proofErr w:type="spellEnd"/>
      <w:r w:rsidR="00752EDF" w:rsidRPr="00752EDF">
        <w:t xml:space="preserve"> </w:t>
      </w:r>
      <w:r w:rsidR="00FC4862" w:rsidRPr="00752EDF">
        <w:t>threshold of 55%</w:t>
      </w:r>
      <w:r w:rsidR="00752EDF" w:rsidRPr="00752EDF">
        <w:t xml:space="preserve"> (</w:t>
      </w:r>
      <w:r w:rsidR="00A118D9">
        <w:t xml:space="preserve">nor </w:t>
      </w:r>
      <w:proofErr w:type="spellStart"/>
      <w:r w:rsidR="00A118D9">
        <w:t>DC</w:t>
      </w:r>
      <w:r w:rsidR="00A118D9" w:rsidRPr="00DE0ED7">
        <w:rPr>
          <w:vertAlign w:val="subscript"/>
        </w:rPr>
        <w:t>out</w:t>
      </w:r>
      <w:proofErr w:type="spellEnd"/>
      <w:r w:rsidR="00A118D9">
        <w:t xml:space="preserve"> or BC, as </w:t>
      </w:r>
      <w:r w:rsidR="00752EDF" w:rsidRPr="00752EDF">
        <w:t>it is cited by the subgraph only 2 times and shares only 80% of its reference</w:t>
      </w:r>
      <w:r w:rsidR="00E61D0C">
        <w:t>, respectively</w:t>
      </w:r>
      <w:r w:rsidR="00752EDF" w:rsidRPr="00752EDF">
        <w:t>)</w:t>
      </w:r>
      <w:r w:rsidR="00FC4862" w:rsidRPr="00752EDF">
        <w:t xml:space="preserve">. </w:t>
      </w:r>
      <w:r w:rsidRPr="00752EDF">
        <w:rPr>
          <w:lang w:eastAsia="de-DE"/>
        </w:rPr>
        <w:t>The</w:t>
      </w:r>
      <w:r w:rsidR="00A06C3E" w:rsidRPr="00752EDF">
        <w:rPr>
          <w:lang w:eastAsia="de-DE"/>
        </w:rPr>
        <w:t xml:space="preserve"> FNs</w:t>
      </w:r>
      <w:r w:rsidR="00A06C3E">
        <w:rPr>
          <w:lang w:eastAsia="de-DE"/>
        </w:rPr>
        <w:t xml:space="preserve"> </w:t>
      </w:r>
      <w:r>
        <w:rPr>
          <w:lang w:eastAsia="de-DE"/>
        </w:rPr>
        <w:t>demonstrate that any threshold is bound to create “near misses”</w:t>
      </w:r>
      <w:r w:rsidR="00584D55">
        <w:rPr>
          <w:lang w:eastAsia="de-DE"/>
        </w:rPr>
        <w:t xml:space="preserve">, i.e. that a definitive delineation of a topic is not possible. </w:t>
      </w:r>
    </w:p>
    <w:p w14:paraId="73AA8E4F" w14:textId="4E9503F2" w:rsidR="005D0D05" w:rsidRPr="008C420A" w:rsidRDefault="00584D55" w:rsidP="00584D55">
      <w:pPr>
        <w:jc w:val="both"/>
        <w:rPr>
          <w:lang w:eastAsia="de-DE"/>
        </w:rPr>
      </w:pPr>
      <w:r>
        <w:rPr>
          <w:lang w:eastAsia="de-DE"/>
        </w:rPr>
        <w:lastRenderedPageBreak/>
        <w:t xml:space="preserve">Most of the publications that were not included in the </w:t>
      </w:r>
      <w:r w:rsidR="005D0D05" w:rsidRPr="008C420A">
        <w:rPr>
          <w:lang w:eastAsia="de-DE"/>
        </w:rPr>
        <w:t>subgraph</w:t>
      </w:r>
      <w:r>
        <w:rPr>
          <w:lang w:eastAsia="de-DE"/>
        </w:rPr>
        <w:t xml:space="preserve"> were </w:t>
      </w:r>
      <w:r w:rsidR="00DE24C4">
        <w:rPr>
          <w:lang w:eastAsia="de-DE"/>
        </w:rPr>
        <w:t>TNs</w:t>
      </w:r>
      <w:r w:rsidR="005D0D05" w:rsidRPr="008C420A">
        <w:rPr>
          <w:lang w:eastAsia="de-DE"/>
        </w:rPr>
        <w:t xml:space="preserve">, </w:t>
      </w:r>
      <w:r>
        <w:rPr>
          <w:lang w:eastAsia="de-DE"/>
        </w:rPr>
        <w:t xml:space="preserve">e.g. </w:t>
      </w:r>
      <w:r w:rsidR="005D0D05" w:rsidRPr="008C420A">
        <w:rPr>
          <w:lang w:eastAsia="de-DE"/>
        </w:rPr>
        <w:t xml:space="preserve">the </w:t>
      </w:r>
      <w:r>
        <w:rPr>
          <w:lang w:eastAsia="de-DE"/>
        </w:rPr>
        <w:t xml:space="preserve">paper by </w:t>
      </w:r>
      <w:proofErr w:type="spellStart"/>
      <w:r w:rsidR="005D0D05">
        <w:t>Kosmulski</w:t>
      </w:r>
      <w:proofErr w:type="spellEnd"/>
      <w:r w:rsidR="005D0D05">
        <w:t xml:space="preserve"> (2018)</w:t>
      </w:r>
      <w:r>
        <w:t xml:space="preserve"> “</w:t>
      </w:r>
      <w:r w:rsidR="005D0D05">
        <w:t>Are you in top 1</w:t>
      </w:r>
      <w:proofErr w:type="gramStart"/>
      <w:r w:rsidR="005D0D05">
        <w:t>%(</w:t>
      </w:r>
      <w:proofErr w:type="gramEnd"/>
      <w:r w:rsidR="005D0D05">
        <w:t>1‰)?”</w:t>
      </w:r>
      <w:r>
        <w:t>,</w:t>
      </w:r>
      <w:r w:rsidR="005D0D05">
        <w:t xml:space="preserve"> which has </w:t>
      </w:r>
      <w:r>
        <w:t>4</w:t>
      </w:r>
      <w:r w:rsidR="005D0D05">
        <w:t>5</w:t>
      </w:r>
      <w:r>
        <w:t>%</w:t>
      </w:r>
      <w:r w:rsidR="005D0D05">
        <w:t xml:space="preserve"> of its references in the subgraph</w:t>
      </w:r>
      <w:r w:rsidR="00626807">
        <w:t xml:space="preserve"> but is not a clear h-index publication</w:t>
      </w:r>
      <w:r>
        <w:t>.</w:t>
      </w:r>
      <w:r w:rsidR="005D0D05">
        <w:t xml:space="preserve"> </w:t>
      </w:r>
      <w:r w:rsidR="00DE24C4">
        <w:t>Another TN is</w:t>
      </w:r>
      <w:r w:rsidR="00F063E3">
        <w:t xml:space="preserve"> </w:t>
      </w:r>
      <w:r w:rsidR="00F063E3" w:rsidRPr="00F063E3">
        <w:t>the study</w:t>
      </w:r>
      <w:r w:rsidR="00F063E3">
        <w:t xml:space="preserve"> by </w:t>
      </w:r>
      <w:proofErr w:type="spellStart"/>
      <w:r w:rsidR="00F063E3" w:rsidRPr="00F063E3">
        <w:rPr>
          <w:color w:val="222222"/>
        </w:rPr>
        <w:t>Abramo</w:t>
      </w:r>
      <w:proofErr w:type="spellEnd"/>
      <w:r w:rsidR="00F063E3">
        <w:rPr>
          <w:color w:val="222222"/>
        </w:rPr>
        <w:t xml:space="preserve"> et al. </w:t>
      </w:r>
      <w:r w:rsidR="00F063E3" w:rsidRPr="00F063E3">
        <w:rPr>
          <w:color w:val="222222"/>
        </w:rPr>
        <w:t>(2013)</w:t>
      </w:r>
      <w:r w:rsidR="00F063E3">
        <w:rPr>
          <w:color w:val="222222"/>
        </w:rPr>
        <w:t xml:space="preserve"> “</w:t>
      </w:r>
      <w:r w:rsidR="00F063E3" w:rsidRPr="00F063E3">
        <w:rPr>
          <w:color w:val="222222"/>
        </w:rPr>
        <w:t>The importance of accounting for the number of co-</w:t>
      </w:r>
      <w:r w:rsidR="00F063E3" w:rsidRPr="001F6505">
        <w:rPr>
          <w:color w:val="222222"/>
        </w:rPr>
        <w:t>authors and their order when assessing research performance at the individual level in the life sciences” which has only 6 of 21 references in the subgraph</w:t>
      </w:r>
      <w:r w:rsidR="001F6505">
        <w:rPr>
          <w:color w:val="222222"/>
        </w:rPr>
        <w:t xml:space="preserve"> (and </w:t>
      </w:r>
      <w:r w:rsidR="002945B4" w:rsidRPr="001F6505">
        <w:rPr>
          <w:color w:val="222222"/>
        </w:rPr>
        <w:t>is not cited by the subgraph</w:t>
      </w:r>
      <w:r w:rsidR="001F6505">
        <w:rPr>
          <w:color w:val="222222"/>
        </w:rPr>
        <w:t xml:space="preserve"> </w:t>
      </w:r>
      <w:r w:rsidR="002945B4" w:rsidRPr="001F6505">
        <w:rPr>
          <w:color w:val="222222"/>
        </w:rPr>
        <w:t>while sharing 81% of its referen</w:t>
      </w:r>
      <w:r w:rsidR="001F6505">
        <w:rPr>
          <w:color w:val="222222"/>
        </w:rPr>
        <w:t>c</w:t>
      </w:r>
      <w:r w:rsidR="002945B4" w:rsidRPr="001F6505">
        <w:rPr>
          <w:color w:val="222222"/>
        </w:rPr>
        <w:t>es</w:t>
      </w:r>
      <w:r w:rsidR="001F6505">
        <w:rPr>
          <w:color w:val="222222"/>
        </w:rPr>
        <w:t>)</w:t>
      </w:r>
      <w:r w:rsidR="006E516E" w:rsidRPr="001F6505">
        <w:rPr>
          <w:color w:val="222222"/>
        </w:rPr>
        <w:t xml:space="preserve"> and deals with the h-index only marginally</w:t>
      </w:r>
      <w:r w:rsidR="00F063E3" w:rsidRPr="001F6505">
        <w:rPr>
          <w:color w:val="222222"/>
        </w:rPr>
        <w:t>.</w:t>
      </w:r>
      <w:r w:rsidR="00F063E3">
        <w:rPr>
          <w:color w:val="222222"/>
        </w:rPr>
        <w:t xml:space="preserve"> </w:t>
      </w:r>
    </w:p>
    <w:p w14:paraId="63A4968F" w14:textId="181BB784" w:rsidR="00E32E22" w:rsidRDefault="00584D55" w:rsidP="005D0D05">
      <w:pPr>
        <w:jc w:val="both"/>
        <w:rPr>
          <w:lang w:eastAsia="de-DE"/>
        </w:rPr>
      </w:pPr>
      <w:r>
        <w:rPr>
          <w:lang w:eastAsia="de-DE"/>
        </w:rPr>
        <w:t xml:space="preserve">We used the </w:t>
      </w:r>
      <w:r w:rsidR="001A6431" w:rsidRPr="008C420A">
        <w:rPr>
          <w:lang w:eastAsia="de-DE"/>
        </w:rPr>
        <w:t xml:space="preserve">subgraph </w:t>
      </w:r>
      <w:r>
        <w:rPr>
          <w:lang w:eastAsia="de-DE"/>
        </w:rPr>
        <w:t xml:space="preserve">we obtained with the thresholds given above </w:t>
      </w:r>
      <w:r w:rsidR="001A6431" w:rsidRPr="008C420A">
        <w:rPr>
          <w:lang w:eastAsia="de-DE"/>
        </w:rPr>
        <w:t xml:space="preserve">as seed for </w:t>
      </w:r>
      <w:r>
        <w:rPr>
          <w:lang w:eastAsia="de-DE"/>
        </w:rPr>
        <w:t xml:space="preserve">a second run of </w:t>
      </w:r>
      <w:r w:rsidR="001A6431" w:rsidRPr="008C420A">
        <w:rPr>
          <w:lang w:eastAsia="de-DE"/>
        </w:rPr>
        <w:t>MALBA</w:t>
      </w:r>
      <w:r w:rsidR="00BB79D3">
        <w:rPr>
          <w:lang w:eastAsia="de-DE"/>
        </w:rPr>
        <w:t xml:space="preserve"> with thresholds</w:t>
      </w:r>
      <w:r w:rsidR="00BB79D3">
        <w:t xml:space="preserve"> </w:t>
      </w:r>
      <w:proofErr w:type="spellStart"/>
      <w:r w:rsidR="00BB79D3">
        <w:t>DC</w:t>
      </w:r>
      <w:r w:rsidR="00BB79D3" w:rsidRPr="00DE0ED7">
        <w:rPr>
          <w:vertAlign w:val="subscript"/>
        </w:rPr>
        <w:t>in</w:t>
      </w:r>
      <w:proofErr w:type="spellEnd"/>
      <w:r w:rsidR="00BB79D3">
        <w:t xml:space="preserve">=0.80, BC=0.90, </w:t>
      </w:r>
      <w:proofErr w:type="spellStart"/>
      <w:r w:rsidR="00BB79D3">
        <w:t>DC</w:t>
      </w:r>
      <w:r w:rsidR="00BB79D3" w:rsidRPr="00DE0ED7">
        <w:rPr>
          <w:vertAlign w:val="subscript"/>
        </w:rPr>
        <w:t>out</w:t>
      </w:r>
      <w:proofErr w:type="spellEnd"/>
      <w:r w:rsidR="00BB79D3">
        <w:t>=11</w:t>
      </w:r>
      <w:r w:rsidR="00B0591A">
        <w:t xml:space="preserve">. This </w:t>
      </w:r>
      <w:r w:rsidR="001A6431" w:rsidRPr="008C420A">
        <w:rPr>
          <w:lang w:eastAsia="de-DE"/>
        </w:rPr>
        <w:t xml:space="preserve">led to a </w:t>
      </w:r>
      <w:r>
        <w:rPr>
          <w:lang w:eastAsia="de-DE"/>
        </w:rPr>
        <w:t xml:space="preserve">termination </w:t>
      </w:r>
      <w:r w:rsidR="001A6431" w:rsidRPr="008C420A">
        <w:rPr>
          <w:lang w:eastAsia="de-DE"/>
        </w:rPr>
        <w:t>at 1</w:t>
      </w:r>
      <w:r w:rsidR="00976528">
        <w:rPr>
          <w:lang w:eastAsia="de-DE"/>
        </w:rPr>
        <w:t>,</w:t>
      </w:r>
      <w:r w:rsidR="001A6431" w:rsidRPr="008C420A">
        <w:rPr>
          <w:lang w:eastAsia="de-DE"/>
        </w:rPr>
        <w:t xml:space="preserve">320 publications. </w:t>
      </w:r>
      <w:r w:rsidR="00D40A4B">
        <w:rPr>
          <w:lang w:eastAsia="de-DE"/>
        </w:rPr>
        <w:t xml:space="preserve">After this increase </w:t>
      </w:r>
      <w:r w:rsidR="00B07869">
        <w:rPr>
          <w:lang w:eastAsia="de-DE"/>
        </w:rPr>
        <w:t>by</w:t>
      </w:r>
      <w:r w:rsidR="00D40A4B">
        <w:rPr>
          <w:lang w:eastAsia="de-DE"/>
        </w:rPr>
        <w:t xml:space="preserve"> more than 500 publications, some FNs which were found after the first run are still FNs, for example </w:t>
      </w:r>
      <w:proofErr w:type="spellStart"/>
      <w:r w:rsidR="00D40A4B" w:rsidRPr="00D40A4B">
        <w:rPr>
          <w:lang w:eastAsia="de-DE"/>
        </w:rPr>
        <w:t>Bertoli</w:t>
      </w:r>
      <w:proofErr w:type="spellEnd"/>
      <w:r w:rsidR="00D40A4B" w:rsidRPr="00D40A4B">
        <w:rPr>
          <w:lang w:eastAsia="de-DE"/>
        </w:rPr>
        <w:t>-Barsotti</w:t>
      </w:r>
      <w:r w:rsidR="00B07869">
        <w:rPr>
          <w:lang w:eastAsia="de-DE"/>
        </w:rPr>
        <w:t xml:space="preserve"> and </w:t>
      </w:r>
      <w:proofErr w:type="spellStart"/>
      <w:r w:rsidR="00D40A4B">
        <w:rPr>
          <w:lang w:eastAsia="de-DE"/>
        </w:rPr>
        <w:t>Lando</w:t>
      </w:r>
      <w:proofErr w:type="spellEnd"/>
      <w:r w:rsidR="00D40A4B">
        <w:rPr>
          <w:lang w:eastAsia="de-DE"/>
        </w:rPr>
        <w:t xml:space="preserve"> (2015) </w:t>
      </w:r>
      <w:r w:rsidR="00B07869">
        <w:rPr>
          <w:lang w:eastAsia="de-DE"/>
        </w:rPr>
        <w:t>“</w:t>
      </w:r>
      <w:r w:rsidR="00D40A4B" w:rsidRPr="00D40A4B">
        <w:rPr>
          <w:lang w:eastAsia="de-DE"/>
        </w:rPr>
        <w:t>On a formula for the h-index</w:t>
      </w:r>
      <w:r w:rsidR="00D40A4B">
        <w:rPr>
          <w:lang w:eastAsia="de-DE"/>
        </w:rPr>
        <w:t xml:space="preserve">”. </w:t>
      </w:r>
      <w:r w:rsidR="001048BB">
        <w:rPr>
          <w:lang w:eastAsia="de-DE"/>
        </w:rPr>
        <w:t>The large increase in publications after the second run</w:t>
      </w:r>
      <w:r w:rsidR="00891B26">
        <w:rPr>
          <w:lang w:eastAsia="de-DE"/>
        </w:rPr>
        <w:t xml:space="preserve"> led to the inclusion of some previous FNs (the study by </w:t>
      </w:r>
      <w:proofErr w:type="spellStart"/>
      <w:r w:rsidR="00891B26">
        <w:t>Montazerian</w:t>
      </w:r>
      <w:proofErr w:type="spellEnd"/>
      <w:r w:rsidR="00891B26">
        <w:t xml:space="preserve"> et al., for example)</w:t>
      </w:r>
      <w:r w:rsidR="001048BB">
        <w:rPr>
          <w:lang w:eastAsia="de-DE"/>
        </w:rPr>
        <w:t xml:space="preserve">, </w:t>
      </w:r>
      <w:r w:rsidR="00891B26">
        <w:rPr>
          <w:lang w:eastAsia="de-DE"/>
        </w:rPr>
        <w:t xml:space="preserve">but, </w:t>
      </w:r>
      <w:r w:rsidR="001048BB">
        <w:rPr>
          <w:lang w:eastAsia="de-DE"/>
        </w:rPr>
        <w:t xml:space="preserve">however, also leads to </w:t>
      </w:r>
      <w:r w:rsidR="00976528">
        <w:rPr>
          <w:lang w:eastAsia="de-DE"/>
        </w:rPr>
        <w:t xml:space="preserve">the addition of </w:t>
      </w:r>
      <w:r w:rsidR="001048BB">
        <w:rPr>
          <w:lang w:eastAsia="de-DE"/>
        </w:rPr>
        <w:t xml:space="preserve">false positives. </w:t>
      </w:r>
      <w:r w:rsidR="00CD1267">
        <w:rPr>
          <w:lang w:eastAsia="de-DE"/>
        </w:rPr>
        <w:t>For example, t</w:t>
      </w:r>
      <w:r w:rsidR="00D40A4B">
        <w:rPr>
          <w:lang w:eastAsia="de-DE"/>
        </w:rPr>
        <w:t xml:space="preserve">he abovementioned study by </w:t>
      </w:r>
      <w:proofErr w:type="spellStart"/>
      <w:r w:rsidR="00D40A4B">
        <w:rPr>
          <w:lang w:eastAsia="de-DE"/>
        </w:rPr>
        <w:t>Abramo</w:t>
      </w:r>
      <w:proofErr w:type="spellEnd"/>
      <w:r w:rsidR="00D40A4B">
        <w:rPr>
          <w:lang w:eastAsia="de-DE"/>
        </w:rPr>
        <w:t xml:space="preserve"> et al. (2013) is now included in the subgraph </w:t>
      </w:r>
      <w:r w:rsidR="00093707">
        <w:rPr>
          <w:lang w:eastAsia="de-DE"/>
        </w:rPr>
        <w:t>of 1</w:t>
      </w:r>
      <w:r w:rsidR="001B5218">
        <w:rPr>
          <w:lang w:eastAsia="de-DE"/>
        </w:rPr>
        <w:t>,</w:t>
      </w:r>
      <w:r w:rsidR="00093707">
        <w:rPr>
          <w:lang w:eastAsia="de-DE"/>
        </w:rPr>
        <w:t>320 publications</w:t>
      </w:r>
      <w:r w:rsidR="001048BB">
        <w:rPr>
          <w:lang w:eastAsia="de-DE"/>
        </w:rPr>
        <w:t>.</w:t>
      </w:r>
    </w:p>
    <w:p w14:paraId="39BB5E8B" w14:textId="77777777" w:rsidR="00E32E22" w:rsidRPr="00BD43CF" w:rsidRDefault="00E32E22" w:rsidP="005D0D05">
      <w:pPr>
        <w:jc w:val="both"/>
        <w:rPr>
          <w:sz w:val="10"/>
          <w:szCs w:val="10"/>
          <w:lang w:eastAsia="de-DE"/>
        </w:rPr>
      </w:pPr>
    </w:p>
    <w:p w14:paraId="39323C1A" w14:textId="48E34F7B" w:rsidR="00DD516F" w:rsidRDefault="00DD516F" w:rsidP="00DD516F">
      <w:pPr>
        <w:keepNext/>
        <w:jc w:val="center"/>
      </w:pPr>
      <w:r>
        <w:rPr>
          <w:b/>
          <w:bCs/>
        </w:rPr>
        <w:t>Figure 4</w:t>
      </w:r>
      <w:r>
        <w:t xml:space="preserve">: Varying the seed sizes </w:t>
      </w:r>
      <w:r w:rsidR="00E40D37">
        <w:t xml:space="preserve">leads to different </w:t>
      </w:r>
      <w:r w:rsidR="00612E94">
        <w:t xml:space="preserve">terminal </w:t>
      </w:r>
      <w:r w:rsidR="00E40D37">
        <w:t>subgraph</w:t>
      </w:r>
      <w:r w:rsidR="00A06C3E">
        <w:t>s</w:t>
      </w:r>
      <w:r w:rsidR="00E40D37">
        <w:t>.</w:t>
      </w:r>
    </w:p>
    <w:p w14:paraId="7275F145" w14:textId="38443CDE" w:rsidR="00DD516F" w:rsidRDefault="00F02B88" w:rsidP="00DD516F">
      <w:pPr>
        <w:jc w:val="center"/>
      </w:pPr>
      <w:r>
        <w:rPr>
          <w:noProof/>
        </w:rPr>
        <w:drawing>
          <wp:inline distT="0" distB="0" distL="0" distR="0" wp14:anchorId="4DBFF6C4" wp14:editId="5A7ACE3B">
            <wp:extent cx="5743295" cy="2424224"/>
            <wp:effectExtent l="0" t="0" r="0" b="0"/>
            <wp:docPr id="14" name="Grafik 14"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3528" t="20384" r="18642" b="21207"/>
                    <a:stretch/>
                  </pic:blipFill>
                  <pic:spPr bwMode="auto">
                    <a:xfrm>
                      <a:off x="0" y="0"/>
                      <a:ext cx="5786373" cy="2442407"/>
                    </a:xfrm>
                    <a:prstGeom prst="rect">
                      <a:avLst/>
                    </a:prstGeom>
                    <a:noFill/>
                    <a:ln>
                      <a:noFill/>
                    </a:ln>
                    <a:extLst>
                      <a:ext uri="{53640926-AAD7-44D8-BBD7-CCE9431645EC}">
                        <a14:shadowObscured xmlns:a14="http://schemas.microsoft.com/office/drawing/2010/main"/>
                      </a:ext>
                    </a:extLst>
                  </pic:spPr>
                </pic:pic>
              </a:graphicData>
            </a:graphic>
          </wp:inline>
        </w:drawing>
      </w:r>
    </w:p>
    <w:p w14:paraId="4CC5D436" w14:textId="6017E60C" w:rsidR="00D97E22" w:rsidRPr="00BD43CF" w:rsidRDefault="00D97E22" w:rsidP="00037E2C">
      <w:pPr>
        <w:jc w:val="both"/>
        <w:rPr>
          <w:sz w:val="10"/>
          <w:szCs w:val="10"/>
        </w:rPr>
      </w:pPr>
    </w:p>
    <w:p w14:paraId="0FE15099" w14:textId="18951877" w:rsidR="000B5126" w:rsidRDefault="000B5126" w:rsidP="00037E2C">
      <w:pPr>
        <w:jc w:val="both"/>
      </w:pPr>
      <w:r>
        <w:t xml:space="preserve">Figure 5 shows the distribution of the </w:t>
      </w:r>
      <w:r w:rsidR="008C0C47">
        <w:t>805</w:t>
      </w:r>
      <w:r>
        <w:t xml:space="preserve"> publications over publication years and the number of publications with the keyword “</w:t>
      </w:r>
      <w:r w:rsidR="0055614B">
        <w:t>h</w:t>
      </w:r>
      <w:r>
        <w:t xml:space="preserve">-index” for each year. The patterns clearly differ, which means that the </w:t>
      </w:r>
      <w:r w:rsidR="002A7DF9">
        <w:t xml:space="preserve">growth of the </w:t>
      </w:r>
      <w:r>
        <w:t xml:space="preserve">subgraph </w:t>
      </w:r>
      <w:r w:rsidR="002A7DF9">
        <w:t xml:space="preserve">is not influenced by </w:t>
      </w:r>
      <w:r w:rsidR="00A7153C">
        <w:t xml:space="preserve">the </w:t>
      </w:r>
      <w:r w:rsidR="002A7DF9">
        <w:t xml:space="preserve">increasing number </w:t>
      </w:r>
      <w:r w:rsidR="00A7153C">
        <w:t xml:space="preserve">of </w:t>
      </w:r>
      <w:r w:rsidR="002A7DF9">
        <w:t>publications on a topic.</w:t>
      </w:r>
    </w:p>
    <w:p w14:paraId="48E86F6A" w14:textId="58B08F1E" w:rsidR="001F6505" w:rsidRDefault="001F6505" w:rsidP="00037E2C">
      <w:pPr>
        <w:jc w:val="both"/>
      </w:pPr>
    </w:p>
    <w:p w14:paraId="3300E914" w14:textId="682325EB" w:rsidR="001F6505" w:rsidRDefault="001F6505" w:rsidP="001F6505">
      <w:pPr>
        <w:keepNext/>
        <w:jc w:val="center"/>
      </w:pPr>
      <w:r>
        <w:rPr>
          <w:b/>
          <w:bCs/>
        </w:rPr>
        <w:t xml:space="preserve">Figure </w:t>
      </w:r>
      <w:r w:rsidR="002D5C40">
        <w:rPr>
          <w:b/>
          <w:bCs/>
        </w:rPr>
        <w:t>5</w:t>
      </w:r>
      <w:r>
        <w:t xml:space="preserve">: Number of publications per year </w:t>
      </w:r>
      <w:r w:rsidR="0006020D">
        <w:t xml:space="preserve">in </w:t>
      </w:r>
      <w:r>
        <w:t>MALBA subgraph and</w:t>
      </w:r>
      <w:r w:rsidR="003C6F2A">
        <w:t xml:space="preserve"> lexical</w:t>
      </w:r>
      <w:r>
        <w:t xml:space="preserve"> query</w:t>
      </w:r>
      <w:r w:rsidR="00B521F9">
        <w:t xml:space="preserve"> ‘h-index’</w:t>
      </w:r>
      <w:r>
        <w:t>.</w:t>
      </w:r>
    </w:p>
    <w:p w14:paraId="25949E9E" w14:textId="6E4FCB13" w:rsidR="002A7DF9" w:rsidRDefault="001F6505" w:rsidP="00BD43CF">
      <w:pPr>
        <w:jc w:val="center"/>
      </w:pPr>
      <w:r>
        <w:rPr>
          <w:noProof/>
        </w:rPr>
        <w:drawing>
          <wp:inline distT="0" distB="0" distL="0" distR="0" wp14:anchorId="7B76284A" wp14:editId="64500EAC">
            <wp:extent cx="4105113" cy="24630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ndex_subgraph_pubs_per_year_plus_woskeyword_plot.png"/>
                    <pic:cNvPicPr/>
                  </pic:nvPicPr>
                  <pic:blipFill>
                    <a:blip r:embed="rId13"/>
                    <a:stretch>
                      <a:fillRect/>
                    </a:stretch>
                  </pic:blipFill>
                  <pic:spPr>
                    <a:xfrm>
                      <a:off x="0" y="0"/>
                      <a:ext cx="4264798" cy="2558877"/>
                    </a:xfrm>
                    <a:prstGeom prst="rect">
                      <a:avLst/>
                    </a:prstGeom>
                  </pic:spPr>
                </pic:pic>
              </a:graphicData>
            </a:graphic>
          </wp:inline>
        </w:drawing>
      </w:r>
    </w:p>
    <w:p w14:paraId="775C24D6" w14:textId="02139364" w:rsidR="008168F4" w:rsidRDefault="000C25AF" w:rsidP="0029211E">
      <w:pPr>
        <w:pStyle w:val="berschrift2"/>
        <w:jc w:val="both"/>
      </w:pPr>
      <w:r>
        <w:lastRenderedPageBreak/>
        <w:t xml:space="preserve">4. </w:t>
      </w:r>
      <w:r w:rsidR="00295101">
        <w:t>Discussion and f</w:t>
      </w:r>
      <w:r w:rsidR="002A35C6">
        <w:t>uture work</w:t>
      </w:r>
    </w:p>
    <w:p w14:paraId="782BF522" w14:textId="77777777" w:rsidR="00295101" w:rsidRDefault="00295101" w:rsidP="008A3915">
      <w:pPr>
        <w:keepNext/>
        <w:jc w:val="both"/>
      </w:pPr>
      <w:r>
        <w:t xml:space="preserve">Local algorithms like MALBA are fully transparent because for every publication, the reason why it is included in a subgraph can be identified. This makes it possible to explore the match of subgraphs and their environment thematically and to identify true/false positives and true/false negatives </w:t>
      </w:r>
      <w:proofErr w:type="gramStart"/>
      <w:r>
        <w:t>with regard to</w:t>
      </w:r>
      <w:proofErr w:type="gramEnd"/>
      <w:r>
        <w:t xml:space="preserve"> the reconstruction of a topic. </w:t>
      </w:r>
    </w:p>
    <w:p w14:paraId="17E6638E" w14:textId="1845AB2E" w:rsidR="00DD02D8" w:rsidRDefault="00295101" w:rsidP="008A3915">
      <w:pPr>
        <w:keepNext/>
        <w:jc w:val="both"/>
      </w:pPr>
      <w:r>
        <w:t>While the reconstruction of the h-index topic with MALBA looks promising, we cannot claim yet that MALBA is suitable for reconstructing topics. Further experiments are necessary, in</w:t>
      </w:r>
      <w:r w:rsidR="00DD02D8">
        <w:t>cluding:</w:t>
      </w:r>
    </w:p>
    <w:p w14:paraId="43C4B757" w14:textId="6239942E" w:rsidR="00DD02D8" w:rsidRDefault="00DD02D8" w:rsidP="0029211E">
      <w:pPr>
        <w:keepNext/>
      </w:pPr>
      <w:r>
        <w:t xml:space="preserve">- a further exploration of subgraphs of h-index publications and their environments; </w:t>
      </w:r>
    </w:p>
    <w:p w14:paraId="12C55E15" w14:textId="6F6DD0B3" w:rsidR="00DD02D8" w:rsidRDefault="00DD02D8" w:rsidP="0029211E">
      <w:pPr>
        <w:keepNext/>
      </w:pPr>
      <w:r>
        <w:t>- experiments with MALBA and only one data model (direct citation or bibliographic coupling);</w:t>
      </w:r>
    </w:p>
    <w:p w14:paraId="775BFB84" w14:textId="77777777" w:rsidR="00DD02D8" w:rsidRDefault="00DD02D8" w:rsidP="0029211E">
      <w:pPr>
        <w:keepNext/>
      </w:pPr>
      <w:r>
        <w:t>- a validation of MALBA with ground truths like the ones used in Held et al. (2021); and</w:t>
      </w:r>
    </w:p>
    <w:p w14:paraId="24FE2007" w14:textId="7F33BBE6" w:rsidR="008E3F52" w:rsidRDefault="00DD02D8" w:rsidP="0029211E">
      <w:pPr>
        <w:keepNext/>
      </w:pPr>
      <w:r>
        <w:t>- comparisons between the exploration of pre</w:t>
      </w:r>
      <w:r w:rsidR="00076278">
        <w:t>-</w:t>
      </w:r>
      <w:r>
        <w:t xml:space="preserve">existing networks and the exploration of publication databases. </w:t>
      </w:r>
    </w:p>
    <w:p w14:paraId="4B0F8C55" w14:textId="77777777" w:rsidR="00154A21" w:rsidRDefault="00154A21">
      <w:pPr>
        <w:jc w:val="both"/>
        <w:rPr>
          <w:b/>
          <w:bCs/>
        </w:rPr>
      </w:pPr>
    </w:p>
    <w:p w14:paraId="6126D7F1" w14:textId="7481AD7B" w:rsidR="00370126" w:rsidRPr="009651DC" w:rsidRDefault="00370126">
      <w:pPr>
        <w:jc w:val="both"/>
        <w:rPr>
          <w:b/>
          <w:bCs/>
        </w:rPr>
      </w:pPr>
      <w:r w:rsidRPr="009651DC">
        <w:rPr>
          <w:b/>
          <w:bCs/>
        </w:rPr>
        <w:t>Competing interests</w:t>
      </w:r>
    </w:p>
    <w:p w14:paraId="2DE94869" w14:textId="0756E201" w:rsidR="00370126" w:rsidRPr="009651DC" w:rsidRDefault="0011155C">
      <w:pPr>
        <w:jc w:val="both"/>
      </w:pPr>
      <w:r w:rsidRPr="009651DC">
        <w:t>The authors have no competing interests.</w:t>
      </w:r>
    </w:p>
    <w:p w14:paraId="6597B0C5" w14:textId="77777777" w:rsidR="007C30D8" w:rsidRPr="001807BC" w:rsidRDefault="007C30D8">
      <w:pPr>
        <w:jc w:val="both"/>
        <w:rPr>
          <w:highlight w:val="yellow"/>
        </w:rPr>
      </w:pPr>
    </w:p>
    <w:p w14:paraId="31603A15" w14:textId="2DE08369" w:rsidR="00370126" w:rsidRPr="00912A2F" w:rsidRDefault="00370126">
      <w:pPr>
        <w:jc w:val="both"/>
        <w:rPr>
          <w:b/>
          <w:bCs/>
        </w:rPr>
      </w:pPr>
      <w:r w:rsidRPr="00912A2F">
        <w:rPr>
          <w:b/>
          <w:bCs/>
        </w:rPr>
        <w:t>Funding information</w:t>
      </w:r>
    </w:p>
    <w:p w14:paraId="237C8BE5" w14:textId="77777777" w:rsidR="00912A2F" w:rsidRPr="00912A2F" w:rsidRDefault="00912A2F" w:rsidP="00912A2F">
      <w:pPr>
        <w:keepNext/>
      </w:pPr>
      <w:r w:rsidRPr="00912A2F">
        <w:t xml:space="preserve">This work was partly supported by the German Ministry of Education and Research (Grant 16PU17003). </w:t>
      </w:r>
    </w:p>
    <w:p w14:paraId="4F7FBF7D" w14:textId="77777777" w:rsidR="003F0AFC" w:rsidRPr="001807BC" w:rsidRDefault="003F0AFC" w:rsidP="003F0AFC">
      <w:pPr>
        <w:jc w:val="both"/>
        <w:rPr>
          <w:b/>
          <w:bCs/>
          <w:highlight w:val="yellow"/>
        </w:rPr>
      </w:pPr>
    </w:p>
    <w:p w14:paraId="72E1ED62" w14:textId="77777777" w:rsidR="003F0AFC" w:rsidRPr="00912A2F" w:rsidRDefault="003F0AFC" w:rsidP="009446EC">
      <w:pPr>
        <w:keepNext/>
        <w:jc w:val="both"/>
        <w:rPr>
          <w:b/>
          <w:bCs/>
        </w:rPr>
      </w:pPr>
      <w:r w:rsidRPr="00912A2F">
        <w:rPr>
          <w:b/>
          <w:bCs/>
        </w:rPr>
        <w:t>Open science practices</w:t>
      </w:r>
    </w:p>
    <w:p w14:paraId="0651CA9E" w14:textId="60C05C96" w:rsidR="00D527D9" w:rsidRPr="00F95DA9" w:rsidRDefault="00D527D9" w:rsidP="003F0AFC">
      <w:pPr>
        <w:jc w:val="both"/>
      </w:pPr>
      <w:r w:rsidRPr="00F95DA9">
        <w:t>We plan to make MALBA fully accessible to other researchers at the time of the conference. MALBA currently interrogates a proprietary database</w:t>
      </w:r>
      <w:r w:rsidR="00F95DA9" w:rsidRPr="00F95DA9">
        <w:t xml:space="preserve">, and its source code reveals the structure of this database. However, we plan to negotiate access to the Dimensions database, which is free for scientific use. </w:t>
      </w:r>
    </w:p>
    <w:p w14:paraId="4EACBEE8" w14:textId="24A76573" w:rsidR="00F95DA9" w:rsidRPr="001807BC" w:rsidRDefault="00F95DA9" w:rsidP="00F95DA9">
      <w:pPr>
        <w:jc w:val="both"/>
      </w:pPr>
      <w:r w:rsidRPr="00F95DA9">
        <w:t xml:space="preserve">The minimum level of openness that can be currently achieved is making publicly available a version of MALBA that analyses pre-existing networks. We hope to achieve more but this depends on negotiations with database owners. </w:t>
      </w:r>
    </w:p>
    <w:p w14:paraId="5F65BD0D" w14:textId="77777777" w:rsidR="003F0AFC" w:rsidRPr="001807BC" w:rsidRDefault="003F0AFC" w:rsidP="003F0AFC">
      <w:pPr>
        <w:jc w:val="both"/>
        <w:rPr>
          <w:highlight w:val="yellow"/>
        </w:rPr>
      </w:pPr>
    </w:p>
    <w:p w14:paraId="5D128751" w14:textId="77777777" w:rsidR="003F0AFC" w:rsidRPr="00D527D9" w:rsidRDefault="003F0AFC" w:rsidP="003F0AFC">
      <w:pPr>
        <w:jc w:val="both"/>
        <w:rPr>
          <w:b/>
          <w:bCs/>
        </w:rPr>
      </w:pPr>
      <w:r w:rsidRPr="00D527D9">
        <w:rPr>
          <w:b/>
          <w:bCs/>
        </w:rPr>
        <w:t>Author contributions</w:t>
      </w:r>
    </w:p>
    <w:p w14:paraId="78B98D8F" w14:textId="77777777" w:rsidR="00D527D9" w:rsidRDefault="00D527D9" w:rsidP="00D527D9">
      <w:r w:rsidRPr="000E7AC1">
        <w:t>Ma</w:t>
      </w:r>
      <w:r>
        <w:t>t</w:t>
      </w:r>
      <w:r w:rsidRPr="000E7AC1">
        <w:t>thias Held:</w:t>
      </w:r>
      <w:r>
        <w:t xml:space="preserve"> Conceptualization, Data curation, Methodology, Investigation, Data analysis, Writing</w:t>
      </w:r>
    </w:p>
    <w:p w14:paraId="0178A090" w14:textId="77777777" w:rsidR="00D527D9" w:rsidRDefault="00D527D9" w:rsidP="00D527D9">
      <w:r>
        <w:t xml:space="preserve">Bastian </w:t>
      </w:r>
      <w:proofErr w:type="spellStart"/>
      <w:r>
        <w:t>Steudel</w:t>
      </w:r>
      <w:proofErr w:type="spellEnd"/>
      <w:r>
        <w:t>: Methodology, Software, Visualization, Writing</w:t>
      </w:r>
    </w:p>
    <w:p w14:paraId="0BB4604D" w14:textId="77777777" w:rsidR="00D527D9" w:rsidRPr="000E7AC1" w:rsidRDefault="00D527D9" w:rsidP="00D527D9">
      <w:r>
        <w:t xml:space="preserve">Jochen </w:t>
      </w:r>
      <w:proofErr w:type="spellStart"/>
      <w:r>
        <w:t>Gläser</w:t>
      </w:r>
      <w:proofErr w:type="spellEnd"/>
      <w:r>
        <w:t>: Funding acquisition, Conceptualization, Methodology, Project administration, Supervision, Writing</w:t>
      </w:r>
    </w:p>
    <w:p w14:paraId="6915C807" w14:textId="77777777" w:rsidR="00DF037E" w:rsidRDefault="00DF037E">
      <w:pPr>
        <w:jc w:val="both"/>
      </w:pPr>
    </w:p>
    <w:p w14:paraId="153897FF" w14:textId="314AC282" w:rsidR="008168F4" w:rsidRDefault="008168F4">
      <w:pPr>
        <w:jc w:val="both"/>
        <w:rPr>
          <w:b/>
          <w:bCs/>
        </w:rPr>
      </w:pPr>
      <w:r>
        <w:rPr>
          <w:b/>
          <w:bCs/>
        </w:rPr>
        <w:t>References</w:t>
      </w:r>
    </w:p>
    <w:p w14:paraId="7D62D301" w14:textId="77777777" w:rsidR="00A32AE8" w:rsidRPr="00A32AE8" w:rsidRDefault="00A32AE8" w:rsidP="00A32AE8">
      <w:pPr>
        <w:pStyle w:val="Literaturverzeichnis"/>
      </w:pPr>
      <w:r w:rsidRPr="00A32AE8">
        <w:t xml:space="preserve">Chen, C. (2018). Cascading citation expansion. </w:t>
      </w:r>
      <w:r w:rsidRPr="00A32AE8">
        <w:rPr>
          <w:i/>
          <w:iCs/>
        </w:rPr>
        <w:t>Journal of Information Science Theory and Practice</w:t>
      </w:r>
      <w:r w:rsidRPr="00A32AE8">
        <w:t xml:space="preserve">, </w:t>
      </w:r>
      <w:r w:rsidRPr="00A32AE8">
        <w:rPr>
          <w:i/>
          <w:iCs/>
        </w:rPr>
        <w:t>6</w:t>
      </w:r>
      <w:r w:rsidRPr="00A32AE8">
        <w:t>(2), 6–23.</w:t>
      </w:r>
    </w:p>
    <w:p w14:paraId="5345CC24" w14:textId="77777777" w:rsidR="00A32AE8" w:rsidRPr="00A32AE8" w:rsidRDefault="00A32AE8" w:rsidP="00A32AE8">
      <w:pPr>
        <w:pStyle w:val="Literaturverzeichnis"/>
      </w:pPr>
      <w:r w:rsidRPr="00457A1D">
        <w:rPr>
          <w:lang w:val="de-DE"/>
        </w:rPr>
        <w:t xml:space="preserve">Chen, Q., Wu, T.-T., &amp; Fang, M. (2013). </w:t>
      </w:r>
      <w:r w:rsidRPr="00A32AE8">
        <w:t xml:space="preserve">Detecting local community structures in complex networks based on local degree central nodes. </w:t>
      </w:r>
      <w:proofErr w:type="spellStart"/>
      <w:r w:rsidRPr="00A32AE8">
        <w:rPr>
          <w:i/>
          <w:iCs/>
        </w:rPr>
        <w:t>Physica</w:t>
      </w:r>
      <w:proofErr w:type="spellEnd"/>
      <w:r w:rsidRPr="00A32AE8">
        <w:rPr>
          <w:i/>
          <w:iCs/>
        </w:rPr>
        <w:t xml:space="preserve"> A: Statistical Mechanics and Its Applications</w:t>
      </w:r>
      <w:r w:rsidRPr="00A32AE8">
        <w:t xml:space="preserve">, </w:t>
      </w:r>
      <w:r w:rsidRPr="00A32AE8">
        <w:rPr>
          <w:i/>
          <w:iCs/>
        </w:rPr>
        <w:t>392</w:t>
      </w:r>
      <w:r w:rsidRPr="00A32AE8">
        <w:t>(3), 529–537. https://doi.org/10.1016/j.physa.2012.09.012</w:t>
      </w:r>
    </w:p>
    <w:p w14:paraId="37B567CE" w14:textId="77777777" w:rsidR="00A32AE8" w:rsidRPr="00A32AE8" w:rsidRDefault="00A32AE8" w:rsidP="00A32AE8">
      <w:pPr>
        <w:pStyle w:val="Literaturverzeichnis"/>
      </w:pPr>
      <w:proofErr w:type="spellStart"/>
      <w:r w:rsidRPr="00A32AE8">
        <w:t>Clauset</w:t>
      </w:r>
      <w:proofErr w:type="spellEnd"/>
      <w:r w:rsidRPr="00A32AE8">
        <w:t xml:space="preserve">, A. (2005). Finding local community structure in networks. </w:t>
      </w:r>
      <w:r w:rsidRPr="00A32AE8">
        <w:rPr>
          <w:i/>
          <w:iCs/>
        </w:rPr>
        <w:t>Physical Review E</w:t>
      </w:r>
      <w:r w:rsidRPr="00A32AE8">
        <w:t xml:space="preserve">, </w:t>
      </w:r>
      <w:r w:rsidRPr="00A32AE8">
        <w:rPr>
          <w:i/>
          <w:iCs/>
        </w:rPr>
        <w:t>72</w:t>
      </w:r>
      <w:r w:rsidRPr="00A32AE8">
        <w:t>(2), 026132. https://doi.org/10.1103/PhysRevE.72.026132</w:t>
      </w:r>
    </w:p>
    <w:p w14:paraId="455C24CD" w14:textId="77777777" w:rsidR="00A32AE8" w:rsidRPr="00A32AE8" w:rsidRDefault="00A32AE8" w:rsidP="00A32AE8">
      <w:pPr>
        <w:pStyle w:val="Literaturverzeichnis"/>
      </w:pPr>
      <w:proofErr w:type="spellStart"/>
      <w:r w:rsidRPr="00A32AE8">
        <w:t>Dilmaghani</w:t>
      </w:r>
      <w:proofErr w:type="spellEnd"/>
      <w:r w:rsidRPr="00A32AE8">
        <w:t xml:space="preserve">, S., Brust, M. R., </w:t>
      </w:r>
      <w:proofErr w:type="spellStart"/>
      <w:r w:rsidRPr="00A32AE8">
        <w:t>Danoy</w:t>
      </w:r>
      <w:proofErr w:type="spellEnd"/>
      <w:r w:rsidRPr="00A32AE8">
        <w:t xml:space="preserve">, G., &amp; </w:t>
      </w:r>
      <w:proofErr w:type="spellStart"/>
      <w:r w:rsidRPr="00A32AE8">
        <w:t>Bouvry</w:t>
      </w:r>
      <w:proofErr w:type="spellEnd"/>
      <w:r w:rsidRPr="00A32AE8">
        <w:t xml:space="preserve">, P. (2021). Community Detection in Complex Networks: A Survey on Local Approaches. In N. T. Nguyen, S. </w:t>
      </w:r>
      <w:proofErr w:type="spellStart"/>
      <w:r w:rsidRPr="00A32AE8">
        <w:t>Chittayasothorn</w:t>
      </w:r>
      <w:proofErr w:type="spellEnd"/>
      <w:r w:rsidRPr="00A32AE8">
        <w:t xml:space="preserve">, D. </w:t>
      </w:r>
      <w:proofErr w:type="spellStart"/>
      <w:r w:rsidRPr="00A32AE8">
        <w:t>Niyato</w:t>
      </w:r>
      <w:proofErr w:type="spellEnd"/>
      <w:r w:rsidRPr="00A32AE8">
        <w:t xml:space="preserve">, &amp; B. </w:t>
      </w:r>
      <w:proofErr w:type="spellStart"/>
      <w:r w:rsidRPr="00A32AE8">
        <w:t>Trawiński</w:t>
      </w:r>
      <w:proofErr w:type="spellEnd"/>
      <w:r w:rsidRPr="00A32AE8">
        <w:t xml:space="preserve"> (Eds.), </w:t>
      </w:r>
      <w:r w:rsidRPr="00A32AE8">
        <w:rPr>
          <w:i/>
          <w:iCs/>
        </w:rPr>
        <w:t xml:space="preserve">Intelligent Information and </w:t>
      </w:r>
      <w:r w:rsidRPr="00A32AE8">
        <w:rPr>
          <w:i/>
          <w:iCs/>
        </w:rPr>
        <w:lastRenderedPageBreak/>
        <w:t>Database Systems</w:t>
      </w:r>
      <w:r w:rsidRPr="00A32AE8">
        <w:t xml:space="preserve"> (Vol. 12672, pp. 757–767). Springer International Publishing. https://doi.org/10.1007/978-3-030-73280-6_60</w:t>
      </w:r>
    </w:p>
    <w:p w14:paraId="7AFC9394" w14:textId="77777777" w:rsidR="00A32AE8" w:rsidRPr="00A32AE8" w:rsidRDefault="00A32AE8" w:rsidP="00A32AE8">
      <w:pPr>
        <w:pStyle w:val="Literaturverzeichnis"/>
      </w:pPr>
      <w:proofErr w:type="spellStart"/>
      <w:r w:rsidRPr="00A32AE8">
        <w:t>Fanrong</w:t>
      </w:r>
      <w:proofErr w:type="spellEnd"/>
      <w:r w:rsidRPr="00A32AE8">
        <w:t xml:space="preserve">, M., Mu, Z., Yong, Z., &amp; </w:t>
      </w:r>
      <w:proofErr w:type="spellStart"/>
      <w:r w:rsidRPr="00A32AE8">
        <w:t>Ranran</w:t>
      </w:r>
      <w:proofErr w:type="spellEnd"/>
      <w:r w:rsidRPr="00A32AE8">
        <w:t xml:space="preserve">, Z. (2014). Local Community Detection in Complex Networks Based on Maximum Cliques Extension. </w:t>
      </w:r>
      <w:r w:rsidRPr="00A32AE8">
        <w:rPr>
          <w:i/>
          <w:iCs/>
        </w:rPr>
        <w:t>Mathematical Problems in Engineering</w:t>
      </w:r>
      <w:r w:rsidRPr="00A32AE8">
        <w:t xml:space="preserve">, </w:t>
      </w:r>
      <w:r w:rsidRPr="00A32AE8">
        <w:rPr>
          <w:i/>
          <w:iCs/>
        </w:rPr>
        <w:t>2014</w:t>
      </w:r>
      <w:r w:rsidRPr="00A32AE8">
        <w:t>, 1–12. https://doi.org/10.1155/2014/653670</w:t>
      </w:r>
    </w:p>
    <w:p w14:paraId="46B67D11" w14:textId="77777777" w:rsidR="00A32AE8" w:rsidRPr="00A32AE8" w:rsidRDefault="00A32AE8" w:rsidP="00A32AE8">
      <w:pPr>
        <w:pStyle w:val="Literaturverzeichnis"/>
      </w:pPr>
      <w:r w:rsidRPr="00A32AE8">
        <w:t xml:space="preserve">Fortunato, S. (2010). Community detection in graphs. </w:t>
      </w:r>
      <w:r w:rsidRPr="00A32AE8">
        <w:rPr>
          <w:i/>
          <w:iCs/>
        </w:rPr>
        <w:t>Physics Reports</w:t>
      </w:r>
      <w:r w:rsidRPr="00A32AE8">
        <w:t xml:space="preserve">, </w:t>
      </w:r>
      <w:r w:rsidRPr="00A32AE8">
        <w:rPr>
          <w:i/>
          <w:iCs/>
        </w:rPr>
        <w:t>486</w:t>
      </w:r>
      <w:r w:rsidRPr="00A32AE8">
        <w:t>(3), 75–174. https://doi.org/10.1016/j.physrep.2009.11.002</w:t>
      </w:r>
    </w:p>
    <w:p w14:paraId="61E8C905" w14:textId="77777777" w:rsidR="00A32AE8" w:rsidRPr="00A32AE8" w:rsidRDefault="00A32AE8" w:rsidP="00A32AE8">
      <w:pPr>
        <w:pStyle w:val="Literaturverzeichnis"/>
      </w:pPr>
      <w:r w:rsidRPr="00A32AE8">
        <w:t xml:space="preserve">Fortunato, S., &amp; </w:t>
      </w:r>
      <w:proofErr w:type="spellStart"/>
      <w:r w:rsidRPr="00A32AE8">
        <w:t>Hric</w:t>
      </w:r>
      <w:proofErr w:type="spellEnd"/>
      <w:r w:rsidRPr="00A32AE8">
        <w:t xml:space="preserve">, D. (2016). Community detection in networks: A user guide. </w:t>
      </w:r>
      <w:r w:rsidRPr="00A32AE8">
        <w:rPr>
          <w:i/>
          <w:iCs/>
        </w:rPr>
        <w:t>Physics Reports</w:t>
      </w:r>
      <w:r w:rsidRPr="00A32AE8">
        <w:t xml:space="preserve">, </w:t>
      </w:r>
      <w:r w:rsidRPr="00A32AE8">
        <w:rPr>
          <w:i/>
          <w:iCs/>
        </w:rPr>
        <w:t>659</w:t>
      </w:r>
      <w:r w:rsidRPr="00A32AE8">
        <w:t>, 1–44. https://doi.org/10.1016/j.physrep.2016.09.002</w:t>
      </w:r>
    </w:p>
    <w:p w14:paraId="3A74A879" w14:textId="77777777" w:rsidR="00A32AE8" w:rsidRPr="00A32AE8" w:rsidRDefault="00A32AE8" w:rsidP="00A32AE8">
      <w:pPr>
        <w:pStyle w:val="Literaturverzeichnis"/>
      </w:pPr>
      <w:proofErr w:type="spellStart"/>
      <w:r w:rsidRPr="00A32AE8">
        <w:t>Gläser</w:t>
      </w:r>
      <w:proofErr w:type="spellEnd"/>
      <w:r w:rsidRPr="00A32AE8">
        <w:t xml:space="preserve">, J. (2019). How can governance change research content? Linking science policy studies to the sociology of science. </w:t>
      </w:r>
      <w:r w:rsidRPr="00A32AE8">
        <w:rPr>
          <w:i/>
          <w:iCs/>
        </w:rPr>
        <w:t>Handbook on Science and Public Policy</w:t>
      </w:r>
      <w:r w:rsidRPr="00A32AE8">
        <w:t>, 419–447.</w:t>
      </w:r>
    </w:p>
    <w:p w14:paraId="286FF3C3" w14:textId="77777777" w:rsidR="00A32AE8" w:rsidRPr="00A32AE8" w:rsidRDefault="00A32AE8" w:rsidP="00A32AE8">
      <w:pPr>
        <w:pStyle w:val="Literaturverzeichnis"/>
      </w:pPr>
      <w:proofErr w:type="spellStart"/>
      <w:r w:rsidRPr="00A32AE8">
        <w:t>Gläser</w:t>
      </w:r>
      <w:proofErr w:type="spellEnd"/>
      <w:r w:rsidRPr="00A32AE8">
        <w:t xml:space="preserve">, J., </w:t>
      </w:r>
      <w:proofErr w:type="spellStart"/>
      <w:r w:rsidRPr="00A32AE8">
        <w:t>Glänzel</w:t>
      </w:r>
      <w:proofErr w:type="spellEnd"/>
      <w:r w:rsidRPr="00A32AE8">
        <w:t xml:space="preserve">, W., &amp; Scharnhorst, A. (2017). Same data—different results? Towards a comparative approach to the identification of thematic structures in science. </w:t>
      </w:r>
      <w:proofErr w:type="spellStart"/>
      <w:r w:rsidRPr="00A32AE8">
        <w:rPr>
          <w:i/>
          <w:iCs/>
        </w:rPr>
        <w:t>Scientometrics</w:t>
      </w:r>
      <w:proofErr w:type="spellEnd"/>
      <w:r w:rsidRPr="00A32AE8">
        <w:t xml:space="preserve">, </w:t>
      </w:r>
      <w:r w:rsidRPr="00A32AE8">
        <w:rPr>
          <w:i/>
          <w:iCs/>
        </w:rPr>
        <w:t>111</w:t>
      </w:r>
      <w:r w:rsidRPr="00A32AE8">
        <w:t>(2), 981–998. https://doi.org/10.1007/s11192-017-2296-z</w:t>
      </w:r>
    </w:p>
    <w:p w14:paraId="69E75674" w14:textId="77777777" w:rsidR="00A32AE8" w:rsidRPr="00457A1D" w:rsidRDefault="00A32AE8" w:rsidP="00A32AE8">
      <w:pPr>
        <w:pStyle w:val="Literaturverzeichnis"/>
        <w:rPr>
          <w:lang w:val="de-DE"/>
        </w:rPr>
      </w:pPr>
      <w:r w:rsidRPr="00A32AE8">
        <w:t xml:space="preserve">Hamann, M., </w:t>
      </w:r>
      <w:proofErr w:type="spellStart"/>
      <w:r w:rsidRPr="00A32AE8">
        <w:t>Röhrs</w:t>
      </w:r>
      <w:proofErr w:type="spellEnd"/>
      <w:r w:rsidRPr="00A32AE8">
        <w:t xml:space="preserve">, E., &amp; Wagner, D. (2017). Local Community Detection Based on Small Cliques. </w:t>
      </w:r>
      <w:proofErr w:type="spellStart"/>
      <w:r w:rsidRPr="00457A1D">
        <w:rPr>
          <w:i/>
          <w:iCs/>
          <w:lang w:val="de-DE"/>
        </w:rPr>
        <w:t>Algorithms</w:t>
      </w:r>
      <w:proofErr w:type="spellEnd"/>
      <w:r w:rsidRPr="00457A1D">
        <w:rPr>
          <w:lang w:val="de-DE"/>
        </w:rPr>
        <w:t xml:space="preserve">, </w:t>
      </w:r>
      <w:r w:rsidRPr="00457A1D">
        <w:rPr>
          <w:i/>
          <w:iCs/>
          <w:lang w:val="de-DE"/>
        </w:rPr>
        <w:t>10</w:t>
      </w:r>
      <w:r w:rsidRPr="00457A1D">
        <w:rPr>
          <w:lang w:val="de-DE"/>
        </w:rPr>
        <w:t xml:space="preserve">(3), </w:t>
      </w:r>
      <w:proofErr w:type="spellStart"/>
      <w:r w:rsidRPr="00457A1D">
        <w:rPr>
          <w:lang w:val="de-DE"/>
        </w:rPr>
        <w:t>Article</w:t>
      </w:r>
      <w:proofErr w:type="spellEnd"/>
      <w:r w:rsidRPr="00457A1D">
        <w:rPr>
          <w:lang w:val="de-DE"/>
        </w:rPr>
        <w:t xml:space="preserve"> 3. https://doi.org/10.3390/a10030090</w:t>
      </w:r>
    </w:p>
    <w:p w14:paraId="6AEC9F71" w14:textId="77777777" w:rsidR="00A32AE8" w:rsidRPr="00A32AE8" w:rsidRDefault="00A32AE8" w:rsidP="00A32AE8">
      <w:pPr>
        <w:pStyle w:val="Literaturverzeichnis"/>
      </w:pPr>
      <w:r w:rsidRPr="00457A1D">
        <w:rPr>
          <w:lang w:val="de-DE"/>
        </w:rPr>
        <w:t xml:space="preserve">Havemann, F., Gläser, J., &amp; Heinz, M. (2017). </w:t>
      </w:r>
      <w:r w:rsidRPr="00A32AE8">
        <w:t xml:space="preserve">Memetic search for overlapping topics based on a local evaluation of link communities. </w:t>
      </w:r>
      <w:proofErr w:type="spellStart"/>
      <w:r w:rsidRPr="00A32AE8">
        <w:rPr>
          <w:i/>
          <w:iCs/>
        </w:rPr>
        <w:t>Scientometrics</w:t>
      </w:r>
      <w:proofErr w:type="spellEnd"/>
      <w:r w:rsidRPr="00A32AE8">
        <w:t xml:space="preserve">, </w:t>
      </w:r>
      <w:r w:rsidRPr="00A32AE8">
        <w:rPr>
          <w:i/>
          <w:iCs/>
        </w:rPr>
        <w:t>111</w:t>
      </w:r>
      <w:r w:rsidRPr="00A32AE8">
        <w:t>(2), 1089–1118. https://doi.org/10.1007/s11192-017-2302-5</w:t>
      </w:r>
    </w:p>
    <w:p w14:paraId="12ADA332" w14:textId="77777777" w:rsidR="00A32AE8" w:rsidRPr="00A32AE8" w:rsidRDefault="00A32AE8" w:rsidP="00A32AE8">
      <w:pPr>
        <w:pStyle w:val="Literaturverzeichnis"/>
      </w:pPr>
      <w:r w:rsidRPr="00A32AE8">
        <w:t xml:space="preserve">Held, M. (2022). Know thy tools! Limits of popular algorithms used for topic reconstruction. </w:t>
      </w:r>
      <w:r w:rsidRPr="00A32AE8">
        <w:rPr>
          <w:i/>
          <w:iCs/>
        </w:rPr>
        <w:t>Quantitative Science Studies</w:t>
      </w:r>
      <w:r w:rsidRPr="00A32AE8">
        <w:t xml:space="preserve">, </w:t>
      </w:r>
      <w:r w:rsidRPr="00A32AE8">
        <w:rPr>
          <w:i/>
          <w:iCs/>
        </w:rPr>
        <w:t>3</w:t>
      </w:r>
      <w:r w:rsidRPr="00A32AE8">
        <w:t>(4), 1054–1078. https://doi.org/10.1162/qss_a_00217</w:t>
      </w:r>
    </w:p>
    <w:p w14:paraId="2A5A736E" w14:textId="77777777" w:rsidR="00A32AE8" w:rsidRPr="00A32AE8" w:rsidRDefault="00A32AE8" w:rsidP="00A32AE8">
      <w:pPr>
        <w:pStyle w:val="Literaturverzeichnis"/>
      </w:pPr>
      <w:r w:rsidRPr="00A32AE8">
        <w:t xml:space="preserve">Held, M., </w:t>
      </w:r>
      <w:proofErr w:type="spellStart"/>
      <w:r w:rsidRPr="00A32AE8">
        <w:t>Laudel</w:t>
      </w:r>
      <w:proofErr w:type="spellEnd"/>
      <w:r w:rsidRPr="00A32AE8">
        <w:t xml:space="preserve">, G., &amp; </w:t>
      </w:r>
      <w:proofErr w:type="spellStart"/>
      <w:r w:rsidRPr="00A32AE8">
        <w:t>Gläser</w:t>
      </w:r>
      <w:proofErr w:type="spellEnd"/>
      <w:r w:rsidRPr="00A32AE8">
        <w:t xml:space="preserve">, J. (2021). Challenges to the validity of topic reconstruction. </w:t>
      </w:r>
      <w:proofErr w:type="spellStart"/>
      <w:r w:rsidRPr="00A32AE8">
        <w:rPr>
          <w:i/>
          <w:iCs/>
        </w:rPr>
        <w:t>Scientometrics</w:t>
      </w:r>
      <w:proofErr w:type="spellEnd"/>
      <w:r w:rsidRPr="00A32AE8">
        <w:t xml:space="preserve">, </w:t>
      </w:r>
      <w:r w:rsidRPr="00A32AE8">
        <w:rPr>
          <w:i/>
          <w:iCs/>
        </w:rPr>
        <w:t>126</w:t>
      </w:r>
      <w:r w:rsidRPr="00A32AE8">
        <w:t>(5), 4511–4536. https://doi.org/10.1007/s11192-021-03920-3</w:t>
      </w:r>
    </w:p>
    <w:p w14:paraId="6B0B1AA0" w14:textId="77777777" w:rsidR="00A32AE8" w:rsidRPr="00A32AE8" w:rsidRDefault="00A32AE8" w:rsidP="00A32AE8">
      <w:pPr>
        <w:pStyle w:val="Literaturverzeichnis"/>
      </w:pPr>
      <w:r w:rsidRPr="00A32AE8">
        <w:t xml:space="preserve">Huang, J., Sun, H., Liu, Y., Song, Q., &amp; </w:t>
      </w:r>
      <w:proofErr w:type="spellStart"/>
      <w:r w:rsidRPr="00A32AE8">
        <w:t>Weninger</w:t>
      </w:r>
      <w:proofErr w:type="spellEnd"/>
      <w:r w:rsidRPr="00A32AE8">
        <w:t xml:space="preserve">, T. (2011). Towards Online Multiresolution Community Detection in Large-Scale Networks. </w:t>
      </w:r>
      <w:proofErr w:type="spellStart"/>
      <w:r w:rsidRPr="00A32AE8">
        <w:rPr>
          <w:i/>
          <w:iCs/>
        </w:rPr>
        <w:t>PLoS</w:t>
      </w:r>
      <w:proofErr w:type="spellEnd"/>
      <w:r w:rsidRPr="00A32AE8">
        <w:rPr>
          <w:i/>
          <w:iCs/>
        </w:rPr>
        <w:t xml:space="preserve"> ONE</w:t>
      </w:r>
      <w:r w:rsidRPr="00A32AE8">
        <w:t xml:space="preserve">, </w:t>
      </w:r>
      <w:r w:rsidRPr="00A32AE8">
        <w:rPr>
          <w:i/>
          <w:iCs/>
        </w:rPr>
        <w:t>6</w:t>
      </w:r>
      <w:r w:rsidRPr="00A32AE8">
        <w:t>(8), e23829. https://doi.org/10.1371/journal.pone.0023829</w:t>
      </w:r>
    </w:p>
    <w:p w14:paraId="240959E6" w14:textId="10A3DDBE" w:rsidR="00A32AE8" w:rsidRPr="00A32AE8" w:rsidRDefault="00A32AE8" w:rsidP="00A32AE8">
      <w:pPr>
        <w:pStyle w:val="Literaturverzeichnis"/>
      </w:pPr>
      <w:r w:rsidRPr="00A32AE8">
        <w:t>Kuhn, T. (</w:t>
      </w:r>
      <w:r w:rsidR="005C1DF2">
        <w:t>1970 [</w:t>
      </w:r>
      <w:r w:rsidRPr="00A32AE8">
        <w:t>1962</w:t>
      </w:r>
      <w:r w:rsidR="005C1DF2">
        <w:t>]</w:t>
      </w:r>
      <w:r w:rsidRPr="00A32AE8">
        <w:t xml:space="preserve">). </w:t>
      </w:r>
      <w:r w:rsidRPr="00A32AE8">
        <w:rPr>
          <w:i/>
          <w:iCs/>
        </w:rPr>
        <w:t>The Structure of Scientific Revolutions</w:t>
      </w:r>
      <w:r w:rsidRPr="00A32AE8">
        <w:t>. The University of Chicago Press.</w:t>
      </w:r>
    </w:p>
    <w:p w14:paraId="15CA8414" w14:textId="77777777" w:rsidR="00A32AE8" w:rsidRPr="00A32AE8" w:rsidRDefault="00A32AE8" w:rsidP="00A32AE8">
      <w:pPr>
        <w:pStyle w:val="Literaturverzeichnis"/>
      </w:pPr>
      <w:r w:rsidRPr="00A32AE8">
        <w:t xml:space="preserve">Whitley, R. (2000). </w:t>
      </w:r>
      <w:r w:rsidRPr="00A32AE8">
        <w:rPr>
          <w:i/>
          <w:iCs/>
        </w:rPr>
        <w:t>The Intellectual and Social Organization of the Sciences</w:t>
      </w:r>
      <w:r w:rsidRPr="00A32AE8">
        <w:t>. Clarendon Press.</w:t>
      </w:r>
    </w:p>
    <w:p w14:paraId="4B70389F" w14:textId="42AE88B7" w:rsidR="00B868DF" w:rsidRPr="00457A1D" w:rsidRDefault="00B868DF" w:rsidP="00B868DF">
      <w:pPr>
        <w:jc w:val="both"/>
        <w:rPr>
          <w:b/>
          <w:bCs/>
        </w:rPr>
      </w:pPr>
    </w:p>
    <w:sectPr w:rsidR="00B868DF" w:rsidRPr="00457A1D" w:rsidSect="00E33403">
      <w:footerReference w:type="first" r:id="rId14"/>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9BD3" w14:textId="77777777" w:rsidR="003E04E9" w:rsidRDefault="003E04E9">
      <w:r>
        <w:separator/>
      </w:r>
    </w:p>
  </w:endnote>
  <w:endnote w:type="continuationSeparator" w:id="0">
    <w:p w14:paraId="05CAB4E1" w14:textId="77777777" w:rsidR="003E04E9" w:rsidRDefault="003E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w:charset w:val="00"/>
    <w:family w:val="auto"/>
    <w:pitch w:val="variable"/>
  </w:font>
  <w:font w:name="Lohit Devanaga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860740"/>
      <w:docPartObj>
        <w:docPartGallery w:val="Page Numbers (Bottom of Page)"/>
        <w:docPartUnique/>
      </w:docPartObj>
    </w:sdtPr>
    <w:sdtContent>
      <w:p w14:paraId="55B200BF" w14:textId="7E651361" w:rsidR="00E5613E" w:rsidRDefault="00E5613E">
        <w:pPr>
          <w:pStyle w:val="Fuzeile"/>
          <w:jc w:val="right"/>
        </w:pPr>
        <w:r>
          <w:fldChar w:fldCharType="begin"/>
        </w:r>
        <w:r>
          <w:instrText>PAGE   \* MERGEFORMAT</w:instrText>
        </w:r>
        <w:r>
          <w:fldChar w:fldCharType="separate"/>
        </w:r>
        <w:r>
          <w:rPr>
            <w:lang w:val="de-DE"/>
          </w:rPr>
          <w:t>2</w:t>
        </w:r>
        <w:r>
          <w:fldChar w:fldCharType="end"/>
        </w:r>
      </w:p>
    </w:sdtContent>
  </w:sdt>
  <w:p w14:paraId="40DAE817" w14:textId="77777777" w:rsidR="00E5613E" w:rsidRDefault="00E561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D8D0" w14:textId="77777777" w:rsidR="003E04E9" w:rsidRDefault="003E04E9">
      <w:r>
        <w:separator/>
      </w:r>
    </w:p>
  </w:footnote>
  <w:footnote w:type="continuationSeparator" w:id="0">
    <w:p w14:paraId="01E52459" w14:textId="77777777" w:rsidR="003E04E9" w:rsidRDefault="003E04E9">
      <w:r>
        <w:continuationSeparator/>
      </w:r>
    </w:p>
  </w:footnote>
  <w:footnote w:id="1">
    <w:p w14:paraId="35C10E3F" w14:textId="0A78EFC1" w:rsidR="00447BB2" w:rsidRPr="00447BB2" w:rsidRDefault="00447BB2">
      <w:pPr>
        <w:pStyle w:val="Funotentext"/>
      </w:pPr>
      <w:r>
        <w:rPr>
          <w:rStyle w:val="Funotenzeichen"/>
        </w:rPr>
        <w:footnoteRef/>
      </w:r>
      <w:r>
        <w:t xml:space="preserve"> </w:t>
      </w:r>
      <w:r w:rsidR="0091028A">
        <w:t>A change in t</w:t>
      </w:r>
      <w:r>
        <w:t>he order of the three steps (e.g. BC → DCin → DCout, or DCin → BC → DCout)</w:t>
      </w:r>
      <w:r w:rsidR="0091028A">
        <w:t xml:space="preserve"> does not result in different subgraphs.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3059099">
    <w:abstractNumId w:val="1"/>
  </w:num>
  <w:num w:numId="2" w16cid:durableId="1290286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ochen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tsrxr2ifrr02eztxhx90s6sezp22xt9vd0&quot;&gt;Litgj-Converted for 9_3&lt;record-ids&gt;&lt;item&gt;435&lt;/item&gt;&lt;item&gt;2942&lt;/item&gt;&lt;item&gt;8796&lt;/item&gt;&lt;item&gt;8798&lt;/item&gt;&lt;item&gt;9432&lt;/item&gt;&lt;item&gt;9591&lt;/item&gt;&lt;item&gt;9771&lt;/item&gt;&lt;/record-ids&gt;&lt;/item&gt;&lt;/Libraries&gt;"/>
  </w:docVars>
  <w:rsids>
    <w:rsidRoot w:val="004E56AC"/>
    <w:rsid w:val="0000194C"/>
    <w:rsid w:val="000044BB"/>
    <w:rsid w:val="0000519E"/>
    <w:rsid w:val="000064E5"/>
    <w:rsid w:val="00015A7B"/>
    <w:rsid w:val="00016081"/>
    <w:rsid w:val="00017221"/>
    <w:rsid w:val="000224AE"/>
    <w:rsid w:val="00022F49"/>
    <w:rsid w:val="000325EC"/>
    <w:rsid w:val="00032C46"/>
    <w:rsid w:val="00037E2C"/>
    <w:rsid w:val="000452CC"/>
    <w:rsid w:val="000478D3"/>
    <w:rsid w:val="00052E3A"/>
    <w:rsid w:val="0005460D"/>
    <w:rsid w:val="0006020D"/>
    <w:rsid w:val="0006488B"/>
    <w:rsid w:val="00065B74"/>
    <w:rsid w:val="000668C2"/>
    <w:rsid w:val="00066FBE"/>
    <w:rsid w:val="00067DA8"/>
    <w:rsid w:val="00076278"/>
    <w:rsid w:val="00077816"/>
    <w:rsid w:val="00081D4D"/>
    <w:rsid w:val="00084514"/>
    <w:rsid w:val="00093707"/>
    <w:rsid w:val="00093969"/>
    <w:rsid w:val="00094E04"/>
    <w:rsid w:val="000A0333"/>
    <w:rsid w:val="000A2344"/>
    <w:rsid w:val="000A4A9F"/>
    <w:rsid w:val="000A7342"/>
    <w:rsid w:val="000A7AAC"/>
    <w:rsid w:val="000B257D"/>
    <w:rsid w:val="000B323A"/>
    <w:rsid w:val="000B5126"/>
    <w:rsid w:val="000C0E34"/>
    <w:rsid w:val="000C1967"/>
    <w:rsid w:val="000C25AF"/>
    <w:rsid w:val="000C4F31"/>
    <w:rsid w:val="000C629F"/>
    <w:rsid w:val="000C7803"/>
    <w:rsid w:val="000D460F"/>
    <w:rsid w:val="000E2D2E"/>
    <w:rsid w:val="000F6691"/>
    <w:rsid w:val="001048BB"/>
    <w:rsid w:val="00105061"/>
    <w:rsid w:val="00105A1D"/>
    <w:rsid w:val="0011155C"/>
    <w:rsid w:val="001138CA"/>
    <w:rsid w:val="00123DDC"/>
    <w:rsid w:val="001340BE"/>
    <w:rsid w:val="00134540"/>
    <w:rsid w:val="00134EB3"/>
    <w:rsid w:val="001353A9"/>
    <w:rsid w:val="00136DA4"/>
    <w:rsid w:val="001402B3"/>
    <w:rsid w:val="0014533C"/>
    <w:rsid w:val="00154A21"/>
    <w:rsid w:val="00157749"/>
    <w:rsid w:val="00161230"/>
    <w:rsid w:val="0016682B"/>
    <w:rsid w:val="00173EAD"/>
    <w:rsid w:val="00175488"/>
    <w:rsid w:val="001807BC"/>
    <w:rsid w:val="001844A7"/>
    <w:rsid w:val="00186CF6"/>
    <w:rsid w:val="0019247A"/>
    <w:rsid w:val="0019658D"/>
    <w:rsid w:val="001A0699"/>
    <w:rsid w:val="001A6431"/>
    <w:rsid w:val="001B1386"/>
    <w:rsid w:val="001B3954"/>
    <w:rsid w:val="001B5218"/>
    <w:rsid w:val="001D12B5"/>
    <w:rsid w:val="001D7CC8"/>
    <w:rsid w:val="001E338C"/>
    <w:rsid w:val="001E568F"/>
    <w:rsid w:val="001F332D"/>
    <w:rsid w:val="001F6505"/>
    <w:rsid w:val="001F7644"/>
    <w:rsid w:val="0020033E"/>
    <w:rsid w:val="00202745"/>
    <w:rsid w:val="002127DC"/>
    <w:rsid w:val="0021668F"/>
    <w:rsid w:val="0022290C"/>
    <w:rsid w:val="00227BEB"/>
    <w:rsid w:val="002327FD"/>
    <w:rsid w:val="00232DE4"/>
    <w:rsid w:val="002352A6"/>
    <w:rsid w:val="0024258C"/>
    <w:rsid w:val="0025439F"/>
    <w:rsid w:val="002570BB"/>
    <w:rsid w:val="00260147"/>
    <w:rsid w:val="0026482B"/>
    <w:rsid w:val="00264F48"/>
    <w:rsid w:val="00276CC7"/>
    <w:rsid w:val="0028410F"/>
    <w:rsid w:val="002903B4"/>
    <w:rsid w:val="0029109C"/>
    <w:rsid w:val="00291BD4"/>
    <w:rsid w:val="0029211E"/>
    <w:rsid w:val="00293971"/>
    <w:rsid w:val="00293DA3"/>
    <w:rsid w:val="002943CA"/>
    <w:rsid w:val="002945B4"/>
    <w:rsid w:val="00295101"/>
    <w:rsid w:val="002A0EE6"/>
    <w:rsid w:val="002A35C6"/>
    <w:rsid w:val="002A55CE"/>
    <w:rsid w:val="002A7DF9"/>
    <w:rsid w:val="002B1950"/>
    <w:rsid w:val="002B497C"/>
    <w:rsid w:val="002C0FA2"/>
    <w:rsid w:val="002C342A"/>
    <w:rsid w:val="002D1B17"/>
    <w:rsid w:val="002D33F7"/>
    <w:rsid w:val="002D3BE4"/>
    <w:rsid w:val="002D49FF"/>
    <w:rsid w:val="002D5C40"/>
    <w:rsid w:val="002D710E"/>
    <w:rsid w:val="002E7904"/>
    <w:rsid w:val="002F243C"/>
    <w:rsid w:val="003103A8"/>
    <w:rsid w:val="00310C0B"/>
    <w:rsid w:val="0031202E"/>
    <w:rsid w:val="003124AD"/>
    <w:rsid w:val="003127D0"/>
    <w:rsid w:val="00313151"/>
    <w:rsid w:val="0031526A"/>
    <w:rsid w:val="00315452"/>
    <w:rsid w:val="00320C5D"/>
    <w:rsid w:val="00325568"/>
    <w:rsid w:val="00336A49"/>
    <w:rsid w:val="0034393A"/>
    <w:rsid w:val="00343FDD"/>
    <w:rsid w:val="00345E92"/>
    <w:rsid w:val="00346A57"/>
    <w:rsid w:val="00351AF2"/>
    <w:rsid w:val="0035307C"/>
    <w:rsid w:val="003530AB"/>
    <w:rsid w:val="00357105"/>
    <w:rsid w:val="00370126"/>
    <w:rsid w:val="00371ACD"/>
    <w:rsid w:val="003764EA"/>
    <w:rsid w:val="00383A87"/>
    <w:rsid w:val="003864DB"/>
    <w:rsid w:val="00387850"/>
    <w:rsid w:val="00390253"/>
    <w:rsid w:val="003960AE"/>
    <w:rsid w:val="003A0BD0"/>
    <w:rsid w:val="003A4571"/>
    <w:rsid w:val="003B01C8"/>
    <w:rsid w:val="003B6383"/>
    <w:rsid w:val="003C1A68"/>
    <w:rsid w:val="003C2920"/>
    <w:rsid w:val="003C30AF"/>
    <w:rsid w:val="003C3610"/>
    <w:rsid w:val="003C4345"/>
    <w:rsid w:val="003C5313"/>
    <w:rsid w:val="003C6EF5"/>
    <w:rsid w:val="003C6F2A"/>
    <w:rsid w:val="003C76AF"/>
    <w:rsid w:val="003D1C80"/>
    <w:rsid w:val="003D2F79"/>
    <w:rsid w:val="003D5885"/>
    <w:rsid w:val="003E04E9"/>
    <w:rsid w:val="003F0AFC"/>
    <w:rsid w:val="004016F8"/>
    <w:rsid w:val="00402C81"/>
    <w:rsid w:val="004057FC"/>
    <w:rsid w:val="00410913"/>
    <w:rsid w:val="00412C44"/>
    <w:rsid w:val="00420106"/>
    <w:rsid w:val="00425140"/>
    <w:rsid w:val="00426485"/>
    <w:rsid w:val="00430FC6"/>
    <w:rsid w:val="004325B3"/>
    <w:rsid w:val="0044073E"/>
    <w:rsid w:val="00445337"/>
    <w:rsid w:val="00445A23"/>
    <w:rsid w:val="00447BB2"/>
    <w:rsid w:val="00451AA5"/>
    <w:rsid w:val="0045290B"/>
    <w:rsid w:val="0045560F"/>
    <w:rsid w:val="00457A1D"/>
    <w:rsid w:val="00460F53"/>
    <w:rsid w:val="0046783C"/>
    <w:rsid w:val="004725C8"/>
    <w:rsid w:val="00475931"/>
    <w:rsid w:val="0048187E"/>
    <w:rsid w:val="0048427D"/>
    <w:rsid w:val="004971AB"/>
    <w:rsid w:val="004B5DF6"/>
    <w:rsid w:val="004C0BF9"/>
    <w:rsid w:val="004C222D"/>
    <w:rsid w:val="004C59DC"/>
    <w:rsid w:val="004D4532"/>
    <w:rsid w:val="004E203C"/>
    <w:rsid w:val="004E212B"/>
    <w:rsid w:val="004E4DDB"/>
    <w:rsid w:val="004E56AC"/>
    <w:rsid w:val="004E5906"/>
    <w:rsid w:val="004F45B1"/>
    <w:rsid w:val="00505D58"/>
    <w:rsid w:val="005110DD"/>
    <w:rsid w:val="005148EC"/>
    <w:rsid w:val="005170CD"/>
    <w:rsid w:val="005172F9"/>
    <w:rsid w:val="00517FCF"/>
    <w:rsid w:val="00522BF8"/>
    <w:rsid w:val="0053603D"/>
    <w:rsid w:val="00536E6C"/>
    <w:rsid w:val="0054026B"/>
    <w:rsid w:val="00542798"/>
    <w:rsid w:val="005434E4"/>
    <w:rsid w:val="0054666D"/>
    <w:rsid w:val="0055398F"/>
    <w:rsid w:val="00554E8F"/>
    <w:rsid w:val="0055614B"/>
    <w:rsid w:val="00561625"/>
    <w:rsid w:val="00561828"/>
    <w:rsid w:val="0056712B"/>
    <w:rsid w:val="00570E3F"/>
    <w:rsid w:val="00572E3E"/>
    <w:rsid w:val="005736CB"/>
    <w:rsid w:val="0057717C"/>
    <w:rsid w:val="00581CB0"/>
    <w:rsid w:val="0058320F"/>
    <w:rsid w:val="00584D55"/>
    <w:rsid w:val="0058753E"/>
    <w:rsid w:val="00595181"/>
    <w:rsid w:val="00595AC4"/>
    <w:rsid w:val="00596F60"/>
    <w:rsid w:val="005A1BF2"/>
    <w:rsid w:val="005A3215"/>
    <w:rsid w:val="005B3511"/>
    <w:rsid w:val="005C1DF2"/>
    <w:rsid w:val="005C6A9C"/>
    <w:rsid w:val="005D0D05"/>
    <w:rsid w:val="005E3CE0"/>
    <w:rsid w:val="005E54D5"/>
    <w:rsid w:val="005F078F"/>
    <w:rsid w:val="00606575"/>
    <w:rsid w:val="006111DB"/>
    <w:rsid w:val="00612E94"/>
    <w:rsid w:val="00614DA2"/>
    <w:rsid w:val="00614ED0"/>
    <w:rsid w:val="00626807"/>
    <w:rsid w:val="00631A7C"/>
    <w:rsid w:val="0063363B"/>
    <w:rsid w:val="00646060"/>
    <w:rsid w:val="00646543"/>
    <w:rsid w:val="00647A0B"/>
    <w:rsid w:val="006510F8"/>
    <w:rsid w:val="006513C3"/>
    <w:rsid w:val="0065151C"/>
    <w:rsid w:val="00657E9B"/>
    <w:rsid w:val="006609A8"/>
    <w:rsid w:val="00660E12"/>
    <w:rsid w:val="0066157A"/>
    <w:rsid w:val="00662AF1"/>
    <w:rsid w:val="00663AC3"/>
    <w:rsid w:val="0066589B"/>
    <w:rsid w:val="00670E16"/>
    <w:rsid w:val="00672548"/>
    <w:rsid w:val="00673BAD"/>
    <w:rsid w:val="006758A2"/>
    <w:rsid w:val="00676FE3"/>
    <w:rsid w:val="00680EC1"/>
    <w:rsid w:val="00681AAA"/>
    <w:rsid w:val="006846F2"/>
    <w:rsid w:val="00684B8B"/>
    <w:rsid w:val="0068567E"/>
    <w:rsid w:val="00685B6B"/>
    <w:rsid w:val="006905A1"/>
    <w:rsid w:val="0069114B"/>
    <w:rsid w:val="006A3370"/>
    <w:rsid w:val="006A51DC"/>
    <w:rsid w:val="006B2A70"/>
    <w:rsid w:val="006C028C"/>
    <w:rsid w:val="006C1756"/>
    <w:rsid w:val="006C40B1"/>
    <w:rsid w:val="006C77D7"/>
    <w:rsid w:val="006D03F6"/>
    <w:rsid w:val="006D105E"/>
    <w:rsid w:val="006D14F4"/>
    <w:rsid w:val="006E3104"/>
    <w:rsid w:val="006E3FD1"/>
    <w:rsid w:val="006E516E"/>
    <w:rsid w:val="006E7E5A"/>
    <w:rsid w:val="006F0630"/>
    <w:rsid w:val="006F487B"/>
    <w:rsid w:val="00703BCB"/>
    <w:rsid w:val="007042BB"/>
    <w:rsid w:val="007053E7"/>
    <w:rsid w:val="00706132"/>
    <w:rsid w:val="007155F7"/>
    <w:rsid w:val="00715DE9"/>
    <w:rsid w:val="007228AC"/>
    <w:rsid w:val="007264CB"/>
    <w:rsid w:val="0073347A"/>
    <w:rsid w:val="00737C87"/>
    <w:rsid w:val="0074177C"/>
    <w:rsid w:val="007473AA"/>
    <w:rsid w:val="00752EDF"/>
    <w:rsid w:val="0076008A"/>
    <w:rsid w:val="007625EF"/>
    <w:rsid w:val="00762864"/>
    <w:rsid w:val="0076540D"/>
    <w:rsid w:val="0076587B"/>
    <w:rsid w:val="0077796D"/>
    <w:rsid w:val="00780EC7"/>
    <w:rsid w:val="0078754B"/>
    <w:rsid w:val="00795F95"/>
    <w:rsid w:val="0079604F"/>
    <w:rsid w:val="007A42E7"/>
    <w:rsid w:val="007A59E1"/>
    <w:rsid w:val="007A61A0"/>
    <w:rsid w:val="007B3B73"/>
    <w:rsid w:val="007C28DE"/>
    <w:rsid w:val="007C30D8"/>
    <w:rsid w:val="007C435E"/>
    <w:rsid w:val="007C68F2"/>
    <w:rsid w:val="007D25E7"/>
    <w:rsid w:val="007D2A59"/>
    <w:rsid w:val="007E1157"/>
    <w:rsid w:val="007E2172"/>
    <w:rsid w:val="007E24E0"/>
    <w:rsid w:val="007E46D2"/>
    <w:rsid w:val="007E4C95"/>
    <w:rsid w:val="007F3363"/>
    <w:rsid w:val="007F3BBB"/>
    <w:rsid w:val="007F3C64"/>
    <w:rsid w:val="007F57FB"/>
    <w:rsid w:val="00800369"/>
    <w:rsid w:val="00800FF8"/>
    <w:rsid w:val="00810FA5"/>
    <w:rsid w:val="00813E5C"/>
    <w:rsid w:val="0081573E"/>
    <w:rsid w:val="008168F4"/>
    <w:rsid w:val="00823132"/>
    <w:rsid w:val="00823AF0"/>
    <w:rsid w:val="00835B6B"/>
    <w:rsid w:val="00843D9D"/>
    <w:rsid w:val="00852334"/>
    <w:rsid w:val="0085249C"/>
    <w:rsid w:val="00860952"/>
    <w:rsid w:val="008618F8"/>
    <w:rsid w:val="0086291D"/>
    <w:rsid w:val="00870B16"/>
    <w:rsid w:val="00870DDB"/>
    <w:rsid w:val="00874371"/>
    <w:rsid w:val="00890D84"/>
    <w:rsid w:val="00891B26"/>
    <w:rsid w:val="00895BEF"/>
    <w:rsid w:val="008A3915"/>
    <w:rsid w:val="008B4331"/>
    <w:rsid w:val="008B5218"/>
    <w:rsid w:val="008C0C47"/>
    <w:rsid w:val="008C2573"/>
    <w:rsid w:val="008C420A"/>
    <w:rsid w:val="008C52D4"/>
    <w:rsid w:val="008D24BE"/>
    <w:rsid w:val="008D49E0"/>
    <w:rsid w:val="008D4C77"/>
    <w:rsid w:val="008D6177"/>
    <w:rsid w:val="008E1D69"/>
    <w:rsid w:val="008E2A89"/>
    <w:rsid w:val="008E3F52"/>
    <w:rsid w:val="008E5795"/>
    <w:rsid w:val="008E6E34"/>
    <w:rsid w:val="008F1E72"/>
    <w:rsid w:val="008F2C66"/>
    <w:rsid w:val="008F5210"/>
    <w:rsid w:val="008F6633"/>
    <w:rsid w:val="008F781A"/>
    <w:rsid w:val="008F783D"/>
    <w:rsid w:val="0091028A"/>
    <w:rsid w:val="00912A2F"/>
    <w:rsid w:val="00915294"/>
    <w:rsid w:val="00917784"/>
    <w:rsid w:val="009177E0"/>
    <w:rsid w:val="00927ECF"/>
    <w:rsid w:val="009302E1"/>
    <w:rsid w:val="00930AB7"/>
    <w:rsid w:val="0093532C"/>
    <w:rsid w:val="009446EC"/>
    <w:rsid w:val="009501DD"/>
    <w:rsid w:val="0095024D"/>
    <w:rsid w:val="00953BA1"/>
    <w:rsid w:val="00953C87"/>
    <w:rsid w:val="00957BDE"/>
    <w:rsid w:val="00962921"/>
    <w:rsid w:val="00962CFE"/>
    <w:rsid w:val="009651DC"/>
    <w:rsid w:val="009737E3"/>
    <w:rsid w:val="00976528"/>
    <w:rsid w:val="00990AE3"/>
    <w:rsid w:val="00994680"/>
    <w:rsid w:val="00995414"/>
    <w:rsid w:val="009960AB"/>
    <w:rsid w:val="009A1E7B"/>
    <w:rsid w:val="009A2B9E"/>
    <w:rsid w:val="009A2E9E"/>
    <w:rsid w:val="009B161C"/>
    <w:rsid w:val="009B56E7"/>
    <w:rsid w:val="009C6805"/>
    <w:rsid w:val="009D026B"/>
    <w:rsid w:val="009D66E5"/>
    <w:rsid w:val="009D6CEB"/>
    <w:rsid w:val="009E23BF"/>
    <w:rsid w:val="009E51A5"/>
    <w:rsid w:val="009F2359"/>
    <w:rsid w:val="00A06C3E"/>
    <w:rsid w:val="00A118D9"/>
    <w:rsid w:val="00A12F0F"/>
    <w:rsid w:val="00A22A39"/>
    <w:rsid w:val="00A22AC2"/>
    <w:rsid w:val="00A32AE8"/>
    <w:rsid w:val="00A40DD3"/>
    <w:rsid w:val="00A4362D"/>
    <w:rsid w:val="00A522CC"/>
    <w:rsid w:val="00A705EF"/>
    <w:rsid w:val="00A7153C"/>
    <w:rsid w:val="00A71714"/>
    <w:rsid w:val="00A81955"/>
    <w:rsid w:val="00A82C70"/>
    <w:rsid w:val="00A85C41"/>
    <w:rsid w:val="00A91364"/>
    <w:rsid w:val="00A93798"/>
    <w:rsid w:val="00A9603D"/>
    <w:rsid w:val="00A96B02"/>
    <w:rsid w:val="00A979AC"/>
    <w:rsid w:val="00AA1481"/>
    <w:rsid w:val="00AB2736"/>
    <w:rsid w:val="00AC140C"/>
    <w:rsid w:val="00AD2309"/>
    <w:rsid w:val="00AD3532"/>
    <w:rsid w:val="00AD53B6"/>
    <w:rsid w:val="00AD6D2D"/>
    <w:rsid w:val="00AD7FBE"/>
    <w:rsid w:val="00AE3EDD"/>
    <w:rsid w:val="00AE7776"/>
    <w:rsid w:val="00AF2859"/>
    <w:rsid w:val="00AF4F04"/>
    <w:rsid w:val="00AF508F"/>
    <w:rsid w:val="00B0591A"/>
    <w:rsid w:val="00B06CDE"/>
    <w:rsid w:val="00B07869"/>
    <w:rsid w:val="00B16715"/>
    <w:rsid w:val="00B16E8E"/>
    <w:rsid w:val="00B223C2"/>
    <w:rsid w:val="00B33EBC"/>
    <w:rsid w:val="00B35DB9"/>
    <w:rsid w:val="00B417A6"/>
    <w:rsid w:val="00B42E85"/>
    <w:rsid w:val="00B521F9"/>
    <w:rsid w:val="00B5494B"/>
    <w:rsid w:val="00B5776F"/>
    <w:rsid w:val="00B63611"/>
    <w:rsid w:val="00B63DFC"/>
    <w:rsid w:val="00B6762F"/>
    <w:rsid w:val="00B70AFD"/>
    <w:rsid w:val="00B71AD5"/>
    <w:rsid w:val="00B73A76"/>
    <w:rsid w:val="00B73A77"/>
    <w:rsid w:val="00B77BC8"/>
    <w:rsid w:val="00B849DF"/>
    <w:rsid w:val="00B868DF"/>
    <w:rsid w:val="00B90235"/>
    <w:rsid w:val="00B91428"/>
    <w:rsid w:val="00BA4144"/>
    <w:rsid w:val="00BA59EF"/>
    <w:rsid w:val="00BA68EE"/>
    <w:rsid w:val="00BA6F1A"/>
    <w:rsid w:val="00BA7FAF"/>
    <w:rsid w:val="00BB2E42"/>
    <w:rsid w:val="00BB79D3"/>
    <w:rsid w:val="00BC2363"/>
    <w:rsid w:val="00BC2C58"/>
    <w:rsid w:val="00BC331C"/>
    <w:rsid w:val="00BD2165"/>
    <w:rsid w:val="00BD2667"/>
    <w:rsid w:val="00BD43CF"/>
    <w:rsid w:val="00BF77A0"/>
    <w:rsid w:val="00C0000D"/>
    <w:rsid w:val="00C06D28"/>
    <w:rsid w:val="00C101A6"/>
    <w:rsid w:val="00C10EE5"/>
    <w:rsid w:val="00C12208"/>
    <w:rsid w:val="00C213E6"/>
    <w:rsid w:val="00C225DB"/>
    <w:rsid w:val="00C3437E"/>
    <w:rsid w:val="00C437DD"/>
    <w:rsid w:val="00C47FD3"/>
    <w:rsid w:val="00C5634F"/>
    <w:rsid w:val="00C625F7"/>
    <w:rsid w:val="00C6489E"/>
    <w:rsid w:val="00C727E8"/>
    <w:rsid w:val="00C76479"/>
    <w:rsid w:val="00C765BD"/>
    <w:rsid w:val="00C86E38"/>
    <w:rsid w:val="00C90B76"/>
    <w:rsid w:val="00CA1357"/>
    <w:rsid w:val="00CA37F0"/>
    <w:rsid w:val="00CA5CA5"/>
    <w:rsid w:val="00CA76C7"/>
    <w:rsid w:val="00CB0C61"/>
    <w:rsid w:val="00CB15AC"/>
    <w:rsid w:val="00CB6152"/>
    <w:rsid w:val="00CB676D"/>
    <w:rsid w:val="00CB7BCF"/>
    <w:rsid w:val="00CC28DE"/>
    <w:rsid w:val="00CD0BE2"/>
    <w:rsid w:val="00CD1267"/>
    <w:rsid w:val="00CE3C45"/>
    <w:rsid w:val="00CE70E2"/>
    <w:rsid w:val="00CF44BA"/>
    <w:rsid w:val="00CF51E1"/>
    <w:rsid w:val="00D0057C"/>
    <w:rsid w:val="00D00AAB"/>
    <w:rsid w:val="00D02002"/>
    <w:rsid w:val="00D03AD4"/>
    <w:rsid w:val="00D132FE"/>
    <w:rsid w:val="00D16BC6"/>
    <w:rsid w:val="00D21277"/>
    <w:rsid w:val="00D269CF"/>
    <w:rsid w:val="00D314CF"/>
    <w:rsid w:val="00D34688"/>
    <w:rsid w:val="00D40A4B"/>
    <w:rsid w:val="00D416E7"/>
    <w:rsid w:val="00D50395"/>
    <w:rsid w:val="00D527D9"/>
    <w:rsid w:val="00D54C10"/>
    <w:rsid w:val="00D54E25"/>
    <w:rsid w:val="00D5520D"/>
    <w:rsid w:val="00D65F13"/>
    <w:rsid w:val="00D71EC9"/>
    <w:rsid w:val="00D8197D"/>
    <w:rsid w:val="00D837D9"/>
    <w:rsid w:val="00D96150"/>
    <w:rsid w:val="00D96243"/>
    <w:rsid w:val="00D97E22"/>
    <w:rsid w:val="00DA4B92"/>
    <w:rsid w:val="00DB40B2"/>
    <w:rsid w:val="00DB6D63"/>
    <w:rsid w:val="00DC105B"/>
    <w:rsid w:val="00DC6FB5"/>
    <w:rsid w:val="00DD02D8"/>
    <w:rsid w:val="00DD048E"/>
    <w:rsid w:val="00DD516F"/>
    <w:rsid w:val="00DD55FD"/>
    <w:rsid w:val="00DE0E40"/>
    <w:rsid w:val="00DE0ED7"/>
    <w:rsid w:val="00DE24C4"/>
    <w:rsid w:val="00DE5BD2"/>
    <w:rsid w:val="00DF037E"/>
    <w:rsid w:val="00DF2DC3"/>
    <w:rsid w:val="00E0118A"/>
    <w:rsid w:val="00E03487"/>
    <w:rsid w:val="00E077DB"/>
    <w:rsid w:val="00E17306"/>
    <w:rsid w:val="00E32A1D"/>
    <w:rsid w:val="00E32E22"/>
    <w:rsid w:val="00E33403"/>
    <w:rsid w:val="00E34C97"/>
    <w:rsid w:val="00E3711C"/>
    <w:rsid w:val="00E37D8D"/>
    <w:rsid w:val="00E40D37"/>
    <w:rsid w:val="00E44280"/>
    <w:rsid w:val="00E473C1"/>
    <w:rsid w:val="00E501C4"/>
    <w:rsid w:val="00E50A3D"/>
    <w:rsid w:val="00E55FBC"/>
    <w:rsid w:val="00E5613E"/>
    <w:rsid w:val="00E61D0C"/>
    <w:rsid w:val="00E62124"/>
    <w:rsid w:val="00E71FD6"/>
    <w:rsid w:val="00E7703F"/>
    <w:rsid w:val="00E80B3F"/>
    <w:rsid w:val="00E813B9"/>
    <w:rsid w:val="00EA6D4C"/>
    <w:rsid w:val="00EA7E9B"/>
    <w:rsid w:val="00EB1044"/>
    <w:rsid w:val="00EB1190"/>
    <w:rsid w:val="00EB5C09"/>
    <w:rsid w:val="00EC04B8"/>
    <w:rsid w:val="00EC286B"/>
    <w:rsid w:val="00EC7804"/>
    <w:rsid w:val="00ED0DFC"/>
    <w:rsid w:val="00ED27EB"/>
    <w:rsid w:val="00EE1655"/>
    <w:rsid w:val="00EE4AC8"/>
    <w:rsid w:val="00EE791C"/>
    <w:rsid w:val="00EF0B5C"/>
    <w:rsid w:val="00EF2082"/>
    <w:rsid w:val="00EF3656"/>
    <w:rsid w:val="00F002C2"/>
    <w:rsid w:val="00F02B88"/>
    <w:rsid w:val="00F047FA"/>
    <w:rsid w:val="00F0578C"/>
    <w:rsid w:val="00F063E3"/>
    <w:rsid w:val="00F11FF9"/>
    <w:rsid w:val="00F12AAB"/>
    <w:rsid w:val="00F13510"/>
    <w:rsid w:val="00F15E72"/>
    <w:rsid w:val="00F233ED"/>
    <w:rsid w:val="00F25426"/>
    <w:rsid w:val="00F2758B"/>
    <w:rsid w:val="00F37D2C"/>
    <w:rsid w:val="00F463E0"/>
    <w:rsid w:val="00F51180"/>
    <w:rsid w:val="00F514CD"/>
    <w:rsid w:val="00F57BAC"/>
    <w:rsid w:val="00F709FF"/>
    <w:rsid w:val="00F729E0"/>
    <w:rsid w:val="00F73E7C"/>
    <w:rsid w:val="00F74276"/>
    <w:rsid w:val="00F752A3"/>
    <w:rsid w:val="00F764D8"/>
    <w:rsid w:val="00F77230"/>
    <w:rsid w:val="00F776E3"/>
    <w:rsid w:val="00F834E1"/>
    <w:rsid w:val="00F842D1"/>
    <w:rsid w:val="00F8756A"/>
    <w:rsid w:val="00F909B9"/>
    <w:rsid w:val="00F92089"/>
    <w:rsid w:val="00F9329F"/>
    <w:rsid w:val="00F95DA9"/>
    <w:rsid w:val="00FA412C"/>
    <w:rsid w:val="00FA4F33"/>
    <w:rsid w:val="00FB2E6C"/>
    <w:rsid w:val="00FB3391"/>
    <w:rsid w:val="00FC4862"/>
    <w:rsid w:val="00FC6051"/>
    <w:rsid w:val="00FD22EC"/>
    <w:rsid w:val="00FE52F4"/>
    <w:rsid w:val="00FE5CA9"/>
    <w:rsid w:val="00FE5E63"/>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GB" w:eastAsia="sv-SE"/>
    </w:rPr>
  </w:style>
  <w:style w:type="paragraph" w:styleId="berschrift1">
    <w:name w:val="heading 1"/>
    <w:basedOn w:val="Standard"/>
    <w:next w:val="Standard"/>
    <w:link w:val="berschrift1Zchn"/>
    <w:uiPriority w:val="99"/>
    <w:qFormat/>
    <w:pPr>
      <w:keepNext/>
      <w:outlineLvl w:val="0"/>
    </w:pPr>
    <w:rPr>
      <w:sz w:val="36"/>
      <w:szCs w:val="36"/>
    </w:rPr>
  </w:style>
  <w:style w:type="paragraph" w:styleId="berschrift2">
    <w:name w:val="heading 2"/>
    <w:basedOn w:val="Standard"/>
    <w:next w:val="Standard"/>
    <w:link w:val="berschrift2Zchn"/>
    <w:uiPriority w:val="99"/>
    <w:qFormat/>
    <w:pPr>
      <w:keepNext/>
      <w:outlineLvl w:val="1"/>
    </w:pPr>
    <w:rPr>
      <w:b/>
      <w:bCs/>
    </w:rPr>
  </w:style>
  <w:style w:type="paragraph" w:styleId="berschrift3">
    <w:name w:val="heading 3"/>
    <w:basedOn w:val="Standard"/>
    <w:next w:val="Standard"/>
    <w:link w:val="berschrift3Zchn"/>
    <w:uiPriority w:val="99"/>
    <w:qFormat/>
    <w:pPr>
      <w:keepNext/>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en-GB" w:eastAsia="sv-S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en-GB" w:eastAsia="sv-S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Standard"/>
    <w:uiPriority w:val="99"/>
    <w:pPr>
      <w:spacing w:after="80"/>
      <w:ind w:left="144" w:hanging="144"/>
      <w:jc w:val="both"/>
    </w:pPr>
    <w:rPr>
      <w:sz w:val="18"/>
      <w:szCs w:val="18"/>
      <w:lang w:val="en-US" w:eastAsia="en-US"/>
    </w:rPr>
  </w:style>
  <w:style w:type="paragraph" w:styleId="Textkrper2">
    <w:name w:val="Body Text 2"/>
    <w:basedOn w:val="Standard"/>
    <w:link w:val="Textkrper2Zchn"/>
    <w:uiPriority w:val="99"/>
    <w:pPr>
      <w:jc w:val="both"/>
    </w:pPr>
  </w:style>
  <w:style w:type="character" w:customStyle="1" w:styleId="Textkrper2Zchn">
    <w:name w:val="Textkörper 2 Zchn"/>
    <w:link w:val="Textkrper2"/>
    <w:uiPriority w:val="99"/>
    <w:semiHidden/>
    <w:locked/>
    <w:rPr>
      <w:rFonts w:cs="Times New Roman"/>
      <w:sz w:val="24"/>
      <w:szCs w:val="24"/>
      <w:lang w:val="en-GB" w:eastAsia="sv-SE"/>
    </w:rPr>
  </w:style>
  <w:style w:type="paragraph" w:styleId="Textkrper">
    <w:name w:val="Body Text"/>
    <w:basedOn w:val="Standard"/>
    <w:link w:val="TextkrperZchn"/>
    <w:uiPriority w:val="99"/>
    <w:rPr>
      <w:color w:val="0000FF"/>
    </w:rPr>
  </w:style>
  <w:style w:type="character" w:customStyle="1" w:styleId="TextkrperZchn">
    <w:name w:val="Textkörper Zchn"/>
    <w:link w:val="Textkrper"/>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unotentext">
    <w:name w:val="footnote text"/>
    <w:basedOn w:val="Standard"/>
    <w:link w:val="FunotentextZchn"/>
    <w:uiPriority w:val="99"/>
    <w:semiHidden/>
    <w:rsid w:val="000C1967"/>
    <w:rPr>
      <w:sz w:val="20"/>
      <w:szCs w:val="20"/>
    </w:rPr>
  </w:style>
  <w:style w:type="character" w:customStyle="1" w:styleId="FunotentextZchn">
    <w:name w:val="Fußnotentext Zchn"/>
    <w:link w:val="Funotentext"/>
    <w:uiPriority w:val="99"/>
    <w:semiHidden/>
    <w:locked/>
    <w:rPr>
      <w:rFonts w:cs="Times New Roman"/>
      <w:sz w:val="20"/>
      <w:szCs w:val="20"/>
      <w:lang w:val="en-GB" w:eastAsia="sv-SE"/>
    </w:rPr>
  </w:style>
  <w:style w:type="character" w:styleId="Funotenzeichen">
    <w:name w:val="footnote reference"/>
    <w:uiPriority w:val="99"/>
    <w:semiHidden/>
    <w:rsid w:val="000C1967"/>
    <w:rPr>
      <w:rFonts w:cs="Times New Roman"/>
      <w:vertAlign w:val="superscript"/>
    </w:rPr>
  </w:style>
  <w:style w:type="character" w:styleId="BesuchterLink">
    <w:name w:val="FollowedHyperlink"/>
    <w:uiPriority w:val="99"/>
    <w:semiHidden/>
    <w:unhideWhenUsed/>
    <w:rsid w:val="00AD53B6"/>
    <w:rPr>
      <w:rFonts w:cs="Times New Roman"/>
      <w:color w:val="800080"/>
      <w:u w:val="single"/>
    </w:rPr>
  </w:style>
  <w:style w:type="character" w:styleId="Kommentarzeichen">
    <w:name w:val="annotation reference"/>
    <w:uiPriority w:val="99"/>
    <w:semiHidden/>
    <w:unhideWhenUsed/>
    <w:rsid w:val="001402B3"/>
    <w:rPr>
      <w:rFonts w:cs="Times New Roman"/>
      <w:sz w:val="16"/>
      <w:szCs w:val="16"/>
    </w:rPr>
  </w:style>
  <w:style w:type="paragraph" w:styleId="Kommentartext">
    <w:name w:val="annotation text"/>
    <w:basedOn w:val="Standard"/>
    <w:link w:val="KommentartextZchn"/>
    <w:uiPriority w:val="99"/>
    <w:semiHidden/>
    <w:unhideWhenUsed/>
    <w:rsid w:val="001402B3"/>
    <w:rPr>
      <w:sz w:val="20"/>
      <w:szCs w:val="20"/>
    </w:rPr>
  </w:style>
  <w:style w:type="character" w:customStyle="1" w:styleId="KommentartextZchn">
    <w:name w:val="Kommentartext Zchn"/>
    <w:link w:val="Kommentartext"/>
    <w:uiPriority w:val="99"/>
    <w:semiHidden/>
    <w:locked/>
    <w:rsid w:val="001402B3"/>
    <w:rPr>
      <w:rFonts w:cs="Times New Roman"/>
      <w:sz w:val="20"/>
      <w:szCs w:val="20"/>
      <w:lang w:val="en-GB" w:eastAsia="sv-SE"/>
    </w:rPr>
  </w:style>
  <w:style w:type="paragraph" w:styleId="Kommentarthema">
    <w:name w:val="annotation subject"/>
    <w:basedOn w:val="Kommentartext"/>
    <w:next w:val="Kommentartext"/>
    <w:link w:val="KommentarthemaZchn"/>
    <w:uiPriority w:val="99"/>
    <w:semiHidden/>
    <w:unhideWhenUsed/>
    <w:rsid w:val="001402B3"/>
    <w:rPr>
      <w:b/>
      <w:bCs/>
    </w:rPr>
  </w:style>
  <w:style w:type="character" w:customStyle="1" w:styleId="KommentarthemaZchn">
    <w:name w:val="Kommentarthema Zchn"/>
    <w:link w:val="Kommentarthema"/>
    <w:uiPriority w:val="99"/>
    <w:semiHidden/>
    <w:locked/>
    <w:rsid w:val="001402B3"/>
    <w:rPr>
      <w:rFonts w:cs="Times New Roman"/>
      <w:b/>
      <w:bCs/>
      <w:sz w:val="20"/>
      <w:szCs w:val="20"/>
      <w:lang w:val="en-GB" w:eastAsia="sv-SE"/>
    </w:rPr>
  </w:style>
  <w:style w:type="paragraph" w:styleId="Sprechblasentext">
    <w:name w:val="Balloon Text"/>
    <w:basedOn w:val="Standard"/>
    <w:link w:val="SprechblasentextZchn"/>
    <w:uiPriority w:val="99"/>
    <w:semiHidden/>
    <w:unhideWhenUsed/>
    <w:rsid w:val="001402B3"/>
    <w:rPr>
      <w:rFonts w:ascii="Tahoma" w:hAnsi="Tahoma" w:cs="Tahoma"/>
      <w:sz w:val="16"/>
      <w:szCs w:val="16"/>
    </w:rPr>
  </w:style>
  <w:style w:type="character" w:customStyle="1" w:styleId="SprechblasentextZchn">
    <w:name w:val="Sprechblasentext Zchn"/>
    <w:link w:val="Sprechblasentext"/>
    <w:uiPriority w:val="99"/>
    <w:semiHidden/>
    <w:locked/>
    <w:rsid w:val="001402B3"/>
    <w:rPr>
      <w:rFonts w:ascii="Tahoma" w:hAnsi="Tahoma" w:cs="Tahoma"/>
      <w:sz w:val="16"/>
      <w:szCs w:val="16"/>
      <w:lang w:val="en-GB" w:eastAsia="sv-SE"/>
    </w:rPr>
  </w:style>
  <w:style w:type="paragraph" w:styleId="Kopfzeile">
    <w:name w:val="header"/>
    <w:basedOn w:val="Standard"/>
    <w:link w:val="KopfzeileZchn"/>
    <w:uiPriority w:val="99"/>
    <w:unhideWhenUsed/>
    <w:rsid w:val="00B73A77"/>
    <w:pPr>
      <w:tabs>
        <w:tab w:val="center" w:pos="4536"/>
        <w:tab w:val="right" w:pos="9072"/>
      </w:tabs>
    </w:pPr>
  </w:style>
  <w:style w:type="character" w:customStyle="1" w:styleId="KopfzeileZchn">
    <w:name w:val="Kopfzeile Zchn"/>
    <w:link w:val="Kopfzeile"/>
    <w:uiPriority w:val="99"/>
    <w:rsid w:val="00B73A77"/>
    <w:rPr>
      <w:sz w:val="24"/>
      <w:szCs w:val="24"/>
      <w:lang w:val="en-GB" w:eastAsia="sv-SE"/>
    </w:rPr>
  </w:style>
  <w:style w:type="paragraph" w:styleId="Fuzeile">
    <w:name w:val="footer"/>
    <w:basedOn w:val="Standard"/>
    <w:link w:val="FuzeileZchn"/>
    <w:uiPriority w:val="99"/>
    <w:unhideWhenUsed/>
    <w:rsid w:val="00B73A77"/>
    <w:pPr>
      <w:tabs>
        <w:tab w:val="center" w:pos="4536"/>
        <w:tab w:val="right" w:pos="9072"/>
      </w:tabs>
    </w:pPr>
  </w:style>
  <w:style w:type="character" w:customStyle="1" w:styleId="FuzeileZchn">
    <w:name w:val="Fußzeile Zchn"/>
    <w:link w:val="Fuzeile"/>
    <w:uiPriority w:val="99"/>
    <w:rsid w:val="00B73A77"/>
    <w:rPr>
      <w:sz w:val="24"/>
      <w:szCs w:val="24"/>
      <w:lang w:val="en-GB" w:eastAsia="sv-SE"/>
    </w:rPr>
  </w:style>
  <w:style w:type="character" w:styleId="NichtaufgelsteErwhnung">
    <w:name w:val="Unresolved Mention"/>
    <w:uiPriority w:val="99"/>
    <w:semiHidden/>
    <w:unhideWhenUsed/>
    <w:rsid w:val="00813E5C"/>
    <w:rPr>
      <w:color w:val="605E5C"/>
      <w:shd w:val="clear" w:color="auto" w:fill="E1DFDD"/>
    </w:rPr>
  </w:style>
  <w:style w:type="paragraph" w:customStyle="1" w:styleId="TableContents">
    <w:name w:val="Table Contents"/>
    <w:basedOn w:val="Standard"/>
    <w:rsid w:val="0081573E"/>
    <w:pPr>
      <w:suppressLineNumbers/>
      <w:suppressAutoHyphens/>
      <w:autoSpaceDN w:val="0"/>
      <w:textAlignment w:val="baseline"/>
    </w:pPr>
    <w:rPr>
      <w:rFonts w:ascii="Liberation Serif" w:eastAsia="Noto Sans CJK SC" w:hAnsi="Liberation Serif" w:cs="Lohit Devanagari"/>
      <w:kern w:val="3"/>
      <w:lang w:val="en-US" w:eastAsia="zh-CN" w:bidi="hi-IN"/>
    </w:rPr>
  </w:style>
  <w:style w:type="paragraph" w:styleId="berarbeitung">
    <w:name w:val="Revision"/>
    <w:hidden/>
    <w:uiPriority w:val="99"/>
    <w:semiHidden/>
    <w:rsid w:val="0025439F"/>
    <w:rPr>
      <w:sz w:val="24"/>
      <w:szCs w:val="24"/>
      <w:lang w:val="en-GB" w:eastAsia="sv-SE"/>
    </w:rPr>
  </w:style>
  <w:style w:type="paragraph" w:customStyle="1" w:styleId="EndNoteBibliographyTitle">
    <w:name w:val="EndNote Bibliography Title"/>
    <w:basedOn w:val="Standard"/>
    <w:link w:val="EndNoteBibliographyTitleZchn"/>
    <w:rsid w:val="009177E0"/>
    <w:pPr>
      <w:jc w:val="center"/>
    </w:pPr>
    <w:rPr>
      <w:noProof/>
      <w:lang w:val="sv-SE"/>
    </w:rPr>
  </w:style>
  <w:style w:type="character" w:customStyle="1" w:styleId="EndNoteBibliographyTitleZchn">
    <w:name w:val="EndNote Bibliography Title Zchn"/>
    <w:basedOn w:val="Absatz-Standardschriftart"/>
    <w:link w:val="EndNoteBibliographyTitle"/>
    <w:rsid w:val="009177E0"/>
    <w:rPr>
      <w:noProof/>
      <w:sz w:val="24"/>
      <w:szCs w:val="24"/>
      <w:lang w:val="sv-SE" w:eastAsia="sv-SE"/>
    </w:rPr>
  </w:style>
  <w:style w:type="paragraph" w:customStyle="1" w:styleId="EndNoteBibliography">
    <w:name w:val="EndNote Bibliography"/>
    <w:basedOn w:val="Standard"/>
    <w:link w:val="EndNoteBibliographyZchn"/>
    <w:rsid w:val="009177E0"/>
    <w:pPr>
      <w:jc w:val="both"/>
    </w:pPr>
    <w:rPr>
      <w:noProof/>
      <w:lang w:val="sv-SE"/>
    </w:rPr>
  </w:style>
  <w:style w:type="character" w:customStyle="1" w:styleId="EndNoteBibliographyZchn">
    <w:name w:val="EndNote Bibliography Zchn"/>
    <w:basedOn w:val="Absatz-Standardschriftart"/>
    <w:link w:val="EndNoteBibliography"/>
    <w:rsid w:val="009177E0"/>
    <w:rPr>
      <w:noProof/>
      <w:sz w:val="24"/>
      <w:szCs w:val="24"/>
      <w:lang w:val="sv-SE" w:eastAsia="sv-SE"/>
    </w:rPr>
  </w:style>
  <w:style w:type="table" w:styleId="Tabellenraster">
    <w:name w:val="Table Grid"/>
    <w:basedOn w:val="NormaleTabelle"/>
    <w:uiPriority w:val="59"/>
    <w:rsid w:val="00D97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teraturverzeichnis">
    <w:name w:val="Bibliography"/>
    <w:basedOn w:val="Standard"/>
    <w:next w:val="Standard"/>
    <w:uiPriority w:val="37"/>
    <w:unhideWhenUsed/>
    <w:rsid w:val="00AE3ED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734864">
      <w:bodyDiv w:val="1"/>
      <w:marLeft w:val="0"/>
      <w:marRight w:val="0"/>
      <w:marTop w:val="0"/>
      <w:marBottom w:val="0"/>
      <w:divBdr>
        <w:top w:val="none" w:sz="0" w:space="0" w:color="auto"/>
        <w:left w:val="none" w:sz="0" w:space="0" w:color="auto"/>
        <w:bottom w:val="none" w:sz="0" w:space="0" w:color="auto"/>
        <w:right w:val="none" w:sz="0" w:space="0" w:color="auto"/>
      </w:divBdr>
      <w:divsChild>
        <w:div w:id="653068055">
          <w:marLeft w:val="0"/>
          <w:marRight w:val="0"/>
          <w:marTop w:val="0"/>
          <w:marBottom w:val="0"/>
          <w:divBdr>
            <w:top w:val="none" w:sz="0" w:space="0" w:color="auto"/>
            <w:left w:val="none" w:sz="0" w:space="0" w:color="auto"/>
            <w:bottom w:val="none" w:sz="0" w:space="0" w:color="auto"/>
            <w:right w:val="none" w:sz="0" w:space="0" w:color="auto"/>
          </w:divBdr>
        </w:div>
      </w:divsChild>
    </w:div>
    <w:div w:id="740566545">
      <w:bodyDiv w:val="1"/>
      <w:marLeft w:val="0"/>
      <w:marRight w:val="0"/>
      <w:marTop w:val="0"/>
      <w:marBottom w:val="0"/>
      <w:divBdr>
        <w:top w:val="none" w:sz="0" w:space="0" w:color="auto"/>
        <w:left w:val="none" w:sz="0" w:space="0" w:color="auto"/>
        <w:bottom w:val="none" w:sz="0" w:space="0" w:color="auto"/>
        <w:right w:val="none" w:sz="0" w:space="0" w:color="auto"/>
      </w:divBdr>
      <w:divsChild>
        <w:div w:id="1921526568">
          <w:marLeft w:val="0"/>
          <w:marRight w:val="0"/>
          <w:marTop w:val="0"/>
          <w:marBottom w:val="0"/>
          <w:divBdr>
            <w:top w:val="none" w:sz="0" w:space="0" w:color="auto"/>
            <w:left w:val="none" w:sz="0" w:space="0" w:color="auto"/>
            <w:bottom w:val="none" w:sz="0" w:space="0" w:color="auto"/>
            <w:right w:val="none" w:sz="0" w:space="0" w:color="auto"/>
          </w:divBdr>
        </w:div>
      </w:divsChild>
    </w:div>
    <w:div w:id="852451261">
      <w:bodyDiv w:val="1"/>
      <w:marLeft w:val="0"/>
      <w:marRight w:val="0"/>
      <w:marTop w:val="0"/>
      <w:marBottom w:val="0"/>
      <w:divBdr>
        <w:top w:val="none" w:sz="0" w:space="0" w:color="auto"/>
        <w:left w:val="none" w:sz="0" w:space="0" w:color="auto"/>
        <w:bottom w:val="none" w:sz="0" w:space="0" w:color="auto"/>
        <w:right w:val="none" w:sz="0" w:space="0" w:color="auto"/>
      </w:divBdr>
      <w:divsChild>
        <w:div w:id="999237609">
          <w:marLeft w:val="0"/>
          <w:marRight w:val="0"/>
          <w:marTop w:val="0"/>
          <w:marBottom w:val="0"/>
          <w:divBdr>
            <w:top w:val="none" w:sz="0" w:space="0" w:color="auto"/>
            <w:left w:val="none" w:sz="0" w:space="0" w:color="auto"/>
            <w:bottom w:val="none" w:sz="0" w:space="0" w:color="auto"/>
            <w:right w:val="none" w:sz="0" w:space="0" w:color="auto"/>
          </w:divBdr>
        </w:div>
      </w:divsChild>
    </w:div>
    <w:div w:id="1748921861">
      <w:bodyDiv w:val="1"/>
      <w:marLeft w:val="0"/>
      <w:marRight w:val="0"/>
      <w:marTop w:val="0"/>
      <w:marBottom w:val="0"/>
      <w:divBdr>
        <w:top w:val="none" w:sz="0" w:space="0" w:color="auto"/>
        <w:left w:val="none" w:sz="0" w:space="0" w:color="auto"/>
        <w:bottom w:val="none" w:sz="0" w:space="0" w:color="auto"/>
        <w:right w:val="none" w:sz="0" w:space="0" w:color="auto"/>
      </w:divBdr>
      <w:divsChild>
        <w:div w:id="1891307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C28A0C284E14CAB0F35F7407C529C" ma:contentTypeVersion="4" ma:contentTypeDescription="Create a new document." ma:contentTypeScope="" ma:versionID="3d644cc98ccfc1fe201f09343c2d9f3b">
  <xsd:schema xmlns:xsd="http://www.w3.org/2001/XMLSchema" xmlns:xs="http://www.w3.org/2001/XMLSchema" xmlns:p="http://schemas.microsoft.com/office/2006/metadata/properties" xmlns:ns2="13d39c59-4ee0-43e8-aaee-69a2639e1392" xmlns:ns3="3d2b0075-3574-4d93-af78-f174e69b1c14" targetNamespace="http://schemas.microsoft.com/office/2006/metadata/properties" ma:root="true" ma:fieldsID="a056a2c2337713622c687c4a44406344" ns2:_="" ns3:_="">
    <xsd:import namespace="13d39c59-4ee0-43e8-aaee-69a2639e1392"/>
    <xsd:import namespace="3d2b0075-3574-4d93-af78-f174e69b1c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39c59-4ee0-43e8-aaee-69a2639e1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b0075-3574-4d93-af78-f174e69b1c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2617D-7A0A-4E71-A216-0E565E8B0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39c59-4ee0-43e8-aaee-69a2639e1392"/>
    <ds:schemaRef ds:uri="3d2b0075-3574-4d93-af78-f174e69b1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EBBF0-2D9C-4CCA-8B69-209518D58577}">
  <ds:schemaRefs>
    <ds:schemaRef ds:uri="http://schemas.openxmlformats.org/officeDocument/2006/bibliography"/>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0</TotalTime>
  <Pages>8</Pages>
  <Words>2808</Words>
  <Characters>17696</Characters>
  <Application>Microsoft Office Word</Application>
  <DocSecurity>0</DocSecurity>
  <Lines>147</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20464</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SOS-Admin</dc:creator>
  <cp:keywords/>
  <cp:lastModifiedBy>Jochen</cp:lastModifiedBy>
  <cp:revision>2</cp:revision>
  <cp:lastPrinted>2023-07-10T14:53:00Z</cp:lastPrinted>
  <dcterms:created xsi:type="dcterms:W3CDTF">2023-07-10T15:05:00Z</dcterms:created>
  <dcterms:modified xsi:type="dcterms:W3CDTF">2023-07-10T15:05:00Z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zotero-version="6.0.25"&gt;&lt;session id="IOT9Pc5S"/&gt;&lt;style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