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0210E" w14:textId="6A88EAA1" w:rsidR="00FB65FD" w:rsidRDefault="00703B2E" w:rsidP="00542798">
      <w:pPr>
        <w:jc w:val="center"/>
        <w:rPr>
          <w:sz w:val="36"/>
          <w:szCs w:val="36"/>
        </w:rPr>
      </w:pPr>
      <w:r>
        <w:rPr>
          <w:sz w:val="36"/>
          <w:szCs w:val="36"/>
        </w:rPr>
        <w:t>D</w:t>
      </w:r>
      <w:r w:rsidR="00FB65FD" w:rsidRPr="00FB65FD">
        <w:rPr>
          <w:sz w:val="36"/>
          <w:szCs w:val="36"/>
        </w:rPr>
        <w:t xml:space="preserve">o original tweets and retweets differ in indicating research impact across various subject areas in multidisciplinary papers published in </w:t>
      </w:r>
      <w:proofErr w:type="spellStart"/>
      <w:r w:rsidR="00FB65FD" w:rsidRPr="00FB65FD">
        <w:rPr>
          <w:sz w:val="36"/>
          <w:szCs w:val="36"/>
        </w:rPr>
        <w:t>PLoS</w:t>
      </w:r>
      <w:proofErr w:type="spellEnd"/>
      <w:r w:rsidR="00FB65FD" w:rsidRPr="00FB65FD">
        <w:rPr>
          <w:sz w:val="36"/>
          <w:szCs w:val="36"/>
        </w:rPr>
        <w:t>?</w:t>
      </w:r>
    </w:p>
    <w:p w14:paraId="49EED032" w14:textId="73590CE2" w:rsidR="00AD6D2D" w:rsidRPr="00AD6D2D" w:rsidRDefault="008154B9" w:rsidP="00542798">
      <w:pPr>
        <w:jc w:val="center"/>
      </w:pPr>
      <w:r>
        <w:t>Ashraf Maleki</w:t>
      </w:r>
      <w:r w:rsidR="00AD6D2D" w:rsidRPr="00AD6D2D">
        <w:rPr>
          <w:vertAlign w:val="superscript"/>
        </w:rPr>
        <w:t>*</w:t>
      </w:r>
      <w:r w:rsidR="00AD6D2D" w:rsidRPr="00AD6D2D">
        <w:t xml:space="preserve"> and </w:t>
      </w:r>
      <w:r>
        <w:t>Kim Holmberg</w:t>
      </w:r>
      <w:r w:rsidR="00AD6D2D" w:rsidRPr="00AD6D2D">
        <w:rPr>
          <w:vertAlign w:val="superscript"/>
        </w:rPr>
        <w:t>**</w:t>
      </w:r>
    </w:p>
    <w:p w14:paraId="69B5EBE6" w14:textId="77777777" w:rsidR="00AD6D2D" w:rsidRPr="00AD6D2D" w:rsidRDefault="00AD6D2D" w:rsidP="00542798">
      <w:pPr>
        <w:jc w:val="center"/>
        <w:rPr>
          <w:sz w:val="20"/>
          <w:szCs w:val="20"/>
        </w:rPr>
      </w:pPr>
    </w:p>
    <w:p w14:paraId="0327B950" w14:textId="2FD15079" w:rsidR="00AD6D2D" w:rsidRPr="00AD6D2D" w:rsidRDefault="00AD6D2D" w:rsidP="00542798">
      <w:pPr>
        <w:jc w:val="center"/>
        <w:rPr>
          <w:sz w:val="20"/>
          <w:szCs w:val="20"/>
        </w:rPr>
      </w:pPr>
      <w:r w:rsidRPr="00AD6D2D">
        <w:rPr>
          <w:sz w:val="20"/>
          <w:szCs w:val="20"/>
          <w:vertAlign w:val="superscript"/>
        </w:rPr>
        <w:t>*</w:t>
      </w:r>
      <w:r w:rsidR="008154B9" w:rsidRPr="008154B9">
        <w:rPr>
          <w:i/>
          <w:iCs/>
          <w:sz w:val="20"/>
          <w:szCs w:val="20"/>
        </w:rPr>
        <w:t>ashraf.maleki@utu.fi</w:t>
      </w:r>
    </w:p>
    <w:bookmarkStart w:id="0" w:name="_Hlk132380856"/>
    <w:p w14:paraId="21C23CF9" w14:textId="4E2018EF" w:rsidR="008154B9" w:rsidRDefault="008154B9" w:rsidP="00542798">
      <w:pPr>
        <w:jc w:val="center"/>
        <w:rPr>
          <w:sz w:val="20"/>
          <w:szCs w:val="20"/>
        </w:rPr>
      </w:pPr>
      <w:r>
        <w:rPr>
          <w:sz w:val="20"/>
          <w:szCs w:val="20"/>
        </w:rPr>
        <w:fldChar w:fldCharType="begin"/>
      </w:r>
      <w:r>
        <w:rPr>
          <w:sz w:val="20"/>
          <w:szCs w:val="20"/>
        </w:rPr>
        <w:instrText xml:space="preserve"> HYPERLINK "</w:instrText>
      </w:r>
      <w:r w:rsidRPr="008154B9">
        <w:rPr>
          <w:sz w:val="20"/>
          <w:szCs w:val="20"/>
        </w:rPr>
        <w:instrText>https://orcid.org/0000-0002-8223-4833</w:instrText>
      </w:r>
      <w:r>
        <w:rPr>
          <w:sz w:val="20"/>
          <w:szCs w:val="20"/>
        </w:rPr>
        <w:instrText xml:space="preserve">" </w:instrText>
      </w:r>
      <w:r>
        <w:rPr>
          <w:sz w:val="20"/>
          <w:szCs w:val="20"/>
        </w:rPr>
        <w:fldChar w:fldCharType="separate"/>
      </w:r>
      <w:r w:rsidRPr="00A91777">
        <w:rPr>
          <w:rStyle w:val="Hyperlink"/>
          <w:sz w:val="20"/>
          <w:szCs w:val="20"/>
        </w:rPr>
        <w:t>https://orcid.org/0000-0002-8223-4833</w:t>
      </w:r>
      <w:r>
        <w:rPr>
          <w:sz w:val="20"/>
          <w:szCs w:val="20"/>
        </w:rPr>
        <w:fldChar w:fldCharType="end"/>
      </w:r>
    </w:p>
    <w:p w14:paraId="744ED62A" w14:textId="54CEEF61" w:rsidR="00AD6D2D" w:rsidRPr="00AD6D2D" w:rsidRDefault="00AD6D2D" w:rsidP="00542798">
      <w:pPr>
        <w:jc w:val="center"/>
        <w:rPr>
          <w:sz w:val="20"/>
          <w:szCs w:val="20"/>
        </w:rPr>
      </w:pPr>
      <w:r w:rsidRPr="00AD6D2D">
        <w:rPr>
          <w:sz w:val="20"/>
          <w:szCs w:val="20"/>
        </w:rPr>
        <w:t>Department</w:t>
      </w:r>
      <w:r w:rsidR="008154B9">
        <w:rPr>
          <w:sz w:val="20"/>
          <w:szCs w:val="20"/>
        </w:rPr>
        <w:t xml:space="preserve"> of Social Research</w:t>
      </w:r>
      <w:r w:rsidRPr="00AD6D2D">
        <w:rPr>
          <w:sz w:val="20"/>
          <w:szCs w:val="20"/>
        </w:rPr>
        <w:t xml:space="preserve">, </w:t>
      </w:r>
      <w:r w:rsidR="008154B9">
        <w:rPr>
          <w:sz w:val="20"/>
          <w:szCs w:val="20"/>
        </w:rPr>
        <w:t>University of Turku</w:t>
      </w:r>
      <w:r w:rsidRPr="00AD6D2D">
        <w:rPr>
          <w:sz w:val="20"/>
          <w:szCs w:val="20"/>
        </w:rPr>
        <w:t xml:space="preserve">, </w:t>
      </w:r>
      <w:r w:rsidR="008154B9">
        <w:rPr>
          <w:sz w:val="20"/>
          <w:szCs w:val="20"/>
        </w:rPr>
        <w:t>Finland</w:t>
      </w:r>
    </w:p>
    <w:bookmarkEnd w:id="0"/>
    <w:p w14:paraId="0F7AF4B5" w14:textId="77777777" w:rsidR="00AD6D2D" w:rsidRPr="00AD6D2D" w:rsidRDefault="00AD6D2D" w:rsidP="00542798">
      <w:pPr>
        <w:jc w:val="center"/>
        <w:rPr>
          <w:sz w:val="20"/>
          <w:szCs w:val="20"/>
        </w:rPr>
      </w:pPr>
    </w:p>
    <w:p w14:paraId="7B0A8982" w14:textId="128241DB" w:rsidR="00AD6D2D" w:rsidRPr="00AD6D2D" w:rsidRDefault="00AD6D2D" w:rsidP="00542798">
      <w:pPr>
        <w:jc w:val="center"/>
        <w:rPr>
          <w:sz w:val="20"/>
          <w:szCs w:val="20"/>
        </w:rPr>
      </w:pPr>
      <w:r w:rsidRPr="00AD6D2D">
        <w:rPr>
          <w:sz w:val="20"/>
          <w:szCs w:val="20"/>
          <w:vertAlign w:val="superscript"/>
        </w:rPr>
        <w:t>**</w:t>
      </w:r>
      <w:r w:rsidRPr="00AD6D2D">
        <w:rPr>
          <w:i/>
          <w:iCs/>
          <w:sz w:val="20"/>
          <w:szCs w:val="20"/>
        </w:rPr>
        <w:t xml:space="preserve"> </w:t>
      </w:r>
      <w:r w:rsidR="008154B9" w:rsidRPr="008154B9">
        <w:rPr>
          <w:i/>
          <w:iCs/>
          <w:sz w:val="20"/>
          <w:szCs w:val="20"/>
        </w:rPr>
        <w:t>kim.j.holmberg@utu.fi</w:t>
      </w:r>
    </w:p>
    <w:p w14:paraId="30CF597C" w14:textId="3EE7BAD7" w:rsidR="00703B2E" w:rsidRDefault="007129C0" w:rsidP="00542798">
      <w:pPr>
        <w:jc w:val="center"/>
        <w:rPr>
          <w:sz w:val="20"/>
          <w:szCs w:val="20"/>
        </w:rPr>
      </w:pPr>
      <w:hyperlink r:id="rId10" w:history="1">
        <w:r w:rsidR="00703B2E" w:rsidRPr="00415928">
          <w:rPr>
            <w:rStyle w:val="Hyperlink"/>
            <w:sz w:val="20"/>
            <w:szCs w:val="20"/>
          </w:rPr>
          <w:t>https://orcid.org/0000-0002-4185-9298</w:t>
        </w:r>
      </w:hyperlink>
      <w:r w:rsidR="00703B2E">
        <w:rPr>
          <w:sz w:val="20"/>
          <w:szCs w:val="20"/>
        </w:rPr>
        <w:t xml:space="preserve"> </w:t>
      </w:r>
    </w:p>
    <w:p w14:paraId="18EAD8F9" w14:textId="598A7C4C" w:rsidR="008168F4" w:rsidRPr="00D96243" w:rsidRDefault="008154B9" w:rsidP="00542798">
      <w:pPr>
        <w:jc w:val="center"/>
      </w:pPr>
      <w:r w:rsidRPr="008154B9">
        <w:rPr>
          <w:sz w:val="20"/>
          <w:szCs w:val="20"/>
        </w:rPr>
        <w:t>Department of Social Research, University of Turku, Finland</w:t>
      </w:r>
    </w:p>
    <w:p w14:paraId="04927CB0" w14:textId="3FF61CA2" w:rsidR="008168F4" w:rsidRDefault="008168F4" w:rsidP="00542798">
      <w:pPr>
        <w:jc w:val="center"/>
      </w:pPr>
    </w:p>
    <w:p w14:paraId="5FB558FA" w14:textId="567DE105" w:rsidR="00CB15AC" w:rsidRPr="00CB15AC" w:rsidRDefault="00B37449" w:rsidP="00CB15AC">
      <w:pPr>
        <w:jc w:val="both"/>
        <w:rPr>
          <w:sz w:val="20"/>
          <w:szCs w:val="20"/>
        </w:rPr>
      </w:pPr>
      <w:r>
        <w:rPr>
          <w:sz w:val="20"/>
          <w:szCs w:val="20"/>
        </w:rPr>
        <w:t>Twitter</w:t>
      </w:r>
      <w:r w:rsidR="007D1C3F">
        <w:rPr>
          <w:sz w:val="20"/>
          <w:szCs w:val="20"/>
        </w:rPr>
        <w:t>.com (recently known as X)</w:t>
      </w:r>
      <w:r>
        <w:rPr>
          <w:sz w:val="20"/>
          <w:szCs w:val="20"/>
        </w:rPr>
        <w:t xml:space="preserve"> is a popular platform to discuss and share scientific articles. </w:t>
      </w:r>
      <w:r w:rsidR="007626FE" w:rsidRPr="007626FE">
        <w:rPr>
          <w:sz w:val="20"/>
          <w:szCs w:val="20"/>
        </w:rPr>
        <w:t xml:space="preserve">Earlier </w:t>
      </w:r>
      <w:proofErr w:type="spellStart"/>
      <w:r w:rsidR="007626FE" w:rsidRPr="007626FE">
        <w:rPr>
          <w:sz w:val="20"/>
          <w:szCs w:val="20"/>
        </w:rPr>
        <w:t>altmetrics</w:t>
      </w:r>
      <w:proofErr w:type="spellEnd"/>
      <w:r w:rsidR="007626FE" w:rsidRPr="007626FE">
        <w:rPr>
          <w:sz w:val="20"/>
          <w:szCs w:val="20"/>
        </w:rPr>
        <w:t xml:space="preserve"> studies have often focused on investigating whether the number of tweets mentioning scientific articles could be used as an indicator of scientific impact or attention, with results showing weak to moderate correlations with citation counts and some disciplinary differences. But all tweets may not be equal, as original tweets and retweets may reflect different levels of engagement and, with that, impact. This research </w:t>
      </w:r>
      <w:proofErr w:type="spellStart"/>
      <w:r w:rsidR="007626FE" w:rsidRPr="007626FE">
        <w:rPr>
          <w:sz w:val="20"/>
          <w:szCs w:val="20"/>
        </w:rPr>
        <w:t>analyzed</w:t>
      </w:r>
      <w:proofErr w:type="spellEnd"/>
      <w:r w:rsidR="007626FE" w:rsidRPr="007626FE">
        <w:rPr>
          <w:sz w:val="20"/>
          <w:szCs w:val="20"/>
        </w:rPr>
        <w:t xml:space="preserve"> whether the correlation between citations and original tweets differs from that between citations and retweets and whether there is any disciplinary difference between the two. For this purpose, the relationship between original tweets and retweets and Scopus citations was </w:t>
      </w:r>
      <w:proofErr w:type="spellStart"/>
      <w:r w:rsidR="007626FE" w:rsidRPr="007626FE">
        <w:rPr>
          <w:sz w:val="20"/>
          <w:szCs w:val="20"/>
        </w:rPr>
        <w:t>analyzed</w:t>
      </w:r>
      <w:proofErr w:type="spellEnd"/>
      <w:r w:rsidR="007626FE" w:rsidRPr="007626FE">
        <w:rPr>
          <w:sz w:val="20"/>
          <w:szCs w:val="20"/>
        </w:rPr>
        <w:t xml:space="preserve"> for a total of 330,022 </w:t>
      </w:r>
      <w:proofErr w:type="spellStart"/>
      <w:r w:rsidR="007626FE" w:rsidRPr="007626FE">
        <w:rPr>
          <w:sz w:val="20"/>
          <w:szCs w:val="20"/>
        </w:rPr>
        <w:t>PLoS</w:t>
      </w:r>
      <w:proofErr w:type="spellEnd"/>
      <w:r w:rsidR="007626FE" w:rsidRPr="007626FE">
        <w:rPr>
          <w:sz w:val="20"/>
          <w:szCs w:val="20"/>
        </w:rPr>
        <w:t xml:space="preserve"> publications and compared over time and across subject fields. The findings showed that the correlations were strongest between citations and original tweets, and the relationship was stronger in Social Science and Humanities subject fields than in Natural Science, Engineering and Medicine. The results showed that tweets and retweets are very different, and thus they should be considered two different metrics and </w:t>
      </w:r>
      <w:proofErr w:type="spellStart"/>
      <w:r w:rsidR="007626FE" w:rsidRPr="007626FE">
        <w:rPr>
          <w:sz w:val="20"/>
          <w:szCs w:val="20"/>
        </w:rPr>
        <w:t>analyzed</w:t>
      </w:r>
      <w:proofErr w:type="spellEnd"/>
      <w:r w:rsidR="007626FE" w:rsidRPr="007626FE">
        <w:rPr>
          <w:sz w:val="20"/>
          <w:szCs w:val="20"/>
        </w:rPr>
        <w:t xml:space="preserve"> separately.</w:t>
      </w:r>
    </w:p>
    <w:p w14:paraId="26F746EB" w14:textId="77777777" w:rsidR="00CB15AC" w:rsidRPr="00D96243" w:rsidRDefault="00CB15AC" w:rsidP="00CB15AC">
      <w:pPr>
        <w:jc w:val="both"/>
      </w:pPr>
    </w:p>
    <w:p w14:paraId="02C61035" w14:textId="77777777" w:rsidR="008168F4" w:rsidRPr="00D96243" w:rsidRDefault="000C25AF">
      <w:pPr>
        <w:pStyle w:val="Heading2"/>
        <w:jc w:val="both"/>
      </w:pPr>
      <w:r w:rsidRPr="00D96243">
        <w:t xml:space="preserve">1. </w:t>
      </w:r>
      <w:r w:rsidR="008168F4" w:rsidRPr="00D96243">
        <w:t>Introduction</w:t>
      </w:r>
    </w:p>
    <w:p w14:paraId="58D4814C" w14:textId="5F1F5461" w:rsidR="00E03487" w:rsidRPr="00703B2E" w:rsidRDefault="00091DB3">
      <w:pPr>
        <w:jc w:val="both"/>
        <w:rPr>
          <w:iCs/>
          <w:highlight w:val="lightGray"/>
          <w:lang w:val="en-US"/>
        </w:rPr>
      </w:pPr>
      <w:r w:rsidRPr="00091DB3">
        <w:rPr>
          <w:iCs/>
          <w:lang w:val="en-US"/>
        </w:rPr>
        <w:t xml:space="preserve">Twitter.com (recently known as X) </w:t>
      </w:r>
      <w:r w:rsidR="00703B2E" w:rsidRPr="00703B2E">
        <w:rPr>
          <w:iCs/>
          <w:lang w:val="en-US"/>
        </w:rPr>
        <w:t xml:space="preserve">is a popular social media platform where users (often called tweeters) can publish and share content to their network of followers. Through retweeting tweeters can easily disseminate content that someone else has originally published. While creating an original tweet can take a bit of effort, retweeting can easily be done just by clicking or tapping on a button, thus it seems fair to say that retweeting doesn’t require as much effort as tweeting does. Because of that we can also argue that retweeting signals less engagement than creating and publishing an original tweet does. In </w:t>
      </w:r>
      <w:proofErr w:type="spellStart"/>
      <w:r w:rsidR="00703B2E" w:rsidRPr="00703B2E">
        <w:rPr>
          <w:iCs/>
          <w:lang w:val="en-US"/>
        </w:rPr>
        <w:t>altmetrics</w:t>
      </w:r>
      <w:proofErr w:type="spellEnd"/>
      <w:r w:rsidR="00703B2E" w:rsidRPr="00703B2E">
        <w:rPr>
          <w:iCs/>
          <w:lang w:val="en-US"/>
        </w:rPr>
        <w:t xml:space="preserve">, i.e., the measuring of engagement or attention that scientific outputs have received online, Twitter is one of the main data sources, as there is significant activity around scientific articles on the platform (Costas et al., 2015; </w:t>
      </w:r>
      <w:proofErr w:type="spellStart"/>
      <w:r w:rsidR="00703B2E" w:rsidRPr="00703B2E">
        <w:rPr>
          <w:iCs/>
          <w:lang w:val="en-US"/>
        </w:rPr>
        <w:t>Haustein</w:t>
      </w:r>
      <w:proofErr w:type="spellEnd"/>
      <w:r w:rsidR="00703B2E" w:rsidRPr="00703B2E">
        <w:rPr>
          <w:iCs/>
          <w:lang w:val="en-US"/>
        </w:rPr>
        <w:t xml:space="preserve"> et al., 2015). Often in </w:t>
      </w:r>
      <w:proofErr w:type="spellStart"/>
      <w:r w:rsidR="00703B2E" w:rsidRPr="00703B2E">
        <w:rPr>
          <w:iCs/>
          <w:lang w:val="en-US"/>
        </w:rPr>
        <w:t>altmetrics</w:t>
      </w:r>
      <w:proofErr w:type="spellEnd"/>
      <w:r w:rsidR="00703B2E" w:rsidRPr="00703B2E">
        <w:rPr>
          <w:iCs/>
          <w:lang w:val="en-US"/>
        </w:rPr>
        <w:t xml:space="preserve"> research tweets and retweets are counted as one measure, without making any distinction between them. </w:t>
      </w:r>
      <w:bookmarkStart w:id="1" w:name="_Hlk143274949"/>
      <w:r w:rsidR="00703B2E" w:rsidRPr="00703B2E">
        <w:rPr>
          <w:iCs/>
          <w:lang w:val="en-US"/>
        </w:rPr>
        <w:t xml:space="preserve">We argue that because the two acts are fundamentally different, indicating different levels of engagement and possibly attention or impact, combining them in statistical analyses </w:t>
      </w:r>
      <w:r w:rsidR="00BE3BDB" w:rsidRPr="00BE3BDB">
        <w:rPr>
          <w:iCs/>
          <w:lang w:val="en-US"/>
        </w:rPr>
        <w:t xml:space="preserve">can potentially yield </w:t>
      </w:r>
      <w:r w:rsidR="007F24B4">
        <w:rPr>
          <w:iCs/>
          <w:lang w:val="en-US"/>
        </w:rPr>
        <w:t>different</w:t>
      </w:r>
      <w:r w:rsidR="00BE3BDB" w:rsidRPr="00BE3BDB">
        <w:rPr>
          <w:iCs/>
          <w:lang w:val="en-US"/>
        </w:rPr>
        <w:t xml:space="preserve"> outcomes</w:t>
      </w:r>
      <w:r w:rsidR="007F24B4">
        <w:rPr>
          <w:iCs/>
          <w:lang w:val="en-US"/>
        </w:rPr>
        <w:t xml:space="preserve"> than each separately</w:t>
      </w:r>
      <w:r w:rsidR="00703B2E" w:rsidRPr="00703B2E">
        <w:rPr>
          <w:iCs/>
          <w:lang w:val="en-US"/>
        </w:rPr>
        <w:t xml:space="preserve">. </w:t>
      </w:r>
      <w:bookmarkEnd w:id="1"/>
      <w:r w:rsidR="00703B2E" w:rsidRPr="00703B2E">
        <w:rPr>
          <w:iCs/>
          <w:lang w:val="en-US"/>
        </w:rPr>
        <w:t xml:space="preserve">The goal of this research is to investigate whether this is true, and whether original tweets and retweets should be analyzed separately in </w:t>
      </w:r>
      <w:proofErr w:type="spellStart"/>
      <w:r w:rsidR="00703B2E" w:rsidRPr="00703B2E">
        <w:rPr>
          <w:iCs/>
          <w:lang w:val="en-US"/>
        </w:rPr>
        <w:t>altmetric</w:t>
      </w:r>
      <w:proofErr w:type="spellEnd"/>
      <w:r w:rsidR="00703B2E" w:rsidRPr="00703B2E">
        <w:rPr>
          <w:iCs/>
          <w:lang w:val="en-US"/>
        </w:rPr>
        <w:t xml:space="preserve"> research.</w:t>
      </w:r>
    </w:p>
    <w:p w14:paraId="185BADE0" w14:textId="77777777" w:rsidR="00E778C5" w:rsidRDefault="00E778C5">
      <w:pPr>
        <w:jc w:val="both"/>
      </w:pPr>
    </w:p>
    <w:p w14:paraId="7974EF73" w14:textId="7872B7A7" w:rsidR="008168F4" w:rsidRDefault="000C25AF">
      <w:pPr>
        <w:pStyle w:val="Heading2"/>
        <w:jc w:val="both"/>
      </w:pPr>
      <w:r>
        <w:t xml:space="preserve">2. </w:t>
      </w:r>
      <w:r w:rsidR="00B94BBD">
        <w:t>Background</w:t>
      </w:r>
    </w:p>
    <w:p w14:paraId="708F2ED4" w14:textId="0A4D5DE9" w:rsidR="008168F4" w:rsidRPr="00703B2E" w:rsidRDefault="00703B2E" w:rsidP="00703B2E">
      <w:pPr>
        <w:jc w:val="both"/>
        <w:rPr>
          <w:lang w:val="en-US"/>
        </w:rPr>
      </w:pPr>
      <w:r w:rsidRPr="00703B2E">
        <w:rPr>
          <w:lang w:val="en-US"/>
        </w:rPr>
        <w:t xml:space="preserve">Much of early </w:t>
      </w:r>
      <w:proofErr w:type="spellStart"/>
      <w:r w:rsidRPr="00703B2E">
        <w:rPr>
          <w:lang w:val="en-US"/>
        </w:rPr>
        <w:t>altmetrics</w:t>
      </w:r>
      <w:proofErr w:type="spellEnd"/>
      <w:r w:rsidRPr="00703B2E">
        <w:rPr>
          <w:lang w:val="en-US"/>
        </w:rPr>
        <w:t xml:space="preserve"> research focused on examining whether </w:t>
      </w:r>
      <w:proofErr w:type="spellStart"/>
      <w:r w:rsidRPr="00703B2E">
        <w:rPr>
          <w:lang w:val="en-US"/>
        </w:rPr>
        <w:t>altmetrics</w:t>
      </w:r>
      <w:proofErr w:type="spellEnd"/>
      <w:r w:rsidRPr="00703B2E">
        <w:rPr>
          <w:lang w:val="en-US"/>
        </w:rPr>
        <w:t xml:space="preserve"> could be an alternative to traditional citation-based measures of impact. The research focused on testing for correlations between tweets and citation counts, providing some mixed results with large scale studies (e.g., Barthel et al., 2015; Costas et al., 2014, 2015) showing lower correlations between tweets and citations than studies with more focused, journal or discipline specific samples (e.g., </w:t>
      </w:r>
      <w:proofErr w:type="spellStart"/>
      <w:r w:rsidRPr="00703B2E">
        <w:rPr>
          <w:lang w:val="en-US"/>
        </w:rPr>
        <w:t>Eysenbach</w:t>
      </w:r>
      <w:proofErr w:type="spellEnd"/>
      <w:r w:rsidRPr="00703B2E">
        <w:rPr>
          <w:lang w:val="en-US"/>
        </w:rPr>
        <w:t xml:space="preserve">, 2011; Shuai et al., 2012). Earlier research has also discovered disciplinary differences in how scientific articles get tweeted, as scientific articles from social sciences and biomedical and health sciences tend to attract more attention on Twitter than articles from </w:t>
      </w:r>
      <w:r w:rsidRPr="00703B2E">
        <w:rPr>
          <w:lang w:val="en-US"/>
        </w:rPr>
        <w:lastRenderedPageBreak/>
        <w:t xml:space="preserve">mathematics and computer science, and natural sciences and engineering (Costas et al., 2015; </w:t>
      </w:r>
      <w:proofErr w:type="spellStart"/>
      <w:r w:rsidRPr="00703B2E">
        <w:rPr>
          <w:lang w:val="en-US"/>
        </w:rPr>
        <w:t>Haustein</w:t>
      </w:r>
      <w:proofErr w:type="spellEnd"/>
      <w:r w:rsidRPr="00703B2E">
        <w:rPr>
          <w:lang w:val="en-US"/>
        </w:rPr>
        <w:t xml:space="preserve"> et al., 2015). </w:t>
      </w:r>
      <w:bookmarkStart w:id="2" w:name="_Hlk143275083"/>
      <w:r w:rsidRPr="00703B2E">
        <w:rPr>
          <w:lang w:val="en-US"/>
        </w:rPr>
        <w:t>Other characteristics too, such as the length of the article (</w:t>
      </w:r>
      <w:proofErr w:type="spellStart"/>
      <w:r w:rsidRPr="00703B2E">
        <w:rPr>
          <w:lang w:val="en-US"/>
        </w:rPr>
        <w:t>Haustein</w:t>
      </w:r>
      <w:proofErr w:type="spellEnd"/>
      <w:r w:rsidRPr="00703B2E">
        <w:rPr>
          <w:lang w:val="en-US"/>
        </w:rPr>
        <w:t xml:space="preserve"> et al., 2015), OA status (Holmberg et al., 2020), and research funding (Didegah et al., 2018), may </w:t>
      </w:r>
      <w:r w:rsidR="007F24B4">
        <w:rPr>
          <w:lang w:val="en-US"/>
        </w:rPr>
        <w:t>be connected to</w:t>
      </w:r>
      <w:r w:rsidRPr="00703B2E">
        <w:rPr>
          <w:lang w:val="en-US"/>
        </w:rPr>
        <w:t xml:space="preserve"> the attention scientific articles receive on Twitter. </w:t>
      </w:r>
      <w:bookmarkEnd w:id="2"/>
      <w:r w:rsidRPr="00703B2E">
        <w:rPr>
          <w:lang w:val="en-US"/>
        </w:rPr>
        <w:t xml:space="preserve">A more recent study investigated how different types of user engagement behaviors on Twitter, i.e., liking, retweeting, quoting, and replying, were used in connection to scholarly content (Fang, Costas, &amp; </w:t>
      </w:r>
      <w:proofErr w:type="spellStart"/>
      <w:r w:rsidRPr="00703B2E">
        <w:rPr>
          <w:lang w:val="en-US"/>
        </w:rPr>
        <w:t>Wouters</w:t>
      </w:r>
      <w:proofErr w:type="spellEnd"/>
      <w:r w:rsidRPr="00703B2E">
        <w:rPr>
          <w:lang w:val="en-US"/>
        </w:rPr>
        <w:t xml:space="preserve">, 2022). The results showed that while likes (44%) and retweets (36%) were frequently used, quotes (9%) and replies (7%) were less frequent. While earlier research has already shown disciplinary differences in the uptake of scientific articles on Twitter (e.g., </w:t>
      </w:r>
      <w:proofErr w:type="spellStart"/>
      <w:r w:rsidRPr="00703B2E">
        <w:rPr>
          <w:lang w:val="en-US"/>
        </w:rPr>
        <w:t>Haustein</w:t>
      </w:r>
      <w:proofErr w:type="spellEnd"/>
      <w:r w:rsidRPr="00703B2E">
        <w:rPr>
          <w:lang w:val="en-US"/>
        </w:rPr>
        <w:t xml:space="preserve">, Costas, &amp; </w:t>
      </w:r>
      <w:proofErr w:type="spellStart"/>
      <w:r w:rsidRPr="00703B2E">
        <w:rPr>
          <w:lang w:val="en-US"/>
        </w:rPr>
        <w:t>Lariviére</w:t>
      </w:r>
      <w:proofErr w:type="spellEnd"/>
      <w:r w:rsidRPr="00703B2E">
        <w:rPr>
          <w:lang w:val="en-US"/>
        </w:rPr>
        <w:t xml:space="preserve">, 2015), and how researchers use Twitter (Holmberg &amp; Thelwall, 2014), the results by Fang, Costas, and </w:t>
      </w:r>
      <w:proofErr w:type="spellStart"/>
      <w:r w:rsidRPr="00703B2E">
        <w:rPr>
          <w:lang w:val="en-US"/>
        </w:rPr>
        <w:t>Wouters</w:t>
      </w:r>
      <w:proofErr w:type="spellEnd"/>
      <w:r w:rsidRPr="00703B2E">
        <w:rPr>
          <w:lang w:val="en-US"/>
        </w:rPr>
        <w:t xml:space="preserve"> (2022) showed that there are disciplinary differences also in the ways with which users engage with scientific content on Twitter. But do the disciplinary differences extend to both tweeting and retweeting? </w:t>
      </w:r>
      <w:r w:rsidR="00D17172">
        <w:rPr>
          <w:lang w:val="en-US"/>
        </w:rPr>
        <w:t xml:space="preserve">Or are the possible differences evened out if tweets and retweets are treated as same? </w:t>
      </w:r>
      <w:r w:rsidRPr="00703B2E">
        <w:rPr>
          <w:lang w:val="en-US"/>
        </w:rPr>
        <w:t xml:space="preserve">This research investigates possible disciplinary differences between tweeting and retweeting, as well as </w:t>
      </w:r>
      <w:r w:rsidR="00D17172">
        <w:rPr>
          <w:lang w:val="en-US"/>
        </w:rPr>
        <w:t>if there are any differences in how citation counts correlate with the number of tweets and retweets</w:t>
      </w:r>
      <w:r w:rsidRPr="00703B2E">
        <w:rPr>
          <w:lang w:val="en-US"/>
        </w:rPr>
        <w:t>.</w:t>
      </w:r>
    </w:p>
    <w:p w14:paraId="3EAE93F4" w14:textId="77777777" w:rsidR="00E778C5" w:rsidRDefault="00E778C5">
      <w:pPr>
        <w:jc w:val="both"/>
      </w:pPr>
    </w:p>
    <w:p w14:paraId="40047A3F" w14:textId="1996A86A" w:rsidR="008168F4" w:rsidRDefault="000C25AF">
      <w:pPr>
        <w:pStyle w:val="Heading2"/>
        <w:jc w:val="both"/>
      </w:pPr>
      <w:r>
        <w:t xml:space="preserve">3. </w:t>
      </w:r>
      <w:r w:rsidR="00B94BBD">
        <w:t>Method</w:t>
      </w:r>
    </w:p>
    <w:p w14:paraId="2E070FFA" w14:textId="60273050" w:rsidR="00F11DA0" w:rsidRDefault="00F11DA0" w:rsidP="00F11DA0">
      <w:pPr>
        <w:pStyle w:val="Heading3"/>
        <w:jc w:val="both"/>
      </w:pPr>
      <w:r>
        <w:t>3.1. Data</w:t>
      </w:r>
    </w:p>
    <w:p w14:paraId="558C0301" w14:textId="62616A52" w:rsidR="008168F4" w:rsidRDefault="00C23D7D">
      <w:pPr>
        <w:jc w:val="both"/>
      </w:pPr>
      <w:r>
        <w:t xml:space="preserve">A total of </w:t>
      </w:r>
      <w:r w:rsidR="002C2C4E" w:rsidRPr="003629EF">
        <w:t>330</w:t>
      </w:r>
      <w:r w:rsidR="002C2C4E">
        <w:t>,</w:t>
      </w:r>
      <w:r w:rsidR="002C2C4E" w:rsidRPr="003629EF">
        <w:t>022</w:t>
      </w:r>
      <w:r w:rsidR="002C2C4E">
        <w:t xml:space="preserve"> </w:t>
      </w:r>
      <w:proofErr w:type="spellStart"/>
      <w:r w:rsidR="006C5CA1">
        <w:t>PLoS</w:t>
      </w:r>
      <w:proofErr w:type="spellEnd"/>
      <w:r w:rsidR="006C5CA1">
        <w:t xml:space="preserve"> publications </w:t>
      </w:r>
      <w:r w:rsidR="00813E24">
        <w:t xml:space="preserve">published between 2003-2023 </w:t>
      </w:r>
      <w:r w:rsidR="006C5CA1">
        <w:t xml:space="preserve">were extracted </w:t>
      </w:r>
      <w:r w:rsidR="00813E24">
        <w:t xml:space="preserve">from Scopus in April 2023. </w:t>
      </w:r>
      <w:r w:rsidR="001D1BF6">
        <w:t xml:space="preserve">The extracted publications </w:t>
      </w:r>
      <w:r w:rsidR="00503EB9">
        <w:t>we</w:t>
      </w:r>
      <w:r w:rsidR="001D1BF6">
        <w:t xml:space="preserve">re published in nine </w:t>
      </w:r>
      <w:proofErr w:type="spellStart"/>
      <w:r w:rsidR="001D1BF6">
        <w:t>PLoS</w:t>
      </w:r>
      <w:proofErr w:type="spellEnd"/>
      <w:r w:rsidR="001D1BF6">
        <w:t xml:space="preserve"> journals and eight proceedings</w:t>
      </w:r>
      <w:r w:rsidR="00BE3184">
        <w:t xml:space="preserve">, with majority of the papers (94%) being journal articles. Altmetric.com was used to extract </w:t>
      </w:r>
      <w:r w:rsidR="00503EB9">
        <w:t xml:space="preserve">separate </w:t>
      </w:r>
      <w:r w:rsidR="00BE3184">
        <w:t xml:space="preserve">datasets of </w:t>
      </w:r>
      <w:r w:rsidR="00503EB9">
        <w:t xml:space="preserve">1) </w:t>
      </w:r>
      <w:r w:rsidR="00BE3184">
        <w:t xml:space="preserve">all tweets and </w:t>
      </w:r>
      <w:r w:rsidR="00503EB9">
        <w:t xml:space="preserve">2) </w:t>
      </w:r>
      <w:r w:rsidR="00BE3184">
        <w:t>original tweets</w:t>
      </w:r>
      <w:r w:rsidR="00503EB9">
        <w:t>,</w:t>
      </w:r>
      <w:r w:rsidR="00BE3184">
        <w:t xml:space="preserve"> which w</w:t>
      </w:r>
      <w:r w:rsidR="00503EB9">
        <w:t>ere</w:t>
      </w:r>
      <w:r w:rsidR="00BE3184">
        <w:t xml:space="preserve"> then used to count</w:t>
      </w:r>
      <w:r w:rsidR="00503EB9">
        <w:t xml:space="preserve"> the number of</w:t>
      </w:r>
      <w:r w:rsidR="00BE3184">
        <w:t xml:space="preserve"> retweets for each paper.</w:t>
      </w:r>
      <w:r w:rsidR="006E2511">
        <w:t xml:space="preserve"> </w:t>
      </w:r>
    </w:p>
    <w:p w14:paraId="3EE07899" w14:textId="77777777" w:rsidR="00636BF3" w:rsidRDefault="00636BF3">
      <w:pPr>
        <w:jc w:val="both"/>
      </w:pPr>
    </w:p>
    <w:p w14:paraId="69F100DC" w14:textId="66C924EE" w:rsidR="00F11DA0" w:rsidRDefault="00F11DA0" w:rsidP="00F11DA0">
      <w:pPr>
        <w:pStyle w:val="Heading3"/>
        <w:jc w:val="both"/>
      </w:pPr>
      <w:r>
        <w:t xml:space="preserve">3.2. </w:t>
      </w:r>
      <w:r w:rsidRPr="00F11DA0">
        <w:t>Subject fields</w:t>
      </w:r>
    </w:p>
    <w:p w14:paraId="7DA1E332" w14:textId="77A47623" w:rsidR="009E77B1" w:rsidRDefault="009E77B1" w:rsidP="00E67EEF">
      <w:pPr>
        <w:jc w:val="both"/>
      </w:pPr>
      <w:r>
        <w:t xml:space="preserve">As all </w:t>
      </w:r>
      <w:proofErr w:type="spellStart"/>
      <w:r>
        <w:t>PLoS</w:t>
      </w:r>
      <w:proofErr w:type="spellEnd"/>
      <w:r>
        <w:t xml:space="preserve"> papers are </w:t>
      </w:r>
      <w:r w:rsidR="00503EB9">
        <w:t>only classified</w:t>
      </w:r>
      <w:r w:rsidR="000F10FF">
        <w:t xml:space="preserve"> as </w:t>
      </w:r>
      <w:r>
        <w:t xml:space="preserve">multidisciplinary </w:t>
      </w:r>
      <w:r w:rsidR="000F10FF">
        <w:t xml:space="preserve">in Scopus, we used </w:t>
      </w:r>
      <w:r w:rsidR="00503EB9">
        <w:t xml:space="preserve">the classification </w:t>
      </w:r>
      <w:r w:rsidR="007F24B4">
        <w:t xml:space="preserve">made by Dimensions and </w:t>
      </w:r>
      <w:r w:rsidR="00503EB9">
        <w:t>used by</w:t>
      </w:r>
      <w:r w:rsidR="000F10FF">
        <w:t xml:space="preserve"> altmetric.com </w:t>
      </w:r>
      <w:r w:rsidR="00503EB9">
        <w:t>(</w:t>
      </w:r>
      <w:r w:rsidR="00503EB9" w:rsidRPr="009E77B1">
        <w:t>Australian and New Zealand Standard Research Classification</w:t>
      </w:r>
      <w:r w:rsidR="00503EB9">
        <w:t xml:space="preserve"> </w:t>
      </w:r>
      <w:r w:rsidR="00503EB9" w:rsidRPr="009E77B1">
        <w:t>2020</w:t>
      </w:r>
      <w:r w:rsidR="00503EB9">
        <w:t xml:space="preserve"> (</w:t>
      </w:r>
      <w:r w:rsidR="00503EB9" w:rsidRPr="009E77B1">
        <w:t>ANZSRC</w:t>
      </w:r>
      <w:r w:rsidR="00503EB9">
        <w:t>)</w:t>
      </w:r>
      <w:r w:rsidR="00503EB9">
        <w:rPr>
          <w:rStyle w:val="FootnoteReference"/>
        </w:rPr>
        <w:footnoteReference w:id="1"/>
      </w:r>
      <w:r w:rsidR="00503EB9">
        <w:t xml:space="preserve">) to assign subject </w:t>
      </w:r>
      <w:r w:rsidR="00D17172">
        <w:t>fields</w:t>
      </w:r>
      <w:r w:rsidR="00503EB9">
        <w:t xml:space="preserve"> to each article.</w:t>
      </w:r>
      <w:r w:rsidR="00CC7D68" w:rsidRPr="00CC7D68">
        <w:t xml:space="preserve"> </w:t>
      </w:r>
      <w:r w:rsidR="00503EB9">
        <w:t>For the analysis we</w:t>
      </w:r>
      <w:r>
        <w:t xml:space="preserve"> used</w:t>
      </w:r>
      <w:r w:rsidR="00CD53A5">
        <w:t xml:space="preserve"> the </w:t>
      </w:r>
      <w:r w:rsidR="005605B4">
        <w:t xml:space="preserve">first subject </w:t>
      </w:r>
      <w:r w:rsidR="00D17172">
        <w:t>field</w:t>
      </w:r>
      <w:r w:rsidR="00503EB9">
        <w:t xml:space="preserve"> </w:t>
      </w:r>
      <w:r w:rsidR="00CD53A5">
        <w:t xml:space="preserve">assigned to </w:t>
      </w:r>
      <w:r w:rsidR="005605B4">
        <w:t xml:space="preserve">each paper. </w:t>
      </w:r>
    </w:p>
    <w:p w14:paraId="7FCAE269" w14:textId="79AF5399" w:rsidR="00AF5D42" w:rsidRDefault="00AF5D42" w:rsidP="00AF5D42">
      <w:pPr>
        <w:jc w:val="both"/>
      </w:pPr>
      <w:r>
        <w:t xml:space="preserve">Table 1 shows the number of publications when </w:t>
      </w:r>
      <w:r w:rsidR="00503EB9">
        <w:t>counting only</w:t>
      </w:r>
      <w:r>
        <w:t xml:space="preserve"> </w:t>
      </w:r>
      <w:r w:rsidR="005E2F1A">
        <w:t xml:space="preserve">with the </w:t>
      </w:r>
      <w:r w:rsidR="00BE2CA3">
        <w:t>f</w:t>
      </w:r>
      <w:r>
        <w:t xml:space="preserve">irst subject </w:t>
      </w:r>
      <w:r w:rsidR="00D17172">
        <w:t>field</w:t>
      </w:r>
      <w:r w:rsidR="005E2F1A">
        <w:t xml:space="preserve"> assigned</w:t>
      </w:r>
      <w:r>
        <w:t xml:space="preserve">. </w:t>
      </w:r>
      <w:r w:rsidR="00BE2CA3">
        <w:t xml:space="preserve">The first 11 fields in Table </w:t>
      </w:r>
      <w:r w:rsidR="00D17172">
        <w:t xml:space="preserve">1 </w:t>
      </w:r>
      <w:r w:rsidR="00BE2CA3">
        <w:t xml:space="preserve">are </w:t>
      </w:r>
      <w:r w:rsidR="00503EB9">
        <w:t>from</w:t>
      </w:r>
      <w:r w:rsidR="00BE2CA3">
        <w:t xml:space="preserve"> </w:t>
      </w:r>
      <w:r w:rsidR="00BE2CA3" w:rsidRPr="00BE2CA3">
        <w:t xml:space="preserve">Natural Science, Engineering and Medical and Health Sciences (STEM) </w:t>
      </w:r>
      <w:r w:rsidR="00BE2CA3">
        <w:t>and the second 11 field</w:t>
      </w:r>
      <w:r w:rsidR="00D17172">
        <w:t>s</w:t>
      </w:r>
      <w:r w:rsidR="00BE2CA3">
        <w:t xml:space="preserve"> are </w:t>
      </w:r>
      <w:r w:rsidR="00503EB9">
        <w:t xml:space="preserve">from </w:t>
      </w:r>
      <w:r w:rsidR="00BE2CA3">
        <w:t xml:space="preserve">Social Science and Humanities (SS&amp;H). </w:t>
      </w:r>
      <w:r w:rsidR="00AE67CB">
        <w:t xml:space="preserve">Of all the publications about 19% have not been assigned </w:t>
      </w:r>
      <w:r w:rsidR="00D17172">
        <w:t>to a</w:t>
      </w:r>
      <w:r w:rsidR="00AE67CB">
        <w:t xml:space="preserve"> </w:t>
      </w:r>
      <w:r w:rsidR="00D17172">
        <w:t>field</w:t>
      </w:r>
      <w:r w:rsidR="00AE67CB">
        <w:t>; these mostly were Erratum and non-tweeted.</w:t>
      </w:r>
    </w:p>
    <w:p w14:paraId="19868E1E" w14:textId="4FBBE624" w:rsidR="00AF5D42" w:rsidRPr="009E77B1" w:rsidRDefault="00AF5D42" w:rsidP="00AF5D42">
      <w:pPr>
        <w:jc w:val="both"/>
        <w:rPr>
          <w:rFonts w:ascii="Arial" w:hAnsi="Arial" w:cs="Arial"/>
          <w:color w:val="0000FF"/>
          <w:sz w:val="16"/>
          <w:szCs w:val="16"/>
          <w:u w:val="single"/>
          <w:lang w:val="en-US" w:eastAsia="fi-FI"/>
        </w:rPr>
      </w:pPr>
    </w:p>
    <w:p w14:paraId="3C63FAB6" w14:textId="6006EF1D" w:rsidR="00AF5D42" w:rsidRDefault="00AF5D42" w:rsidP="00AF5D42">
      <w:pPr>
        <w:jc w:val="center"/>
      </w:pPr>
      <w:r>
        <w:t xml:space="preserve">Table 1. </w:t>
      </w:r>
      <w:r w:rsidR="00417004">
        <w:t xml:space="preserve">Number of </w:t>
      </w:r>
      <w:proofErr w:type="spellStart"/>
      <w:r w:rsidR="00503EB9">
        <w:t>PLoS</w:t>
      </w:r>
      <w:proofErr w:type="spellEnd"/>
      <w:r w:rsidR="00503EB9">
        <w:t xml:space="preserve"> </w:t>
      </w:r>
      <w:r w:rsidR="00417004">
        <w:t xml:space="preserve">papers </w:t>
      </w:r>
      <w:r w:rsidR="00503EB9">
        <w:t xml:space="preserve">according to </w:t>
      </w:r>
      <w:r w:rsidR="00417004">
        <w:t xml:space="preserve">first subject </w:t>
      </w:r>
      <w:r w:rsidR="00D17172">
        <w:t>field</w:t>
      </w:r>
      <w:r w:rsidR="00503EB9">
        <w:t xml:space="preserve"> assigned </w:t>
      </w:r>
      <w:r w:rsidR="00CD53A5">
        <w:t xml:space="preserve">to </w:t>
      </w:r>
      <w:r w:rsidR="00503EB9">
        <w:t>publications</w:t>
      </w:r>
      <w:r>
        <w:t>.</w:t>
      </w:r>
    </w:p>
    <w:p w14:paraId="6295E1C5" w14:textId="77777777" w:rsidR="00AF5D42" w:rsidRDefault="00AF5D42" w:rsidP="00AF5D42">
      <w:pPr>
        <w:jc w:val="both"/>
      </w:pPr>
    </w:p>
    <w:tbl>
      <w:tblPr>
        <w:tblW w:w="7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3750"/>
        <w:gridCol w:w="2110"/>
      </w:tblGrid>
      <w:tr w:rsidR="005E2F1A" w14:paraId="0A82B305" w14:textId="77777777" w:rsidTr="007A7989">
        <w:trPr>
          <w:tblHeader/>
          <w:jc w:val="center"/>
        </w:trPr>
        <w:tc>
          <w:tcPr>
            <w:tcW w:w="1555" w:type="dxa"/>
          </w:tcPr>
          <w:p w14:paraId="10475125" w14:textId="20E39102" w:rsidR="005E2F1A" w:rsidRPr="009E77B1" w:rsidRDefault="005E2F1A" w:rsidP="005F12F1">
            <w:pPr>
              <w:rPr>
                <w:b/>
                <w:bCs/>
              </w:rPr>
            </w:pPr>
            <w:r>
              <w:rPr>
                <w:b/>
                <w:bCs/>
              </w:rPr>
              <w:t>Broad field</w:t>
            </w:r>
          </w:p>
        </w:tc>
        <w:tc>
          <w:tcPr>
            <w:tcW w:w="3750" w:type="dxa"/>
          </w:tcPr>
          <w:p w14:paraId="2B03319D" w14:textId="46323C7D" w:rsidR="005E2F1A" w:rsidRDefault="005E2F1A" w:rsidP="005F12F1">
            <w:pPr>
              <w:rPr>
                <w:b/>
                <w:bCs/>
              </w:rPr>
            </w:pPr>
            <w:r w:rsidRPr="009E77B1">
              <w:rPr>
                <w:b/>
                <w:bCs/>
              </w:rPr>
              <w:t>Fields of Research (</w:t>
            </w:r>
            <w:proofErr w:type="spellStart"/>
            <w:r w:rsidRPr="009E77B1">
              <w:rPr>
                <w:b/>
                <w:bCs/>
              </w:rPr>
              <w:t>FoR</w:t>
            </w:r>
            <w:proofErr w:type="spellEnd"/>
            <w:r w:rsidRPr="009E77B1">
              <w:rPr>
                <w:b/>
                <w:bCs/>
              </w:rPr>
              <w:t>)</w:t>
            </w:r>
          </w:p>
        </w:tc>
        <w:tc>
          <w:tcPr>
            <w:tcW w:w="2110" w:type="dxa"/>
          </w:tcPr>
          <w:p w14:paraId="34930EDB" w14:textId="56627ABD" w:rsidR="005E2F1A" w:rsidRDefault="005E2F1A" w:rsidP="005F12F1">
            <w:pPr>
              <w:rPr>
                <w:b/>
                <w:bCs/>
              </w:rPr>
            </w:pPr>
            <w:r>
              <w:rPr>
                <w:b/>
                <w:bCs/>
              </w:rPr>
              <w:t>First field</w:t>
            </w:r>
          </w:p>
        </w:tc>
      </w:tr>
      <w:tr w:rsidR="005E2F1A" w14:paraId="2D49C32D" w14:textId="77777777" w:rsidTr="00E67EEF">
        <w:trPr>
          <w:jc w:val="center"/>
        </w:trPr>
        <w:tc>
          <w:tcPr>
            <w:tcW w:w="1555" w:type="dxa"/>
            <w:vMerge w:val="restart"/>
          </w:tcPr>
          <w:p w14:paraId="024939A3" w14:textId="0F3E8AFC" w:rsidR="005E2F1A" w:rsidRPr="003629EF" w:rsidRDefault="005E2F1A" w:rsidP="005F12F1">
            <w:r>
              <w:t>STEM</w:t>
            </w:r>
          </w:p>
        </w:tc>
        <w:tc>
          <w:tcPr>
            <w:tcW w:w="3750" w:type="dxa"/>
          </w:tcPr>
          <w:p w14:paraId="531A6D07" w14:textId="1B00A1BB" w:rsidR="005E2F1A" w:rsidRDefault="005E2F1A" w:rsidP="005F12F1">
            <w:r w:rsidRPr="003629EF">
              <w:t>Mathematical Sciences</w:t>
            </w:r>
          </w:p>
        </w:tc>
        <w:tc>
          <w:tcPr>
            <w:tcW w:w="2110" w:type="dxa"/>
          </w:tcPr>
          <w:p w14:paraId="37D597CF" w14:textId="77777777" w:rsidR="005E2F1A" w:rsidRDefault="005E2F1A" w:rsidP="005F12F1">
            <w:pPr>
              <w:jc w:val="right"/>
            </w:pPr>
            <w:r w:rsidRPr="003629EF">
              <w:t>7</w:t>
            </w:r>
            <w:r>
              <w:t>,</w:t>
            </w:r>
            <w:r w:rsidRPr="003629EF">
              <w:t>787</w:t>
            </w:r>
          </w:p>
        </w:tc>
      </w:tr>
      <w:tr w:rsidR="005E2F1A" w14:paraId="1982E22D" w14:textId="77777777" w:rsidTr="00E67EEF">
        <w:trPr>
          <w:jc w:val="center"/>
        </w:trPr>
        <w:tc>
          <w:tcPr>
            <w:tcW w:w="1555" w:type="dxa"/>
            <w:vMerge/>
          </w:tcPr>
          <w:p w14:paraId="59A6939D" w14:textId="77777777" w:rsidR="005E2F1A" w:rsidRPr="003629EF" w:rsidRDefault="005E2F1A" w:rsidP="005F12F1"/>
        </w:tc>
        <w:tc>
          <w:tcPr>
            <w:tcW w:w="3750" w:type="dxa"/>
          </w:tcPr>
          <w:p w14:paraId="01D16A9F" w14:textId="4E34C641" w:rsidR="005E2F1A" w:rsidRDefault="005E2F1A" w:rsidP="005F12F1">
            <w:r w:rsidRPr="003629EF">
              <w:t>Physical Sciences</w:t>
            </w:r>
          </w:p>
        </w:tc>
        <w:tc>
          <w:tcPr>
            <w:tcW w:w="2110" w:type="dxa"/>
          </w:tcPr>
          <w:p w14:paraId="59F3FDFF" w14:textId="77777777" w:rsidR="005E2F1A" w:rsidRDefault="005E2F1A" w:rsidP="005F12F1">
            <w:pPr>
              <w:jc w:val="right"/>
            </w:pPr>
            <w:r w:rsidRPr="003629EF">
              <w:t>1</w:t>
            </w:r>
            <w:r>
              <w:t>,</w:t>
            </w:r>
            <w:r w:rsidRPr="003629EF">
              <w:t>506</w:t>
            </w:r>
          </w:p>
        </w:tc>
      </w:tr>
      <w:tr w:rsidR="005E2F1A" w14:paraId="12D2B6D2" w14:textId="77777777" w:rsidTr="00E67EEF">
        <w:trPr>
          <w:jc w:val="center"/>
        </w:trPr>
        <w:tc>
          <w:tcPr>
            <w:tcW w:w="1555" w:type="dxa"/>
            <w:vMerge/>
          </w:tcPr>
          <w:p w14:paraId="6D149E95" w14:textId="77777777" w:rsidR="005E2F1A" w:rsidRPr="003629EF" w:rsidRDefault="005E2F1A" w:rsidP="005F12F1"/>
        </w:tc>
        <w:tc>
          <w:tcPr>
            <w:tcW w:w="3750" w:type="dxa"/>
          </w:tcPr>
          <w:p w14:paraId="4D2B8BAD" w14:textId="6679E35F" w:rsidR="005E2F1A" w:rsidRDefault="005E2F1A" w:rsidP="005F12F1">
            <w:r w:rsidRPr="003629EF">
              <w:t>Chemical Sciences</w:t>
            </w:r>
          </w:p>
        </w:tc>
        <w:tc>
          <w:tcPr>
            <w:tcW w:w="2110" w:type="dxa"/>
          </w:tcPr>
          <w:p w14:paraId="1A9A3DF4" w14:textId="77777777" w:rsidR="005E2F1A" w:rsidRDefault="005E2F1A" w:rsidP="005F12F1">
            <w:pPr>
              <w:jc w:val="right"/>
            </w:pPr>
            <w:r w:rsidRPr="003629EF">
              <w:t>2</w:t>
            </w:r>
            <w:r>
              <w:t>,</w:t>
            </w:r>
            <w:r w:rsidRPr="003629EF">
              <w:t>855</w:t>
            </w:r>
          </w:p>
        </w:tc>
      </w:tr>
      <w:tr w:rsidR="005E2F1A" w14:paraId="3FEDE736" w14:textId="77777777" w:rsidTr="00E67EEF">
        <w:trPr>
          <w:jc w:val="center"/>
        </w:trPr>
        <w:tc>
          <w:tcPr>
            <w:tcW w:w="1555" w:type="dxa"/>
            <w:vMerge/>
          </w:tcPr>
          <w:p w14:paraId="72BC1D63" w14:textId="77777777" w:rsidR="005E2F1A" w:rsidRPr="003629EF" w:rsidRDefault="005E2F1A" w:rsidP="005F12F1"/>
        </w:tc>
        <w:tc>
          <w:tcPr>
            <w:tcW w:w="3750" w:type="dxa"/>
          </w:tcPr>
          <w:p w14:paraId="38BC5993" w14:textId="4B14A99F" w:rsidR="005E2F1A" w:rsidRDefault="005E2F1A" w:rsidP="005F12F1">
            <w:r w:rsidRPr="003629EF">
              <w:t>Earth Sciences</w:t>
            </w:r>
          </w:p>
        </w:tc>
        <w:tc>
          <w:tcPr>
            <w:tcW w:w="2110" w:type="dxa"/>
          </w:tcPr>
          <w:p w14:paraId="2CC53A97" w14:textId="77777777" w:rsidR="005E2F1A" w:rsidRDefault="005E2F1A" w:rsidP="005F12F1">
            <w:pPr>
              <w:jc w:val="right"/>
            </w:pPr>
            <w:r w:rsidRPr="003629EF">
              <w:t>2</w:t>
            </w:r>
            <w:r>
              <w:t>,</w:t>
            </w:r>
            <w:r w:rsidRPr="003629EF">
              <w:t>142</w:t>
            </w:r>
          </w:p>
        </w:tc>
      </w:tr>
      <w:tr w:rsidR="005E2F1A" w14:paraId="40113D42" w14:textId="77777777" w:rsidTr="00E67EEF">
        <w:trPr>
          <w:jc w:val="center"/>
        </w:trPr>
        <w:tc>
          <w:tcPr>
            <w:tcW w:w="1555" w:type="dxa"/>
            <w:vMerge/>
          </w:tcPr>
          <w:p w14:paraId="2FBC6A32" w14:textId="77777777" w:rsidR="005E2F1A" w:rsidRPr="003629EF" w:rsidRDefault="005E2F1A" w:rsidP="005F12F1"/>
        </w:tc>
        <w:tc>
          <w:tcPr>
            <w:tcW w:w="3750" w:type="dxa"/>
          </w:tcPr>
          <w:p w14:paraId="24CBE693" w14:textId="35C05CFF" w:rsidR="005E2F1A" w:rsidRDefault="005E2F1A" w:rsidP="005F12F1">
            <w:r w:rsidRPr="003629EF">
              <w:t>Environmental Sciences</w:t>
            </w:r>
          </w:p>
        </w:tc>
        <w:tc>
          <w:tcPr>
            <w:tcW w:w="2110" w:type="dxa"/>
          </w:tcPr>
          <w:p w14:paraId="3D5954B8" w14:textId="77777777" w:rsidR="005E2F1A" w:rsidRDefault="005E2F1A" w:rsidP="005F12F1">
            <w:pPr>
              <w:jc w:val="right"/>
            </w:pPr>
            <w:r w:rsidRPr="003629EF">
              <w:t>8</w:t>
            </w:r>
            <w:r>
              <w:t>,</w:t>
            </w:r>
            <w:r w:rsidRPr="003629EF">
              <w:t>631</w:t>
            </w:r>
          </w:p>
        </w:tc>
      </w:tr>
      <w:tr w:rsidR="005E2F1A" w14:paraId="54786E7E" w14:textId="77777777" w:rsidTr="00E67EEF">
        <w:trPr>
          <w:jc w:val="center"/>
        </w:trPr>
        <w:tc>
          <w:tcPr>
            <w:tcW w:w="1555" w:type="dxa"/>
            <w:vMerge/>
          </w:tcPr>
          <w:p w14:paraId="1EA16D58" w14:textId="77777777" w:rsidR="005E2F1A" w:rsidRPr="003629EF" w:rsidRDefault="005E2F1A" w:rsidP="005F12F1"/>
        </w:tc>
        <w:tc>
          <w:tcPr>
            <w:tcW w:w="3750" w:type="dxa"/>
          </w:tcPr>
          <w:p w14:paraId="7067F007" w14:textId="6A42C58C" w:rsidR="005E2F1A" w:rsidRDefault="005E2F1A" w:rsidP="005F12F1">
            <w:r w:rsidRPr="003629EF">
              <w:t>Biological Sciences</w:t>
            </w:r>
          </w:p>
        </w:tc>
        <w:tc>
          <w:tcPr>
            <w:tcW w:w="2110" w:type="dxa"/>
          </w:tcPr>
          <w:p w14:paraId="5E7041B0" w14:textId="77777777" w:rsidR="005E2F1A" w:rsidRDefault="005E2F1A" w:rsidP="005F12F1">
            <w:pPr>
              <w:jc w:val="right"/>
            </w:pPr>
            <w:r w:rsidRPr="003629EF">
              <w:t>92</w:t>
            </w:r>
            <w:r>
              <w:t>,</w:t>
            </w:r>
            <w:r w:rsidRPr="003629EF">
              <w:t>008</w:t>
            </w:r>
          </w:p>
        </w:tc>
      </w:tr>
      <w:tr w:rsidR="005E2F1A" w14:paraId="5D1EF412" w14:textId="77777777" w:rsidTr="00E67EEF">
        <w:trPr>
          <w:jc w:val="center"/>
        </w:trPr>
        <w:tc>
          <w:tcPr>
            <w:tcW w:w="1555" w:type="dxa"/>
            <w:vMerge/>
          </w:tcPr>
          <w:p w14:paraId="5A3DBE43" w14:textId="77777777" w:rsidR="005E2F1A" w:rsidRPr="003629EF" w:rsidRDefault="005E2F1A" w:rsidP="005F12F1"/>
        </w:tc>
        <w:tc>
          <w:tcPr>
            <w:tcW w:w="3750" w:type="dxa"/>
          </w:tcPr>
          <w:p w14:paraId="2B33BA9B" w14:textId="31EC8882" w:rsidR="005E2F1A" w:rsidRDefault="005E2F1A" w:rsidP="005F12F1">
            <w:r w:rsidRPr="003629EF">
              <w:t>Agricultural and Veterinary Sciences</w:t>
            </w:r>
          </w:p>
        </w:tc>
        <w:tc>
          <w:tcPr>
            <w:tcW w:w="2110" w:type="dxa"/>
          </w:tcPr>
          <w:p w14:paraId="7A8A962F" w14:textId="77777777" w:rsidR="005E2F1A" w:rsidRDefault="005E2F1A" w:rsidP="005F12F1">
            <w:pPr>
              <w:jc w:val="right"/>
            </w:pPr>
            <w:r w:rsidRPr="003629EF">
              <w:t>1</w:t>
            </w:r>
            <w:r>
              <w:t>,</w:t>
            </w:r>
            <w:r w:rsidRPr="003629EF">
              <w:t>637</w:t>
            </w:r>
          </w:p>
        </w:tc>
      </w:tr>
      <w:tr w:rsidR="005E2F1A" w14:paraId="0277186E" w14:textId="77777777" w:rsidTr="00E67EEF">
        <w:trPr>
          <w:jc w:val="center"/>
        </w:trPr>
        <w:tc>
          <w:tcPr>
            <w:tcW w:w="1555" w:type="dxa"/>
            <w:vMerge/>
          </w:tcPr>
          <w:p w14:paraId="0DF92A7A" w14:textId="77777777" w:rsidR="005E2F1A" w:rsidRPr="003629EF" w:rsidRDefault="005E2F1A" w:rsidP="005F12F1"/>
        </w:tc>
        <w:tc>
          <w:tcPr>
            <w:tcW w:w="3750" w:type="dxa"/>
          </w:tcPr>
          <w:p w14:paraId="07864F07" w14:textId="0DB904C8" w:rsidR="005E2F1A" w:rsidRDefault="005E2F1A" w:rsidP="005F12F1">
            <w:r w:rsidRPr="003629EF">
              <w:t>Information and Computing Sciences</w:t>
            </w:r>
          </w:p>
        </w:tc>
        <w:tc>
          <w:tcPr>
            <w:tcW w:w="2110" w:type="dxa"/>
          </w:tcPr>
          <w:p w14:paraId="46927604" w14:textId="77777777" w:rsidR="005E2F1A" w:rsidRDefault="005E2F1A" w:rsidP="005F12F1">
            <w:pPr>
              <w:jc w:val="right"/>
            </w:pPr>
            <w:r w:rsidRPr="003629EF">
              <w:t>6</w:t>
            </w:r>
            <w:r>
              <w:t>,</w:t>
            </w:r>
            <w:r w:rsidRPr="003629EF">
              <w:t>984</w:t>
            </w:r>
          </w:p>
        </w:tc>
      </w:tr>
      <w:tr w:rsidR="005E2F1A" w14:paraId="0D2A226A" w14:textId="77777777" w:rsidTr="00E67EEF">
        <w:trPr>
          <w:jc w:val="center"/>
        </w:trPr>
        <w:tc>
          <w:tcPr>
            <w:tcW w:w="1555" w:type="dxa"/>
            <w:vMerge/>
          </w:tcPr>
          <w:p w14:paraId="507AF67B" w14:textId="77777777" w:rsidR="005E2F1A" w:rsidRPr="003629EF" w:rsidRDefault="005E2F1A" w:rsidP="005F12F1"/>
        </w:tc>
        <w:tc>
          <w:tcPr>
            <w:tcW w:w="3750" w:type="dxa"/>
          </w:tcPr>
          <w:p w14:paraId="2DF0EAE3" w14:textId="2ADF382E" w:rsidR="005E2F1A" w:rsidRDefault="005E2F1A" w:rsidP="005F12F1">
            <w:r w:rsidRPr="003629EF">
              <w:t>Engineering</w:t>
            </w:r>
          </w:p>
        </w:tc>
        <w:tc>
          <w:tcPr>
            <w:tcW w:w="2110" w:type="dxa"/>
          </w:tcPr>
          <w:p w14:paraId="0E6FBF6B" w14:textId="77777777" w:rsidR="005E2F1A" w:rsidRDefault="005E2F1A" w:rsidP="005F12F1">
            <w:pPr>
              <w:jc w:val="right"/>
            </w:pPr>
            <w:r w:rsidRPr="003629EF">
              <w:t>2</w:t>
            </w:r>
            <w:r>
              <w:t>,</w:t>
            </w:r>
            <w:r w:rsidRPr="003629EF">
              <w:t>555</w:t>
            </w:r>
          </w:p>
        </w:tc>
      </w:tr>
      <w:tr w:rsidR="005E2F1A" w14:paraId="70DE5889" w14:textId="77777777" w:rsidTr="00E67EEF">
        <w:trPr>
          <w:jc w:val="center"/>
        </w:trPr>
        <w:tc>
          <w:tcPr>
            <w:tcW w:w="1555" w:type="dxa"/>
            <w:vMerge/>
          </w:tcPr>
          <w:p w14:paraId="1C995161" w14:textId="77777777" w:rsidR="005E2F1A" w:rsidRPr="003629EF" w:rsidRDefault="005E2F1A" w:rsidP="005F12F1"/>
        </w:tc>
        <w:tc>
          <w:tcPr>
            <w:tcW w:w="3750" w:type="dxa"/>
          </w:tcPr>
          <w:p w14:paraId="2477009F" w14:textId="184EA840" w:rsidR="005E2F1A" w:rsidRDefault="005E2F1A" w:rsidP="005F12F1">
            <w:r w:rsidRPr="003629EF">
              <w:t>Technology</w:t>
            </w:r>
          </w:p>
        </w:tc>
        <w:tc>
          <w:tcPr>
            <w:tcW w:w="2110" w:type="dxa"/>
          </w:tcPr>
          <w:p w14:paraId="045F8B83" w14:textId="77777777" w:rsidR="005E2F1A" w:rsidRDefault="005E2F1A" w:rsidP="005F12F1">
            <w:pPr>
              <w:jc w:val="right"/>
            </w:pPr>
            <w:r w:rsidRPr="003629EF">
              <w:t>851</w:t>
            </w:r>
          </w:p>
        </w:tc>
      </w:tr>
      <w:tr w:rsidR="005E2F1A" w14:paraId="6B9EFFE5" w14:textId="77777777" w:rsidTr="00E67EEF">
        <w:trPr>
          <w:jc w:val="center"/>
        </w:trPr>
        <w:tc>
          <w:tcPr>
            <w:tcW w:w="1555" w:type="dxa"/>
            <w:vMerge/>
          </w:tcPr>
          <w:p w14:paraId="161C60E2" w14:textId="77777777" w:rsidR="005E2F1A" w:rsidRPr="003629EF" w:rsidRDefault="005E2F1A" w:rsidP="005F12F1"/>
        </w:tc>
        <w:tc>
          <w:tcPr>
            <w:tcW w:w="3750" w:type="dxa"/>
          </w:tcPr>
          <w:p w14:paraId="1CF7635A" w14:textId="40D3BD92" w:rsidR="005E2F1A" w:rsidRDefault="005E2F1A" w:rsidP="005F12F1">
            <w:r w:rsidRPr="003629EF">
              <w:t>Medical and Health Sciences</w:t>
            </w:r>
          </w:p>
        </w:tc>
        <w:tc>
          <w:tcPr>
            <w:tcW w:w="2110" w:type="dxa"/>
          </w:tcPr>
          <w:p w14:paraId="59AB369B" w14:textId="77777777" w:rsidR="005E2F1A" w:rsidRDefault="005E2F1A" w:rsidP="005F12F1">
            <w:pPr>
              <w:jc w:val="right"/>
            </w:pPr>
            <w:r w:rsidRPr="003629EF">
              <w:t>123</w:t>
            </w:r>
            <w:r>
              <w:t>,</w:t>
            </w:r>
            <w:r w:rsidRPr="003629EF">
              <w:t>711</w:t>
            </w:r>
          </w:p>
        </w:tc>
      </w:tr>
      <w:tr w:rsidR="00D25EFC" w14:paraId="4E790F24" w14:textId="77777777" w:rsidTr="00E67EEF">
        <w:trPr>
          <w:jc w:val="center"/>
        </w:trPr>
        <w:tc>
          <w:tcPr>
            <w:tcW w:w="1555" w:type="dxa"/>
            <w:vMerge w:val="restart"/>
          </w:tcPr>
          <w:p w14:paraId="56BA89E8" w14:textId="1F9DCC79" w:rsidR="00D25EFC" w:rsidRPr="003629EF" w:rsidRDefault="00D25EFC" w:rsidP="005F12F1">
            <w:r>
              <w:t>SS&amp;H</w:t>
            </w:r>
          </w:p>
        </w:tc>
        <w:tc>
          <w:tcPr>
            <w:tcW w:w="3750" w:type="dxa"/>
          </w:tcPr>
          <w:p w14:paraId="4DCBE93B" w14:textId="59BD8595" w:rsidR="00D25EFC" w:rsidRDefault="00D25EFC" w:rsidP="005F12F1">
            <w:r w:rsidRPr="003629EF">
              <w:t>Built Environment and Design</w:t>
            </w:r>
          </w:p>
        </w:tc>
        <w:tc>
          <w:tcPr>
            <w:tcW w:w="2110" w:type="dxa"/>
          </w:tcPr>
          <w:p w14:paraId="22BF4BC9" w14:textId="77777777" w:rsidR="00D25EFC" w:rsidRDefault="00D25EFC" w:rsidP="005F12F1">
            <w:pPr>
              <w:jc w:val="right"/>
            </w:pPr>
            <w:r w:rsidRPr="003629EF">
              <w:t>27</w:t>
            </w:r>
          </w:p>
        </w:tc>
      </w:tr>
      <w:tr w:rsidR="00D25EFC" w14:paraId="51A03F75" w14:textId="77777777" w:rsidTr="00E67EEF">
        <w:trPr>
          <w:jc w:val="center"/>
        </w:trPr>
        <w:tc>
          <w:tcPr>
            <w:tcW w:w="1555" w:type="dxa"/>
            <w:vMerge/>
          </w:tcPr>
          <w:p w14:paraId="152FB9A2" w14:textId="77777777" w:rsidR="00D25EFC" w:rsidRPr="003629EF" w:rsidRDefault="00D25EFC" w:rsidP="005F12F1"/>
        </w:tc>
        <w:tc>
          <w:tcPr>
            <w:tcW w:w="3750" w:type="dxa"/>
          </w:tcPr>
          <w:p w14:paraId="1546BE95" w14:textId="4D496EE2" w:rsidR="00D25EFC" w:rsidRDefault="00D25EFC" w:rsidP="005F12F1">
            <w:r w:rsidRPr="003629EF">
              <w:t>Education</w:t>
            </w:r>
          </w:p>
        </w:tc>
        <w:tc>
          <w:tcPr>
            <w:tcW w:w="2110" w:type="dxa"/>
          </w:tcPr>
          <w:p w14:paraId="560A2030" w14:textId="77777777" w:rsidR="00D25EFC" w:rsidRDefault="00D25EFC" w:rsidP="005F12F1">
            <w:pPr>
              <w:jc w:val="right"/>
            </w:pPr>
            <w:r w:rsidRPr="003629EF">
              <w:t>818</w:t>
            </w:r>
          </w:p>
        </w:tc>
      </w:tr>
      <w:tr w:rsidR="00D25EFC" w14:paraId="0F7D72B1" w14:textId="77777777" w:rsidTr="00E67EEF">
        <w:trPr>
          <w:jc w:val="center"/>
        </w:trPr>
        <w:tc>
          <w:tcPr>
            <w:tcW w:w="1555" w:type="dxa"/>
            <w:vMerge/>
          </w:tcPr>
          <w:p w14:paraId="5A66930A" w14:textId="77777777" w:rsidR="00D25EFC" w:rsidRPr="003629EF" w:rsidRDefault="00D25EFC" w:rsidP="005F12F1"/>
        </w:tc>
        <w:tc>
          <w:tcPr>
            <w:tcW w:w="3750" w:type="dxa"/>
          </w:tcPr>
          <w:p w14:paraId="0BAF49EB" w14:textId="62F1340C" w:rsidR="00D25EFC" w:rsidRDefault="00D25EFC" w:rsidP="005F12F1">
            <w:r w:rsidRPr="003629EF">
              <w:t>Economics</w:t>
            </w:r>
          </w:p>
        </w:tc>
        <w:tc>
          <w:tcPr>
            <w:tcW w:w="2110" w:type="dxa"/>
          </w:tcPr>
          <w:p w14:paraId="5EB36AC0" w14:textId="77777777" w:rsidR="00D25EFC" w:rsidRDefault="00D25EFC" w:rsidP="005F12F1">
            <w:pPr>
              <w:jc w:val="right"/>
            </w:pPr>
            <w:r w:rsidRPr="003629EF">
              <w:t>1</w:t>
            </w:r>
            <w:r>
              <w:t>,</w:t>
            </w:r>
            <w:r w:rsidRPr="003629EF">
              <w:t>984</w:t>
            </w:r>
          </w:p>
        </w:tc>
      </w:tr>
      <w:tr w:rsidR="00D25EFC" w14:paraId="0C7339F0" w14:textId="77777777" w:rsidTr="00E67EEF">
        <w:trPr>
          <w:jc w:val="center"/>
        </w:trPr>
        <w:tc>
          <w:tcPr>
            <w:tcW w:w="1555" w:type="dxa"/>
            <w:vMerge/>
          </w:tcPr>
          <w:p w14:paraId="73E08503" w14:textId="77777777" w:rsidR="00D25EFC" w:rsidRPr="003629EF" w:rsidRDefault="00D25EFC" w:rsidP="005F12F1"/>
        </w:tc>
        <w:tc>
          <w:tcPr>
            <w:tcW w:w="3750" w:type="dxa"/>
          </w:tcPr>
          <w:p w14:paraId="5AA5A50D" w14:textId="2C23C8F1" w:rsidR="00D25EFC" w:rsidRDefault="00D25EFC" w:rsidP="005F12F1">
            <w:r w:rsidRPr="003629EF">
              <w:t>Commerce, Management, Tourism and Services</w:t>
            </w:r>
          </w:p>
        </w:tc>
        <w:tc>
          <w:tcPr>
            <w:tcW w:w="2110" w:type="dxa"/>
          </w:tcPr>
          <w:p w14:paraId="1FB9B8C5" w14:textId="77777777" w:rsidR="00D25EFC" w:rsidRDefault="00D25EFC" w:rsidP="005F12F1">
            <w:pPr>
              <w:jc w:val="right"/>
            </w:pPr>
            <w:r w:rsidRPr="003629EF">
              <w:t>498</w:t>
            </w:r>
          </w:p>
        </w:tc>
      </w:tr>
      <w:tr w:rsidR="00D25EFC" w14:paraId="259B816D" w14:textId="77777777" w:rsidTr="00E67EEF">
        <w:trPr>
          <w:jc w:val="center"/>
        </w:trPr>
        <w:tc>
          <w:tcPr>
            <w:tcW w:w="1555" w:type="dxa"/>
            <w:vMerge/>
          </w:tcPr>
          <w:p w14:paraId="65A8ED06" w14:textId="77777777" w:rsidR="00D25EFC" w:rsidRPr="003629EF" w:rsidRDefault="00D25EFC" w:rsidP="005F12F1"/>
        </w:tc>
        <w:tc>
          <w:tcPr>
            <w:tcW w:w="3750" w:type="dxa"/>
          </w:tcPr>
          <w:p w14:paraId="3B826270" w14:textId="075BBE87" w:rsidR="00D25EFC" w:rsidRDefault="00D25EFC" w:rsidP="005F12F1">
            <w:r w:rsidRPr="003629EF">
              <w:t>Studies in Human Society</w:t>
            </w:r>
          </w:p>
        </w:tc>
        <w:tc>
          <w:tcPr>
            <w:tcW w:w="2110" w:type="dxa"/>
          </w:tcPr>
          <w:p w14:paraId="140729A6" w14:textId="77777777" w:rsidR="00D25EFC" w:rsidRDefault="00D25EFC" w:rsidP="005F12F1">
            <w:pPr>
              <w:jc w:val="right"/>
            </w:pPr>
            <w:r w:rsidRPr="003629EF">
              <w:t>1</w:t>
            </w:r>
            <w:r>
              <w:t>,</w:t>
            </w:r>
            <w:r w:rsidRPr="003629EF">
              <w:t>854</w:t>
            </w:r>
          </w:p>
        </w:tc>
      </w:tr>
      <w:tr w:rsidR="00D25EFC" w14:paraId="62B7CAB5" w14:textId="77777777" w:rsidTr="00E67EEF">
        <w:trPr>
          <w:jc w:val="center"/>
        </w:trPr>
        <w:tc>
          <w:tcPr>
            <w:tcW w:w="1555" w:type="dxa"/>
            <w:vMerge/>
          </w:tcPr>
          <w:p w14:paraId="58BC5D3B" w14:textId="77777777" w:rsidR="00D25EFC" w:rsidRPr="003629EF" w:rsidRDefault="00D25EFC" w:rsidP="005F12F1"/>
        </w:tc>
        <w:tc>
          <w:tcPr>
            <w:tcW w:w="3750" w:type="dxa"/>
          </w:tcPr>
          <w:p w14:paraId="59C0EF37" w14:textId="1C99F0EC" w:rsidR="00D25EFC" w:rsidRDefault="00D25EFC" w:rsidP="005F12F1">
            <w:r w:rsidRPr="003629EF">
              <w:t>Psychology and Cognitive Sciences</w:t>
            </w:r>
          </w:p>
        </w:tc>
        <w:tc>
          <w:tcPr>
            <w:tcW w:w="2110" w:type="dxa"/>
          </w:tcPr>
          <w:p w14:paraId="59A5E8CC" w14:textId="77777777" w:rsidR="00D25EFC" w:rsidRDefault="00D25EFC" w:rsidP="005F12F1">
            <w:pPr>
              <w:jc w:val="right"/>
            </w:pPr>
            <w:r w:rsidRPr="003629EF">
              <w:t>10</w:t>
            </w:r>
            <w:r>
              <w:t>,</w:t>
            </w:r>
            <w:r w:rsidRPr="003629EF">
              <w:t>496</w:t>
            </w:r>
          </w:p>
        </w:tc>
      </w:tr>
      <w:tr w:rsidR="00D25EFC" w14:paraId="17BB5296" w14:textId="77777777" w:rsidTr="00E67EEF">
        <w:trPr>
          <w:jc w:val="center"/>
        </w:trPr>
        <w:tc>
          <w:tcPr>
            <w:tcW w:w="1555" w:type="dxa"/>
            <w:vMerge/>
          </w:tcPr>
          <w:p w14:paraId="4DF15161" w14:textId="77777777" w:rsidR="00D25EFC" w:rsidRPr="003629EF" w:rsidRDefault="00D25EFC" w:rsidP="005F12F1"/>
        </w:tc>
        <w:tc>
          <w:tcPr>
            <w:tcW w:w="3750" w:type="dxa"/>
          </w:tcPr>
          <w:p w14:paraId="3FE86C3A" w14:textId="4D5195EC" w:rsidR="00D25EFC" w:rsidRDefault="00D25EFC" w:rsidP="005F12F1">
            <w:r w:rsidRPr="003629EF">
              <w:t>Law and Legal Studies</w:t>
            </w:r>
          </w:p>
        </w:tc>
        <w:tc>
          <w:tcPr>
            <w:tcW w:w="2110" w:type="dxa"/>
          </w:tcPr>
          <w:p w14:paraId="528CCB2E" w14:textId="77777777" w:rsidR="00D25EFC" w:rsidRDefault="00D25EFC" w:rsidP="005F12F1">
            <w:pPr>
              <w:jc w:val="right"/>
            </w:pPr>
            <w:r w:rsidRPr="003629EF">
              <w:t>123</w:t>
            </w:r>
          </w:p>
        </w:tc>
      </w:tr>
      <w:tr w:rsidR="00D25EFC" w14:paraId="0E742E36" w14:textId="77777777" w:rsidTr="00E67EEF">
        <w:trPr>
          <w:jc w:val="center"/>
        </w:trPr>
        <w:tc>
          <w:tcPr>
            <w:tcW w:w="1555" w:type="dxa"/>
            <w:vMerge/>
          </w:tcPr>
          <w:p w14:paraId="50FCE9CA" w14:textId="77777777" w:rsidR="00D25EFC" w:rsidRPr="003629EF" w:rsidRDefault="00D25EFC" w:rsidP="005F12F1"/>
        </w:tc>
        <w:tc>
          <w:tcPr>
            <w:tcW w:w="3750" w:type="dxa"/>
          </w:tcPr>
          <w:p w14:paraId="085C01DD" w14:textId="3DCBDD7D" w:rsidR="00D25EFC" w:rsidRDefault="00D25EFC" w:rsidP="005F12F1">
            <w:r w:rsidRPr="003629EF">
              <w:t>Studies in Creative Arts and Writing</w:t>
            </w:r>
          </w:p>
        </w:tc>
        <w:tc>
          <w:tcPr>
            <w:tcW w:w="2110" w:type="dxa"/>
          </w:tcPr>
          <w:p w14:paraId="4CC025B2" w14:textId="77777777" w:rsidR="00D25EFC" w:rsidRDefault="00D25EFC" w:rsidP="005F12F1">
            <w:pPr>
              <w:jc w:val="right"/>
            </w:pPr>
            <w:r w:rsidRPr="003629EF">
              <w:t>84</w:t>
            </w:r>
          </w:p>
        </w:tc>
      </w:tr>
      <w:tr w:rsidR="00D25EFC" w14:paraId="11873309" w14:textId="77777777" w:rsidTr="00E67EEF">
        <w:trPr>
          <w:jc w:val="center"/>
        </w:trPr>
        <w:tc>
          <w:tcPr>
            <w:tcW w:w="1555" w:type="dxa"/>
            <w:vMerge/>
          </w:tcPr>
          <w:p w14:paraId="0490004A" w14:textId="77777777" w:rsidR="00D25EFC" w:rsidRPr="003629EF" w:rsidRDefault="00D25EFC" w:rsidP="005F12F1"/>
        </w:tc>
        <w:tc>
          <w:tcPr>
            <w:tcW w:w="3750" w:type="dxa"/>
          </w:tcPr>
          <w:p w14:paraId="1A1D94E1" w14:textId="11A1BB02" w:rsidR="00D25EFC" w:rsidRDefault="00D25EFC" w:rsidP="005F12F1">
            <w:r w:rsidRPr="003629EF">
              <w:t>Language, Communication and Culture</w:t>
            </w:r>
          </w:p>
        </w:tc>
        <w:tc>
          <w:tcPr>
            <w:tcW w:w="2110" w:type="dxa"/>
          </w:tcPr>
          <w:p w14:paraId="7BE53C40" w14:textId="77777777" w:rsidR="00D25EFC" w:rsidRDefault="00D25EFC" w:rsidP="005F12F1">
            <w:pPr>
              <w:jc w:val="right"/>
            </w:pPr>
            <w:r w:rsidRPr="003629EF">
              <w:t>529</w:t>
            </w:r>
          </w:p>
        </w:tc>
      </w:tr>
      <w:tr w:rsidR="00D25EFC" w14:paraId="7F3EEF7D" w14:textId="77777777" w:rsidTr="00E67EEF">
        <w:trPr>
          <w:jc w:val="center"/>
        </w:trPr>
        <w:tc>
          <w:tcPr>
            <w:tcW w:w="1555" w:type="dxa"/>
            <w:vMerge/>
          </w:tcPr>
          <w:p w14:paraId="60F30FC5" w14:textId="77777777" w:rsidR="00D25EFC" w:rsidRPr="003629EF" w:rsidRDefault="00D25EFC" w:rsidP="005F12F1"/>
        </w:tc>
        <w:tc>
          <w:tcPr>
            <w:tcW w:w="3750" w:type="dxa"/>
          </w:tcPr>
          <w:p w14:paraId="0ABDA2F6" w14:textId="2367D214" w:rsidR="00D25EFC" w:rsidRDefault="00D25EFC" w:rsidP="005F12F1">
            <w:r w:rsidRPr="003629EF">
              <w:t>History and Archaeology</w:t>
            </w:r>
          </w:p>
        </w:tc>
        <w:tc>
          <w:tcPr>
            <w:tcW w:w="2110" w:type="dxa"/>
          </w:tcPr>
          <w:p w14:paraId="28215DCF" w14:textId="77777777" w:rsidR="00D25EFC" w:rsidRDefault="00D25EFC" w:rsidP="005F12F1">
            <w:pPr>
              <w:jc w:val="right"/>
            </w:pPr>
            <w:r w:rsidRPr="003629EF">
              <w:t>792</w:t>
            </w:r>
          </w:p>
        </w:tc>
      </w:tr>
      <w:tr w:rsidR="00D25EFC" w14:paraId="14903040" w14:textId="77777777" w:rsidTr="00E67EEF">
        <w:trPr>
          <w:jc w:val="center"/>
        </w:trPr>
        <w:tc>
          <w:tcPr>
            <w:tcW w:w="1555" w:type="dxa"/>
            <w:vMerge/>
          </w:tcPr>
          <w:p w14:paraId="0AD45449" w14:textId="77777777" w:rsidR="00D25EFC" w:rsidRPr="003629EF" w:rsidRDefault="00D25EFC" w:rsidP="005F12F1"/>
        </w:tc>
        <w:tc>
          <w:tcPr>
            <w:tcW w:w="3750" w:type="dxa"/>
          </w:tcPr>
          <w:p w14:paraId="2C768E8A" w14:textId="67B0F5D8" w:rsidR="00D25EFC" w:rsidRDefault="00D25EFC" w:rsidP="005F12F1">
            <w:r w:rsidRPr="003629EF">
              <w:t>Philosophy and Religious Studies</w:t>
            </w:r>
          </w:p>
        </w:tc>
        <w:tc>
          <w:tcPr>
            <w:tcW w:w="2110" w:type="dxa"/>
          </w:tcPr>
          <w:p w14:paraId="5B470EFC" w14:textId="77777777" w:rsidR="00D25EFC" w:rsidRDefault="00D25EFC" w:rsidP="005F12F1">
            <w:pPr>
              <w:jc w:val="right"/>
            </w:pPr>
            <w:r w:rsidRPr="003629EF">
              <w:t>100</w:t>
            </w:r>
          </w:p>
        </w:tc>
      </w:tr>
      <w:tr w:rsidR="00F306D1" w14:paraId="3449068B" w14:textId="77777777" w:rsidTr="002D6B49">
        <w:trPr>
          <w:jc w:val="center"/>
        </w:trPr>
        <w:tc>
          <w:tcPr>
            <w:tcW w:w="5305" w:type="dxa"/>
            <w:gridSpan w:val="2"/>
          </w:tcPr>
          <w:p w14:paraId="7A97B0E8" w14:textId="0EB22ED1" w:rsidR="00F306D1" w:rsidRDefault="00F306D1" w:rsidP="005F12F1">
            <w:r w:rsidRPr="003629EF">
              <w:t>No subject assigned</w:t>
            </w:r>
          </w:p>
        </w:tc>
        <w:tc>
          <w:tcPr>
            <w:tcW w:w="2110" w:type="dxa"/>
          </w:tcPr>
          <w:p w14:paraId="286AB430" w14:textId="77777777" w:rsidR="00F306D1" w:rsidRDefault="00F306D1" w:rsidP="005F12F1">
            <w:pPr>
              <w:jc w:val="right"/>
            </w:pPr>
            <w:r w:rsidRPr="003629EF">
              <w:t>62</w:t>
            </w:r>
            <w:r>
              <w:t>,</w:t>
            </w:r>
            <w:r w:rsidRPr="003629EF">
              <w:t>050</w:t>
            </w:r>
          </w:p>
        </w:tc>
      </w:tr>
      <w:tr w:rsidR="00F306D1" w14:paraId="4162AAA5" w14:textId="77777777" w:rsidTr="00E5782A">
        <w:trPr>
          <w:jc w:val="center"/>
        </w:trPr>
        <w:tc>
          <w:tcPr>
            <w:tcW w:w="5305" w:type="dxa"/>
            <w:gridSpan w:val="2"/>
          </w:tcPr>
          <w:p w14:paraId="708CCB19" w14:textId="6C85DB23" w:rsidR="00F306D1" w:rsidRDefault="00F306D1" w:rsidP="005F12F1">
            <w:r>
              <w:t>Total</w:t>
            </w:r>
          </w:p>
        </w:tc>
        <w:tc>
          <w:tcPr>
            <w:tcW w:w="2110" w:type="dxa"/>
          </w:tcPr>
          <w:p w14:paraId="64587EA8" w14:textId="77777777" w:rsidR="00F306D1" w:rsidRDefault="00F306D1" w:rsidP="005F12F1">
            <w:pPr>
              <w:jc w:val="right"/>
            </w:pPr>
            <w:r w:rsidRPr="003629EF">
              <w:t>330</w:t>
            </w:r>
            <w:r>
              <w:t>,</w:t>
            </w:r>
            <w:r w:rsidRPr="003629EF">
              <w:t>022</w:t>
            </w:r>
          </w:p>
        </w:tc>
      </w:tr>
    </w:tbl>
    <w:p w14:paraId="4CC12F49" w14:textId="540BB626" w:rsidR="006C5CA1" w:rsidRDefault="006C5CA1">
      <w:pPr>
        <w:jc w:val="both"/>
      </w:pPr>
    </w:p>
    <w:p w14:paraId="37FA144A" w14:textId="37F0B7C3" w:rsidR="00636BF3" w:rsidRDefault="00636BF3" w:rsidP="00636BF3">
      <w:pPr>
        <w:pStyle w:val="Heading3"/>
        <w:jc w:val="both"/>
      </w:pPr>
      <w:r>
        <w:t>3.3. Analysis</w:t>
      </w:r>
    </w:p>
    <w:p w14:paraId="76374468" w14:textId="6CFBDCFD" w:rsidR="00265654" w:rsidRDefault="00C23D7D">
      <w:pPr>
        <w:jc w:val="both"/>
      </w:pPr>
      <w:r>
        <w:t xml:space="preserve">To </w:t>
      </w:r>
      <w:proofErr w:type="spellStart"/>
      <w:r>
        <w:t>analyze</w:t>
      </w:r>
      <w:proofErr w:type="spellEnd"/>
      <w:r>
        <w:t xml:space="preserve"> </w:t>
      </w:r>
      <w:r w:rsidR="00480463">
        <w:t xml:space="preserve">the </w:t>
      </w:r>
      <w:r>
        <w:t xml:space="preserve">possible </w:t>
      </w:r>
      <w:r w:rsidR="00480463">
        <w:t>relationship between citation</w:t>
      </w:r>
      <w:r>
        <w:t>s</w:t>
      </w:r>
      <w:r w:rsidR="00480463">
        <w:t xml:space="preserve"> and all tweets, original tweets and retweets, comparisons across field</w:t>
      </w:r>
      <w:r w:rsidR="000534F3">
        <w:t>s</w:t>
      </w:r>
      <w:r w:rsidR="00480463">
        <w:t xml:space="preserve"> and over time </w:t>
      </w:r>
      <w:r>
        <w:t>were conducted</w:t>
      </w:r>
      <w:r w:rsidR="00480463">
        <w:t xml:space="preserve">. </w:t>
      </w:r>
      <w:r w:rsidR="0085095F">
        <w:t>For this purpose, p</w:t>
      </w:r>
      <w:r w:rsidR="00480463">
        <w:t>roportion non-zero</w:t>
      </w:r>
      <w:r w:rsidR="00D4365D">
        <w:t xml:space="preserve"> and Geometric mean </w:t>
      </w:r>
      <w:r>
        <w:t>of</w:t>
      </w:r>
      <w:r w:rsidR="00480463">
        <w:t xml:space="preserve"> citations, tweets and retweets </w:t>
      </w:r>
      <w:r>
        <w:t>we</w:t>
      </w:r>
      <w:r w:rsidR="00480463">
        <w:t xml:space="preserve">re calculated and normalized </w:t>
      </w:r>
      <w:r w:rsidR="00D4365D">
        <w:t>for comparisons</w:t>
      </w:r>
      <w:r w:rsidR="00480463">
        <w:t xml:space="preserve"> between subject fields and with the world </w:t>
      </w:r>
      <w:r w:rsidR="000534F3">
        <w:t>average</w:t>
      </w:r>
      <w:r>
        <w:t xml:space="preserve"> (here, </w:t>
      </w:r>
      <w:r w:rsidR="000534F3">
        <w:t>all</w:t>
      </w:r>
      <w:r w:rsidR="00480463">
        <w:t xml:space="preserve"> </w:t>
      </w:r>
      <w:proofErr w:type="spellStart"/>
      <w:r w:rsidR="00480463">
        <w:t>PLoS</w:t>
      </w:r>
      <w:proofErr w:type="spellEnd"/>
      <w:r w:rsidR="00480463">
        <w:t xml:space="preserve"> publication</w:t>
      </w:r>
      <w:r w:rsidR="000534F3">
        <w:t>s</w:t>
      </w:r>
      <w:r>
        <w:t>)</w:t>
      </w:r>
      <w:r w:rsidR="00480463">
        <w:t>.</w:t>
      </w:r>
      <w:r w:rsidR="00D4365D">
        <w:t xml:space="preserve"> </w:t>
      </w:r>
      <w:r>
        <w:t xml:space="preserve">The data was first prepared (Thelwall, 2017) and then the calculations were conducted with </w:t>
      </w:r>
      <w:r w:rsidR="00265654">
        <w:t>Webometric Analyst (lexiurl.wlv.ac.uk).</w:t>
      </w:r>
      <w:r>
        <w:t xml:space="preserve"> </w:t>
      </w:r>
    </w:p>
    <w:p w14:paraId="19A88AE4" w14:textId="450963CD" w:rsidR="00C64AA2" w:rsidRDefault="00C64AA2" w:rsidP="006E70D9">
      <w:pPr>
        <w:pStyle w:val="ListParagraph"/>
        <w:numPr>
          <w:ilvl w:val="0"/>
          <w:numId w:val="3"/>
        </w:numPr>
        <w:jc w:val="both"/>
      </w:pPr>
      <w:r w:rsidRPr="00AC00A9">
        <w:rPr>
          <w:i/>
        </w:rPr>
        <w:t xml:space="preserve">Normalized </w:t>
      </w:r>
      <w:r w:rsidRPr="00AC00A9">
        <w:t>Proportion</w:t>
      </w:r>
      <w:r w:rsidR="00AC00A9" w:rsidRPr="00AC00A9">
        <w:t xml:space="preserve"> non-zero</w:t>
      </w:r>
      <w:r>
        <w:t xml:space="preserve"> </w:t>
      </w:r>
      <w:r w:rsidR="0085095F">
        <w:t>wa</w:t>
      </w:r>
      <w:r w:rsidR="00D14240">
        <w:t>s used as an estimate for publications with non-zero Scopus citations, tweets and retweets</w:t>
      </w:r>
      <w:r w:rsidR="0085095F">
        <w:t>, with a</w:t>
      </w:r>
      <w:r w:rsidR="00D14240">
        <w:t xml:space="preserve"> 95% confidence interval.</w:t>
      </w:r>
    </w:p>
    <w:p w14:paraId="3492AEEC" w14:textId="10B2F169" w:rsidR="00C64AA2" w:rsidRDefault="00265654" w:rsidP="006E70D9">
      <w:pPr>
        <w:pStyle w:val="ListParagraph"/>
        <w:numPr>
          <w:ilvl w:val="0"/>
          <w:numId w:val="3"/>
        </w:numPr>
        <w:jc w:val="both"/>
      </w:pPr>
      <w:r w:rsidRPr="00C9151F">
        <w:rPr>
          <w:i/>
        </w:rPr>
        <w:t>World normalised proportion non-zero of metrics (EMNPC)</w:t>
      </w:r>
      <w:r>
        <w:t xml:space="preserve"> </w:t>
      </w:r>
      <w:r w:rsidR="0085095F">
        <w:t>we</w:t>
      </w:r>
      <w:r w:rsidR="00D14240">
        <w:t xml:space="preserve">re used </w:t>
      </w:r>
      <w:r w:rsidR="0085095F">
        <w:t xml:space="preserve">for </w:t>
      </w:r>
      <w:r w:rsidR="00D14240">
        <w:t xml:space="preserve">comparisons. EMNCP values for </w:t>
      </w:r>
      <w:r>
        <w:t xml:space="preserve">fields </w:t>
      </w:r>
      <w:r w:rsidR="00D14240">
        <w:t>are</w:t>
      </w:r>
      <w:r>
        <w:t xml:space="preserve"> compared</w:t>
      </w:r>
      <w:r w:rsidR="00D14240">
        <w:t xml:space="preserve"> for</w:t>
      </w:r>
      <w:r>
        <w:t xml:space="preserve"> </w:t>
      </w:r>
      <w:r w:rsidR="00D14240">
        <w:t>any variation from</w:t>
      </w:r>
      <w:r>
        <w:t xml:space="preserve"> the world average</w:t>
      </w:r>
      <w:r w:rsidR="0085095F">
        <w:t xml:space="preserve"> (=1)</w:t>
      </w:r>
      <w:r w:rsidR="00D14240">
        <w:t>.</w:t>
      </w:r>
    </w:p>
    <w:p w14:paraId="22F2782A" w14:textId="789CED3A" w:rsidR="00C64AA2" w:rsidRDefault="00C64AA2" w:rsidP="006E70D9">
      <w:pPr>
        <w:pStyle w:val="ListParagraph"/>
        <w:numPr>
          <w:ilvl w:val="0"/>
          <w:numId w:val="3"/>
        </w:numPr>
        <w:jc w:val="both"/>
      </w:pPr>
      <w:r w:rsidRPr="006E70D9">
        <w:rPr>
          <w:i/>
        </w:rPr>
        <w:t>Geometric mean</w:t>
      </w:r>
      <w:r w:rsidR="00D14240">
        <w:t xml:space="preserve"> </w:t>
      </w:r>
      <w:r w:rsidR="0085095F">
        <w:t>wa</w:t>
      </w:r>
      <w:r w:rsidR="00D14240">
        <w:t>s ca</w:t>
      </w:r>
      <w:r w:rsidR="00265654">
        <w:t>lculate</w:t>
      </w:r>
      <w:r w:rsidR="00D14240">
        <w:t>d</w:t>
      </w:r>
      <w:r w:rsidR="00265654">
        <w:t xml:space="preserve"> based on the logarithm of raw metric counts + 1 or </w:t>
      </w:r>
      <w:proofErr w:type="gramStart"/>
      <w:r w:rsidR="00265654" w:rsidRPr="00895232">
        <w:t>ln(</w:t>
      </w:r>
      <w:proofErr w:type="gramEnd"/>
      <w:r w:rsidR="00265654" w:rsidRPr="00895232">
        <w:t>1+raw data)</w:t>
      </w:r>
      <w:r w:rsidR="0085095F">
        <w:t>,</w:t>
      </w:r>
      <w:r w:rsidR="00265654">
        <w:t xml:space="preserve"> as proposed by Thelwall (2017)</w:t>
      </w:r>
      <w:r w:rsidR="006E70D9">
        <w:t xml:space="preserve"> and all calculation were in </w:t>
      </w:r>
      <w:r w:rsidR="006E70D9" w:rsidRPr="006E70D9">
        <w:t>95% confidence interval.</w:t>
      </w:r>
    </w:p>
    <w:p w14:paraId="600AD993" w14:textId="30921F66" w:rsidR="004C6E1D" w:rsidRDefault="00265654" w:rsidP="004C6E1D">
      <w:pPr>
        <w:pStyle w:val="ListParagraph"/>
        <w:numPr>
          <w:ilvl w:val="0"/>
          <w:numId w:val="3"/>
        </w:numPr>
        <w:jc w:val="both"/>
      </w:pPr>
      <w:r>
        <w:t>W</w:t>
      </w:r>
      <w:r w:rsidR="00C64AA2" w:rsidRPr="006E70D9">
        <w:rPr>
          <w:i/>
        </w:rPr>
        <w:t xml:space="preserve">orld normalised </w:t>
      </w:r>
      <w:r w:rsidRPr="006E70D9">
        <w:rPr>
          <w:i/>
        </w:rPr>
        <w:t>mean</w:t>
      </w:r>
      <w:r w:rsidR="00734E74" w:rsidRPr="006E70D9">
        <w:rPr>
          <w:i/>
        </w:rPr>
        <w:t xml:space="preserve"> metrics</w:t>
      </w:r>
      <w:r w:rsidRPr="006E70D9">
        <w:rPr>
          <w:i/>
        </w:rPr>
        <w:t xml:space="preserve"> </w:t>
      </w:r>
      <w:r w:rsidR="00734E74" w:rsidRPr="006E70D9">
        <w:rPr>
          <w:i/>
        </w:rPr>
        <w:t>(MNLCS)</w:t>
      </w:r>
      <w:r w:rsidR="00734E74" w:rsidRPr="00C64AA2">
        <w:t xml:space="preserve"> </w:t>
      </w:r>
      <w:r w:rsidR="0085095F">
        <w:t>we</w:t>
      </w:r>
      <w:r w:rsidR="00734E74">
        <w:t>re</w:t>
      </w:r>
      <w:r>
        <w:t xml:space="preserve"> calculated on log-transformed data of</w:t>
      </w:r>
      <w:r w:rsidRPr="00C64AA2">
        <w:t xml:space="preserve"> </w:t>
      </w:r>
      <w:proofErr w:type="gramStart"/>
      <w:r w:rsidR="00C64AA2" w:rsidRPr="00C64AA2">
        <w:t>ln(</w:t>
      </w:r>
      <w:proofErr w:type="gramEnd"/>
      <w:r w:rsidR="00C64AA2" w:rsidRPr="00C64AA2">
        <w:t>1+raw data)</w:t>
      </w:r>
      <w:r>
        <w:t xml:space="preserve"> and calculated</w:t>
      </w:r>
      <w:r w:rsidR="00734E74">
        <w:t xml:space="preserve"> in </w:t>
      </w:r>
      <w:r w:rsidR="00734E74" w:rsidRPr="00C64AA2">
        <w:t>95%</w:t>
      </w:r>
      <w:r w:rsidR="00734E74">
        <w:t xml:space="preserve"> confidence interval. </w:t>
      </w:r>
      <w:r w:rsidR="004C6E1D" w:rsidRPr="006E70D9">
        <w:rPr>
          <w:i/>
        </w:rPr>
        <w:t>MNLCS</w:t>
      </w:r>
      <w:r w:rsidR="004C6E1D" w:rsidRPr="004C6E1D">
        <w:t xml:space="preserve"> </w:t>
      </w:r>
      <w:r w:rsidR="004C6E1D">
        <w:t>values also need to be compared with value one which represents the world average.</w:t>
      </w:r>
      <w:r w:rsidR="0085095F">
        <w:t xml:space="preserve"> </w:t>
      </w:r>
    </w:p>
    <w:p w14:paraId="141B7F7A" w14:textId="5BABADE5" w:rsidR="00166E89" w:rsidRDefault="00534034">
      <w:pPr>
        <w:jc w:val="both"/>
      </w:pPr>
      <w:bookmarkStart w:id="3" w:name="_Hlk143164993"/>
      <w:r>
        <w:t xml:space="preserve">The calculations for world normalization </w:t>
      </w:r>
      <w:r w:rsidR="00AC3CA9">
        <w:t>are detailed</w:t>
      </w:r>
      <w:r>
        <w:t xml:space="preserve"> in Thelwall (2017)</w:t>
      </w:r>
      <w:r w:rsidR="00AC3CA9">
        <w:t>.</w:t>
      </w:r>
    </w:p>
    <w:bookmarkEnd w:id="3"/>
    <w:p w14:paraId="775C24D6" w14:textId="49D8A646" w:rsidR="008168F4" w:rsidRDefault="000C25AF" w:rsidP="0029211E">
      <w:pPr>
        <w:pStyle w:val="Heading2"/>
        <w:jc w:val="both"/>
      </w:pPr>
      <w:r>
        <w:t xml:space="preserve">4. </w:t>
      </w:r>
      <w:r w:rsidR="00B94BBD">
        <w:t>Findings</w:t>
      </w:r>
    </w:p>
    <w:p w14:paraId="24FE2007" w14:textId="77777777" w:rsidR="008E3F52" w:rsidRPr="008E3F52" w:rsidRDefault="008E3F52" w:rsidP="0029211E">
      <w:pPr>
        <w:keepNext/>
      </w:pPr>
    </w:p>
    <w:p w14:paraId="441F70CD" w14:textId="73282375" w:rsidR="008168F4" w:rsidRDefault="000C25AF">
      <w:pPr>
        <w:pStyle w:val="Heading3"/>
        <w:jc w:val="both"/>
      </w:pPr>
      <w:r>
        <w:t xml:space="preserve">4.1. </w:t>
      </w:r>
      <w:r w:rsidR="00487BAB" w:rsidRPr="00487BAB">
        <w:t>Normalized Proportion Cited</w:t>
      </w:r>
    </w:p>
    <w:p w14:paraId="05375486" w14:textId="45A2CB31" w:rsidR="008168F4" w:rsidRDefault="00CD04CE">
      <w:pPr>
        <w:jc w:val="both"/>
      </w:pPr>
      <w:r>
        <w:t xml:space="preserve">Figure 1 </w:t>
      </w:r>
      <w:r w:rsidR="00C5458E">
        <w:t xml:space="preserve">shows that </w:t>
      </w:r>
      <w:r w:rsidR="00EF7654">
        <w:t>the</w:t>
      </w:r>
      <w:r w:rsidR="00C5458E">
        <w:t xml:space="preserve"> total publication frequency </w:t>
      </w:r>
      <w:r w:rsidR="00EF7654">
        <w:t xml:space="preserve">of </w:t>
      </w:r>
      <w:proofErr w:type="spellStart"/>
      <w:r w:rsidR="00EF7654">
        <w:t>PLoS</w:t>
      </w:r>
      <w:proofErr w:type="spellEnd"/>
      <w:r w:rsidR="00EF7654">
        <w:t xml:space="preserve"> </w:t>
      </w:r>
      <w:r w:rsidR="00C5458E">
        <w:t xml:space="preserve">had </w:t>
      </w:r>
      <w:r w:rsidR="00EF7654">
        <w:t>significantly increased from 87 in</w:t>
      </w:r>
      <w:r w:rsidR="00C5458E">
        <w:t xml:space="preserve"> 2003 to just below 35,000 </w:t>
      </w:r>
      <w:r w:rsidR="00EF7654">
        <w:t>in 2013, after which the level</w:t>
      </w:r>
      <w:r w:rsidR="00C5458E">
        <w:t xml:space="preserve"> drops and </w:t>
      </w:r>
      <w:r w:rsidR="00EF7654">
        <w:t xml:space="preserve">remains </w:t>
      </w:r>
      <w:r w:rsidR="00C5458E">
        <w:t>at around 20,000</w:t>
      </w:r>
      <w:r w:rsidR="00EF7654">
        <w:t xml:space="preserve"> annually</w:t>
      </w:r>
      <w:r w:rsidR="00C5458E">
        <w:t xml:space="preserve">. </w:t>
      </w:r>
      <w:r w:rsidR="00EF7654">
        <w:t>T</w:t>
      </w:r>
      <w:r w:rsidR="00C5458E">
        <w:t xml:space="preserve">he proportion non-zero citations show a cumulative </w:t>
      </w:r>
      <w:r w:rsidR="00EF7654">
        <w:t>increase</w:t>
      </w:r>
      <w:r w:rsidR="00C5458E">
        <w:t xml:space="preserve"> over time</w:t>
      </w:r>
      <w:r w:rsidR="00EF7654">
        <w:t xml:space="preserve">, the number of </w:t>
      </w:r>
      <w:r w:rsidR="00C5458E">
        <w:t>publication</w:t>
      </w:r>
      <w:r w:rsidR="00EF7654">
        <w:t>s mentioned</w:t>
      </w:r>
      <w:r w:rsidR="00C5458E">
        <w:t xml:space="preserve"> in tweets r</w:t>
      </w:r>
      <w:r w:rsidR="00EF7654">
        <w:t>o</w:t>
      </w:r>
      <w:r w:rsidR="00C5458E">
        <w:t>se from about 20% in 2010</w:t>
      </w:r>
      <w:r w:rsidR="00EF7654">
        <w:t xml:space="preserve"> (about the time when altmetric.com started to collect tweets)</w:t>
      </w:r>
      <w:r w:rsidR="00C5458E">
        <w:t xml:space="preserve"> to 76% in 2016 and then a fall to about 65% in 2022.</w:t>
      </w:r>
      <w:r w:rsidR="007F6028">
        <w:t xml:space="preserve"> </w:t>
      </w:r>
      <w:r w:rsidR="00832E44">
        <w:t>The proportion non-zero r</w:t>
      </w:r>
      <w:r w:rsidR="007F6028">
        <w:t>etweet</w:t>
      </w:r>
      <w:r w:rsidR="00832E44">
        <w:t>s</w:t>
      </w:r>
      <w:r w:rsidR="007F6028">
        <w:t xml:space="preserve"> </w:t>
      </w:r>
      <w:r w:rsidR="00EF7654">
        <w:t xml:space="preserve">shows a delayed </w:t>
      </w:r>
      <w:r w:rsidR="00832E44">
        <w:t>rise since 2013</w:t>
      </w:r>
      <w:r w:rsidR="00EF7654">
        <w:t>, rising</w:t>
      </w:r>
      <w:r w:rsidR="00832E44">
        <w:t xml:space="preserve"> to 40% </w:t>
      </w:r>
      <w:r w:rsidR="00B837B5">
        <w:t>by</w:t>
      </w:r>
      <w:r w:rsidR="00832E44">
        <w:t xml:space="preserve"> 2018</w:t>
      </w:r>
      <w:r w:rsidR="00EF7654">
        <w:t>, levelling off after that</w:t>
      </w:r>
      <w:r w:rsidR="00B837B5">
        <w:t xml:space="preserve">, while proportion tweeted has slightly dropped in </w:t>
      </w:r>
      <w:r w:rsidR="00EF7654">
        <w:t>the same</w:t>
      </w:r>
      <w:r w:rsidR="00B837B5">
        <w:t xml:space="preserve"> period.</w:t>
      </w:r>
    </w:p>
    <w:p w14:paraId="23782B98" w14:textId="1E687787" w:rsidR="00420B99" w:rsidRDefault="00420B99" w:rsidP="00835B6B">
      <w:pPr>
        <w:jc w:val="both"/>
      </w:pPr>
    </w:p>
    <w:p w14:paraId="28BE2F4A" w14:textId="77777777" w:rsidR="00762831" w:rsidRDefault="00762831" w:rsidP="00835B6B">
      <w:pPr>
        <w:jc w:val="both"/>
      </w:pPr>
    </w:p>
    <w:p w14:paraId="51AED42C" w14:textId="520FDD91" w:rsidR="006E7E5A" w:rsidRDefault="006E7E5A" w:rsidP="006E7E5A">
      <w:pPr>
        <w:keepNext/>
        <w:jc w:val="center"/>
      </w:pPr>
      <w:r>
        <w:lastRenderedPageBreak/>
        <w:t xml:space="preserve">Figure 1: </w:t>
      </w:r>
      <w:r w:rsidR="00247CEF">
        <w:t xml:space="preserve">Frequency </w:t>
      </w:r>
      <w:r w:rsidR="009C2CC5">
        <w:t xml:space="preserve">of </w:t>
      </w:r>
      <w:r w:rsidR="00187F0C">
        <w:t xml:space="preserve">total </w:t>
      </w:r>
      <w:r w:rsidR="009C2CC5">
        <w:t>publication</w:t>
      </w:r>
      <w:r w:rsidR="00187F0C">
        <w:t xml:space="preserve">s, publication cited, tweeted and retweeted </w:t>
      </w:r>
      <w:r w:rsidR="00247CEF">
        <w:t xml:space="preserve">and normalized proportion non-zero </w:t>
      </w:r>
      <w:r w:rsidR="00187F0C">
        <w:t xml:space="preserve">in </w:t>
      </w:r>
      <w:r w:rsidR="00C5458E">
        <w:t xml:space="preserve">the </w:t>
      </w:r>
      <w:r w:rsidR="00187F0C">
        <w:t>metrics</w:t>
      </w:r>
    </w:p>
    <w:p w14:paraId="3B0E75C0" w14:textId="21264AC7" w:rsidR="00835B6B" w:rsidRDefault="00835B6B" w:rsidP="006E7E5A">
      <w:pPr>
        <w:jc w:val="center"/>
      </w:pPr>
    </w:p>
    <w:p w14:paraId="67A3BF6F" w14:textId="79BC4757" w:rsidR="000613AB" w:rsidRDefault="00622A64" w:rsidP="006E7E5A">
      <w:pPr>
        <w:jc w:val="center"/>
      </w:pPr>
      <w:r>
        <w:rPr>
          <w:noProof/>
        </w:rPr>
        <w:drawing>
          <wp:inline distT="0" distB="0" distL="0" distR="0" wp14:anchorId="28C2BB97" wp14:editId="57206E8B">
            <wp:extent cx="4962525" cy="32280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241" cy="3250649"/>
                    </a:xfrm>
                    <a:prstGeom prst="rect">
                      <a:avLst/>
                    </a:prstGeom>
                    <a:noFill/>
                  </pic:spPr>
                </pic:pic>
              </a:graphicData>
            </a:graphic>
          </wp:inline>
        </w:drawing>
      </w:r>
    </w:p>
    <w:p w14:paraId="1BA9F752" w14:textId="6281C0F4" w:rsidR="00D837DB" w:rsidRDefault="00D837DB" w:rsidP="006E7E5A">
      <w:pPr>
        <w:jc w:val="center"/>
      </w:pPr>
    </w:p>
    <w:p w14:paraId="26D44B60" w14:textId="5776FB9C" w:rsidR="00D837DB" w:rsidRDefault="00D17172" w:rsidP="000D4BCE">
      <w:pPr>
        <w:jc w:val="both"/>
      </w:pPr>
      <w:r>
        <w:t xml:space="preserve">Presenting the results from the normalized proportion non-zero of metrics, </w:t>
      </w:r>
      <w:r w:rsidR="000B139A">
        <w:t xml:space="preserve">Figure 2 </w:t>
      </w:r>
      <w:r>
        <w:t>shows</w:t>
      </w:r>
      <w:r w:rsidR="000B139A">
        <w:t xml:space="preserve"> </w:t>
      </w:r>
      <w:r>
        <w:t xml:space="preserve">that on average 92% of publications in STEM fields had been cited, while only 82% in SSH fields had received citations. On average, 75% of articles in STEM had been tweeted, compared to 85% in SSH, while only 35% of STEM articles and 50% of SSH articles had been retweeted. </w:t>
      </w:r>
    </w:p>
    <w:p w14:paraId="616904CA" w14:textId="16E1071F" w:rsidR="0023363E" w:rsidRDefault="0023363E"/>
    <w:p w14:paraId="470C9939" w14:textId="2D52ED5E" w:rsidR="00A74DF1" w:rsidRDefault="00A74DF1" w:rsidP="00A74DF1">
      <w:pPr>
        <w:keepNext/>
        <w:jc w:val="center"/>
      </w:pPr>
      <w:r>
        <w:t xml:space="preserve">Figure 2: </w:t>
      </w:r>
      <w:r w:rsidR="00565D5A">
        <w:t>Normalized p</w:t>
      </w:r>
      <w:r w:rsidR="00B4316C">
        <w:t xml:space="preserve">roportion </w:t>
      </w:r>
      <w:r w:rsidR="00565D5A">
        <w:t>cited, tweeted and retweeted across fields</w:t>
      </w:r>
      <w:r>
        <w:t>.</w:t>
      </w:r>
    </w:p>
    <w:p w14:paraId="5DA929BC" w14:textId="77777777" w:rsidR="00A74DF1" w:rsidRDefault="00A74DF1" w:rsidP="006E7E5A">
      <w:pPr>
        <w:jc w:val="center"/>
      </w:pPr>
    </w:p>
    <w:p w14:paraId="34A2D506" w14:textId="6D67C234" w:rsidR="004F0B22" w:rsidRDefault="001F4112" w:rsidP="006E7E5A">
      <w:pPr>
        <w:jc w:val="center"/>
      </w:pPr>
      <w:r>
        <w:rPr>
          <w:noProof/>
        </w:rPr>
        <w:drawing>
          <wp:inline distT="0" distB="0" distL="0" distR="0" wp14:anchorId="4FBA951C" wp14:editId="16D43D19">
            <wp:extent cx="4885080" cy="3638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7146" cy="3684779"/>
                    </a:xfrm>
                    <a:prstGeom prst="rect">
                      <a:avLst/>
                    </a:prstGeom>
                    <a:noFill/>
                  </pic:spPr>
                </pic:pic>
              </a:graphicData>
            </a:graphic>
          </wp:inline>
        </w:drawing>
      </w:r>
    </w:p>
    <w:p w14:paraId="3F2E446D" w14:textId="77777777" w:rsidR="00971A3D" w:rsidRDefault="00971A3D" w:rsidP="00971A3D">
      <w:pPr>
        <w:pStyle w:val="Heading3"/>
        <w:jc w:val="both"/>
      </w:pPr>
      <w:r>
        <w:lastRenderedPageBreak/>
        <w:t>4.2. W</w:t>
      </w:r>
      <w:r w:rsidRPr="00487BAB">
        <w:t>orld normalised proportion non-zero</w:t>
      </w:r>
      <w:r>
        <w:t xml:space="preserve"> for metrics or </w:t>
      </w:r>
      <w:r w:rsidRPr="00C64AA2">
        <w:t>EMNPC</w:t>
      </w:r>
    </w:p>
    <w:p w14:paraId="6D03E66E" w14:textId="7A6A2D93" w:rsidR="00971A3D" w:rsidRDefault="00053E64" w:rsidP="00971A3D">
      <w:pPr>
        <w:jc w:val="both"/>
      </w:pPr>
      <w:r>
        <w:t xml:space="preserve">Figure 3 </w:t>
      </w:r>
      <w:r w:rsidR="00D17172">
        <w:t>shows</w:t>
      </w:r>
      <w:r>
        <w:t xml:space="preserve"> that after world normalization of proportions non-zero</w:t>
      </w:r>
      <w:r w:rsidR="00D17172">
        <w:t>,</w:t>
      </w:r>
      <w:r>
        <w:t xml:space="preserve"> both tweets and retweets appear significantly above world average in SSH fields </w:t>
      </w:r>
      <w:r w:rsidR="00D17172">
        <w:t xml:space="preserve">for STEM the results are mixed both below and </w:t>
      </w:r>
      <w:r>
        <w:t xml:space="preserve">above </w:t>
      </w:r>
      <w:r w:rsidR="00D17172">
        <w:t xml:space="preserve">the </w:t>
      </w:r>
      <w:r>
        <w:t xml:space="preserve">world average. </w:t>
      </w:r>
      <w:r w:rsidR="00D17172">
        <w:t xml:space="preserve">Mathematical Science, Earth Science, Environmental Science and Information and Computing Sciences all show EMNCP &gt;1 for tweets and &gt; 1.5 for retweets, while </w:t>
      </w:r>
      <w:r w:rsidR="00285A49">
        <w:t xml:space="preserve">all the other STEM fields </w:t>
      </w:r>
      <w:r w:rsidR="00D17172">
        <w:t>remain below the world average.</w:t>
      </w:r>
      <w:r w:rsidR="00285A49">
        <w:t xml:space="preserve"> The </w:t>
      </w:r>
      <w:r w:rsidR="00D17172">
        <w:t xml:space="preserve">results also showed that the </w:t>
      </w:r>
      <w:r w:rsidR="00285A49">
        <w:t xml:space="preserve">diversion from the world average for retweets is at higher magnitude than </w:t>
      </w:r>
      <w:r w:rsidR="00D17172">
        <w:t xml:space="preserve">for </w:t>
      </w:r>
      <w:r w:rsidR="00C163F7">
        <w:t xml:space="preserve">original </w:t>
      </w:r>
      <w:r w:rsidR="00285A49">
        <w:t xml:space="preserve">tweets </w:t>
      </w:r>
      <w:r w:rsidR="00D17172">
        <w:t>across</w:t>
      </w:r>
      <w:r w:rsidR="00285A49">
        <w:t xml:space="preserve"> all fields</w:t>
      </w:r>
      <w:r w:rsidR="00D17172">
        <w:t xml:space="preserve">; for above world average counts, the </w:t>
      </w:r>
      <w:r w:rsidR="00285A49">
        <w:t xml:space="preserve">proportion non-zero retweets </w:t>
      </w:r>
      <w:r w:rsidR="00D17172">
        <w:t>was</w:t>
      </w:r>
      <w:r w:rsidR="00285A49">
        <w:t xml:space="preserve"> significantly higher than </w:t>
      </w:r>
      <w:r w:rsidR="00D17172">
        <w:t xml:space="preserve">for </w:t>
      </w:r>
      <w:r w:rsidR="00285A49">
        <w:t>tweets</w:t>
      </w:r>
      <w:r w:rsidR="00D17172">
        <w:t xml:space="preserve">, and for </w:t>
      </w:r>
      <w:r w:rsidR="00285A49">
        <w:t>below world average</w:t>
      </w:r>
      <w:r w:rsidR="00D17172">
        <w:t xml:space="preserve"> counts, the proportion non-zero retweets was significantly lower than for tweets. This may suggest</w:t>
      </w:r>
      <w:r w:rsidR="00CE2BCA">
        <w:t xml:space="preserve"> a </w:t>
      </w:r>
      <w:r w:rsidR="005928F5">
        <w:t>greater</w:t>
      </w:r>
      <w:r w:rsidR="00CE2BCA">
        <w:t xml:space="preserve"> discrepancy across fields</w:t>
      </w:r>
      <w:r w:rsidR="008441BC">
        <w:t xml:space="preserve"> in terms of </w:t>
      </w:r>
      <w:r w:rsidR="009507E8">
        <w:t>retweeting behaviour.</w:t>
      </w:r>
      <w:r w:rsidR="00285A49">
        <w:t xml:space="preserve"> </w:t>
      </w:r>
    </w:p>
    <w:p w14:paraId="6F5BD1D9" w14:textId="172804F4" w:rsidR="004F0B22" w:rsidRDefault="004F0B22" w:rsidP="006E7E5A">
      <w:pPr>
        <w:jc w:val="center"/>
      </w:pPr>
    </w:p>
    <w:p w14:paraId="3DB2F3AE" w14:textId="404B59F5" w:rsidR="00A74DF1" w:rsidRDefault="00A74DF1" w:rsidP="002B6E9A">
      <w:pPr>
        <w:jc w:val="center"/>
      </w:pPr>
      <w:r>
        <w:t xml:space="preserve">Figure 3: </w:t>
      </w:r>
      <w:r w:rsidR="00565D5A">
        <w:t>World normalized proportion cited, tweeted and retweeted across fields</w:t>
      </w:r>
      <w:r>
        <w:t>.</w:t>
      </w:r>
    </w:p>
    <w:p w14:paraId="186029E5" w14:textId="77777777" w:rsidR="00A74DF1" w:rsidRDefault="00A74DF1" w:rsidP="006E7E5A">
      <w:pPr>
        <w:jc w:val="center"/>
      </w:pPr>
    </w:p>
    <w:p w14:paraId="7552BEEF" w14:textId="28C12573" w:rsidR="00682A97" w:rsidRDefault="001F4112" w:rsidP="006E7E5A">
      <w:pPr>
        <w:jc w:val="center"/>
      </w:pPr>
      <w:r>
        <w:rPr>
          <w:noProof/>
        </w:rPr>
        <w:drawing>
          <wp:inline distT="0" distB="0" distL="0" distR="0" wp14:anchorId="296E29D5" wp14:editId="21300D0E">
            <wp:extent cx="5514975" cy="412970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7433" cy="4161497"/>
                    </a:xfrm>
                    <a:prstGeom prst="rect">
                      <a:avLst/>
                    </a:prstGeom>
                    <a:noFill/>
                  </pic:spPr>
                </pic:pic>
              </a:graphicData>
            </a:graphic>
          </wp:inline>
        </w:drawing>
      </w:r>
    </w:p>
    <w:p w14:paraId="2BEE1C63" w14:textId="77777777" w:rsidR="009E675F" w:rsidRPr="00F729E0" w:rsidRDefault="009E675F" w:rsidP="009E675F">
      <w:pPr>
        <w:pStyle w:val="Heading3"/>
      </w:pPr>
      <w:r>
        <w:t xml:space="preserve">4.3. </w:t>
      </w:r>
      <w:r w:rsidRPr="00487BAB">
        <w:t>Geometric mean</w:t>
      </w:r>
      <w:r>
        <w:t xml:space="preserve"> </w:t>
      </w:r>
      <w:r w:rsidRPr="00752A70">
        <w:t>Citations vs. Original tweets and Retweets</w:t>
      </w:r>
    </w:p>
    <w:p w14:paraId="64124F2D" w14:textId="3E3B18B7" w:rsidR="00762831" w:rsidRPr="00422820" w:rsidRDefault="008F224B" w:rsidP="006414C8">
      <w:pPr>
        <w:jc w:val="both"/>
      </w:pPr>
      <w:r>
        <w:t>Figure 4 illustrates the changes in geometric mean metrics over time</w:t>
      </w:r>
      <w:r w:rsidR="00137CEA">
        <w:t>, showing that the</w:t>
      </w:r>
      <w:r>
        <w:t xml:space="preserve"> geometric mean </w:t>
      </w:r>
      <w:r w:rsidR="00137CEA">
        <w:t xml:space="preserve">for </w:t>
      </w:r>
      <w:r>
        <w:t xml:space="preserve">citations peaked at about 49 in 2008 before gradually dropping over years. </w:t>
      </w:r>
      <w:r w:rsidR="00137CEA">
        <w:t>T</w:t>
      </w:r>
      <w:r>
        <w:t>he trend is</w:t>
      </w:r>
      <w:r w:rsidR="00137CEA">
        <w:t>, however,</w:t>
      </w:r>
      <w:r w:rsidR="002D09AB">
        <w:t xml:space="preserve"> almost</w:t>
      </w:r>
      <w:r>
        <w:t xml:space="preserve"> reversed </w:t>
      </w:r>
      <w:r w:rsidR="00137CEA">
        <w:t>for</w:t>
      </w:r>
      <w:r>
        <w:t xml:space="preserve"> </w:t>
      </w:r>
      <w:r w:rsidR="00137CEA">
        <w:t xml:space="preserve">the </w:t>
      </w:r>
      <w:r>
        <w:t>metrics</w:t>
      </w:r>
      <w:r w:rsidR="00137CEA">
        <w:t xml:space="preserve"> from Twitter</w:t>
      </w:r>
      <w:r>
        <w:t xml:space="preserve">, </w:t>
      </w:r>
      <w:r w:rsidR="00137CEA">
        <w:t>showing a</w:t>
      </w:r>
      <w:r>
        <w:t xml:space="preserve"> slow drop between 2003 and 2009 </w:t>
      </w:r>
      <w:r w:rsidR="00137CEA">
        <w:t>(&lt;1)</w:t>
      </w:r>
      <w:r>
        <w:t xml:space="preserve"> before ris</w:t>
      </w:r>
      <w:r w:rsidR="00137CEA">
        <w:t>ing</w:t>
      </w:r>
      <w:r>
        <w:t xml:space="preserve"> to about 3</w:t>
      </w:r>
      <w:r w:rsidRPr="008F224B">
        <w:t xml:space="preserve"> </w:t>
      </w:r>
      <w:r w:rsidR="00137CEA">
        <w:t xml:space="preserve">for </w:t>
      </w:r>
      <w:r>
        <w:t>total tweets in 2018</w:t>
      </w:r>
      <w:r w:rsidR="00137CEA">
        <w:t xml:space="preserve"> (about </w:t>
      </w:r>
      <w:r>
        <w:t xml:space="preserve">2 </w:t>
      </w:r>
      <w:r w:rsidR="00137CEA">
        <w:t>for ori</w:t>
      </w:r>
      <w:r>
        <w:t>ginal tweets</w:t>
      </w:r>
      <w:r w:rsidR="00137CEA">
        <w:t xml:space="preserve"> and </w:t>
      </w:r>
      <w:r>
        <w:t xml:space="preserve">1.25 </w:t>
      </w:r>
      <w:r w:rsidR="00137CEA">
        <w:t>for</w:t>
      </w:r>
      <w:r>
        <w:t xml:space="preserve"> retweets</w:t>
      </w:r>
      <w:r w:rsidR="00137CEA">
        <w:t xml:space="preserve">), soon after which </w:t>
      </w:r>
      <w:r w:rsidR="002D09AB">
        <w:t xml:space="preserve">they </w:t>
      </w:r>
      <w:r w:rsidR="00137CEA">
        <w:t xml:space="preserve">too </w:t>
      </w:r>
      <w:r w:rsidR="002D09AB">
        <w:t xml:space="preserve">start to </w:t>
      </w:r>
      <w:r w:rsidR="00137CEA">
        <w:t>fall</w:t>
      </w:r>
      <w:r w:rsidR="002D09AB">
        <w:t xml:space="preserve">. </w:t>
      </w:r>
      <w:r w:rsidR="006414C8">
        <w:t xml:space="preserve">The average geometric mean citations across STEM fields is 14, while about 9 across SS&amp;H fields. In contrast, the average geometric mean all tweets, original tweets and retweets across STEM fields (3, 2 and 1, respectively) is approximately half the SS&amp;H fields (6, 4, and 2). </w:t>
      </w:r>
    </w:p>
    <w:p w14:paraId="5D23C0A9" w14:textId="5E9D7A64" w:rsidR="00682A97" w:rsidRDefault="00682A97" w:rsidP="00C807F1">
      <w:pPr>
        <w:jc w:val="both"/>
      </w:pPr>
    </w:p>
    <w:p w14:paraId="0919AFEA" w14:textId="53A7AFDA" w:rsidR="00813999" w:rsidRDefault="00813999" w:rsidP="006E7E5A">
      <w:pPr>
        <w:jc w:val="center"/>
      </w:pPr>
    </w:p>
    <w:p w14:paraId="631216AF" w14:textId="77777777" w:rsidR="00762831" w:rsidRDefault="00762831" w:rsidP="006E7E5A">
      <w:pPr>
        <w:jc w:val="center"/>
      </w:pPr>
    </w:p>
    <w:p w14:paraId="39A84583" w14:textId="32F729F7" w:rsidR="00A74DF1" w:rsidRDefault="00A74DF1" w:rsidP="00A74DF1">
      <w:pPr>
        <w:keepNext/>
        <w:jc w:val="center"/>
      </w:pPr>
      <w:r>
        <w:lastRenderedPageBreak/>
        <w:t xml:space="preserve">Figure 4: </w:t>
      </w:r>
      <w:r w:rsidR="00B7261F">
        <w:t xml:space="preserve">Geometric mean Scopus citations, tweets, original tweets and retweets </w:t>
      </w:r>
      <w:r w:rsidR="00762831">
        <w:t xml:space="preserve">over </w:t>
      </w:r>
      <w:r w:rsidR="00E63B37">
        <w:t>years</w:t>
      </w:r>
      <w:r>
        <w:t>.</w:t>
      </w:r>
    </w:p>
    <w:p w14:paraId="41BFBAB4" w14:textId="77777777" w:rsidR="00A74DF1" w:rsidRDefault="00A74DF1" w:rsidP="006E7E5A">
      <w:pPr>
        <w:jc w:val="center"/>
      </w:pPr>
    </w:p>
    <w:p w14:paraId="3CCCDA4B" w14:textId="077F828B" w:rsidR="00813999" w:rsidRDefault="00CC44F9" w:rsidP="006E7E5A">
      <w:pPr>
        <w:jc w:val="center"/>
      </w:pPr>
      <w:r>
        <w:rPr>
          <w:noProof/>
        </w:rPr>
        <w:drawing>
          <wp:inline distT="0" distB="0" distL="0" distR="0" wp14:anchorId="7FE89AF9" wp14:editId="4A1F59DF">
            <wp:extent cx="6006382" cy="222158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7821" cy="2251703"/>
                    </a:xfrm>
                    <a:prstGeom prst="rect">
                      <a:avLst/>
                    </a:prstGeom>
                    <a:noFill/>
                  </pic:spPr>
                </pic:pic>
              </a:graphicData>
            </a:graphic>
          </wp:inline>
        </w:drawing>
      </w:r>
    </w:p>
    <w:p w14:paraId="7C7265C9" w14:textId="77777777" w:rsidR="00422820" w:rsidRDefault="00422820" w:rsidP="00A74DF1">
      <w:pPr>
        <w:keepNext/>
        <w:jc w:val="center"/>
      </w:pPr>
    </w:p>
    <w:p w14:paraId="63AF1773" w14:textId="77777777" w:rsidR="009E675F" w:rsidRDefault="009E675F" w:rsidP="009E675F">
      <w:pPr>
        <w:pStyle w:val="Heading3"/>
      </w:pPr>
      <w:r>
        <w:t>4.4. W</w:t>
      </w:r>
      <w:r w:rsidRPr="00487BAB">
        <w:t xml:space="preserve">orld normalised </w:t>
      </w:r>
      <w:r>
        <w:t>m</w:t>
      </w:r>
      <w:r w:rsidRPr="00487BAB">
        <w:t xml:space="preserve">ean </w:t>
      </w:r>
      <w:r>
        <w:t xml:space="preserve">metrics or </w:t>
      </w:r>
      <w:r w:rsidRPr="00C64AA2">
        <w:t>MNLCS</w:t>
      </w:r>
    </w:p>
    <w:p w14:paraId="4F194903" w14:textId="5CA42A96" w:rsidR="00A74DF1" w:rsidRDefault="000270D6" w:rsidP="00380445">
      <w:pPr>
        <w:jc w:val="both"/>
      </w:pPr>
      <w:r>
        <w:t>T</w:t>
      </w:r>
      <w:r w:rsidR="00DB3FEF">
        <w:t>he</w:t>
      </w:r>
      <w:r w:rsidR="00485D98">
        <w:t xml:space="preserve"> </w:t>
      </w:r>
      <w:r w:rsidR="00220E3B">
        <w:t xml:space="preserve">mean of </w:t>
      </w:r>
      <w:r w:rsidR="00485D98">
        <w:t>world normaliz</w:t>
      </w:r>
      <w:r w:rsidR="00220E3B">
        <w:t xml:space="preserve">ed </w:t>
      </w:r>
      <w:proofErr w:type="gramStart"/>
      <w:r w:rsidR="00220E3B">
        <w:t>ln(</w:t>
      </w:r>
      <w:proofErr w:type="gramEnd"/>
      <w:r w:rsidR="00220E3B">
        <w:t>1+ raw metric values)</w:t>
      </w:r>
      <w:r w:rsidR="00DB3FEF">
        <w:t xml:space="preserve"> metrics</w:t>
      </w:r>
      <w:r>
        <w:t xml:space="preserve"> from Twitter mentions</w:t>
      </w:r>
      <w:r w:rsidR="00DB3FEF">
        <w:t xml:space="preserve"> </w:t>
      </w:r>
      <w:r w:rsidR="008379D7">
        <w:t>indicate subject</w:t>
      </w:r>
      <w:r w:rsidR="00DB3FEF">
        <w:t xml:space="preserve"> bias</w:t>
      </w:r>
      <w:r>
        <w:t xml:space="preserve"> (Figure 6)</w:t>
      </w:r>
      <w:r w:rsidR="00DB3FEF">
        <w:t xml:space="preserve">. </w:t>
      </w:r>
      <w:r>
        <w:t xml:space="preserve">In </w:t>
      </w:r>
      <w:r w:rsidR="008379D7">
        <w:t>STEM fields</w:t>
      </w:r>
      <w:r>
        <w:t>,</w:t>
      </w:r>
      <w:r w:rsidR="008379D7">
        <w:t xml:space="preserve"> such as Chemical Science</w:t>
      </w:r>
      <w:r>
        <w:t>,</w:t>
      </w:r>
      <w:r w:rsidR="008379D7">
        <w:t xml:space="preserve"> </w:t>
      </w:r>
      <w:r>
        <w:t xml:space="preserve">the results are below the world average for </w:t>
      </w:r>
      <w:r w:rsidR="008379D7">
        <w:t xml:space="preserve">tweets and retweets, while slightly above </w:t>
      </w:r>
      <w:r>
        <w:t>it for citations, but the case is very different for the SS</w:t>
      </w:r>
      <w:r w:rsidR="008857C3">
        <w:t>&amp;</w:t>
      </w:r>
      <w:r>
        <w:t xml:space="preserve">H fields. A </w:t>
      </w:r>
      <w:r w:rsidR="008379D7">
        <w:t>majority of SS</w:t>
      </w:r>
      <w:r w:rsidR="008857C3">
        <w:t>&amp;</w:t>
      </w:r>
      <w:r w:rsidR="008379D7">
        <w:t xml:space="preserve">H fields perform below world average in citations, </w:t>
      </w:r>
      <w:r>
        <w:t xml:space="preserve">but </w:t>
      </w:r>
      <w:r w:rsidR="008379D7">
        <w:t xml:space="preserve">significantly above the world average </w:t>
      </w:r>
      <w:r>
        <w:t>in tweets and original tweets (</w:t>
      </w:r>
      <w:r w:rsidR="008379D7">
        <w:t>up</w:t>
      </w:r>
      <w:r>
        <w:t xml:space="preserve"> </w:t>
      </w:r>
      <w:r w:rsidR="008379D7">
        <w:t xml:space="preserve">to 1.5 times the world </w:t>
      </w:r>
      <w:r>
        <w:t>average)</w:t>
      </w:r>
      <w:r w:rsidR="008379D7">
        <w:t xml:space="preserve"> and </w:t>
      </w:r>
      <w:r w:rsidR="00DB3FEF">
        <w:t xml:space="preserve">3.5 times </w:t>
      </w:r>
      <w:r>
        <w:t xml:space="preserve">the world average in </w:t>
      </w:r>
      <w:r w:rsidR="008379D7">
        <w:t>retweets</w:t>
      </w:r>
      <w:r>
        <w:t xml:space="preserve"> (e.g., History and archaeology, and Creative arts and writing).</w:t>
      </w:r>
    </w:p>
    <w:p w14:paraId="4CA35396" w14:textId="743A710C" w:rsidR="0023363E" w:rsidRDefault="0023363E"/>
    <w:p w14:paraId="1812E56A" w14:textId="5815852F" w:rsidR="00A74DF1" w:rsidRDefault="00A74DF1" w:rsidP="00A74DF1">
      <w:pPr>
        <w:keepNext/>
        <w:jc w:val="center"/>
      </w:pPr>
      <w:r w:rsidRPr="0023363E">
        <w:t xml:space="preserve">Figure 6: </w:t>
      </w:r>
      <w:r w:rsidR="006414C8" w:rsidRPr="0023363E">
        <w:t xml:space="preserve">Mean of world normalized </w:t>
      </w:r>
      <w:proofErr w:type="gramStart"/>
      <w:r w:rsidR="006414C8" w:rsidRPr="0023363E">
        <w:t>ln(</w:t>
      </w:r>
      <w:proofErr w:type="gramEnd"/>
      <w:r w:rsidR="006414C8" w:rsidRPr="0023363E">
        <w:t>1+raw citation, tweet, or retweet count) across fields.</w:t>
      </w:r>
    </w:p>
    <w:p w14:paraId="644E56A6" w14:textId="010FE03C" w:rsidR="00C362C6" w:rsidRDefault="00C362C6" w:rsidP="00C362C6"/>
    <w:p w14:paraId="54DAD8A9" w14:textId="7FEC2D17" w:rsidR="00C362C6" w:rsidRDefault="00744ECE" w:rsidP="00E67EEF">
      <w:pPr>
        <w:jc w:val="center"/>
      </w:pPr>
      <w:r>
        <w:rPr>
          <w:noProof/>
        </w:rPr>
        <w:drawing>
          <wp:inline distT="0" distB="0" distL="0" distR="0" wp14:anchorId="1A65A46D" wp14:editId="7D0A3A1A">
            <wp:extent cx="5457825" cy="40782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673" cy="4114049"/>
                    </a:xfrm>
                    <a:prstGeom prst="rect">
                      <a:avLst/>
                    </a:prstGeom>
                    <a:noFill/>
                  </pic:spPr>
                </pic:pic>
              </a:graphicData>
            </a:graphic>
          </wp:inline>
        </w:drawing>
      </w:r>
    </w:p>
    <w:p w14:paraId="3124BBBE" w14:textId="6943259D" w:rsidR="00DB7BFD" w:rsidRDefault="00DB7BFD" w:rsidP="00C362C6"/>
    <w:p w14:paraId="184F08E1" w14:textId="77777777" w:rsidR="009E675F" w:rsidRDefault="009E675F" w:rsidP="009E675F">
      <w:pPr>
        <w:pStyle w:val="Heading3"/>
      </w:pPr>
      <w:r>
        <w:t>4.5. Spearman’s Correlation between Citations and different types of tweets</w:t>
      </w:r>
    </w:p>
    <w:p w14:paraId="5FD64A6E" w14:textId="68A9E71B" w:rsidR="00BD6417" w:rsidRDefault="00C54DD3" w:rsidP="000270D6">
      <w:pPr>
        <w:jc w:val="both"/>
      </w:pPr>
      <w:r>
        <w:t>Table 2 gives the number of total publication</w:t>
      </w:r>
      <w:r w:rsidR="005E61D0">
        <w:t>s</w:t>
      </w:r>
      <w:r>
        <w:t xml:space="preserve">, </w:t>
      </w:r>
      <w:r w:rsidR="005E61D0">
        <w:t xml:space="preserve">and </w:t>
      </w:r>
      <w:r>
        <w:t>publications with at least one citation, original tweet and retweet</w:t>
      </w:r>
      <w:r w:rsidR="005E61D0">
        <w:t xml:space="preserve"> over the period of 2010-2023. This table helps to figure ou</w:t>
      </w:r>
      <w:r w:rsidR="008857C3">
        <w:t>t</w:t>
      </w:r>
      <w:r w:rsidR="005E61D0">
        <w:t xml:space="preserve"> the count of papers in the Spearman’s correlation analysis including zeros and only non-zeros in the Figure</w:t>
      </w:r>
      <w:r w:rsidR="00422B85">
        <w:t xml:space="preserve"> 7</w:t>
      </w:r>
      <w:r w:rsidR="005E61D0">
        <w:t xml:space="preserve">. </w:t>
      </w:r>
      <w:r w:rsidR="000270D6">
        <w:t>T</w:t>
      </w:r>
      <w:r w:rsidR="00A71D46">
        <w:t xml:space="preserve">he </w:t>
      </w:r>
      <w:r w:rsidR="00562899">
        <w:t>correlation coefficients between citations and all tweet me</w:t>
      </w:r>
      <w:r w:rsidR="000D2FA5">
        <w:t>t</w:t>
      </w:r>
      <w:r w:rsidR="00562899">
        <w:t xml:space="preserve">rics </w:t>
      </w:r>
      <w:r w:rsidR="000270D6">
        <w:t xml:space="preserve">showed stronger correlations when the zeros, i.e., articles with no citations or tweets, were included in the calculation (Figure 7). The correlations were weak but significant across the line. </w:t>
      </w:r>
      <w:r w:rsidR="00340723">
        <w:t xml:space="preserve">The </w:t>
      </w:r>
      <w:r w:rsidR="000270D6">
        <w:t xml:space="preserve">strength of the </w:t>
      </w:r>
      <w:r w:rsidR="00340723">
        <w:t>relationship between citations and tweets</w:t>
      </w:r>
      <w:r w:rsidR="000270D6">
        <w:t xml:space="preserve"> has, however, first increased over time and then from 2019 started to fall</w:t>
      </w:r>
      <w:r w:rsidR="00467138">
        <w:t>, suggesting that citation takes time to be accrued and hence the relationships with citations lack strength.</w:t>
      </w:r>
      <w:r w:rsidR="00340723">
        <w:t xml:space="preserve"> Furthermore,</w:t>
      </w:r>
      <w:r w:rsidR="00B11BA2">
        <w:t xml:space="preserve"> as of STEM fields when zero metric counts are included,</w:t>
      </w:r>
      <w:r w:rsidR="00340723">
        <w:t xml:space="preserve"> the correlation coefficients </w:t>
      </w:r>
      <w:r w:rsidR="000270D6">
        <w:t>we</w:t>
      </w:r>
      <w:r w:rsidR="00340723">
        <w:t xml:space="preserve">re </w:t>
      </w:r>
      <w:r w:rsidR="00881F78">
        <w:t xml:space="preserve">slightly </w:t>
      </w:r>
      <w:r w:rsidR="00340723">
        <w:t xml:space="preserve">stronger </w:t>
      </w:r>
      <w:r w:rsidR="00B11BA2">
        <w:t xml:space="preserve">for </w:t>
      </w:r>
      <w:r w:rsidR="00B11BA2" w:rsidRPr="00895183">
        <w:rPr>
          <w:i/>
        </w:rPr>
        <w:t>all tweets</w:t>
      </w:r>
      <w:r w:rsidR="00B11BA2">
        <w:t xml:space="preserve"> </w:t>
      </w:r>
      <w:r w:rsidR="00340723">
        <w:t>than</w:t>
      </w:r>
      <w:r w:rsidR="000270D6">
        <w:t xml:space="preserve"> </w:t>
      </w:r>
      <w:r w:rsidR="00340723" w:rsidRPr="00895183">
        <w:rPr>
          <w:i/>
        </w:rPr>
        <w:t>original tweets</w:t>
      </w:r>
      <w:r w:rsidR="00340723">
        <w:t xml:space="preserve"> from </w:t>
      </w:r>
      <w:r w:rsidR="00B11BA2">
        <w:t xml:space="preserve">2011 </w:t>
      </w:r>
      <w:r w:rsidR="00881F78">
        <w:t>(r = .</w:t>
      </w:r>
      <w:r w:rsidR="00B11BA2">
        <w:t xml:space="preserve">157 </w:t>
      </w:r>
      <w:r w:rsidR="00E47611">
        <w:t>&gt;</w:t>
      </w:r>
      <w:r w:rsidR="00881F78">
        <w:t xml:space="preserve"> .</w:t>
      </w:r>
      <w:r w:rsidR="00B11BA2">
        <w:t>151</w:t>
      </w:r>
      <w:r w:rsidR="00FB3B46">
        <w:t>, respectively</w:t>
      </w:r>
      <w:r w:rsidR="00881F78">
        <w:t xml:space="preserve">) </w:t>
      </w:r>
      <w:r w:rsidR="00340723">
        <w:t>through 2018</w:t>
      </w:r>
      <w:r w:rsidR="00881F78">
        <w:t xml:space="preserve"> (r = .</w:t>
      </w:r>
      <w:r w:rsidR="00B11BA2">
        <w:t xml:space="preserve">299 </w:t>
      </w:r>
      <w:r w:rsidR="00E47611">
        <w:t>&gt;</w:t>
      </w:r>
      <w:r w:rsidR="00881F78">
        <w:t xml:space="preserve"> .</w:t>
      </w:r>
      <w:r w:rsidR="00B11BA2">
        <w:t>296</w:t>
      </w:r>
      <w:r w:rsidR="00881F78">
        <w:t>)</w:t>
      </w:r>
      <w:r w:rsidR="00340723">
        <w:t xml:space="preserve">, </w:t>
      </w:r>
      <w:r w:rsidR="00B11BA2">
        <w:t xml:space="preserve">however the trend is reversed </w:t>
      </w:r>
      <w:r w:rsidR="00340723">
        <w:t xml:space="preserve">since 2019 </w:t>
      </w:r>
      <w:r w:rsidR="00881F78">
        <w:t>(r = .</w:t>
      </w:r>
      <w:r w:rsidR="00B11BA2">
        <w:t xml:space="preserve">299 </w:t>
      </w:r>
      <w:r w:rsidR="00E47611">
        <w:t>&lt;</w:t>
      </w:r>
      <w:r w:rsidR="00881F78">
        <w:t xml:space="preserve"> .</w:t>
      </w:r>
      <w:r w:rsidR="00B11BA2">
        <w:t>303</w:t>
      </w:r>
      <w:r w:rsidR="00881F78">
        <w:t xml:space="preserve">) </w:t>
      </w:r>
      <w:r w:rsidR="00B11BA2">
        <w:t xml:space="preserve">when the </w:t>
      </w:r>
      <w:r w:rsidR="00340723">
        <w:t xml:space="preserve">relationship </w:t>
      </w:r>
      <w:r w:rsidR="00B11BA2">
        <w:t xml:space="preserve">appears to be slightly stronger </w:t>
      </w:r>
      <w:r w:rsidR="00340723">
        <w:t xml:space="preserve">between </w:t>
      </w:r>
      <w:r w:rsidR="000270D6">
        <w:t xml:space="preserve">citations and </w:t>
      </w:r>
      <w:r w:rsidR="00340723">
        <w:t xml:space="preserve">original tweets than </w:t>
      </w:r>
      <w:r w:rsidR="000270D6">
        <w:t xml:space="preserve">for </w:t>
      </w:r>
      <w:r w:rsidR="00881F78">
        <w:t>all tweets in both zero-included and non-zero datasets.</w:t>
      </w:r>
    </w:p>
    <w:p w14:paraId="63CEB0B1" w14:textId="77777777" w:rsidR="00380445" w:rsidRDefault="00380445" w:rsidP="000270D6">
      <w:pPr>
        <w:jc w:val="both"/>
      </w:pPr>
    </w:p>
    <w:p w14:paraId="3C92E6ED" w14:textId="5A7FB4EF" w:rsidR="00380445" w:rsidRDefault="00380445" w:rsidP="00380445">
      <w:pPr>
        <w:keepNext/>
        <w:jc w:val="center"/>
      </w:pPr>
      <w:r>
        <w:t>Table 2: Count of all publication, and publication with at least one Scopus citations, a tweet, or a retweet over time.</w:t>
      </w:r>
    </w:p>
    <w:p w14:paraId="6AB1DE13" w14:textId="77777777" w:rsidR="00380445" w:rsidRDefault="00380445" w:rsidP="00380445">
      <w:pPr>
        <w:jc w:val="both"/>
      </w:pPr>
    </w:p>
    <w:tbl>
      <w:tblPr>
        <w:tblStyle w:val="TableGridLight"/>
        <w:tblW w:w="9536" w:type="dxa"/>
        <w:tblLook w:val="04A0" w:firstRow="1" w:lastRow="0" w:firstColumn="1" w:lastColumn="0" w:noHBand="0" w:noVBand="1"/>
      </w:tblPr>
      <w:tblGrid>
        <w:gridCol w:w="1140"/>
        <w:gridCol w:w="1194"/>
        <w:gridCol w:w="1020"/>
        <w:gridCol w:w="1020"/>
        <w:gridCol w:w="994"/>
        <w:gridCol w:w="1194"/>
        <w:gridCol w:w="1020"/>
        <w:gridCol w:w="960"/>
        <w:gridCol w:w="994"/>
      </w:tblGrid>
      <w:tr w:rsidR="00380445" w:rsidRPr="00147A40" w14:paraId="75E3C964" w14:textId="77777777" w:rsidTr="00147A40">
        <w:trPr>
          <w:trHeight w:val="290"/>
        </w:trPr>
        <w:tc>
          <w:tcPr>
            <w:tcW w:w="1140" w:type="dxa"/>
            <w:vMerge w:val="restart"/>
            <w:noWrap/>
            <w:hideMark/>
          </w:tcPr>
          <w:p w14:paraId="44A16B40" w14:textId="77777777" w:rsidR="00380445" w:rsidRPr="00147A40" w:rsidRDefault="00380445" w:rsidP="00147A40">
            <w:pPr>
              <w:jc w:val="center"/>
              <w:rPr>
                <w:color w:val="000000"/>
                <w:sz w:val="20"/>
                <w:szCs w:val="20"/>
                <w:lang w:val="fi-FI" w:eastAsia="fi-FI"/>
              </w:rPr>
            </w:pPr>
            <w:r>
              <w:rPr>
                <w:color w:val="000000"/>
                <w:sz w:val="20"/>
                <w:szCs w:val="20"/>
              </w:rPr>
              <w:t>Publication year</w:t>
            </w:r>
          </w:p>
        </w:tc>
        <w:tc>
          <w:tcPr>
            <w:tcW w:w="4228" w:type="dxa"/>
            <w:gridSpan w:val="4"/>
            <w:noWrap/>
            <w:hideMark/>
          </w:tcPr>
          <w:p w14:paraId="7F9C42C0" w14:textId="77777777" w:rsidR="00380445" w:rsidRPr="00147A40" w:rsidRDefault="00380445" w:rsidP="00147A40">
            <w:pPr>
              <w:jc w:val="center"/>
              <w:rPr>
                <w:sz w:val="20"/>
                <w:szCs w:val="20"/>
              </w:rPr>
            </w:pPr>
            <w:r w:rsidRPr="00147A40">
              <w:rPr>
                <w:color w:val="000000"/>
                <w:sz w:val="20"/>
                <w:szCs w:val="20"/>
              </w:rPr>
              <w:t>STEM</w:t>
            </w:r>
          </w:p>
        </w:tc>
        <w:tc>
          <w:tcPr>
            <w:tcW w:w="4168" w:type="dxa"/>
            <w:gridSpan w:val="4"/>
            <w:noWrap/>
            <w:hideMark/>
          </w:tcPr>
          <w:p w14:paraId="28B9AB0D" w14:textId="77777777" w:rsidR="00380445" w:rsidRPr="00147A40" w:rsidRDefault="00380445" w:rsidP="00147A40">
            <w:pPr>
              <w:jc w:val="center"/>
              <w:rPr>
                <w:sz w:val="20"/>
                <w:szCs w:val="20"/>
              </w:rPr>
            </w:pPr>
            <w:r w:rsidRPr="00147A40">
              <w:rPr>
                <w:color w:val="000000"/>
                <w:sz w:val="20"/>
                <w:szCs w:val="20"/>
              </w:rPr>
              <w:t>SS&amp;H</w:t>
            </w:r>
          </w:p>
        </w:tc>
      </w:tr>
      <w:tr w:rsidR="00380445" w:rsidRPr="00147A40" w14:paraId="3A7BD9B2" w14:textId="77777777" w:rsidTr="00147A40">
        <w:trPr>
          <w:trHeight w:val="290"/>
        </w:trPr>
        <w:tc>
          <w:tcPr>
            <w:tcW w:w="1140" w:type="dxa"/>
            <w:vMerge/>
            <w:noWrap/>
            <w:hideMark/>
          </w:tcPr>
          <w:p w14:paraId="3EB1FFF5" w14:textId="77777777" w:rsidR="00380445" w:rsidRPr="00147A40" w:rsidRDefault="00380445" w:rsidP="00147A40">
            <w:pPr>
              <w:rPr>
                <w:sz w:val="20"/>
                <w:szCs w:val="20"/>
              </w:rPr>
            </w:pPr>
          </w:p>
        </w:tc>
        <w:tc>
          <w:tcPr>
            <w:tcW w:w="1194" w:type="dxa"/>
            <w:noWrap/>
            <w:hideMark/>
          </w:tcPr>
          <w:p w14:paraId="4DB532F1" w14:textId="77777777" w:rsidR="00380445" w:rsidRPr="00147A40" w:rsidRDefault="00380445" w:rsidP="00147A40">
            <w:pPr>
              <w:rPr>
                <w:color w:val="000000"/>
                <w:sz w:val="20"/>
                <w:szCs w:val="20"/>
              </w:rPr>
            </w:pPr>
            <w:r w:rsidRPr="00147A40">
              <w:rPr>
                <w:color w:val="000000"/>
                <w:sz w:val="20"/>
                <w:szCs w:val="20"/>
              </w:rPr>
              <w:t>publications</w:t>
            </w:r>
          </w:p>
        </w:tc>
        <w:tc>
          <w:tcPr>
            <w:tcW w:w="1020" w:type="dxa"/>
            <w:noWrap/>
            <w:hideMark/>
          </w:tcPr>
          <w:p w14:paraId="3B7038B1" w14:textId="77777777" w:rsidR="00380445" w:rsidRPr="00147A40" w:rsidRDefault="00380445" w:rsidP="00147A40">
            <w:pPr>
              <w:rPr>
                <w:color w:val="000000"/>
                <w:sz w:val="20"/>
                <w:szCs w:val="20"/>
              </w:rPr>
            </w:pPr>
            <w:r w:rsidRPr="00147A40">
              <w:rPr>
                <w:color w:val="000000"/>
                <w:sz w:val="20"/>
                <w:szCs w:val="20"/>
              </w:rPr>
              <w:t>cited</w:t>
            </w:r>
          </w:p>
        </w:tc>
        <w:tc>
          <w:tcPr>
            <w:tcW w:w="1020" w:type="dxa"/>
            <w:noWrap/>
            <w:hideMark/>
          </w:tcPr>
          <w:p w14:paraId="5B3BC2C7" w14:textId="77777777" w:rsidR="00380445" w:rsidRPr="00147A40" w:rsidRDefault="00380445" w:rsidP="00147A40">
            <w:pPr>
              <w:rPr>
                <w:color w:val="000000"/>
                <w:sz w:val="20"/>
                <w:szCs w:val="20"/>
              </w:rPr>
            </w:pPr>
            <w:r w:rsidRPr="00147A40">
              <w:rPr>
                <w:color w:val="000000"/>
                <w:sz w:val="20"/>
                <w:szCs w:val="20"/>
              </w:rPr>
              <w:t>tweeted</w:t>
            </w:r>
          </w:p>
        </w:tc>
        <w:tc>
          <w:tcPr>
            <w:tcW w:w="994" w:type="dxa"/>
            <w:noWrap/>
            <w:hideMark/>
          </w:tcPr>
          <w:p w14:paraId="1EAC3C63" w14:textId="77777777" w:rsidR="00380445" w:rsidRPr="00147A40" w:rsidRDefault="00380445" w:rsidP="00147A40">
            <w:pPr>
              <w:rPr>
                <w:color w:val="000000"/>
                <w:sz w:val="20"/>
                <w:szCs w:val="20"/>
              </w:rPr>
            </w:pPr>
            <w:r w:rsidRPr="00147A40">
              <w:rPr>
                <w:color w:val="000000"/>
                <w:sz w:val="20"/>
                <w:szCs w:val="20"/>
              </w:rPr>
              <w:t>retweeted</w:t>
            </w:r>
          </w:p>
        </w:tc>
        <w:tc>
          <w:tcPr>
            <w:tcW w:w="1194" w:type="dxa"/>
            <w:noWrap/>
            <w:hideMark/>
          </w:tcPr>
          <w:p w14:paraId="5095719D" w14:textId="77777777" w:rsidR="00380445" w:rsidRPr="00147A40" w:rsidRDefault="00380445" w:rsidP="00147A40">
            <w:pPr>
              <w:rPr>
                <w:color w:val="000000"/>
                <w:sz w:val="20"/>
                <w:szCs w:val="20"/>
              </w:rPr>
            </w:pPr>
            <w:r w:rsidRPr="00147A40">
              <w:rPr>
                <w:color w:val="000000"/>
                <w:sz w:val="20"/>
                <w:szCs w:val="20"/>
              </w:rPr>
              <w:t>publications</w:t>
            </w:r>
          </w:p>
        </w:tc>
        <w:tc>
          <w:tcPr>
            <w:tcW w:w="1020" w:type="dxa"/>
            <w:noWrap/>
            <w:hideMark/>
          </w:tcPr>
          <w:p w14:paraId="10347119" w14:textId="77777777" w:rsidR="00380445" w:rsidRPr="00147A40" w:rsidRDefault="00380445" w:rsidP="00147A40">
            <w:pPr>
              <w:rPr>
                <w:color w:val="000000"/>
                <w:sz w:val="20"/>
                <w:szCs w:val="20"/>
              </w:rPr>
            </w:pPr>
            <w:r w:rsidRPr="00147A40">
              <w:rPr>
                <w:color w:val="000000"/>
                <w:sz w:val="20"/>
                <w:szCs w:val="20"/>
              </w:rPr>
              <w:t>cited</w:t>
            </w:r>
          </w:p>
        </w:tc>
        <w:tc>
          <w:tcPr>
            <w:tcW w:w="960" w:type="dxa"/>
            <w:noWrap/>
            <w:hideMark/>
          </w:tcPr>
          <w:p w14:paraId="46E3967C" w14:textId="77777777" w:rsidR="00380445" w:rsidRPr="00147A40" w:rsidRDefault="00380445" w:rsidP="00147A40">
            <w:pPr>
              <w:rPr>
                <w:color w:val="000000"/>
                <w:sz w:val="20"/>
                <w:szCs w:val="20"/>
              </w:rPr>
            </w:pPr>
            <w:r w:rsidRPr="00147A40">
              <w:rPr>
                <w:color w:val="000000"/>
                <w:sz w:val="20"/>
                <w:szCs w:val="20"/>
              </w:rPr>
              <w:t>tweeted</w:t>
            </w:r>
          </w:p>
        </w:tc>
        <w:tc>
          <w:tcPr>
            <w:tcW w:w="994" w:type="dxa"/>
            <w:noWrap/>
            <w:hideMark/>
          </w:tcPr>
          <w:p w14:paraId="2410FB0D" w14:textId="77777777" w:rsidR="00380445" w:rsidRPr="00147A40" w:rsidRDefault="00380445" w:rsidP="00147A40">
            <w:pPr>
              <w:rPr>
                <w:color w:val="000000"/>
                <w:sz w:val="20"/>
                <w:szCs w:val="20"/>
              </w:rPr>
            </w:pPr>
            <w:r w:rsidRPr="00147A40">
              <w:rPr>
                <w:color w:val="000000"/>
                <w:sz w:val="20"/>
                <w:szCs w:val="20"/>
              </w:rPr>
              <w:t>retweeted</w:t>
            </w:r>
          </w:p>
        </w:tc>
      </w:tr>
      <w:tr w:rsidR="00380445" w:rsidRPr="00147A40" w14:paraId="201E0220" w14:textId="77777777" w:rsidTr="00147A40">
        <w:trPr>
          <w:trHeight w:val="290"/>
        </w:trPr>
        <w:tc>
          <w:tcPr>
            <w:tcW w:w="1140" w:type="dxa"/>
            <w:noWrap/>
            <w:hideMark/>
          </w:tcPr>
          <w:p w14:paraId="3C5B4F71" w14:textId="77777777" w:rsidR="00380445" w:rsidRPr="00147A40" w:rsidRDefault="00380445" w:rsidP="00147A40">
            <w:pPr>
              <w:rPr>
                <w:color w:val="000000"/>
                <w:sz w:val="20"/>
                <w:szCs w:val="20"/>
              </w:rPr>
            </w:pPr>
            <w:r w:rsidRPr="00147A40">
              <w:rPr>
                <w:color w:val="000000"/>
                <w:sz w:val="20"/>
                <w:szCs w:val="20"/>
              </w:rPr>
              <w:t>2010</w:t>
            </w:r>
          </w:p>
        </w:tc>
        <w:tc>
          <w:tcPr>
            <w:tcW w:w="1194" w:type="dxa"/>
            <w:noWrap/>
            <w:hideMark/>
          </w:tcPr>
          <w:p w14:paraId="16036A5C" w14:textId="77777777" w:rsidR="00380445" w:rsidRPr="00147A40" w:rsidRDefault="00380445" w:rsidP="00147A40">
            <w:pPr>
              <w:jc w:val="right"/>
              <w:rPr>
                <w:color w:val="000000"/>
                <w:sz w:val="20"/>
                <w:szCs w:val="20"/>
              </w:rPr>
            </w:pPr>
            <w:r w:rsidRPr="00147A40">
              <w:rPr>
                <w:color w:val="000000"/>
                <w:sz w:val="20"/>
                <w:szCs w:val="20"/>
              </w:rPr>
              <w:t xml:space="preserve">          6,506 </w:t>
            </w:r>
          </w:p>
        </w:tc>
        <w:tc>
          <w:tcPr>
            <w:tcW w:w="1020" w:type="dxa"/>
            <w:noWrap/>
            <w:hideMark/>
          </w:tcPr>
          <w:p w14:paraId="1C1409C4" w14:textId="77777777" w:rsidR="00380445" w:rsidRPr="00147A40" w:rsidRDefault="00380445" w:rsidP="00147A40">
            <w:pPr>
              <w:jc w:val="right"/>
              <w:rPr>
                <w:color w:val="000000"/>
                <w:sz w:val="20"/>
                <w:szCs w:val="20"/>
              </w:rPr>
            </w:pPr>
            <w:r w:rsidRPr="00147A40">
              <w:rPr>
                <w:color w:val="000000"/>
                <w:sz w:val="20"/>
                <w:szCs w:val="20"/>
              </w:rPr>
              <w:t xml:space="preserve">       6,492 </w:t>
            </w:r>
          </w:p>
        </w:tc>
        <w:tc>
          <w:tcPr>
            <w:tcW w:w="1020" w:type="dxa"/>
            <w:noWrap/>
            <w:hideMark/>
          </w:tcPr>
          <w:p w14:paraId="47C75C79" w14:textId="77777777" w:rsidR="00380445" w:rsidRPr="00147A40" w:rsidRDefault="00380445" w:rsidP="00147A40">
            <w:pPr>
              <w:jc w:val="right"/>
              <w:rPr>
                <w:color w:val="000000"/>
                <w:sz w:val="20"/>
                <w:szCs w:val="20"/>
              </w:rPr>
            </w:pPr>
            <w:r w:rsidRPr="00147A40">
              <w:rPr>
                <w:color w:val="000000"/>
                <w:sz w:val="20"/>
                <w:szCs w:val="20"/>
              </w:rPr>
              <w:t xml:space="preserve">       1,873 </w:t>
            </w:r>
          </w:p>
        </w:tc>
        <w:tc>
          <w:tcPr>
            <w:tcW w:w="994" w:type="dxa"/>
            <w:noWrap/>
            <w:hideMark/>
          </w:tcPr>
          <w:p w14:paraId="4633779B" w14:textId="77777777" w:rsidR="00380445" w:rsidRPr="00147A40" w:rsidRDefault="00380445" w:rsidP="00147A40">
            <w:pPr>
              <w:jc w:val="right"/>
              <w:rPr>
                <w:color w:val="000000"/>
                <w:sz w:val="20"/>
                <w:szCs w:val="20"/>
              </w:rPr>
            </w:pPr>
            <w:r w:rsidRPr="00147A40">
              <w:rPr>
                <w:color w:val="000000"/>
                <w:sz w:val="20"/>
                <w:szCs w:val="20"/>
              </w:rPr>
              <w:t xml:space="preserve">         585 </w:t>
            </w:r>
          </w:p>
        </w:tc>
        <w:tc>
          <w:tcPr>
            <w:tcW w:w="1194" w:type="dxa"/>
            <w:noWrap/>
            <w:hideMark/>
          </w:tcPr>
          <w:p w14:paraId="3F80537E" w14:textId="77777777" w:rsidR="00380445" w:rsidRPr="00147A40" w:rsidRDefault="00380445" w:rsidP="00147A40">
            <w:pPr>
              <w:jc w:val="right"/>
              <w:rPr>
                <w:color w:val="000000"/>
                <w:sz w:val="20"/>
                <w:szCs w:val="20"/>
              </w:rPr>
            </w:pPr>
            <w:r w:rsidRPr="00147A40">
              <w:rPr>
                <w:color w:val="000000"/>
                <w:sz w:val="20"/>
                <w:szCs w:val="20"/>
              </w:rPr>
              <w:t xml:space="preserve">          223 </w:t>
            </w:r>
          </w:p>
        </w:tc>
        <w:tc>
          <w:tcPr>
            <w:tcW w:w="1020" w:type="dxa"/>
            <w:noWrap/>
            <w:hideMark/>
          </w:tcPr>
          <w:p w14:paraId="390FEEFA" w14:textId="77777777" w:rsidR="00380445" w:rsidRPr="00147A40" w:rsidRDefault="00380445" w:rsidP="00147A40">
            <w:pPr>
              <w:jc w:val="right"/>
              <w:rPr>
                <w:color w:val="000000"/>
                <w:sz w:val="20"/>
                <w:szCs w:val="20"/>
              </w:rPr>
            </w:pPr>
            <w:r w:rsidRPr="00147A40">
              <w:rPr>
                <w:color w:val="000000"/>
                <w:sz w:val="20"/>
                <w:szCs w:val="20"/>
              </w:rPr>
              <w:t xml:space="preserve">          223 </w:t>
            </w:r>
          </w:p>
        </w:tc>
        <w:tc>
          <w:tcPr>
            <w:tcW w:w="960" w:type="dxa"/>
            <w:noWrap/>
            <w:hideMark/>
          </w:tcPr>
          <w:p w14:paraId="334FBD5F" w14:textId="77777777" w:rsidR="00380445" w:rsidRPr="00147A40" w:rsidRDefault="00380445" w:rsidP="00147A40">
            <w:pPr>
              <w:jc w:val="right"/>
              <w:rPr>
                <w:color w:val="000000"/>
                <w:sz w:val="20"/>
                <w:szCs w:val="20"/>
              </w:rPr>
            </w:pPr>
            <w:r w:rsidRPr="00147A40">
              <w:rPr>
                <w:color w:val="000000"/>
                <w:sz w:val="20"/>
                <w:szCs w:val="20"/>
              </w:rPr>
              <w:t xml:space="preserve">        124 </w:t>
            </w:r>
          </w:p>
        </w:tc>
        <w:tc>
          <w:tcPr>
            <w:tcW w:w="994" w:type="dxa"/>
            <w:noWrap/>
            <w:hideMark/>
          </w:tcPr>
          <w:p w14:paraId="1520A31B" w14:textId="77777777" w:rsidR="00380445" w:rsidRPr="00147A40" w:rsidRDefault="00380445" w:rsidP="00147A40">
            <w:pPr>
              <w:jc w:val="right"/>
              <w:rPr>
                <w:color w:val="000000"/>
                <w:sz w:val="20"/>
                <w:szCs w:val="20"/>
              </w:rPr>
            </w:pPr>
            <w:r w:rsidRPr="00147A40">
              <w:rPr>
                <w:color w:val="000000"/>
                <w:sz w:val="20"/>
                <w:szCs w:val="20"/>
              </w:rPr>
              <w:t xml:space="preserve">           47 </w:t>
            </w:r>
          </w:p>
        </w:tc>
      </w:tr>
      <w:tr w:rsidR="00380445" w:rsidRPr="00147A40" w14:paraId="15BD88C0" w14:textId="77777777" w:rsidTr="00147A40">
        <w:trPr>
          <w:trHeight w:val="290"/>
        </w:trPr>
        <w:tc>
          <w:tcPr>
            <w:tcW w:w="1140" w:type="dxa"/>
            <w:noWrap/>
            <w:hideMark/>
          </w:tcPr>
          <w:p w14:paraId="3A444BC2" w14:textId="77777777" w:rsidR="00380445" w:rsidRPr="00147A40" w:rsidRDefault="00380445" w:rsidP="00147A40">
            <w:pPr>
              <w:rPr>
                <w:color w:val="000000"/>
                <w:sz w:val="20"/>
                <w:szCs w:val="20"/>
              </w:rPr>
            </w:pPr>
            <w:r w:rsidRPr="00147A40">
              <w:rPr>
                <w:color w:val="000000"/>
                <w:sz w:val="20"/>
                <w:szCs w:val="20"/>
              </w:rPr>
              <w:t>2011</w:t>
            </w:r>
          </w:p>
        </w:tc>
        <w:tc>
          <w:tcPr>
            <w:tcW w:w="1194" w:type="dxa"/>
            <w:noWrap/>
            <w:hideMark/>
          </w:tcPr>
          <w:p w14:paraId="691B2BEA" w14:textId="77777777" w:rsidR="00380445" w:rsidRPr="00147A40" w:rsidRDefault="00380445" w:rsidP="00147A40">
            <w:pPr>
              <w:jc w:val="right"/>
              <w:rPr>
                <w:color w:val="000000"/>
                <w:sz w:val="20"/>
                <w:szCs w:val="20"/>
              </w:rPr>
            </w:pPr>
            <w:r w:rsidRPr="00147A40">
              <w:rPr>
                <w:color w:val="000000"/>
                <w:sz w:val="20"/>
                <w:szCs w:val="20"/>
              </w:rPr>
              <w:t xml:space="preserve">        11,994 </w:t>
            </w:r>
          </w:p>
        </w:tc>
        <w:tc>
          <w:tcPr>
            <w:tcW w:w="1020" w:type="dxa"/>
            <w:noWrap/>
            <w:hideMark/>
          </w:tcPr>
          <w:p w14:paraId="52709310" w14:textId="77777777" w:rsidR="00380445" w:rsidRPr="00147A40" w:rsidRDefault="00380445" w:rsidP="00147A40">
            <w:pPr>
              <w:jc w:val="right"/>
              <w:rPr>
                <w:color w:val="000000"/>
                <w:sz w:val="20"/>
                <w:szCs w:val="20"/>
              </w:rPr>
            </w:pPr>
            <w:r w:rsidRPr="00147A40">
              <w:rPr>
                <w:color w:val="000000"/>
                <w:sz w:val="20"/>
                <w:szCs w:val="20"/>
              </w:rPr>
              <w:t xml:space="preserve">     11,958 </w:t>
            </w:r>
          </w:p>
        </w:tc>
        <w:tc>
          <w:tcPr>
            <w:tcW w:w="1020" w:type="dxa"/>
            <w:noWrap/>
            <w:hideMark/>
          </w:tcPr>
          <w:p w14:paraId="43C6AB99" w14:textId="77777777" w:rsidR="00380445" w:rsidRPr="00147A40" w:rsidRDefault="00380445" w:rsidP="00147A40">
            <w:pPr>
              <w:jc w:val="right"/>
              <w:rPr>
                <w:color w:val="000000"/>
                <w:sz w:val="20"/>
                <w:szCs w:val="20"/>
              </w:rPr>
            </w:pPr>
            <w:r w:rsidRPr="00147A40">
              <w:rPr>
                <w:color w:val="000000"/>
                <w:sz w:val="20"/>
                <w:szCs w:val="20"/>
              </w:rPr>
              <w:t xml:space="preserve">       6,298 </w:t>
            </w:r>
          </w:p>
        </w:tc>
        <w:tc>
          <w:tcPr>
            <w:tcW w:w="994" w:type="dxa"/>
            <w:noWrap/>
            <w:hideMark/>
          </w:tcPr>
          <w:p w14:paraId="37B1DDCE" w14:textId="77777777" w:rsidR="00380445" w:rsidRPr="00147A40" w:rsidRDefault="00380445" w:rsidP="00147A40">
            <w:pPr>
              <w:jc w:val="right"/>
              <w:rPr>
                <w:color w:val="000000"/>
                <w:sz w:val="20"/>
                <w:szCs w:val="20"/>
              </w:rPr>
            </w:pPr>
            <w:r w:rsidRPr="00147A40">
              <w:rPr>
                <w:color w:val="000000"/>
                <w:sz w:val="20"/>
                <w:szCs w:val="20"/>
              </w:rPr>
              <w:t xml:space="preserve">         943 </w:t>
            </w:r>
          </w:p>
        </w:tc>
        <w:tc>
          <w:tcPr>
            <w:tcW w:w="1194" w:type="dxa"/>
            <w:noWrap/>
            <w:hideMark/>
          </w:tcPr>
          <w:p w14:paraId="3D96FDC7" w14:textId="77777777" w:rsidR="00380445" w:rsidRPr="00147A40" w:rsidRDefault="00380445" w:rsidP="00147A40">
            <w:pPr>
              <w:jc w:val="right"/>
              <w:rPr>
                <w:color w:val="000000"/>
                <w:sz w:val="20"/>
                <w:szCs w:val="20"/>
              </w:rPr>
            </w:pPr>
            <w:r w:rsidRPr="00147A40">
              <w:rPr>
                <w:color w:val="000000"/>
                <w:sz w:val="20"/>
                <w:szCs w:val="20"/>
              </w:rPr>
              <w:t xml:space="preserve">          539 </w:t>
            </w:r>
          </w:p>
        </w:tc>
        <w:tc>
          <w:tcPr>
            <w:tcW w:w="1020" w:type="dxa"/>
            <w:noWrap/>
            <w:hideMark/>
          </w:tcPr>
          <w:p w14:paraId="6492A23E" w14:textId="77777777" w:rsidR="00380445" w:rsidRPr="00147A40" w:rsidRDefault="00380445" w:rsidP="00147A40">
            <w:pPr>
              <w:jc w:val="right"/>
              <w:rPr>
                <w:color w:val="000000"/>
                <w:sz w:val="20"/>
                <w:szCs w:val="20"/>
              </w:rPr>
            </w:pPr>
            <w:r w:rsidRPr="00147A40">
              <w:rPr>
                <w:color w:val="000000"/>
                <w:sz w:val="20"/>
                <w:szCs w:val="20"/>
              </w:rPr>
              <w:t xml:space="preserve">          538 </w:t>
            </w:r>
          </w:p>
        </w:tc>
        <w:tc>
          <w:tcPr>
            <w:tcW w:w="960" w:type="dxa"/>
            <w:noWrap/>
            <w:hideMark/>
          </w:tcPr>
          <w:p w14:paraId="68671464" w14:textId="77777777" w:rsidR="00380445" w:rsidRPr="00147A40" w:rsidRDefault="00380445" w:rsidP="00147A40">
            <w:pPr>
              <w:jc w:val="right"/>
              <w:rPr>
                <w:color w:val="000000"/>
                <w:sz w:val="20"/>
                <w:szCs w:val="20"/>
              </w:rPr>
            </w:pPr>
            <w:r w:rsidRPr="00147A40">
              <w:rPr>
                <w:color w:val="000000"/>
                <w:sz w:val="20"/>
                <w:szCs w:val="20"/>
              </w:rPr>
              <w:t xml:space="preserve">        419 </w:t>
            </w:r>
          </w:p>
        </w:tc>
        <w:tc>
          <w:tcPr>
            <w:tcW w:w="994" w:type="dxa"/>
            <w:noWrap/>
            <w:hideMark/>
          </w:tcPr>
          <w:p w14:paraId="5586216F" w14:textId="77777777" w:rsidR="00380445" w:rsidRPr="00147A40" w:rsidRDefault="00380445" w:rsidP="00147A40">
            <w:pPr>
              <w:jc w:val="right"/>
              <w:rPr>
                <w:color w:val="000000"/>
                <w:sz w:val="20"/>
                <w:szCs w:val="20"/>
              </w:rPr>
            </w:pPr>
            <w:r w:rsidRPr="00147A40">
              <w:rPr>
                <w:color w:val="000000"/>
                <w:sz w:val="20"/>
                <w:szCs w:val="20"/>
              </w:rPr>
              <w:t xml:space="preserve">         113 </w:t>
            </w:r>
          </w:p>
        </w:tc>
      </w:tr>
      <w:tr w:rsidR="00380445" w:rsidRPr="00147A40" w14:paraId="75517C9E" w14:textId="77777777" w:rsidTr="00147A40">
        <w:trPr>
          <w:trHeight w:val="290"/>
        </w:trPr>
        <w:tc>
          <w:tcPr>
            <w:tcW w:w="1140" w:type="dxa"/>
            <w:noWrap/>
            <w:hideMark/>
          </w:tcPr>
          <w:p w14:paraId="2333F708" w14:textId="77777777" w:rsidR="00380445" w:rsidRPr="00147A40" w:rsidRDefault="00380445" w:rsidP="00147A40">
            <w:pPr>
              <w:rPr>
                <w:color w:val="000000"/>
                <w:sz w:val="20"/>
                <w:szCs w:val="20"/>
              </w:rPr>
            </w:pPr>
            <w:r w:rsidRPr="00147A40">
              <w:rPr>
                <w:color w:val="000000"/>
                <w:sz w:val="20"/>
                <w:szCs w:val="20"/>
              </w:rPr>
              <w:t>2012</w:t>
            </w:r>
          </w:p>
        </w:tc>
        <w:tc>
          <w:tcPr>
            <w:tcW w:w="1194" w:type="dxa"/>
            <w:noWrap/>
            <w:hideMark/>
          </w:tcPr>
          <w:p w14:paraId="1B98BA1C" w14:textId="77777777" w:rsidR="00380445" w:rsidRPr="00147A40" w:rsidRDefault="00380445" w:rsidP="00147A40">
            <w:pPr>
              <w:jc w:val="right"/>
              <w:rPr>
                <w:color w:val="000000"/>
                <w:sz w:val="20"/>
                <w:szCs w:val="20"/>
              </w:rPr>
            </w:pPr>
            <w:r w:rsidRPr="00147A40">
              <w:rPr>
                <w:color w:val="000000"/>
                <w:sz w:val="20"/>
                <w:szCs w:val="20"/>
              </w:rPr>
              <w:t xml:space="preserve">        20,849 </w:t>
            </w:r>
          </w:p>
        </w:tc>
        <w:tc>
          <w:tcPr>
            <w:tcW w:w="1020" w:type="dxa"/>
            <w:noWrap/>
            <w:hideMark/>
          </w:tcPr>
          <w:p w14:paraId="4D289398" w14:textId="77777777" w:rsidR="00380445" w:rsidRPr="00147A40" w:rsidRDefault="00380445" w:rsidP="00147A40">
            <w:pPr>
              <w:jc w:val="right"/>
              <w:rPr>
                <w:color w:val="000000"/>
                <w:sz w:val="20"/>
                <w:szCs w:val="20"/>
              </w:rPr>
            </w:pPr>
            <w:r w:rsidRPr="00147A40">
              <w:rPr>
                <w:color w:val="000000"/>
                <w:sz w:val="20"/>
                <w:szCs w:val="20"/>
              </w:rPr>
              <w:t xml:space="preserve">     20,794 </w:t>
            </w:r>
          </w:p>
        </w:tc>
        <w:tc>
          <w:tcPr>
            <w:tcW w:w="1020" w:type="dxa"/>
            <w:noWrap/>
            <w:hideMark/>
          </w:tcPr>
          <w:p w14:paraId="28B31CBD" w14:textId="77777777" w:rsidR="00380445" w:rsidRPr="00147A40" w:rsidRDefault="00380445" w:rsidP="00147A40">
            <w:pPr>
              <w:jc w:val="right"/>
              <w:rPr>
                <w:color w:val="000000"/>
                <w:sz w:val="20"/>
                <w:szCs w:val="20"/>
              </w:rPr>
            </w:pPr>
            <w:r w:rsidRPr="00147A40">
              <w:rPr>
                <w:color w:val="000000"/>
                <w:sz w:val="20"/>
                <w:szCs w:val="20"/>
              </w:rPr>
              <w:t xml:space="preserve">     13,842 </w:t>
            </w:r>
          </w:p>
        </w:tc>
        <w:tc>
          <w:tcPr>
            <w:tcW w:w="994" w:type="dxa"/>
            <w:noWrap/>
            <w:hideMark/>
          </w:tcPr>
          <w:p w14:paraId="7A62556D" w14:textId="77777777" w:rsidR="00380445" w:rsidRPr="00147A40" w:rsidRDefault="00380445" w:rsidP="00147A40">
            <w:pPr>
              <w:jc w:val="right"/>
              <w:rPr>
                <w:color w:val="000000"/>
                <w:sz w:val="20"/>
                <w:szCs w:val="20"/>
              </w:rPr>
            </w:pPr>
            <w:r w:rsidRPr="00147A40">
              <w:rPr>
                <w:color w:val="000000"/>
                <w:sz w:val="20"/>
                <w:szCs w:val="20"/>
              </w:rPr>
              <w:t xml:space="preserve">      1,657 </w:t>
            </w:r>
          </w:p>
        </w:tc>
        <w:tc>
          <w:tcPr>
            <w:tcW w:w="1194" w:type="dxa"/>
            <w:noWrap/>
            <w:hideMark/>
          </w:tcPr>
          <w:p w14:paraId="29741D7A" w14:textId="77777777" w:rsidR="00380445" w:rsidRPr="00147A40" w:rsidRDefault="00380445" w:rsidP="00147A40">
            <w:pPr>
              <w:jc w:val="right"/>
              <w:rPr>
                <w:color w:val="000000"/>
                <w:sz w:val="20"/>
                <w:szCs w:val="20"/>
              </w:rPr>
            </w:pPr>
            <w:r w:rsidRPr="00147A40">
              <w:rPr>
                <w:color w:val="000000"/>
                <w:sz w:val="20"/>
                <w:szCs w:val="20"/>
              </w:rPr>
              <w:t xml:space="preserve">       1,050 </w:t>
            </w:r>
          </w:p>
        </w:tc>
        <w:tc>
          <w:tcPr>
            <w:tcW w:w="1020" w:type="dxa"/>
            <w:noWrap/>
            <w:hideMark/>
          </w:tcPr>
          <w:p w14:paraId="669B93EE" w14:textId="77777777" w:rsidR="00380445" w:rsidRPr="00147A40" w:rsidRDefault="00380445" w:rsidP="00147A40">
            <w:pPr>
              <w:jc w:val="right"/>
              <w:rPr>
                <w:color w:val="000000"/>
                <w:sz w:val="20"/>
                <w:szCs w:val="20"/>
              </w:rPr>
            </w:pPr>
            <w:r w:rsidRPr="00147A40">
              <w:rPr>
                <w:color w:val="000000"/>
                <w:sz w:val="20"/>
                <w:szCs w:val="20"/>
              </w:rPr>
              <w:t xml:space="preserve">       1,046 </w:t>
            </w:r>
          </w:p>
        </w:tc>
        <w:tc>
          <w:tcPr>
            <w:tcW w:w="960" w:type="dxa"/>
            <w:noWrap/>
            <w:hideMark/>
          </w:tcPr>
          <w:p w14:paraId="7986FDA7" w14:textId="77777777" w:rsidR="00380445" w:rsidRPr="00147A40" w:rsidRDefault="00380445" w:rsidP="00147A40">
            <w:pPr>
              <w:jc w:val="right"/>
              <w:rPr>
                <w:color w:val="000000"/>
                <w:sz w:val="20"/>
                <w:szCs w:val="20"/>
              </w:rPr>
            </w:pPr>
            <w:r w:rsidRPr="00147A40">
              <w:rPr>
                <w:color w:val="000000"/>
                <w:sz w:val="20"/>
                <w:szCs w:val="20"/>
              </w:rPr>
              <w:t xml:space="preserve">        944 </w:t>
            </w:r>
          </w:p>
        </w:tc>
        <w:tc>
          <w:tcPr>
            <w:tcW w:w="994" w:type="dxa"/>
            <w:noWrap/>
            <w:hideMark/>
          </w:tcPr>
          <w:p w14:paraId="4ABDFAF6" w14:textId="77777777" w:rsidR="00380445" w:rsidRPr="00147A40" w:rsidRDefault="00380445" w:rsidP="00147A40">
            <w:pPr>
              <w:jc w:val="right"/>
              <w:rPr>
                <w:color w:val="000000"/>
                <w:sz w:val="20"/>
                <w:szCs w:val="20"/>
              </w:rPr>
            </w:pPr>
            <w:r w:rsidRPr="00147A40">
              <w:rPr>
                <w:color w:val="000000"/>
                <w:sz w:val="20"/>
                <w:szCs w:val="20"/>
              </w:rPr>
              <w:t xml:space="preserve">         179 </w:t>
            </w:r>
          </w:p>
        </w:tc>
      </w:tr>
      <w:tr w:rsidR="00380445" w:rsidRPr="00147A40" w14:paraId="31D14324" w14:textId="77777777" w:rsidTr="00147A40">
        <w:trPr>
          <w:trHeight w:val="290"/>
        </w:trPr>
        <w:tc>
          <w:tcPr>
            <w:tcW w:w="1140" w:type="dxa"/>
            <w:noWrap/>
            <w:hideMark/>
          </w:tcPr>
          <w:p w14:paraId="52269DA7" w14:textId="77777777" w:rsidR="00380445" w:rsidRPr="00147A40" w:rsidRDefault="00380445" w:rsidP="00147A40">
            <w:pPr>
              <w:rPr>
                <w:color w:val="000000"/>
                <w:sz w:val="20"/>
                <w:szCs w:val="20"/>
              </w:rPr>
            </w:pPr>
            <w:r w:rsidRPr="00147A40">
              <w:rPr>
                <w:color w:val="000000"/>
                <w:sz w:val="20"/>
                <w:szCs w:val="20"/>
              </w:rPr>
              <w:t>2013</w:t>
            </w:r>
          </w:p>
        </w:tc>
        <w:tc>
          <w:tcPr>
            <w:tcW w:w="1194" w:type="dxa"/>
            <w:noWrap/>
            <w:hideMark/>
          </w:tcPr>
          <w:p w14:paraId="2E7AEB02" w14:textId="77777777" w:rsidR="00380445" w:rsidRPr="00147A40" w:rsidRDefault="00380445" w:rsidP="00147A40">
            <w:pPr>
              <w:jc w:val="right"/>
              <w:rPr>
                <w:color w:val="000000"/>
                <w:sz w:val="20"/>
                <w:szCs w:val="20"/>
              </w:rPr>
            </w:pPr>
            <w:r w:rsidRPr="00147A40">
              <w:rPr>
                <w:color w:val="000000"/>
                <w:sz w:val="20"/>
                <w:szCs w:val="20"/>
              </w:rPr>
              <w:t xml:space="preserve">        26,624 </w:t>
            </w:r>
          </w:p>
        </w:tc>
        <w:tc>
          <w:tcPr>
            <w:tcW w:w="1020" w:type="dxa"/>
            <w:noWrap/>
            <w:hideMark/>
          </w:tcPr>
          <w:p w14:paraId="3C966F50" w14:textId="77777777" w:rsidR="00380445" w:rsidRPr="00147A40" w:rsidRDefault="00380445" w:rsidP="00147A40">
            <w:pPr>
              <w:jc w:val="right"/>
              <w:rPr>
                <w:color w:val="000000"/>
                <w:sz w:val="20"/>
                <w:szCs w:val="20"/>
              </w:rPr>
            </w:pPr>
            <w:r w:rsidRPr="00147A40">
              <w:rPr>
                <w:color w:val="000000"/>
                <w:sz w:val="20"/>
                <w:szCs w:val="20"/>
              </w:rPr>
              <w:t xml:space="preserve">     26,496 </w:t>
            </w:r>
          </w:p>
        </w:tc>
        <w:tc>
          <w:tcPr>
            <w:tcW w:w="1020" w:type="dxa"/>
            <w:noWrap/>
            <w:hideMark/>
          </w:tcPr>
          <w:p w14:paraId="723923C1" w14:textId="77777777" w:rsidR="00380445" w:rsidRPr="00147A40" w:rsidRDefault="00380445" w:rsidP="00147A40">
            <w:pPr>
              <w:jc w:val="right"/>
              <w:rPr>
                <w:color w:val="000000"/>
                <w:sz w:val="20"/>
                <w:szCs w:val="20"/>
              </w:rPr>
            </w:pPr>
            <w:r w:rsidRPr="00147A40">
              <w:rPr>
                <w:color w:val="000000"/>
                <w:sz w:val="20"/>
                <w:szCs w:val="20"/>
              </w:rPr>
              <w:t xml:space="preserve">     17,100 </w:t>
            </w:r>
          </w:p>
        </w:tc>
        <w:tc>
          <w:tcPr>
            <w:tcW w:w="994" w:type="dxa"/>
            <w:noWrap/>
            <w:hideMark/>
          </w:tcPr>
          <w:p w14:paraId="151D9F33" w14:textId="77777777" w:rsidR="00380445" w:rsidRPr="00147A40" w:rsidRDefault="00380445" w:rsidP="00147A40">
            <w:pPr>
              <w:jc w:val="right"/>
              <w:rPr>
                <w:color w:val="000000"/>
                <w:sz w:val="20"/>
                <w:szCs w:val="20"/>
              </w:rPr>
            </w:pPr>
            <w:r w:rsidRPr="00147A40">
              <w:rPr>
                <w:color w:val="000000"/>
                <w:sz w:val="20"/>
                <w:szCs w:val="20"/>
              </w:rPr>
              <w:t xml:space="preserve">      2,447 </w:t>
            </w:r>
          </w:p>
        </w:tc>
        <w:tc>
          <w:tcPr>
            <w:tcW w:w="1194" w:type="dxa"/>
            <w:noWrap/>
            <w:hideMark/>
          </w:tcPr>
          <w:p w14:paraId="2C711336" w14:textId="77777777" w:rsidR="00380445" w:rsidRPr="00147A40" w:rsidRDefault="00380445" w:rsidP="00147A40">
            <w:pPr>
              <w:jc w:val="right"/>
              <w:rPr>
                <w:color w:val="000000"/>
                <w:sz w:val="20"/>
                <w:szCs w:val="20"/>
              </w:rPr>
            </w:pPr>
            <w:r w:rsidRPr="00147A40">
              <w:rPr>
                <w:color w:val="000000"/>
                <w:sz w:val="20"/>
                <w:szCs w:val="20"/>
              </w:rPr>
              <w:t xml:space="preserve">       1,416 </w:t>
            </w:r>
          </w:p>
        </w:tc>
        <w:tc>
          <w:tcPr>
            <w:tcW w:w="1020" w:type="dxa"/>
            <w:noWrap/>
            <w:hideMark/>
          </w:tcPr>
          <w:p w14:paraId="08FAD47D" w14:textId="77777777" w:rsidR="00380445" w:rsidRPr="00147A40" w:rsidRDefault="00380445" w:rsidP="00147A40">
            <w:pPr>
              <w:jc w:val="right"/>
              <w:rPr>
                <w:color w:val="000000"/>
                <w:sz w:val="20"/>
                <w:szCs w:val="20"/>
              </w:rPr>
            </w:pPr>
            <w:r w:rsidRPr="00147A40">
              <w:rPr>
                <w:color w:val="000000"/>
                <w:sz w:val="20"/>
                <w:szCs w:val="20"/>
              </w:rPr>
              <w:t xml:space="preserve">       1,406 </w:t>
            </w:r>
          </w:p>
        </w:tc>
        <w:tc>
          <w:tcPr>
            <w:tcW w:w="960" w:type="dxa"/>
            <w:noWrap/>
            <w:hideMark/>
          </w:tcPr>
          <w:p w14:paraId="19B67908" w14:textId="77777777" w:rsidR="00380445" w:rsidRPr="00147A40" w:rsidRDefault="00380445" w:rsidP="00147A40">
            <w:pPr>
              <w:jc w:val="right"/>
              <w:rPr>
                <w:color w:val="000000"/>
                <w:sz w:val="20"/>
                <w:szCs w:val="20"/>
              </w:rPr>
            </w:pPr>
            <w:r w:rsidRPr="00147A40">
              <w:rPr>
                <w:color w:val="000000"/>
                <w:sz w:val="20"/>
                <w:szCs w:val="20"/>
              </w:rPr>
              <w:t xml:space="preserve">     1,225 </w:t>
            </w:r>
          </w:p>
        </w:tc>
        <w:tc>
          <w:tcPr>
            <w:tcW w:w="994" w:type="dxa"/>
            <w:noWrap/>
            <w:hideMark/>
          </w:tcPr>
          <w:p w14:paraId="084DF589" w14:textId="77777777" w:rsidR="00380445" w:rsidRPr="00147A40" w:rsidRDefault="00380445" w:rsidP="00147A40">
            <w:pPr>
              <w:jc w:val="right"/>
              <w:rPr>
                <w:color w:val="000000"/>
                <w:sz w:val="20"/>
                <w:szCs w:val="20"/>
              </w:rPr>
            </w:pPr>
            <w:r w:rsidRPr="00147A40">
              <w:rPr>
                <w:color w:val="000000"/>
                <w:sz w:val="20"/>
                <w:szCs w:val="20"/>
              </w:rPr>
              <w:t xml:space="preserve">         317 </w:t>
            </w:r>
          </w:p>
        </w:tc>
      </w:tr>
      <w:tr w:rsidR="00380445" w:rsidRPr="00147A40" w14:paraId="59C278FA" w14:textId="77777777" w:rsidTr="00147A40">
        <w:trPr>
          <w:trHeight w:val="290"/>
        </w:trPr>
        <w:tc>
          <w:tcPr>
            <w:tcW w:w="1140" w:type="dxa"/>
            <w:noWrap/>
            <w:hideMark/>
          </w:tcPr>
          <w:p w14:paraId="440982A9" w14:textId="77777777" w:rsidR="00380445" w:rsidRPr="00147A40" w:rsidRDefault="00380445" w:rsidP="00147A40">
            <w:pPr>
              <w:rPr>
                <w:color w:val="000000"/>
                <w:sz w:val="20"/>
                <w:szCs w:val="20"/>
              </w:rPr>
            </w:pPr>
            <w:r w:rsidRPr="00147A40">
              <w:rPr>
                <w:color w:val="000000"/>
                <w:sz w:val="20"/>
                <w:szCs w:val="20"/>
              </w:rPr>
              <w:t>2014</w:t>
            </w:r>
          </w:p>
        </w:tc>
        <w:tc>
          <w:tcPr>
            <w:tcW w:w="1194" w:type="dxa"/>
            <w:noWrap/>
            <w:hideMark/>
          </w:tcPr>
          <w:p w14:paraId="3BE66B48" w14:textId="77777777" w:rsidR="00380445" w:rsidRPr="00147A40" w:rsidRDefault="00380445" w:rsidP="00147A40">
            <w:pPr>
              <w:jc w:val="right"/>
              <w:rPr>
                <w:color w:val="000000"/>
                <w:sz w:val="20"/>
                <w:szCs w:val="20"/>
              </w:rPr>
            </w:pPr>
            <w:r w:rsidRPr="00147A40">
              <w:rPr>
                <w:color w:val="000000"/>
                <w:sz w:val="20"/>
                <w:szCs w:val="20"/>
              </w:rPr>
              <w:t xml:space="preserve">        26,094 </w:t>
            </w:r>
          </w:p>
        </w:tc>
        <w:tc>
          <w:tcPr>
            <w:tcW w:w="1020" w:type="dxa"/>
            <w:noWrap/>
            <w:hideMark/>
          </w:tcPr>
          <w:p w14:paraId="11AE737D" w14:textId="77777777" w:rsidR="00380445" w:rsidRPr="00147A40" w:rsidRDefault="00380445" w:rsidP="00147A40">
            <w:pPr>
              <w:jc w:val="right"/>
              <w:rPr>
                <w:color w:val="000000"/>
                <w:sz w:val="20"/>
                <w:szCs w:val="20"/>
              </w:rPr>
            </w:pPr>
            <w:r w:rsidRPr="00147A40">
              <w:rPr>
                <w:color w:val="000000"/>
                <w:sz w:val="20"/>
                <w:szCs w:val="20"/>
              </w:rPr>
              <w:t xml:space="preserve">     25,762 </w:t>
            </w:r>
          </w:p>
        </w:tc>
        <w:tc>
          <w:tcPr>
            <w:tcW w:w="1020" w:type="dxa"/>
            <w:noWrap/>
            <w:hideMark/>
          </w:tcPr>
          <w:p w14:paraId="6C913D14" w14:textId="77777777" w:rsidR="00380445" w:rsidRPr="00147A40" w:rsidRDefault="00380445" w:rsidP="00147A40">
            <w:pPr>
              <w:jc w:val="right"/>
              <w:rPr>
                <w:color w:val="000000"/>
                <w:sz w:val="20"/>
                <w:szCs w:val="20"/>
              </w:rPr>
            </w:pPr>
            <w:r w:rsidRPr="00147A40">
              <w:rPr>
                <w:color w:val="000000"/>
                <w:sz w:val="20"/>
                <w:szCs w:val="20"/>
              </w:rPr>
              <w:t xml:space="preserve">     19,186 </w:t>
            </w:r>
          </w:p>
        </w:tc>
        <w:tc>
          <w:tcPr>
            <w:tcW w:w="994" w:type="dxa"/>
            <w:noWrap/>
            <w:hideMark/>
          </w:tcPr>
          <w:p w14:paraId="1AE10AB9" w14:textId="77777777" w:rsidR="00380445" w:rsidRPr="00147A40" w:rsidRDefault="00380445" w:rsidP="00147A40">
            <w:pPr>
              <w:jc w:val="right"/>
              <w:rPr>
                <w:color w:val="000000"/>
                <w:sz w:val="20"/>
                <w:szCs w:val="20"/>
              </w:rPr>
            </w:pPr>
            <w:r w:rsidRPr="00147A40">
              <w:rPr>
                <w:color w:val="000000"/>
                <w:sz w:val="20"/>
                <w:szCs w:val="20"/>
              </w:rPr>
              <w:t xml:space="preserve">      7,244 </w:t>
            </w:r>
          </w:p>
        </w:tc>
        <w:tc>
          <w:tcPr>
            <w:tcW w:w="1194" w:type="dxa"/>
            <w:noWrap/>
            <w:hideMark/>
          </w:tcPr>
          <w:p w14:paraId="466528C2" w14:textId="77777777" w:rsidR="00380445" w:rsidRPr="00147A40" w:rsidRDefault="00380445" w:rsidP="00147A40">
            <w:pPr>
              <w:jc w:val="right"/>
              <w:rPr>
                <w:color w:val="000000"/>
                <w:sz w:val="20"/>
                <w:szCs w:val="20"/>
              </w:rPr>
            </w:pPr>
            <w:r w:rsidRPr="00147A40">
              <w:rPr>
                <w:color w:val="000000"/>
                <w:sz w:val="20"/>
                <w:szCs w:val="20"/>
              </w:rPr>
              <w:t xml:space="preserve">       1,426 </w:t>
            </w:r>
          </w:p>
        </w:tc>
        <w:tc>
          <w:tcPr>
            <w:tcW w:w="1020" w:type="dxa"/>
            <w:noWrap/>
            <w:hideMark/>
          </w:tcPr>
          <w:p w14:paraId="31D9743E" w14:textId="77777777" w:rsidR="00380445" w:rsidRPr="00147A40" w:rsidRDefault="00380445" w:rsidP="00147A40">
            <w:pPr>
              <w:jc w:val="right"/>
              <w:rPr>
                <w:color w:val="000000"/>
                <w:sz w:val="20"/>
                <w:szCs w:val="20"/>
              </w:rPr>
            </w:pPr>
            <w:r w:rsidRPr="00147A40">
              <w:rPr>
                <w:color w:val="000000"/>
                <w:sz w:val="20"/>
                <w:szCs w:val="20"/>
              </w:rPr>
              <w:t xml:space="preserve">       1,407 </w:t>
            </w:r>
          </w:p>
        </w:tc>
        <w:tc>
          <w:tcPr>
            <w:tcW w:w="960" w:type="dxa"/>
            <w:noWrap/>
            <w:hideMark/>
          </w:tcPr>
          <w:p w14:paraId="7E4D3939" w14:textId="77777777" w:rsidR="00380445" w:rsidRPr="00147A40" w:rsidRDefault="00380445" w:rsidP="00147A40">
            <w:pPr>
              <w:jc w:val="right"/>
              <w:rPr>
                <w:color w:val="000000"/>
                <w:sz w:val="20"/>
                <w:szCs w:val="20"/>
              </w:rPr>
            </w:pPr>
            <w:r w:rsidRPr="00147A40">
              <w:rPr>
                <w:color w:val="000000"/>
                <w:sz w:val="20"/>
                <w:szCs w:val="20"/>
              </w:rPr>
              <w:t xml:space="preserve">     1,248 </w:t>
            </w:r>
          </w:p>
        </w:tc>
        <w:tc>
          <w:tcPr>
            <w:tcW w:w="994" w:type="dxa"/>
            <w:noWrap/>
            <w:hideMark/>
          </w:tcPr>
          <w:p w14:paraId="73994394" w14:textId="77777777" w:rsidR="00380445" w:rsidRPr="00147A40" w:rsidRDefault="00380445" w:rsidP="00147A40">
            <w:pPr>
              <w:jc w:val="right"/>
              <w:rPr>
                <w:color w:val="000000"/>
                <w:sz w:val="20"/>
                <w:szCs w:val="20"/>
              </w:rPr>
            </w:pPr>
            <w:r w:rsidRPr="00147A40">
              <w:rPr>
                <w:color w:val="000000"/>
                <w:sz w:val="20"/>
                <w:szCs w:val="20"/>
              </w:rPr>
              <w:t xml:space="preserve">         658 </w:t>
            </w:r>
          </w:p>
        </w:tc>
      </w:tr>
      <w:tr w:rsidR="00380445" w:rsidRPr="00147A40" w14:paraId="37401F75" w14:textId="77777777" w:rsidTr="00147A40">
        <w:trPr>
          <w:trHeight w:val="290"/>
        </w:trPr>
        <w:tc>
          <w:tcPr>
            <w:tcW w:w="1140" w:type="dxa"/>
            <w:noWrap/>
            <w:hideMark/>
          </w:tcPr>
          <w:p w14:paraId="14A80489" w14:textId="77777777" w:rsidR="00380445" w:rsidRPr="00147A40" w:rsidRDefault="00380445" w:rsidP="00147A40">
            <w:pPr>
              <w:rPr>
                <w:color w:val="000000"/>
                <w:sz w:val="20"/>
                <w:szCs w:val="20"/>
              </w:rPr>
            </w:pPr>
            <w:r w:rsidRPr="00147A40">
              <w:rPr>
                <w:color w:val="000000"/>
                <w:sz w:val="20"/>
                <w:szCs w:val="20"/>
              </w:rPr>
              <w:t>2015</w:t>
            </w:r>
          </w:p>
        </w:tc>
        <w:tc>
          <w:tcPr>
            <w:tcW w:w="1194" w:type="dxa"/>
            <w:noWrap/>
            <w:hideMark/>
          </w:tcPr>
          <w:p w14:paraId="0CC2BCF6" w14:textId="77777777" w:rsidR="00380445" w:rsidRPr="00147A40" w:rsidRDefault="00380445" w:rsidP="00147A40">
            <w:pPr>
              <w:jc w:val="right"/>
              <w:rPr>
                <w:color w:val="000000"/>
                <w:sz w:val="20"/>
                <w:szCs w:val="20"/>
              </w:rPr>
            </w:pPr>
            <w:r w:rsidRPr="00147A40">
              <w:rPr>
                <w:color w:val="000000"/>
                <w:sz w:val="20"/>
                <w:szCs w:val="20"/>
              </w:rPr>
              <w:t xml:space="preserve">        27,204 </w:t>
            </w:r>
          </w:p>
        </w:tc>
        <w:tc>
          <w:tcPr>
            <w:tcW w:w="1020" w:type="dxa"/>
            <w:noWrap/>
            <w:hideMark/>
          </w:tcPr>
          <w:p w14:paraId="25D7DDE5" w14:textId="77777777" w:rsidR="00380445" w:rsidRPr="00147A40" w:rsidRDefault="00380445" w:rsidP="00147A40">
            <w:pPr>
              <w:jc w:val="right"/>
              <w:rPr>
                <w:color w:val="000000"/>
                <w:sz w:val="20"/>
                <w:szCs w:val="20"/>
              </w:rPr>
            </w:pPr>
            <w:r w:rsidRPr="00147A40">
              <w:rPr>
                <w:color w:val="000000"/>
                <w:sz w:val="20"/>
                <w:szCs w:val="20"/>
              </w:rPr>
              <w:t xml:space="preserve">     26,780 </w:t>
            </w:r>
          </w:p>
        </w:tc>
        <w:tc>
          <w:tcPr>
            <w:tcW w:w="1020" w:type="dxa"/>
            <w:noWrap/>
            <w:hideMark/>
          </w:tcPr>
          <w:p w14:paraId="65685A54" w14:textId="77777777" w:rsidR="00380445" w:rsidRPr="00147A40" w:rsidRDefault="00380445" w:rsidP="00147A40">
            <w:pPr>
              <w:jc w:val="right"/>
              <w:rPr>
                <w:color w:val="000000"/>
                <w:sz w:val="20"/>
                <w:szCs w:val="20"/>
              </w:rPr>
            </w:pPr>
            <w:r w:rsidRPr="00147A40">
              <w:rPr>
                <w:color w:val="000000"/>
                <w:sz w:val="20"/>
                <w:szCs w:val="20"/>
              </w:rPr>
              <w:t xml:space="preserve">     21,687 </w:t>
            </w:r>
          </w:p>
        </w:tc>
        <w:tc>
          <w:tcPr>
            <w:tcW w:w="994" w:type="dxa"/>
            <w:noWrap/>
            <w:hideMark/>
          </w:tcPr>
          <w:p w14:paraId="6F5E34EF" w14:textId="77777777" w:rsidR="00380445" w:rsidRPr="00147A40" w:rsidRDefault="00380445" w:rsidP="00147A40">
            <w:pPr>
              <w:jc w:val="right"/>
              <w:rPr>
                <w:color w:val="000000"/>
                <w:sz w:val="20"/>
                <w:szCs w:val="20"/>
              </w:rPr>
            </w:pPr>
            <w:r w:rsidRPr="00147A40">
              <w:rPr>
                <w:color w:val="000000"/>
                <w:sz w:val="20"/>
                <w:szCs w:val="20"/>
              </w:rPr>
              <w:t xml:space="preserve">      8,661 </w:t>
            </w:r>
          </w:p>
        </w:tc>
        <w:tc>
          <w:tcPr>
            <w:tcW w:w="1194" w:type="dxa"/>
            <w:noWrap/>
            <w:hideMark/>
          </w:tcPr>
          <w:p w14:paraId="0C21AEA9" w14:textId="77777777" w:rsidR="00380445" w:rsidRPr="00147A40" w:rsidRDefault="00380445" w:rsidP="00147A40">
            <w:pPr>
              <w:jc w:val="right"/>
              <w:rPr>
                <w:color w:val="000000"/>
                <w:sz w:val="20"/>
                <w:szCs w:val="20"/>
              </w:rPr>
            </w:pPr>
            <w:r w:rsidRPr="00147A40">
              <w:rPr>
                <w:color w:val="000000"/>
                <w:sz w:val="20"/>
                <w:szCs w:val="20"/>
              </w:rPr>
              <w:t xml:space="preserve">       1,676 </w:t>
            </w:r>
          </w:p>
        </w:tc>
        <w:tc>
          <w:tcPr>
            <w:tcW w:w="1020" w:type="dxa"/>
            <w:noWrap/>
            <w:hideMark/>
          </w:tcPr>
          <w:p w14:paraId="03364A5D" w14:textId="77777777" w:rsidR="00380445" w:rsidRPr="00147A40" w:rsidRDefault="00380445" w:rsidP="00147A40">
            <w:pPr>
              <w:jc w:val="right"/>
              <w:rPr>
                <w:color w:val="000000"/>
                <w:sz w:val="20"/>
                <w:szCs w:val="20"/>
              </w:rPr>
            </w:pPr>
            <w:r w:rsidRPr="00147A40">
              <w:rPr>
                <w:color w:val="000000"/>
                <w:sz w:val="20"/>
                <w:szCs w:val="20"/>
              </w:rPr>
              <w:t xml:space="preserve">       1,658 </w:t>
            </w:r>
          </w:p>
        </w:tc>
        <w:tc>
          <w:tcPr>
            <w:tcW w:w="960" w:type="dxa"/>
            <w:noWrap/>
            <w:hideMark/>
          </w:tcPr>
          <w:p w14:paraId="54CF7167" w14:textId="77777777" w:rsidR="00380445" w:rsidRPr="00147A40" w:rsidRDefault="00380445" w:rsidP="00147A40">
            <w:pPr>
              <w:jc w:val="right"/>
              <w:rPr>
                <w:color w:val="000000"/>
                <w:sz w:val="20"/>
                <w:szCs w:val="20"/>
              </w:rPr>
            </w:pPr>
            <w:r w:rsidRPr="00147A40">
              <w:rPr>
                <w:color w:val="000000"/>
                <w:sz w:val="20"/>
                <w:szCs w:val="20"/>
              </w:rPr>
              <w:t xml:space="preserve">     1,511 </w:t>
            </w:r>
          </w:p>
        </w:tc>
        <w:tc>
          <w:tcPr>
            <w:tcW w:w="994" w:type="dxa"/>
            <w:noWrap/>
            <w:hideMark/>
          </w:tcPr>
          <w:p w14:paraId="353E6F49" w14:textId="77777777" w:rsidR="00380445" w:rsidRPr="00147A40" w:rsidRDefault="00380445" w:rsidP="00147A40">
            <w:pPr>
              <w:jc w:val="right"/>
              <w:rPr>
                <w:color w:val="000000"/>
                <w:sz w:val="20"/>
                <w:szCs w:val="20"/>
              </w:rPr>
            </w:pPr>
            <w:r w:rsidRPr="00147A40">
              <w:rPr>
                <w:color w:val="000000"/>
                <w:sz w:val="20"/>
                <w:szCs w:val="20"/>
              </w:rPr>
              <w:t xml:space="preserve">         925 </w:t>
            </w:r>
          </w:p>
        </w:tc>
      </w:tr>
      <w:tr w:rsidR="00380445" w:rsidRPr="00147A40" w14:paraId="5E0B65BE" w14:textId="77777777" w:rsidTr="00147A40">
        <w:trPr>
          <w:trHeight w:val="290"/>
        </w:trPr>
        <w:tc>
          <w:tcPr>
            <w:tcW w:w="1140" w:type="dxa"/>
            <w:noWrap/>
            <w:hideMark/>
          </w:tcPr>
          <w:p w14:paraId="3203A079" w14:textId="77777777" w:rsidR="00380445" w:rsidRPr="00147A40" w:rsidRDefault="00380445" w:rsidP="00147A40">
            <w:pPr>
              <w:rPr>
                <w:color w:val="000000"/>
                <w:sz w:val="20"/>
                <w:szCs w:val="20"/>
              </w:rPr>
            </w:pPr>
            <w:r w:rsidRPr="00147A40">
              <w:rPr>
                <w:color w:val="000000"/>
                <w:sz w:val="20"/>
                <w:szCs w:val="20"/>
              </w:rPr>
              <w:t>2016</w:t>
            </w:r>
          </w:p>
        </w:tc>
        <w:tc>
          <w:tcPr>
            <w:tcW w:w="1194" w:type="dxa"/>
            <w:noWrap/>
            <w:hideMark/>
          </w:tcPr>
          <w:p w14:paraId="50301B0C" w14:textId="77777777" w:rsidR="00380445" w:rsidRPr="00147A40" w:rsidRDefault="00380445" w:rsidP="00147A40">
            <w:pPr>
              <w:jc w:val="right"/>
              <w:rPr>
                <w:color w:val="000000"/>
                <w:sz w:val="20"/>
                <w:szCs w:val="20"/>
              </w:rPr>
            </w:pPr>
            <w:r w:rsidRPr="00147A40">
              <w:rPr>
                <w:color w:val="000000"/>
                <w:sz w:val="20"/>
                <w:szCs w:val="20"/>
              </w:rPr>
              <w:t xml:space="preserve">        22,343 </w:t>
            </w:r>
          </w:p>
        </w:tc>
        <w:tc>
          <w:tcPr>
            <w:tcW w:w="1020" w:type="dxa"/>
            <w:noWrap/>
            <w:hideMark/>
          </w:tcPr>
          <w:p w14:paraId="608A7413" w14:textId="77777777" w:rsidR="00380445" w:rsidRPr="00147A40" w:rsidRDefault="00380445" w:rsidP="00147A40">
            <w:pPr>
              <w:jc w:val="right"/>
              <w:rPr>
                <w:color w:val="000000"/>
                <w:sz w:val="20"/>
                <w:szCs w:val="20"/>
              </w:rPr>
            </w:pPr>
            <w:r w:rsidRPr="00147A40">
              <w:rPr>
                <w:color w:val="000000"/>
                <w:sz w:val="20"/>
                <w:szCs w:val="20"/>
              </w:rPr>
              <w:t xml:space="preserve">     21,823 </w:t>
            </w:r>
          </w:p>
        </w:tc>
        <w:tc>
          <w:tcPr>
            <w:tcW w:w="1020" w:type="dxa"/>
            <w:noWrap/>
            <w:hideMark/>
          </w:tcPr>
          <w:p w14:paraId="3A93D924" w14:textId="77777777" w:rsidR="00380445" w:rsidRPr="00147A40" w:rsidRDefault="00380445" w:rsidP="00147A40">
            <w:pPr>
              <w:jc w:val="right"/>
              <w:rPr>
                <w:color w:val="000000"/>
                <w:sz w:val="20"/>
                <w:szCs w:val="20"/>
              </w:rPr>
            </w:pPr>
            <w:r w:rsidRPr="00147A40">
              <w:rPr>
                <w:color w:val="000000"/>
                <w:sz w:val="20"/>
                <w:szCs w:val="20"/>
              </w:rPr>
              <w:t xml:space="preserve">     18,293 </w:t>
            </w:r>
          </w:p>
        </w:tc>
        <w:tc>
          <w:tcPr>
            <w:tcW w:w="994" w:type="dxa"/>
            <w:noWrap/>
            <w:hideMark/>
          </w:tcPr>
          <w:p w14:paraId="54FE048E" w14:textId="77777777" w:rsidR="00380445" w:rsidRPr="00147A40" w:rsidRDefault="00380445" w:rsidP="00147A40">
            <w:pPr>
              <w:jc w:val="right"/>
              <w:rPr>
                <w:color w:val="000000"/>
                <w:sz w:val="20"/>
                <w:szCs w:val="20"/>
              </w:rPr>
            </w:pPr>
            <w:r w:rsidRPr="00147A40">
              <w:rPr>
                <w:color w:val="000000"/>
                <w:sz w:val="20"/>
                <w:szCs w:val="20"/>
              </w:rPr>
              <w:t xml:space="preserve">      8,202 </w:t>
            </w:r>
          </w:p>
        </w:tc>
        <w:tc>
          <w:tcPr>
            <w:tcW w:w="1194" w:type="dxa"/>
            <w:noWrap/>
            <w:hideMark/>
          </w:tcPr>
          <w:p w14:paraId="3001AA8E" w14:textId="77777777" w:rsidR="00380445" w:rsidRPr="00147A40" w:rsidRDefault="00380445" w:rsidP="00147A40">
            <w:pPr>
              <w:jc w:val="right"/>
              <w:rPr>
                <w:color w:val="000000"/>
                <w:sz w:val="20"/>
                <w:szCs w:val="20"/>
              </w:rPr>
            </w:pPr>
            <w:r w:rsidRPr="00147A40">
              <w:rPr>
                <w:color w:val="000000"/>
                <w:sz w:val="20"/>
                <w:szCs w:val="20"/>
              </w:rPr>
              <w:t xml:space="preserve">       1,477 </w:t>
            </w:r>
          </w:p>
        </w:tc>
        <w:tc>
          <w:tcPr>
            <w:tcW w:w="1020" w:type="dxa"/>
            <w:noWrap/>
            <w:hideMark/>
          </w:tcPr>
          <w:p w14:paraId="4AF8E3CD" w14:textId="77777777" w:rsidR="00380445" w:rsidRPr="00147A40" w:rsidRDefault="00380445" w:rsidP="00147A40">
            <w:pPr>
              <w:jc w:val="right"/>
              <w:rPr>
                <w:color w:val="000000"/>
                <w:sz w:val="20"/>
                <w:szCs w:val="20"/>
              </w:rPr>
            </w:pPr>
            <w:r w:rsidRPr="00147A40">
              <w:rPr>
                <w:color w:val="000000"/>
                <w:sz w:val="20"/>
                <w:szCs w:val="20"/>
              </w:rPr>
              <w:t xml:space="preserve">       1,428 </w:t>
            </w:r>
          </w:p>
        </w:tc>
        <w:tc>
          <w:tcPr>
            <w:tcW w:w="960" w:type="dxa"/>
            <w:noWrap/>
            <w:hideMark/>
          </w:tcPr>
          <w:p w14:paraId="4947FD9F" w14:textId="77777777" w:rsidR="00380445" w:rsidRPr="00147A40" w:rsidRDefault="00380445" w:rsidP="00147A40">
            <w:pPr>
              <w:jc w:val="right"/>
              <w:rPr>
                <w:color w:val="000000"/>
                <w:sz w:val="20"/>
                <w:szCs w:val="20"/>
              </w:rPr>
            </w:pPr>
            <w:r w:rsidRPr="00147A40">
              <w:rPr>
                <w:color w:val="000000"/>
                <w:sz w:val="20"/>
                <w:szCs w:val="20"/>
              </w:rPr>
              <w:t xml:space="preserve">     1,358 </w:t>
            </w:r>
          </w:p>
        </w:tc>
        <w:tc>
          <w:tcPr>
            <w:tcW w:w="994" w:type="dxa"/>
            <w:noWrap/>
            <w:hideMark/>
          </w:tcPr>
          <w:p w14:paraId="69D9A7E8" w14:textId="77777777" w:rsidR="00380445" w:rsidRPr="00147A40" w:rsidRDefault="00380445" w:rsidP="00147A40">
            <w:pPr>
              <w:jc w:val="right"/>
              <w:rPr>
                <w:color w:val="000000"/>
                <w:sz w:val="20"/>
                <w:szCs w:val="20"/>
              </w:rPr>
            </w:pPr>
            <w:r w:rsidRPr="00147A40">
              <w:rPr>
                <w:color w:val="000000"/>
                <w:sz w:val="20"/>
                <w:szCs w:val="20"/>
              </w:rPr>
              <w:t xml:space="preserve">         811 </w:t>
            </w:r>
          </w:p>
        </w:tc>
      </w:tr>
      <w:tr w:rsidR="00380445" w:rsidRPr="00147A40" w14:paraId="09640A31" w14:textId="77777777" w:rsidTr="00147A40">
        <w:trPr>
          <w:trHeight w:val="290"/>
        </w:trPr>
        <w:tc>
          <w:tcPr>
            <w:tcW w:w="1140" w:type="dxa"/>
            <w:noWrap/>
            <w:hideMark/>
          </w:tcPr>
          <w:p w14:paraId="764B0A87" w14:textId="77777777" w:rsidR="00380445" w:rsidRPr="00147A40" w:rsidRDefault="00380445" w:rsidP="00147A40">
            <w:pPr>
              <w:rPr>
                <w:color w:val="000000"/>
                <w:sz w:val="20"/>
                <w:szCs w:val="20"/>
              </w:rPr>
            </w:pPr>
            <w:r w:rsidRPr="00147A40">
              <w:rPr>
                <w:color w:val="000000"/>
                <w:sz w:val="20"/>
                <w:szCs w:val="20"/>
              </w:rPr>
              <w:t>2017</w:t>
            </w:r>
          </w:p>
        </w:tc>
        <w:tc>
          <w:tcPr>
            <w:tcW w:w="1194" w:type="dxa"/>
            <w:noWrap/>
            <w:hideMark/>
          </w:tcPr>
          <w:p w14:paraId="37DFDB73" w14:textId="77777777" w:rsidR="00380445" w:rsidRPr="00147A40" w:rsidRDefault="00380445" w:rsidP="00147A40">
            <w:pPr>
              <w:jc w:val="right"/>
              <w:rPr>
                <w:color w:val="000000"/>
                <w:sz w:val="20"/>
                <w:szCs w:val="20"/>
              </w:rPr>
            </w:pPr>
            <w:r w:rsidRPr="00147A40">
              <w:rPr>
                <w:color w:val="000000"/>
                <w:sz w:val="20"/>
                <w:szCs w:val="20"/>
              </w:rPr>
              <w:t xml:space="preserve">        20,246 </w:t>
            </w:r>
          </w:p>
        </w:tc>
        <w:tc>
          <w:tcPr>
            <w:tcW w:w="1020" w:type="dxa"/>
            <w:noWrap/>
            <w:hideMark/>
          </w:tcPr>
          <w:p w14:paraId="21F28EBD" w14:textId="77777777" w:rsidR="00380445" w:rsidRPr="00147A40" w:rsidRDefault="00380445" w:rsidP="00147A40">
            <w:pPr>
              <w:jc w:val="right"/>
              <w:rPr>
                <w:color w:val="000000"/>
                <w:sz w:val="20"/>
                <w:szCs w:val="20"/>
              </w:rPr>
            </w:pPr>
            <w:r w:rsidRPr="00147A40">
              <w:rPr>
                <w:color w:val="000000"/>
                <w:sz w:val="20"/>
                <w:szCs w:val="20"/>
              </w:rPr>
              <w:t xml:space="preserve">     19,813 </w:t>
            </w:r>
          </w:p>
        </w:tc>
        <w:tc>
          <w:tcPr>
            <w:tcW w:w="1020" w:type="dxa"/>
            <w:noWrap/>
            <w:hideMark/>
          </w:tcPr>
          <w:p w14:paraId="715AB8D5" w14:textId="77777777" w:rsidR="00380445" w:rsidRPr="00147A40" w:rsidRDefault="00380445" w:rsidP="00147A40">
            <w:pPr>
              <w:jc w:val="right"/>
              <w:rPr>
                <w:color w:val="000000"/>
                <w:sz w:val="20"/>
                <w:szCs w:val="20"/>
              </w:rPr>
            </w:pPr>
            <w:r w:rsidRPr="00147A40">
              <w:rPr>
                <w:color w:val="000000"/>
                <w:sz w:val="20"/>
                <w:szCs w:val="20"/>
              </w:rPr>
              <w:t xml:space="preserve">     16,260 </w:t>
            </w:r>
          </w:p>
        </w:tc>
        <w:tc>
          <w:tcPr>
            <w:tcW w:w="994" w:type="dxa"/>
            <w:noWrap/>
            <w:hideMark/>
          </w:tcPr>
          <w:p w14:paraId="4071AADB" w14:textId="77777777" w:rsidR="00380445" w:rsidRPr="00147A40" w:rsidRDefault="00380445" w:rsidP="00147A40">
            <w:pPr>
              <w:jc w:val="right"/>
              <w:rPr>
                <w:color w:val="000000"/>
                <w:sz w:val="20"/>
                <w:szCs w:val="20"/>
              </w:rPr>
            </w:pPr>
            <w:r w:rsidRPr="00147A40">
              <w:rPr>
                <w:color w:val="000000"/>
                <w:sz w:val="20"/>
                <w:szCs w:val="20"/>
              </w:rPr>
              <w:t xml:space="preserve">      8,345 </w:t>
            </w:r>
          </w:p>
        </w:tc>
        <w:tc>
          <w:tcPr>
            <w:tcW w:w="1194" w:type="dxa"/>
            <w:noWrap/>
            <w:hideMark/>
          </w:tcPr>
          <w:p w14:paraId="63B4678D" w14:textId="77777777" w:rsidR="00380445" w:rsidRPr="00147A40" w:rsidRDefault="00380445" w:rsidP="00147A40">
            <w:pPr>
              <w:jc w:val="right"/>
              <w:rPr>
                <w:color w:val="000000"/>
                <w:sz w:val="20"/>
                <w:szCs w:val="20"/>
              </w:rPr>
            </w:pPr>
            <w:r w:rsidRPr="00147A40">
              <w:rPr>
                <w:color w:val="000000"/>
                <w:sz w:val="20"/>
                <w:szCs w:val="20"/>
              </w:rPr>
              <w:t xml:space="preserve">       1,357 </w:t>
            </w:r>
          </w:p>
        </w:tc>
        <w:tc>
          <w:tcPr>
            <w:tcW w:w="1020" w:type="dxa"/>
            <w:noWrap/>
            <w:hideMark/>
          </w:tcPr>
          <w:p w14:paraId="1AF57DD1" w14:textId="77777777" w:rsidR="00380445" w:rsidRPr="00147A40" w:rsidRDefault="00380445" w:rsidP="00147A40">
            <w:pPr>
              <w:jc w:val="right"/>
              <w:rPr>
                <w:color w:val="000000"/>
                <w:sz w:val="20"/>
                <w:szCs w:val="20"/>
              </w:rPr>
            </w:pPr>
            <w:r w:rsidRPr="00147A40">
              <w:rPr>
                <w:color w:val="000000"/>
                <w:sz w:val="20"/>
                <w:szCs w:val="20"/>
              </w:rPr>
              <w:t xml:space="preserve">       1,320 </w:t>
            </w:r>
          </w:p>
        </w:tc>
        <w:tc>
          <w:tcPr>
            <w:tcW w:w="960" w:type="dxa"/>
            <w:noWrap/>
            <w:hideMark/>
          </w:tcPr>
          <w:p w14:paraId="56E87C7D" w14:textId="77777777" w:rsidR="00380445" w:rsidRPr="00147A40" w:rsidRDefault="00380445" w:rsidP="00147A40">
            <w:pPr>
              <w:jc w:val="right"/>
              <w:rPr>
                <w:color w:val="000000"/>
                <w:sz w:val="20"/>
                <w:szCs w:val="20"/>
              </w:rPr>
            </w:pPr>
            <w:r w:rsidRPr="00147A40">
              <w:rPr>
                <w:color w:val="000000"/>
                <w:sz w:val="20"/>
                <w:szCs w:val="20"/>
              </w:rPr>
              <w:t xml:space="preserve">     1,252 </w:t>
            </w:r>
          </w:p>
        </w:tc>
        <w:tc>
          <w:tcPr>
            <w:tcW w:w="994" w:type="dxa"/>
            <w:noWrap/>
            <w:hideMark/>
          </w:tcPr>
          <w:p w14:paraId="2FFC9EC7" w14:textId="77777777" w:rsidR="00380445" w:rsidRPr="00147A40" w:rsidRDefault="00380445" w:rsidP="00147A40">
            <w:pPr>
              <w:jc w:val="right"/>
              <w:rPr>
                <w:color w:val="000000"/>
                <w:sz w:val="20"/>
                <w:szCs w:val="20"/>
              </w:rPr>
            </w:pPr>
            <w:r w:rsidRPr="00147A40">
              <w:rPr>
                <w:color w:val="000000"/>
                <w:sz w:val="20"/>
                <w:szCs w:val="20"/>
              </w:rPr>
              <w:t xml:space="preserve">         737 </w:t>
            </w:r>
          </w:p>
        </w:tc>
      </w:tr>
      <w:tr w:rsidR="00380445" w:rsidRPr="00147A40" w14:paraId="6761D9C8" w14:textId="77777777" w:rsidTr="00147A40">
        <w:trPr>
          <w:trHeight w:val="290"/>
        </w:trPr>
        <w:tc>
          <w:tcPr>
            <w:tcW w:w="1140" w:type="dxa"/>
            <w:noWrap/>
            <w:hideMark/>
          </w:tcPr>
          <w:p w14:paraId="5DE7C1BB" w14:textId="77777777" w:rsidR="00380445" w:rsidRPr="00147A40" w:rsidRDefault="00380445" w:rsidP="00147A40">
            <w:pPr>
              <w:rPr>
                <w:color w:val="000000"/>
                <w:sz w:val="20"/>
                <w:szCs w:val="20"/>
              </w:rPr>
            </w:pPr>
            <w:r w:rsidRPr="00147A40">
              <w:rPr>
                <w:color w:val="000000"/>
                <w:sz w:val="20"/>
                <w:szCs w:val="20"/>
              </w:rPr>
              <w:t>2018</w:t>
            </w:r>
          </w:p>
        </w:tc>
        <w:tc>
          <w:tcPr>
            <w:tcW w:w="1194" w:type="dxa"/>
            <w:noWrap/>
            <w:hideMark/>
          </w:tcPr>
          <w:p w14:paraId="1F000B29" w14:textId="77777777" w:rsidR="00380445" w:rsidRPr="00147A40" w:rsidRDefault="00380445" w:rsidP="00147A40">
            <w:pPr>
              <w:jc w:val="right"/>
              <w:rPr>
                <w:color w:val="000000"/>
                <w:sz w:val="20"/>
                <w:szCs w:val="20"/>
              </w:rPr>
            </w:pPr>
            <w:r w:rsidRPr="00147A40">
              <w:rPr>
                <w:color w:val="000000"/>
                <w:sz w:val="20"/>
                <w:szCs w:val="20"/>
              </w:rPr>
              <w:t xml:space="preserve">        16,921 </w:t>
            </w:r>
          </w:p>
        </w:tc>
        <w:tc>
          <w:tcPr>
            <w:tcW w:w="1020" w:type="dxa"/>
            <w:noWrap/>
            <w:hideMark/>
          </w:tcPr>
          <w:p w14:paraId="5FB8F0C5" w14:textId="77777777" w:rsidR="00380445" w:rsidRPr="00147A40" w:rsidRDefault="00380445" w:rsidP="00147A40">
            <w:pPr>
              <w:jc w:val="right"/>
              <w:rPr>
                <w:color w:val="000000"/>
                <w:sz w:val="20"/>
                <w:szCs w:val="20"/>
              </w:rPr>
            </w:pPr>
            <w:r w:rsidRPr="00147A40">
              <w:rPr>
                <w:color w:val="000000"/>
                <w:sz w:val="20"/>
                <w:szCs w:val="20"/>
              </w:rPr>
              <w:t xml:space="preserve">     16,519 </w:t>
            </w:r>
          </w:p>
        </w:tc>
        <w:tc>
          <w:tcPr>
            <w:tcW w:w="1020" w:type="dxa"/>
            <w:noWrap/>
            <w:hideMark/>
          </w:tcPr>
          <w:p w14:paraId="54F99D57" w14:textId="77777777" w:rsidR="00380445" w:rsidRPr="00147A40" w:rsidRDefault="00380445" w:rsidP="00147A40">
            <w:pPr>
              <w:jc w:val="right"/>
              <w:rPr>
                <w:color w:val="000000"/>
                <w:sz w:val="20"/>
                <w:szCs w:val="20"/>
              </w:rPr>
            </w:pPr>
            <w:r w:rsidRPr="00147A40">
              <w:rPr>
                <w:color w:val="000000"/>
                <w:sz w:val="20"/>
                <w:szCs w:val="20"/>
              </w:rPr>
              <w:t xml:space="preserve">     14,318 </w:t>
            </w:r>
          </w:p>
        </w:tc>
        <w:tc>
          <w:tcPr>
            <w:tcW w:w="994" w:type="dxa"/>
            <w:noWrap/>
            <w:hideMark/>
          </w:tcPr>
          <w:p w14:paraId="07160267" w14:textId="77777777" w:rsidR="00380445" w:rsidRPr="00147A40" w:rsidRDefault="00380445" w:rsidP="00147A40">
            <w:pPr>
              <w:jc w:val="right"/>
              <w:rPr>
                <w:color w:val="000000"/>
                <w:sz w:val="20"/>
                <w:szCs w:val="20"/>
              </w:rPr>
            </w:pPr>
            <w:r w:rsidRPr="00147A40">
              <w:rPr>
                <w:color w:val="000000"/>
                <w:sz w:val="20"/>
                <w:szCs w:val="20"/>
              </w:rPr>
              <w:t xml:space="preserve">      8,142 </w:t>
            </w:r>
          </w:p>
        </w:tc>
        <w:tc>
          <w:tcPr>
            <w:tcW w:w="1194" w:type="dxa"/>
            <w:noWrap/>
            <w:hideMark/>
          </w:tcPr>
          <w:p w14:paraId="7266DD31" w14:textId="77777777" w:rsidR="00380445" w:rsidRPr="00147A40" w:rsidRDefault="00380445" w:rsidP="00147A40">
            <w:pPr>
              <w:jc w:val="right"/>
              <w:rPr>
                <w:color w:val="000000"/>
                <w:sz w:val="20"/>
                <w:szCs w:val="20"/>
              </w:rPr>
            </w:pPr>
            <w:r w:rsidRPr="00147A40">
              <w:rPr>
                <w:color w:val="000000"/>
                <w:sz w:val="20"/>
                <w:szCs w:val="20"/>
              </w:rPr>
              <w:t xml:space="preserve">       1,497 </w:t>
            </w:r>
          </w:p>
        </w:tc>
        <w:tc>
          <w:tcPr>
            <w:tcW w:w="1020" w:type="dxa"/>
            <w:noWrap/>
            <w:hideMark/>
          </w:tcPr>
          <w:p w14:paraId="6F408E58" w14:textId="77777777" w:rsidR="00380445" w:rsidRPr="00147A40" w:rsidRDefault="00380445" w:rsidP="00147A40">
            <w:pPr>
              <w:jc w:val="right"/>
              <w:rPr>
                <w:color w:val="000000"/>
                <w:sz w:val="20"/>
                <w:szCs w:val="20"/>
              </w:rPr>
            </w:pPr>
            <w:r w:rsidRPr="00147A40">
              <w:rPr>
                <w:color w:val="000000"/>
                <w:sz w:val="20"/>
                <w:szCs w:val="20"/>
              </w:rPr>
              <w:t xml:space="preserve">       1,448 </w:t>
            </w:r>
          </w:p>
        </w:tc>
        <w:tc>
          <w:tcPr>
            <w:tcW w:w="960" w:type="dxa"/>
            <w:noWrap/>
            <w:hideMark/>
          </w:tcPr>
          <w:p w14:paraId="1AA1B564" w14:textId="77777777" w:rsidR="00380445" w:rsidRPr="00147A40" w:rsidRDefault="00380445" w:rsidP="00147A40">
            <w:pPr>
              <w:jc w:val="right"/>
              <w:rPr>
                <w:color w:val="000000"/>
                <w:sz w:val="20"/>
                <w:szCs w:val="20"/>
              </w:rPr>
            </w:pPr>
            <w:r w:rsidRPr="00147A40">
              <w:rPr>
                <w:color w:val="000000"/>
                <w:sz w:val="20"/>
                <w:szCs w:val="20"/>
              </w:rPr>
              <w:t xml:space="preserve">     1,331 </w:t>
            </w:r>
          </w:p>
        </w:tc>
        <w:tc>
          <w:tcPr>
            <w:tcW w:w="994" w:type="dxa"/>
            <w:noWrap/>
            <w:hideMark/>
          </w:tcPr>
          <w:p w14:paraId="48B874B3" w14:textId="77777777" w:rsidR="00380445" w:rsidRPr="00147A40" w:rsidRDefault="00380445" w:rsidP="00147A40">
            <w:pPr>
              <w:jc w:val="right"/>
              <w:rPr>
                <w:color w:val="000000"/>
                <w:sz w:val="20"/>
                <w:szCs w:val="20"/>
              </w:rPr>
            </w:pPr>
            <w:r w:rsidRPr="00147A40">
              <w:rPr>
                <w:color w:val="000000"/>
                <w:sz w:val="20"/>
                <w:szCs w:val="20"/>
              </w:rPr>
              <w:t xml:space="preserve">         841 </w:t>
            </w:r>
          </w:p>
        </w:tc>
      </w:tr>
      <w:tr w:rsidR="00380445" w:rsidRPr="00147A40" w14:paraId="0BB30FA0" w14:textId="77777777" w:rsidTr="00147A40">
        <w:trPr>
          <w:trHeight w:val="290"/>
        </w:trPr>
        <w:tc>
          <w:tcPr>
            <w:tcW w:w="1140" w:type="dxa"/>
            <w:noWrap/>
            <w:hideMark/>
          </w:tcPr>
          <w:p w14:paraId="2FECB6EF" w14:textId="77777777" w:rsidR="00380445" w:rsidRPr="00147A40" w:rsidRDefault="00380445" w:rsidP="00147A40">
            <w:pPr>
              <w:rPr>
                <w:color w:val="000000"/>
                <w:sz w:val="20"/>
                <w:szCs w:val="20"/>
              </w:rPr>
            </w:pPr>
            <w:r w:rsidRPr="00147A40">
              <w:rPr>
                <w:color w:val="000000"/>
                <w:sz w:val="20"/>
                <w:szCs w:val="20"/>
              </w:rPr>
              <w:t>2019</w:t>
            </w:r>
          </w:p>
        </w:tc>
        <w:tc>
          <w:tcPr>
            <w:tcW w:w="1194" w:type="dxa"/>
            <w:noWrap/>
            <w:hideMark/>
          </w:tcPr>
          <w:p w14:paraId="2732AA2B" w14:textId="77777777" w:rsidR="00380445" w:rsidRPr="00147A40" w:rsidRDefault="00380445" w:rsidP="00147A40">
            <w:pPr>
              <w:jc w:val="right"/>
              <w:rPr>
                <w:color w:val="000000"/>
                <w:sz w:val="20"/>
                <w:szCs w:val="20"/>
              </w:rPr>
            </w:pPr>
            <w:r w:rsidRPr="00147A40">
              <w:rPr>
                <w:color w:val="000000"/>
                <w:sz w:val="20"/>
                <w:szCs w:val="20"/>
              </w:rPr>
              <w:t xml:space="preserve">        14,145 </w:t>
            </w:r>
          </w:p>
        </w:tc>
        <w:tc>
          <w:tcPr>
            <w:tcW w:w="1020" w:type="dxa"/>
            <w:noWrap/>
            <w:hideMark/>
          </w:tcPr>
          <w:p w14:paraId="5DB70810" w14:textId="77777777" w:rsidR="00380445" w:rsidRPr="00147A40" w:rsidRDefault="00380445" w:rsidP="00147A40">
            <w:pPr>
              <w:jc w:val="right"/>
              <w:rPr>
                <w:color w:val="000000"/>
                <w:sz w:val="20"/>
                <w:szCs w:val="20"/>
              </w:rPr>
            </w:pPr>
            <w:r w:rsidRPr="00147A40">
              <w:rPr>
                <w:color w:val="000000"/>
                <w:sz w:val="20"/>
                <w:szCs w:val="20"/>
              </w:rPr>
              <w:t xml:space="preserve">     13,690 </w:t>
            </w:r>
          </w:p>
        </w:tc>
        <w:tc>
          <w:tcPr>
            <w:tcW w:w="1020" w:type="dxa"/>
            <w:noWrap/>
            <w:hideMark/>
          </w:tcPr>
          <w:p w14:paraId="51BD42DA" w14:textId="77777777" w:rsidR="00380445" w:rsidRPr="00147A40" w:rsidRDefault="00380445" w:rsidP="00147A40">
            <w:pPr>
              <w:jc w:val="right"/>
              <w:rPr>
                <w:color w:val="000000"/>
                <w:sz w:val="20"/>
                <w:szCs w:val="20"/>
              </w:rPr>
            </w:pPr>
            <w:r w:rsidRPr="00147A40">
              <w:rPr>
                <w:color w:val="000000"/>
                <w:sz w:val="20"/>
                <w:szCs w:val="20"/>
              </w:rPr>
              <w:t xml:space="preserve">     11,846 </w:t>
            </w:r>
          </w:p>
        </w:tc>
        <w:tc>
          <w:tcPr>
            <w:tcW w:w="994" w:type="dxa"/>
            <w:noWrap/>
            <w:hideMark/>
          </w:tcPr>
          <w:p w14:paraId="64BA7465" w14:textId="77777777" w:rsidR="00380445" w:rsidRPr="00147A40" w:rsidRDefault="00380445" w:rsidP="00147A40">
            <w:pPr>
              <w:jc w:val="right"/>
              <w:rPr>
                <w:color w:val="000000"/>
                <w:sz w:val="20"/>
                <w:szCs w:val="20"/>
              </w:rPr>
            </w:pPr>
            <w:r w:rsidRPr="00147A40">
              <w:rPr>
                <w:color w:val="000000"/>
                <w:sz w:val="20"/>
                <w:szCs w:val="20"/>
              </w:rPr>
              <w:t xml:space="preserve">      7,204 </w:t>
            </w:r>
          </w:p>
        </w:tc>
        <w:tc>
          <w:tcPr>
            <w:tcW w:w="1194" w:type="dxa"/>
            <w:noWrap/>
            <w:hideMark/>
          </w:tcPr>
          <w:p w14:paraId="6010204E" w14:textId="77777777" w:rsidR="00380445" w:rsidRPr="00147A40" w:rsidRDefault="00380445" w:rsidP="00147A40">
            <w:pPr>
              <w:jc w:val="right"/>
              <w:rPr>
                <w:color w:val="000000"/>
                <w:sz w:val="20"/>
                <w:szCs w:val="20"/>
              </w:rPr>
            </w:pPr>
            <w:r w:rsidRPr="00147A40">
              <w:rPr>
                <w:color w:val="000000"/>
                <w:sz w:val="20"/>
                <w:szCs w:val="20"/>
              </w:rPr>
              <w:t xml:space="preserve">       1,286 </w:t>
            </w:r>
          </w:p>
        </w:tc>
        <w:tc>
          <w:tcPr>
            <w:tcW w:w="1020" w:type="dxa"/>
            <w:noWrap/>
            <w:hideMark/>
          </w:tcPr>
          <w:p w14:paraId="65B43377" w14:textId="77777777" w:rsidR="00380445" w:rsidRPr="00147A40" w:rsidRDefault="00380445" w:rsidP="00147A40">
            <w:pPr>
              <w:jc w:val="right"/>
              <w:rPr>
                <w:color w:val="000000"/>
                <w:sz w:val="20"/>
                <w:szCs w:val="20"/>
              </w:rPr>
            </w:pPr>
            <w:r w:rsidRPr="00147A40">
              <w:rPr>
                <w:color w:val="000000"/>
                <w:sz w:val="20"/>
                <w:szCs w:val="20"/>
              </w:rPr>
              <w:t xml:space="preserve">       1,235 </w:t>
            </w:r>
          </w:p>
        </w:tc>
        <w:tc>
          <w:tcPr>
            <w:tcW w:w="960" w:type="dxa"/>
            <w:noWrap/>
            <w:hideMark/>
          </w:tcPr>
          <w:p w14:paraId="4D2741FC" w14:textId="77777777" w:rsidR="00380445" w:rsidRPr="00147A40" w:rsidRDefault="00380445" w:rsidP="00147A40">
            <w:pPr>
              <w:jc w:val="right"/>
              <w:rPr>
                <w:color w:val="000000"/>
                <w:sz w:val="20"/>
                <w:szCs w:val="20"/>
              </w:rPr>
            </w:pPr>
            <w:r w:rsidRPr="00147A40">
              <w:rPr>
                <w:color w:val="000000"/>
                <w:sz w:val="20"/>
                <w:szCs w:val="20"/>
              </w:rPr>
              <w:t xml:space="preserve">     1,056 </w:t>
            </w:r>
          </w:p>
        </w:tc>
        <w:tc>
          <w:tcPr>
            <w:tcW w:w="994" w:type="dxa"/>
            <w:noWrap/>
            <w:hideMark/>
          </w:tcPr>
          <w:p w14:paraId="761B2DA5" w14:textId="77777777" w:rsidR="00380445" w:rsidRPr="00147A40" w:rsidRDefault="00380445" w:rsidP="00147A40">
            <w:pPr>
              <w:jc w:val="right"/>
              <w:rPr>
                <w:color w:val="000000"/>
                <w:sz w:val="20"/>
                <w:szCs w:val="20"/>
              </w:rPr>
            </w:pPr>
            <w:r w:rsidRPr="00147A40">
              <w:rPr>
                <w:color w:val="000000"/>
                <w:sz w:val="20"/>
                <w:szCs w:val="20"/>
              </w:rPr>
              <w:t xml:space="preserve">         751 </w:t>
            </w:r>
          </w:p>
        </w:tc>
      </w:tr>
      <w:tr w:rsidR="00380445" w:rsidRPr="00147A40" w14:paraId="6142B576" w14:textId="77777777" w:rsidTr="00147A40">
        <w:trPr>
          <w:trHeight w:val="290"/>
        </w:trPr>
        <w:tc>
          <w:tcPr>
            <w:tcW w:w="1140" w:type="dxa"/>
            <w:noWrap/>
            <w:hideMark/>
          </w:tcPr>
          <w:p w14:paraId="6F6B2A30" w14:textId="77777777" w:rsidR="00380445" w:rsidRPr="00147A40" w:rsidRDefault="00380445" w:rsidP="00147A40">
            <w:pPr>
              <w:rPr>
                <w:color w:val="000000"/>
                <w:sz w:val="20"/>
                <w:szCs w:val="20"/>
              </w:rPr>
            </w:pPr>
            <w:r w:rsidRPr="00147A40">
              <w:rPr>
                <w:color w:val="000000"/>
                <w:sz w:val="20"/>
                <w:szCs w:val="20"/>
              </w:rPr>
              <w:t>2020</w:t>
            </w:r>
          </w:p>
        </w:tc>
        <w:tc>
          <w:tcPr>
            <w:tcW w:w="1194" w:type="dxa"/>
            <w:noWrap/>
            <w:hideMark/>
          </w:tcPr>
          <w:p w14:paraId="7D3E750F" w14:textId="77777777" w:rsidR="00380445" w:rsidRPr="00147A40" w:rsidRDefault="00380445" w:rsidP="00147A40">
            <w:pPr>
              <w:jc w:val="right"/>
              <w:rPr>
                <w:color w:val="000000"/>
                <w:sz w:val="20"/>
                <w:szCs w:val="20"/>
              </w:rPr>
            </w:pPr>
            <w:r w:rsidRPr="00147A40">
              <w:rPr>
                <w:color w:val="000000"/>
                <w:sz w:val="20"/>
                <w:szCs w:val="20"/>
              </w:rPr>
              <w:t xml:space="preserve">        13,506 </w:t>
            </w:r>
          </w:p>
        </w:tc>
        <w:tc>
          <w:tcPr>
            <w:tcW w:w="1020" w:type="dxa"/>
            <w:noWrap/>
            <w:hideMark/>
          </w:tcPr>
          <w:p w14:paraId="601DC9F1" w14:textId="77777777" w:rsidR="00380445" w:rsidRPr="00147A40" w:rsidRDefault="00380445" w:rsidP="00147A40">
            <w:pPr>
              <w:jc w:val="right"/>
              <w:rPr>
                <w:color w:val="000000"/>
                <w:sz w:val="20"/>
                <w:szCs w:val="20"/>
              </w:rPr>
            </w:pPr>
            <w:r w:rsidRPr="00147A40">
              <w:rPr>
                <w:color w:val="000000"/>
                <w:sz w:val="20"/>
                <w:szCs w:val="20"/>
              </w:rPr>
              <w:t xml:space="preserve">     12,917 </w:t>
            </w:r>
          </w:p>
        </w:tc>
        <w:tc>
          <w:tcPr>
            <w:tcW w:w="1020" w:type="dxa"/>
            <w:noWrap/>
            <w:hideMark/>
          </w:tcPr>
          <w:p w14:paraId="71D90860" w14:textId="77777777" w:rsidR="00380445" w:rsidRPr="00147A40" w:rsidRDefault="00380445" w:rsidP="00147A40">
            <w:pPr>
              <w:jc w:val="right"/>
              <w:rPr>
                <w:color w:val="000000"/>
                <w:sz w:val="20"/>
                <w:szCs w:val="20"/>
              </w:rPr>
            </w:pPr>
            <w:r w:rsidRPr="00147A40">
              <w:rPr>
                <w:color w:val="000000"/>
                <w:sz w:val="20"/>
                <w:szCs w:val="20"/>
              </w:rPr>
              <w:t xml:space="preserve">     11,319 </w:t>
            </w:r>
          </w:p>
        </w:tc>
        <w:tc>
          <w:tcPr>
            <w:tcW w:w="994" w:type="dxa"/>
            <w:noWrap/>
            <w:hideMark/>
          </w:tcPr>
          <w:p w14:paraId="2E23454F" w14:textId="77777777" w:rsidR="00380445" w:rsidRPr="00147A40" w:rsidRDefault="00380445" w:rsidP="00147A40">
            <w:pPr>
              <w:jc w:val="right"/>
              <w:rPr>
                <w:color w:val="000000"/>
                <w:sz w:val="20"/>
                <w:szCs w:val="20"/>
              </w:rPr>
            </w:pPr>
            <w:r w:rsidRPr="00147A40">
              <w:rPr>
                <w:color w:val="000000"/>
                <w:sz w:val="20"/>
                <w:szCs w:val="20"/>
              </w:rPr>
              <w:t xml:space="preserve">      6,880 </w:t>
            </w:r>
          </w:p>
        </w:tc>
        <w:tc>
          <w:tcPr>
            <w:tcW w:w="1194" w:type="dxa"/>
            <w:noWrap/>
            <w:hideMark/>
          </w:tcPr>
          <w:p w14:paraId="1A26BA0C" w14:textId="77777777" w:rsidR="00380445" w:rsidRPr="00147A40" w:rsidRDefault="00380445" w:rsidP="00147A40">
            <w:pPr>
              <w:jc w:val="right"/>
              <w:rPr>
                <w:color w:val="000000"/>
                <w:sz w:val="20"/>
                <w:szCs w:val="20"/>
              </w:rPr>
            </w:pPr>
            <w:r w:rsidRPr="00147A40">
              <w:rPr>
                <w:color w:val="000000"/>
                <w:sz w:val="20"/>
                <w:szCs w:val="20"/>
              </w:rPr>
              <w:t xml:space="preserve">       1,328 </w:t>
            </w:r>
          </w:p>
        </w:tc>
        <w:tc>
          <w:tcPr>
            <w:tcW w:w="1020" w:type="dxa"/>
            <w:noWrap/>
            <w:hideMark/>
          </w:tcPr>
          <w:p w14:paraId="5ABC29BC" w14:textId="77777777" w:rsidR="00380445" w:rsidRPr="00147A40" w:rsidRDefault="00380445" w:rsidP="00147A40">
            <w:pPr>
              <w:jc w:val="right"/>
              <w:rPr>
                <w:color w:val="000000"/>
                <w:sz w:val="20"/>
                <w:szCs w:val="20"/>
              </w:rPr>
            </w:pPr>
            <w:r w:rsidRPr="00147A40">
              <w:rPr>
                <w:color w:val="000000"/>
                <w:sz w:val="20"/>
                <w:szCs w:val="20"/>
              </w:rPr>
              <w:t xml:space="preserve">       1,242 </w:t>
            </w:r>
          </w:p>
        </w:tc>
        <w:tc>
          <w:tcPr>
            <w:tcW w:w="960" w:type="dxa"/>
            <w:noWrap/>
            <w:hideMark/>
          </w:tcPr>
          <w:p w14:paraId="7F9A0728" w14:textId="77777777" w:rsidR="00380445" w:rsidRPr="00147A40" w:rsidRDefault="00380445" w:rsidP="00147A40">
            <w:pPr>
              <w:jc w:val="right"/>
              <w:rPr>
                <w:color w:val="000000"/>
                <w:sz w:val="20"/>
                <w:szCs w:val="20"/>
              </w:rPr>
            </w:pPr>
            <w:r w:rsidRPr="00147A40">
              <w:rPr>
                <w:color w:val="000000"/>
                <w:sz w:val="20"/>
                <w:szCs w:val="20"/>
              </w:rPr>
              <w:t xml:space="preserve">     1,066 </w:t>
            </w:r>
          </w:p>
        </w:tc>
        <w:tc>
          <w:tcPr>
            <w:tcW w:w="994" w:type="dxa"/>
            <w:noWrap/>
            <w:hideMark/>
          </w:tcPr>
          <w:p w14:paraId="53117F05" w14:textId="77777777" w:rsidR="00380445" w:rsidRPr="00147A40" w:rsidRDefault="00380445" w:rsidP="00147A40">
            <w:pPr>
              <w:jc w:val="right"/>
              <w:rPr>
                <w:color w:val="000000"/>
                <w:sz w:val="20"/>
                <w:szCs w:val="20"/>
              </w:rPr>
            </w:pPr>
            <w:r w:rsidRPr="00147A40">
              <w:rPr>
                <w:color w:val="000000"/>
                <w:sz w:val="20"/>
                <w:szCs w:val="20"/>
              </w:rPr>
              <w:t xml:space="preserve">         741 </w:t>
            </w:r>
          </w:p>
        </w:tc>
      </w:tr>
      <w:tr w:rsidR="00380445" w:rsidRPr="00147A40" w14:paraId="75770982" w14:textId="77777777" w:rsidTr="00147A40">
        <w:trPr>
          <w:trHeight w:val="290"/>
        </w:trPr>
        <w:tc>
          <w:tcPr>
            <w:tcW w:w="1140" w:type="dxa"/>
            <w:noWrap/>
            <w:hideMark/>
          </w:tcPr>
          <w:p w14:paraId="5738571E" w14:textId="77777777" w:rsidR="00380445" w:rsidRPr="00147A40" w:rsidRDefault="00380445" w:rsidP="00147A40">
            <w:pPr>
              <w:rPr>
                <w:color w:val="000000"/>
                <w:sz w:val="20"/>
                <w:szCs w:val="20"/>
              </w:rPr>
            </w:pPr>
            <w:r w:rsidRPr="00147A40">
              <w:rPr>
                <w:color w:val="000000"/>
                <w:sz w:val="20"/>
                <w:szCs w:val="20"/>
              </w:rPr>
              <w:t>2021</w:t>
            </w:r>
          </w:p>
        </w:tc>
        <w:tc>
          <w:tcPr>
            <w:tcW w:w="1194" w:type="dxa"/>
            <w:noWrap/>
            <w:hideMark/>
          </w:tcPr>
          <w:p w14:paraId="2772FF47" w14:textId="77777777" w:rsidR="00380445" w:rsidRPr="00147A40" w:rsidRDefault="00380445" w:rsidP="00147A40">
            <w:pPr>
              <w:jc w:val="right"/>
              <w:rPr>
                <w:color w:val="000000"/>
                <w:sz w:val="20"/>
                <w:szCs w:val="20"/>
              </w:rPr>
            </w:pPr>
            <w:r w:rsidRPr="00147A40">
              <w:rPr>
                <w:color w:val="000000"/>
                <w:sz w:val="20"/>
                <w:szCs w:val="20"/>
              </w:rPr>
              <w:t xml:space="preserve">        14,368 </w:t>
            </w:r>
          </w:p>
        </w:tc>
        <w:tc>
          <w:tcPr>
            <w:tcW w:w="1020" w:type="dxa"/>
            <w:noWrap/>
            <w:hideMark/>
          </w:tcPr>
          <w:p w14:paraId="01B8176C" w14:textId="77777777" w:rsidR="00380445" w:rsidRPr="00147A40" w:rsidRDefault="00380445" w:rsidP="00147A40">
            <w:pPr>
              <w:jc w:val="right"/>
              <w:rPr>
                <w:color w:val="000000"/>
                <w:sz w:val="20"/>
                <w:szCs w:val="20"/>
              </w:rPr>
            </w:pPr>
            <w:r w:rsidRPr="00147A40">
              <w:rPr>
                <w:color w:val="000000"/>
                <w:sz w:val="20"/>
                <w:szCs w:val="20"/>
              </w:rPr>
              <w:t xml:space="preserve">     12,674 </w:t>
            </w:r>
          </w:p>
        </w:tc>
        <w:tc>
          <w:tcPr>
            <w:tcW w:w="1020" w:type="dxa"/>
            <w:noWrap/>
            <w:hideMark/>
          </w:tcPr>
          <w:p w14:paraId="0E67286F" w14:textId="77777777" w:rsidR="00380445" w:rsidRPr="00147A40" w:rsidRDefault="00380445" w:rsidP="00147A40">
            <w:pPr>
              <w:jc w:val="right"/>
              <w:rPr>
                <w:color w:val="000000"/>
                <w:sz w:val="20"/>
                <w:szCs w:val="20"/>
              </w:rPr>
            </w:pPr>
            <w:r w:rsidRPr="00147A40">
              <w:rPr>
                <w:color w:val="000000"/>
                <w:sz w:val="20"/>
                <w:szCs w:val="20"/>
              </w:rPr>
              <w:t xml:space="preserve">     11,353 </w:t>
            </w:r>
          </w:p>
        </w:tc>
        <w:tc>
          <w:tcPr>
            <w:tcW w:w="994" w:type="dxa"/>
            <w:noWrap/>
            <w:hideMark/>
          </w:tcPr>
          <w:p w14:paraId="2686E586" w14:textId="77777777" w:rsidR="00380445" w:rsidRPr="00147A40" w:rsidRDefault="00380445" w:rsidP="00147A40">
            <w:pPr>
              <w:jc w:val="right"/>
              <w:rPr>
                <w:color w:val="000000"/>
                <w:sz w:val="20"/>
                <w:szCs w:val="20"/>
              </w:rPr>
            </w:pPr>
            <w:r w:rsidRPr="00147A40">
              <w:rPr>
                <w:color w:val="000000"/>
                <w:sz w:val="20"/>
                <w:szCs w:val="20"/>
              </w:rPr>
              <w:t xml:space="preserve">      7,124 </w:t>
            </w:r>
          </w:p>
        </w:tc>
        <w:tc>
          <w:tcPr>
            <w:tcW w:w="1194" w:type="dxa"/>
            <w:noWrap/>
            <w:hideMark/>
          </w:tcPr>
          <w:p w14:paraId="201FFCD4" w14:textId="77777777" w:rsidR="00380445" w:rsidRPr="00147A40" w:rsidRDefault="00380445" w:rsidP="00147A40">
            <w:pPr>
              <w:jc w:val="right"/>
              <w:rPr>
                <w:color w:val="000000"/>
                <w:sz w:val="20"/>
                <w:szCs w:val="20"/>
              </w:rPr>
            </w:pPr>
            <w:r w:rsidRPr="00147A40">
              <w:rPr>
                <w:color w:val="000000"/>
                <w:sz w:val="20"/>
                <w:szCs w:val="20"/>
              </w:rPr>
              <w:t xml:space="preserve">       1,650 </w:t>
            </w:r>
          </w:p>
        </w:tc>
        <w:tc>
          <w:tcPr>
            <w:tcW w:w="1020" w:type="dxa"/>
            <w:noWrap/>
            <w:hideMark/>
          </w:tcPr>
          <w:p w14:paraId="06331EDF" w14:textId="77777777" w:rsidR="00380445" w:rsidRPr="00147A40" w:rsidRDefault="00380445" w:rsidP="00147A40">
            <w:pPr>
              <w:jc w:val="right"/>
              <w:rPr>
                <w:color w:val="000000"/>
                <w:sz w:val="20"/>
                <w:szCs w:val="20"/>
              </w:rPr>
            </w:pPr>
            <w:r w:rsidRPr="00147A40">
              <w:rPr>
                <w:color w:val="000000"/>
                <w:sz w:val="20"/>
                <w:szCs w:val="20"/>
              </w:rPr>
              <w:t xml:space="preserve">       1,404 </w:t>
            </w:r>
          </w:p>
        </w:tc>
        <w:tc>
          <w:tcPr>
            <w:tcW w:w="960" w:type="dxa"/>
            <w:noWrap/>
            <w:hideMark/>
          </w:tcPr>
          <w:p w14:paraId="7233F9EB" w14:textId="77777777" w:rsidR="00380445" w:rsidRPr="00147A40" w:rsidRDefault="00380445" w:rsidP="00147A40">
            <w:pPr>
              <w:jc w:val="right"/>
              <w:rPr>
                <w:color w:val="000000"/>
                <w:sz w:val="20"/>
                <w:szCs w:val="20"/>
              </w:rPr>
            </w:pPr>
            <w:r w:rsidRPr="00147A40">
              <w:rPr>
                <w:color w:val="000000"/>
                <w:sz w:val="20"/>
                <w:szCs w:val="20"/>
              </w:rPr>
              <w:t xml:space="preserve">     1,213 </w:t>
            </w:r>
          </w:p>
        </w:tc>
        <w:tc>
          <w:tcPr>
            <w:tcW w:w="994" w:type="dxa"/>
            <w:noWrap/>
            <w:hideMark/>
          </w:tcPr>
          <w:p w14:paraId="4F07B351" w14:textId="77777777" w:rsidR="00380445" w:rsidRPr="00147A40" w:rsidRDefault="00380445" w:rsidP="00147A40">
            <w:pPr>
              <w:jc w:val="right"/>
              <w:rPr>
                <w:color w:val="000000"/>
                <w:sz w:val="20"/>
                <w:szCs w:val="20"/>
              </w:rPr>
            </w:pPr>
            <w:r w:rsidRPr="00147A40">
              <w:rPr>
                <w:color w:val="000000"/>
                <w:sz w:val="20"/>
                <w:szCs w:val="20"/>
              </w:rPr>
              <w:t xml:space="preserve">         780 </w:t>
            </w:r>
          </w:p>
        </w:tc>
      </w:tr>
      <w:tr w:rsidR="00380445" w:rsidRPr="00147A40" w14:paraId="2AFA9A15" w14:textId="77777777" w:rsidTr="00147A40">
        <w:trPr>
          <w:trHeight w:val="290"/>
        </w:trPr>
        <w:tc>
          <w:tcPr>
            <w:tcW w:w="1140" w:type="dxa"/>
            <w:noWrap/>
            <w:hideMark/>
          </w:tcPr>
          <w:p w14:paraId="72B4AD52" w14:textId="77777777" w:rsidR="00380445" w:rsidRPr="00147A40" w:rsidRDefault="00380445" w:rsidP="00147A40">
            <w:pPr>
              <w:rPr>
                <w:color w:val="000000"/>
                <w:sz w:val="20"/>
                <w:szCs w:val="20"/>
              </w:rPr>
            </w:pPr>
            <w:r w:rsidRPr="00147A40">
              <w:rPr>
                <w:color w:val="000000"/>
                <w:sz w:val="20"/>
                <w:szCs w:val="20"/>
              </w:rPr>
              <w:t>2022</w:t>
            </w:r>
          </w:p>
        </w:tc>
        <w:tc>
          <w:tcPr>
            <w:tcW w:w="1194" w:type="dxa"/>
            <w:noWrap/>
            <w:hideMark/>
          </w:tcPr>
          <w:p w14:paraId="186A0E9D" w14:textId="77777777" w:rsidR="00380445" w:rsidRPr="00147A40" w:rsidRDefault="00380445" w:rsidP="00147A40">
            <w:pPr>
              <w:jc w:val="right"/>
              <w:rPr>
                <w:color w:val="000000"/>
                <w:sz w:val="20"/>
                <w:szCs w:val="20"/>
              </w:rPr>
            </w:pPr>
            <w:r w:rsidRPr="00147A40">
              <w:rPr>
                <w:color w:val="000000"/>
                <w:sz w:val="20"/>
                <w:szCs w:val="20"/>
              </w:rPr>
              <w:t xml:space="preserve">        14,672 </w:t>
            </w:r>
          </w:p>
        </w:tc>
        <w:tc>
          <w:tcPr>
            <w:tcW w:w="1020" w:type="dxa"/>
            <w:noWrap/>
            <w:hideMark/>
          </w:tcPr>
          <w:p w14:paraId="37BF5F33" w14:textId="77777777" w:rsidR="00380445" w:rsidRPr="00147A40" w:rsidRDefault="00380445" w:rsidP="00147A40">
            <w:pPr>
              <w:jc w:val="right"/>
              <w:rPr>
                <w:color w:val="000000"/>
                <w:sz w:val="20"/>
                <w:szCs w:val="20"/>
              </w:rPr>
            </w:pPr>
            <w:r w:rsidRPr="00147A40">
              <w:rPr>
                <w:color w:val="000000"/>
                <w:sz w:val="20"/>
                <w:szCs w:val="20"/>
              </w:rPr>
              <w:t xml:space="preserve">       6,852 </w:t>
            </w:r>
          </w:p>
        </w:tc>
        <w:tc>
          <w:tcPr>
            <w:tcW w:w="1020" w:type="dxa"/>
            <w:noWrap/>
            <w:hideMark/>
          </w:tcPr>
          <w:p w14:paraId="43B3E9EA" w14:textId="77777777" w:rsidR="00380445" w:rsidRPr="00147A40" w:rsidRDefault="00380445" w:rsidP="00147A40">
            <w:pPr>
              <w:jc w:val="right"/>
              <w:rPr>
                <w:color w:val="000000"/>
                <w:sz w:val="20"/>
                <w:szCs w:val="20"/>
              </w:rPr>
            </w:pPr>
            <w:r w:rsidRPr="00147A40">
              <w:rPr>
                <w:color w:val="000000"/>
                <w:sz w:val="20"/>
                <w:szCs w:val="20"/>
              </w:rPr>
              <w:t xml:space="preserve">       5,785 </w:t>
            </w:r>
          </w:p>
        </w:tc>
        <w:tc>
          <w:tcPr>
            <w:tcW w:w="994" w:type="dxa"/>
            <w:noWrap/>
            <w:hideMark/>
          </w:tcPr>
          <w:p w14:paraId="68218D4C" w14:textId="77777777" w:rsidR="00380445" w:rsidRPr="00147A40" w:rsidRDefault="00380445" w:rsidP="00147A40">
            <w:pPr>
              <w:jc w:val="right"/>
              <w:rPr>
                <w:color w:val="000000"/>
                <w:sz w:val="20"/>
                <w:szCs w:val="20"/>
              </w:rPr>
            </w:pPr>
            <w:r w:rsidRPr="00147A40">
              <w:rPr>
                <w:color w:val="000000"/>
                <w:sz w:val="20"/>
                <w:szCs w:val="20"/>
              </w:rPr>
              <w:t xml:space="preserve">      3,741 </w:t>
            </w:r>
          </w:p>
        </w:tc>
        <w:tc>
          <w:tcPr>
            <w:tcW w:w="1194" w:type="dxa"/>
            <w:noWrap/>
            <w:hideMark/>
          </w:tcPr>
          <w:p w14:paraId="6A368DE6" w14:textId="77777777" w:rsidR="00380445" w:rsidRPr="00147A40" w:rsidRDefault="00380445" w:rsidP="00147A40">
            <w:pPr>
              <w:jc w:val="right"/>
              <w:rPr>
                <w:color w:val="000000"/>
                <w:sz w:val="20"/>
                <w:szCs w:val="20"/>
              </w:rPr>
            </w:pPr>
            <w:r w:rsidRPr="00147A40">
              <w:rPr>
                <w:color w:val="000000"/>
                <w:sz w:val="20"/>
                <w:szCs w:val="20"/>
              </w:rPr>
              <w:t xml:space="preserve">       1,667 </w:t>
            </w:r>
          </w:p>
        </w:tc>
        <w:tc>
          <w:tcPr>
            <w:tcW w:w="1020" w:type="dxa"/>
            <w:noWrap/>
            <w:hideMark/>
          </w:tcPr>
          <w:p w14:paraId="49EEA2F8" w14:textId="77777777" w:rsidR="00380445" w:rsidRPr="00147A40" w:rsidRDefault="00380445" w:rsidP="00147A40">
            <w:pPr>
              <w:jc w:val="right"/>
              <w:rPr>
                <w:color w:val="000000"/>
                <w:sz w:val="20"/>
                <w:szCs w:val="20"/>
              </w:rPr>
            </w:pPr>
            <w:r w:rsidRPr="00147A40">
              <w:rPr>
                <w:color w:val="000000"/>
                <w:sz w:val="20"/>
                <w:szCs w:val="20"/>
              </w:rPr>
              <w:t xml:space="preserve">          705 </w:t>
            </w:r>
          </w:p>
        </w:tc>
        <w:tc>
          <w:tcPr>
            <w:tcW w:w="960" w:type="dxa"/>
            <w:noWrap/>
            <w:hideMark/>
          </w:tcPr>
          <w:p w14:paraId="62EEEBF1" w14:textId="77777777" w:rsidR="00380445" w:rsidRPr="00147A40" w:rsidRDefault="00380445" w:rsidP="00147A40">
            <w:pPr>
              <w:jc w:val="right"/>
              <w:rPr>
                <w:color w:val="000000"/>
                <w:sz w:val="20"/>
                <w:szCs w:val="20"/>
              </w:rPr>
            </w:pPr>
            <w:r w:rsidRPr="00147A40">
              <w:rPr>
                <w:color w:val="000000"/>
                <w:sz w:val="20"/>
                <w:szCs w:val="20"/>
              </w:rPr>
              <w:t xml:space="preserve">        552 </w:t>
            </w:r>
          </w:p>
        </w:tc>
        <w:tc>
          <w:tcPr>
            <w:tcW w:w="994" w:type="dxa"/>
            <w:noWrap/>
            <w:hideMark/>
          </w:tcPr>
          <w:p w14:paraId="02DE7351" w14:textId="77777777" w:rsidR="00380445" w:rsidRPr="00147A40" w:rsidRDefault="00380445" w:rsidP="00147A40">
            <w:pPr>
              <w:jc w:val="right"/>
              <w:rPr>
                <w:color w:val="000000"/>
                <w:sz w:val="20"/>
                <w:szCs w:val="20"/>
              </w:rPr>
            </w:pPr>
            <w:r w:rsidRPr="00147A40">
              <w:rPr>
                <w:color w:val="000000"/>
                <w:sz w:val="20"/>
                <w:szCs w:val="20"/>
              </w:rPr>
              <w:t xml:space="preserve">         354 </w:t>
            </w:r>
          </w:p>
        </w:tc>
      </w:tr>
      <w:tr w:rsidR="00380445" w:rsidRPr="00147A40" w14:paraId="4E566D10" w14:textId="77777777" w:rsidTr="00147A40">
        <w:trPr>
          <w:trHeight w:val="290"/>
        </w:trPr>
        <w:tc>
          <w:tcPr>
            <w:tcW w:w="1140" w:type="dxa"/>
            <w:noWrap/>
            <w:hideMark/>
          </w:tcPr>
          <w:p w14:paraId="6AF5DF2F" w14:textId="77777777" w:rsidR="00380445" w:rsidRPr="00147A40" w:rsidRDefault="00380445" w:rsidP="00147A40">
            <w:pPr>
              <w:rPr>
                <w:color w:val="000000"/>
                <w:sz w:val="20"/>
                <w:szCs w:val="20"/>
              </w:rPr>
            </w:pPr>
            <w:r w:rsidRPr="00147A40">
              <w:rPr>
                <w:color w:val="000000"/>
                <w:sz w:val="20"/>
                <w:szCs w:val="20"/>
              </w:rPr>
              <w:t>2023</w:t>
            </w:r>
          </w:p>
        </w:tc>
        <w:tc>
          <w:tcPr>
            <w:tcW w:w="1194" w:type="dxa"/>
            <w:noWrap/>
            <w:hideMark/>
          </w:tcPr>
          <w:p w14:paraId="758010D2" w14:textId="77777777" w:rsidR="00380445" w:rsidRPr="00147A40" w:rsidRDefault="00380445" w:rsidP="00147A40">
            <w:pPr>
              <w:jc w:val="right"/>
              <w:rPr>
                <w:color w:val="000000"/>
                <w:sz w:val="20"/>
                <w:szCs w:val="20"/>
              </w:rPr>
            </w:pPr>
            <w:r w:rsidRPr="00147A40">
              <w:rPr>
                <w:color w:val="000000"/>
                <w:sz w:val="20"/>
                <w:szCs w:val="20"/>
              </w:rPr>
              <w:t xml:space="preserve">          2,980 </w:t>
            </w:r>
          </w:p>
        </w:tc>
        <w:tc>
          <w:tcPr>
            <w:tcW w:w="1020" w:type="dxa"/>
            <w:noWrap/>
            <w:hideMark/>
          </w:tcPr>
          <w:p w14:paraId="4D124724" w14:textId="77777777" w:rsidR="00380445" w:rsidRPr="00147A40" w:rsidRDefault="00380445" w:rsidP="00147A40">
            <w:pPr>
              <w:jc w:val="right"/>
              <w:rPr>
                <w:color w:val="000000"/>
                <w:sz w:val="20"/>
                <w:szCs w:val="20"/>
              </w:rPr>
            </w:pPr>
            <w:r w:rsidRPr="00147A40">
              <w:rPr>
                <w:color w:val="000000"/>
                <w:sz w:val="20"/>
                <w:szCs w:val="20"/>
              </w:rPr>
              <w:t xml:space="preserve">          104 </w:t>
            </w:r>
          </w:p>
        </w:tc>
        <w:tc>
          <w:tcPr>
            <w:tcW w:w="1020" w:type="dxa"/>
            <w:noWrap/>
            <w:hideMark/>
          </w:tcPr>
          <w:p w14:paraId="51401DD9" w14:textId="77777777" w:rsidR="00380445" w:rsidRPr="00147A40" w:rsidRDefault="00380445" w:rsidP="00147A40">
            <w:pPr>
              <w:jc w:val="right"/>
              <w:rPr>
                <w:color w:val="000000"/>
                <w:sz w:val="20"/>
                <w:szCs w:val="20"/>
              </w:rPr>
            </w:pPr>
            <w:r w:rsidRPr="00147A40">
              <w:rPr>
                <w:color w:val="000000"/>
                <w:sz w:val="20"/>
                <w:szCs w:val="20"/>
              </w:rPr>
              <w:t xml:space="preserve">            90 </w:t>
            </w:r>
          </w:p>
        </w:tc>
        <w:tc>
          <w:tcPr>
            <w:tcW w:w="994" w:type="dxa"/>
            <w:noWrap/>
            <w:hideMark/>
          </w:tcPr>
          <w:p w14:paraId="23C5EBA5" w14:textId="77777777" w:rsidR="00380445" w:rsidRPr="00147A40" w:rsidRDefault="00380445" w:rsidP="00147A40">
            <w:pPr>
              <w:jc w:val="right"/>
              <w:rPr>
                <w:color w:val="000000"/>
                <w:sz w:val="20"/>
                <w:szCs w:val="20"/>
              </w:rPr>
            </w:pPr>
            <w:r w:rsidRPr="00147A40">
              <w:rPr>
                <w:color w:val="000000"/>
                <w:sz w:val="20"/>
                <w:szCs w:val="20"/>
              </w:rPr>
              <w:t xml:space="preserve">           63 </w:t>
            </w:r>
          </w:p>
        </w:tc>
        <w:tc>
          <w:tcPr>
            <w:tcW w:w="1194" w:type="dxa"/>
            <w:noWrap/>
            <w:hideMark/>
          </w:tcPr>
          <w:p w14:paraId="7AEDDC4C" w14:textId="77777777" w:rsidR="00380445" w:rsidRPr="00147A40" w:rsidRDefault="00380445" w:rsidP="00147A40">
            <w:pPr>
              <w:jc w:val="right"/>
              <w:rPr>
                <w:color w:val="000000"/>
                <w:sz w:val="20"/>
                <w:szCs w:val="20"/>
              </w:rPr>
            </w:pPr>
            <w:r w:rsidRPr="00147A40">
              <w:rPr>
                <w:color w:val="000000"/>
                <w:sz w:val="20"/>
                <w:szCs w:val="20"/>
              </w:rPr>
              <w:t xml:space="preserve">          427 </w:t>
            </w:r>
          </w:p>
        </w:tc>
        <w:tc>
          <w:tcPr>
            <w:tcW w:w="1020" w:type="dxa"/>
            <w:noWrap/>
            <w:hideMark/>
          </w:tcPr>
          <w:p w14:paraId="12295B21" w14:textId="77777777" w:rsidR="00380445" w:rsidRPr="00147A40" w:rsidRDefault="00380445" w:rsidP="00147A40">
            <w:pPr>
              <w:jc w:val="right"/>
              <w:rPr>
                <w:color w:val="000000"/>
                <w:sz w:val="20"/>
                <w:szCs w:val="20"/>
              </w:rPr>
            </w:pPr>
            <w:r w:rsidRPr="00147A40">
              <w:rPr>
                <w:color w:val="000000"/>
                <w:sz w:val="20"/>
                <w:szCs w:val="20"/>
              </w:rPr>
              <w:t xml:space="preserve">            14 </w:t>
            </w:r>
          </w:p>
        </w:tc>
        <w:tc>
          <w:tcPr>
            <w:tcW w:w="960" w:type="dxa"/>
            <w:noWrap/>
            <w:hideMark/>
          </w:tcPr>
          <w:p w14:paraId="5799BCDB" w14:textId="77777777" w:rsidR="00380445" w:rsidRPr="00147A40" w:rsidRDefault="00380445" w:rsidP="00147A40">
            <w:pPr>
              <w:jc w:val="right"/>
              <w:rPr>
                <w:color w:val="000000"/>
                <w:sz w:val="20"/>
                <w:szCs w:val="20"/>
              </w:rPr>
            </w:pPr>
            <w:r w:rsidRPr="00147A40">
              <w:rPr>
                <w:color w:val="000000"/>
                <w:sz w:val="20"/>
                <w:szCs w:val="20"/>
              </w:rPr>
              <w:t xml:space="preserve">            9 </w:t>
            </w:r>
          </w:p>
        </w:tc>
        <w:tc>
          <w:tcPr>
            <w:tcW w:w="994" w:type="dxa"/>
            <w:noWrap/>
            <w:hideMark/>
          </w:tcPr>
          <w:p w14:paraId="3FEEFC6B" w14:textId="77777777" w:rsidR="00380445" w:rsidRPr="00147A40" w:rsidRDefault="00380445" w:rsidP="00147A40">
            <w:pPr>
              <w:jc w:val="right"/>
              <w:rPr>
                <w:color w:val="000000"/>
                <w:sz w:val="20"/>
                <w:szCs w:val="20"/>
              </w:rPr>
            </w:pPr>
            <w:r w:rsidRPr="00147A40">
              <w:rPr>
                <w:color w:val="000000"/>
                <w:sz w:val="20"/>
                <w:szCs w:val="20"/>
              </w:rPr>
              <w:t xml:space="preserve">             7 </w:t>
            </w:r>
          </w:p>
        </w:tc>
      </w:tr>
    </w:tbl>
    <w:p w14:paraId="333773CF" w14:textId="5E977C81" w:rsidR="00B86285" w:rsidRDefault="00B86285" w:rsidP="000270D6">
      <w:pPr>
        <w:jc w:val="both"/>
      </w:pPr>
    </w:p>
    <w:p w14:paraId="1C033A85" w14:textId="4AAA9860" w:rsidR="00762831" w:rsidRDefault="00762831" w:rsidP="00762831">
      <w:pPr>
        <w:jc w:val="both"/>
      </w:pPr>
      <w:r>
        <w:t xml:space="preserve">Figure 8 illustrates a heatmap of the correlation coefficients between Scopus citations and the three metrics of all tweets, original tweets, and retweets across subject fields for zero and non-zero datasets. The findings suggest that the median correlation coefficient of Scopus citations across fields is highest with original tweets (median r = .310), while weak but significant with retweets (median r = .087). However, for the SS&amp;H subject fields the median correlation coefficients between citations and original tweets were at medium level (median r = .409), in contrast to the weak correlation in STEM subject fields (median r = .162). </w:t>
      </w:r>
    </w:p>
    <w:p w14:paraId="492CEE71" w14:textId="72FE7654" w:rsidR="00762831" w:rsidRDefault="00762831" w:rsidP="00762831">
      <w:pPr>
        <w:jc w:val="both"/>
      </w:pPr>
      <w:r>
        <w:t xml:space="preserve">Including zero metric counts in the datasets resulted in </w:t>
      </w:r>
      <w:r w:rsidRPr="0080048A">
        <w:rPr>
          <w:i/>
        </w:rPr>
        <w:t>stronger</w:t>
      </w:r>
      <w:r>
        <w:t xml:space="preserve"> correlation coefficients between citation and all the other metrics in SS</w:t>
      </w:r>
      <w:r w:rsidR="009A492C">
        <w:t>&amp;</w:t>
      </w:r>
      <w:r>
        <w:t xml:space="preserve">H fields (median r with original tweets = 0.409 in zero-included dataset, 0.329 in non-zero dataset), but </w:t>
      </w:r>
      <w:r w:rsidRPr="0080048A">
        <w:rPr>
          <w:i/>
        </w:rPr>
        <w:t>weaker</w:t>
      </w:r>
      <w:r>
        <w:t xml:space="preserve"> in STEM subject fields (median r = 0.175 in non-zero dataset, r = 0.149 zero-included dataset). It would appear that tweets are </w:t>
      </w:r>
      <w:r>
        <w:lastRenderedPageBreak/>
        <w:t xml:space="preserve">moderately likely to align with traditional research impact in </w:t>
      </w:r>
      <w:r w:rsidR="009A492C">
        <w:t>SS&amp;H</w:t>
      </w:r>
      <w:r>
        <w:t>, but they indicate only a weak relationship and a limited usage in STEM subject fields.</w:t>
      </w:r>
    </w:p>
    <w:p w14:paraId="73B5D1D1" w14:textId="77777777" w:rsidR="00762831" w:rsidRDefault="00762831" w:rsidP="00762831">
      <w:pPr>
        <w:jc w:val="both"/>
      </w:pPr>
    </w:p>
    <w:p w14:paraId="7C69DF19" w14:textId="00F55AE0" w:rsidR="004A4741" w:rsidRDefault="004A4741" w:rsidP="004A4741">
      <w:pPr>
        <w:keepNext/>
        <w:jc w:val="center"/>
      </w:pPr>
      <w:r>
        <w:t xml:space="preserve">Figure </w:t>
      </w:r>
      <w:r w:rsidR="00380445">
        <w:t>7</w:t>
      </w:r>
      <w:r>
        <w:t xml:space="preserve">: </w:t>
      </w:r>
      <w:r w:rsidR="00DE4842">
        <w:t>Spearman’s correlation coefficients between Scopus citations and all tweets, original tweets and retweets over time.</w:t>
      </w:r>
    </w:p>
    <w:p w14:paraId="04A0BA45" w14:textId="59076A00" w:rsidR="004A4741" w:rsidRDefault="004A4741" w:rsidP="004A4741"/>
    <w:p w14:paraId="0C7A7911" w14:textId="44F8E8F2" w:rsidR="002B48EE" w:rsidRDefault="002B48EE" w:rsidP="004A4741">
      <w:r>
        <w:rPr>
          <w:noProof/>
        </w:rPr>
        <w:drawing>
          <wp:inline distT="0" distB="0" distL="0" distR="0" wp14:anchorId="1C0D53FF" wp14:editId="1B4AFA29">
            <wp:extent cx="5760085" cy="2553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85" cy="2553335"/>
                    </a:xfrm>
                    <a:prstGeom prst="rect">
                      <a:avLst/>
                    </a:prstGeom>
                  </pic:spPr>
                </pic:pic>
              </a:graphicData>
            </a:graphic>
          </wp:inline>
        </w:drawing>
      </w:r>
    </w:p>
    <w:p w14:paraId="2908FE10" w14:textId="77777777" w:rsidR="002B48EE" w:rsidRDefault="002B48EE" w:rsidP="004A4741"/>
    <w:p w14:paraId="1E930A04" w14:textId="237A18D2" w:rsidR="00A74DF1" w:rsidRDefault="00A74DF1" w:rsidP="00A74DF1">
      <w:pPr>
        <w:keepNext/>
        <w:jc w:val="center"/>
      </w:pPr>
      <w:r>
        <w:t xml:space="preserve">Figure </w:t>
      </w:r>
      <w:r w:rsidR="00BD6417">
        <w:t>8</w:t>
      </w:r>
      <w:r>
        <w:t xml:space="preserve">: </w:t>
      </w:r>
      <w:r w:rsidR="008F15B0">
        <w:t xml:space="preserve">Spearman’s correlation coefficients </w:t>
      </w:r>
      <w:r w:rsidR="00E643D4">
        <w:t xml:space="preserve">between Scopus citations and all tweets, original tweets and retweets </w:t>
      </w:r>
      <w:r w:rsidR="00DE4842">
        <w:t>across fields</w:t>
      </w:r>
      <w:r>
        <w:t>.</w:t>
      </w:r>
      <w:r w:rsidR="008F15B0">
        <w:t xml:space="preserve"> The empty cells indicate </w:t>
      </w:r>
      <w:r w:rsidR="00DB2FD3">
        <w:t>no statistical significance</w:t>
      </w:r>
      <w:r w:rsidR="008635A4">
        <w:t xml:space="preserve"> (p &gt; .05)</w:t>
      </w:r>
      <w:r w:rsidR="00DB2FD3">
        <w:t>.</w:t>
      </w:r>
    </w:p>
    <w:p w14:paraId="29FD1A22" w14:textId="5498EF5A" w:rsidR="00EB6825" w:rsidRDefault="00EB6825" w:rsidP="00C362C6"/>
    <w:p w14:paraId="5D237F81" w14:textId="1E16E497" w:rsidR="00EB6825" w:rsidRDefault="0034320E" w:rsidP="001D5978">
      <w:pPr>
        <w:jc w:val="center"/>
      </w:pPr>
      <w:r>
        <w:rPr>
          <w:noProof/>
        </w:rPr>
        <w:drawing>
          <wp:inline distT="0" distB="0" distL="0" distR="0" wp14:anchorId="751C1CA3" wp14:editId="3E2E4334">
            <wp:extent cx="5760085" cy="38284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085" cy="3828415"/>
                    </a:xfrm>
                    <a:prstGeom prst="rect">
                      <a:avLst/>
                    </a:prstGeom>
                  </pic:spPr>
                </pic:pic>
              </a:graphicData>
            </a:graphic>
          </wp:inline>
        </w:drawing>
      </w:r>
    </w:p>
    <w:p w14:paraId="0F67B0F9" w14:textId="77777777" w:rsidR="007F160C" w:rsidRPr="00C362C6" w:rsidRDefault="007F160C" w:rsidP="00C362C6"/>
    <w:p w14:paraId="7A526CA6" w14:textId="0FADA44B" w:rsidR="008168F4" w:rsidRDefault="00B42E85">
      <w:pPr>
        <w:pStyle w:val="Heading2"/>
        <w:jc w:val="both"/>
      </w:pPr>
      <w:r>
        <w:lastRenderedPageBreak/>
        <w:t xml:space="preserve">5. </w:t>
      </w:r>
      <w:r w:rsidR="00CB2C1A">
        <w:t>Discussion</w:t>
      </w:r>
    </w:p>
    <w:p w14:paraId="6597B0C5" w14:textId="50D23F3E" w:rsidR="007C30D8" w:rsidRDefault="008A38CB" w:rsidP="00844F4F">
      <w:pPr>
        <w:jc w:val="both"/>
      </w:pPr>
      <w:r>
        <w:t>Current study compar</w:t>
      </w:r>
      <w:r w:rsidR="00E05D65">
        <w:t xml:space="preserve">ed </w:t>
      </w:r>
      <w:r>
        <w:t>citations, original tweets</w:t>
      </w:r>
      <w:r w:rsidR="00E05D65">
        <w:t>,</w:t>
      </w:r>
      <w:r>
        <w:t xml:space="preserve"> and retweets</w:t>
      </w:r>
      <w:r w:rsidR="00E05D65">
        <w:t>,</w:t>
      </w:r>
      <w:r>
        <w:t xml:space="preserve"> as measures of impact assessment. </w:t>
      </w:r>
      <w:r w:rsidR="001C728C">
        <w:t xml:space="preserve">The results were in line with some of the findings in earlier research (e.g., </w:t>
      </w:r>
      <w:r w:rsidR="001C728C" w:rsidRPr="00703B2E">
        <w:rPr>
          <w:lang w:val="en-US"/>
        </w:rPr>
        <w:t xml:space="preserve">Costas et al., 2015; </w:t>
      </w:r>
      <w:proofErr w:type="spellStart"/>
      <w:r w:rsidR="001C728C" w:rsidRPr="00703B2E">
        <w:rPr>
          <w:lang w:val="en-US"/>
        </w:rPr>
        <w:t>Haustein</w:t>
      </w:r>
      <w:proofErr w:type="spellEnd"/>
      <w:r w:rsidR="001C728C" w:rsidRPr="00703B2E">
        <w:rPr>
          <w:lang w:val="en-US"/>
        </w:rPr>
        <w:t xml:space="preserve"> et al., 2015</w:t>
      </w:r>
      <w:r w:rsidR="001C728C">
        <w:t xml:space="preserve">). The results showed clear disciplinary differences in how scientific articles had been mentioned and shared on Twitter, but it was also discovered that scientific articles in </w:t>
      </w:r>
      <w:r>
        <w:t xml:space="preserve">Social Science and Humanities </w:t>
      </w:r>
      <w:r w:rsidR="001C728C">
        <w:t xml:space="preserve">receive up to 2 to </w:t>
      </w:r>
      <w:r>
        <w:t xml:space="preserve">3 times as much retweets as </w:t>
      </w:r>
      <w:r w:rsidR="001C728C">
        <w:t xml:space="preserve">the </w:t>
      </w:r>
      <w:r>
        <w:t>world average</w:t>
      </w:r>
      <w:r w:rsidR="001C728C">
        <w:t>,</w:t>
      </w:r>
      <w:r>
        <w:t xml:space="preserve"> compared to Natural Science and Engineering which were below the world average. </w:t>
      </w:r>
      <w:r w:rsidR="001C728C">
        <w:t xml:space="preserve">The results also showed </w:t>
      </w:r>
      <w:r w:rsidR="00BF4845">
        <w:t xml:space="preserve">the distinct impact implication of Original tweets and retweets </w:t>
      </w:r>
      <w:proofErr w:type="spellStart"/>
      <w:r w:rsidR="00BF4845">
        <w:t>as</w:t>
      </w:r>
      <w:r w:rsidR="001C728C">
        <w:t xml:space="preserve"> th</w:t>
      </w:r>
      <w:proofErr w:type="spellEnd"/>
      <w:r w:rsidR="001C728C">
        <w:t>e correlations between citations and original tweets were clearly stronger than between citations and retweets, and the correlations overall were stronger for SS</w:t>
      </w:r>
      <w:r w:rsidR="00BF4845">
        <w:t>&amp;</w:t>
      </w:r>
      <w:r w:rsidR="001C728C">
        <w:t xml:space="preserve">H subject fields, than STEM subject fields. The results clearly point at the differences between original tweets and retweets, confirming that the two do reflect different types of </w:t>
      </w:r>
      <w:r w:rsidR="00BF4845">
        <w:t>metric</w:t>
      </w:r>
      <w:r w:rsidR="001C728C">
        <w:t xml:space="preserve"> and therefore, should be treated separately, at least when it comes to </w:t>
      </w:r>
      <w:proofErr w:type="spellStart"/>
      <w:r w:rsidR="001C728C">
        <w:t>altmetrics</w:t>
      </w:r>
      <w:proofErr w:type="spellEnd"/>
      <w:r w:rsidR="001C728C">
        <w:t xml:space="preserve"> research. </w:t>
      </w:r>
      <w:r w:rsidR="00821D93">
        <w:t xml:space="preserve">Although the differences between original tweets and all tweets is </w:t>
      </w:r>
      <w:r w:rsidR="006C385F">
        <w:t>slight</w:t>
      </w:r>
      <w:r w:rsidR="00B534EB">
        <w:t>,</w:t>
      </w:r>
      <w:r w:rsidR="006C385F">
        <w:t xml:space="preserve"> the strength of correlation appear to be slightly more in favour of original tweets at field level and when analysing more recent (past five years) publications. </w:t>
      </w:r>
      <w:r w:rsidR="00182264" w:rsidRPr="00182264">
        <w:t>T</w:t>
      </w:r>
      <w:r w:rsidR="00B534EB">
        <w:t>hus, t</w:t>
      </w:r>
      <w:r w:rsidR="00182264" w:rsidRPr="00182264">
        <w:t xml:space="preserve">he recognition of significant disparities between </w:t>
      </w:r>
      <w:r w:rsidR="00B534EB">
        <w:t xml:space="preserve">all tweets, </w:t>
      </w:r>
      <w:r w:rsidR="00182264" w:rsidRPr="00182264">
        <w:t xml:space="preserve">original tweets and retweets serves as a </w:t>
      </w:r>
      <w:bookmarkStart w:id="4" w:name="_GoBack"/>
      <w:bookmarkEnd w:id="4"/>
      <w:r w:rsidR="00182264" w:rsidRPr="00182264">
        <w:t>foundation for discussing</w:t>
      </w:r>
      <w:r w:rsidR="00967A71">
        <w:t xml:space="preserve"> </w:t>
      </w:r>
      <w:r w:rsidR="00387432">
        <w:t xml:space="preserve">the reconsiderations needed in employing composite metrics such as RG score and Altmetric Attention Score. </w:t>
      </w:r>
      <w:r w:rsidR="00387432" w:rsidRPr="00387432">
        <w:t xml:space="preserve">This observation naturally leads to a need for more research to understand the detailed dynamics of </w:t>
      </w:r>
      <w:r w:rsidR="00387432">
        <w:t>distinct forms of social media</w:t>
      </w:r>
      <w:r w:rsidR="00387432" w:rsidRPr="00387432">
        <w:t xml:space="preserve"> interactions</w:t>
      </w:r>
      <w:r w:rsidR="00387432">
        <w:t xml:space="preserve"> and </w:t>
      </w:r>
      <w:r w:rsidR="00387432" w:rsidRPr="00387432">
        <w:t>their roles in scholarly communication.</w:t>
      </w:r>
    </w:p>
    <w:p w14:paraId="61FC7B54" w14:textId="77777777" w:rsidR="00520304" w:rsidRDefault="00520304">
      <w:pPr>
        <w:jc w:val="both"/>
      </w:pPr>
    </w:p>
    <w:p w14:paraId="31603A15" w14:textId="2DE08369" w:rsidR="00370126" w:rsidRPr="007C30D8" w:rsidRDefault="00370126">
      <w:pPr>
        <w:jc w:val="both"/>
        <w:rPr>
          <w:b/>
          <w:bCs/>
        </w:rPr>
      </w:pPr>
      <w:r w:rsidRPr="007C30D8">
        <w:rPr>
          <w:b/>
          <w:bCs/>
        </w:rPr>
        <w:t>Funding information</w:t>
      </w:r>
    </w:p>
    <w:p w14:paraId="6915C807" w14:textId="2DC9EA36" w:rsidR="00DF037E" w:rsidRDefault="00703B2E">
      <w:pPr>
        <w:jc w:val="both"/>
      </w:pPr>
      <w:r w:rsidRPr="00703B2E">
        <w:t>This research was funded by the Academy of Finland (funding decision: 332961).</w:t>
      </w:r>
    </w:p>
    <w:p w14:paraId="75FA95D2" w14:textId="77777777" w:rsidR="00520304" w:rsidRDefault="00520304">
      <w:pPr>
        <w:jc w:val="both"/>
      </w:pPr>
    </w:p>
    <w:p w14:paraId="5B3FE40B" w14:textId="0F878468" w:rsidR="00703B2E" w:rsidRPr="00703B2E" w:rsidRDefault="008168F4" w:rsidP="00B868DF">
      <w:pPr>
        <w:jc w:val="both"/>
        <w:rPr>
          <w:b/>
          <w:bCs/>
        </w:rPr>
      </w:pPr>
      <w:r>
        <w:rPr>
          <w:b/>
          <w:bCs/>
        </w:rPr>
        <w:t>References</w:t>
      </w:r>
    </w:p>
    <w:p w14:paraId="32AD8B19" w14:textId="1AD159D1" w:rsidR="00703B2E" w:rsidRDefault="00703B2E" w:rsidP="00703B2E">
      <w:pPr>
        <w:jc w:val="both"/>
      </w:pPr>
      <w:r w:rsidRPr="00E67EEF">
        <w:rPr>
          <w:lang w:val="en-US"/>
        </w:rPr>
        <w:t xml:space="preserve">Barthel, S., </w:t>
      </w:r>
      <w:proofErr w:type="spellStart"/>
      <w:r w:rsidRPr="00E67EEF">
        <w:rPr>
          <w:lang w:val="en-US"/>
        </w:rPr>
        <w:t>Tönnies</w:t>
      </w:r>
      <w:proofErr w:type="spellEnd"/>
      <w:r w:rsidRPr="00E67EEF">
        <w:rPr>
          <w:lang w:val="en-US"/>
        </w:rPr>
        <w:t xml:space="preserve">, S., </w:t>
      </w:r>
      <w:proofErr w:type="spellStart"/>
      <w:r w:rsidRPr="00E67EEF">
        <w:rPr>
          <w:lang w:val="en-US"/>
        </w:rPr>
        <w:t>Köhncke</w:t>
      </w:r>
      <w:proofErr w:type="spellEnd"/>
      <w:r w:rsidRPr="00E67EEF">
        <w:rPr>
          <w:lang w:val="en-US"/>
        </w:rPr>
        <w:t xml:space="preserve">, B., </w:t>
      </w:r>
      <w:proofErr w:type="spellStart"/>
      <w:r w:rsidRPr="00E67EEF">
        <w:rPr>
          <w:lang w:val="en-US"/>
        </w:rPr>
        <w:t>Siehndel</w:t>
      </w:r>
      <w:proofErr w:type="spellEnd"/>
      <w:r w:rsidRPr="00E67EEF">
        <w:rPr>
          <w:lang w:val="en-US"/>
        </w:rPr>
        <w:t xml:space="preserve">, P., &amp; </w:t>
      </w:r>
      <w:proofErr w:type="spellStart"/>
      <w:r w:rsidRPr="00E67EEF">
        <w:rPr>
          <w:lang w:val="en-US"/>
        </w:rPr>
        <w:t>Balke</w:t>
      </w:r>
      <w:proofErr w:type="spellEnd"/>
      <w:r w:rsidRPr="00E67EEF">
        <w:rPr>
          <w:lang w:val="en-US"/>
        </w:rPr>
        <w:t xml:space="preserve">, W.T. (2015). </w:t>
      </w:r>
      <w:r>
        <w:t xml:space="preserve">What does twitter measure? Influence of diverse user groups in </w:t>
      </w:r>
      <w:proofErr w:type="spellStart"/>
      <w:r>
        <w:t>altmetrics</w:t>
      </w:r>
      <w:proofErr w:type="spellEnd"/>
      <w:r>
        <w:t xml:space="preserve">. In Proceedings of the 15th ACM/IEEE-CE on Joint Conference on Digital Libraries (pp. 119–128). Knoxville, Tennessee, USA: ACM Press. </w:t>
      </w:r>
      <w:hyperlink r:id="rId18" w:history="1">
        <w:r w:rsidR="00865511" w:rsidRPr="00E11EB8">
          <w:rPr>
            <w:rStyle w:val="Hyperlink"/>
          </w:rPr>
          <w:t>http://doi.org/10.1145/2756406.2756913</w:t>
        </w:r>
      </w:hyperlink>
      <w:r>
        <w:t>.</w:t>
      </w:r>
    </w:p>
    <w:p w14:paraId="5868285E" w14:textId="77777777" w:rsidR="00865511" w:rsidRDefault="00865511" w:rsidP="00703B2E">
      <w:pPr>
        <w:jc w:val="both"/>
      </w:pPr>
    </w:p>
    <w:p w14:paraId="46BE05A3" w14:textId="27315063" w:rsidR="00703B2E" w:rsidRDefault="00703B2E" w:rsidP="00703B2E">
      <w:pPr>
        <w:jc w:val="both"/>
      </w:pPr>
      <w:r>
        <w:t xml:space="preserve">Costas, R., Zahedi, Z., &amp; </w:t>
      </w:r>
      <w:proofErr w:type="spellStart"/>
      <w:r>
        <w:t>Wouters</w:t>
      </w:r>
      <w:proofErr w:type="spellEnd"/>
      <w:r>
        <w:t>, P. (2014). Do “</w:t>
      </w:r>
      <w:proofErr w:type="spellStart"/>
      <w:r>
        <w:t>altmetrics</w:t>
      </w:r>
      <w:proofErr w:type="spellEnd"/>
      <w:r>
        <w:t xml:space="preserve">” correlate with citations? Extensive comparison of </w:t>
      </w:r>
      <w:proofErr w:type="spellStart"/>
      <w:r>
        <w:t>altmetric</w:t>
      </w:r>
      <w:proofErr w:type="spellEnd"/>
      <w:r>
        <w:t xml:space="preserve"> indicators with citations from a multidisciplinary perspective. Journal of the Association for Information Science and Technology, 66(10), 2003–2019. </w:t>
      </w:r>
      <w:hyperlink r:id="rId19" w:history="1">
        <w:r w:rsidR="00865511" w:rsidRPr="00E11EB8">
          <w:rPr>
            <w:rStyle w:val="Hyperlink"/>
          </w:rPr>
          <w:t>https://doi.org/10.1002/asi.23309</w:t>
        </w:r>
      </w:hyperlink>
      <w:r>
        <w:t xml:space="preserve"> </w:t>
      </w:r>
    </w:p>
    <w:p w14:paraId="0B1C22DB" w14:textId="77777777" w:rsidR="00865511" w:rsidRDefault="00865511" w:rsidP="00703B2E">
      <w:pPr>
        <w:jc w:val="both"/>
      </w:pPr>
    </w:p>
    <w:p w14:paraId="02EB29F7" w14:textId="4FF3C258" w:rsidR="00703B2E" w:rsidRDefault="00703B2E" w:rsidP="00703B2E">
      <w:pPr>
        <w:jc w:val="both"/>
      </w:pPr>
      <w:r>
        <w:t xml:space="preserve">Costas, R., Zahedi, Z., &amp; </w:t>
      </w:r>
      <w:proofErr w:type="spellStart"/>
      <w:r>
        <w:t>Wouters</w:t>
      </w:r>
      <w:proofErr w:type="spellEnd"/>
      <w:r>
        <w:t xml:space="preserve">, P. (2015). The thematic orientation of publications mentioned on social media: Large-scale disciplinary comparison of social media metrics with citations. </w:t>
      </w:r>
      <w:proofErr w:type="spellStart"/>
      <w:r>
        <w:t>Aslib</w:t>
      </w:r>
      <w:proofErr w:type="spellEnd"/>
      <w:r>
        <w:t xml:space="preserve"> Journal of Information Management, 67, 260– 288. </w:t>
      </w:r>
      <w:hyperlink r:id="rId20" w:history="1">
        <w:r w:rsidR="00865511" w:rsidRPr="00E11EB8">
          <w:rPr>
            <w:rStyle w:val="Hyperlink"/>
          </w:rPr>
          <w:t>http://doi.org/10.1108/AJIM-12-2014-0173</w:t>
        </w:r>
      </w:hyperlink>
      <w:r>
        <w:t xml:space="preserve">. </w:t>
      </w:r>
    </w:p>
    <w:p w14:paraId="6975A7A0" w14:textId="77777777" w:rsidR="00865511" w:rsidRDefault="00865511" w:rsidP="00703B2E">
      <w:pPr>
        <w:jc w:val="both"/>
      </w:pPr>
    </w:p>
    <w:p w14:paraId="12B5A3DA" w14:textId="557390D8" w:rsidR="00703B2E" w:rsidRDefault="00703B2E" w:rsidP="00703B2E">
      <w:pPr>
        <w:jc w:val="both"/>
      </w:pPr>
      <w:r>
        <w:t xml:space="preserve">Didegah, F., Bowman, T.D., &amp; Holmberg, K. (2018). On the differences between citations and </w:t>
      </w:r>
      <w:proofErr w:type="spellStart"/>
      <w:r>
        <w:t>altmetrics</w:t>
      </w:r>
      <w:proofErr w:type="spellEnd"/>
      <w:r>
        <w:t xml:space="preserve">: An investigation of factors driving </w:t>
      </w:r>
      <w:proofErr w:type="spellStart"/>
      <w:r>
        <w:t>altmetrics</w:t>
      </w:r>
      <w:proofErr w:type="spellEnd"/>
      <w:r>
        <w:t xml:space="preserve"> vs. citations for Finnish articles. Journal of the Association for Information Science and Technology, vol. 69, no. 6, pp. 832-843. DOI: 10.1002/asi.23934.</w:t>
      </w:r>
    </w:p>
    <w:p w14:paraId="4D88975E" w14:textId="77777777" w:rsidR="00865511" w:rsidRDefault="00865511" w:rsidP="00703B2E">
      <w:pPr>
        <w:jc w:val="both"/>
      </w:pPr>
    </w:p>
    <w:p w14:paraId="5D5BA1BC" w14:textId="5AB66408" w:rsidR="00703B2E" w:rsidRDefault="00703B2E" w:rsidP="00703B2E">
      <w:pPr>
        <w:jc w:val="both"/>
      </w:pPr>
      <w:proofErr w:type="spellStart"/>
      <w:r>
        <w:t>Eysenbach</w:t>
      </w:r>
      <w:proofErr w:type="spellEnd"/>
      <w:r>
        <w:t xml:space="preserve">, G. (2011). Can tweets predict citations? Metrics of social impact based on twitter and correlation with traditional metrics of scientific impact. Journal of Medical Internet Research, 13, e123– e123. </w:t>
      </w:r>
      <w:hyperlink r:id="rId21" w:history="1">
        <w:r w:rsidR="00865511" w:rsidRPr="00E11EB8">
          <w:rPr>
            <w:rStyle w:val="Hyperlink"/>
          </w:rPr>
          <w:t>http://doi.org/10.2196/jmir.2012</w:t>
        </w:r>
      </w:hyperlink>
      <w:r>
        <w:t xml:space="preserve">. </w:t>
      </w:r>
    </w:p>
    <w:p w14:paraId="55E409EC" w14:textId="77777777" w:rsidR="00865511" w:rsidRDefault="00865511" w:rsidP="00703B2E">
      <w:pPr>
        <w:jc w:val="both"/>
      </w:pPr>
    </w:p>
    <w:p w14:paraId="1F589B57" w14:textId="1AB92201" w:rsidR="00703B2E" w:rsidRDefault="00703B2E" w:rsidP="00703B2E">
      <w:pPr>
        <w:jc w:val="both"/>
      </w:pPr>
      <w:r>
        <w:lastRenderedPageBreak/>
        <w:t xml:space="preserve">Fang, Z., Costas, R. &amp; </w:t>
      </w:r>
      <w:proofErr w:type="spellStart"/>
      <w:r>
        <w:t>Wouters</w:t>
      </w:r>
      <w:proofErr w:type="spellEnd"/>
      <w:r>
        <w:t xml:space="preserve">, P. (2022). User engagement with scholarly tweets of scientific papers: a large-scale and cross-disciplinary analysis. Scientometrics 127, 4523–4546. </w:t>
      </w:r>
      <w:hyperlink r:id="rId22" w:history="1">
        <w:r w:rsidR="00865511" w:rsidRPr="00E11EB8">
          <w:rPr>
            <w:rStyle w:val="Hyperlink"/>
          </w:rPr>
          <w:t>https://doi.org/10.1007/s11192-022-04468-6</w:t>
        </w:r>
      </w:hyperlink>
      <w:r>
        <w:t xml:space="preserve"> </w:t>
      </w:r>
    </w:p>
    <w:p w14:paraId="022E2FE6" w14:textId="77777777" w:rsidR="00865511" w:rsidRDefault="00865511" w:rsidP="00703B2E">
      <w:pPr>
        <w:jc w:val="both"/>
      </w:pPr>
    </w:p>
    <w:p w14:paraId="254C1D9E" w14:textId="728DE8BF" w:rsidR="00703B2E" w:rsidRDefault="00703B2E" w:rsidP="00703B2E">
      <w:pPr>
        <w:jc w:val="both"/>
      </w:pPr>
      <w:proofErr w:type="spellStart"/>
      <w:r>
        <w:t>Haustein</w:t>
      </w:r>
      <w:proofErr w:type="spellEnd"/>
      <w:r>
        <w:t xml:space="preserve"> S, Costas R, </w:t>
      </w:r>
      <w:proofErr w:type="spellStart"/>
      <w:r>
        <w:t>Larivière</w:t>
      </w:r>
      <w:proofErr w:type="spellEnd"/>
      <w:r>
        <w:t xml:space="preserve"> V (2015). Characterizing Social Media Metrics of Scholarly Papers: The Effect of Document Properties and Collaboration Patterns. PLOS ONE 10(5): e0127830. </w:t>
      </w:r>
      <w:hyperlink r:id="rId23" w:history="1">
        <w:r w:rsidR="00865511" w:rsidRPr="00E11EB8">
          <w:rPr>
            <w:rStyle w:val="Hyperlink"/>
          </w:rPr>
          <w:t>https://doi.org/10.1371/journal.pone.0127830</w:t>
        </w:r>
      </w:hyperlink>
      <w:r>
        <w:t xml:space="preserve"> </w:t>
      </w:r>
    </w:p>
    <w:p w14:paraId="61636FAB" w14:textId="77777777" w:rsidR="00865511" w:rsidRDefault="00865511" w:rsidP="00703B2E">
      <w:pPr>
        <w:jc w:val="both"/>
      </w:pPr>
    </w:p>
    <w:p w14:paraId="7418F509" w14:textId="77777777" w:rsidR="00703B2E" w:rsidRDefault="00703B2E" w:rsidP="00703B2E">
      <w:pPr>
        <w:jc w:val="both"/>
      </w:pPr>
      <w:r>
        <w:t xml:space="preserve">Holmberg, K. &amp; Thelwall, M. (2014). Disciplinary differences in Twitter scholarly communication. Scientometrics, vol. 101, no. 2, pp. 1027-1042. DOI:10.1007/s11192-014-1229-3. </w:t>
      </w:r>
    </w:p>
    <w:p w14:paraId="71452391" w14:textId="77777777" w:rsidR="00865511" w:rsidRDefault="00865511" w:rsidP="00703B2E">
      <w:pPr>
        <w:jc w:val="both"/>
      </w:pPr>
    </w:p>
    <w:p w14:paraId="406E5B22" w14:textId="4926D1A3" w:rsidR="00703B2E" w:rsidRDefault="00703B2E" w:rsidP="00703B2E">
      <w:pPr>
        <w:jc w:val="both"/>
      </w:pPr>
      <w:r>
        <w:t xml:space="preserve">Holmberg, K., Hedman, J., Bowman, T.D., Didegah, F., &amp; Laakso, M. (2020). Do articles in open access journals have more frequent </w:t>
      </w:r>
      <w:proofErr w:type="spellStart"/>
      <w:r>
        <w:t>altmetrics</w:t>
      </w:r>
      <w:proofErr w:type="spellEnd"/>
      <w:r>
        <w:t xml:space="preserve"> activity than articles in subscription-based journals? An investigation of the research output of Finnish universities. Scientometrics, vol. 122, pp. 645-659. </w:t>
      </w:r>
      <w:proofErr w:type="gramStart"/>
      <w:r>
        <w:t>DOI :</w:t>
      </w:r>
      <w:proofErr w:type="gramEnd"/>
      <w:r>
        <w:t xml:space="preserve"> 10.1007/s11192-019-03301-x.</w:t>
      </w:r>
    </w:p>
    <w:p w14:paraId="3487C212" w14:textId="77777777" w:rsidR="00865511" w:rsidRDefault="00865511" w:rsidP="00B868DF">
      <w:pPr>
        <w:jc w:val="both"/>
      </w:pPr>
    </w:p>
    <w:p w14:paraId="32F5D186" w14:textId="6758A729" w:rsidR="00D00AAB" w:rsidRPr="00173EAD" w:rsidRDefault="00EF3BD9" w:rsidP="00F92089">
      <w:pPr>
        <w:jc w:val="both"/>
      </w:pPr>
      <w:r w:rsidRPr="00520304">
        <w:t xml:space="preserve">Thelwall, M. (2017). </w:t>
      </w:r>
      <w:r w:rsidRPr="00520304">
        <w:rPr>
          <w:i/>
        </w:rPr>
        <w:t>Web indicators for research evaluation: A practical guide</w:t>
      </w:r>
      <w:r w:rsidRPr="00520304">
        <w:t>. San Rafael, CA: Morgan &amp; Claypool.</w:t>
      </w:r>
      <w:r w:rsidRPr="00EF3BD9">
        <w:t xml:space="preserve"> </w:t>
      </w:r>
    </w:p>
    <w:sectPr w:rsidR="00D00AAB" w:rsidRPr="00173EAD" w:rsidSect="00E33403">
      <w:pgSz w:w="11907" w:h="16839" w:code="9"/>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E96F" w16cex:dateUtc="2023-04-21T07:52:00Z"/>
  <w16cex:commentExtensible w16cex:durableId="27ECF63C" w16cex:dateUtc="2023-04-21T08: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12E69" w14:textId="77777777" w:rsidR="007129C0" w:rsidRDefault="007129C0">
      <w:r>
        <w:separator/>
      </w:r>
    </w:p>
  </w:endnote>
  <w:endnote w:type="continuationSeparator" w:id="0">
    <w:p w14:paraId="352B493E" w14:textId="77777777" w:rsidR="007129C0" w:rsidRDefault="0071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72A7" w14:textId="77777777" w:rsidR="007129C0" w:rsidRDefault="007129C0">
      <w:r>
        <w:separator/>
      </w:r>
    </w:p>
  </w:footnote>
  <w:footnote w:type="continuationSeparator" w:id="0">
    <w:p w14:paraId="2DF2BCFB" w14:textId="77777777" w:rsidR="007129C0" w:rsidRDefault="007129C0">
      <w:r>
        <w:continuationSeparator/>
      </w:r>
    </w:p>
  </w:footnote>
  <w:footnote w:id="1">
    <w:p w14:paraId="07C96AF8" w14:textId="77777777" w:rsidR="005F12F1" w:rsidRPr="009E77B1" w:rsidRDefault="005F12F1" w:rsidP="00503EB9">
      <w:pPr>
        <w:pStyle w:val="FootnoteText"/>
        <w:rPr>
          <w:lang w:val="en-US"/>
        </w:rPr>
      </w:pPr>
      <w:r>
        <w:rPr>
          <w:rStyle w:val="FootnoteReference"/>
        </w:rPr>
        <w:footnoteRef/>
      </w:r>
      <w:r>
        <w:t xml:space="preserve"> </w:t>
      </w:r>
      <w:hyperlink r:id="rId1" w:history="1">
        <w:r w:rsidRPr="00C05847">
          <w:rPr>
            <w:rStyle w:val="Hyperlink"/>
          </w:rPr>
          <w:t>https://www.abs.gov.au/AUSSTATS/abs@.nsf/mf/1297.0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842AA1"/>
    <w:multiLevelType w:val="hybridMultilevel"/>
    <w:tmpl w:val="673CD20E"/>
    <w:lvl w:ilvl="0" w:tplc="FBCE93FA">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0586F"/>
    <w:rsid w:val="0000652B"/>
    <w:rsid w:val="0001069B"/>
    <w:rsid w:val="00013E7D"/>
    <w:rsid w:val="00015006"/>
    <w:rsid w:val="00015A7B"/>
    <w:rsid w:val="00015FAD"/>
    <w:rsid w:val="00016081"/>
    <w:rsid w:val="000173E2"/>
    <w:rsid w:val="000174F8"/>
    <w:rsid w:val="000224AE"/>
    <w:rsid w:val="00022F49"/>
    <w:rsid w:val="000270D6"/>
    <w:rsid w:val="00046D00"/>
    <w:rsid w:val="000478D3"/>
    <w:rsid w:val="00052E3A"/>
    <w:rsid w:val="000534F3"/>
    <w:rsid w:val="00053E64"/>
    <w:rsid w:val="0005460D"/>
    <w:rsid w:val="000613AB"/>
    <w:rsid w:val="00062407"/>
    <w:rsid w:val="00065B74"/>
    <w:rsid w:val="00066FBE"/>
    <w:rsid w:val="00077816"/>
    <w:rsid w:val="00081D4D"/>
    <w:rsid w:val="000832F0"/>
    <w:rsid w:val="000910DB"/>
    <w:rsid w:val="00091B05"/>
    <w:rsid w:val="00091DB3"/>
    <w:rsid w:val="00093969"/>
    <w:rsid w:val="00094E04"/>
    <w:rsid w:val="000A0333"/>
    <w:rsid w:val="000A2344"/>
    <w:rsid w:val="000A4A9F"/>
    <w:rsid w:val="000B139A"/>
    <w:rsid w:val="000B257D"/>
    <w:rsid w:val="000B323A"/>
    <w:rsid w:val="000C0E34"/>
    <w:rsid w:val="000C1967"/>
    <w:rsid w:val="000C25AF"/>
    <w:rsid w:val="000C4A4B"/>
    <w:rsid w:val="000D2FA5"/>
    <w:rsid w:val="000D460F"/>
    <w:rsid w:val="000D4BCE"/>
    <w:rsid w:val="000F10FF"/>
    <w:rsid w:val="000F1397"/>
    <w:rsid w:val="000F6691"/>
    <w:rsid w:val="00101A75"/>
    <w:rsid w:val="00105061"/>
    <w:rsid w:val="00105A1D"/>
    <w:rsid w:val="001138CA"/>
    <w:rsid w:val="00137CEA"/>
    <w:rsid w:val="001402B3"/>
    <w:rsid w:val="00141425"/>
    <w:rsid w:val="00145267"/>
    <w:rsid w:val="00157749"/>
    <w:rsid w:val="00161230"/>
    <w:rsid w:val="00163BFE"/>
    <w:rsid w:val="00166E89"/>
    <w:rsid w:val="00173EAD"/>
    <w:rsid w:val="00175488"/>
    <w:rsid w:val="00182264"/>
    <w:rsid w:val="00186CF6"/>
    <w:rsid w:val="001873E8"/>
    <w:rsid w:val="00187F0C"/>
    <w:rsid w:val="001970F2"/>
    <w:rsid w:val="001A7967"/>
    <w:rsid w:val="001B03A5"/>
    <w:rsid w:val="001C2146"/>
    <w:rsid w:val="001C660B"/>
    <w:rsid w:val="001C728C"/>
    <w:rsid w:val="001D1BF6"/>
    <w:rsid w:val="001D5978"/>
    <w:rsid w:val="001D7CC8"/>
    <w:rsid w:val="001E568F"/>
    <w:rsid w:val="001F332D"/>
    <w:rsid w:val="001F4112"/>
    <w:rsid w:val="001F61B1"/>
    <w:rsid w:val="001F7644"/>
    <w:rsid w:val="001F7D13"/>
    <w:rsid w:val="0020033E"/>
    <w:rsid w:val="00202745"/>
    <w:rsid w:val="002028E6"/>
    <w:rsid w:val="002127DC"/>
    <w:rsid w:val="00213F57"/>
    <w:rsid w:val="00215831"/>
    <w:rsid w:val="00220E3B"/>
    <w:rsid w:val="0022290C"/>
    <w:rsid w:val="002253AB"/>
    <w:rsid w:val="0023363E"/>
    <w:rsid w:val="00247CEF"/>
    <w:rsid w:val="00257068"/>
    <w:rsid w:val="002570BB"/>
    <w:rsid w:val="00264F48"/>
    <w:rsid w:val="00265654"/>
    <w:rsid w:val="00276CC7"/>
    <w:rsid w:val="0028410F"/>
    <w:rsid w:val="00285A49"/>
    <w:rsid w:val="0028619D"/>
    <w:rsid w:val="0029109C"/>
    <w:rsid w:val="00291BD4"/>
    <w:rsid w:val="0029211E"/>
    <w:rsid w:val="00293DA3"/>
    <w:rsid w:val="002943CA"/>
    <w:rsid w:val="002B1950"/>
    <w:rsid w:val="002B48EE"/>
    <w:rsid w:val="002B6E9A"/>
    <w:rsid w:val="002C0FA2"/>
    <w:rsid w:val="002C2C4E"/>
    <w:rsid w:val="002C342A"/>
    <w:rsid w:val="002D09AB"/>
    <w:rsid w:val="002D1B17"/>
    <w:rsid w:val="002D33F7"/>
    <w:rsid w:val="002D3BE4"/>
    <w:rsid w:val="002D5452"/>
    <w:rsid w:val="002D710E"/>
    <w:rsid w:val="002E1DF4"/>
    <w:rsid w:val="002E7904"/>
    <w:rsid w:val="002F243C"/>
    <w:rsid w:val="00305E80"/>
    <w:rsid w:val="003073D4"/>
    <w:rsid w:val="00310C0B"/>
    <w:rsid w:val="003112B0"/>
    <w:rsid w:val="00311536"/>
    <w:rsid w:val="0031202E"/>
    <w:rsid w:val="003124AD"/>
    <w:rsid w:val="003127D0"/>
    <w:rsid w:val="00320C5D"/>
    <w:rsid w:val="00335456"/>
    <w:rsid w:val="00340723"/>
    <w:rsid w:val="0034320E"/>
    <w:rsid w:val="00345E92"/>
    <w:rsid w:val="00346A15"/>
    <w:rsid w:val="00346A57"/>
    <w:rsid w:val="00351AF2"/>
    <w:rsid w:val="0035307C"/>
    <w:rsid w:val="003556A4"/>
    <w:rsid w:val="00360F78"/>
    <w:rsid w:val="00362641"/>
    <w:rsid w:val="00370126"/>
    <w:rsid w:val="0037097B"/>
    <w:rsid w:val="00371522"/>
    <w:rsid w:val="00371ACD"/>
    <w:rsid w:val="00372299"/>
    <w:rsid w:val="00380445"/>
    <w:rsid w:val="00383A87"/>
    <w:rsid w:val="00386A09"/>
    <w:rsid w:val="00387432"/>
    <w:rsid w:val="00387850"/>
    <w:rsid w:val="00390253"/>
    <w:rsid w:val="003960AE"/>
    <w:rsid w:val="003A3F80"/>
    <w:rsid w:val="003A5B76"/>
    <w:rsid w:val="003B2BC7"/>
    <w:rsid w:val="003B6383"/>
    <w:rsid w:val="003C30AF"/>
    <w:rsid w:val="003C4345"/>
    <w:rsid w:val="003C5313"/>
    <w:rsid w:val="003C6EF5"/>
    <w:rsid w:val="003C76AF"/>
    <w:rsid w:val="003D1C80"/>
    <w:rsid w:val="003D2863"/>
    <w:rsid w:val="003D48FE"/>
    <w:rsid w:val="003F43A2"/>
    <w:rsid w:val="00402C81"/>
    <w:rsid w:val="004057FC"/>
    <w:rsid w:val="004111E5"/>
    <w:rsid w:val="00411823"/>
    <w:rsid w:val="00415F77"/>
    <w:rsid w:val="00417004"/>
    <w:rsid w:val="00420106"/>
    <w:rsid w:val="00420B99"/>
    <w:rsid w:val="00422820"/>
    <w:rsid w:val="00422B85"/>
    <w:rsid w:val="00423942"/>
    <w:rsid w:val="00430FC6"/>
    <w:rsid w:val="004340D6"/>
    <w:rsid w:val="00435805"/>
    <w:rsid w:val="0044073E"/>
    <w:rsid w:val="00445337"/>
    <w:rsid w:val="00445A23"/>
    <w:rsid w:val="0044755F"/>
    <w:rsid w:val="00451AA5"/>
    <w:rsid w:val="0045560F"/>
    <w:rsid w:val="00457BB0"/>
    <w:rsid w:val="00467138"/>
    <w:rsid w:val="00470775"/>
    <w:rsid w:val="004725C8"/>
    <w:rsid w:val="00475931"/>
    <w:rsid w:val="00480463"/>
    <w:rsid w:val="004813AC"/>
    <w:rsid w:val="00485D98"/>
    <w:rsid w:val="00487BAB"/>
    <w:rsid w:val="004971AB"/>
    <w:rsid w:val="004977A1"/>
    <w:rsid w:val="00497AE2"/>
    <w:rsid w:val="004A4741"/>
    <w:rsid w:val="004C6E1D"/>
    <w:rsid w:val="004D4532"/>
    <w:rsid w:val="004E12A2"/>
    <w:rsid w:val="004E184D"/>
    <w:rsid w:val="004E212B"/>
    <w:rsid w:val="004E56AC"/>
    <w:rsid w:val="004E6014"/>
    <w:rsid w:val="004F0B22"/>
    <w:rsid w:val="004F4607"/>
    <w:rsid w:val="0050020A"/>
    <w:rsid w:val="005036E9"/>
    <w:rsid w:val="00503EB9"/>
    <w:rsid w:val="005045D1"/>
    <w:rsid w:val="00504B56"/>
    <w:rsid w:val="005110DD"/>
    <w:rsid w:val="00514239"/>
    <w:rsid w:val="005170CD"/>
    <w:rsid w:val="005172F9"/>
    <w:rsid w:val="00517FCF"/>
    <w:rsid w:val="00520304"/>
    <w:rsid w:val="00522BF8"/>
    <w:rsid w:val="00523F8C"/>
    <w:rsid w:val="005262E4"/>
    <w:rsid w:val="00533598"/>
    <w:rsid w:val="00534034"/>
    <w:rsid w:val="0053603D"/>
    <w:rsid w:val="0054026B"/>
    <w:rsid w:val="00542798"/>
    <w:rsid w:val="0054666D"/>
    <w:rsid w:val="00550C54"/>
    <w:rsid w:val="00554E8F"/>
    <w:rsid w:val="00555D8F"/>
    <w:rsid w:val="005605B4"/>
    <w:rsid w:val="00562899"/>
    <w:rsid w:val="00565D5A"/>
    <w:rsid w:val="00566D03"/>
    <w:rsid w:val="00570431"/>
    <w:rsid w:val="00570E3F"/>
    <w:rsid w:val="00572E3E"/>
    <w:rsid w:val="005736CB"/>
    <w:rsid w:val="0057717C"/>
    <w:rsid w:val="005808EB"/>
    <w:rsid w:val="00581EA7"/>
    <w:rsid w:val="0058753E"/>
    <w:rsid w:val="005928F5"/>
    <w:rsid w:val="00595181"/>
    <w:rsid w:val="00595AC4"/>
    <w:rsid w:val="00596F60"/>
    <w:rsid w:val="005A1BF2"/>
    <w:rsid w:val="005B3511"/>
    <w:rsid w:val="005C6A9C"/>
    <w:rsid w:val="005D3AE2"/>
    <w:rsid w:val="005E1395"/>
    <w:rsid w:val="005E2F1A"/>
    <w:rsid w:val="005E61D0"/>
    <w:rsid w:val="005F12F1"/>
    <w:rsid w:val="005F2A88"/>
    <w:rsid w:val="005F3901"/>
    <w:rsid w:val="00606575"/>
    <w:rsid w:val="00614394"/>
    <w:rsid w:val="00614ED0"/>
    <w:rsid w:val="006227DF"/>
    <w:rsid w:val="00622A64"/>
    <w:rsid w:val="00623CD0"/>
    <w:rsid w:val="006309F7"/>
    <w:rsid w:val="0063363B"/>
    <w:rsid w:val="00636BF3"/>
    <w:rsid w:val="006377E4"/>
    <w:rsid w:val="006414C8"/>
    <w:rsid w:val="00641F4E"/>
    <w:rsid w:val="00646543"/>
    <w:rsid w:val="00647A0B"/>
    <w:rsid w:val="006510F8"/>
    <w:rsid w:val="006513C3"/>
    <w:rsid w:val="006609A8"/>
    <w:rsid w:val="0066157A"/>
    <w:rsid w:val="00662AF1"/>
    <w:rsid w:val="00662EB1"/>
    <w:rsid w:val="00663AC3"/>
    <w:rsid w:val="0067233D"/>
    <w:rsid w:val="00681AAA"/>
    <w:rsid w:val="00682A97"/>
    <w:rsid w:val="0068313E"/>
    <w:rsid w:val="00684B8B"/>
    <w:rsid w:val="006856F3"/>
    <w:rsid w:val="0068790E"/>
    <w:rsid w:val="0069279E"/>
    <w:rsid w:val="006A0F33"/>
    <w:rsid w:val="006A3370"/>
    <w:rsid w:val="006C0F9E"/>
    <w:rsid w:val="006C385F"/>
    <w:rsid w:val="006C40B1"/>
    <w:rsid w:val="006C5BAE"/>
    <w:rsid w:val="006C5CA1"/>
    <w:rsid w:val="006C7BF7"/>
    <w:rsid w:val="006D14F4"/>
    <w:rsid w:val="006D1BF9"/>
    <w:rsid w:val="006E2511"/>
    <w:rsid w:val="006E3FD1"/>
    <w:rsid w:val="006E6B6F"/>
    <w:rsid w:val="006E70D9"/>
    <w:rsid w:val="006E7E5A"/>
    <w:rsid w:val="006F2789"/>
    <w:rsid w:val="006F487B"/>
    <w:rsid w:val="007019C9"/>
    <w:rsid w:val="00703B2E"/>
    <w:rsid w:val="007042BB"/>
    <w:rsid w:val="007053E7"/>
    <w:rsid w:val="007129C0"/>
    <w:rsid w:val="007155F7"/>
    <w:rsid w:val="0071591F"/>
    <w:rsid w:val="007228AC"/>
    <w:rsid w:val="00726480"/>
    <w:rsid w:val="00726BA1"/>
    <w:rsid w:val="0073347A"/>
    <w:rsid w:val="00734E74"/>
    <w:rsid w:val="00737C87"/>
    <w:rsid w:val="0074177C"/>
    <w:rsid w:val="00744ECE"/>
    <w:rsid w:val="00745C52"/>
    <w:rsid w:val="00752A70"/>
    <w:rsid w:val="007625EF"/>
    <w:rsid w:val="007626FE"/>
    <w:rsid w:val="00762831"/>
    <w:rsid w:val="00762864"/>
    <w:rsid w:val="0076587B"/>
    <w:rsid w:val="0077605C"/>
    <w:rsid w:val="0077796D"/>
    <w:rsid w:val="00780EC7"/>
    <w:rsid w:val="0078275A"/>
    <w:rsid w:val="0078754B"/>
    <w:rsid w:val="007A42E7"/>
    <w:rsid w:val="007A59E1"/>
    <w:rsid w:val="007A7989"/>
    <w:rsid w:val="007C30D8"/>
    <w:rsid w:val="007D0630"/>
    <w:rsid w:val="007D0B25"/>
    <w:rsid w:val="007D1C3F"/>
    <w:rsid w:val="007D2A59"/>
    <w:rsid w:val="007D63E9"/>
    <w:rsid w:val="007E24E0"/>
    <w:rsid w:val="007F160C"/>
    <w:rsid w:val="007F1C1D"/>
    <w:rsid w:val="007F24B4"/>
    <w:rsid w:val="007F3BBB"/>
    <w:rsid w:val="007F57FB"/>
    <w:rsid w:val="007F6028"/>
    <w:rsid w:val="007F6BD2"/>
    <w:rsid w:val="00800369"/>
    <w:rsid w:val="0080048A"/>
    <w:rsid w:val="00805386"/>
    <w:rsid w:val="00807EEE"/>
    <w:rsid w:val="00810FA5"/>
    <w:rsid w:val="00813999"/>
    <w:rsid w:val="00813E24"/>
    <w:rsid w:val="00813E5C"/>
    <w:rsid w:val="008154B9"/>
    <w:rsid w:val="008168F4"/>
    <w:rsid w:val="00821D93"/>
    <w:rsid w:val="00823AF0"/>
    <w:rsid w:val="00832037"/>
    <w:rsid w:val="00832E44"/>
    <w:rsid w:val="00835B6B"/>
    <w:rsid w:val="008379D7"/>
    <w:rsid w:val="00843543"/>
    <w:rsid w:val="008441BC"/>
    <w:rsid w:val="00844F4F"/>
    <w:rsid w:val="0085095F"/>
    <w:rsid w:val="00852334"/>
    <w:rsid w:val="008618F8"/>
    <w:rsid w:val="008635A4"/>
    <w:rsid w:val="00865511"/>
    <w:rsid w:val="008708F5"/>
    <w:rsid w:val="00870B16"/>
    <w:rsid w:val="00881F78"/>
    <w:rsid w:val="008857C3"/>
    <w:rsid w:val="008938C0"/>
    <w:rsid w:val="00894739"/>
    <w:rsid w:val="00895183"/>
    <w:rsid w:val="00895232"/>
    <w:rsid w:val="008A38CB"/>
    <w:rsid w:val="008C2573"/>
    <w:rsid w:val="008C2577"/>
    <w:rsid w:val="008C52D4"/>
    <w:rsid w:val="008D49E0"/>
    <w:rsid w:val="008E2145"/>
    <w:rsid w:val="008E3F52"/>
    <w:rsid w:val="008E5795"/>
    <w:rsid w:val="008E6E34"/>
    <w:rsid w:val="008F15B0"/>
    <w:rsid w:val="008F1E72"/>
    <w:rsid w:val="008F224B"/>
    <w:rsid w:val="008F2C66"/>
    <w:rsid w:val="008F6633"/>
    <w:rsid w:val="008F783D"/>
    <w:rsid w:val="00902961"/>
    <w:rsid w:val="00915294"/>
    <w:rsid w:val="00916B7A"/>
    <w:rsid w:val="00927ECF"/>
    <w:rsid w:val="009302E1"/>
    <w:rsid w:val="0093532C"/>
    <w:rsid w:val="009429BC"/>
    <w:rsid w:val="009501DD"/>
    <w:rsid w:val="009507E8"/>
    <w:rsid w:val="00953BA1"/>
    <w:rsid w:val="0096159E"/>
    <w:rsid w:val="00962921"/>
    <w:rsid w:val="00967A71"/>
    <w:rsid w:val="00971A3D"/>
    <w:rsid w:val="009737E3"/>
    <w:rsid w:val="009801AB"/>
    <w:rsid w:val="0098190A"/>
    <w:rsid w:val="00986A98"/>
    <w:rsid w:val="00991855"/>
    <w:rsid w:val="00994680"/>
    <w:rsid w:val="009A1E7B"/>
    <w:rsid w:val="009A2F4B"/>
    <w:rsid w:val="009A492C"/>
    <w:rsid w:val="009C2CC5"/>
    <w:rsid w:val="009D026B"/>
    <w:rsid w:val="009D0C7D"/>
    <w:rsid w:val="009E23BF"/>
    <w:rsid w:val="009E675F"/>
    <w:rsid w:val="009E77B1"/>
    <w:rsid w:val="009F15A0"/>
    <w:rsid w:val="009F2359"/>
    <w:rsid w:val="009F3C3C"/>
    <w:rsid w:val="00A051C6"/>
    <w:rsid w:val="00A11D75"/>
    <w:rsid w:val="00A142E4"/>
    <w:rsid w:val="00A22AC2"/>
    <w:rsid w:val="00A22D6F"/>
    <w:rsid w:val="00A40DD3"/>
    <w:rsid w:val="00A4362D"/>
    <w:rsid w:val="00A57BFF"/>
    <w:rsid w:val="00A71714"/>
    <w:rsid w:val="00A71D46"/>
    <w:rsid w:val="00A73C60"/>
    <w:rsid w:val="00A74DF1"/>
    <w:rsid w:val="00A77B07"/>
    <w:rsid w:val="00A83FCA"/>
    <w:rsid w:val="00A91AB0"/>
    <w:rsid w:val="00A96B02"/>
    <w:rsid w:val="00AA1481"/>
    <w:rsid w:val="00AA2239"/>
    <w:rsid w:val="00AA3813"/>
    <w:rsid w:val="00AB2736"/>
    <w:rsid w:val="00AC00A9"/>
    <w:rsid w:val="00AC140C"/>
    <w:rsid w:val="00AC3CA9"/>
    <w:rsid w:val="00AD2309"/>
    <w:rsid w:val="00AD3532"/>
    <w:rsid w:val="00AD53B6"/>
    <w:rsid w:val="00AD6D2D"/>
    <w:rsid w:val="00AE67CB"/>
    <w:rsid w:val="00AE7776"/>
    <w:rsid w:val="00AF2859"/>
    <w:rsid w:val="00AF2C88"/>
    <w:rsid w:val="00AF57E7"/>
    <w:rsid w:val="00AF5D42"/>
    <w:rsid w:val="00B00F9A"/>
    <w:rsid w:val="00B0539F"/>
    <w:rsid w:val="00B06CDE"/>
    <w:rsid w:val="00B11BA2"/>
    <w:rsid w:val="00B16715"/>
    <w:rsid w:val="00B16E8E"/>
    <w:rsid w:val="00B223C2"/>
    <w:rsid w:val="00B33483"/>
    <w:rsid w:val="00B35DB9"/>
    <w:rsid w:val="00B37449"/>
    <w:rsid w:val="00B42E85"/>
    <w:rsid w:val="00B4316C"/>
    <w:rsid w:val="00B534EB"/>
    <w:rsid w:val="00B53A46"/>
    <w:rsid w:val="00B5494B"/>
    <w:rsid w:val="00B5776F"/>
    <w:rsid w:val="00B60560"/>
    <w:rsid w:val="00B63DFC"/>
    <w:rsid w:val="00B71AD5"/>
    <w:rsid w:val="00B7261F"/>
    <w:rsid w:val="00B73A76"/>
    <w:rsid w:val="00B73A77"/>
    <w:rsid w:val="00B837B5"/>
    <w:rsid w:val="00B86285"/>
    <w:rsid w:val="00B868DF"/>
    <w:rsid w:val="00B90235"/>
    <w:rsid w:val="00B94BBD"/>
    <w:rsid w:val="00B97277"/>
    <w:rsid w:val="00BA4144"/>
    <w:rsid w:val="00BA59EF"/>
    <w:rsid w:val="00BA68EE"/>
    <w:rsid w:val="00BA6F1A"/>
    <w:rsid w:val="00BA7746"/>
    <w:rsid w:val="00BB2E42"/>
    <w:rsid w:val="00BB5240"/>
    <w:rsid w:val="00BC02CE"/>
    <w:rsid w:val="00BC0487"/>
    <w:rsid w:val="00BC2363"/>
    <w:rsid w:val="00BD2667"/>
    <w:rsid w:val="00BD6417"/>
    <w:rsid w:val="00BE2CA3"/>
    <w:rsid w:val="00BE3184"/>
    <w:rsid w:val="00BE3BDB"/>
    <w:rsid w:val="00BE6573"/>
    <w:rsid w:val="00BF4845"/>
    <w:rsid w:val="00C0000D"/>
    <w:rsid w:val="00C00376"/>
    <w:rsid w:val="00C06D28"/>
    <w:rsid w:val="00C101A6"/>
    <w:rsid w:val="00C163F7"/>
    <w:rsid w:val="00C213E6"/>
    <w:rsid w:val="00C23D7D"/>
    <w:rsid w:val="00C32BCF"/>
    <w:rsid w:val="00C3437E"/>
    <w:rsid w:val="00C362C6"/>
    <w:rsid w:val="00C437DD"/>
    <w:rsid w:val="00C438EC"/>
    <w:rsid w:val="00C51942"/>
    <w:rsid w:val="00C5458E"/>
    <w:rsid w:val="00C54DD3"/>
    <w:rsid w:val="00C6489E"/>
    <w:rsid w:val="00C64AA2"/>
    <w:rsid w:val="00C75BDD"/>
    <w:rsid w:val="00C76479"/>
    <w:rsid w:val="00C765BD"/>
    <w:rsid w:val="00C807F1"/>
    <w:rsid w:val="00C82468"/>
    <w:rsid w:val="00C86E38"/>
    <w:rsid w:val="00C90B76"/>
    <w:rsid w:val="00C9151F"/>
    <w:rsid w:val="00CA1357"/>
    <w:rsid w:val="00CA37F0"/>
    <w:rsid w:val="00CA76C7"/>
    <w:rsid w:val="00CB0C61"/>
    <w:rsid w:val="00CB15AC"/>
    <w:rsid w:val="00CB2C1A"/>
    <w:rsid w:val="00CB6152"/>
    <w:rsid w:val="00CB7BCF"/>
    <w:rsid w:val="00CC28DE"/>
    <w:rsid w:val="00CC44F9"/>
    <w:rsid w:val="00CC7D68"/>
    <w:rsid w:val="00CD04CE"/>
    <w:rsid w:val="00CD53A5"/>
    <w:rsid w:val="00CD7C4B"/>
    <w:rsid w:val="00CE2BCA"/>
    <w:rsid w:val="00CE3C45"/>
    <w:rsid w:val="00CE4F8F"/>
    <w:rsid w:val="00CE70E2"/>
    <w:rsid w:val="00CF446D"/>
    <w:rsid w:val="00CF44BA"/>
    <w:rsid w:val="00D00AAB"/>
    <w:rsid w:val="00D01678"/>
    <w:rsid w:val="00D02002"/>
    <w:rsid w:val="00D03AD4"/>
    <w:rsid w:val="00D132FE"/>
    <w:rsid w:val="00D1405D"/>
    <w:rsid w:val="00D14240"/>
    <w:rsid w:val="00D16BC6"/>
    <w:rsid w:val="00D17172"/>
    <w:rsid w:val="00D21277"/>
    <w:rsid w:val="00D22817"/>
    <w:rsid w:val="00D2568B"/>
    <w:rsid w:val="00D25EFC"/>
    <w:rsid w:val="00D269CF"/>
    <w:rsid w:val="00D314CF"/>
    <w:rsid w:val="00D34116"/>
    <w:rsid w:val="00D34688"/>
    <w:rsid w:val="00D410FE"/>
    <w:rsid w:val="00D419CA"/>
    <w:rsid w:val="00D4365D"/>
    <w:rsid w:val="00D44F9F"/>
    <w:rsid w:val="00D50395"/>
    <w:rsid w:val="00D543FE"/>
    <w:rsid w:val="00D54C10"/>
    <w:rsid w:val="00D54E25"/>
    <w:rsid w:val="00D5520D"/>
    <w:rsid w:val="00D560D5"/>
    <w:rsid w:val="00D61632"/>
    <w:rsid w:val="00D626EF"/>
    <w:rsid w:val="00D63113"/>
    <w:rsid w:val="00D64557"/>
    <w:rsid w:val="00D65F13"/>
    <w:rsid w:val="00D762A2"/>
    <w:rsid w:val="00D82CA2"/>
    <w:rsid w:val="00D837D9"/>
    <w:rsid w:val="00D837DB"/>
    <w:rsid w:val="00D96243"/>
    <w:rsid w:val="00DB13A8"/>
    <w:rsid w:val="00DB2FD3"/>
    <w:rsid w:val="00DB3FEF"/>
    <w:rsid w:val="00DB40B2"/>
    <w:rsid w:val="00DB48B5"/>
    <w:rsid w:val="00DB5388"/>
    <w:rsid w:val="00DB6CB4"/>
    <w:rsid w:val="00DB7BFD"/>
    <w:rsid w:val="00DC105B"/>
    <w:rsid w:val="00DC6FB5"/>
    <w:rsid w:val="00DC7A85"/>
    <w:rsid w:val="00DE0E40"/>
    <w:rsid w:val="00DE3045"/>
    <w:rsid w:val="00DE4842"/>
    <w:rsid w:val="00DE5BD2"/>
    <w:rsid w:val="00DF037E"/>
    <w:rsid w:val="00DF2DC3"/>
    <w:rsid w:val="00E03487"/>
    <w:rsid w:val="00E05D65"/>
    <w:rsid w:val="00E05F7B"/>
    <w:rsid w:val="00E077DB"/>
    <w:rsid w:val="00E179BC"/>
    <w:rsid w:val="00E20D23"/>
    <w:rsid w:val="00E32A1D"/>
    <w:rsid w:val="00E33403"/>
    <w:rsid w:val="00E34C97"/>
    <w:rsid w:val="00E44280"/>
    <w:rsid w:val="00E47611"/>
    <w:rsid w:val="00E501C4"/>
    <w:rsid w:val="00E50A3D"/>
    <w:rsid w:val="00E55FBC"/>
    <w:rsid w:val="00E61421"/>
    <w:rsid w:val="00E63B37"/>
    <w:rsid w:val="00E643D4"/>
    <w:rsid w:val="00E67EEF"/>
    <w:rsid w:val="00E70F88"/>
    <w:rsid w:val="00E7351F"/>
    <w:rsid w:val="00E7703F"/>
    <w:rsid w:val="00E778C5"/>
    <w:rsid w:val="00E807F9"/>
    <w:rsid w:val="00E85BF2"/>
    <w:rsid w:val="00EA6D4C"/>
    <w:rsid w:val="00EA7E9B"/>
    <w:rsid w:val="00EB0AFB"/>
    <w:rsid w:val="00EB1190"/>
    <w:rsid w:val="00EB5C09"/>
    <w:rsid w:val="00EB6825"/>
    <w:rsid w:val="00EC04B8"/>
    <w:rsid w:val="00EC18B1"/>
    <w:rsid w:val="00EC286B"/>
    <w:rsid w:val="00EC7804"/>
    <w:rsid w:val="00ED27EB"/>
    <w:rsid w:val="00EE4AC8"/>
    <w:rsid w:val="00EE6C4B"/>
    <w:rsid w:val="00EE791C"/>
    <w:rsid w:val="00EF2082"/>
    <w:rsid w:val="00EF3656"/>
    <w:rsid w:val="00EF3BD9"/>
    <w:rsid w:val="00EF7654"/>
    <w:rsid w:val="00F047FA"/>
    <w:rsid w:val="00F0578C"/>
    <w:rsid w:val="00F068F0"/>
    <w:rsid w:val="00F11DA0"/>
    <w:rsid w:val="00F11FF9"/>
    <w:rsid w:val="00F12355"/>
    <w:rsid w:val="00F13510"/>
    <w:rsid w:val="00F16F87"/>
    <w:rsid w:val="00F233ED"/>
    <w:rsid w:val="00F24653"/>
    <w:rsid w:val="00F25426"/>
    <w:rsid w:val="00F26A03"/>
    <w:rsid w:val="00F2758B"/>
    <w:rsid w:val="00F306D1"/>
    <w:rsid w:val="00F37D2C"/>
    <w:rsid w:val="00F43779"/>
    <w:rsid w:val="00F46006"/>
    <w:rsid w:val="00F460DF"/>
    <w:rsid w:val="00F463E0"/>
    <w:rsid w:val="00F5089B"/>
    <w:rsid w:val="00F52918"/>
    <w:rsid w:val="00F54B4F"/>
    <w:rsid w:val="00F564FC"/>
    <w:rsid w:val="00F7179F"/>
    <w:rsid w:val="00F729E0"/>
    <w:rsid w:val="00F74276"/>
    <w:rsid w:val="00F776E3"/>
    <w:rsid w:val="00F80D7E"/>
    <w:rsid w:val="00F834E1"/>
    <w:rsid w:val="00F8756A"/>
    <w:rsid w:val="00F909B9"/>
    <w:rsid w:val="00F92089"/>
    <w:rsid w:val="00F92C82"/>
    <w:rsid w:val="00F979E9"/>
    <w:rsid w:val="00FA4F33"/>
    <w:rsid w:val="00FB2E6C"/>
    <w:rsid w:val="00FB3B46"/>
    <w:rsid w:val="00FB65FD"/>
    <w:rsid w:val="00FC04CC"/>
    <w:rsid w:val="00FC6051"/>
    <w:rsid w:val="00FD22EC"/>
    <w:rsid w:val="00FE52F4"/>
    <w:rsid w:val="00FE5CA9"/>
    <w:rsid w:val="00FE63AC"/>
    <w:rsid w:val="00FF322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unhideWhenUsed/>
    <w:rsid w:val="001402B3"/>
    <w:rPr>
      <w:sz w:val="20"/>
      <w:szCs w:val="20"/>
    </w:rPr>
  </w:style>
  <w:style w:type="character" w:customStyle="1" w:styleId="CommentTextChar">
    <w:name w:val="Comment Text Char"/>
    <w:link w:val="CommentText"/>
    <w:uiPriority w:val="99"/>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styleId="ListParagraph">
    <w:name w:val="List Paragraph"/>
    <w:basedOn w:val="Normal"/>
    <w:uiPriority w:val="34"/>
    <w:qFormat/>
    <w:rsid w:val="006E70D9"/>
    <w:pPr>
      <w:ind w:left="720"/>
      <w:contextualSpacing/>
    </w:pPr>
  </w:style>
  <w:style w:type="paragraph" w:styleId="Revision">
    <w:name w:val="Revision"/>
    <w:hidden/>
    <w:uiPriority w:val="99"/>
    <w:semiHidden/>
    <w:rsid w:val="00B37449"/>
    <w:rPr>
      <w:sz w:val="24"/>
      <w:szCs w:val="24"/>
      <w:lang w:val="en-GB" w:eastAsia="sv-SE"/>
    </w:rPr>
  </w:style>
  <w:style w:type="table" w:styleId="TableGridLight">
    <w:name w:val="Grid Table Light"/>
    <w:basedOn w:val="TableNormal"/>
    <w:uiPriority w:val="40"/>
    <w:rsid w:val="00B862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33617">
      <w:bodyDiv w:val="1"/>
      <w:marLeft w:val="0"/>
      <w:marRight w:val="0"/>
      <w:marTop w:val="0"/>
      <w:marBottom w:val="0"/>
      <w:divBdr>
        <w:top w:val="none" w:sz="0" w:space="0" w:color="auto"/>
        <w:left w:val="none" w:sz="0" w:space="0" w:color="auto"/>
        <w:bottom w:val="none" w:sz="0" w:space="0" w:color="auto"/>
        <w:right w:val="none" w:sz="0" w:space="0" w:color="auto"/>
      </w:divBdr>
    </w:div>
    <w:div w:id="814182689">
      <w:bodyDiv w:val="1"/>
      <w:marLeft w:val="0"/>
      <w:marRight w:val="0"/>
      <w:marTop w:val="0"/>
      <w:marBottom w:val="0"/>
      <w:divBdr>
        <w:top w:val="none" w:sz="0" w:space="0" w:color="auto"/>
        <w:left w:val="none" w:sz="0" w:space="0" w:color="auto"/>
        <w:bottom w:val="none" w:sz="0" w:space="0" w:color="auto"/>
        <w:right w:val="none" w:sz="0" w:space="0" w:color="auto"/>
      </w:divBdr>
    </w:div>
    <w:div w:id="12518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doi.org/10.1145/2756406.2756913" TargetMode="External"/><Relationship Id="rId3" Type="http://schemas.openxmlformats.org/officeDocument/2006/relationships/customXml" Target="../customXml/item3.xml"/><Relationship Id="rId21" Type="http://schemas.openxmlformats.org/officeDocument/2006/relationships/hyperlink" Target="http://doi.org/10.2196/jmir.201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doi.org/10.1108/AJIM-12-2014-017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doi.org/10.1371/journal.pone.0127830" TargetMode="External"/><Relationship Id="rId10" Type="http://schemas.openxmlformats.org/officeDocument/2006/relationships/hyperlink" Target="https://orcid.org/0000-0002-4185-9298" TargetMode="External"/><Relationship Id="rId19" Type="http://schemas.openxmlformats.org/officeDocument/2006/relationships/hyperlink" Target="https://doi.org/10.1002/asi.233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doi.org/10.1007/s11192-022-0446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USSTATS/abs@.nsf/mf/129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924587B3-F74F-4109-9766-AF77D7B7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68</TotalTime>
  <Pages>10</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22309</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Microsoft Office User</cp:lastModifiedBy>
  <cp:revision>14</cp:revision>
  <cp:lastPrinted>2005-03-14T08:40:00Z</cp:lastPrinted>
  <dcterms:created xsi:type="dcterms:W3CDTF">2023-08-30T08:30:00Z</dcterms:created>
  <dcterms:modified xsi:type="dcterms:W3CDTF">2023-08-30T09:36:00Z</dcterms:modified>
</cp:coreProperties>
</file>