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AEC" w:rsidRDefault="00733AEC">
      <w:pPr>
        <w:pStyle w:val="Heading1"/>
        <w:jc w:val="center"/>
      </w:pPr>
      <w:r>
        <w:t>How similar are field-normalized scores from different free or commercial databases calculated for large German universities?</w:t>
      </w:r>
    </w:p>
    <w:p w:rsidR="00733AEC" w:rsidRDefault="00733AEC">
      <w:pPr>
        <w:jc w:val="center"/>
      </w:pPr>
    </w:p>
    <w:p w:rsidR="00733AEC" w:rsidRDefault="00733AEC">
      <w:pPr>
        <w:jc w:val="center"/>
        <w:rPr>
          <w:lang w:val="de-DE"/>
        </w:rPr>
      </w:pPr>
      <w:r>
        <w:rPr>
          <w:lang w:val="de-DE"/>
        </w:rPr>
        <w:t>Thomas Scheidsteger</w:t>
      </w:r>
      <w:r>
        <w:rPr>
          <w:vertAlign w:val="superscript"/>
          <w:lang w:val="de-DE"/>
        </w:rPr>
        <w:t xml:space="preserve"> *</w:t>
      </w:r>
      <w:r>
        <w:rPr>
          <w:lang w:val="de-DE"/>
        </w:rPr>
        <w:t xml:space="preserve">, Robin </w:t>
      </w:r>
      <w:proofErr w:type="spellStart"/>
      <w:r>
        <w:rPr>
          <w:lang w:val="de-DE"/>
        </w:rPr>
        <w:t>Haunschild</w:t>
      </w:r>
      <w:proofErr w:type="spellEnd"/>
      <w:r>
        <w:rPr>
          <w:vertAlign w:val="superscript"/>
          <w:lang w:val="de-DE"/>
        </w:rPr>
        <w:t xml:space="preserve"> *</w:t>
      </w:r>
      <w:r w:rsidRPr="00E913F7">
        <w:rPr>
          <w:lang w:val="de-DE"/>
        </w:rPr>
        <w:t>,</w:t>
      </w:r>
      <w:r>
        <w:rPr>
          <w:lang w:val="de-DE"/>
        </w:rPr>
        <w:t xml:space="preserve"> </w:t>
      </w:r>
      <w:proofErr w:type="spellStart"/>
      <w:r>
        <w:rPr>
          <w:lang w:val="de-DE"/>
        </w:rPr>
        <w:t>and</w:t>
      </w:r>
      <w:proofErr w:type="spellEnd"/>
      <w:r>
        <w:rPr>
          <w:lang w:val="de-DE"/>
        </w:rPr>
        <w:t xml:space="preserve"> Lutz </w:t>
      </w:r>
      <w:proofErr w:type="spellStart"/>
      <w:r>
        <w:rPr>
          <w:lang w:val="de-DE"/>
        </w:rPr>
        <w:t>Bornmann</w:t>
      </w:r>
      <w:proofErr w:type="spellEnd"/>
      <w:r>
        <w:rPr>
          <w:vertAlign w:val="superscript"/>
          <w:lang w:val="de-DE"/>
        </w:rPr>
        <w:t xml:space="preserve"> </w:t>
      </w:r>
      <w:proofErr w:type="gramStart"/>
      <w:r>
        <w:rPr>
          <w:vertAlign w:val="superscript"/>
          <w:lang w:val="de-DE"/>
        </w:rPr>
        <w:t>*,*</w:t>
      </w:r>
      <w:proofErr w:type="gramEnd"/>
      <w:r>
        <w:rPr>
          <w:vertAlign w:val="superscript"/>
          <w:lang w:val="de-DE"/>
        </w:rPr>
        <w:t>*</w:t>
      </w:r>
    </w:p>
    <w:p w:rsidR="00733AEC" w:rsidRDefault="00733AEC">
      <w:pPr>
        <w:jc w:val="center"/>
        <w:rPr>
          <w:sz w:val="20"/>
          <w:szCs w:val="20"/>
          <w:lang w:val="de-DE"/>
        </w:rPr>
      </w:pPr>
    </w:p>
    <w:p w:rsidR="00733AEC" w:rsidRDefault="00733AEC">
      <w:pPr>
        <w:jc w:val="center"/>
        <w:rPr>
          <w:sz w:val="20"/>
          <w:szCs w:val="20"/>
          <w:lang w:val="de-DE"/>
        </w:rPr>
      </w:pPr>
      <w:r>
        <w:rPr>
          <w:sz w:val="20"/>
          <w:szCs w:val="20"/>
          <w:vertAlign w:val="superscript"/>
          <w:lang w:val="de-DE"/>
        </w:rPr>
        <w:t>*</w:t>
      </w:r>
      <w:r>
        <w:rPr>
          <w:i/>
          <w:iCs/>
          <w:sz w:val="20"/>
          <w:szCs w:val="20"/>
          <w:lang w:val="de-DE"/>
        </w:rPr>
        <w:t>t.scheidsteger@fkf.mpg.de; r.haunschild@fkf.mpg.de; l.bornmann@fkf.mpg.de</w:t>
      </w:r>
    </w:p>
    <w:p w:rsidR="00733AEC" w:rsidRDefault="00733AEC">
      <w:pPr>
        <w:jc w:val="center"/>
        <w:rPr>
          <w:sz w:val="20"/>
          <w:szCs w:val="20"/>
        </w:rPr>
      </w:pPr>
      <w:r>
        <w:rPr>
          <w:sz w:val="20"/>
          <w:szCs w:val="20"/>
        </w:rPr>
        <w:t>0000-0001-8351-2498; 0000-0001-7025-7256; 0000-0003-0810-7091</w:t>
      </w:r>
    </w:p>
    <w:p w:rsidR="00733AEC" w:rsidRDefault="00733AEC">
      <w:pPr>
        <w:jc w:val="center"/>
        <w:rPr>
          <w:sz w:val="20"/>
          <w:szCs w:val="20"/>
        </w:rPr>
      </w:pPr>
      <w:r>
        <w:rPr>
          <w:sz w:val="20"/>
          <w:szCs w:val="20"/>
        </w:rPr>
        <w:t>IVS-CPT, Max Planck Institute for Solid State Research, Stuttgart, Germany</w:t>
      </w:r>
    </w:p>
    <w:p w:rsidR="00733AEC" w:rsidRDefault="00733AEC">
      <w:pPr>
        <w:jc w:val="center"/>
        <w:rPr>
          <w:sz w:val="20"/>
          <w:szCs w:val="20"/>
        </w:rPr>
      </w:pPr>
    </w:p>
    <w:p w:rsidR="00733AEC" w:rsidRDefault="00733AEC">
      <w:pPr>
        <w:jc w:val="center"/>
        <w:rPr>
          <w:sz w:val="20"/>
          <w:szCs w:val="20"/>
        </w:rPr>
      </w:pPr>
      <w:r>
        <w:rPr>
          <w:sz w:val="20"/>
          <w:szCs w:val="20"/>
          <w:vertAlign w:val="superscript"/>
        </w:rPr>
        <w:t>**</w:t>
      </w:r>
      <w:r>
        <w:rPr>
          <w:i/>
          <w:iCs/>
          <w:sz w:val="20"/>
          <w:szCs w:val="20"/>
        </w:rPr>
        <w:t>lutz.bornmann@gv.mpg.de</w:t>
      </w:r>
    </w:p>
    <w:p w:rsidR="00733AEC" w:rsidRDefault="00733AEC">
      <w:pPr>
        <w:jc w:val="center"/>
        <w:rPr>
          <w:sz w:val="20"/>
          <w:szCs w:val="20"/>
        </w:rPr>
      </w:pPr>
      <w:r>
        <w:rPr>
          <w:sz w:val="20"/>
          <w:szCs w:val="20"/>
        </w:rPr>
        <w:t>0000-0003-0810-7091</w:t>
      </w:r>
    </w:p>
    <w:p w:rsidR="00733AEC" w:rsidRDefault="00733AEC">
      <w:pPr>
        <w:jc w:val="center"/>
        <w:rPr>
          <w:sz w:val="20"/>
          <w:szCs w:val="20"/>
        </w:rPr>
      </w:pPr>
      <w:r>
        <w:rPr>
          <w:sz w:val="20"/>
          <w:szCs w:val="20"/>
        </w:rPr>
        <w:t>Science Policy and Strategy Department, Administrative Headquarters of the Max Planck Society, Germany</w:t>
      </w:r>
    </w:p>
    <w:p w:rsidR="00733AEC" w:rsidRDefault="00733AEC">
      <w:pPr>
        <w:jc w:val="center"/>
      </w:pPr>
    </w:p>
    <w:p w:rsidR="00733AEC" w:rsidRDefault="00733AEC">
      <w:pPr>
        <w:jc w:val="center"/>
      </w:pPr>
    </w:p>
    <w:p w:rsidR="00733AEC" w:rsidRPr="005C7216" w:rsidRDefault="00733AEC" w:rsidP="00BA0D8E">
      <w:pPr>
        <w:jc w:val="both"/>
        <w:rPr>
          <w:sz w:val="20"/>
          <w:szCs w:val="20"/>
        </w:rPr>
      </w:pPr>
      <w:r w:rsidRPr="005C7216">
        <w:rPr>
          <w:sz w:val="20"/>
          <w:szCs w:val="20"/>
        </w:rPr>
        <w:t xml:space="preserve">We compared field-normalized citation scores from the freely available bibliographic database </w:t>
      </w:r>
      <w:proofErr w:type="spellStart"/>
      <w:r w:rsidRPr="005C7216">
        <w:rPr>
          <w:sz w:val="20"/>
          <w:szCs w:val="20"/>
        </w:rPr>
        <w:t>OpenAlex</w:t>
      </w:r>
      <w:proofErr w:type="spellEnd"/>
      <w:r w:rsidRPr="005C7216">
        <w:rPr>
          <w:sz w:val="20"/>
          <w:szCs w:val="20"/>
        </w:rPr>
        <w:t xml:space="preserve"> with those from three commercial databases (Web of Science, Scopus, and Dimensions). The scores have been calculated for nearly 335,000 publications published by 48 German universities in four OECD subject areas between 2013 and 2017. We found varying but overall strong agreement according to Lin</w:t>
      </w:r>
      <w:r>
        <w:rPr>
          <w:sz w:val="20"/>
          <w:szCs w:val="20"/>
        </w:rPr>
        <w:t>’</w:t>
      </w:r>
      <w:r w:rsidRPr="005C7216">
        <w:rPr>
          <w:sz w:val="20"/>
          <w:szCs w:val="20"/>
        </w:rPr>
        <w:t xml:space="preserve">s concordance coefficient. We also calculated (aggregated) mean normalized citation scores for the 48 universities and found that the agreements across different databases are low. On the one hand, the results suggest that comparisons of universities using field-normalized citation scores across different databases should be avoided. On the other hand, the difference of the concordance coefficients on the paper and university level is a good example for the problem of ecological fallacy in </w:t>
      </w:r>
      <w:proofErr w:type="spellStart"/>
      <w:r w:rsidRPr="005C7216">
        <w:rPr>
          <w:sz w:val="20"/>
          <w:szCs w:val="20"/>
        </w:rPr>
        <w:t>bibliometrics</w:t>
      </w:r>
      <w:proofErr w:type="spellEnd"/>
      <w:r w:rsidRPr="005C7216">
        <w:rPr>
          <w:sz w:val="20"/>
          <w:szCs w:val="20"/>
        </w:rPr>
        <w:t>: The mean impact is not representative for the single papers’ impact in the set.</w:t>
      </w:r>
    </w:p>
    <w:p w:rsidR="00733AEC" w:rsidRDefault="00733AEC">
      <w:pPr>
        <w:pStyle w:val="Heading2"/>
        <w:jc w:val="both"/>
      </w:pPr>
    </w:p>
    <w:p w:rsidR="00733AEC" w:rsidRDefault="00733AEC">
      <w:pPr>
        <w:pStyle w:val="Heading2"/>
        <w:jc w:val="both"/>
      </w:pPr>
      <w:r>
        <w:t>1. Introduction</w:t>
      </w:r>
    </w:p>
    <w:p w:rsidR="00733AEC" w:rsidRDefault="00733AEC">
      <w:pPr>
        <w:jc w:val="both"/>
      </w:pPr>
      <w:r>
        <w:rPr>
          <w:iCs/>
        </w:rPr>
        <w:t xml:space="preserve">Research evaluation </w:t>
      </w:r>
      <w:r>
        <w:t>using bibliometric methods is frequently based on commercial bibliographic databases that have similar approaches to select journals for including papers in the database and to ensure the quality of included papers: Web of Science (</w:t>
      </w:r>
      <w:proofErr w:type="spellStart"/>
      <w:r>
        <w:t>WoS</w:t>
      </w:r>
      <w:proofErr w:type="spellEnd"/>
      <w:r>
        <w:t xml:space="preserve">) </w:t>
      </w:r>
      <w:r>
        <w:rPr>
          <w:lang w:val="en-US"/>
        </w:rPr>
        <w:t>and</w:t>
      </w:r>
      <w:r>
        <w:t xml:space="preserve"> Scopus </w:t>
      </w:r>
      <w:r>
        <w:rPr>
          <w:noProof/>
        </w:rPr>
        <w:t>(Baas, Schotten, Plume, et al., 2020; Birkle, Pendlebury, Schnell, et al., 2020)</w:t>
      </w:r>
      <w:r>
        <w:rPr>
          <w:lang w:val="en-US"/>
        </w:rPr>
        <w:t>.</w:t>
      </w:r>
      <w:r>
        <w:t xml:space="preserve"> Dimensions is another commercial bibliographic database that </w:t>
      </w:r>
      <w:r>
        <w:rPr>
          <w:lang w:val="en-US"/>
        </w:rPr>
        <w:t xml:space="preserve">provides an alternative to </w:t>
      </w:r>
      <w:proofErr w:type="spellStart"/>
      <w:r>
        <w:rPr>
          <w:lang w:val="en-US"/>
        </w:rPr>
        <w:t>WoS</w:t>
      </w:r>
      <w:proofErr w:type="spellEnd"/>
      <w:r>
        <w:rPr>
          <w:lang w:val="en-US"/>
        </w:rPr>
        <w:t xml:space="preserve"> and Scopus including many more publications </w:t>
      </w:r>
      <w:r>
        <w:rPr>
          <w:noProof/>
          <w:lang w:val="en-US"/>
        </w:rPr>
        <w:t>(Herzog, Hook, &amp; Konkiel, 2020)</w:t>
      </w:r>
      <w:r>
        <w:rPr>
          <w:lang w:val="en-US"/>
        </w:rPr>
        <w:t>.</w:t>
      </w:r>
      <w:r>
        <w:t xml:space="preserve"> With the emergence of Microsoft Academic Graph (MAG)</w:t>
      </w:r>
      <w:r>
        <w:rPr>
          <w:lang w:val="en-US"/>
        </w:rPr>
        <w:t xml:space="preserve"> in 2015,</w:t>
      </w:r>
      <w:r>
        <w:t xml:space="preserve"> a free bibliographic</w:t>
      </w:r>
      <w:r>
        <w:rPr>
          <w:lang w:val="en-US"/>
        </w:rPr>
        <w:t xml:space="preserve"> </w:t>
      </w:r>
      <w:r>
        <w:t xml:space="preserve">database with an outstanding coverage </w:t>
      </w:r>
      <w:r>
        <w:rPr>
          <w:noProof/>
        </w:rPr>
        <w:t>(Sinha, Shen, Song, et al., 2015; Wang, Shen, Huang, et al., 2020)</w:t>
      </w:r>
      <w:r>
        <w:t xml:space="preserve"> emerged. Since Microsoft decided to discontinue MAG, the successor </w:t>
      </w:r>
      <w:r>
        <w:rPr>
          <w:lang w:val="en-US"/>
        </w:rPr>
        <w:t xml:space="preserve">database </w:t>
      </w:r>
      <w:proofErr w:type="spellStart"/>
      <w:r>
        <w:rPr>
          <w:lang w:val="en-US"/>
        </w:rPr>
        <w:t>OpenAlex</w:t>
      </w:r>
      <w:proofErr w:type="spellEnd"/>
      <w:r>
        <w:rPr>
          <w:lang w:val="en-US"/>
        </w:rPr>
        <w:t xml:space="preserve"> was started by </w:t>
      </w:r>
      <w:r>
        <w:rPr>
          <w:noProof/>
          <w:lang w:val="en-US"/>
        </w:rPr>
        <w:t>Priem, Piwowar, and Orr (2022)</w:t>
      </w:r>
      <w:r>
        <w:rPr>
          <w:lang w:val="en-US"/>
        </w:rPr>
        <w:t>. With the many databases that are available in principle for research evaluation purposes,</w:t>
      </w:r>
      <w:r>
        <w:t xml:space="preserve"> the question arose whether all databases come to similar results in a certain research evaluation situation.</w:t>
      </w:r>
    </w:p>
    <w:p w:rsidR="00733AEC" w:rsidRDefault="00733AEC">
      <w:pPr>
        <w:jc w:val="both"/>
      </w:pPr>
    </w:p>
    <w:p w:rsidR="00733AEC" w:rsidRDefault="00733AEC">
      <w:pPr>
        <w:jc w:val="both"/>
      </w:pPr>
      <w:r>
        <w:t xml:space="preserve">In a first case study, </w:t>
      </w:r>
      <w:r>
        <w:rPr>
          <w:noProof/>
        </w:rPr>
        <w:t>Scheidsteger, Haunschild, Hug, et al. (2018)</w:t>
      </w:r>
      <w:r>
        <w:t xml:space="preserve"> </w:t>
      </w:r>
      <w:proofErr w:type="spellStart"/>
      <w:r>
        <w:t>analyzed</w:t>
      </w:r>
      <w:proofErr w:type="spellEnd"/>
      <w:r>
        <w:t xml:space="preserve"> the publications of a computer science institute with a well-maintained publication list. They chose a bibliometric standard indicator (a field-normalized indicator) and tested whether the indicator scores are similar across two different databases. Thus, they investigated the convergent validity of field-normalized indicator scores that have been generated based on MAG and </w:t>
      </w:r>
      <w:proofErr w:type="spellStart"/>
      <w:r>
        <w:t>WoS</w:t>
      </w:r>
      <w:proofErr w:type="spellEnd"/>
      <w:r>
        <w:t xml:space="preserve"> data. The results were encouraging (i.e., the values were </w:t>
      </w:r>
      <w:r>
        <w:rPr>
          <w:lang w:val="en-US"/>
        </w:rPr>
        <w:t xml:space="preserve">in a good agreement) </w:t>
      </w:r>
      <w:r>
        <w:t xml:space="preserve">and motivated the present study with a significantly enlarged publication set from 48 German universities that cover a </w:t>
      </w:r>
      <w:r>
        <w:rPr>
          <w:lang w:val="en-US"/>
        </w:rPr>
        <w:t>broad range</w:t>
      </w:r>
      <w:r>
        <w:t xml:space="preserve"> of subject areas (and not only computer science, as in the first case study). Field-normalized </w:t>
      </w:r>
      <w:r>
        <w:rPr>
          <w:lang w:val="en-US"/>
        </w:rPr>
        <w:t>citation scores</w:t>
      </w:r>
      <w:r>
        <w:t xml:space="preserve"> were calculated based on data from four different databases – three commercial databases and </w:t>
      </w:r>
      <w:proofErr w:type="spellStart"/>
      <w:r>
        <w:t>OpenAlex</w:t>
      </w:r>
      <w:proofErr w:type="spellEnd"/>
      <w:r>
        <w:t xml:space="preserve">. In this follow-up study of the case study by </w:t>
      </w:r>
      <w:r>
        <w:rPr>
          <w:noProof/>
        </w:rPr>
        <w:t>Scheidsteger, et al. (2018)</w:t>
      </w:r>
      <w:r>
        <w:t xml:space="preserve">, we are interested in the convergent validity of the field-normalized scores from </w:t>
      </w:r>
      <w:r>
        <w:lastRenderedPageBreak/>
        <w:t>the different databases: Do we receive the same or similar field-normalized scores when the same indicator is used or not?</w:t>
      </w:r>
    </w:p>
    <w:p w:rsidR="00733AEC" w:rsidRDefault="00733AEC">
      <w:pPr>
        <w:jc w:val="both"/>
      </w:pPr>
    </w:p>
    <w:p w:rsidR="00733AEC" w:rsidRDefault="00733AEC">
      <w:pPr>
        <w:pStyle w:val="Heading2"/>
      </w:pPr>
      <w:r>
        <w:t xml:space="preserve">2. </w:t>
      </w:r>
      <w:bookmarkStart w:id="0" w:name="data-and-methods"/>
      <w:r>
        <w:t>Data and Methods</w:t>
      </w:r>
      <w:bookmarkEnd w:id="0"/>
    </w:p>
    <w:p w:rsidR="00733AEC" w:rsidRDefault="00733AEC">
      <w:pPr>
        <w:pStyle w:val="Heading3"/>
      </w:pPr>
    </w:p>
    <w:p w:rsidR="00733AEC" w:rsidRDefault="00733AEC">
      <w:pPr>
        <w:pStyle w:val="Heading3"/>
      </w:pPr>
      <w:r>
        <w:t>2.1. Selection of data sources</w:t>
      </w:r>
    </w:p>
    <w:p w:rsidR="00733AEC" w:rsidRDefault="00733AEC">
      <w:pPr>
        <w:pStyle w:val="Compact"/>
        <w:tabs>
          <w:tab w:val="left" w:pos="0"/>
        </w:tabs>
        <w:jc w:val="both"/>
      </w:pPr>
      <w:r w:rsidRPr="008C79F7">
        <w:t xml:space="preserve">As sources of bibliometric data we used the abovementioned three commercial databases and the free database </w:t>
      </w:r>
      <w:proofErr w:type="spellStart"/>
      <w:r w:rsidRPr="008C79F7">
        <w:t>OpenAlex</w:t>
      </w:r>
      <w:proofErr w:type="spellEnd"/>
      <w:r w:rsidRPr="008C79F7">
        <w:t xml:space="preserve">. The </w:t>
      </w:r>
      <w:proofErr w:type="spellStart"/>
      <w:r w:rsidRPr="008C79F7">
        <w:t>WoS</w:t>
      </w:r>
      <w:proofErr w:type="spellEnd"/>
      <w:r w:rsidRPr="008C79F7">
        <w:t xml:space="preserve"> data had been released in October 2021 and the Scopus data in April 2021. From Dimensions we used a data dump from January 2022 and from </w:t>
      </w:r>
      <w:proofErr w:type="spellStart"/>
      <w:r w:rsidRPr="008C79F7">
        <w:t>OpenAlex</w:t>
      </w:r>
      <w:proofErr w:type="spellEnd"/>
      <w:r w:rsidRPr="008C79F7">
        <w:t xml:space="preserve"> a snapshot from February 2022.</w:t>
      </w:r>
    </w:p>
    <w:p w:rsidR="00733AEC" w:rsidRDefault="00733AEC">
      <w:pPr>
        <w:pStyle w:val="BodyText"/>
        <w:jc w:val="both"/>
        <w:rPr>
          <w:i/>
          <w:iCs/>
          <w:color w:val="auto"/>
        </w:rPr>
      </w:pPr>
    </w:p>
    <w:p w:rsidR="00733AEC" w:rsidRPr="00D275CD" w:rsidRDefault="00733AEC" w:rsidP="00C639D5">
      <w:pPr>
        <w:pStyle w:val="Heading3"/>
      </w:pPr>
      <w:r w:rsidRPr="00D275CD">
        <w:t>2.2. Field-normalized citation scores</w:t>
      </w:r>
    </w:p>
    <w:p w:rsidR="00733AEC" w:rsidRDefault="00733AEC">
      <w:pPr>
        <w:pStyle w:val="FirstParagraph"/>
        <w:spacing w:before="0" w:after="0"/>
        <w:jc w:val="both"/>
      </w:pPr>
      <w:r>
        <w:t xml:space="preserve">For the comparison of field-normalized scores across four databases, we used the normalized citation score (NCS) </w:t>
      </w:r>
      <w:r>
        <w:rPr>
          <w:noProof/>
        </w:rPr>
        <w:t>(Waltman, van Eck, van Leeuwen, et al., 2011)</w:t>
      </w:r>
      <w:r>
        <w:t xml:space="preserve">. It is one of the most popular approaches to field-normalize citation counts </w:t>
      </w:r>
      <w:r>
        <w:rPr>
          <w:noProof/>
        </w:rPr>
        <w:t>(van Wijk &amp; Costas-Comesaña, 2012)</w:t>
      </w:r>
      <w:r>
        <w:t xml:space="preserve">. In principle, any other field-normalized indicator could have been used in this study such as percentiles </w:t>
      </w:r>
      <w:r>
        <w:rPr>
          <w:noProof/>
        </w:rPr>
        <w:t>(Bornmann &amp; Williams, 2020)</w:t>
      </w:r>
      <w:r>
        <w:t>. The NCS is calculated as follows: The citation count of each paper is divided by the average citation count of similar papers (i.e., the reference set). Similar papers are defined as papers from the same field, publication year, and document type. The NCS is formally defined as</w:t>
      </w:r>
    </w:p>
    <w:p w:rsidR="00733AEC" w:rsidRDefault="00733AEC" w:rsidP="00D57B92">
      <w:pPr>
        <w:spacing w:line="480" w:lineRule="auto"/>
        <w:ind w:firstLine="709"/>
        <w:rPr>
          <w:lang w:val="en-US"/>
        </w:rPr>
      </w:pPr>
      <m:oMathPara>
        <m:oMath>
          <m:r>
            <w:rPr>
              <w:rFonts w:ascii="Cambria Math" w:hAnsi="Cambria Math"/>
              <w:lang w:val="en-US"/>
            </w:rPr>
            <m:t>NC</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den>
          </m:f>
        </m:oMath>
      </m:oMathPara>
    </w:p>
    <w:p w:rsidR="00733AEC" w:rsidRDefault="00733AEC" w:rsidP="00EB2664">
      <w:pPr>
        <w:jc w:val="both"/>
      </w:pPr>
      <w:r>
        <w:t xml:space="preserve">with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oMath>
      <w:r>
        <w:t xml:space="preserve"> denoting the citation count of a focal </w:t>
      </w:r>
      <w:r w:rsidRPr="00410283">
        <w:t xml:space="preserve">paper </w:t>
      </w:r>
      <w:proofErr w:type="spellStart"/>
      <w:r w:rsidRPr="00410283">
        <w:rPr>
          <w:i/>
        </w:rPr>
        <w:t>i</w:t>
      </w:r>
      <w:proofErr w:type="spellEnd"/>
      <w:r w:rsidRPr="00410283">
        <w:rPr>
          <w:i/>
        </w:rPr>
        <w:t xml:space="preserve"> </w:t>
      </w:r>
      <w:r w:rsidRPr="00410283">
        <w:t>and</w:t>
      </w:r>
      <w: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oMath>
      <w:r>
        <w:t xml:space="preserve"> denoting the average citation rate of similar papers </w:t>
      </w:r>
      <w:r>
        <w:rPr>
          <w:noProof/>
        </w:rPr>
        <w:t>(Lundberg, 2007; Rehn, Kronman, &amp; Wadskog, 2007)</w:t>
      </w:r>
      <w:r>
        <w:t>. In many cases, papers in the databases are assigned not only to one, but to multiple fields. In this case, we calculated several NCS</w:t>
      </w:r>
      <w:r>
        <w:rPr>
          <w:lang w:val="en-US"/>
        </w:rPr>
        <w:t xml:space="preserve"> value</w:t>
      </w:r>
      <w:r>
        <w:t>s for each paper. To obtain a single NCS for each paper, the multiple NCS</w:t>
      </w:r>
      <w:r>
        <w:rPr>
          <w:lang w:val="en-US"/>
        </w:rPr>
        <w:t xml:space="preserve"> value</w:t>
      </w:r>
      <w:r>
        <w:t xml:space="preserve">s were averaged </w:t>
      </w:r>
      <w:r>
        <w:rPr>
          <w:noProof/>
        </w:rPr>
        <w:t>(Haunschild &amp; Bornmann, 2016)</w:t>
      </w:r>
      <w:r>
        <w:t xml:space="preserve">. Several document types that are treated separately in </w:t>
      </w:r>
      <w:proofErr w:type="spellStart"/>
      <w:r>
        <w:t>WoS</w:t>
      </w:r>
      <w:proofErr w:type="spellEnd"/>
      <w:r>
        <w:t xml:space="preserve"> and Scopus are subsumed in one document type in Dimensions and </w:t>
      </w:r>
      <w:proofErr w:type="spellStart"/>
      <w:r>
        <w:t>OpenAlex</w:t>
      </w:r>
      <w:proofErr w:type="spellEnd"/>
      <w:r>
        <w:t xml:space="preserve">. Thus, the usually poorly cited letters and editorials decrease the expected citation rates and increases the NCS values in Dimensions and </w:t>
      </w:r>
      <w:proofErr w:type="spellStart"/>
      <w:r>
        <w:t>OpenAlex</w:t>
      </w:r>
      <w:proofErr w:type="spellEnd"/>
      <w:r>
        <w:t xml:space="preserve"> compared to </w:t>
      </w:r>
      <w:proofErr w:type="spellStart"/>
      <w:r>
        <w:t>WoS</w:t>
      </w:r>
      <w:proofErr w:type="spellEnd"/>
      <w:r>
        <w:t xml:space="preserve"> and Scopus.</w:t>
      </w:r>
    </w:p>
    <w:p w:rsidR="00733AEC" w:rsidRDefault="00733AEC">
      <w:pPr>
        <w:pStyle w:val="BodyText"/>
        <w:jc w:val="both"/>
        <w:rPr>
          <w:rFonts w:eastAsia="Cambria" w:cs="SimSun"/>
          <w:color w:val="auto"/>
          <w:lang w:eastAsia="en-US"/>
        </w:rPr>
      </w:pPr>
    </w:p>
    <w:p w:rsidR="00733AEC" w:rsidRDefault="00733AEC">
      <w:pPr>
        <w:pStyle w:val="Heading3"/>
      </w:pPr>
      <w:r>
        <w:t>2.</w:t>
      </w:r>
      <w:bookmarkStart w:id="1" w:name="subject-classifications"/>
      <w:r>
        <w:t>3. Subject classifications</w:t>
      </w:r>
      <w:bookmarkEnd w:id="1"/>
    </w:p>
    <w:p w:rsidR="00733AEC" w:rsidRDefault="00733AEC">
      <w:pPr>
        <w:pStyle w:val="BodyText"/>
        <w:jc w:val="both"/>
        <w:rPr>
          <w:rFonts w:eastAsia="Cambria" w:cs="SimSun"/>
          <w:color w:val="auto"/>
          <w:lang w:val="en-US" w:eastAsia="en-US"/>
        </w:rPr>
      </w:pPr>
      <w:r>
        <w:rPr>
          <w:rFonts w:eastAsia="Cambria" w:cs="SimSun"/>
          <w:color w:val="auto"/>
          <w:lang w:val="en-US" w:eastAsia="en-US"/>
        </w:rPr>
        <w:t xml:space="preserve">The expected citation rates for the NCS were calculated based on different field categorization schemes in the four databases. In </w:t>
      </w:r>
      <w:proofErr w:type="spellStart"/>
      <w:r w:rsidRPr="00727091">
        <w:rPr>
          <w:rFonts w:eastAsia="Cambria" w:cs="SimSun"/>
          <w:color w:val="auto"/>
          <w:lang w:val="en-US" w:eastAsia="en-US"/>
        </w:rPr>
        <w:t>WoS</w:t>
      </w:r>
      <w:proofErr w:type="spellEnd"/>
      <w:r w:rsidRPr="00727091">
        <w:rPr>
          <w:rFonts w:eastAsia="Cambria" w:cs="SimSun"/>
          <w:color w:val="auto"/>
          <w:lang w:val="en-US" w:eastAsia="en-US"/>
        </w:rPr>
        <w:t xml:space="preserve"> </w:t>
      </w:r>
      <w:r w:rsidRPr="00727091">
        <w:rPr>
          <w:rFonts w:eastAsia="Cambria" w:cs="SimSun"/>
          <w:noProof/>
          <w:color w:val="auto"/>
          <w:lang w:val="en-US" w:eastAsia="en-US"/>
        </w:rPr>
        <w:t>(Birkle, et al., 2020)</w:t>
      </w:r>
      <w:r w:rsidRPr="00727091">
        <w:rPr>
          <w:rFonts w:eastAsia="Cambria" w:cs="SimSun"/>
          <w:color w:val="auto"/>
          <w:lang w:val="en-US" w:eastAsia="en-US"/>
        </w:rPr>
        <w:t xml:space="preserve"> and Scopus </w:t>
      </w:r>
      <w:r w:rsidRPr="00727091">
        <w:rPr>
          <w:rFonts w:eastAsia="Cambria" w:cs="SimSun"/>
          <w:noProof/>
          <w:color w:val="auto"/>
          <w:lang w:val="en-US" w:eastAsia="en-US"/>
        </w:rPr>
        <w:t>(Baas, et al., 2020)</w:t>
      </w:r>
      <w:r w:rsidRPr="00727091">
        <w:rPr>
          <w:rFonts w:eastAsia="Cambria" w:cs="SimSun"/>
          <w:color w:val="auto"/>
          <w:lang w:val="en-US" w:eastAsia="en-US"/>
        </w:rPr>
        <w:t xml:space="preserve">, </w:t>
      </w:r>
      <w:r>
        <w:rPr>
          <w:rFonts w:eastAsia="Cambria" w:cs="SimSun"/>
          <w:color w:val="auto"/>
          <w:lang w:val="en-US" w:eastAsia="en-US"/>
        </w:rPr>
        <w:t xml:space="preserve">journals are intellectually assigned to 252 </w:t>
      </w:r>
      <w:proofErr w:type="spellStart"/>
      <w:r>
        <w:rPr>
          <w:rFonts w:eastAsia="Cambria" w:cs="SimSun"/>
          <w:i/>
          <w:color w:val="auto"/>
          <w:lang w:val="en-US" w:eastAsia="en-US"/>
        </w:rPr>
        <w:t>WoS</w:t>
      </w:r>
      <w:proofErr w:type="spellEnd"/>
      <w:r>
        <w:rPr>
          <w:rFonts w:eastAsia="Cambria" w:cs="SimSun"/>
          <w:i/>
          <w:color w:val="auto"/>
          <w:lang w:val="en-US" w:eastAsia="en-US"/>
        </w:rPr>
        <w:t xml:space="preserve"> Subject Categories</w:t>
      </w:r>
      <w:r>
        <w:rPr>
          <w:rFonts w:eastAsia="Cambria" w:cs="SimSun"/>
          <w:color w:val="auto"/>
          <w:lang w:val="en-US" w:eastAsia="en-US"/>
        </w:rPr>
        <w:t xml:space="preserve"> (</w:t>
      </w:r>
      <w:proofErr w:type="spellStart"/>
      <w:r>
        <w:rPr>
          <w:rFonts w:eastAsia="Cambria" w:cs="SimSun"/>
          <w:i/>
          <w:color w:val="auto"/>
          <w:lang w:val="en-US" w:eastAsia="en-US"/>
        </w:rPr>
        <w:t>WoSSC</w:t>
      </w:r>
      <w:proofErr w:type="spellEnd"/>
      <w:r>
        <w:rPr>
          <w:rFonts w:eastAsia="Cambria" w:cs="SimSun"/>
          <w:i/>
          <w:color w:val="auto"/>
          <w:lang w:val="en-US" w:eastAsia="en-US"/>
        </w:rPr>
        <w:t>)</w:t>
      </w:r>
      <w:r>
        <w:rPr>
          <w:rFonts w:eastAsia="Cambria" w:cs="SimSun"/>
          <w:color w:val="auto"/>
          <w:lang w:val="en-US" w:eastAsia="en-US"/>
        </w:rPr>
        <w:t xml:space="preserve"> and 335 </w:t>
      </w:r>
      <w:r>
        <w:rPr>
          <w:rFonts w:eastAsia="Cambria" w:cs="SimSun"/>
          <w:i/>
          <w:color w:val="auto"/>
          <w:lang w:val="en-US" w:eastAsia="en-US"/>
        </w:rPr>
        <w:t>All Science Journal Classification Codes</w:t>
      </w:r>
      <w:r>
        <w:rPr>
          <w:rFonts w:eastAsia="Cambria" w:cs="SimSun"/>
          <w:color w:val="auto"/>
          <w:lang w:val="en-US" w:eastAsia="en-US"/>
        </w:rPr>
        <w:t xml:space="preserve"> (</w:t>
      </w:r>
      <w:r w:rsidRPr="00727091">
        <w:rPr>
          <w:rFonts w:eastAsia="Cambria" w:cs="SimSun"/>
          <w:i/>
          <w:color w:val="auto"/>
          <w:lang w:val="en-US" w:eastAsia="en-US"/>
        </w:rPr>
        <w:t>ASJC</w:t>
      </w:r>
      <w:r>
        <w:rPr>
          <w:rFonts w:eastAsia="Cambria" w:cs="SimSun"/>
          <w:i/>
          <w:color w:val="auto"/>
          <w:lang w:val="en-US" w:eastAsia="en-US"/>
        </w:rPr>
        <w:t>)</w:t>
      </w:r>
      <w:r>
        <w:rPr>
          <w:rFonts w:eastAsia="Cambria" w:cs="SimSun"/>
          <w:color w:val="auto"/>
          <w:lang w:val="en-US" w:eastAsia="en-US"/>
        </w:rPr>
        <w:t xml:space="preserve">, respectively. In the other two databases, subjects are assigned paper-based using different taxonomies and machine learning algorithms. Dimensions </w:t>
      </w:r>
      <w:r w:rsidRPr="00727091">
        <w:rPr>
          <w:rFonts w:eastAsia="Cambria" w:cs="SimSun"/>
          <w:noProof/>
          <w:color w:val="auto"/>
          <w:lang w:val="en-US" w:eastAsia="en-US"/>
        </w:rPr>
        <w:t>(Herzog, et al., 2020)</w:t>
      </w:r>
      <w:r w:rsidRPr="00727091">
        <w:rPr>
          <w:rFonts w:eastAsia="Cambria" w:cs="SimSun"/>
          <w:color w:val="auto"/>
          <w:lang w:val="en-US" w:eastAsia="en-US"/>
        </w:rPr>
        <w:t xml:space="preserve"> h</w:t>
      </w:r>
      <w:r>
        <w:rPr>
          <w:rFonts w:eastAsia="Cambria" w:cs="SimSun"/>
          <w:color w:val="auto"/>
          <w:lang w:val="en-US" w:eastAsia="en-US"/>
        </w:rPr>
        <w:t xml:space="preserve">as a two-level hierarchy of </w:t>
      </w:r>
      <w:r>
        <w:rPr>
          <w:rFonts w:eastAsia="Cambria" w:cs="SimSun"/>
          <w:i/>
          <w:color w:val="auto"/>
          <w:lang w:val="en-US" w:eastAsia="en-US"/>
        </w:rPr>
        <w:t xml:space="preserve">Fields of Research </w:t>
      </w:r>
      <w:r>
        <w:rPr>
          <w:rFonts w:eastAsia="Cambria" w:cs="SimSun"/>
          <w:color w:val="auto"/>
          <w:lang w:val="en-US" w:eastAsia="en-US"/>
        </w:rPr>
        <w:t xml:space="preserve">with 22 main categories and 154 sub categories. </w:t>
      </w:r>
      <w:proofErr w:type="spellStart"/>
      <w:r>
        <w:rPr>
          <w:rFonts w:eastAsia="Cambria" w:cs="SimSun"/>
          <w:color w:val="auto"/>
          <w:lang w:val="en-US" w:eastAsia="en-US"/>
        </w:rPr>
        <w:t>OpenAlex</w:t>
      </w:r>
      <w:proofErr w:type="spellEnd"/>
      <w:r>
        <w:rPr>
          <w:rFonts w:eastAsia="Cambria" w:cs="SimSun"/>
          <w:color w:val="auto"/>
          <w:lang w:val="en-US" w:eastAsia="en-US"/>
        </w:rPr>
        <w:t xml:space="preserve"> has a six-level hierarchy of </w:t>
      </w:r>
      <w:r>
        <w:rPr>
          <w:rFonts w:eastAsia="Cambria" w:cs="SimSun"/>
          <w:i/>
          <w:color w:val="auto"/>
          <w:lang w:val="en-US" w:eastAsia="en-US"/>
        </w:rPr>
        <w:t>concepts</w:t>
      </w:r>
      <w:r>
        <w:rPr>
          <w:rFonts w:eastAsia="Cambria" w:cs="SimSun"/>
          <w:color w:val="auto"/>
          <w:lang w:val="en-US" w:eastAsia="en-US"/>
        </w:rPr>
        <w:t xml:space="preserve"> with 19 top-level categories and 284 second-level </w:t>
      </w:r>
      <w:r w:rsidRPr="00727091">
        <w:rPr>
          <w:rFonts w:eastAsia="Cambria" w:cs="SimSun"/>
          <w:color w:val="auto"/>
          <w:lang w:val="en-US" w:eastAsia="en-US"/>
        </w:rPr>
        <w:t xml:space="preserve">categories </w:t>
      </w:r>
      <w:r w:rsidRPr="00727091">
        <w:rPr>
          <w:rFonts w:eastAsia="Cambria" w:cs="SimSun"/>
          <w:noProof/>
          <w:color w:val="auto"/>
          <w:lang w:val="en-US" w:eastAsia="en-US"/>
        </w:rPr>
        <w:t>(Scheidsteger &amp; Haunschild, 2023)</w:t>
      </w:r>
      <w:r w:rsidRPr="00727091">
        <w:rPr>
          <w:rFonts w:eastAsia="Cambria" w:cs="SimSun"/>
          <w:color w:val="auto"/>
          <w:lang w:val="en-US" w:eastAsia="en-US"/>
        </w:rPr>
        <w:t xml:space="preserve">. </w:t>
      </w:r>
      <w:r>
        <w:rPr>
          <w:rFonts w:eastAsia="Cambria" w:cs="SimSun"/>
          <w:color w:val="auto"/>
          <w:lang w:val="en-US" w:eastAsia="en-US"/>
        </w:rPr>
        <w:t xml:space="preserve">In the case of Dimensions and </w:t>
      </w:r>
      <w:proofErr w:type="spellStart"/>
      <w:r>
        <w:rPr>
          <w:rFonts w:eastAsia="Cambria" w:cs="SimSun"/>
          <w:color w:val="auto"/>
          <w:lang w:val="en-US" w:eastAsia="en-US"/>
        </w:rPr>
        <w:t>OpenAlex</w:t>
      </w:r>
      <w:proofErr w:type="spellEnd"/>
      <w:r>
        <w:rPr>
          <w:rFonts w:eastAsia="Cambria" w:cs="SimSun"/>
          <w:color w:val="auto"/>
          <w:lang w:val="en-US" w:eastAsia="en-US"/>
        </w:rPr>
        <w:t xml:space="preserve">, we used the second-level categories for the field-normalization because of their similar granularity compared to the journal-based schemes. </w:t>
      </w:r>
      <w:r>
        <w:rPr>
          <w:color w:val="auto"/>
        </w:rPr>
        <w:t xml:space="preserve">Based on the </w:t>
      </w:r>
      <w:r>
        <w:rPr>
          <w:rFonts w:eastAsia="Cambria" w:cs="SimSun"/>
          <w:color w:val="auto"/>
          <w:lang w:val="en-US" w:eastAsia="en-US"/>
        </w:rPr>
        <w:t>different field categorization schemes in the databases</w:t>
      </w:r>
      <w:r>
        <w:rPr>
          <w:color w:val="auto"/>
        </w:rPr>
        <w:t>, we received two groups of NCS</w:t>
      </w:r>
      <w:r>
        <w:rPr>
          <w:color w:val="auto"/>
          <w:lang w:val="en-US"/>
        </w:rPr>
        <w:t xml:space="preserve"> value</w:t>
      </w:r>
      <w:r>
        <w:rPr>
          <w:color w:val="auto"/>
        </w:rPr>
        <w:t>s: the (1) scores</w:t>
      </w:r>
      <w:r w:rsidRPr="00733D0D">
        <w:rPr>
          <w:color w:val="auto"/>
          <w:lang w:val="en-US"/>
        </w:rPr>
        <w:t xml:space="preserve"> from </w:t>
      </w:r>
      <w:r>
        <w:rPr>
          <w:color w:val="auto"/>
          <w:lang w:val="en-US"/>
        </w:rPr>
        <w:t xml:space="preserve">a </w:t>
      </w:r>
      <w:r>
        <w:rPr>
          <w:color w:val="auto"/>
        </w:rPr>
        <w:t xml:space="preserve">journal-based </w:t>
      </w:r>
      <w:r>
        <w:rPr>
          <w:color w:val="auto"/>
          <w:lang w:val="en-US"/>
        </w:rPr>
        <w:t>classification</w:t>
      </w:r>
      <w:r>
        <w:rPr>
          <w:color w:val="auto"/>
        </w:rPr>
        <w:t xml:space="preserve"> with </w:t>
      </w:r>
      <w:proofErr w:type="spellStart"/>
      <w:r>
        <w:rPr>
          <w:color w:val="auto"/>
          <w:lang w:val="en-US"/>
        </w:rPr>
        <w:t>NCS</w:t>
      </w:r>
      <w:r w:rsidRPr="00733D0D">
        <w:rPr>
          <w:color w:val="auto"/>
          <w:lang w:val="en-US"/>
        </w:rPr>
        <w:t>_WoS</w:t>
      </w:r>
      <w:proofErr w:type="spellEnd"/>
      <w:r>
        <w:rPr>
          <w:color w:val="auto"/>
          <w:vertAlign w:val="subscript"/>
          <w:lang w:val="en-US"/>
        </w:rPr>
        <w:t xml:space="preserve"> </w:t>
      </w:r>
      <w:r>
        <w:rPr>
          <w:color w:val="auto"/>
        </w:rPr>
        <w:t xml:space="preserve">and </w:t>
      </w:r>
      <w:r>
        <w:rPr>
          <w:color w:val="auto"/>
          <w:lang w:val="en-US"/>
        </w:rPr>
        <w:t>NCS</w:t>
      </w:r>
      <w:r w:rsidRPr="00733D0D">
        <w:rPr>
          <w:color w:val="auto"/>
          <w:lang w:val="en-US"/>
        </w:rPr>
        <w:t>_S</w:t>
      </w:r>
      <w:proofErr w:type="spellStart"/>
      <w:r w:rsidRPr="00733D0D">
        <w:rPr>
          <w:color w:val="auto"/>
        </w:rPr>
        <w:t>copus</w:t>
      </w:r>
      <w:proofErr w:type="spellEnd"/>
      <w:r>
        <w:rPr>
          <w:color w:val="auto"/>
        </w:rPr>
        <w:t>, and (2) scores</w:t>
      </w:r>
      <w:r>
        <w:rPr>
          <w:color w:val="auto"/>
          <w:lang w:val="en-US"/>
        </w:rPr>
        <w:t xml:space="preserve"> from a </w:t>
      </w:r>
      <w:r>
        <w:rPr>
          <w:color w:val="auto"/>
        </w:rPr>
        <w:t xml:space="preserve">paper-based </w:t>
      </w:r>
      <w:r>
        <w:rPr>
          <w:color w:val="auto"/>
          <w:lang w:val="en-US"/>
        </w:rPr>
        <w:t>classification</w:t>
      </w:r>
      <w:r>
        <w:rPr>
          <w:color w:val="auto"/>
        </w:rPr>
        <w:t xml:space="preserve"> with </w:t>
      </w:r>
      <w:r>
        <w:rPr>
          <w:color w:val="auto"/>
          <w:lang w:val="en-US"/>
        </w:rPr>
        <w:t>NCS</w:t>
      </w:r>
      <w:r w:rsidRPr="00733D0D">
        <w:rPr>
          <w:color w:val="auto"/>
          <w:lang w:val="en-US"/>
        </w:rPr>
        <w:t>_</w:t>
      </w:r>
      <w:r w:rsidRPr="00733D0D">
        <w:rPr>
          <w:color w:val="auto"/>
        </w:rPr>
        <w:t xml:space="preserve">Dimensions </w:t>
      </w:r>
      <w:r>
        <w:rPr>
          <w:color w:val="auto"/>
        </w:rPr>
        <w:t xml:space="preserve">and </w:t>
      </w:r>
      <w:r>
        <w:rPr>
          <w:color w:val="auto"/>
          <w:lang w:val="en-US"/>
        </w:rPr>
        <w:t>NCS</w:t>
      </w:r>
      <w:r w:rsidRPr="00733D0D">
        <w:rPr>
          <w:color w:val="auto"/>
          <w:lang w:val="en-US"/>
        </w:rPr>
        <w:t>_</w:t>
      </w:r>
      <w:proofErr w:type="spellStart"/>
      <w:r w:rsidRPr="00733D0D">
        <w:rPr>
          <w:color w:val="auto"/>
        </w:rPr>
        <w:t>OpenAlex</w:t>
      </w:r>
      <w:proofErr w:type="spellEnd"/>
      <w:r>
        <w:rPr>
          <w:color w:val="auto"/>
        </w:rPr>
        <w:t>.</w:t>
      </w:r>
    </w:p>
    <w:p w:rsidR="00733AEC" w:rsidRDefault="00733AEC">
      <w:pPr>
        <w:pStyle w:val="BodyText"/>
        <w:jc w:val="both"/>
        <w:rPr>
          <w:rFonts w:eastAsia="Cambria" w:cs="SimSun"/>
          <w:color w:val="auto"/>
          <w:lang w:val="en-US" w:eastAsia="en-US"/>
        </w:rPr>
      </w:pPr>
    </w:p>
    <w:p w:rsidR="00733AEC" w:rsidRDefault="00733AEC">
      <w:pPr>
        <w:pStyle w:val="Heading3"/>
      </w:pPr>
      <w:r>
        <w:t>2.4. Publication set</w:t>
      </w:r>
    </w:p>
    <w:p w:rsidR="00733AEC" w:rsidRDefault="00733AEC">
      <w:pPr>
        <w:pStyle w:val="BodyText"/>
        <w:jc w:val="both"/>
        <w:rPr>
          <w:rFonts w:eastAsia="Cambria" w:cs="SimSun"/>
          <w:color w:val="auto"/>
          <w:lang w:val="en-US" w:eastAsia="en-US"/>
        </w:rPr>
      </w:pPr>
      <w:r>
        <w:rPr>
          <w:rFonts w:eastAsia="Cambria" w:cs="SimSun"/>
          <w:color w:val="auto"/>
          <w:lang w:val="en-US" w:eastAsia="en-US"/>
        </w:rPr>
        <w:t xml:space="preserve">For the comparison of field-normalized scores, it was necessary to have the same institutional publication set from each database. To reach this goal, we started with the </w:t>
      </w:r>
      <w:proofErr w:type="spellStart"/>
      <w:r>
        <w:rPr>
          <w:rFonts w:eastAsia="Cambria" w:cs="SimSun"/>
          <w:color w:val="auto"/>
          <w:lang w:val="en-US" w:eastAsia="en-US"/>
        </w:rPr>
        <w:t>WoS</w:t>
      </w:r>
      <w:proofErr w:type="spellEnd"/>
      <w:r>
        <w:rPr>
          <w:rFonts w:eastAsia="Cambria" w:cs="SimSun"/>
          <w:color w:val="auto"/>
          <w:lang w:val="en-US" w:eastAsia="en-US"/>
        </w:rPr>
        <w:t xml:space="preserve"> database that </w:t>
      </w:r>
      <w:r>
        <w:rPr>
          <w:rFonts w:eastAsia="Cambria" w:cs="SimSun"/>
          <w:color w:val="auto"/>
          <w:lang w:val="en-US" w:eastAsia="en-US"/>
        </w:rPr>
        <w:lastRenderedPageBreak/>
        <w:t>includes</w:t>
      </w:r>
      <w:r>
        <w:rPr>
          <w:color w:val="000000"/>
        </w:rPr>
        <w:t xml:space="preserve"> disambiguated publication data for</w:t>
      </w:r>
      <w:r>
        <w:rPr>
          <w:rFonts w:eastAsia="Cambria" w:cs="SimSun"/>
          <w:color w:val="auto"/>
          <w:lang w:val="en-US" w:eastAsia="en-US"/>
        </w:rPr>
        <w:t xml:space="preserve"> German universities. We focused on the publication years from 2013 to 2017 (to have citation windows of at least five years), and the document types article and review (i.e., only substantial publications). We only considered papers in the following OECD subject categories: Natural sciences, Engineering, Medicine, and Social Sciences. In other subject categories, the use of </w:t>
      </w:r>
      <w:proofErr w:type="spellStart"/>
      <w:r>
        <w:rPr>
          <w:rFonts w:eastAsia="Cambria" w:cs="SimSun"/>
          <w:color w:val="auto"/>
          <w:lang w:val="en-US" w:eastAsia="en-US"/>
        </w:rPr>
        <w:t>bibliometrics</w:t>
      </w:r>
      <w:proofErr w:type="spellEnd"/>
      <w:r>
        <w:rPr>
          <w:rFonts w:eastAsia="Cambria" w:cs="SimSun"/>
          <w:color w:val="auto"/>
          <w:lang w:val="en-US" w:eastAsia="en-US"/>
        </w:rPr>
        <w:t xml:space="preserve"> is questionable because the coverage of the literature in the databases is mainly not given. We restricted the publications only to those with DOIs. This focus simplified the collection of a common data set across the four databases and missed only at most 4% of the initial dataset in each publication year. In order to have reliable data across the publication years, we chose the 48 universities that published more than 3,000 papers in total between 2013 and 2017. The final </w:t>
      </w:r>
      <w:proofErr w:type="spellStart"/>
      <w:r>
        <w:rPr>
          <w:rFonts w:eastAsia="Cambria" w:cs="SimSun"/>
          <w:color w:val="auto"/>
          <w:lang w:val="en-US" w:eastAsia="en-US"/>
        </w:rPr>
        <w:t>WoS</w:t>
      </w:r>
      <w:proofErr w:type="spellEnd"/>
      <w:r>
        <w:rPr>
          <w:rFonts w:eastAsia="Cambria" w:cs="SimSun"/>
          <w:color w:val="auto"/>
          <w:lang w:val="en-US" w:eastAsia="en-US"/>
        </w:rPr>
        <w:t xml:space="preserve"> dataset consisted of 363,020 publications, </w:t>
      </w:r>
      <w:r w:rsidRPr="00C34044">
        <w:rPr>
          <w:color w:val="auto"/>
        </w:rPr>
        <w:t>which were successively matched with the other databases by retaining only available and unique DOIs in the respective database</w:t>
      </w:r>
      <w:r w:rsidRPr="00DD7BC7">
        <w:rPr>
          <w:rFonts w:eastAsia="Cambria" w:cs="SimSun"/>
          <w:color w:val="auto"/>
          <w:lang w:val="en-US" w:eastAsia="en-US"/>
        </w:rPr>
        <w:t xml:space="preserve">. </w:t>
      </w:r>
      <w:r>
        <w:rPr>
          <w:rFonts w:eastAsia="Cambria" w:cs="SimSun"/>
          <w:color w:val="auto"/>
          <w:lang w:val="en-US" w:eastAsia="en-US"/>
        </w:rPr>
        <w:t xml:space="preserve">The match of the </w:t>
      </w:r>
      <w:proofErr w:type="spellStart"/>
      <w:r>
        <w:rPr>
          <w:rFonts w:eastAsia="Cambria" w:cs="SimSun"/>
          <w:color w:val="auto"/>
          <w:lang w:val="en-US" w:eastAsia="en-US"/>
        </w:rPr>
        <w:t>WoS</w:t>
      </w:r>
      <w:proofErr w:type="spellEnd"/>
      <w:r>
        <w:rPr>
          <w:rFonts w:eastAsia="Cambria" w:cs="SimSun"/>
          <w:color w:val="auto"/>
          <w:lang w:val="en-US" w:eastAsia="en-US"/>
        </w:rPr>
        <w:t xml:space="preserve"> data with data from the other databases using the DOI resulted in a common dataset with 334,511 papers.</w:t>
      </w:r>
      <w:r>
        <w:rPr>
          <w:color w:val="auto"/>
        </w:rPr>
        <w:t xml:space="preserve"> In all databases, citations were counted until the end of 2020.</w:t>
      </w:r>
    </w:p>
    <w:p w:rsidR="00733AEC" w:rsidRDefault="00733AEC">
      <w:pPr>
        <w:pStyle w:val="BodyText"/>
        <w:jc w:val="both"/>
        <w:rPr>
          <w:rFonts w:eastAsia="Cambria" w:cs="SimSun"/>
          <w:color w:val="auto"/>
          <w:lang w:val="en-US" w:eastAsia="en-US"/>
        </w:rPr>
      </w:pPr>
    </w:p>
    <w:p w:rsidR="00733AEC" w:rsidRDefault="00733AEC">
      <w:pPr>
        <w:pStyle w:val="BodyText"/>
        <w:jc w:val="both"/>
        <w:rPr>
          <w:rFonts w:eastAsia="Cambria" w:cs="SimSun"/>
          <w:color w:val="auto"/>
          <w:lang w:val="en-US" w:eastAsia="en-US"/>
        </w:rPr>
      </w:pPr>
      <w:r>
        <w:rPr>
          <w:rFonts w:eastAsia="Cambria" w:cs="SimSun"/>
          <w:color w:val="auto"/>
          <w:lang w:val="en-US" w:eastAsia="en-US"/>
        </w:rPr>
        <w:t xml:space="preserve">Of the common dataset, only publications could be considered in the comparisons of NCS values for which a second-level classification had been assigned in Dimensions and </w:t>
      </w:r>
      <w:proofErr w:type="spellStart"/>
      <w:r>
        <w:rPr>
          <w:rFonts w:eastAsia="Cambria" w:cs="SimSun"/>
          <w:color w:val="auto"/>
          <w:lang w:val="en-US" w:eastAsia="en-US"/>
        </w:rPr>
        <w:t>OpenAlex</w:t>
      </w:r>
      <w:proofErr w:type="spellEnd"/>
      <w:r>
        <w:rPr>
          <w:rFonts w:eastAsia="Cambria" w:cs="SimSun"/>
          <w:color w:val="auto"/>
          <w:lang w:val="en-US" w:eastAsia="en-US"/>
        </w:rPr>
        <w:t xml:space="preserve">. Furthermore, we restricted the dataset to the papers that have at least 10 documents with a mean citation count of at least 1.0 in their reference set as proposed by </w:t>
      </w:r>
      <w:r>
        <w:rPr>
          <w:rFonts w:eastAsia="Cambria" w:cs="SimSun"/>
          <w:noProof/>
          <w:color w:val="auto"/>
          <w:lang w:val="en-US" w:eastAsia="en-US"/>
        </w:rPr>
        <w:t>Haunschild, Schier, and Bornmann (2016)</w:t>
      </w:r>
      <w:r>
        <w:rPr>
          <w:rFonts w:eastAsia="Cambria" w:cs="SimSun"/>
          <w:color w:val="auto"/>
          <w:lang w:val="en-US" w:eastAsia="en-US"/>
        </w:rPr>
        <w:t>. These restrictions led to the publication numbers in Table 1 that were considered in the NCS comparisons of this study.</w:t>
      </w:r>
    </w:p>
    <w:p w:rsidR="00733AEC" w:rsidRDefault="00733AEC">
      <w:pPr>
        <w:pStyle w:val="BodyText"/>
        <w:jc w:val="both"/>
        <w:rPr>
          <w:rFonts w:eastAsia="Cambria" w:cs="SimSun"/>
          <w:color w:val="auto"/>
          <w:lang w:val="en-US" w:eastAsia="en-US"/>
        </w:rPr>
      </w:pPr>
    </w:p>
    <w:p w:rsidR="00733AEC" w:rsidRDefault="00733AEC">
      <w:pPr>
        <w:jc w:val="center"/>
      </w:pPr>
      <w:r>
        <w:t xml:space="preserve">Table 1. Number and percentage of publications (within the common set of 334.511 DOIs) in the four databases suited for the calculation of field-normalized citation scores </w:t>
      </w:r>
    </w:p>
    <w:p w:rsidR="00733AEC" w:rsidRDefault="00733AEC">
      <w:pPr>
        <w:jc w:val="both"/>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3477"/>
        <w:gridCol w:w="3527"/>
      </w:tblGrid>
      <w:tr w:rsidR="00733AEC">
        <w:trPr>
          <w:jc w:val="right"/>
        </w:trPr>
        <w:tc>
          <w:tcPr>
            <w:tcW w:w="2070" w:type="dxa"/>
            <w:vAlign w:val="bottom"/>
          </w:tcPr>
          <w:p w:rsidR="00733AEC" w:rsidRDefault="00733AEC">
            <w:pPr>
              <w:rPr>
                <w:b/>
              </w:rPr>
            </w:pPr>
            <w:r>
              <w:rPr>
                <w:b/>
              </w:rPr>
              <w:t>Database</w:t>
            </w:r>
          </w:p>
        </w:tc>
        <w:tc>
          <w:tcPr>
            <w:tcW w:w="3510" w:type="dxa"/>
            <w:vAlign w:val="bottom"/>
          </w:tcPr>
          <w:p w:rsidR="00733AEC" w:rsidRDefault="00733AEC">
            <w:pPr>
              <w:rPr>
                <w:b/>
              </w:rPr>
            </w:pPr>
            <w:r>
              <w:rPr>
                <w:b/>
              </w:rPr>
              <w:t xml:space="preserve"># publications </w:t>
            </w:r>
          </w:p>
        </w:tc>
        <w:tc>
          <w:tcPr>
            <w:tcW w:w="3561" w:type="dxa"/>
            <w:vAlign w:val="bottom"/>
          </w:tcPr>
          <w:p w:rsidR="00733AEC" w:rsidRDefault="00733AEC">
            <w:pPr>
              <w:rPr>
                <w:b/>
              </w:rPr>
            </w:pPr>
            <w:r>
              <w:rPr>
                <w:b/>
              </w:rPr>
              <w:t xml:space="preserve">% publications </w:t>
            </w:r>
          </w:p>
        </w:tc>
      </w:tr>
      <w:tr w:rsidR="00733AEC">
        <w:trPr>
          <w:jc w:val="right"/>
        </w:trPr>
        <w:tc>
          <w:tcPr>
            <w:tcW w:w="2070" w:type="dxa"/>
            <w:vAlign w:val="bottom"/>
          </w:tcPr>
          <w:p w:rsidR="00733AEC" w:rsidRDefault="00733AEC">
            <w:proofErr w:type="spellStart"/>
            <w:r>
              <w:t>WoS</w:t>
            </w:r>
            <w:proofErr w:type="spellEnd"/>
          </w:p>
        </w:tc>
        <w:tc>
          <w:tcPr>
            <w:tcW w:w="3510" w:type="dxa"/>
          </w:tcPr>
          <w:p w:rsidR="00733AEC" w:rsidRDefault="00733AEC">
            <w:r>
              <w:t>334,385</w:t>
            </w:r>
          </w:p>
        </w:tc>
        <w:tc>
          <w:tcPr>
            <w:tcW w:w="3561" w:type="dxa"/>
            <w:vAlign w:val="bottom"/>
          </w:tcPr>
          <w:p w:rsidR="00733AEC" w:rsidRDefault="00733AEC">
            <w:r>
              <w:t>99.96</w:t>
            </w:r>
          </w:p>
        </w:tc>
      </w:tr>
      <w:tr w:rsidR="00733AEC">
        <w:trPr>
          <w:jc w:val="right"/>
        </w:trPr>
        <w:tc>
          <w:tcPr>
            <w:tcW w:w="2070" w:type="dxa"/>
            <w:vAlign w:val="bottom"/>
          </w:tcPr>
          <w:p w:rsidR="00733AEC" w:rsidRDefault="00733AEC">
            <w:r>
              <w:t>Scopus</w:t>
            </w:r>
          </w:p>
        </w:tc>
        <w:tc>
          <w:tcPr>
            <w:tcW w:w="3510" w:type="dxa"/>
          </w:tcPr>
          <w:p w:rsidR="00733AEC" w:rsidRDefault="00733AEC">
            <w:r>
              <w:t>334,227</w:t>
            </w:r>
          </w:p>
        </w:tc>
        <w:tc>
          <w:tcPr>
            <w:tcW w:w="3561" w:type="dxa"/>
            <w:vAlign w:val="bottom"/>
          </w:tcPr>
          <w:p w:rsidR="00733AEC" w:rsidRDefault="00733AEC">
            <w:r>
              <w:t>99.92</w:t>
            </w:r>
          </w:p>
        </w:tc>
      </w:tr>
      <w:tr w:rsidR="00733AEC">
        <w:trPr>
          <w:jc w:val="right"/>
        </w:trPr>
        <w:tc>
          <w:tcPr>
            <w:tcW w:w="2070" w:type="dxa"/>
            <w:vAlign w:val="bottom"/>
          </w:tcPr>
          <w:p w:rsidR="00733AEC" w:rsidRDefault="00733AEC">
            <w:r>
              <w:t>Dimensions</w:t>
            </w:r>
          </w:p>
        </w:tc>
        <w:tc>
          <w:tcPr>
            <w:tcW w:w="3510" w:type="dxa"/>
          </w:tcPr>
          <w:p w:rsidR="00733AEC" w:rsidRDefault="00733AEC">
            <w:r>
              <w:t>329,709</w:t>
            </w:r>
          </w:p>
        </w:tc>
        <w:tc>
          <w:tcPr>
            <w:tcW w:w="3561" w:type="dxa"/>
            <w:vAlign w:val="bottom"/>
          </w:tcPr>
          <w:p w:rsidR="00733AEC" w:rsidRDefault="00733AEC">
            <w:r>
              <w:t>94.73</w:t>
            </w:r>
          </w:p>
        </w:tc>
      </w:tr>
      <w:tr w:rsidR="00733AEC">
        <w:trPr>
          <w:jc w:val="right"/>
        </w:trPr>
        <w:tc>
          <w:tcPr>
            <w:tcW w:w="2070" w:type="dxa"/>
            <w:vAlign w:val="bottom"/>
          </w:tcPr>
          <w:p w:rsidR="00733AEC" w:rsidRDefault="00733AEC">
            <w:proofErr w:type="spellStart"/>
            <w:r>
              <w:t>OpenAlex</w:t>
            </w:r>
            <w:proofErr w:type="spellEnd"/>
          </w:p>
        </w:tc>
        <w:tc>
          <w:tcPr>
            <w:tcW w:w="3510" w:type="dxa"/>
          </w:tcPr>
          <w:p w:rsidR="00733AEC" w:rsidRDefault="00733AEC">
            <w:r>
              <w:t>309,716</w:t>
            </w:r>
          </w:p>
        </w:tc>
        <w:tc>
          <w:tcPr>
            <w:tcW w:w="3561" w:type="dxa"/>
            <w:vAlign w:val="bottom"/>
          </w:tcPr>
          <w:p w:rsidR="00733AEC" w:rsidRDefault="00733AEC">
            <w:r>
              <w:t>92.59</w:t>
            </w:r>
          </w:p>
        </w:tc>
      </w:tr>
    </w:tbl>
    <w:p w:rsidR="00733AEC" w:rsidRDefault="00733AEC">
      <w:pPr>
        <w:pStyle w:val="BodyText"/>
        <w:jc w:val="both"/>
        <w:rPr>
          <w:rFonts w:eastAsia="Cambria" w:cs="SimSun"/>
          <w:color w:val="auto"/>
          <w:lang w:val="en-US" w:eastAsia="en-US"/>
        </w:rPr>
      </w:pPr>
    </w:p>
    <w:p w:rsidR="00733AEC" w:rsidRDefault="00733AEC">
      <w:pPr>
        <w:pStyle w:val="Heading3"/>
      </w:pPr>
      <w:r>
        <w:t>2</w:t>
      </w:r>
      <w:bookmarkStart w:id="2" w:name="mutual-comparisons-of-databases"/>
      <w:r>
        <w:t>.5. Mutual comparisons of databases</w:t>
      </w:r>
      <w:bookmarkEnd w:id="2"/>
    </w:p>
    <w:p w:rsidR="00733AEC" w:rsidRDefault="00733AEC">
      <w:pPr>
        <w:pStyle w:val="BodyText"/>
        <w:jc w:val="both"/>
        <w:rPr>
          <w:color w:val="auto"/>
        </w:rPr>
      </w:pPr>
      <w:r>
        <w:rPr>
          <w:color w:val="auto"/>
        </w:rPr>
        <w:t>With four databases, we could perform six comparisons of NCS</w:t>
      </w:r>
      <w:r>
        <w:rPr>
          <w:color w:val="auto"/>
          <w:lang w:val="en-US"/>
        </w:rPr>
        <w:t xml:space="preserve"> value</w:t>
      </w:r>
      <w:r>
        <w:rPr>
          <w:color w:val="auto"/>
        </w:rPr>
        <w:t xml:space="preserve">s. Additionally, we can either look at all publications at once or at each university separately. As statistical key figures to assess the similarity between two databases, we use two kinds of correlation coefficients that had already been used in the case study by </w:t>
      </w:r>
      <w:r>
        <w:rPr>
          <w:noProof/>
          <w:color w:val="auto"/>
        </w:rPr>
        <w:t>Scheidsteger, et al. (2018)</w:t>
      </w:r>
      <w:r>
        <w:rPr>
          <w:color w:val="auto"/>
        </w:rPr>
        <w:t xml:space="preserve">: </w:t>
      </w:r>
      <w:proofErr w:type="spellStart"/>
      <w:r>
        <w:rPr>
          <w:color w:val="auto"/>
        </w:rPr>
        <w:t>i</w:t>
      </w:r>
      <w:proofErr w:type="spellEnd"/>
      <w:r>
        <w:rPr>
          <w:color w:val="auto"/>
        </w:rPr>
        <w:t>) Spearman’s rank</w:t>
      </w:r>
      <w:r>
        <w:rPr>
          <w:color w:val="auto"/>
          <w:lang w:val="en-US"/>
        </w:rPr>
        <w:t xml:space="preserve"> </w:t>
      </w:r>
      <w:r>
        <w:rPr>
          <w:color w:val="auto"/>
        </w:rPr>
        <w:t xml:space="preserve">correlation coefficient </w:t>
      </w:r>
      <w:proofErr w:type="spellStart"/>
      <w:r>
        <w:rPr>
          <w:i/>
          <w:color w:val="auto"/>
        </w:rPr>
        <w:t>r_s</w:t>
      </w:r>
      <w:proofErr w:type="spellEnd"/>
      <w:r>
        <w:rPr>
          <w:color w:val="auto"/>
        </w:rPr>
        <w:t xml:space="preserve"> (applicable to monotonous relations), and ii) Lin’s concordance correlation coefficient </w:t>
      </w:r>
      <w:proofErr w:type="spellStart"/>
      <w:r>
        <w:rPr>
          <w:i/>
          <w:color w:val="auto"/>
        </w:rPr>
        <w:t>r_ccc</w:t>
      </w:r>
      <w:proofErr w:type="spellEnd"/>
      <w:r>
        <w:rPr>
          <w:color w:val="auto"/>
        </w:rPr>
        <w:t xml:space="preserve"> </w:t>
      </w:r>
      <w:r>
        <w:rPr>
          <w:noProof/>
          <w:color w:val="auto"/>
        </w:rPr>
        <w:t>(Lin, 1989, 2000; Liu, 2016)</w:t>
      </w:r>
      <w:r>
        <w:rPr>
          <w:color w:val="auto"/>
        </w:rPr>
        <w:t xml:space="preserve">, which measures the degree of agreement (with confidence interval). Measures of agreement are needed because even with high correlations agreements can be low. Additionally, we use as an aggregated indicator the mean normalized citation score MNCS </w:t>
      </w:r>
      <w:r>
        <w:rPr>
          <w:noProof/>
          <w:color w:val="auto"/>
        </w:rPr>
        <w:t>(Waltman, et al., 2011)</w:t>
      </w:r>
      <w:r>
        <w:rPr>
          <w:color w:val="auto"/>
        </w:rPr>
        <w:t xml:space="preserve">, defined as the average over the NCS values of a whole research unit., e.g., a whole university. Although the MNCS is widely used in research evaluation, it is criticized because it is size-independent and susceptible to outliers. </w:t>
      </w:r>
    </w:p>
    <w:p w:rsidR="00733AEC" w:rsidRDefault="00733AEC">
      <w:pPr>
        <w:jc w:val="both"/>
        <w:rPr>
          <w:lang w:val="en-US"/>
        </w:rPr>
      </w:pPr>
    </w:p>
    <w:p w:rsidR="00733AEC" w:rsidRDefault="00733AEC">
      <w:pPr>
        <w:jc w:val="both"/>
        <w:rPr>
          <w:lang w:val="en-US"/>
        </w:rPr>
      </w:pPr>
    </w:p>
    <w:p w:rsidR="00733AEC" w:rsidRDefault="00733AEC">
      <w:pPr>
        <w:jc w:val="both"/>
        <w:rPr>
          <w:lang w:val="en-US"/>
        </w:rPr>
      </w:pPr>
    </w:p>
    <w:p w:rsidR="00733AEC" w:rsidRDefault="00733AEC">
      <w:pPr>
        <w:jc w:val="both"/>
        <w:rPr>
          <w:lang w:val="en-US"/>
        </w:rPr>
      </w:pPr>
    </w:p>
    <w:p w:rsidR="00733AEC" w:rsidRDefault="00733AEC">
      <w:pPr>
        <w:pStyle w:val="Heading2"/>
      </w:pPr>
      <w:r>
        <w:lastRenderedPageBreak/>
        <w:t xml:space="preserve">3. </w:t>
      </w:r>
      <w:bookmarkStart w:id="3" w:name="results"/>
      <w:r>
        <w:t>Results</w:t>
      </w:r>
      <w:bookmarkEnd w:id="3"/>
    </w:p>
    <w:p w:rsidR="00733AEC" w:rsidRDefault="00733AEC">
      <w:pPr>
        <w:pStyle w:val="Heading2"/>
        <w:jc w:val="both"/>
      </w:pPr>
    </w:p>
    <w:p w:rsidR="00733AEC" w:rsidRDefault="00733AEC">
      <w:pPr>
        <w:pStyle w:val="Heading3"/>
      </w:pPr>
      <w:r>
        <w:t xml:space="preserve">3.1. </w:t>
      </w:r>
      <w:bookmarkStart w:id="4" w:name="evaluations-for-all-publications"/>
      <w:r>
        <w:t>Results based on all publications</w:t>
      </w:r>
      <w:bookmarkEnd w:id="4"/>
    </w:p>
    <w:p w:rsidR="00733AEC" w:rsidRDefault="00733AEC">
      <w:pPr>
        <w:jc w:val="both"/>
      </w:pPr>
      <w:r>
        <w:t xml:space="preserve">Table 2 shows Spearman’s rank correlation coefficients </w:t>
      </w:r>
      <w:proofErr w:type="spellStart"/>
      <w:r>
        <w:rPr>
          <w:i/>
        </w:rPr>
        <w:t>r_s</w:t>
      </w:r>
      <w:proofErr w:type="spellEnd"/>
      <w:r>
        <w:t xml:space="preserve"> for the six comparisons (and the number of publications considered). The consistently high </w:t>
      </w:r>
      <w:proofErr w:type="spellStart"/>
      <w:r>
        <w:rPr>
          <w:i/>
        </w:rPr>
        <w:t>r_s</w:t>
      </w:r>
      <w:proofErr w:type="spellEnd"/>
      <w:r>
        <w:t xml:space="preserve"> of at least 0.88 demonstrate </w:t>
      </w:r>
      <w:r>
        <w:rPr>
          <w:i/>
        </w:rPr>
        <w:t>high</w:t>
      </w:r>
      <w:r>
        <w:t xml:space="preserve"> </w:t>
      </w:r>
      <w:r>
        <w:rPr>
          <w:i/>
        </w:rPr>
        <w:t>correlations</w:t>
      </w:r>
      <w:r>
        <w:t xml:space="preserve"> </w:t>
      </w:r>
      <w:r>
        <w:rPr>
          <w:noProof/>
        </w:rPr>
        <w:t>(Cohen, 1988)</w:t>
      </w:r>
      <w:r>
        <w:t xml:space="preserve"> between NCS</w:t>
      </w:r>
      <w:r>
        <w:rPr>
          <w:lang w:val="en-US"/>
        </w:rPr>
        <w:t xml:space="preserve"> value</w:t>
      </w:r>
      <w:r>
        <w:t xml:space="preserve">s from the databases. </w:t>
      </w:r>
    </w:p>
    <w:p w:rsidR="00733AEC" w:rsidRDefault="00733AEC">
      <w:pPr>
        <w:jc w:val="both"/>
      </w:pPr>
    </w:p>
    <w:p w:rsidR="00733AEC" w:rsidRDefault="00733AEC">
      <w:pPr>
        <w:jc w:val="center"/>
      </w:pPr>
      <w:r>
        <w:t xml:space="preserve">Table 2. Spearman’s rank correlation coefficient </w:t>
      </w:r>
      <w:proofErr w:type="spellStart"/>
      <w:r>
        <w:rPr>
          <w:i/>
        </w:rPr>
        <w:t>r_s</w:t>
      </w:r>
      <w:proofErr w:type="spellEnd"/>
      <w:r>
        <w:t xml:space="preserve"> (below the diagonal) with respect to NCS</w:t>
      </w:r>
      <w:r>
        <w:rPr>
          <w:lang w:val="en-US"/>
        </w:rPr>
        <w:t xml:space="preserve"> value</w:t>
      </w:r>
      <w:r>
        <w:t>s from four databases and numbers of publications considered (above the diagonal).</w:t>
      </w:r>
    </w:p>
    <w:p w:rsidR="00733AEC" w:rsidRDefault="00733AE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0"/>
        <w:gridCol w:w="1681"/>
        <w:gridCol w:w="1807"/>
        <w:gridCol w:w="1989"/>
        <w:gridCol w:w="1624"/>
      </w:tblGrid>
      <w:tr w:rsidR="00733AEC">
        <w:trPr>
          <w:trHeight w:val="310"/>
        </w:trPr>
        <w:tc>
          <w:tcPr>
            <w:tcW w:w="1901" w:type="dxa"/>
            <w:vAlign w:val="bottom"/>
          </w:tcPr>
          <w:p w:rsidR="00733AEC" w:rsidRDefault="00733AEC">
            <w:pPr>
              <w:rPr>
                <w:b/>
                <w:bCs/>
              </w:rPr>
            </w:pPr>
            <w:r>
              <w:rPr>
                <w:b/>
              </w:rPr>
              <w:t>Database</w:t>
            </w:r>
          </w:p>
        </w:tc>
        <w:tc>
          <w:tcPr>
            <w:tcW w:w="1703" w:type="dxa"/>
            <w:vAlign w:val="bottom"/>
          </w:tcPr>
          <w:p w:rsidR="00733AEC" w:rsidRDefault="00733AEC">
            <w:pPr>
              <w:rPr>
                <w:b/>
                <w:bCs/>
              </w:rPr>
            </w:pPr>
            <w:proofErr w:type="spellStart"/>
            <w:r>
              <w:rPr>
                <w:b/>
              </w:rPr>
              <w:t>WoS</w:t>
            </w:r>
            <w:proofErr w:type="spellEnd"/>
          </w:p>
        </w:tc>
        <w:tc>
          <w:tcPr>
            <w:tcW w:w="1826" w:type="dxa"/>
            <w:vAlign w:val="bottom"/>
          </w:tcPr>
          <w:p w:rsidR="00733AEC" w:rsidRDefault="00733AEC">
            <w:pPr>
              <w:rPr>
                <w:b/>
                <w:bCs/>
              </w:rPr>
            </w:pPr>
            <w:r>
              <w:rPr>
                <w:b/>
              </w:rPr>
              <w:t>Scopus</w:t>
            </w:r>
          </w:p>
        </w:tc>
        <w:tc>
          <w:tcPr>
            <w:tcW w:w="2003" w:type="dxa"/>
            <w:vAlign w:val="bottom"/>
          </w:tcPr>
          <w:p w:rsidR="00733AEC" w:rsidRDefault="00733AEC">
            <w:pPr>
              <w:rPr>
                <w:b/>
                <w:bCs/>
              </w:rPr>
            </w:pPr>
            <w:r>
              <w:rPr>
                <w:b/>
              </w:rPr>
              <w:t>Dimensions</w:t>
            </w:r>
          </w:p>
        </w:tc>
        <w:tc>
          <w:tcPr>
            <w:tcW w:w="1634" w:type="dxa"/>
            <w:vAlign w:val="bottom"/>
          </w:tcPr>
          <w:p w:rsidR="00733AEC" w:rsidRDefault="00733AEC">
            <w:pPr>
              <w:rPr>
                <w:b/>
                <w:bCs/>
              </w:rPr>
            </w:pPr>
            <w:proofErr w:type="spellStart"/>
            <w:r>
              <w:rPr>
                <w:b/>
              </w:rPr>
              <w:t>OpenAlex</w:t>
            </w:r>
            <w:proofErr w:type="spellEnd"/>
          </w:p>
        </w:tc>
      </w:tr>
      <w:tr w:rsidR="00733AEC">
        <w:trPr>
          <w:trHeight w:val="310"/>
        </w:trPr>
        <w:tc>
          <w:tcPr>
            <w:tcW w:w="1901" w:type="dxa"/>
          </w:tcPr>
          <w:p w:rsidR="00733AEC" w:rsidRDefault="00733AEC">
            <w:proofErr w:type="spellStart"/>
            <w:r>
              <w:rPr>
                <w:b/>
              </w:rPr>
              <w:t>WoS</w:t>
            </w:r>
            <w:proofErr w:type="spellEnd"/>
          </w:p>
        </w:tc>
        <w:tc>
          <w:tcPr>
            <w:tcW w:w="1703" w:type="dxa"/>
          </w:tcPr>
          <w:p w:rsidR="00733AEC" w:rsidRDefault="00733AEC" w:rsidP="00EB04BB">
            <w:r>
              <w:rPr>
                <w:i/>
              </w:rPr>
              <w:t>1</w:t>
            </w:r>
          </w:p>
        </w:tc>
        <w:tc>
          <w:tcPr>
            <w:tcW w:w="1826" w:type="dxa"/>
          </w:tcPr>
          <w:p w:rsidR="00733AEC" w:rsidRDefault="00733AEC">
            <w:r>
              <w:t>334</w:t>
            </w:r>
            <w:r>
              <w:rPr>
                <w:lang w:val="en-US"/>
              </w:rPr>
              <w:t>,</w:t>
            </w:r>
            <w:r>
              <w:t>135</w:t>
            </w:r>
          </w:p>
        </w:tc>
        <w:tc>
          <w:tcPr>
            <w:tcW w:w="2003" w:type="dxa"/>
          </w:tcPr>
          <w:p w:rsidR="00733AEC" w:rsidRDefault="00733AEC">
            <w:r>
              <w:t>316</w:t>
            </w:r>
            <w:r>
              <w:rPr>
                <w:lang w:val="en-US"/>
              </w:rPr>
              <w:t>,</w:t>
            </w:r>
            <w:r>
              <w:t>809</w:t>
            </w:r>
          </w:p>
        </w:tc>
        <w:tc>
          <w:tcPr>
            <w:tcW w:w="1634" w:type="dxa"/>
          </w:tcPr>
          <w:p w:rsidR="00733AEC" w:rsidRDefault="00733AEC">
            <w:r>
              <w:t>309.647</w:t>
            </w:r>
          </w:p>
        </w:tc>
      </w:tr>
      <w:tr w:rsidR="00733AEC">
        <w:trPr>
          <w:trHeight w:val="323"/>
        </w:trPr>
        <w:tc>
          <w:tcPr>
            <w:tcW w:w="1901" w:type="dxa"/>
          </w:tcPr>
          <w:p w:rsidR="00733AEC" w:rsidRDefault="00733AEC">
            <w:r>
              <w:rPr>
                <w:b/>
              </w:rPr>
              <w:t>Scopus</w:t>
            </w:r>
          </w:p>
        </w:tc>
        <w:tc>
          <w:tcPr>
            <w:tcW w:w="1703" w:type="dxa"/>
          </w:tcPr>
          <w:p w:rsidR="00733AEC" w:rsidRDefault="00733AEC">
            <w:r>
              <w:t>0.93</w:t>
            </w:r>
          </w:p>
        </w:tc>
        <w:tc>
          <w:tcPr>
            <w:tcW w:w="1826" w:type="dxa"/>
          </w:tcPr>
          <w:p w:rsidR="00733AEC" w:rsidRDefault="00733AEC" w:rsidP="00EB04BB">
            <w:r>
              <w:rPr>
                <w:i/>
              </w:rPr>
              <w:t>1</w:t>
            </w:r>
          </w:p>
        </w:tc>
        <w:tc>
          <w:tcPr>
            <w:tcW w:w="2003" w:type="dxa"/>
          </w:tcPr>
          <w:p w:rsidR="00733AEC" w:rsidRDefault="00733AEC">
            <w:r>
              <w:t>316.672</w:t>
            </w:r>
          </w:p>
        </w:tc>
        <w:tc>
          <w:tcPr>
            <w:tcW w:w="1634" w:type="dxa"/>
          </w:tcPr>
          <w:p w:rsidR="00733AEC" w:rsidRDefault="00733AEC">
            <w:r>
              <w:t>309.504</w:t>
            </w:r>
          </w:p>
        </w:tc>
      </w:tr>
      <w:tr w:rsidR="00733AEC">
        <w:trPr>
          <w:trHeight w:val="310"/>
        </w:trPr>
        <w:tc>
          <w:tcPr>
            <w:tcW w:w="1901" w:type="dxa"/>
          </w:tcPr>
          <w:p w:rsidR="00733AEC" w:rsidRDefault="00733AEC">
            <w:r>
              <w:rPr>
                <w:b/>
              </w:rPr>
              <w:t>Dimensions</w:t>
            </w:r>
          </w:p>
        </w:tc>
        <w:tc>
          <w:tcPr>
            <w:tcW w:w="1703" w:type="dxa"/>
          </w:tcPr>
          <w:p w:rsidR="00733AEC" w:rsidRDefault="00733AEC">
            <w:r>
              <w:t>0.88</w:t>
            </w:r>
          </w:p>
        </w:tc>
        <w:tc>
          <w:tcPr>
            <w:tcW w:w="1826" w:type="dxa"/>
          </w:tcPr>
          <w:p w:rsidR="00733AEC" w:rsidRDefault="00733AEC">
            <w:r>
              <w:t>0.89</w:t>
            </w:r>
          </w:p>
        </w:tc>
        <w:tc>
          <w:tcPr>
            <w:tcW w:w="2003" w:type="dxa"/>
          </w:tcPr>
          <w:p w:rsidR="00733AEC" w:rsidRDefault="00733AEC" w:rsidP="00EB04BB">
            <w:r>
              <w:rPr>
                <w:i/>
              </w:rPr>
              <w:t>1</w:t>
            </w:r>
          </w:p>
        </w:tc>
        <w:tc>
          <w:tcPr>
            <w:tcW w:w="1634" w:type="dxa"/>
          </w:tcPr>
          <w:p w:rsidR="00733AEC" w:rsidRDefault="00733AEC">
            <w:r>
              <w:t>294.811</w:t>
            </w:r>
          </w:p>
        </w:tc>
      </w:tr>
      <w:tr w:rsidR="00733AEC">
        <w:trPr>
          <w:trHeight w:val="310"/>
        </w:trPr>
        <w:tc>
          <w:tcPr>
            <w:tcW w:w="1901" w:type="dxa"/>
          </w:tcPr>
          <w:p w:rsidR="00733AEC" w:rsidRDefault="00733AEC">
            <w:proofErr w:type="spellStart"/>
            <w:r>
              <w:rPr>
                <w:b/>
              </w:rPr>
              <w:t>OpenAlex</w:t>
            </w:r>
            <w:proofErr w:type="spellEnd"/>
          </w:p>
        </w:tc>
        <w:tc>
          <w:tcPr>
            <w:tcW w:w="1703" w:type="dxa"/>
          </w:tcPr>
          <w:p w:rsidR="00733AEC" w:rsidRDefault="00733AEC">
            <w:r>
              <w:t>0.88</w:t>
            </w:r>
          </w:p>
        </w:tc>
        <w:tc>
          <w:tcPr>
            <w:tcW w:w="1826" w:type="dxa"/>
          </w:tcPr>
          <w:p w:rsidR="00733AEC" w:rsidRDefault="00733AEC">
            <w:r>
              <w:t>0.88</w:t>
            </w:r>
          </w:p>
        </w:tc>
        <w:tc>
          <w:tcPr>
            <w:tcW w:w="2003" w:type="dxa"/>
          </w:tcPr>
          <w:p w:rsidR="00733AEC" w:rsidRDefault="00733AEC">
            <w:r>
              <w:t>0.91</w:t>
            </w:r>
          </w:p>
        </w:tc>
        <w:tc>
          <w:tcPr>
            <w:tcW w:w="1634" w:type="dxa"/>
          </w:tcPr>
          <w:p w:rsidR="00733AEC" w:rsidRDefault="00733AEC" w:rsidP="00EB04BB">
            <w:r>
              <w:rPr>
                <w:i/>
              </w:rPr>
              <w:t>1</w:t>
            </w:r>
          </w:p>
        </w:tc>
      </w:tr>
    </w:tbl>
    <w:p w:rsidR="00733AEC" w:rsidRDefault="00733AEC">
      <w:pPr>
        <w:jc w:val="both"/>
      </w:pPr>
    </w:p>
    <w:p w:rsidR="00733AEC" w:rsidRDefault="00733AEC">
      <w:pPr>
        <w:jc w:val="both"/>
      </w:pPr>
      <w:r>
        <w:t>Table 3 display</w:t>
      </w:r>
      <w:r>
        <w:rPr>
          <w:lang w:val="en-US"/>
        </w:rPr>
        <w:t>s</w:t>
      </w:r>
      <w:r>
        <w:t xml:space="preserve"> Lin’s concordance correlation coefficient </w:t>
      </w:r>
      <w:proofErr w:type="spellStart"/>
      <w:r>
        <w:rPr>
          <w:i/>
        </w:rPr>
        <w:t>r_ccc</w:t>
      </w:r>
      <w:proofErr w:type="spellEnd"/>
      <w:r>
        <w:t xml:space="preserve"> for the comparisons together with the associated confidence intervals (confidence level 95%). According to </w:t>
      </w:r>
      <w:r>
        <w:rPr>
          <w:noProof/>
        </w:rPr>
        <w:t>Koch and Sporl (2007)</w:t>
      </w:r>
      <w:r>
        <w:t xml:space="preserve">, values of </w:t>
      </w:r>
      <w:proofErr w:type="spellStart"/>
      <w:r>
        <w:rPr>
          <w:i/>
        </w:rPr>
        <w:t>r_ccc</w:t>
      </w:r>
      <w:proofErr w:type="spellEnd"/>
      <w:r>
        <w:t xml:space="preserve"> between 0.8 and 1.0 mean an </w:t>
      </w:r>
      <w:r>
        <w:rPr>
          <w:i/>
        </w:rPr>
        <w:t>almost complete agreement,</w:t>
      </w:r>
      <w:r>
        <w:rPr>
          <w:i/>
          <w:lang w:val="en-US"/>
        </w:rPr>
        <w:t xml:space="preserve"> </w:t>
      </w:r>
      <w:r>
        <w:rPr>
          <w:lang w:val="en-US"/>
        </w:rPr>
        <w:t xml:space="preserve">which is only reached by the comparisons of Dimensions with </w:t>
      </w:r>
      <w:proofErr w:type="spellStart"/>
      <w:r>
        <w:rPr>
          <w:lang w:val="en-US"/>
        </w:rPr>
        <w:t>OpenAlex</w:t>
      </w:r>
      <w:proofErr w:type="spellEnd"/>
      <w:r>
        <w:rPr>
          <w:lang w:val="en-US"/>
        </w:rPr>
        <w:t xml:space="preserve"> and Scopus, respectively. The other comparisons reach v</w:t>
      </w:r>
      <w:proofErr w:type="spellStart"/>
      <w:r>
        <w:t>alues</w:t>
      </w:r>
      <w:proofErr w:type="spellEnd"/>
      <w:r>
        <w:t xml:space="preserve"> between 0.6 and 0.8, pointing to a </w:t>
      </w:r>
      <w:r>
        <w:rPr>
          <w:i/>
        </w:rPr>
        <w:t>strong agreement</w:t>
      </w:r>
      <w:r>
        <w:t>.</w:t>
      </w:r>
    </w:p>
    <w:p w:rsidR="00733AEC" w:rsidRDefault="00733AEC">
      <w:pPr>
        <w:jc w:val="both"/>
      </w:pPr>
    </w:p>
    <w:p w:rsidR="00733AEC" w:rsidRDefault="00733AEC">
      <w:pPr>
        <w:jc w:val="center"/>
      </w:pPr>
      <w:r>
        <w:t xml:space="preserve">Table 3. Lin’s concordance correlation coefficient </w:t>
      </w:r>
      <w:proofErr w:type="spellStart"/>
      <w:r>
        <w:rPr>
          <w:i/>
        </w:rPr>
        <w:t>r_ccc</w:t>
      </w:r>
      <w:proofErr w:type="spellEnd"/>
      <w:r>
        <w:t xml:space="preserve"> (below the diagonal) together with the respective confidence interval (above the diagonal) with respect to NCS</w:t>
      </w:r>
      <w:r>
        <w:rPr>
          <w:lang w:val="en-US"/>
        </w:rPr>
        <w:t xml:space="preserve"> value</w:t>
      </w:r>
      <w:r>
        <w:t>s from four databases (</w:t>
      </w:r>
      <w:proofErr w:type="spellStart"/>
      <w:r>
        <w:rPr>
          <w:i/>
        </w:rPr>
        <w:t>r_ccc</w:t>
      </w:r>
      <w:proofErr w:type="spellEnd"/>
      <w:r>
        <w:t xml:space="preserve"> values higher than 0.8 are printed in bold).</w:t>
      </w:r>
    </w:p>
    <w:p w:rsidR="00733AEC" w:rsidRDefault="00733AE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2"/>
        <w:gridCol w:w="1187"/>
        <w:gridCol w:w="2063"/>
        <w:gridCol w:w="2205"/>
        <w:gridCol w:w="1954"/>
      </w:tblGrid>
      <w:tr w:rsidR="00733AEC">
        <w:trPr>
          <w:trHeight w:val="291"/>
        </w:trPr>
        <w:tc>
          <w:tcPr>
            <w:tcW w:w="1588" w:type="dxa"/>
            <w:vAlign w:val="bottom"/>
          </w:tcPr>
          <w:p w:rsidR="00733AEC" w:rsidRDefault="00733AEC">
            <w:pPr>
              <w:rPr>
                <w:b/>
                <w:bCs/>
              </w:rPr>
            </w:pPr>
            <w:r>
              <w:rPr>
                <w:b/>
              </w:rPr>
              <w:t>Database</w:t>
            </w:r>
          </w:p>
        </w:tc>
        <w:tc>
          <w:tcPr>
            <w:tcW w:w="1200" w:type="dxa"/>
            <w:vAlign w:val="bottom"/>
          </w:tcPr>
          <w:p w:rsidR="00733AEC" w:rsidRDefault="00733AEC">
            <w:pPr>
              <w:rPr>
                <w:b/>
                <w:bCs/>
              </w:rPr>
            </w:pPr>
            <w:proofErr w:type="spellStart"/>
            <w:r>
              <w:rPr>
                <w:b/>
              </w:rPr>
              <w:t>WoS</w:t>
            </w:r>
            <w:proofErr w:type="spellEnd"/>
          </w:p>
        </w:tc>
        <w:tc>
          <w:tcPr>
            <w:tcW w:w="2073" w:type="dxa"/>
            <w:vAlign w:val="bottom"/>
          </w:tcPr>
          <w:p w:rsidR="00733AEC" w:rsidRDefault="00733AEC">
            <w:pPr>
              <w:rPr>
                <w:b/>
                <w:bCs/>
              </w:rPr>
            </w:pPr>
            <w:r>
              <w:rPr>
                <w:b/>
              </w:rPr>
              <w:t>Scopus</w:t>
            </w:r>
          </w:p>
        </w:tc>
        <w:tc>
          <w:tcPr>
            <w:tcW w:w="2228" w:type="dxa"/>
            <w:vAlign w:val="bottom"/>
          </w:tcPr>
          <w:p w:rsidR="00733AEC" w:rsidRDefault="00733AEC">
            <w:pPr>
              <w:rPr>
                <w:b/>
                <w:bCs/>
              </w:rPr>
            </w:pPr>
            <w:r>
              <w:rPr>
                <w:b/>
              </w:rPr>
              <w:t>Dimensions</w:t>
            </w:r>
          </w:p>
        </w:tc>
        <w:tc>
          <w:tcPr>
            <w:tcW w:w="1974" w:type="dxa"/>
            <w:vAlign w:val="bottom"/>
          </w:tcPr>
          <w:p w:rsidR="00733AEC" w:rsidRDefault="00733AEC">
            <w:pPr>
              <w:rPr>
                <w:b/>
                <w:bCs/>
              </w:rPr>
            </w:pPr>
            <w:proofErr w:type="spellStart"/>
            <w:r>
              <w:rPr>
                <w:b/>
              </w:rPr>
              <w:t>OpenAlex</w:t>
            </w:r>
            <w:proofErr w:type="spellEnd"/>
          </w:p>
        </w:tc>
      </w:tr>
      <w:tr w:rsidR="00733AEC">
        <w:trPr>
          <w:trHeight w:val="291"/>
        </w:trPr>
        <w:tc>
          <w:tcPr>
            <w:tcW w:w="1588" w:type="dxa"/>
          </w:tcPr>
          <w:p w:rsidR="00733AEC" w:rsidRDefault="00733AEC">
            <w:proofErr w:type="spellStart"/>
            <w:r>
              <w:rPr>
                <w:b/>
              </w:rPr>
              <w:t>WoS</w:t>
            </w:r>
            <w:proofErr w:type="spellEnd"/>
          </w:p>
        </w:tc>
        <w:tc>
          <w:tcPr>
            <w:tcW w:w="1200" w:type="dxa"/>
          </w:tcPr>
          <w:p w:rsidR="00733AEC" w:rsidRDefault="00733AEC" w:rsidP="00EB04BB">
            <w:r>
              <w:rPr>
                <w:i/>
              </w:rPr>
              <w:t>1</w:t>
            </w:r>
          </w:p>
        </w:tc>
        <w:tc>
          <w:tcPr>
            <w:tcW w:w="2073" w:type="dxa"/>
          </w:tcPr>
          <w:p w:rsidR="00733AEC" w:rsidRDefault="00733AEC">
            <w:r>
              <w:t>[0.7567;0.7591]</w:t>
            </w:r>
          </w:p>
        </w:tc>
        <w:tc>
          <w:tcPr>
            <w:tcW w:w="2228" w:type="dxa"/>
          </w:tcPr>
          <w:p w:rsidR="00733AEC" w:rsidRDefault="00733AEC">
            <w:r>
              <w:t>[0.7703</w:t>
            </w:r>
            <w:r>
              <w:rPr>
                <w:lang w:val="en-US"/>
              </w:rPr>
              <w:t>;</w:t>
            </w:r>
            <w:r>
              <w:t xml:space="preserve"> 0.7723]</w:t>
            </w:r>
          </w:p>
        </w:tc>
        <w:tc>
          <w:tcPr>
            <w:tcW w:w="1974" w:type="dxa"/>
          </w:tcPr>
          <w:p w:rsidR="00733AEC" w:rsidRDefault="00733AEC">
            <w:r>
              <w:t>[0.6769; 0.6793]</w:t>
            </w:r>
          </w:p>
        </w:tc>
      </w:tr>
      <w:tr w:rsidR="00733AEC">
        <w:trPr>
          <w:trHeight w:val="303"/>
        </w:trPr>
        <w:tc>
          <w:tcPr>
            <w:tcW w:w="1588" w:type="dxa"/>
          </w:tcPr>
          <w:p w:rsidR="00733AEC" w:rsidRDefault="00733AEC">
            <w:r>
              <w:rPr>
                <w:b/>
              </w:rPr>
              <w:t>Scopus</w:t>
            </w:r>
          </w:p>
        </w:tc>
        <w:tc>
          <w:tcPr>
            <w:tcW w:w="1200" w:type="dxa"/>
          </w:tcPr>
          <w:p w:rsidR="00733AEC" w:rsidRDefault="00733AEC">
            <w:r>
              <w:t>0.758</w:t>
            </w:r>
          </w:p>
        </w:tc>
        <w:tc>
          <w:tcPr>
            <w:tcW w:w="2073" w:type="dxa"/>
          </w:tcPr>
          <w:p w:rsidR="00733AEC" w:rsidRDefault="00733AEC" w:rsidP="00EB04BB">
            <w:r>
              <w:rPr>
                <w:i/>
              </w:rPr>
              <w:t>1</w:t>
            </w:r>
          </w:p>
        </w:tc>
        <w:tc>
          <w:tcPr>
            <w:tcW w:w="2228" w:type="dxa"/>
          </w:tcPr>
          <w:p w:rsidR="00733AEC" w:rsidRDefault="00733AEC">
            <w:r>
              <w:t>[0.8537; 0.8555]</w:t>
            </w:r>
          </w:p>
        </w:tc>
        <w:tc>
          <w:tcPr>
            <w:tcW w:w="1974" w:type="dxa"/>
          </w:tcPr>
          <w:p w:rsidR="00733AEC" w:rsidRDefault="00733AEC">
            <w:r>
              <w:t>[0.7842; 0.7866]</w:t>
            </w:r>
          </w:p>
        </w:tc>
      </w:tr>
      <w:tr w:rsidR="00733AEC">
        <w:trPr>
          <w:trHeight w:val="291"/>
        </w:trPr>
        <w:tc>
          <w:tcPr>
            <w:tcW w:w="1588" w:type="dxa"/>
          </w:tcPr>
          <w:p w:rsidR="00733AEC" w:rsidRDefault="00733AEC">
            <w:r>
              <w:rPr>
                <w:b/>
              </w:rPr>
              <w:t>Dimensions</w:t>
            </w:r>
          </w:p>
        </w:tc>
        <w:tc>
          <w:tcPr>
            <w:tcW w:w="1200" w:type="dxa"/>
          </w:tcPr>
          <w:p w:rsidR="00733AEC" w:rsidRDefault="00733AEC">
            <w:r>
              <w:t>0.771</w:t>
            </w:r>
          </w:p>
        </w:tc>
        <w:tc>
          <w:tcPr>
            <w:tcW w:w="2073" w:type="dxa"/>
          </w:tcPr>
          <w:p w:rsidR="00733AEC" w:rsidRDefault="00733AEC">
            <w:r>
              <w:rPr>
                <w:b/>
              </w:rPr>
              <w:t>0.855</w:t>
            </w:r>
          </w:p>
        </w:tc>
        <w:tc>
          <w:tcPr>
            <w:tcW w:w="2228" w:type="dxa"/>
          </w:tcPr>
          <w:p w:rsidR="00733AEC" w:rsidRDefault="00733AEC" w:rsidP="00EB04BB">
            <w:r>
              <w:rPr>
                <w:i/>
              </w:rPr>
              <w:t>1</w:t>
            </w:r>
          </w:p>
        </w:tc>
        <w:tc>
          <w:tcPr>
            <w:tcW w:w="1974" w:type="dxa"/>
          </w:tcPr>
          <w:p w:rsidR="00733AEC" w:rsidRDefault="00733AEC">
            <w:r>
              <w:t>[0.8756; 0.8772]</w:t>
            </w:r>
          </w:p>
        </w:tc>
      </w:tr>
      <w:tr w:rsidR="00733AEC">
        <w:trPr>
          <w:trHeight w:val="291"/>
        </w:trPr>
        <w:tc>
          <w:tcPr>
            <w:tcW w:w="1588" w:type="dxa"/>
          </w:tcPr>
          <w:p w:rsidR="00733AEC" w:rsidRDefault="00733AEC">
            <w:proofErr w:type="spellStart"/>
            <w:r>
              <w:rPr>
                <w:b/>
              </w:rPr>
              <w:t>OpenAlex</w:t>
            </w:r>
            <w:proofErr w:type="spellEnd"/>
          </w:p>
        </w:tc>
        <w:tc>
          <w:tcPr>
            <w:tcW w:w="1200" w:type="dxa"/>
          </w:tcPr>
          <w:p w:rsidR="00733AEC" w:rsidRDefault="00733AEC">
            <w:r>
              <w:t>0.678</w:t>
            </w:r>
          </w:p>
        </w:tc>
        <w:tc>
          <w:tcPr>
            <w:tcW w:w="2073" w:type="dxa"/>
          </w:tcPr>
          <w:p w:rsidR="00733AEC" w:rsidRDefault="00733AEC">
            <w:r>
              <w:t>0.785</w:t>
            </w:r>
          </w:p>
        </w:tc>
        <w:tc>
          <w:tcPr>
            <w:tcW w:w="2228" w:type="dxa"/>
          </w:tcPr>
          <w:p w:rsidR="00733AEC" w:rsidRDefault="00733AEC">
            <w:r>
              <w:rPr>
                <w:b/>
              </w:rPr>
              <w:t>0.876</w:t>
            </w:r>
          </w:p>
        </w:tc>
        <w:tc>
          <w:tcPr>
            <w:tcW w:w="1974" w:type="dxa"/>
          </w:tcPr>
          <w:p w:rsidR="00733AEC" w:rsidRDefault="00733AEC" w:rsidP="00EB04BB">
            <w:r>
              <w:rPr>
                <w:i/>
              </w:rPr>
              <w:t>1</w:t>
            </w:r>
          </w:p>
        </w:tc>
      </w:tr>
    </w:tbl>
    <w:p w:rsidR="00733AEC" w:rsidRDefault="00733AEC">
      <w:pPr>
        <w:jc w:val="both"/>
      </w:pPr>
    </w:p>
    <w:p w:rsidR="00733AEC" w:rsidRDefault="00733AEC">
      <w:pPr>
        <w:jc w:val="both"/>
      </w:pPr>
      <w:r>
        <w:t>Scatter plots allow graphical assessments of comparisons between NCS</w:t>
      </w:r>
      <w:r>
        <w:rPr>
          <w:lang w:val="en-US"/>
        </w:rPr>
        <w:t xml:space="preserve"> value</w:t>
      </w:r>
      <w:r>
        <w:t xml:space="preserve">s from different databases. As an example, Figure 1 shows two scatter plots for the comparison of Scopus with </w:t>
      </w:r>
      <w:proofErr w:type="spellStart"/>
      <w:r>
        <w:t>WoS</w:t>
      </w:r>
      <w:proofErr w:type="spellEnd"/>
      <w:r>
        <w:t xml:space="preserve">. On the left, all documents are included. The outcomes of a linear regression and the correlation coefficients are also displayed. Two example outlier papers with the highest NCS values in either of the databases </w:t>
      </w:r>
      <w:proofErr w:type="spellStart"/>
      <w:r>
        <w:t>WoS</w:t>
      </w:r>
      <w:proofErr w:type="spellEnd"/>
      <w:r>
        <w:t xml:space="preserve"> and Scopus and with very different NCS values in the respective other database are marked with red dots and labels. These are papers on numerical methods and software tools, a genre that often reaches very high citation counts, and labelled with their abbreviated names: SHELXL </w:t>
      </w:r>
      <w:r>
        <w:rPr>
          <w:noProof/>
        </w:rPr>
        <w:t>(Sheldrick, 2015a)</w:t>
      </w:r>
      <w:r>
        <w:t xml:space="preserve"> has in </w:t>
      </w:r>
      <w:proofErr w:type="spellStart"/>
      <w:r>
        <w:t>WoS</w:t>
      </w:r>
      <w:proofErr w:type="spellEnd"/>
      <w:r>
        <w:t xml:space="preserve"> an NCS of 983 (</w:t>
      </w:r>
      <w:proofErr w:type="spellStart"/>
      <w:r>
        <w:rPr>
          <w:i/>
        </w:rPr>
        <w:t>WoSSCs</w:t>
      </w:r>
      <w:proofErr w:type="spellEnd"/>
      <w:r>
        <w:t xml:space="preserve"> Chemistry, Multidisciplinary; Crystallography) and in Scopus an NCS of 508 (</w:t>
      </w:r>
      <w:r>
        <w:rPr>
          <w:i/>
        </w:rPr>
        <w:t>ASJC</w:t>
      </w:r>
      <w:r>
        <w:t xml:space="preserve">: Physical and Theoretical Chemistry; Inorganic Chemistry; Condensed Matter Physics; Materials Chemistry) whereas SHELXT </w:t>
      </w:r>
      <w:r>
        <w:rPr>
          <w:noProof/>
        </w:rPr>
        <w:t>(Sheldrick, 2015b)</w:t>
      </w:r>
      <w:r>
        <w:t xml:space="preserve"> has an NCS of only 65 in </w:t>
      </w:r>
      <w:proofErr w:type="spellStart"/>
      <w:r>
        <w:t>WoS</w:t>
      </w:r>
      <w:proofErr w:type="spellEnd"/>
      <w:r>
        <w:t xml:space="preserve"> with the same </w:t>
      </w:r>
      <w:proofErr w:type="spellStart"/>
      <w:r>
        <w:rPr>
          <w:i/>
        </w:rPr>
        <w:t>WoSSCs</w:t>
      </w:r>
      <w:proofErr w:type="spellEnd"/>
      <w:r>
        <w:t xml:space="preserve"> as SHELXL, but a very different NCS of 721 and a different </w:t>
      </w:r>
      <w:r>
        <w:rPr>
          <w:i/>
        </w:rPr>
        <w:t>ASJC</w:t>
      </w:r>
      <w:r>
        <w:t xml:space="preserve"> with Structural Biology in Scopus. On the right side, these two papers are excluded, which changes the slope of the linear regression as well as Lin’s concordance coefficients.</w:t>
      </w:r>
    </w:p>
    <w:p w:rsidR="00733AEC" w:rsidRDefault="00733AEC">
      <w:pPr>
        <w:jc w:val="both"/>
      </w:pPr>
    </w:p>
    <w:p w:rsidR="00733AEC" w:rsidRDefault="00733AEC">
      <w:pPr>
        <w:keepNext/>
        <w:jc w:val="center"/>
      </w:pPr>
      <w:r>
        <w:lastRenderedPageBreak/>
        <w:t xml:space="preserve">Figure 1: Scatter plot of the NCS values of Scopus vs. </w:t>
      </w:r>
      <w:proofErr w:type="spellStart"/>
      <w:r>
        <w:t>WoS</w:t>
      </w:r>
      <w:proofErr w:type="spellEnd"/>
      <w:r>
        <w:t xml:space="preserve"> </w:t>
      </w:r>
      <w:r w:rsidRPr="0068413E">
        <w:rPr>
          <w:i/>
        </w:rPr>
        <w:t>with</w:t>
      </w:r>
      <w:r>
        <w:t xml:space="preserve"> two outlier papers marked in red in the left panel and </w:t>
      </w:r>
      <w:r w:rsidRPr="0068413E">
        <w:rPr>
          <w:i/>
        </w:rPr>
        <w:t>without</w:t>
      </w:r>
      <w:r>
        <w:t xml:space="preserve"> them in the right panel.</w:t>
      </w:r>
    </w:p>
    <w:p w:rsidR="00733AEC" w:rsidRDefault="00733AEC">
      <w:pPr>
        <w:jc w:val="both"/>
      </w:pPr>
      <w:r>
        <w:rPr>
          <w:noProof/>
          <w:lang w:val="en-US" w:eastAsia="en-US"/>
        </w:rPr>
        <w:drawing>
          <wp:inline distT="0" distB="0" distL="0" distR="0" wp14:anchorId="08877BFE" wp14:editId="50AC70A7">
            <wp:extent cx="5753100" cy="383540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3100" cy="3835400"/>
                    </a:xfrm>
                    <a:prstGeom prst="rect">
                      <a:avLst/>
                    </a:prstGeom>
                    <a:ln>
                      <a:noFill/>
                    </a:ln>
                  </pic:spPr>
                </pic:pic>
              </a:graphicData>
            </a:graphic>
          </wp:inline>
        </w:drawing>
      </w:r>
    </w:p>
    <w:p w:rsidR="00733AEC" w:rsidRDefault="00733AEC">
      <w:pPr>
        <w:jc w:val="both"/>
        <w:rPr>
          <w:i/>
          <w:iCs/>
        </w:rPr>
      </w:pPr>
      <w:r>
        <w:rPr>
          <w:i/>
          <w:iCs/>
        </w:rPr>
        <w:t>3.2. Analysis of outlier effects</w:t>
      </w:r>
    </w:p>
    <w:p w:rsidR="00733AEC" w:rsidRDefault="00733AEC">
      <w:pPr>
        <w:pStyle w:val="BodyText"/>
        <w:jc w:val="both"/>
        <w:rPr>
          <w:color w:val="auto"/>
          <w:lang w:eastAsia="en-US"/>
        </w:rPr>
      </w:pPr>
      <w:r>
        <w:rPr>
          <w:color w:val="auto"/>
        </w:rPr>
        <w:t>The results for SHELXT and SHELXL point out that outliers may have a significant distorting influence on the correlation between NCS</w:t>
      </w:r>
      <w:r>
        <w:rPr>
          <w:color w:val="auto"/>
          <w:lang w:val="en-US"/>
        </w:rPr>
        <w:t xml:space="preserve"> value</w:t>
      </w:r>
      <w:r>
        <w:rPr>
          <w:color w:val="auto"/>
        </w:rPr>
        <w:t xml:space="preserve">s from different databases. In order to assess this effect, we </w:t>
      </w:r>
      <w:r>
        <w:rPr>
          <w:color w:val="auto"/>
          <w:lang w:val="en-US"/>
        </w:rPr>
        <w:t>compared</w:t>
      </w:r>
      <w:r>
        <w:rPr>
          <w:color w:val="auto"/>
        </w:rPr>
        <w:t xml:space="preserve"> the correlation coefficients for the datasets including all publications against the whole set </w:t>
      </w:r>
      <w:r>
        <w:rPr>
          <w:color w:val="auto"/>
          <w:lang w:val="en-US"/>
        </w:rPr>
        <w:t>excluding outliers.</w:t>
      </w:r>
      <w:r>
        <w:rPr>
          <w:color w:val="auto"/>
        </w:rPr>
        <w:t xml:space="preserve"> W</w:t>
      </w:r>
      <w:r>
        <w:rPr>
          <w:color w:val="auto"/>
          <w:lang w:val="en-US"/>
        </w:rPr>
        <w:t>e</w:t>
      </w:r>
      <w:r>
        <w:rPr>
          <w:color w:val="auto"/>
        </w:rPr>
        <w:t xml:space="preserve"> define outliers as </w:t>
      </w:r>
      <w:r>
        <w:rPr>
          <w:color w:val="auto"/>
          <w:lang w:val="en-US"/>
        </w:rPr>
        <w:t>papers with</w:t>
      </w:r>
      <w:r>
        <w:rPr>
          <w:color w:val="auto"/>
        </w:rPr>
        <w:t xml:space="preserve"> NCS</w:t>
      </w:r>
      <w:r>
        <w:rPr>
          <w:color w:val="auto"/>
          <w:lang w:val="en-US"/>
        </w:rPr>
        <w:t xml:space="preserve"> value</w:t>
      </w:r>
      <w:r>
        <w:rPr>
          <w:color w:val="auto"/>
        </w:rPr>
        <w:t xml:space="preserve">s among the top 1% in either database. </w:t>
      </w:r>
      <w:r w:rsidRPr="00F72362">
        <w:rPr>
          <w:color w:val="auto"/>
        </w:rPr>
        <w:t>This process result</w:t>
      </w:r>
      <w:r>
        <w:rPr>
          <w:color w:val="auto"/>
        </w:rPr>
        <w:t>ed</w:t>
      </w:r>
      <w:r w:rsidRPr="00F72362">
        <w:rPr>
          <w:color w:val="auto"/>
        </w:rPr>
        <w:t xml:space="preserve"> in 1% </w:t>
      </w:r>
      <w:r>
        <w:rPr>
          <w:color w:val="auto"/>
        </w:rPr>
        <w:t>to</w:t>
      </w:r>
      <w:r w:rsidRPr="00F72362">
        <w:rPr>
          <w:color w:val="auto"/>
        </w:rPr>
        <w:t xml:space="preserve"> 2% of the papers being removed.</w:t>
      </w:r>
    </w:p>
    <w:p w:rsidR="00733AEC" w:rsidRDefault="00733AEC">
      <w:pPr>
        <w:pStyle w:val="BodyText"/>
        <w:rPr>
          <w:color w:val="auto"/>
        </w:rPr>
      </w:pPr>
    </w:p>
    <w:p w:rsidR="00733AEC" w:rsidRDefault="00733AEC">
      <w:pPr>
        <w:pStyle w:val="BodyText"/>
        <w:jc w:val="both"/>
        <w:rPr>
          <w:color w:val="auto"/>
        </w:rPr>
      </w:pPr>
      <w:r>
        <w:rPr>
          <w:color w:val="auto"/>
        </w:rPr>
        <w:t>Although the outliers have been removed, Spearman’s correlation coefficients remain very similar (as expected): The decrease was less than 0.005. The changes in Lin’s concordance coefficients are more pronounced, as indicated in Table 4.</w:t>
      </w:r>
    </w:p>
    <w:p w:rsidR="00733AEC" w:rsidRDefault="00733AEC"/>
    <w:p w:rsidR="00733AEC" w:rsidRDefault="00733AEC" w:rsidP="00584616">
      <w:pPr>
        <w:keepNext/>
        <w:jc w:val="center"/>
      </w:pPr>
      <w:r>
        <w:t>Table 4: Effect of removing the top 1% NCS</w:t>
      </w:r>
      <w:r>
        <w:rPr>
          <w:lang w:val="en-US"/>
        </w:rPr>
        <w:t xml:space="preserve"> value</w:t>
      </w:r>
      <w:r>
        <w:t xml:space="preserve">s of each database in each comparison on Lin’s concordance coefficient for the six database comparisons indicated by </w:t>
      </w:r>
      <w:proofErr w:type="spellStart"/>
      <w:r>
        <w:t>r_ccc</w:t>
      </w:r>
      <w:proofErr w:type="spellEnd"/>
      <w:r>
        <w:t>, the confidence intervals, and the overall percentage of removed papers (scores above 0.8 are printed in bold face).</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6"/>
        <w:gridCol w:w="1529"/>
        <w:gridCol w:w="1440"/>
        <w:gridCol w:w="1440"/>
        <w:gridCol w:w="1440"/>
        <w:gridCol w:w="1440"/>
        <w:gridCol w:w="1440"/>
      </w:tblGrid>
      <w:tr w:rsidR="00733AEC" w:rsidTr="00DB0393">
        <w:trPr>
          <w:trHeight w:val="299"/>
        </w:trPr>
        <w:tc>
          <w:tcPr>
            <w:tcW w:w="916" w:type="dxa"/>
            <w:vAlign w:val="bottom"/>
          </w:tcPr>
          <w:p w:rsidR="00733AEC" w:rsidRPr="006C7E97" w:rsidRDefault="00733AEC" w:rsidP="00DB0393">
            <w:pPr>
              <w:rPr>
                <w:b/>
                <w:sz w:val="20"/>
                <w:szCs w:val="20"/>
              </w:rPr>
            </w:pPr>
          </w:p>
        </w:tc>
        <w:tc>
          <w:tcPr>
            <w:tcW w:w="1529" w:type="dxa"/>
            <w:vAlign w:val="bottom"/>
          </w:tcPr>
          <w:p w:rsidR="00733AEC" w:rsidRPr="006C7E97" w:rsidRDefault="00733AEC" w:rsidP="00DB0393">
            <w:pPr>
              <w:rPr>
                <w:b/>
                <w:sz w:val="20"/>
                <w:szCs w:val="20"/>
              </w:rPr>
            </w:pPr>
            <w:r w:rsidRPr="006C7E97">
              <w:rPr>
                <w:b/>
                <w:sz w:val="20"/>
                <w:szCs w:val="20"/>
              </w:rPr>
              <w:t xml:space="preserve">Scopus vs. </w:t>
            </w:r>
            <w:proofErr w:type="spellStart"/>
            <w:r w:rsidRPr="006C7E97">
              <w:rPr>
                <w:b/>
                <w:sz w:val="20"/>
                <w:szCs w:val="20"/>
              </w:rPr>
              <w:t>WoS</w:t>
            </w:r>
            <w:proofErr w:type="spellEnd"/>
          </w:p>
        </w:tc>
        <w:tc>
          <w:tcPr>
            <w:tcW w:w="1440" w:type="dxa"/>
            <w:vAlign w:val="bottom"/>
          </w:tcPr>
          <w:p w:rsidR="00733AEC" w:rsidRPr="006C7E97" w:rsidRDefault="00733AEC" w:rsidP="00DB0393">
            <w:pPr>
              <w:rPr>
                <w:b/>
                <w:sz w:val="20"/>
                <w:szCs w:val="20"/>
              </w:rPr>
            </w:pPr>
            <w:r w:rsidRPr="006C7E97">
              <w:rPr>
                <w:b/>
                <w:sz w:val="20"/>
                <w:szCs w:val="20"/>
              </w:rPr>
              <w:t xml:space="preserve">Dimensions vs. </w:t>
            </w:r>
            <w:proofErr w:type="spellStart"/>
            <w:r w:rsidRPr="006C7E97">
              <w:rPr>
                <w:b/>
                <w:sz w:val="20"/>
                <w:szCs w:val="20"/>
              </w:rPr>
              <w:t>WoS</w:t>
            </w:r>
            <w:proofErr w:type="spellEnd"/>
          </w:p>
        </w:tc>
        <w:tc>
          <w:tcPr>
            <w:tcW w:w="1440" w:type="dxa"/>
            <w:vAlign w:val="bottom"/>
          </w:tcPr>
          <w:p w:rsidR="00733AEC" w:rsidRPr="006C7E97" w:rsidRDefault="00733AEC" w:rsidP="00DB0393">
            <w:pPr>
              <w:rPr>
                <w:b/>
                <w:sz w:val="20"/>
                <w:szCs w:val="20"/>
              </w:rPr>
            </w:pPr>
            <w:proofErr w:type="spellStart"/>
            <w:r w:rsidRPr="006C7E97">
              <w:rPr>
                <w:b/>
                <w:sz w:val="20"/>
                <w:szCs w:val="20"/>
              </w:rPr>
              <w:t>OpenAlex</w:t>
            </w:r>
            <w:proofErr w:type="spellEnd"/>
            <w:r w:rsidRPr="006C7E97">
              <w:rPr>
                <w:b/>
                <w:sz w:val="20"/>
                <w:szCs w:val="20"/>
              </w:rPr>
              <w:t xml:space="preserve"> vs. </w:t>
            </w:r>
            <w:proofErr w:type="spellStart"/>
            <w:r w:rsidRPr="006C7E97">
              <w:rPr>
                <w:b/>
                <w:sz w:val="20"/>
                <w:szCs w:val="20"/>
              </w:rPr>
              <w:t>WoS</w:t>
            </w:r>
            <w:proofErr w:type="spellEnd"/>
          </w:p>
        </w:tc>
        <w:tc>
          <w:tcPr>
            <w:tcW w:w="1440" w:type="dxa"/>
            <w:vAlign w:val="bottom"/>
          </w:tcPr>
          <w:p w:rsidR="00733AEC" w:rsidRPr="006C7E97" w:rsidRDefault="00733AEC" w:rsidP="00DB0393">
            <w:pPr>
              <w:rPr>
                <w:b/>
                <w:sz w:val="20"/>
                <w:szCs w:val="20"/>
              </w:rPr>
            </w:pPr>
            <w:r w:rsidRPr="006C7E97">
              <w:rPr>
                <w:b/>
                <w:sz w:val="20"/>
                <w:szCs w:val="20"/>
              </w:rPr>
              <w:t xml:space="preserve">Dimensions vs. Scopus </w:t>
            </w:r>
          </w:p>
        </w:tc>
        <w:tc>
          <w:tcPr>
            <w:tcW w:w="1440" w:type="dxa"/>
            <w:vAlign w:val="bottom"/>
          </w:tcPr>
          <w:p w:rsidR="00733AEC" w:rsidRPr="006C7E97" w:rsidRDefault="00733AEC" w:rsidP="00DB0393">
            <w:pPr>
              <w:rPr>
                <w:b/>
                <w:sz w:val="20"/>
                <w:szCs w:val="20"/>
              </w:rPr>
            </w:pPr>
            <w:proofErr w:type="spellStart"/>
            <w:r w:rsidRPr="006C7E97">
              <w:rPr>
                <w:b/>
                <w:sz w:val="20"/>
                <w:szCs w:val="20"/>
              </w:rPr>
              <w:t>OpenAlex</w:t>
            </w:r>
            <w:proofErr w:type="spellEnd"/>
            <w:r w:rsidRPr="006C7E97">
              <w:rPr>
                <w:b/>
                <w:sz w:val="20"/>
                <w:szCs w:val="20"/>
              </w:rPr>
              <w:t xml:space="preserve"> vs. Scopus</w:t>
            </w:r>
          </w:p>
        </w:tc>
        <w:tc>
          <w:tcPr>
            <w:tcW w:w="1440" w:type="dxa"/>
            <w:vAlign w:val="bottom"/>
          </w:tcPr>
          <w:p w:rsidR="00733AEC" w:rsidRPr="006C7E97" w:rsidRDefault="00733AEC" w:rsidP="00DB0393">
            <w:pPr>
              <w:rPr>
                <w:b/>
                <w:sz w:val="20"/>
                <w:szCs w:val="20"/>
              </w:rPr>
            </w:pPr>
            <w:proofErr w:type="spellStart"/>
            <w:r w:rsidRPr="006C7E97">
              <w:rPr>
                <w:b/>
                <w:sz w:val="20"/>
                <w:szCs w:val="20"/>
              </w:rPr>
              <w:t>OpenAlex</w:t>
            </w:r>
            <w:proofErr w:type="spellEnd"/>
            <w:r w:rsidRPr="006C7E97">
              <w:rPr>
                <w:b/>
                <w:sz w:val="20"/>
                <w:szCs w:val="20"/>
              </w:rPr>
              <w:t xml:space="preserve"> vs. Dimensions</w:t>
            </w:r>
          </w:p>
        </w:tc>
      </w:tr>
      <w:tr w:rsidR="00733AEC" w:rsidTr="00DB0393">
        <w:trPr>
          <w:trHeight w:val="299"/>
        </w:trPr>
        <w:tc>
          <w:tcPr>
            <w:tcW w:w="916" w:type="dxa"/>
            <w:vAlign w:val="bottom"/>
          </w:tcPr>
          <w:p w:rsidR="00733AEC" w:rsidRPr="006C7E97" w:rsidRDefault="00733AEC" w:rsidP="00DB0393">
            <w:pPr>
              <w:rPr>
                <w:b/>
                <w:sz w:val="20"/>
                <w:szCs w:val="20"/>
              </w:rPr>
            </w:pPr>
            <w:r w:rsidRPr="006C7E97">
              <w:rPr>
                <w:b/>
                <w:sz w:val="20"/>
                <w:szCs w:val="20"/>
              </w:rPr>
              <w:t xml:space="preserve">Lin’s </w:t>
            </w:r>
            <w:proofErr w:type="spellStart"/>
            <w:r w:rsidRPr="006C7E97">
              <w:rPr>
                <w:b/>
                <w:sz w:val="20"/>
                <w:szCs w:val="20"/>
              </w:rPr>
              <w:t>r_ccc</w:t>
            </w:r>
            <w:proofErr w:type="spellEnd"/>
            <w:r w:rsidRPr="006C7E97">
              <w:rPr>
                <w:b/>
                <w:sz w:val="20"/>
                <w:szCs w:val="20"/>
              </w:rPr>
              <w:t xml:space="preserve"> for all papers</w:t>
            </w:r>
          </w:p>
        </w:tc>
        <w:tc>
          <w:tcPr>
            <w:tcW w:w="1529" w:type="dxa"/>
            <w:vAlign w:val="bottom"/>
          </w:tcPr>
          <w:p w:rsidR="00733AEC" w:rsidRDefault="00733AEC" w:rsidP="00DB0393">
            <w:pPr>
              <w:jc w:val="center"/>
              <w:rPr>
                <w:sz w:val="20"/>
                <w:szCs w:val="20"/>
              </w:rPr>
            </w:pPr>
            <w:r w:rsidRPr="00400121">
              <w:rPr>
                <w:sz w:val="20"/>
                <w:szCs w:val="20"/>
              </w:rPr>
              <w:t>0.758</w:t>
            </w:r>
          </w:p>
          <w:p w:rsidR="00733AEC" w:rsidRPr="00400121" w:rsidRDefault="00733AEC" w:rsidP="00DB0393">
            <w:pPr>
              <w:jc w:val="center"/>
              <w:rPr>
                <w:sz w:val="20"/>
                <w:szCs w:val="20"/>
              </w:rPr>
            </w:pPr>
          </w:p>
          <w:p w:rsidR="00733AEC" w:rsidRPr="00400121" w:rsidRDefault="00733AEC" w:rsidP="00DB0393">
            <w:pPr>
              <w:autoSpaceDE w:val="0"/>
              <w:autoSpaceDN w:val="0"/>
              <w:adjustRightInd w:val="0"/>
              <w:rPr>
                <w:rFonts w:eastAsiaTheme="minorHAnsi"/>
                <w:sz w:val="20"/>
                <w:szCs w:val="20"/>
                <w:lang w:val="en-US" w:eastAsia="en-US"/>
              </w:rPr>
            </w:pPr>
            <w:r w:rsidRPr="00400121">
              <w:rPr>
                <w:sz w:val="20"/>
                <w:szCs w:val="20"/>
              </w:rPr>
              <w:t>[</w:t>
            </w:r>
            <w:r w:rsidRPr="00400121">
              <w:rPr>
                <w:rFonts w:eastAsiaTheme="minorHAnsi"/>
                <w:sz w:val="20"/>
                <w:szCs w:val="20"/>
                <w:lang w:val="en-US" w:eastAsia="en-US"/>
              </w:rPr>
              <w:t>0.7567</w:t>
            </w:r>
            <w:r w:rsidRPr="00400121">
              <w:rPr>
                <w:sz w:val="20"/>
                <w:szCs w:val="20"/>
              </w:rPr>
              <w:t>;</w:t>
            </w:r>
            <w:r w:rsidRPr="00400121">
              <w:rPr>
                <w:rFonts w:eastAsiaTheme="minorHAnsi"/>
                <w:sz w:val="20"/>
                <w:szCs w:val="20"/>
                <w:lang w:val="en-US" w:eastAsia="en-US"/>
              </w:rPr>
              <w:t>0.7591</w:t>
            </w:r>
            <w:r w:rsidRPr="00400121">
              <w:rPr>
                <w:sz w:val="20"/>
                <w:szCs w:val="20"/>
              </w:rPr>
              <w:t xml:space="preserve">] </w:t>
            </w:r>
          </w:p>
        </w:tc>
        <w:tc>
          <w:tcPr>
            <w:tcW w:w="1440" w:type="dxa"/>
            <w:vAlign w:val="bottom"/>
          </w:tcPr>
          <w:p w:rsidR="00733AEC" w:rsidRDefault="00733AEC" w:rsidP="00DB0393">
            <w:pPr>
              <w:jc w:val="center"/>
              <w:rPr>
                <w:sz w:val="20"/>
                <w:szCs w:val="20"/>
              </w:rPr>
            </w:pPr>
            <w:r w:rsidRPr="00400121">
              <w:rPr>
                <w:sz w:val="20"/>
                <w:szCs w:val="20"/>
              </w:rPr>
              <w:t>0.771</w:t>
            </w:r>
          </w:p>
          <w:p w:rsidR="00733AEC" w:rsidRPr="00400121" w:rsidRDefault="00733AEC" w:rsidP="00DB0393">
            <w:pPr>
              <w:jc w:val="center"/>
              <w:rPr>
                <w:sz w:val="20"/>
                <w:szCs w:val="20"/>
              </w:rPr>
            </w:pPr>
          </w:p>
          <w:p w:rsidR="00733AEC" w:rsidRPr="00400121" w:rsidRDefault="00733AEC" w:rsidP="00DB0393">
            <w:pPr>
              <w:autoSpaceDE w:val="0"/>
              <w:autoSpaceDN w:val="0"/>
              <w:adjustRightInd w:val="0"/>
              <w:rPr>
                <w:rFonts w:eastAsiaTheme="minorHAnsi"/>
                <w:sz w:val="20"/>
                <w:szCs w:val="20"/>
                <w:lang w:val="en-US" w:eastAsia="en-US"/>
              </w:rPr>
            </w:pPr>
            <w:r w:rsidRPr="00400121">
              <w:rPr>
                <w:sz w:val="20"/>
                <w:szCs w:val="20"/>
              </w:rPr>
              <w:t>[</w:t>
            </w:r>
            <w:r w:rsidRPr="00400121">
              <w:rPr>
                <w:rFonts w:eastAsiaTheme="minorHAnsi"/>
                <w:sz w:val="20"/>
                <w:szCs w:val="20"/>
                <w:lang w:val="en-US" w:eastAsia="en-US"/>
              </w:rPr>
              <w:t>0.7703</w:t>
            </w:r>
            <w:r w:rsidRPr="00400121">
              <w:rPr>
                <w:sz w:val="20"/>
                <w:szCs w:val="20"/>
              </w:rPr>
              <w:t>;</w:t>
            </w:r>
            <w:r w:rsidRPr="00400121">
              <w:rPr>
                <w:rFonts w:eastAsiaTheme="minorHAnsi"/>
                <w:sz w:val="20"/>
                <w:szCs w:val="20"/>
                <w:lang w:val="en-US" w:eastAsia="en-US"/>
              </w:rPr>
              <w:t>0.7723</w:t>
            </w:r>
            <w:r w:rsidRPr="00400121">
              <w:rPr>
                <w:sz w:val="20"/>
                <w:szCs w:val="20"/>
              </w:rPr>
              <w:t>]</w:t>
            </w:r>
          </w:p>
        </w:tc>
        <w:tc>
          <w:tcPr>
            <w:tcW w:w="1440" w:type="dxa"/>
            <w:vAlign w:val="bottom"/>
          </w:tcPr>
          <w:p w:rsidR="00733AEC" w:rsidRDefault="00733AEC" w:rsidP="00DB0393">
            <w:pPr>
              <w:jc w:val="center"/>
              <w:rPr>
                <w:sz w:val="20"/>
                <w:szCs w:val="20"/>
              </w:rPr>
            </w:pPr>
            <w:r w:rsidRPr="00400121">
              <w:rPr>
                <w:sz w:val="20"/>
                <w:szCs w:val="20"/>
              </w:rPr>
              <w:t>0.678</w:t>
            </w:r>
          </w:p>
          <w:p w:rsidR="00733AEC" w:rsidRPr="00400121" w:rsidRDefault="00733AEC" w:rsidP="00DB0393">
            <w:pPr>
              <w:jc w:val="center"/>
              <w:rPr>
                <w:sz w:val="20"/>
                <w:szCs w:val="20"/>
              </w:rPr>
            </w:pPr>
          </w:p>
          <w:p w:rsidR="00733AEC" w:rsidRPr="00400121" w:rsidRDefault="00733AEC" w:rsidP="00DB0393">
            <w:pPr>
              <w:autoSpaceDE w:val="0"/>
              <w:autoSpaceDN w:val="0"/>
              <w:adjustRightInd w:val="0"/>
              <w:rPr>
                <w:sz w:val="20"/>
                <w:szCs w:val="20"/>
              </w:rPr>
            </w:pPr>
            <w:r w:rsidRPr="00400121">
              <w:rPr>
                <w:sz w:val="20"/>
                <w:szCs w:val="20"/>
              </w:rPr>
              <w:t>[</w:t>
            </w:r>
            <w:r w:rsidRPr="00400121">
              <w:rPr>
                <w:rFonts w:eastAsiaTheme="minorHAnsi"/>
                <w:sz w:val="20"/>
                <w:szCs w:val="20"/>
                <w:lang w:val="en-US" w:eastAsia="en-US"/>
              </w:rPr>
              <w:t>0.6769</w:t>
            </w:r>
            <w:r w:rsidRPr="00400121">
              <w:rPr>
                <w:sz w:val="20"/>
                <w:szCs w:val="20"/>
              </w:rPr>
              <w:t>;</w:t>
            </w:r>
            <w:r w:rsidRPr="00400121">
              <w:rPr>
                <w:rFonts w:eastAsiaTheme="minorHAnsi"/>
                <w:sz w:val="20"/>
                <w:szCs w:val="20"/>
                <w:lang w:val="en-US" w:eastAsia="en-US"/>
              </w:rPr>
              <w:t>0.6793</w:t>
            </w:r>
            <w:r w:rsidRPr="00400121">
              <w:rPr>
                <w:sz w:val="20"/>
                <w:szCs w:val="20"/>
              </w:rPr>
              <w:t>]</w:t>
            </w:r>
          </w:p>
        </w:tc>
        <w:tc>
          <w:tcPr>
            <w:tcW w:w="1440" w:type="dxa"/>
            <w:vAlign w:val="bottom"/>
          </w:tcPr>
          <w:p w:rsidR="00733AEC" w:rsidRDefault="00733AEC" w:rsidP="00DB0393">
            <w:pPr>
              <w:jc w:val="center"/>
              <w:rPr>
                <w:b/>
                <w:sz w:val="20"/>
                <w:szCs w:val="20"/>
              </w:rPr>
            </w:pPr>
            <w:r w:rsidRPr="00400121">
              <w:rPr>
                <w:b/>
                <w:sz w:val="20"/>
                <w:szCs w:val="20"/>
              </w:rPr>
              <w:t>0.855</w:t>
            </w:r>
          </w:p>
          <w:p w:rsidR="00733AEC" w:rsidRPr="00400121" w:rsidRDefault="00733AEC" w:rsidP="00DB0393">
            <w:pPr>
              <w:jc w:val="center"/>
              <w:rPr>
                <w:b/>
                <w:sz w:val="20"/>
                <w:szCs w:val="20"/>
              </w:rPr>
            </w:pPr>
          </w:p>
          <w:p w:rsidR="00733AEC" w:rsidRPr="00400121" w:rsidRDefault="00733AEC" w:rsidP="00DB0393">
            <w:pPr>
              <w:autoSpaceDE w:val="0"/>
              <w:autoSpaceDN w:val="0"/>
              <w:adjustRightInd w:val="0"/>
              <w:rPr>
                <w:rFonts w:eastAsiaTheme="minorHAnsi"/>
                <w:b/>
                <w:sz w:val="20"/>
                <w:szCs w:val="20"/>
                <w:lang w:val="en-US" w:eastAsia="en-US"/>
              </w:rPr>
            </w:pPr>
            <w:r w:rsidRPr="00400121">
              <w:rPr>
                <w:b/>
                <w:sz w:val="20"/>
                <w:szCs w:val="20"/>
              </w:rPr>
              <w:t>[</w:t>
            </w:r>
            <w:r w:rsidRPr="00400121">
              <w:rPr>
                <w:rFonts w:eastAsiaTheme="minorHAnsi"/>
                <w:b/>
                <w:sz w:val="20"/>
                <w:szCs w:val="20"/>
                <w:lang w:val="en-US" w:eastAsia="en-US"/>
              </w:rPr>
              <w:t>0.8537</w:t>
            </w:r>
            <w:r w:rsidRPr="00400121">
              <w:rPr>
                <w:b/>
                <w:sz w:val="20"/>
                <w:szCs w:val="20"/>
              </w:rPr>
              <w:t>;</w:t>
            </w:r>
            <w:r w:rsidRPr="00400121">
              <w:rPr>
                <w:rFonts w:eastAsiaTheme="minorHAnsi"/>
                <w:b/>
                <w:sz w:val="20"/>
                <w:szCs w:val="20"/>
                <w:lang w:val="en-US" w:eastAsia="en-US"/>
              </w:rPr>
              <w:t>0.8555</w:t>
            </w:r>
            <w:r w:rsidRPr="00400121">
              <w:rPr>
                <w:b/>
                <w:sz w:val="20"/>
                <w:szCs w:val="20"/>
              </w:rPr>
              <w:t>]</w:t>
            </w:r>
          </w:p>
        </w:tc>
        <w:tc>
          <w:tcPr>
            <w:tcW w:w="1440" w:type="dxa"/>
            <w:vAlign w:val="bottom"/>
          </w:tcPr>
          <w:p w:rsidR="00733AEC" w:rsidRDefault="00733AEC" w:rsidP="00DB0393">
            <w:pPr>
              <w:jc w:val="center"/>
              <w:rPr>
                <w:sz w:val="20"/>
                <w:szCs w:val="20"/>
              </w:rPr>
            </w:pPr>
            <w:r w:rsidRPr="00400121">
              <w:rPr>
                <w:sz w:val="20"/>
                <w:szCs w:val="20"/>
              </w:rPr>
              <w:t>0.785</w:t>
            </w:r>
          </w:p>
          <w:p w:rsidR="00733AEC" w:rsidRPr="00400121" w:rsidRDefault="00733AEC" w:rsidP="00DB0393">
            <w:pPr>
              <w:jc w:val="center"/>
              <w:rPr>
                <w:sz w:val="20"/>
                <w:szCs w:val="20"/>
              </w:rPr>
            </w:pPr>
          </w:p>
          <w:p w:rsidR="00733AEC" w:rsidRPr="00400121" w:rsidRDefault="00733AEC" w:rsidP="00DB0393">
            <w:pPr>
              <w:autoSpaceDE w:val="0"/>
              <w:autoSpaceDN w:val="0"/>
              <w:adjustRightInd w:val="0"/>
              <w:rPr>
                <w:sz w:val="20"/>
                <w:szCs w:val="20"/>
              </w:rPr>
            </w:pPr>
            <w:r w:rsidRPr="00400121">
              <w:rPr>
                <w:sz w:val="20"/>
                <w:szCs w:val="20"/>
              </w:rPr>
              <w:t>[</w:t>
            </w:r>
            <w:r w:rsidRPr="00400121">
              <w:rPr>
                <w:rFonts w:eastAsiaTheme="minorHAnsi"/>
                <w:sz w:val="20"/>
                <w:szCs w:val="20"/>
                <w:lang w:val="en-US" w:eastAsia="en-US"/>
              </w:rPr>
              <w:t>0.7842</w:t>
            </w:r>
            <w:r w:rsidRPr="00400121">
              <w:rPr>
                <w:sz w:val="20"/>
                <w:szCs w:val="20"/>
              </w:rPr>
              <w:t>;</w:t>
            </w:r>
            <w:r w:rsidRPr="00400121">
              <w:rPr>
                <w:rFonts w:eastAsiaTheme="minorHAnsi"/>
                <w:sz w:val="20"/>
                <w:szCs w:val="20"/>
                <w:lang w:val="en-US" w:eastAsia="en-US"/>
              </w:rPr>
              <w:t>0.7866]</w:t>
            </w:r>
            <w:r w:rsidRPr="00400121">
              <w:rPr>
                <w:sz w:val="20"/>
                <w:szCs w:val="20"/>
              </w:rPr>
              <w:t xml:space="preserve"> </w:t>
            </w:r>
          </w:p>
        </w:tc>
        <w:tc>
          <w:tcPr>
            <w:tcW w:w="1440" w:type="dxa"/>
            <w:vAlign w:val="bottom"/>
          </w:tcPr>
          <w:p w:rsidR="00733AEC" w:rsidRDefault="00733AEC" w:rsidP="00DB0393">
            <w:pPr>
              <w:jc w:val="center"/>
              <w:rPr>
                <w:b/>
                <w:sz w:val="20"/>
                <w:szCs w:val="20"/>
              </w:rPr>
            </w:pPr>
            <w:r w:rsidRPr="00400121">
              <w:rPr>
                <w:b/>
                <w:sz w:val="20"/>
                <w:szCs w:val="20"/>
              </w:rPr>
              <w:t>0.876</w:t>
            </w:r>
          </w:p>
          <w:p w:rsidR="00733AEC" w:rsidRPr="00400121" w:rsidRDefault="00733AEC" w:rsidP="00DB0393">
            <w:pPr>
              <w:jc w:val="center"/>
              <w:rPr>
                <w:b/>
                <w:sz w:val="20"/>
                <w:szCs w:val="20"/>
              </w:rPr>
            </w:pPr>
          </w:p>
          <w:p w:rsidR="00733AEC" w:rsidRPr="00400121" w:rsidRDefault="00733AEC" w:rsidP="00DB0393">
            <w:pPr>
              <w:autoSpaceDE w:val="0"/>
              <w:autoSpaceDN w:val="0"/>
              <w:adjustRightInd w:val="0"/>
              <w:rPr>
                <w:b/>
                <w:sz w:val="20"/>
                <w:szCs w:val="20"/>
              </w:rPr>
            </w:pPr>
            <w:r w:rsidRPr="00400121">
              <w:rPr>
                <w:b/>
                <w:sz w:val="20"/>
                <w:szCs w:val="20"/>
              </w:rPr>
              <w:t>[</w:t>
            </w:r>
            <w:r w:rsidRPr="00400121">
              <w:rPr>
                <w:rFonts w:eastAsiaTheme="minorHAnsi"/>
                <w:b/>
                <w:sz w:val="20"/>
                <w:szCs w:val="20"/>
                <w:lang w:val="en-US" w:eastAsia="en-US"/>
              </w:rPr>
              <w:t>0.8756</w:t>
            </w:r>
            <w:r w:rsidRPr="00400121">
              <w:rPr>
                <w:b/>
                <w:sz w:val="20"/>
                <w:szCs w:val="20"/>
              </w:rPr>
              <w:t>;</w:t>
            </w:r>
            <w:r w:rsidRPr="00400121">
              <w:rPr>
                <w:rFonts w:eastAsiaTheme="minorHAnsi"/>
                <w:b/>
                <w:sz w:val="20"/>
                <w:szCs w:val="20"/>
                <w:lang w:val="en-US" w:eastAsia="en-US"/>
              </w:rPr>
              <w:t>0.8772</w:t>
            </w:r>
            <w:r w:rsidRPr="00400121">
              <w:rPr>
                <w:b/>
                <w:sz w:val="20"/>
                <w:szCs w:val="20"/>
              </w:rPr>
              <w:t>]</w:t>
            </w:r>
          </w:p>
        </w:tc>
      </w:tr>
      <w:tr w:rsidR="00733AEC" w:rsidTr="00DB0393">
        <w:trPr>
          <w:trHeight w:val="312"/>
        </w:trPr>
        <w:tc>
          <w:tcPr>
            <w:tcW w:w="916" w:type="dxa"/>
            <w:vAlign w:val="bottom"/>
          </w:tcPr>
          <w:p w:rsidR="00733AEC" w:rsidRPr="006C7E97" w:rsidRDefault="00733AEC" w:rsidP="00DB0393">
            <w:pPr>
              <w:rPr>
                <w:b/>
                <w:sz w:val="20"/>
                <w:szCs w:val="20"/>
              </w:rPr>
            </w:pPr>
            <w:r w:rsidRPr="006C7E97">
              <w:rPr>
                <w:b/>
                <w:sz w:val="20"/>
                <w:szCs w:val="20"/>
              </w:rPr>
              <w:t xml:space="preserve">Lin’s </w:t>
            </w:r>
            <w:proofErr w:type="spellStart"/>
            <w:r w:rsidRPr="006C7E97">
              <w:rPr>
                <w:b/>
                <w:sz w:val="20"/>
                <w:szCs w:val="20"/>
              </w:rPr>
              <w:t>r_ccc</w:t>
            </w:r>
            <w:proofErr w:type="spellEnd"/>
            <w:r w:rsidRPr="006C7E97">
              <w:rPr>
                <w:b/>
                <w:sz w:val="20"/>
                <w:szCs w:val="20"/>
              </w:rPr>
              <w:t xml:space="preserve"> without top 1% papers</w:t>
            </w:r>
          </w:p>
        </w:tc>
        <w:tc>
          <w:tcPr>
            <w:tcW w:w="1529" w:type="dxa"/>
            <w:vAlign w:val="bottom"/>
          </w:tcPr>
          <w:p w:rsidR="00733AEC" w:rsidRDefault="00733AEC" w:rsidP="00DB0393">
            <w:pPr>
              <w:jc w:val="center"/>
              <w:rPr>
                <w:b/>
                <w:sz w:val="20"/>
                <w:szCs w:val="20"/>
              </w:rPr>
            </w:pPr>
          </w:p>
          <w:p w:rsidR="00733AEC" w:rsidRDefault="00733AEC" w:rsidP="00DB0393">
            <w:pPr>
              <w:jc w:val="center"/>
              <w:rPr>
                <w:b/>
                <w:sz w:val="20"/>
                <w:szCs w:val="20"/>
              </w:rPr>
            </w:pPr>
            <w:r w:rsidRPr="00400121">
              <w:rPr>
                <w:b/>
                <w:sz w:val="20"/>
                <w:szCs w:val="20"/>
              </w:rPr>
              <w:t>0.867</w:t>
            </w:r>
          </w:p>
          <w:p w:rsidR="00733AEC" w:rsidRPr="00400121" w:rsidRDefault="00733AEC" w:rsidP="00DB0393">
            <w:pPr>
              <w:jc w:val="center"/>
              <w:rPr>
                <w:b/>
                <w:sz w:val="20"/>
                <w:szCs w:val="20"/>
                <w:lang w:val="en-US" w:eastAsia="en-US"/>
              </w:rPr>
            </w:pPr>
          </w:p>
          <w:p w:rsidR="00733AEC" w:rsidRDefault="00733AEC" w:rsidP="005A6650">
            <w:pPr>
              <w:rPr>
                <w:b/>
                <w:sz w:val="20"/>
                <w:szCs w:val="20"/>
              </w:rPr>
            </w:pPr>
            <w:r w:rsidRPr="00400121">
              <w:rPr>
                <w:b/>
                <w:sz w:val="20"/>
                <w:szCs w:val="20"/>
              </w:rPr>
              <w:t>[0.8661;0.8677]</w:t>
            </w:r>
          </w:p>
          <w:p w:rsidR="00733AEC" w:rsidRPr="005A6650" w:rsidRDefault="00733AEC" w:rsidP="005A6650">
            <w:pPr>
              <w:jc w:val="center"/>
              <w:rPr>
                <w:sz w:val="20"/>
                <w:szCs w:val="20"/>
              </w:rPr>
            </w:pPr>
            <w:r w:rsidRPr="005A6650">
              <w:rPr>
                <w:sz w:val="20"/>
                <w:szCs w:val="20"/>
              </w:rPr>
              <w:t>1.28%</w:t>
            </w:r>
          </w:p>
        </w:tc>
        <w:tc>
          <w:tcPr>
            <w:tcW w:w="1440" w:type="dxa"/>
            <w:vAlign w:val="bottom"/>
          </w:tcPr>
          <w:p w:rsidR="00733AEC" w:rsidRPr="005A6650" w:rsidRDefault="00733AEC" w:rsidP="00DB0393">
            <w:pPr>
              <w:jc w:val="center"/>
              <w:rPr>
                <w:sz w:val="20"/>
                <w:szCs w:val="20"/>
              </w:rPr>
            </w:pPr>
          </w:p>
          <w:p w:rsidR="00733AEC" w:rsidRPr="005A6650" w:rsidRDefault="00733AEC" w:rsidP="00DB0393">
            <w:pPr>
              <w:jc w:val="center"/>
              <w:rPr>
                <w:sz w:val="20"/>
                <w:szCs w:val="20"/>
              </w:rPr>
            </w:pPr>
            <w:r w:rsidRPr="005A6650">
              <w:rPr>
                <w:sz w:val="20"/>
                <w:szCs w:val="20"/>
              </w:rPr>
              <w:t>0.704</w:t>
            </w:r>
          </w:p>
          <w:p w:rsidR="00733AEC" w:rsidRPr="005A6650" w:rsidRDefault="00733AEC" w:rsidP="00DB0393">
            <w:pPr>
              <w:jc w:val="center"/>
              <w:rPr>
                <w:sz w:val="20"/>
                <w:szCs w:val="20"/>
              </w:rPr>
            </w:pPr>
          </w:p>
          <w:p w:rsidR="00733AEC" w:rsidRPr="005A6650" w:rsidRDefault="00733AEC" w:rsidP="00DB0393">
            <w:pPr>
              <w:jc w:val="right"/>
              <w:rPr>
                <w:sz w:val="20"/>
                <w:szCs w:val="20"/>
                <w:lang w:val="en-US" w:eastAsia="en-US"/>
              </w:rPr>
            </w:pPr>
            <w:r w:rsidRPr="005A6650">
              <w:rPr>
                <w:sz w:val="20"/>
                <w:szCs w:val="20"/>
              </w:rPr>
              <w:t>[0.7032</w:t>
            </w:r>
            <w:r w:rsidRPr="005A6650">
              <w:rPr>
                <w:sz w:val="20"/>
                <w:szCs w:val="20"/>
                <w:lang w:val="en-US" w:eastAsia="en-US"/>
              </w:rPr>
              <w:t>;</w:t>
            </w:r>
            <w:r w:rsidRPr="005A6650">
              <w:rPr>
                <w:sz w:val="20"/>
                <w:szCs w:val="20"/>
              </w:rPr>
              <w:t>0.7058</w:t>
            </w:r>
            <w:r w:rsidRPr="005A6650">
              <w:rPr>
                <w:sz w:val="20"/>
                <w:szCs w:val="20"/>
                <w:lang w:val="en-US" w:eastAsia="en-US"/>
              </w:rPr>
              <w:t>]</w:t>
            </w:r>
          </w:p>
          <w:p w:rsidR="00733AEC" w:rsidRPr="005A6650" w:rsidRDefault="00733AEC" w:rsidP="005A6650">
            <w:pPr>
              <w:autoSpaceDE w:val="0"/>
              <w:autoSpaceDN w:val="0"/>
              <w:adjustRightInd w:val="0"/>
              <w:jc w:val="center"/>
              <w:rPr>
                <w:sz w:val="20"/>
                <w:szCs w:val="20"/>
                <w:lang w:val="en-US" w:eastAsia="en-US"/>
              </w:rPr>
            </w:pPr>
            <w:r w:rsidRPr="005A6650">
              <w:rPr>
                <w:sz w:val="20"/>
                <w:szCs w:val="20"/>
                <w:lang w:val="en-US" w:eastAsia="nl-NL"/>
              </w:rPr>
              <w:t>1.31%</w:t>
            </w:r>
          </w:p>
        </w:tc>
        <w:tc>
          <w:tcPr>
            <w:tcW w:w="1440" w:type="dxa"/>
            <w:vAlign w:val="bottom"/>
          </w:tcPr>
          <w:p w:rsidR="00733AEC" w:rsidRPr="005A6650" w:rsidRDefault="00733AEC" w:rsidP="00DB0393">
            <w:pPr>
              <w:jc w:val="center"/>
              <w:rPr>
                <w:sz w:val="20"/>
                <w:szCs w:val="20"/>
              </w:rPr>
            </w:pPr>
          </w:p>
          <w:p w:rsidR="00733AEC" w:rsidRPr="005A6650" w:rsidRDefault="00733AEC" w:rsidP="00DB0393">
            <w:pPr>
              <w:jc w:val="center"/>
              <w:rPr>
                <w:sz w:val="20"/>
                <w:szCs w:val="20"/>
              </w:rPr>
            </w:pPr>
            <w:r w:rsidRPr="005A6650">
              <w:rPr>
                <w:sz w:val="20"/>
                <w:szCs w:val="20"/>
              </w:rPr>
              <w:t>0.622</w:t>
            </w:r>
          </w:p>
          <w:p w:rsidR="00733AEC" w:rsidRPr="005A6650" w:rsidRDefault="00733AEC" w:rsidP="00DB0393">
            <w:pPr>
              <w:jc w:val="center"/>
              <w:rPr>
                <w:sz w:val="20"/>
                <w:szCs w:val="20"/>
              </w:rPr>
            </w:pPr>
          </w:p>
          <w:p w:rsidR="00733AEC" w:rsidRPr="005A6650" w:rsidRDefault="00733AEC" w:rsidP="00DB0393">
            <w:pPr>
              <w:jc w:val="right"/>
              <w:rPr>
                <w:sz w:val="20"/>
                <w:szCs w:val="20"/>
              </w:rPr>
            </w:pPr>
            <w:r w:rsidRPr="005A6650">
              <w:rPr>
                <w:sz w:val="20"/>
                <w:szCs w:val="20"/>
              </w:rPr>
              <w:t>[0.6202;0.6230]</w:t>
            </w:r>
          </w:p>
          <w:p w:rsidR="00733AEC" w:rsidRPr="005A6650" w:rsidRDefault="00733AEC" w:rsidP="005A6650">
            <w:pPr>
              <w:autoSpaceDE w:val="0"/>
              <w:autoSpaceDN w:val="0"/>
              <w:adjustRightInd w:val="0"/>
              <w:jc w:val="center"/>
              <w:rPr>
                <w:sz w:val="20"/>
                <w:szCs w:val="20"/>
              </w:rPr>
            </w:pPr>
            <w:r w:rsidRPr="005A6650">
              <w:rPr>
                <w:sz w:val="20"/>
                <w:szCs w:val="20"/>
                <w:lang w:val="en-US" w:eastAsia="nl-NL"/>
              </w:rPr>
              <w:t>1.35%</w:t>
            </w:r>
            <w:r w:rsidRPr="005A6650">
              <w:rPr>
                <w:sz w:val="20"/>
                <w:szCs w:val="20"/>
              </w:rPr>
              <w:t xml:space="preserve"> </w:t>
            </w:r>
          </w:p>
        </w:tc>
        <w:tc>
          <w:tcPr>
            <w:tcW w:w="1440" w:type="dxa"/>
            <w:vAlign w:val="bottom"/>
          </w:tcPr>
          <w:p w:rsidR="00733AEC" w:rsidRPr="005A6650" w:rsidRDefault="00733AEC" w:rsidP="00DB0393">
            <w:pPr>
              <w:jc w:val="center"/>
              <w:rPr>
                <w:sz w:val="20"/>
                <w:szCs w:val="20"/>
              </w:rPr>
            </w:pPr>
          </w:p>
          <w:p w:rsidR="00733AEC" w:rsidRPr="005A6650" w:rsidRDefault="00733AEC" w:rsidP="00DB0393">
            <w:pPr>
              <w:jc w:val="center"/>
              <w:rPr>
                <w:sz w:val="20"/>
                <w:szCs w:val="20"/>
              </w:rPr>
            </w:pPr>
            <w:r w:rsidRPr="005A6650">
              <w:rPr>
                <w:sz w:val="20"/>
                <w:szCs w:val="20"/>
              </w:rPr>
              <w:t>0.778</w:t>
            </w:r>
          </w:p>
          <w:p w:rsidR="00733AEC" w:rsidRPr="005A6650" w:rsidRDefault="00733AEC" w:rsidP="00DB0393">
            <w:pPr>
              <w:jc w:val="center"/>
              <w:rPr>
                <w:sz w:val="20"/>
                <w:szCs w:val="20"/>
              </w:rPr>
            </w:pPr>
          </w:p>
          <w:p w:rsidR="00733AEC" w:rsidRPr="005A6650" w:rsidRDefault="00733AEC" w:rsidP="00DB0393">
            <w:pPr>
              <w:rPr>
                <w:sz w:val="20"/>
                <w:szCs w:val="20"/>
              </w:rPr>
            </w:pPr>
            <w:r w:rsidRPr="005A6650">
              <w:rPr>
                <w:sz w:val="20"/>
                <w:szCs w:val="20"/>
              </w:rPr>
              <w:t>[0.7771;0.7795]</w:t>
            </w:r>
          </w:p>
          <w:p w:rsidR="00733AEC" w:rsidRPr="005A6650" w:rsidRDefault="00733AEC" w:rsidP="005A6650">
            <w:pPr>
              <w:autoSpaceDE w:val="0"/>
              <w:autoSpaceDN w:val="0"/>
              <w:adjustRightInd w:val="0"/>
              <w:jc w:val="center"/>
              <w:rPr>
                <w:sz w:val="20"/>
                <w:szCs w:val="20"/>
              </w:rPr>
            </w:pPr>
            <w:r w:rsidRPr="005A6650">
              <w:rPr>
                <w:sz w:val="20"/>
                <w:szCs w:val="20"/>
                <w:lang w:val="en-US" w:eastAsia="nl-NL"/>
              </w:rPr>
              <w:t>1.35%</w:t>
            </w:r>
          </w:p>
        </w:tc>
        <w:tc>
          <w:tcPr>
            <w:tcW w:w="1440" w:type="dxa"/>
            <w:vAlign w:val="bottom"/>
          </w:tcPr>
          <w:p w:rsidR="00733AEC" w:rsidRPr="005A6650" w:rsidRDefault="00733AEC" w:rsidP="00DB0393">
            <w:pPr>
              <w:jc w:val="center"/>
              <w:rPr>
                <w:sz w:val="20"/>
                <w:szCs w:val="20"/>
              </w:rPr>
            </w:pPr>
          </w:p>
          <w:p w:rsidR="00733AEC" w:rsidRPr="005A6650" w:rsidRDefault="00733AEC" w:rsidP="00DB0393">
            <w:pPr>
              <w:jc w:val="center"/>
              <w:rPr>
                <w:sz w:val="20"/>
                <w:szCs w:val="20"/>
              </w:rPr>
            </w:pPr>
            <w:r w:rsidRPr="005A6650">
              <w:rPr>
                <w:sz w:val="20"/>
                <w:szCs w:val="20"/>
              </w:rPr>
              <w:t>0.716</w:t>
            </w:r>
          </w:p>
          <w:p w:rsidR="00733AEC" w:rsidRPr="005A6650" w:rsidRDefault="00733AEC" w:rsidP="00DB0393">
            <w:pPr>
              <w:jc w:val="center"/>
              <w:rPr>
                <w:sz w:val="20"/>
                <w:szCs w:val="20"/>
              </w:rPr>
            </w:pPr>
          </w:p>
          <w:p w:rsidR="00733AEC" w:rsidRPr="005A6650" w:rsidRDefault="00733AEC" w:rsidP="00DB0393">
            <w:pPr>
              <w:jc w:val="right"/>
              <w:rPr>
                <w:sz w:val="20"/>
                <w:szCs w:val="20"/>
              </w:rPr>
            </w:pPr>
            <w:r w:rsidRPr="005A6650">
              <w:rPr>
                <w:sz w:val="20"/>
                <w:szCs w:val="20"/>
              </w:rPr>
              <w:t>[0.7149;0.7176]</w:t>
            </w:r>
          </w:p>
          <w:p w:rsidR="00733AEC" w:rsidRPr="005A6650" w:rsidRDefault="00733AEC" w:rsidP="005A6650">
            <w:pPr>
              <w:autoSpaceDE w:val="0"/>
              <w:autoSpaceDN w:val="0"/>
              <w:adjustRightInd w:val="0"/>
              <w:jc w:val="center"/>
              <w:rPr>
                <w:sz w:val="20"/>
                <w:szCs w:val="20"/>
              </w:rPr>
            </w:pPr>
            <w:r w:rsidRPr="005A6650">
              <w:rPr>
                <w:sz w:val="20"/>
                <w:szCs w:val="20"/>
                <w:lang w:val="en-US" w:eastAsia="nl-NL"/>
              </w:rPr>
              <w:t>1.37%</w:t>
            </w:r>
          </w:p>
        </w:tc>
        <w:tc>
          <w:tcPr>
            <w:tcW w:w="1440" w:type="dxa"/>
            <w:vAlign w:val="bottom"/>
          </w:tcPr>
          <w:p w:rsidR="00733AEC" w:rsidRPr="005A6650" w:rsidRDefault="00733AEC" w:rsidP="00DB0393">
            <w:pPr>
              <w:jc w:val="center"/>
              <w:rPr>
                <w:b/>
                <w:sz w:val="20"/>
                <w:szCs w:val="20"/>
              </w:rPr>
            </w:pPr>
          </w:p>
          <w:p w:rsidR="00733AEC" w:rsidRPr="005A6650" w:rsidRDefault="00733AEC" w:rsidP="00DB0393">
            <w:pPr>
              <w:jc w:val="center"/>
              <w:rPr>
                <w:b/>
                <w:sz w:val="20"/>
                <w:szCs w:val="20"/>
              </w:rPr>
            </w:pPr>
            <w:r w:rsidRPr="005A6650">
              <w:rPr>
                <w:b/>
                <w:sz w:val="20"/>
                <w:szCs w:val="20"/>
              </w:rPr>
              <w:t>0.857</w:t>
            </w:r>
          </w:p>
          <w:p w:rsidR="00733AEC" w:rsidRPr="005A6650" w:rsidRDefault="00733AEC" w:rsidP="00DB0393">
            <w:pPr>
              <w:jc w:val="center"/>
              <w:rPr>
                <w:b/>
                <w:sz w:val="20"/>
                <w:szCs w:val="20"/>
              </w:rPr>
            </w:pPr>
          </w:p>
          <w:p w:rsidR="00733AEC" w:rsidRPr="005A6650" w:rsidRDefault="00733AEC" w:rsidP="00DB0393">
            <w:pPr>
              <w:rPr>
                <w:b/>
                <w:sz w:val="20"/>
                <w:szCs w:val="20"/>
              </w:rPr>
            </w:pPr>
            <w:r w:rsidRPr="005A6650">
              <w:rPr>
                <w:b/>
                <w:sz w:val="20"/>
                <w:szCs w:val="20"/>
              </w:rPr>
              <w:t>[0.8561;0.8579]</w:t>
            </w:r>
          </w:p>
          <w:p w:rsidR="00733AEC" w:rsidRPr="005A6650" w:rsidRDefault="00733AEC" w:rsidP="005A6650">
            <w:pPr>
              <w:autoSpaceDE w:val="0"/>
              <w:autoSpaceDN w:val="0"/>
              <w:adjustRightInd w:val="0"/>
              <w:jc w:val="center"/>
              <w:rPr>
                <w:b/>
                <w:sz w:val="20"/>
                <w:szCs w:val="20"/>
              </w:rPr>
            </w:pPr>
            <w:r w:rsidRPr="005A6650">
              <w:rPr>
                <w:sz w:val="20"/>
                <w:szCs w:val="20"/>
                <w:lang w:val="en-US" w:eastAsia="nl-NL"/>
              </w:rPr>
              <w:t>1.28%</w:t>
            </w:r>
          </w:p>
        </w:tc>
      </w:tr>
      <w:tr w:rsidR="00733AEC" w:rsidTr="00DB0393">
        <w:trPr>
          <w:trHeight w:val="299"/>
        </w:trPr>
        <w:tc>
          <w:tcPr>
            <w:tcW w:w="916" w:type="dxa"/>
            <w:vAlign w:val="bottom"/>
          </w:tcPr>
          <w:p w:rsidR="00733AEC" w:rsidRPr="006C7E97" w:rsidRDefault="00733AEC" w:rsidP="00DB0393">
            <w:pPr>
              <w:rPr>
                <w:b/>
                <w:sz w:val="20"/>
                <w:szCs w:val="20"/>
              </w:rPr>
            </w:pPr>
            <w:r w:rsidRPr="006C7E97">
              <w:rPr>
                <w:b/>
                <w:sz w:val="20"/>
                <w:szCs w:val="20"/>
              </w:rPr>
              <w:t xml:space="preserve">Change in Lin’s </w:t>
            </w:r>
            <w:proofErr w:type="spellStart"/>
            <w:r w:rsidRPr="006C7E97">
              <w:rPr>
                <w:b/>
                <w:sz w:val="20"/>
                <w:szCs w:val="20"/>
              </w:rPr>
              <w:t>r_ccc</w:t>
            </w:r>
            <w:proofErr w:type="spellEnd"/>
            <w:r w:rsidRPr="006C7E97">
              <w:rPr>
                <w:b/>
                <w:sz w:val="20"/>
                <w:szCs w:val="20"/>
              </w:rPr>
              <w:t xml:space="preserve"> </w:t>
            </w:r>
          </w:p>
        </w:tc>
        <w:tc>
          <w:tcPr>
            <w:tcW w:w="1529" w:type="dxa"/>
            <w:vAlign w:val="bottom"/>
          </w:tcPr>
          <w:p w:rsidR="00733AEC" w:rsidRPr="006C7E97" w:rsidRDefault="00733AEC" w:rsidP="00DB0393">
            <w:pPr>
              <w:jc w:val="center"/>
              <w:rPr>
                <w:sz w:val="20"/>
                <w:szCs w:val="20"/>
              </w:rPr>
            </w:pPr>
            <w:r>
              <w:rPr>
                <w:sz w:val="20"/>
                <w:szCs w:val="20"/>
              </w:rPr>
              <w:t>0.109</w:t>
            </w:r>
          </w:p>
        </w:tc>
        <w:tc>
          <w:tcPr>
            <w:tcW w:w="1440" w:type="dxa"/>
            <w:vAlign w:val="bottom"/>
          </w:tcPr>
          <w:p w:rsidR="00733AEC" w:rsidRPr="006C7E97" w:rsidRDefault="00733AEC" w:rsidP="00DB0393">
            <w:pPr>
              <w:jc w:val="center"/>
              <w:rPr>
                <w:sz w:val="20"/>
                <w:szCs w:val="20"/>
              </w:rPr>
            </w:pPr>
            <w:r w:rsidRPr="006C7E97">
              <w:rPr>
                <w:sz w:val="20"/>
                <w:szCs w:val="20"/>
              </w:rPr>
              <w:t>-0.0</w:t>
            </w:r>
            <w:r>
              <w:rPr>
                <w:sz w:val="20"/>
                <w:szCs w:val="20"/>
              </w:rPr>
              <w:t>6</w:t>
            </w:r>
            <w:r w:rsidRPr="006C7E97">
              <w:rPr>
                <w:sz w:val="20"/>
                <w:szCs w:val="20"/>
              </w:rPr>
              <w:t>7</w:t>
            </w:r>
          </w:p>
        </w:tc>
        <w:tc>
          <w:tcPr>
            <w:tcW w:w="1440" w:type="dxa"/>
            <w:vAlign w:val="bottom"/>
          </w:tcPr>
          <w:p w:rsidR="00733AEC" w:rsidRPr="006C7E97" w:rsidRDefault="00733AEC" w:rsidP="00DB0393">
            <w:pPr>
              <w:jc w:val="center"/>
              <w:rPr>
                <w:sz w:val="20"/>
                <w:szCs w:val="20"/>
              </w:rPr>
            </w:pPr>
            <w:r w:rsidRPr="006C7E97">
              <w:rPr>
                <w:sz w:val="20"/>
                <w:szCs w:val="20"/>
              </w:rPr>
              <w:t>-0.0</w:t>
            </w:r>
            <w:r>
              <w:rPr>
                <w:sz w:val="20"/>
                <w:szCs w:val="20"/>
              </w:rPr>
              <w:t>5</w:t>
            </w:r>
            <w:r w:rsidRPr="006C7E97">
              <w:rPr>
                <w:sz w:val="20"/>
                <w:szCs w:val="20"/>
              </w:rPr>
              <w:t>6</w:t>
            </w:r>
          </w:p>
        </w:tc>
        <w:tc>
          <w:tcPr>
            <w:tcW w:w="1440" w:type="dxa"/>
            <w:vAlign w:val="bottom"/>
          </w:tcPr>
          <w:p w:rsidR="00733AEC" w:rsidRPr="006C7E97" w:rsidRDefault="00733AEC" w:rsidP="00DB0393">
            <w:pPr>
              <w:jc w:val="center"/>
              <w:rPr>
                <w:sz w:val="20"/>
                <w:szCs w:val="20"/>
              </w:rPr>
            </w:pPr>
            <w:r w:rsidRPr="006C7E97">
              <w:rPr>
                <w:sz w:val="20"/>
                <w:szCs w:val="20"/>
              </w:rPr>
              <w:t>-0.0</w:t>
            </w:r>
            <w:r>
              <w:rPr>
                <w:sz w:val="20"/>
                <w:szCs w:val="20"/>
              </w:rPr>
              <w:t>77</w:t>
            </w:r>
          </w:p>
        </w:tc>
        <w:tc>
          <w:tcPr>
            <w:tcW w:w="1440" w:type="dxa"/>
            <w:vAlign w:val="bottom"/>
          </w:tcPr>
          <w:p w:rsidR="00733AEC" w:rsidRPr="006C7E97" w:rsidRDefault="00733AEC" w:rsidP="00DB0393">
            <w:pPr>
              <w:jc w:val="center"/>
              <w:rPr>
                <w:sz w:val="20"/>
                <w:szCs w:val="20"/>
              </w:rPr>
            </w:pPr>
            <w:r>
              <w:rPr>
                <w:sz w:val="20"/>
                <w:szCs w:val="20"/>
              </w:rPr>
              <w:t>-0.069</w:t>
            </w:r>
          </w:p>
        </w:tc>
        <w:tc>
          <w:tcPr>
            <w:tcW w:w="1440" w:type="dxa"/>
            <w:vAlign w:val="bottom"/>
          </w:tcPr>
          <w:p w:rsidR="00733AEC" w:rsidRPr="006C7E97" w:rsidRDefault="00733AEC" w:rsidP="00DB0393">
            <w:pPr>
              <w:jc w:val="center"/>
              <w:rPr>
                <w:sz w:val="20"/>
                <w:szCs w:val="20"/>
              </w:rPr>
            </w:pPr>
            <w:r>
              <w:rPr>
                <w:sz w:val="20"/>
                <w:szCs w:val="20"/>
              </w:rPr>
              <w:t>-0.019</w:t>
            </w:r>
          </w:p>
        </w:tc>
      </w:tr>
    </w:tbl>
    <w:p w:rsidR="00733AEC" w:rsidRDefault="00733AEC"/>
    <w:p w:rsidR="00733AEC" w:rsidRDefault="00733AEC">
      <w:pPr>
        <w:jc w:val="both"/>
      </w:pPr>
      <w:r>
        <w:t xml:space="preserve">All changes are statistically significant as documented by the non-overlapping confidence intervals. Lin’s concordance coefficient increases by 0.1 for the comparison of </w:t>
      </w:r>
      <w:proofErr w:type="spellStart"/>
      <w:r>
        <w:t>WoS</w:t>
      </w:r>
      <w:proofErr w:type="spellEnd"/>
      <w:r>
        <w:t xml:space="preserve"> and Scopus—the two databases with journal-based subject classification. The agreement improves from </w:t>
      </w:r>
      <w:r>
        <w:rPr>
          <w:i/>
        </w:rPr>
        <w:t>strong</w:t>
      </w:r>
      <w:r>
        <w:t xml:space="preserve"> to </w:t>
      </w:r>
      <w:r>
        <w:rPr>
          <w:i/>
        </w:rPr>
        <w:t>almost complete</w:t>
      </w:r>
      <w:r>
        <w:t xml:space="preserve">. For the comparison of Dimensions and </w:t>
      </w:r>
      <w:proofErr w:type="spellStart"/>
      <w:r>
        <w:t>OpenAlex</w:t>
      </w:r>
      <w:proofErr w:type="spellEnd"/>
      <w:r>
        <w:t xml:space="preserve">—the two databases with paper-based subject classification—the coefficient decreases slightly by about 0.02. For the comparison of Dimensions and Scopus, the decrease by 0.08 leads to a change from </w:t>
      </w:r>
      <w:r>
        <w:rPr>
          <w:i/>
        </w:rPr>
        <w:t>almost complete</w:t>
      </w:r>
      <w:r>
        <w:t xml:space="preserve"> to only </w:t>
      </w:r>
      <w:r>
        <w:rPr>
          <w:i/>
        </w:rPr>
        <w:t>strong</w:t>
      </w:r>
      <w:r>
        <w:t xml:space="preserve"> agreement. For the other three comparisons, the decrease of Lin’s concordance is smaller and does not change the assessment of agreement.</w:t>
      </w:r>
    </w:p>
    <w:p w:rsidR="00733AEC" w:rsidRDefault="00733AEC">
      <w:pPr>
        <w:jc w:val="both"/>
      </w:pPr>
    </w:p>
    <w:p w:rsidR="00733AEC" w:rsidRDefault="00733AEC">
      <w:pPr>
        <w:pStyle w:val="Heading3"/>
      </w:pPr>
      <w:r>
        <w:t xml:space="preserve">3.3. </w:t>
      </w:r>
      <w:bookmarkStart w:id="5" w:name="X12587257c64baf63010a2276517d9a286eb2e65"/>
      <w:r>
        <w:t>Results for the 48 German universities separately</w:t>
      </w:r>
      <w:bookmarkEnd w:id="5"/>
      <w:r>
        <w:tab/>
      </w:r>
    </w:p>
    <w:p w:rsidR="00733AEC" w:rsidRDefault="00733AEC">
      <w:pPr>
        <w:pStyle w:val="FirstParagraph"/>
        <w:spacing w:before="0" w:after="0"/>
        <w:jc w:val="both"/>
      </w:pPr>
      <w:r>
        <w:t>The same evaluations on a per-paper basis have been done for all 48 universities separately. Because of many collaborations between German universities the 334,511 DOIs occur 424,267 times in total in the separate evaluations of the universities. At first, we look at the spread of the correlation coefficients collected in Table 5.</w:t>
      </w:r>
    </w:p>
    <w:p w:rsidR="00733AEC" w:rsidRDefault="00733AEC">
      <w:pPr>
        <w:pStyle w:val="Heading3"/>
        <w:jc w:val="both"/>
        <w:rPr>
          <w:lang w:val="en-US"/>
        </w:rPr>
      </w:pPr>
    </w:p>
    <w:p w:rsidR="00733AEC" w:rsidRDefault="00733AEC">
      <w:pPr>
        <w:jc w:val="center"/>
      </w:pPr>
      <w:r>
        <w:t xml:space="preserve">Table 5. Min-max-intervals of the correlation coefficients of the 48 universities separately. Spearman’s </w:t>
      </w:r>
      <w:proofErr w:type="spellStart"/>
      <w:r>
        <w:rPr>
          <w:i/>
        </w:rPr>
        <w:t>r_s</w:t>
      </w:r>
      <w:proofErr w:type="spellEnd"/>
      <w:r>
        <w:t xml:space="preserve"> is given beneath the diagonal, Lin’s </w:t>
      </w:r>
      <w:proofErr w:type="spellStart"/>
      <w:r>
        <w:rPr>
          <w:i/>
        </w:rPr>
        <w:t>r_ccc</w:t>
      </w:r>
      <w:proofErr w:type="spellEnd"/>
      <w:r>
        <w:t xml:space="preserve"> above the diagonal.</w:t>
      </w:r>
    </w:p>
    <w:p w:rsidR="00733AEC" w:rsidRDefault="00733AE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5"/>
        <w:gridCol w:w="1895"/>
        <w:gridCol w:w="1899"/>
        <w:gridCol w:w="1909"/>
        <w:gridCol w:w="1513"/>
      </w:tblGrid>
      <w:tr w:rsidR="00733AEC">
        <w:trPr>
          <w:trHeight w:val="299"/>
        </w:trPr>
        <w:tc>
          <w:tcPr>
            <w:tcW w:w="1785" w:type="dxa"/>
            <w:vAlign w:val="bottom"/>
          </w:tcPr>
          <w:p w:rsidR="00733AEC" w:rsidRDefault="00733AEC" w:rsidP="001251A6">
            <w:pPr>
              <w:rPr>
                <w:b/>
                <w:bCs/>
              </w:rPr>
            </w:pPr>
            <w:r>
              <w:rPr>
                <w:b/>
              </w:rPr>
              <w:t>Database</w:t>
            </w:r>
          </w:p>
        </w:tc>
        <w:tc>
          <w:tcPr>
            <w:tcW w:w="1923" w:type="dxa"/>
            <w:vAlign w:val="bottom"/>
          </w:tcPr>
          <w:p w:rsidR="00733AEC" w:rsidRDefault="00733AEC">
            <w:pPr>
              <w:rPr>
                <w:b/>
                <w:bCs/>
              </w:rPr>
            </w:pPr>
            <w:proofErr w:type="spellStart"/>
            <w:r>
              <w:rPr>
                <w:b/>
              </w:rPr>
              <w:t>WoS</w:t>
            </w:r>
            <w:proofErr w:type="spellEnd"/>
          </w:p>
        </w:tc>
        <w:tc>
          <w:tcPr>
            <w:tcW w:w="1923" w:type="dxa"/>
            <w:vAlign w:val="bottom"/>
          </w:tcPr>
          <w:p w:rsidR="00733AEC" w:rsidRDefault="00733AEC">
            <w:pPr>
              <w:rPr>
                <w:b/>
                <w:bCs/>
              </w:rPr>
            </w:pPr>
            <w:r>
              <w:rPr>
                <w:b/>
              </w:rPr>
              <w:t>Scopus</w:t>
            </w:r>
          </w:p>
        </w:tc>
        <w:tc>
          <w:tcPr>
            <w:tcW w:w="1923" w:type="dxa"/>
          </w:tcPr>
          <w:p w:rsidR="00733AEC" w:rsidRDefault="00733AEC">
            <w:pPr>
              <w:rPr>
                <w:b/>
                <w:bCs/>
              </w:rPr>
            </w:pPr>
            <w:r>
              <w:rPr>
                <w:b/>
              </w:rPr>
              <w:t>Dimensions</w:t>
            </w:r>
          </w:p>
        </w:tc>
        <w:tc>
          <w:tcPr>
            <w:tcW w:w="1521" w:type="dxa"/>
            <w:vAlign w:val="bottom"/>
          </w:tcPr>
          <w:p w:rsidR="00733AEC" w:rsidRDefault="00733AEC">
            <w:pPr>
              <w:rPr>
                <w:b/>
                <w:bCs/>
              </w:rPr>
            </w:pPr>
            <w:proofErr w:type="spellStart"/>
            <w:r>
              <w:rPr>
                <w:b/>
              </w:rPr>
              <w:t>OpenAlex</w:t>
            </w:r>
            <w:proofErr w:type="spellEnd"/>
          </w:p>
        </w:tc>
      </w:tr>
      <w:tr w:rsidR="00733AEC">
        <w:trPr>
          <w:trHeight w:val="299"/>
        </w:trPr>
        <w:tc>
          <w:tcPr>
            <w:tcW w:w="1785" w:type="dxa"/>
          </w:tcPr>
          <w:p w:rsidR="00733AEC" w:rsidRDefault="00733AEC">
            <w:proofErr w:type="spellStart"/>
            <w:r>
              <w:rPr>
                <w:b/>
              </w:rPr>
              <w:t>WoS</w:t>
            </w:r>
            <w:proofErr w:type="spellEnd"/>
          </w:p>
        </w:tc>
        <w:tc>
          <w:tcPr>
            <w:tcW w:w="1923" w:type="dxa"/>
          </w:tcPr>
          <w:p w:rsidR="00733AEC" w:rsidRPr="00F66F1B" w:rsidRDefault="00733AEC" w:rsidP="00EB04BB">
            <w:pPr>
              <w:rPr>
                <w:i/>
              </w:rPr>
            </w:pPr>
            <w:r w:rsidRPr="00F66F1B">
              <w:rPr>
                <w:i/>
              </w:rPr>
              <w:t>1</w:t>
            </w:r>
          </w:p>
        </w:tc>
        <w:tc>
          <w:tcPr>
            <w:tcW w:w="1923" w:type="dxa"/>
          </w:tcPr>
          <w:p w:rsidR="00733AEC" w:rsidRDefault="00733AEC">
            <w:r>
              <w:t>[0.64; 0.97]</w:t>
            </w:r>
          </w:p>
        </w:tc>
        <w:tc>
          <w:tcPr>
            <w:tcW w:w="1923" w:type="dxa"/>
          </w:tcPr>
          <w:p w:rsidR="00733AEC" w:rsidRDefault="00733AEC">
            <w:r>
              <w:t>[0.54; 0.97]</w:t>
            </w:r>
          </w:p>
        </w:tc>
        <w:tc>
          <w:tcPr>
            <w:tcW w:w="1521" w:type="dxa"/>
          </w:tcPr>
          <w:p w:rsidR="00733AEC" w:rsidRDefault="00733AEC">
            <w:r>
              <w:t>[0.18; 0.93]</w:t>
            </w:r>
          </w:p>
        </w:tc>
      </w:tr>
      <w:tr w:rsidR="00733AEC">
        <w:trPr>
          <w:trHeight w:val="312"/>
        </w:trPr>
        <w:tc>
          <w:tcPr>
            <w:tcW w:w="1785" w:type="dxa"/>
          </w:tcPr>
          <w:p w:rsidR="00733AEC" w:rsidRDefault="00733AEC">
            <w:r>
              <w:rPr>
                <w:b/>
              </w:rPr>
              <w:t>Scopus</w:t>
            </w:r>
          </w:p>
        </w:tc>
        <w:tc>
          <w:tcPr>
            <w:tcW w:w="1923" w:type="dxa"/>
          </w:tcPr>
          <w:p w:rsidR="00733AEC" w:rsidRDefault="00733AEC">
            <w:r>
              <w:t>[0.91; 0.95]</w:t>
            </w:r>
          </w:p>
        </w:tc>
        <w:tc>
          <w:tcPr>
            <w:tcW w:w="1923" w:type="dxa"/>
          </w:tcPr>
          <w:p w:rsidR="00733AEC" w:rsidRPr="00F66F1B" w:rsidRDefault="00733AEC" w:rsidP="00EB04BB">
            <w:pPr>
              <w:rPr>
                <w:i/>
              </w:rPr>
            </w:pPr>
            <w:r w:rsidRPr="00F66F1B">
              <w:rPr>
                <w:i/>
              </w:rPr>
              <w:t>1</w:t>
            </w:r>
          </w:p>
        </w:tc>
        <w:tc>
          <w:tcPr>
            <w:tcW w:w="1923" w:type="dxa"/>
          </w:tcPr>
          <w:p w:rsidR="00733AEC" w:rsidRDefault="00733AEC">
            <w:r>
              <w:t>[0.66; 0.96]</w:t>
            </w:r>
          </w:p>
        </w:tc>
        <w:tc>
          <w:tcPr>
            <w:tcW w:w="1521" w:type="dxa"/>
          </w:tcPr>
          <w:p w:rsidR="00733AEC" w:rsidRDefault="00733AEC">
            <w:r>
              <w:t>[0.29; 0.94]</w:t>
            </w:r>
          </w:p>
        </w:tc>
      </w:tr>
      <w:tr w:rsidR="00733AEC">
        <w:trPr>
          <w:trHeight w:val="299"/>
        </w:trPr>
        <w:tc>
          <w:tcPr>
            <w:tcW w:w="1785" w:type="dxa"/>
          </w:tcPr>
          <w:p w:rsidR="00733AEC" w:rsidRDefault="00733AEC">
            <w:r>
              <w:rPr>
                <w:b/>
              </w:rPr>
              <w:t>Dimensions</w:t>
            </w:r>
          </w:p>
        </w:tc>
        <w:tc>
          <w:tcPr>
            <w:tcW w:w="1923" w:type="dxa"/>
          </w:tcPr>
          <w:p w:rsidR="00733AEC" w:rsidRDefault="00733AEC">
            <w:r>
              <w:t>[0.86; 0.91]</w:t>
            </w:r>
          </w:p>
        </w:tc>
        <w:tc>
          <w:tcPr>
            <w:tcW w:w="1923" w:type="dxa"/>
          </w:tcPr>
          <w:p w:rsidR="00733AEC" w:rsidRDefault="00733AEC">
            <w:r>
              <w:t>[0.87; 0.90]</w:t>
            </w:r>
          </w:p>
        </w:tc>
        <w:tc>
          <w:tcPr>
            <w:tcW w:w="1923" w:type="dxa"/>
          </w:tcPr>
          <w:p w:rsidR="00733AEC" w:rsidRPr="00F66F1B" w:rsidRDefault="00733AEC" w:rsidP="00EB04BB">
            <w:pPr>
              <w:rPr>
                <w:i/>
              </w:rPr>
            </w:pPr>
            <w:r w:rsidRPr="00F66F1B">
              <w:rPr>
                <w:i/>
                <w:lang w:val="de-DE"/>
              </w:rPr>
              <w:t>1</w:t>
            </w:r>
          </w:p>
        </w:tc>
        <w:tc>
          <w:tcPr>
            <w:tcW w:w="1521" w:type="dxa"/>
          </w:tcPr>
          <w:p w:rsidR="00733AEC" w:rsidRDefault="00733AEC">
            <w:r>
              <w:t>[0.41; 0.97]</w:t>
            </w:r>
          </w:p>
        </w:tc>
      </w:tr>
      <w:tr w:rsidR="00733AEC">
        <w:trPr>
          <w:trHeight w:val="299"/>
        </w:trPr>
        <w:tc>
          <w:tcPr>
            <w:tcW w:w="1785" w:type="dxa"/>
          </w:tcPr>
          <w:p w:rsidR="00733AEC" w:rsidRDefault="00733AEC">
            <w:proofErr w:type="spellStart"/>
            <w:r>
              <w:rPr>
                <w:b/>
              </w:rPr>
              <w:t>OpenAlex</w:t>
            </w:r>
            <w:proofErr w:type="spellEnd"/>
          </w:p>
        </w:tc>
        <w:tc>
          <w:tcPr>
            <w:tcW w:w="1923" w:type="dxa"/>
          </w:tcPr>
          <w:p w:rsidR="00733AEC" w:rsidRDefault="00733AEC">
            <w:r>
              <w:t>[0.86; 0.90]</w:t>
            </w:r>
          </w:p>
        </w:tc>
        <w:tc>
          <w:tcPr>
            <w:tcW w:w="1923" w:type="dxa"/>
          </w:tcPr>
          <w:p w:rsidR="00733AEC" w:rsidRDefault="00733AEC">
            <w:r>
              <w:t>[0.86; 0.90]</w:t>
            </w:r>
          </w:p>
        </w:tc>
        <w:tc>
          <w:tcPr>
            <w:tcW w:w="1923" w:type="dxa"/>
          </w:tcPr>
          <w:p w:rsidR="00733AEC" w:rsidRDefault="00733AEC">
            <w:r>
              <w:t>[0.89; 0.92]</w:t>
            </w:r>
          </w:p>
        </w:tc>
        <w:tc>
          <w:tcPr>
            <w:tcW w:w="1521" w:type="dxa"/>
          </w:tcPr>
          <w:p w:rsidR="00733AEC" w:rsidRPr="00F66F1B" w:rsidRDefault="00733AEC" w:rsidP="00EB04BB">
            <w:pPr>
              <w:rPr>
                <w:i/>
              </w:rPr>
            </w:pPr>
            <w:r w:rsidRPr="00F66F1B">
              <w:rPr>
                <w:i/>
              </w:rPr>
              <w:t>1</w:t>
            </w:r>
          </w:p>
        </w:tc>
      </w:tr>
    </w:tbl>
    <w:p w:rsidR="00733AEC" w:rsidRDefault="00733AEC">
      <w:pPr>
        <w:rPr>
          <w:lang w:val="en-US"/>
        </w:rPr>
      </w:pPr>
    </w:p>
    <w:p w:rsidR="00733AEC" w:rsidRDefault="00733AEC" w:rsidP="000916D0">
      <w:pPr>
        <w:pStyle w:val="FirstParagraph"/>
        <w:spacing w:before="0" w:after="0"/>
        <w:jc w:val="both"/>
      </w:pPr>
      <w:r>
        <w:t xml:space="preserve">That the values of Spearman’s </w:t>
      </w:r>
      <w:proofErr w:type="spellStart"/>
      <w:r>
        <w:rPr>
          <w:i/>
        </w:rPr>
        <w:t>r_s</w:t>
      </w:r>
      <w:proofErr w:type="spellEnd"/>
      <w:r>
        <w:t xml:space="preserve"> consistently show a </w:t>
      </w:r>
      <w:r>
        <w:rPr>
          <w:i/>
        </w:rPr>
        <w:t>high</w:t>
      </w:r>
      <w:r>
        <w:t xml:space="preserve"> to </w:t>
      </w:r>
      <w:r>
        <w:rPr>
          <w:i/>
        </w:rPr>
        <w:t>perfect correlation</w:t>
      </w:r>
      <w:r>
        <w:t xml:space="preserve"> in small intervals centered around the overall values from Table 2 comes with no surprise. Lin’s </w:t>
      </w:r>
      <w:proofErr w:type="spellStart"/>
      <w:r>
        <w:rPr>
          <w:i/>
        </w:rPr>
        <w:t>r_ccc</w:t>
      </w:r>
      <w:proofErr w:type="spellEnd"/>
      <w:r>
        <w:t xml:space="preserve"> displays a more diverse behavior. In order to assess the distribution of </w:t>
      </w:r>
      <w:proofErr w:type="spellStart"/>
      <w:r>
        <w:rPr>
          <w:i/>
        </w:rPr>
        <w:t>r_ccc</w:t>
      </w:r>
      <w:proofErr w:type="spellEnd"/>
      <w:r>
        <w:t xml:space="preserve"> values across the universities and possibly detect outliers, </w:t>
      </w:r>
      <w:proofErr w:type="spellStart"/>
      <w:r>
        <w:t>stripcharts</w:t>
      </w:r>
      <w:proofErr w:type="spellEnd"/>
      <w:r>
        <w:t xml:space="preserve"> are a helpful means. The left </w:t>
      </w:r>
      <w:proofErr w:type="spellStart"/>
      <w:r>
        <w:t>stripchart</w:t>
      </w:r>
      <w:proofErr w:type="spellEnd"/>
      <w:r>
        <w:t xml:space="preserve"> of Figure 4 compares the three commercial databases with one another: In each case the distributions of </w:t>
      </w:r>
      <w:proofErr w:type="spellStart"/>
      <w:r>
        <w:rPr>
          <w:i/>
        </w:rPr>
        <w:t>r_ccc</w:t>
      </w:r>
      <w:proofErr w:type="spellEnd"/>
      <w:r>
        <w:t xml:space="preserve"> values are relatively homogeneous. We consistently have a </w:t>
      </w:r>
      <w:r>
        <w:rPr>
          <w:i/>
        </w:rPr>
        <w:t>strong</w:t>
      </w:r>
      <w:r>
        <w:t xml:space="preserve"> to </w:t>
      </w:r>
      <w:r>
        <w:rPr>
          <w:i/>
        </w:rPr>
        <w:t>almost complete agreement</w:t>
      </w:r>
      <w:r>
        <w:t>, with the exception of only two universities in Dimensions vs</w:t>
      </w:r>
      <w:r w:rsidRPr="006914F9">
        <w:t>.</w:t>
      </w:r>
      <w:r>
        <w:t xml:space="preserve"> </w:t>
      </w:r>
      <w:proofErr w:type="spellStart"/>
      <w:r>
        <w:t>WoS</w:t>
      </w:r>
      <w:proofErr w:type="spellEnd"/>
      <w:r>
        <w:t xml:space="preserve"> (Free University of Berlin with </w:t>
      </w:r>
      <w:proofErr w:type="spellStart"/>
      <w:r>
        <w:t>r_ccc</w:t>
      </w:r>
      <w:proofErr w:type="spellEnd"/>
      <w:r>
        <w:t xml:space="preserve">=0.54 and University of Cologne with </w:t>
      </w:r>
      <w:proofErr w:type="spellStart"/>
      <w:r>
        <w:t>r_ccc</w:t>
      </w:r>
      <w:proofErr w:type="spellEnd"/>
      <w:r>
        <w:t xml:space="preserve">=0.56). The </w:t>
      </w:r>
      <w:proofErr w:type="spellStart"/>
      <w:r>
        <w:t>stripchart</w:t>
      </w:r>
      <w:proofErr w:type="spellEnd"/>
      <w:r>
        <w:t xml:space="preserve"> also displays the distributions of </w:t>
      </w:r>
      <w:proofErr w:type="spellStart"/>
      <w:r>
        <w:t>r_ccc</w:t>
      </w:r>
      <w:proofErr w:type="spellEnd"/>
      <w:r>
        <w:t xml:space="preserve"> with each university’s top 1% papers removed. This measure reduced the spread of </w:t>
      </w:r>
      <w:proofErr w:type="spellStart"/>
      <w:r>
        <w:t>r_ccc</w:t>
      </w:r>
      <w:proofErr w:type="spellEnd"/>
      <w:r>
        <w:t xml:space="preserve"> values across the universities drastically. The comparison Dimensions vs</w:t>
      </w:r>
      <w:r w:rsidRPr="006914F9">
        <w:t>.</w:t>
      </w:r>
      <w:r>
        <w:t xml:space="preserve"> </w:t>
      </w:r>
      <w:proofErr w:type="spellStart"/>
      <w:r>
        <w:t>WoS</w:t>
      </w:r>
      <w:proofErr w:type="spellEnd"/>
      <w:r>
        <w:t xml:space="preserve"> now has no longer </w:t>
      </w:r>
      <w:proofErr w:type="spellStart"/>
      <w:r>
        <w:t>r_ccc</w:t>
      </w:r>
      <w:proofErr w:type="spellEnd"/>
      <w:r>
        <w:t xml:space="preserve"> values below 0.67 and also none over 0.8. For Dimensions vs</w:t>
      </w:r>
      <w:r w:rsidRPr="006914F9">
        <w:t>.</w:t>
      </w:r>
      <w:r>
        <w:t xml:space="preserve"> Scopus, the values only range between 0.75 and 0.83. Only in case of the journal-based databases Scopus and </w:t>
      </w:r>
      <w:proofErr w:type="spellStart"/>
      <w:r>
        <w:t>WoS</w:t>
      </w:r>
      <w:proofErr w:type="spellEnd"/>
      <w:r>
        <w:t xml:space="preserve">, the median over the universities increases (by nearly 0.1) and </w:t>
      </w:r>
      <w:r>
        <w:rPr>
          <w:i/>
        </w:rPr>
        <w:t>all</w:t>
      </w:r>
      <w:r>
        <w:t xml:space="preserve"> </w:t>
      </w:r>
      <w:proofErr w:type="spellStart"/>
      <w:r>
        <w:t>r_ccc</w:t>
      </w:r>
      <w:proofErr w:type="spellEnd"/>
      <w:r>
        <w:t xml:space="preserve"> values can be seen as pointing to an </w:t>
      </w:r>
      <w:r>
        <w:rPr>
          <w:i/>
        </w:rPr>
        <w:t>almost complete agreement</w:t>
      </w:r>
      <w:r>
        <w:t>.</w:t>
      </w:r>
    </w:p>
    <w:p w:rsidR="00733AEC" w:rsidRDefault="00733AEC">
      <w:pPr>
        <w:pStyle w:val="FirstParagraph"/>
        <w:spacing w:before="0" w:after="0"/>
        <w:jc w:val="both"/>
      </w:pPr>
    </w:p>
    <w:p w:rsidR="00733AEC" w:rsidRDefault="00733AEC">
      <w:pPr>
        <w:autoSpaceDE w:val="0"/>
        <w:autoSpaceDN w:val="0"/>
        <w:adjustRightInd w:val="0"/>
        <w:jc w:val="both"/>
        <w:rPr>
          <w:i/>
        </w:rPr>
      </w:pPr>
      <w:r>
        <w:t xml:space="preserve">The greatest spread of </w:t>
      </w:r>
      <w:proofErr w:type="spellStart"/>
      <w:r>
        <w:t>r_ccc</w:t>
      </w:r>
      <w:proofErr w:type="spellEnd"/>
      <w:r>
        <w:t xml:space="preserve"> values in Table 5 occurs at comparisons including Open</w:t>
      </w:r>
      <w:r w:rsidRPr="00F141B7">
        <w:rPr>
          <w:lang w:val="en-US"/>
        </w:rPr>
        <w:t>A</w:t>
      </w:r>
      <w:proofErr w:type="spellStart"/>
      <w:r>
        <w:t>lex</w:t>
      </w:r>
      <w:proofErr w:type="spellEnd"/>
      <w:r>
        <w:t xml:space="preserve">. Comparing </w:t>
      </w:r>
      <w:proofErr w:type="spellStart"/>
      <w:r>
        <w:t>OpenAlex</w:t>
      </w:r>
      <w:proofErr w:type="spellEnd"/>
      <w:r>
        <w:t xml:space="preserve"> with the three commercial databases in the right </w:t>
      </w:r>
      <w:proofErr w:type="spellStart"/>
      <w:r>
        <w:t>stripchart</w:t>
      </w:r>
      <w:proofErr w:type="spellEnd"/>
      <w:r>
        <w:t xml:space="preserve"> of Figure 4 reveals in each case several outliers separated from a more or less homogeneous majority field. Two of them are among the most extreme outliers in each comparison: </w:t>
      </w:r>
      <w:r w:rsidRPr="00F141B7">
        <w:rPr>
          <w:lang w:val="en-US"/>
        </w:rPr>
        <w:t>T</w:t>
      </w:r>
      <w:r>
        <w:t xml:space="preserve">he </w:t>
      </w:r>
      <w:r w:rsidRPr="00F141B7">
        <w:rPr>
          <w:lang w:val="en-US"/>
        </w:rPr>
        <w:t>U</w:t>
      </w:r>
      <w:proofErr w:type="spellStart"/>
      <w:r>
        <w:t>niversit</w:t>
      </w:r>
      <w:proofErr w:type="spellEnd"/>
      <w:r w:rsidRPr="00F141B7">
        <w:rPr>
          <w:lang w:val="en-US"/>
        </w:rPr>
        <w:t>y</w:t>
      </w:r>
      <w:r>
        <w:t xml:space="preserve"> of Mainz and </w:t>
      </w:r>
      <w:r w:rsidRPr="00F141B7">
        <w:rPr>
          <w:lang w:val="en-US"/>
        </w:rPr>
        <w:t xml:space="preserve">the University </w:t>
      </w:r>
      <w:r>
        <w:t xml:space="preserve">of Marburg have very low </w:t>
      </w:r>
      <w:proofErr w:type="spellStart"/>
      <w:r>
        <w:rPr>
          <w:i/>
        </w:rPr>
        <w:t>r_ccc</w:t>
      </w:r>
      <w:proofErr w:type="spellEnd"/>
      <w:r>
        <w:t xml:space="preserve"> values of about 0.2 (</w:t>
      </w:r>
      <w:proofErr w:type="spellStart"/>
      <w:r>
        <w:t>OpenAlex</w:t>
      </w:r>
      <w:proofErr w:type="spellEnd"/>
      <w:r w:rsidRPr="006914F9">
        <w:rPr>
          <w:lang w:val="en-US"/>
        </w:rPr>
        <w:t xml:space="preserve"> </w:t>
      </w:r>
      <w:r>
        <w:t xml:space="preserve">vs. </w:t>
      </w:r>
      <w:proofErr w:type="spellStart"/>
      <w:r>
        <w:t>WoS</w:t>
      </w:r>
      <w:proofErr w:type="spellEnd"/>
      <w:r>
        <w:t>), about 0.3 (</w:t>
      </w:r>
      <w:proofErr w:type="spellStart"/>
      <w:r>
        <w:t>OpenAlex</w:t>
      </w:r>
      <w:proofErr w:type="spellEnd"/>
      <w:r w:rsidRPr="006914F9">
        <w:rPr>
          <w:lang w:val="en-US"/>
        </w:rPr>
        <w:t xml:space="preserve"> </w:t>
      </w:r>
      <w:r>
        <w:t>vs. Scopus) and about 0.4 (</w:t>
      </w:r>
      <w:proofErr w:type="spellStart"/>
      <w:r>
        <w:t>OpenAlex</w:t>
      </w:r>
      <w:proofErr w:type="spellEnd"/>
      <w:r w:rsidRPr="006914F9">
        <w:rPr>
          <w:lang w:val="en-US"/>
        </w:rPr>
        <w:t xml:space="preserve"> </w:t>
      </w:r>
      <w:r>
        <w:t>vs. Dimensions). The removal of top</w:t>
      </w:r>
      <w:r w:rsidRPr="00F141B7">
        <w:rPr>
          <w:lang w:val="en-US"/>
        </w:rPr>
        <w:t xml:space="preserve"> </w:t>
      </w:r>
      <w:r>
        <w:t xml:space="preserve">1% papers, however, changes the picture drastically. The median over the universities decreases by 0.03 to 0.07. There are only three universities with values slightly below 0.6 remaining for </w:t>
      </w:r>
      <w:proofErr w:type="spellStart"/>
      <w:r>
        <w:t>OpenAlex</w:t>
      </w:r>
      <w:proofErr w:type="spellEnd"/>
      <w:r>
        <w:t xml:space="preserve"> vs</w:t>
      </w:r>
      <w:r w:rsidRPr="00F141B7">
        <w:rPr>
          <w:lang w:val="en-US"/>
        </w:rPr>
        <w:t>.</w:t>
      </w:r>
      <w:r>
        <w:t xml:space="preserve"> </w:t>
      </w:r>
      <w:proofErr w:type="spellStart"/>
      <w:r>
        <w:t>WoS</w:t>
      </w:r>
      <w:proofErr w:type="spellEnd"/>
      <w:r>
        <w:t xml:space="preserve">: Free University of Berlin with </w:t>
      </w:r>
      <w:proofErr w:type="spellStart"/>
      <w:r>
        <w:t>r_ccc</w:t>
      </w:r>
      <w:proofErr w:type="spellEnd"/>
      <w:r>
        <w:t xml:space="preserve">=0.57, University of </w:t>
      </w:r>
      <w:r>
        <w:lastRenderedPageBreak/>
        <w:t xml:space="preserve">Konstanz with 0.58, and Leibniz University Hannover with 0.59. For </w:t>
      </w:r>
      <w:proofErr w:type="spellStart"/>
      <w:r>
        <w:t>OpenAlex</w:t>
      </w:r>
      <w:proofErr w:type="spellEnd"/>
      <w:r>
        <w:t xml:space="preserve"> vs</w:t>
      </w:r>
      <w:r w:rsidRPr="00F141B7">
        <w:rPr>
          <w:lang w:val="en-US"/>
        </w:rPr>
        <w:t>.</w:t>
      </w:r>
      <w:r>
        <w:t xml:space="preserve"> Dimension, </w:t>
      </w:r>
      <w:r>
        <w:rPr>
          <w:i/>
        </w:rPr>
        <w:t>all</w:t>
      </w:r>
      <w:r>
        <w:t xml:space="preserve"> </w:t>
      </w:r>
      <w:proofErr w:type="spellStart"/>
      <w:r>
        <w:t>r_ccc</w:t>
      </w:r>
      <w:proofErr w:type="spellEnd"/>
      <w:r>
        <w:t xml:space="preserve"> values even point to an </w:t>
      </w:r>
      <w:r>
        <w:rPr>
          <w:i/>
        </w:rPr>
        <w:t>almost complete agreement.</w:t>
      </w:r>
    </w:p>
    <w:p w:rsidR="00733AEC" w:rsidRDefault="00733AEC">
      <w:pPr>
        <w:rPr>
          <w:lang w:val="en-US"/>
        </w:rPr>
      </w:pPr>
    </w:p>
    <w:p w:rsidR="00733AEC" w:rsidRDefault="00733AEC" w:rsidP="00372DE3">
      <w:pPr>
        <w:keepNext/>
        <w:keepLines/>
        <w:jc w:val="center"/>
      </w:pPr>
      <w:r>
        <w:t xml:space="preserve">Figure 4: Lin’s </w:t>
      </w:r>
      <w:proofErr w:type="spellStart"/>
      <w:r>
        <w:t>r_ccc</w:t>
      </w:r>
      <w:proofErr w:type="spellEnd"/>
      <w:r>
        <w:t xml:space="preserve"> with confidence intervals for 48 universities (ordered by publication output) in mutual comparisons of the three commercial databases on the left and of </w:t>
      </w:r>
      <w:proofErr w:type="spellStart"/>
      <w:r>
        <w:t>OpenAlex</w:t>
      </w:r>
      <w:proofErr w:type="spellEnd"/>
      <w:r>
        <w:t xml:space="preserve"> with the other ones on the right </w:t>
      </w:r>
      <w:r>
        <w:rPr>
          <w:sz w:val="20"/>
          <w:szCs w:val="20"/>
        </w:rPr>
        <w:softHyphen/>
      </w:r>
      <w:r>
        <w:t>considering either all documents or without the top</w:t>
      </w:r>
      <w:r w:rsidRPr="00F141B7">
        <w:rPr>
          <w:lang w:val="en-US"/>
        </w:rPr>
        <w:t xml:space="preserve"> </w:t>
      </w:r>
      <w:r>
        <w:t>1% papers in each database. Vertical lines indicate the median over all universities with all documents (solid) and without the top</w:t>
      </w:r>
      <w:r w:rsidRPr="00F141B7">
        <w:rPr>
          <w:lang w:val="en-US"/>
        </w:rPr>
        <w:t xml:space="preserve"> </w:t>
      </w:r>
      <w:r>
        <w:t>1% papers (dashed line), respectively.</w:t>
      </w:r>
    </w:p>
    <w:p w:rsidR="00733AEC" w:rsidRDefault="00733AEC">
      <w:pPr>
        <w:autoSpaceDE w:val="0"/>
        <w:autoSpaceDN w:val="0"/>
        <w:adjustRightInd w:val="0"/>
        <w:jc w:val="center"/>
      </w:pPr>
      <w:r>
        <w:rPr>
          <w:noProof/>
          <w:lang w:val="en-US" w:eastAsia="en-US"/>
        </w:rPr>
        <w:drawing>
          <wp:inline distT="0" distB="0" distL="0" distR="0" wp14:anchorId="026A850C" wp14:editId="49A3B13B">
            <wp:extent cx="5443200" cy="54432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chart_3com_OA_vs_3com_wo_top_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443200" cy="5443200"/>
                    </a:xfrm>
                    <a:prstGeom prst="rect">
                      <a:avLst/>
                    </a:prstGeom>
                    <a:noFill/>
                    <a:ln>
                      <a:noFill/>
                    </a:ln>
                  </pic:spPr>
                </pic:pic>
              </a:graphicData>
            </a:graphic>
          </wp:inline>
        </w:drawing>
      </w:r>
    </w:p>
    <w:p w:rsidR="00733AEC" w:rsidRPr="002D46FF" w:rsidRDefault="00733AEC">
      <w:pPr>
        <w:autoSpaceDE w:val="0"/>
        <w:autoSpaceDN w:val="0"/>
        <w:adjustRightInd w:val="0"/>
        <w:rPr>
          <w:i/>
          <w:lang w:val="en-US"/>
        </w:rPr>
      </w:pPr>
    </w:p>
    <w:p w:rsidR="00733AEC" w:rsidRDefault="00733AEC">
      <w:pPr>
        <w:rPr>
          <w:i/>
          <w:iCs/>
        </w:rPr>
      </w:pPr>
      <w:r>
        <w:rPr>
          <w:i/>
          <w:iCs/>
        </w:rPr>
        <w:t>3.4. MNCS across universities</w:t>
      </w:r>
    </w:p>
    <w:p w:rsidR="00733AEC" w:rsidRPr="00733D0D" w:rsidRDefault="00733AEC" w:rsidP="009B559D">
      <w:pPr>
        <w:jc w:val="both"/>
        <w:rPr>
          <w:lang w:val="en-US"/>
        </w:rPr>
      </w:pPr>
      <w:r>
        <w:rPr>
          <w:lang w:val="en-US"/>
        </w:rPr>
        <w:t xml:space="preserve">In research evaluation, rankings of universities play an important role, usually sorted by the associated MNCS values. Figure 5 shows the respective values for the 48 universities based on data from the four databases. The visual impression of a high correlation is corroborated by Spearman’s correlation coefficients listed in Table 6. The highest </w:t>
      </w:r>
      <w:proofErr w:type="spellStart"/>
      <w:r>
        <w:rPr>
          <w:lang w:val="en-US"/>
        </w:rPr>
        <w:t>r_s</w:t>
      </w:r>
      <w:proofErr w:type="spellEnd"/>
      <w:r>
        <w:rPr>
          <w:lang w:val="en-US"/>
        </w:rPr>
        <w:t xml:space="preserve"> values occur between </w:t>
      </w:r>
      <w:proofErr w:type="spellStart"/>
      <w:r>
        <w:rPr>
          <w:lang w:val="en-US"/>
        </w:rPr>
        <w:t>WoS</w:t>
      </w:r>
      <w:proofErr w:type="spellEnd"/>
      <w:r>
        <w:rPr>
          <w:lang w:val="en-US"/>
        </w:rPr>
        <w:t xml:space="preserve"> and Scopus resp. </w:t>
      </w:r>
      <w:proofErr w:type="spellStart"/>
      <w:r>
        <w:rPr>
          <w:lang w:val="en-US"/>
        </w:rPr>
        <w:t>OpenAlex</w:t>
      </w:r>
      <w:proofErr w:type="spellEnd"/>
      <w:r>
        <w:rPr>
          <w:lang w:val="en-US"/>
        </w:rPr>
        <w:t xml:space="preserve"> and Dimensions. So, viewed through the MNCS indicator, the differences between the universities are similarly represented in the four databases.</w:t>
      </w:r>
      <w:r w:rsidRPr="00BD08EB">
        <w:rPr>
          <w:lang w:val="en-US"/>
        </w:rPr>
        <w:t xml:space="preserve"> </w:t>
      </w:r>
      <w:r>
        <w:rPr>
          <w:lang w:val="en-US"/>
        </w:rPr>
        <w:t>However</w:t>
      </w:r>
      <w:r w:rsidRPr="00BD08EB">
        <w:rPr>
          <w:lang w:val="en-US"/>
        </w:rPr>
        <w:t>, the concordance</w:t>
      </w:r>
      <w:r>
        <w:rPr>
          <w:lang w:val="en-US"/>
        </w:rPr>
        <w:t xml:space="preserve"> coefficients between the MNCS values of the German universities</w:t>
      </w:r>
      <w:r w:rsidRPr="00BD08EB">
        <w:rPr>
          <w:lang w:val="en-US"/>
        </w:rPr>
        <w:t xml:space="preserve"> </w:t>
      </w:r>
      <w:r>
        <w:rPr>
          <w:lang w:val="en-US"/>
        </w:rPr>
        <w:t>are</w:t>
      </w:r>
      <w:r w:rsidRPr="00BD08EB">
        <w:rPr>
          <w:lang w:val="en-US"/>
        </w:rPr>
        <w:t xml:space="preserve"> rather </w:t>
      </w:r>
      <w:r>
        <w:rPr>
          <w:lang w:val="en-US"/>
        </w:rPr>
        <w:t>low.</w:t>
      </w:r>
      <w:r w:rsidRPr="00BD08EB">
        <w:rPr>
          <w:lang w:val="en-US"/>
        </w:rPr>
        <w:t xml:space="preserve"> </w:t>
      </w:r>
      <w:r>
        <w:rPr>
          <w:lang w:val="en-US"/>
        </w:rPr>
        <w:t xml:space="preserve">Although the concordance coefficients calculated for the single papers are high (they indicate at least a strong agreement), many coefficients for the aggregated values are low. </w:t>
      </w:r>
    </w:p>
    <w:p w:rsidR="00733AEC" w:rsidRDefault="00733AEC">
      <w:pPr>
        <w:jc w:val="center"/>
        <w:rPr>
          <w:lang w:val="en-US"/>
        </w:rPr>
      </w:pPr>
      <w:r>
        <w:lastRenderedPageBreak/>
        <w:t>Figure 5: Mean normalized citation scores across the 48 German universities (ordered by publication output) in the four databases. The vertical solid lines represent the respective mean values across the universities.</w:t>
      </w:r>
    </w:p>
    <w:p w:rsidR="00733AEC" w:rsidRDefault="00733AEC">
      <w:pPr>
        <w:jc w:val="center"/>
        <w:rPr>
          <w:lang w:val="en-US"/>
        </w:rPr>
      </w:pPr>
      <w:r>
        <w:rPr>
          <w:noProof/>
          <w:lang w:val="en-US" w:eastAsia="en-US"/>
        </w:rPr>
        <w:drawing>
          <wp:inline distT="0" distB="0" distL="0" distR="0" wp14:anchorId="5B18B3AC" wp14:editId="0095E6DD">
            <wp:extent cx="4797035" cy="5427466"/>
            <wp:effectExtent l="0" t="0" r="3810" b="1905"/>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035" cy="5427466"/>
                    </a:xfrm>
                    <a:prstGeom prst="rect">
                      <a:avLst/>
                    </a:prstGeom>
                    <a:ln>
                      <a:noFill/>
                    </a:ln>
                  </pic:spPr>
                </pic:pic>
              </a:graphicData>
            </a:graphic>
          </wp:inline>
        </w:drawing>
      </w:r>
    </w:p>
    <w:p w:rsidR="00733AEC" w:rsidRDefault="00733AEC" w:rsidP="001C6641">
      <w:pPr>
        <w:keepNext/>
        <w:keepLines/>
        <w:jc w:val="center"/>
        <w:rPr>
          <w:lang w:val="en-US"/>
        </w:rPr>
      </w:pPr>
      <w:r>
        <w:rPr>
          <w:lang w:val="en-US"/>
        </w:rPr>
        <w:t xml:space="preserve">Table 6: Spearman’s </w:t>
      </w:r>
      <w:proofErr w:type="spellStart"/>
      <w:r>
        <w:rPr>
          <w:lang w:val="en-US"/>
        </w:rPr>
        <w:t>r_s</w:t>
      </w:r>
      <w:proofErr w:type="spellEnd"/>
      <w:r>
        <w:rPr>
          <w:lang w:val="en-US"/>
        </w:rPr>
        <w:t xml:space="preserve"> and Lin’s </w:t>
      </w:r>
      <w:proofErr w:type="spellStart"/>
      <w:r>
        <w:rPr>
          <w:lang w:val="en-US"/>
        </w:rPr>
        <w:t>r_ccc</w:t>
      </w:r>
      <w:proofErr w:type="spellEnd"/>
      <w:r>
        <w:rPr>
          <w:lang w:val="en-US"/>
        </w:rPr>
        <w:t xml:space="preserve"> for the comparison of the MNCS values for 48 German universities between two databases</w:t>
      </w:r>
    </w:p>
    <w:p w:rsidR="00733AEC" w:rsidRDefault="00733AEC" w:rsidP="001C6641">
      <w:pPr>
        <w:keepNext/>
        <w:keepLines/>
        <w:rP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9"/>
        <w:gridCol w:w="945"/>
        <w:gridCol w:w="1327"/>
        <w:gridCol w:w="1167"/>
        <w:gridCol w:w="1341"/>
        <w:gridCol w:w="1237"/>
        <w:gridCol w:w="1585"/>
      </w:tblGrid>
      <w:tr w:rsidR="00733AEC" w:rsidTr="006B365D">
        <w:trPr>
          <w:trHeight w:val="299"/>
        </w:trPr>
        <w:tc>
          <w:tcPr>
            <w:tcW w:w="1397" w:type="dxa"/>
            <w:vAlign w:val="bottom"/>
          </w:tcPr>
          <w:p w:rsidR="00733AEC" w:rsidRDefault="00733AEC" w:rsidP="006B365D">
            <w:pPr>
              <w:keepNext/>
              <w:keepLines/>
              <w:rPr>
                <w:b/>
              </w:rPr>
            </w:pPr>
          </w:p>
        </w:tc>
        <w:tc>
          <w:tcPr>
            <w:tcW w:w="973" w:type="dxa"/>
            <w:vAlign w:val="bottom"/>
          </w:tcPr>
          <w:p w:rsidR="00733AEC" w:rsidRDefault="00733AEC" w:rsidP="006B365D">
            <w:pPr>
              <w:keepNext/>
              <w:keepLines/>
              <w:rPr>
                <w:b/>
              </w:rPr>
            </w:pPr>
            <w:r>
              <w:rPr>
                <w:b/>
              </w:rPr>
              <w:t xml:space="preserve">Scopus vs. </w:t>
            </w:r>
            <w:proofErr w:type="spellStart"/>
            <w:r>
              <w:rPr>
                <w:b/>
              </w:rPr>
              <w:t>WoS</w:t>
            </w:r>
            <w:proofErr w:type="spellEnd"/>
          </w:p>
        </w:tc>
        <w:tc>
          <w:tcPr>
            <w:tcW w:w="1327" w:type="dxa"/>
            <w:vAlign w:val="bottom"/>
          </w:tcPr>
          <w:p w:rsidR="00733AEC" w:rsidRDefault="00733AEC" w:rsidP="006B365D">
            <w:pPr>
              <w:keepNext/>
              <w:keepLines/>
              <w:rPr>
                <w:b/>
              </w:rPr>
            </w:pPr>
            <w:r>
              <w:rPr>
                <w:b/>
              </w:rPr>
              <w:t xml:space="preserve">Dimensions vs. </w:t>
            </w:r>
            <w:proofErr w:type="spellStart"/>
            <w:r>
              <w:rPr>
                <w:b/>
              </w:rPr>
              <w:t>WoS</w:t>
            </w:r>
            <w:proofErr w:type="spellEnd"/>
          </w:p>
        </w:tc>
        <w:tc>
          <w:tcPr>
            <w:tcW w:w="1167" w:type="dxa"/>
            <w:vAlign w:val="bottom"/>
          </w:tcPr>
          <w:p w:rsidR="00733AEC" w:rsidRDefault="00733AEC" w:rsidP="006B365D">
            <w:pPr>
              <w:keepNext/>
              <w:keepLines/>
              <w:rPr>
                <w:b/>
              </w:rPr>
            </w:pPr>
            <w:proofErr w:type="spellStart"/>
            <w:r>
              <w:rPr>
                <w:b/>
              </w:rPr>
              <w:t>OpenAlex</w:t>
            </w:r>
            <w:proofErr w:type="spellEnd"/>
            <w:r>
              <w:rPr>
                <w:b/>
              </w:rPr>
              <w:t xml:space="preserve"> vs. </w:t>
            </w:r>
            <w:proofErr w:type="spellStart"/>
            <w:r>
              <w:rPr>
                <w:b/>
              </w:rPr>
              <w:t>WoS</w:t>
            </w:r>
            <w:proofErr w:type="spellEnd"/>
          </w:p>
        </w:tc>
        <w:tc>
          <w:tcPr>
            <w:tcW w:w="1346" w:type="dxa"/>
            <w:vAlign w:val="bottom"/>
          </w:tcPr>
          <w:p w:rsidR="00733AEC" w:rsidRDefault="00733AEC" w:rsidP="006B365D">
            <w:pPr>
              <w:keepNext/>
              <w:keepLines/>
              <w:rPr>
                <w:b/>
              </w:rPr>
            </w:pPr>
            <w:r>
              <w:rPr>
                <w:b/>
              </w:rPr>
              <w:t xml:space="preserve">Dimensions vs. Scopus </w:t>
            </w:r>
          </w:p>
        </w:tc>
        <w:tc>
          <w:tcPr>
            <w:tcW w:w="1260" w:type="dxa"/>
            <w:vAlign w:val="bottom"/>
          </w:tcPr>
          <w:p w:rsidR="00733AEC" w:rsidRDefault="00733AEC" w:rsidP="006B365D">
            <w:pPr>
              <w:keepNext/>
              <w:keepLines/>
              <w:rPr>
                <w:b/>
              </w:rPr>
            </w:pPr>
            <w:proofErr w:type="spellStart"/>
            <w:r>
              <w:rPr>
                <w:b/>
              </w:rPr>
              <w:t>OpenAlex</w:t>
            </w:r>
            <w:proofErr w:type="spellEnd"/>
            <w:r>
              <w:rPr>
                <w:b/>
              </w:rPr>
              <w:t xml:space="preserve"> vs. Scopus</w:t>
            </w:r>
          </w:p>
        </w:tc>
        <w:tc>
          <w:tcPr>
            <w:tcW w:w="1671" w:type="dxa"/>
            <w:vAlign w:val="bottom"/>
          </w:tcPr>
          <w:p w:rsidR="00733AEC" w:rsidRDefault="00733AEC" w:rsidP="006B365D">
            <w:pPr>
              <w:keepNext/>
              <w:keepLines/>
              <w:rPr>
                <w:b/>
              </w:rPr>
            </w:pPr>
            <w:proofErr w:type="spellStart"/>
            <w:r>
              <w:rPr>
                <w:b/>
              </w:rPr>
              <w:t>OpenAlex</w:t>
            </w:r>
            <w:proofErr w:type="spellEnd"/>
            <w:r>
              <w:rPr>
                <w:b/>
              </w:rPr>
              <w:t xml:space="preserve"> vs. Dimensions</w:t>
            </w:r>
          </w:p>
        </w:tc>
      </w:tr>
      <w:tr w:rsidR="00733AEC" w:rsidTr="006B365D">
        <w:trPr>
          <w:trHeight w:val="299"/>
        </w:trPr>
        <w:tc>
          <w:tcPr>
            <w:tcW w:w="1397" w:type="dxa"/>
            <w:vAlign w:val="bottom"/>
          </w:tcPr>
          <w:p w:rsidR="00733AEC" w:rsidRDefault="00733AEC" w:rsidP="006B365D">
            <w:pPr>
              <w:rPr>
                <w:b/>
              </w:rPr>
            </w:pPr>
            <w:r>
              <w:rPr>
                <w:b/>
              </w:rPr>
              <w:t xml:space="preserve">Spearman’s </w:t>
            </w:r>
            <w:proofErr w:type="spellStart"/>
            <w:r>
              <w:rPr>
                <w:b/>
              </w:rPr>
              <w:t>r_s</w:t>
            </w:r>
            <w:proofErr w:type="spellEnd"/>
          </w:p>
        </w:tc>
        <w:tc>
          <w:tcPr>
            <w:tcW w:w="973" w:type="dxa"/>
            <w:vAlign w:val="bottom"/>
          </w:tcPr>
          <w:p w:rsidR="00733AEC" w:rsidRDefault="00733AEC" w:rsidP="006B365D">
            <w:pPr>
              <w:jc w:val="right"/>
              <w:rPr>
                <w:lang w:val="en-US" w:eastAsia="nl-NL"/>
              </w:rPr>
            </w:pPr>
            <w:r>
              <w:rPr>
                <w:lang w:val="en-US" w:eastAsia="nl-NL"/>
              </w:rPr>
              <w:t>0.96</w:t>
            </w:r>
          </w:p>
        </w:tc>
        <w:tc>
          <w:tcPr>
            <w:tcW w:w="1327" w:type="dxa"/>
            <w:vAlign w:val="bottom"/>
          </w:tcPr>
          <w:p w:rsidR="00733AEC" w:rsidRDefault="00733AEC" w:rsidP="006B365D">
            <w:pPr>
              <w:jc w:val="right"/>
              <w:rPr>
                <w:lang w:val="en-US" w:eastAsia="nl-NL"/>
              </w:rPr>
            </w:pPr>
            <w:r>
              <w:rPr>
                <w:lang w:val="en-US" w:eastAsia="nl-NL"/>
              </w:rPr>
              <w:t>0.89</w:t>
            </w:r>
          </w:p>
        </w:tc>
        <w:tc>
          <w:tcPr>
            <w:tcW w:w="1167" w:type="dxa"/>
            <w:vAlign w:val="bottom"/>
          </w:tcPr>
          <w:p w:rsidR="00733AEC" w:rsidRDefault="00733AEC" w:rsidP="006B365D">
            <w:pPr>
              <w:jc w:val="right"/>
              <w:rPr>
                <w:lang w:val="en-US" w:eastAsia="nl-NL"/>
              </w:rPr>
            </w:pPr>
            <w:r>
              <w:rPr>
                <w:lang w:val="en-US" w:eastAsia="nl-NL"/>
              </w:rPr>
              <w:t>0.92</w:t>
            </w:r>
          </w:p>
        </w:tc>
        <w:tc>
          <w:tcPr>
            <w:tcW w:w="1346" w:type="dxa"/>
            <w:vAlign w:val="bottom"/>
          </w:tcPr>
          <w:p w:rsidR="00733AEC" w:rsidRDefault="00733AEC" w:rsidP="006B365D">
            <w:pPr>
              <w:jc w:val="right"/>
              <w:rPr>
                <w:lang w:val="en-US" w:eastAsia="nl-NL"/>
              </w:rPr>
            </w:pPr>
            <w:r>
              <w:rPr>
                <w:lang w:val="en-US" w:eastAsia="nl-NL"/>
              </w:rPr>
              <w:t>0.93</w:t>
            </w:r>
          </w:p>
        </w:tc>
        <w:tc>
          <w:tcPr>
            <w:tcW w:w="1260" w:type="dxa"/>
            <w:vAlign w:val="bottom"/>
          </w:tcPr>
          <w:p w:rsidR="00733AEC" w:rsidRDefault="00733AEC" w:rsidP="006B365D">
            <w:pPr>
              <w:jc w:val="right"/>
              <w:rPr>
                <w:lang w:val="en-US" w:eastAsia="nl-NL"/>
              </w:rPr>
            </w:pPr>
            <w:r>
              <w:rPr>
                <w:lang w:val="en-US" w:eastAsia="nl-NL"/>
              </w:rPr>
              <w:t>0.95</w:t>
            </w:r>
          </w:p>
        </w:tc>
        <w:tc>
          <w:tcPr>
            <w:tcW w:w="1671" w:type="dxa"/>
            <w:vAlign w:val="bottom"/>
          </w:tcPr>
          <w:p w:rsidR="00733AEC" w:rsidRDefault="00733AEC" w:rsidP="006B365D">
            <w:pPr>
              <w:jc w:val="right"/>
              <w:rPr>
                <w:lang w:val="en-US" w:eastAsia="nl-NL"/>
              </w:rPr>
            </w:pPr>
            <w:r>
              <w:rPr>
                <w:lang w:val="en-US" w:eastAsia="nl-NL"/>
              </w:rPr>
              <w:t>0.96</w:t>
            </w:r>
          </w:p>
        </w:tc>
      </w:tr>
      <w:tr w:rsidR="00733AEC" w:rsidTr="006B365D">
        <w:trPr>
          <w:trHeight w:val="299"/>
        </w:trPr>
        <w:tc>
          <w:tcPr>
            <w:tcW w:w="1397" w:type="dxa"/>
            <w:vAlign w:val="bottom"/>
          </w:tcPr>
          <w:p w:rsidR="00733AEC" w:rsidRDefault="00733AEC" w:rsidP="006B365D">
            <w:pPr>
              <w:rPr>
                <w:b/>
              </w:rPr>
            </w:pPr>
            <w:r>
              <w:rPr>
                <w:b/>
              </w:rPr>
              <w:t xml:space="preserve">Lin’s </w:t>
            </w:r>
            <w:proofErr w:type="spellStart"/>
            <w:r>
              <w:rPr>
                <w:b/>
              </w:rPr>
              <w:t>r_ccc</w:t>
            </w:r>
            <w:proofErr w:type="spellEnd"/>
          </w:p>
        </w:tc>
        <w:tc>
          <w:tcPr>
            <w:tcW w:w="973" w:type="dxa"/>
            <w:vAlign w:val="bottom"/>
          </w:tcPr>
          <w:p w:rsidR="00733AEC" w:rsidRDefault="00733AEC" w:rsidP="006B365D">
            <w:pPr>
              <w:jc w:val="right"/>
              <w:rPr>
                <w:lang w:val="en-US" w:eastAsia="nl-NL"/>
              </w:rPr>
            </w:pPr>
            <w:r>
              <w:rPr>
                <w:lang w:val="en-US" w:eastAsia="nl-NL"/>
              </w:rPr>
              <w:t>0.32</w:t>
            </w:r>
          </w:p>
        </w:tc>
        <w:tc>
          <w:tcPr>
            <w:tcW w:w="1327" w:type="dxa"/>
            <w:vAlign w:val="bottom"/>
          </w:tcPr>
          <w:p w:rsidR="00733AEC" w:rsidRDefault="00733AEC" w:rsidP="006B365D">
            <w:pPr>
              <w:jc w:val="right"/>
              <w:rPr>
                <w:lang w:val="en-US" w:eastAsia="nl-NL"/>
              </w:rPr>
            </w:pPr>
            <w:r>
              <w:rPr>
                <w:lang w:val="en-US" w:eastAsia="nl-NL"/>
              </w:rPr>
              <w:t>0.12</w:t>
            </w:r>
          </w:p>
        </w:tc>
        <w:tc>
          <w:tcPr>
            <w:tcW w:w="1167" w:type="dxa"/>
            <w:vAlign w:val="bottom"/>
          </w:tcPr>
          <w:p w:rsidR="00733AEC" w:rsidRDefault="00733AEC" w:rsidP="006B365D">
            <w:pPr>
              <w:jc w:val="right"/>
              <w:rPr>
                <w:lang w:val="en-US" w:eastAsia="nl-NL"/>
              </w:rPr>
            </w:pPr>
            <w:r>
              <w:rPr>
                <w:lang w:val="en-US" w:eastAsia="nl-NL"/>
              </w:rPr>
              <w:t>0.06</w:t>
            </w:r>
          </w:p>
        </w:tc>
        <w:tc>
          <w:tcPr>
            <w:tcW w:w="1346" w:type="dxa"/>
            <w:vAlign w:val="bottom"/>
          </w:tcPr>
          <w:p w:rsidR="00733AEC" w:rsidRDefault="00733AEC" w:rsidP="006B365D">
            <w:pPr>
              <w:jc w:val="right"/>
              <w:rPr>
                <w:lang w:val="en-US" w:eastAsia="nl-NL"/>
              </w:rPr>
            </w:pPr>
            <w:r>
              <w:rPr>
                <w:lang w:val="en-US" w:eastAsia="nl-NL"/>
              </w:rPr>
              <w:t>0.37</w:t>
            </w:r>
          </w:p>
        </w:tc>
        <w:tc>
          <w:tcPr>
            <w:tcW w:w="1260" w:type="dxa"/>
            <w:vAlign w:val="bottom"/>
          </w:tcPr>
          <w:p w:rsidR="00733AEC" w:rsidRDefault="00733AEC" w:rsidP="006B365D">
            <w:pPr>
              <w:jc w:val="right"/>
              <w:rPr>
                <w:lang w:val="en-US" w:eastAsia="nl-NL"/>
              </w:rPr>
            </w:pPr>
            <w:r>
              <w:rPr>
                <w:lang w:val="en-US" w:eastAsia="nl-NL"/>
              </w:rPr>
              <w:t>0.16</w:t>
            </w:r>
          </w:p>
        </w:tc>
        <w:tc>
          <w:tcPr>
            <w:tcW w:w="1671" w:type="dxa"/>
            <w:vAlign w:val="bottom"/>
          </w:tcPr>
          <w:p w:rsidR="00733AEC" w:rsidRDefault="00733AEC" w:rsidP="006B365D">
            <w:pPr>
              <w:jc w:val="right"/>
              <w:rPr>
                <w:lang w:val="en-US" w:eastAsia="nl-NL"/>
              </w:rPr>
            </w:pPr>
            <w:r>
              <w:rPr>
                <w:lang w:val="en-US" w:eastAsia="nl-NL"/>
              </w:rPr>
              <w:t>0.60</w:t>
            </w:r>
          </w:p>
        </w:tc>
      </w:tr>
    </w:tbl>
    <w:p w:rsidR="00733AEC" w:rsidRDefault="00733AEC">
      <w:pPr>
        <w:pStyle w:val="Heading2"/>
      </w:pPr>
    </w:p>
    <w:p w:rsidR="00733AEC" w:rsidRPr="009B559D" w:rsidRDefault="00733AEC" w:rsidP="009B559D"/>
    <w:p w:rsidR="00733AEC" w:rsidRDefault="00733AEC">
      <w:pPr>
        <w:pStyle w:val="Heading2"/>
      </w:pPr>
      <w:r>
        <w:t xml:space="preserve">4. </w:t>
      </w:r>
      <w:bookmarkStart w:id="6" w:name="discussion-and-outlook"/>
      <w:r>
        <w:t>Discussion</w:t>
      </w:r>
      <w:bookmarkEnd w:id="6"/>
    </w:p>
    <w:p w:rsidR="00733AEC" w:rsidRDefault="00733AEC">
      <w:pPr>
        <w:jc w:val="both"/>
      </w:pPr>
      <w:r>
        <w:t xml:space="preserve">We calculated correlation coefficients for six mutual comparisons of NCS values for a common set of nearly 335,000 publications from 48 German universities in four databases. The results for Lin’s concordance correlation coefficient </w:t>
      </w:r>
      <w:proofErr w:type="spellStart"/>
      <w:r>
        <w:t>r_ccc</w:t>
      </w:r>
      <w:proofErr w:type="spellEnd"/>
      <w:r>
        <w:t xml:space="preserve"> show that </w:t>
      </w:r>
      <w:r>
        <w:rPr>
          <w:i/>
        </w:rPr>
        <w:t>all</w:t>
      </w:r>
      <w:r>
        <w:t xml:space="preserve"> comparisons reveal </w:t>
      </w:r>
      <w:r>
        <w:rPr>
          <w:i/>
        </w:rPr>
        <w:t>almost complete</w:t>
      </w:r>
      <w:r>
        <w:t xml:space="preserve"> but at least </w:t>
      </w:r>
      <w:r>
        <w:rPr>
          <w:i/>
        </w:rPr>
        <w:t xml:space="preserve">strong agreement. </w:t>
      </w:r>
      <w:r>
        <w:t xml:space="preserve">We tried to </w:t>
      </w:r>
      <w:r>
        <w:rPr>
          <w:lang w:val="en-US"/>
        </w:rPr>
        <w:t>assess</w:t>
      </w:r>
      <w:r>
        <w:t xml:space="preserve"> the distorting effect of outliers by </w:t>
      </w:r>
      <w:r>
        <w:lastRenderedPageBreak/>
        <w:t>removing the papers with</w:t>
      </w:r>
      <w:r>
        <w:rPr>
          <w:lang w:val="en-US"/>
        </w:rPr>
        <w:t>in</w:t>
      </w:r>
      <w:r>
        <w:t xml:space="preserve"> the top</w:t>
      </w:r>
      <w:r w:rsidRPr="0072660C">
        <w:rPr>
          <w:lang w:val="en-US"/>
        </w:rPr>
        <w:t xml:space="preserve"> </w:t>
      </w:r>
      <w:r>
        <w:t>1%</w:t>
      </w:r>
      <w:r>
        <w:rPr>
          <w:lang w:val="en-US"/>
        </w:rPr>
        <w:t xml:space="preserve"> of</w:t>
      </w:r>
      <w:r>
        <w:t xml:space="preserve"> NCS values in the databases. These additional analyses led to a small decrease in most cases with coefficients indicating at least </w:t>
      </w:r>
      <w:r>
        <w:rPr>
          <w:i/>
        </w:rPr>
        <w:t>strong agreement</w:t>
      </w:r>
      <w:r>
        <w:t>.</w:t>
      </w:r>
    </w:p>
    <w:p w:rsidR="00733AEC" w:rsidRDefault="00733AEC">
      <w:pPr>
        <w:jc w:val="both"/>
        <w:rPr>
          <w:i/>
        </w:rPr>
      </w:pPr>
    </w:p>
    <w:p w:rsidR="00733AEC" w:rsidRDefault="00733AEC">
      <w:pPr>
        <w:jc w:val="both"/>
      </w:pPr>
      <w:r>
        <w:t xml:space="preserve">Looking at the 48 German universities separately, we found in nearly all cases a </w:t>
      </w:r>
      <w:r>
        <w:rPr>
          <w:i/>
        </w:rPr>
        <w:t>strong</w:t>
      </w:r>
      <w:r>
        <w:t xml:space="preserve"> to </w:t>
      </w:r>
      <w:r>
        <w:rPr>
          <w:i/>
        </w:rPr>
        <w:t>almost complete agreement</w:t>
      </w:r>
      <w:r>
        <w:t xml:space="preserve"> between the three commercial databases, but several cases of very low </w:t>
      </w:r>
      <w:proofErr w:type="spellStart"/>
      <w:r>
        <w:t>r_ccc</w:t>
      </w:r>
      <w:proofErr w:type="spellEnd"/>
      <w:r>
        <w:t xml:space="preserve"> values in comparisons of the free database </w:t>
      </w:r>
      <w:proofErr w:type="spellStart"/>
      <w:r>
        <w:t>OpenAlex</w:t>
      </w:r>
      <w:proofErr w:type="spellEnd"/>
      <w:r>
        <w:t xml:space="preserve"> with the three commercial ones. But the removal of the top</w:t>
      </w:r>
      <w:r w:rsidRPr="0072660C">
        <w:rPr>
          <w:lang w:val="en-US"/>
        </w:rPr>
        <w:t xml:space="preserve"> </w:t>
      </w:r>
      <w:r>
        <w:t xml:space="preserve">1% papers with extreme outliers in most cases led to </w:t>
      </w:r>
      <w:r>
        <w:rPr>
          <w:i/>
        </w:rPr>
        <w:t>strong</w:t>
      </w:r>
      <w:r>
        <w:t xml:space="preserve"> or </w:t>
      </w:r>
      <w:r>
        <w:rPr>
          <w:i/>
        </w:rPr>
        <w:t>almost complete agreement</w:t>
      </w:r>
      <w:r>
        <w:t xml:space="preserve">. In terms of the aggregated indicator MNCS, we found a highly correlated representation of inter-university differences between all databases. </w:t>
      </w:r>
      <w:r w:rsidRPr="00FB2338">
        <w:rPr>
          <w:lang w:val="en-US"/>
        </w:rPr>
        <w:t>However, the concordance</w:t>
      </w:r>
      <w:r>
        <w:rPr>
          <w:lang w:val="en-US"/>
        </w:rPr>
        <w:t xml:space="preserve"> between the MNCS values of the German universities</w:t>
      </w:r>
      <w:r w:rsidRPr="00FB2338">
        <w:rPr>
          <w:lang w:val="en-US"/>
        </w:rPr>
        <w:t xml:space="preserve"> is rather </w:t>
      </w:r>
      <w:r>
        <w:rPr>
          <w:lang w:val="en-US"/>
        </w:rPr>
        <w:t xml:space="preserve">low. Both results indicate that relative comparisons between different universities are valid only within either of the tested databases. On the one hand, the results reveal that MNCS values which have been calculated using data from different databases should not be compared. </w:t>
      </w:r>
      <w:r>
        <w:t xml:space="preserve">On the other hand, the difference of the concordance coefficients on the paper and university level is a good example for the problem of </w:t>
      </w:r>
      <w:r w:rsidRPr="006D28AB">
        <w:t>ecological fallacy</w:t>
      </w:r>
      <w:r>
        <w:t xml:space="preserve"> in </w:t>
      </w:r>
      <w:proofErr w:type="spellStart"/>
      <w:r>
        <w:t>bibliometrics</w:t>
      </w:r>
      <w:proofErr w:type="spellEnd"/>
      <w:r>
        <w:t>: The mean impact is not representative for the single papers’ impact in the set.</w:t>
      </w:r>
    </w:p>
    <w:p w:rsidR="00733AEC" w:rsidRDefault="00733AEC" w:rsidP="00BC1F26">
      <w:pPr>
        <w:jc w:val="both"/>
      </w:pPr>
    </w:p>
    <w:p w:rsidR="00733AEC" w:rsidRDefault="00733AEC" w:rsidP="00BC1F26">
      <w:pPr>
        <w:jc w:val="both"/>
      </w:pPr>
      <w:r>
        <w:t xml:space="preserve">There are some limitations concerning the generalizability of our results to other countries: (1) We were able to use disambiguated affiliation data for German universities. Institutional data with </w:t>
      </w:r>
      <w:proofErr w:type="spellStart"/>
      <w:r>
        <w:t>disambiguations</w:t>
      </w:r>
      <w:proofErr w:type="spellEnd"/>
      <w:r>
        <w:t xml:space="preserve"> on a very high quality level may be scarcely available</w:t>
      </w:r>
      <w:r w:rsidRPr="00771420">
        <w:t xml:space="preserve"> </w:t>
      </w:r>
      <w:r>
        <w:t>for other countries. (2) NCS and MNCS are susceptible to outliers. Further studies may assess the influence of the removal of top 1% papers on the inter-university comparisons (see Fig.5).</w:t>
      </w:r>
    </w:p>
    <w:p w:rsidR="00733AEC" w:rsidRDefault="00733AEC">
      <w:pPr>
        <w:jc w:val="both"/>
      </w:pPr>
    </w:p>
    <w:p w:rsidR="00733AEC" w:rsidRDefault="00733AEC">
      <w:pPr>
        <w:jc w:val="both"/>
      </w:pPr>
      <w:r>
        <w:t xml:space="preserve">We conclude that the suitability of </w:t>
      </w:r>
      <w:proofErr w:type="spellStart"/>
      <w:r>
        <w:t>OpenAlex</w:t>
      </w:r>
      <w:proofErr w:type="spellEnd"/>
      <w:r>
        <w:t xml:space="preserve"> for bibliometric evaluations seems to be similar to that of the established commercial databases—keeping in mind the possibility </w:t>
      </w:r>
      <w:r>
        <w:rPr>
          <w:lang w:val="en-US"/>
        </w:rPr>
        <w:t>of stronger</w:t>
      </w:r>
      <w:r>
        <w:t xml:space="preserve"> distorting effects in the high NCS realm in certain cases—and even more promising if the changes, e.g., of the subject classification, in </w:t>
      </w:r>
      <w:proofErr w:type="spellStart"/>
      <w:r>
        <w:t>OpenAlex</w:t>
      </w:r>
      <w:proofErr w:type="spellEnd"/>
      <w:r>
        <w:t xml:space="preserve"> since the snapshot from January 2022 turn out to be improvements in this regard </w:t>
      </w:r>
      <w:r>
        <w:rPr>
          <w:noProof/>
        </w:rPr>
        <w:t>(Priem &amp; Piwowar, 2022)</w:t>
      </w:r>
      <w:r>
        <w:t xml:space="preserve">. </w:t>
      </w:r>
    </w:p>
    <w:p w:rsidR="00733AEC" w:rsidRDefault="00733AEC">
      <w:pPr>
        <w:jc w:val="both"/>
        <w:rPr>
          <w:i/>
        </w:rPr>
      </w:pPr>
    </w:p>
    <w:p w:rsidR="00733AEC" w:rsidRDefault="00733AEC">
      <w:pPr>
        <w:jc w:val="both"/>
        <w:rPr>
          <w:b/>
          <w:bCs/>
        </w:rPr>
      </w:pPr>
      <w:r>
        <w:rPr>
          <w:b/>
          <w:bCs/>
        </w:rPr>
        <w:t>Open science practices</w:t>
      </w:r>
    </w:p>
    <w:p w:rsidR="00733AEC" w:rsidRDefault="00733AEC">
      <w:pPr>
        <w:jc w:val="both"/>
      </w:pPr>
      <w:r>
        <w:t xml:space="preserve">As the present study is explicitly a comparison between commercial bibliographic databases and a free one, the data of the first category are per se closed, but the data of </w:t>
      </w:r>
      <w:proofErr w:type="spellStart"/>
      <w:r>
        <w:t>OpenAlex</w:t>
      </w:r>
      <w:proofErr w:type="spellEnd"/>
      <w:r>
        <w:t xml:space="preserve"> are freely available for all purposes (especially the data dumps called snapshots, see </w:t>
      </w:r>
      <w:hyperlink r:id="rId8" w:history="1">
        <w:r>
          <w:rPr>
            <w:rStyle w:val="Hyperlink"/>
          </w:rPr>
          <w:t>https://docs.openalex.org/download-all-data/openalex-snapshot</w:t>
        </w:r>
      </w:hyperlink>
      <w:r>
        <w:t>). The software for evaluation and visualization is based on the open source language R (</w:t>
      </w:r>
      <w:hyperlink r:id="rId9" w:history="1">
        <w:r w:rsidRPr="00D275CD">
          <w:t>https://www.R-project.org</w:t>
        </w:r>
      </w:hyperlink>
      <w:r w:rsidRPr="00D275CD">
        <w:t xml:space="preserve">) </w:t>
      </w:r>
      <w:r>
        <w:t>and can be provided on request.</w:t>
      </w:r>
    </w:p>
    <w:p w:rsidR="00733AEC" w:rsidRDefault="00733AEC">
      <w:pPr>
        <w:jc w:val="both"/>
      </w:pPr>
    </w:p>
    <w:p w:rsidR="00733AEC" w:rsidRDefault="00733AEC">
      <w:pPr>
        <w:jc w:val="both"/>
        <w:rPr>
          <w:b/>
          <w:bCs/>
        </w:rPr>
      </w:pPr>
      <w:r>
        <w:rPr>
          <w:b/>
          <w:bCs/>
        </w:rPr>
        <w:t>Acknowledgments</w:t>
      </w:r>
    </w:p>
    <w:p w:rsidR="00733AEC" w:rsidRDefault="00733AEC">
      <w:pPr>
        <w:jc w:val="both"/>
      </w:pPr>
      <w:r>
        <w:t xml:space="preserve">The </w:t>
      </w:r>
      <w:proofErr w:type="spellStart"/>
      <w:r>
        <w:t>WoS</w:t>
      </w:r>
      <w:proofErr w:type="spellEnd"/>
      <w:r>
        <w:t xml:space="preserve"> data used in this study were retrieved from an in-house </w:t>
      </w:r>
      <w:proofErr w:type="spellStart"/>
      <w:r>
        <w:t>WoS</w:t>
      </w:r>
      <w:proofErr w:type="spellEnd"/>
      <w:r>
        <w:t xml:space="preserve"> database developed and maintained by the Max Planck Digital Library and derived from the Science Citation Index Expanded (SCI-E), Social Sciences Citation Index (SSCI), Arts and Humanities Citation Index (AHCI) provided by </w:t>
      </w:r>
      <w:proofErr w:type="spellStart"/>
      <w:r>
        <w:t>Clarivate</w:t>
      </w:r>
      <w:proofErr w:type="spellEnd"/>
      <w:r>
        <w:t xml:space="preserve"> (Philadelphia, Pennsylvania, USA). The database contains disambiguated and unified address information for German research institutes and universities developed by the </w:t>
      </w:r>
      <w:r w:rsidRPr="00FF754F">
        <w:t>I</w:t>
      </w:r>
      <w:r w:rsidRPr="006C5862">
        <w:rPr>
          <w:vertAlign w:val="superscript"/>
        </w:rPr>
        <w:t>2</w:t>
      </w:r>
      <w:r w:rsidRPr="00FF754F">
        <w:t xml:space="preserve">SoS </w:t>
      </w:r>
      <w:proofErr w:type="spellStart"/>
      <w:r w:rsidRPr="00FF754F">
        <w:t>Bibliometrics</w:t>
      </w:r>
      <w:proofErr w:type="spellEnd"/>
      <w:r w:rsidRPr="00FF754F">
        <w:t xml:space="preserve"> Team at</w:t>
      </w:r>
      <w:r>
        <w:t xml:space="preserve"> University of Bielefeld (</w:t>
      </w:r>
      <w:r w:rsidRPr="00FF754F">
        <w:t>https://www.uni-bielefeld.de/einrichtungen/i2sos/bibliometrie/index.xml</w:t>
      </w:r>
      <w:r>
        <w:t>) and provided by the German “</w:t>
      </w:r>
      <w:proofErr w:type="spellStart"/>
      <w:r>
        <w:t>Kompetenznetzwerk</w:t>
      </w:r>
      <w:proofErr w:type="spellEnd"/>
      <w:r>
        <w:t xml:space="preserve"> </w:t>
      </w:r>
      <w:proofErr w:type="spellStart"/>
      <w:r>
        <w:t>Bibliometrie</w:t>
      </w:r>
      <w:proofErr w:type="spellEnd"/>
      <w:r>
        <w:t xml:space="preserve">” (KB, Competence Centre for </w:t>
      </w:r>
      <w:proofErr w:type="spellStart"/>
      <w:r>
        <w:t>Bibliometrics</w:t>
      </w:r>
      <w:proofErr w:type="spellEnd"/>
      <w:r>
        <w:t xml:space="preserve">, http://www.bibliometrie.info). The Scopus data produced by Elsevier were also provided by the KB. We thank Digital Science for providing us with Dimensions data for temporary storage in an in-house PostgreSQL database for use in this research. We thank </w:t>
      </w:r>
      <w:proofErr w:type="spellStart"/>
      <w:r>
        <w:t>OurResearch</w:t>
      </w:r>
      <w:proofErr w:type="spellEnd"/>
      <w:r>
        <w:t xml:space="preserve"> for </w:t>
      </w:r>
      <w:r>
        <w:lastRenderedPageBreak/>
        <w:t xml:space="preserve">preserving and continually building upon the MAG corpus and providing the </w:t>
      </w:r>
      <w:proofErr w:type="spellStart"/>
      <w:r>
        <w:t>OpenAlex</w:t>
      </w:r>
      <w:proofErr w:type="spellEnd"/>
      <w:r>
        <w:t xml:space="preserve"> freely for all purposes.</w:t>
      </w:r>
    </w:p>
    <w:p w:rsidR="00733AEC" w:rsidRDefault="00733AEC">
      <w:pPr>
        <w:jc w:val="both"/>
      </w:pPr>
    </w:p>
    <w:p w:rsidR="00733AEC" w:rsidRDefault="00733AEC">
      <w:pPr>
        <w:jc w:val="both"/>
        <w:rPr>
          <w:b/>
          <w:bCs/>
        </w:rPr>
      </w:pPr>
      <w:r>
        <w:rPr>
          <w:b/>
          <w:bCs/>
        </w:rPr>
        <w:t>Author contributions</w:t>
      </w:r>
    </w:p>
    <w:p w:rsidR="00733AEC" w:rsidRDefault="00733AEC">
      <w:pPr>
        <w:jc w:val="both"/>
      </w:pPr>
      <w:r>
        <w:t xml:space="preserve">T.S.: Conceptualization, Data curation, Formal Analysis, Methodology, Visualization, </w:t>
      </w:r>
      <w:proofErr w:type="gramStart"/>
      <w:r>
        <w:t>Writing</w:t>
      </w:r>
      <w:proofErr w:type="gramEnd"/>
      <w:r>
        <w:t xml:space="preserve"> – original draft, Writing – review &amp; editing</w:t>
      </w:r>
    </w:p>
    <w:p w:rsidR="00733AEC" w:rsidRDefault="00733AEC">
      <w:pPr>
        <w:jc w:val="both"/>
      </w:pPr>
      <w:r>
        <w:t>R.H.: Conceptualization, Methodology, Visualization, Writing – review &amp; editing</w:t>
      </w:r>
    </w:p>
    <w:p w:rsidR="00733AEC" w:rsidRDefault="00733AEC">
      <w:pPr>
        <w:jc w:val="both"/>
      </w:pPr>
      <w:r>
        <w:t>L.B.: Conceptualization, Methodology, Writing – review &amp; editing</w:t>
      </w:r>
    </w:p>
    <w:p w:rsidR="00733AEC" w:rsidRDefault="00733AEC">
      <w:pPr>
        <w:jc w:val="both"/>
      </w:pPr>
    </w:p>
    <w:p w:rsidR="00733AEC" w:rsidRDefault="00733AEC">
      <w:pPr>
        <w:jc w:val="both"/>
        <w:rPr>
          <w:b/>
          <w:bCs/>
        </w:rPr>
      </w:pPr>
      <w:r>
        <w:rPr>
          <w:b/>
          <w:bCs/>
        </w:rPr>
        <w:t>Competing interests</w:t>
      </w:r>
    </w:p>
    <w:p w:rsidR="00733AEC" w:rsidRDefault="00733AEC">
      <w:pPr>
        <w:jc w:val="both"/>
      </w:pPr>
      <w:r>
        <w:t>The authors declare that they have no competing interests.</w:t>
      </w:r>
    </w:p>
    <w:p w:rsidR="00733AEC" w:rsidRDefault="00733AEC">
      <w:pPr>
        <w:jc w:val="both"/>
      </w:pPr>
    </w:p>
    <w:p w:rsidR="00733AEC" w:rsidRDefault="00733AEC">
      <w:pPr>
        <w:jc w:val="both"/>
        <w:rPr>
          <w:b/>
          <w:bCs/>
        </w:rPr>
      </w:pPr>
      <w:r>
        <w:rPr>
          <w:b/>
          <w:bCs/>
        </w:rPr>
        <w:t>Funding information</w:t>
      </w:r>
    </w:p>
    <w:p w:rsidR="00733AEC" w:rsidRDefault="00733AEC" w:rsidP="006C33A3">
      <w:pPr>
        <w:jc w:val="both"/>
      </w:pPr>
      <w:r>
        <w:t>The KB database with affiliation information for German research institutions has been sponsored by the German Federal Ministry of Education and Research (BMBF) under the funding code “16WIK2101A”.</w:t>
      </w:r>
    </w:p>
    <w:p w:rsidR="00733AEC" w:rsidRDefault="00733AEC">
      <w:pPr>
        <w:jc w:val="both"/>
      </w:pPr>
    </w:p>
    <w:p w:rsidR="00733AEC" w:rsidRPr="00790B06" w:rsidRDefault="00733AEC" w:rsidP="00D275CD">
      <w:pPr>
        <w:keepNext/>
        <w:jc w:val="both"/>
        <w:rPr>
          <w:b/>
          <w:bCs/>
          <w:lang w:val="fr-FR"/>
        </w:rPr>
      </w:pPr>
      <w:proofErr w:type="spellStart"/>
      <w:r w:rsidRPr="00790B06">
        <w:rPr>
          <w:b/>
          <w:bCs/>
          <w:lang w:val="fr-FR"/>
        </w:rPr>
        <w:t>References</w:t>
      </w:r>
      <w:proofErr w:type="spellEnd"/>
    </w:p>
    <w:p w:rsidR="00733AEC" w:rsidRPr="00C11A32" w:rsidRDefault="00733AEC" w:rsidP="00C11A32">
      <w:pPr>
        <w:pStyle w:val="EndNoteBibliography"/>
        <w:ind w:left="720" w:hanging="720"/>
      </w:pPr>
      <w:r w:rsidRPr="00C11A32">
        <w:t xml:space="preserve">Baas, J., Schotten, M., Plume, A., Côté, G., &amp; Karimi, R. (2020). Scopus as a curated, high-quality bibliometric data source for academic research in quantitative science studies. </w:t>
      </w:r>
      <w:r w:rsidRPr="00C11A32">
        <w:rPr>
          <w:i/>
        </w:rPr>
        <w:t>Quantitative Science Studies, 1</w:t>
      </w:r>
      <w:r w:rsidRPr="00C11A32">
        <w:t xml:space="preserve">(1), 377-386. </w:t>
      </w:r>
      <w:hyperlink r:id="rId10" w:history="1">
        <w:r w:rsidRPr="00E5365D">
          <w:rPr>
            <w:rStyle w:val="Hyperlink"/>
          </w:rPr>
          <w:t>https://doi.org/10.1162/qss_a_00019</w:t>
        </w:r>
      </w:hyperlink>
      <w:r w:rsidRPr="00C11A32">
        <w:t>.</w:t>
      </w:r>
    </w:p>
    <w:p w:rsidR="00733AEC" w:rsidRPr="00C11A32" w:rsidRDefault="00733AEC" w:rsidP="00C11A32">
      <w:pPr>
        <w:pStyle w:val="EndNoteBibliography"/>
        <w:ind w:left="720" w:hanging="720"/>
      </w:pPr>
      <w:r w:rsidRPr="00C11A32">
        <w:t xml:space="preserve">Birkle, C., Pendlebury, D. A., Schnell, J., &amp; Adams, J. (2020). Web of Science as a data source for research on scientific and scholarly activity. </w:t>
      </w:r>
      <w:r w:rsidRPr="00C11A32">
        <w:rPr>
          <w:i/>
        </w:rPr>
        <w:t>Quantitative Science Studies, 1</w:t>
      </w:r>
      <w:r w:rsidRPr="00C11A32">
        <w:t xml:space="preserve">(1), 363-376. </w:t>
      </w:r>
      <w:hyperlink r:id="rId11" w:history="1">
        <w:r w:rsidRPr="00E5365D">
          <w:rPr>
            <w:rStyle w:val="Hyperlink"/>
          </w:rPr>
          <w:t>https://doi.org/10.1162/qss_a_00018</w:t>
        </w:r>
      </w:hyperlink>
      <w:r w:rsidRPr="00C11A32">
        <w:t>.</w:t>
      </w:r>
    </w:p>
    <w:p w:rsidR="00733AEC" w:rsidRPr="00C11A32" w:rsidRDefault="00733AEC" w:rsidP="00C11A32">
      <w:pPr>
        <w:pStyle w:val="EndNoteBibliography"/>
        <w:ind w:left="720" w:hanging="720"/>
      </w:pPr>
      <w:r w:rsidRPr="00C11A32">
        <w:t xml:space="preserve">Bornmann, L., &amp; Williams, R. (2020). An evaluation of percentile measures of citation impact, and a proposal for making them better. </w:t>
      </w:r>
      <w:r w:rsidRPr="00C11A32">
        <w:rPr>
          <w:i/>
        </w:rPr>
        <w:t>Scientometrics, 124</w:t>
      </w:r>
      <w:r w:rsidRPr="00C11A32">
        <w:t xml:space="preserve">(2), 1457-1478. </w:t>
      </w:r>
      <w:hyperlink r:id="rId12" w:history="1">
        <w:r w:rsidRPr="00E5365D">
          <w:rPr>
            <w:rStyle w:val="Hyperlink"/>
          </w:rPr>
          <w:t>https://doi.org/10.1007/s11192-020-03512-7</w:t>
        </w:r>
      </w:hyperlink>
      <w:r w:rsidRPr="00C11A32">
        <w:t>.</w:t>
      </w:r>
    </w:p>
    <w:p w:rsidR="00733AEC" w:rsidRPr="00C11A32" w:rsidRDefault="00733AEC" w:rsidP="00C11A32">
      <w:pPr>
        <w:pStyle w:val="EndNoteBibliography"/>
        <w:ind w:left="720" w:hanging="720"/>
      </w:pPr>
      <w:r w:rsidRPr="00C11A32">
        <w:t xml:space="preserve">Cohen, J. (1988). </w:t>
      </w:r>
      <w:r w:rsidRPr="00C11A32">
        <w:rPr>
          <w:i/>
        </w:rPr>
        <w:t>Statistical power analysis for the behavioral sciences</w:t>
      </w:r>
      <w:r w:rsidRPr="00C11A32">
        <w:t xml:space="preserve"> (2nd ed.). Hillsdale, NJ, USA: Lawrence Erlbaum Associates, Publishers.</w:t>
      </w:r>
    </w:p>
    <w:p w:rsidR="00733AEC" w:rsidRPr="00C11A32" w:rsidRDefault="00733AEC" w:rsidP="00C11A32">
      <w:pPr>
        <w:pStyle w:val="EndNoteBibliography"/>
        <w:ind w:left="720" w:hanging="720"/>
      </w:pPr>
      <w:r w:rsidRPr="00C11A32">
        <w:t xml:space="preserve">Haunschild, R., &amp; Bornmann, L. (2016). The proposal of using scaling for calculating field-normalized citation scores. </w:t>
      </w:r>
      <w:r w:rsidRPr="00C11A32">
        <w:rPr>
          <w:i/>
        </w:rPr>
        <w:t>El Profesional de la información, 25</w:t>
      </w:r>
      <w:r w:rsidRPr="00C11A32">
        <w:t xml:space="preserve">(1), 1699-2407. </w:t>
      </w:r>
      <w:hyperlink r:id="rId13" w:history="1">
        <w:r w:rsidRPr="00E5365D">
          <w:rPr>
            <w:rStyle w:val="Hyperlink"/>
          </w:rPr>
          <w:t>https://doi.org/10.3145/epi.2016.ene.02</w:t>
        </w:r>
      </w:hyperlink>
      <w:r w:rsidRPr="00C11A32">
        <w:t>.</w:t>
      </w:r>
    </w:p>
    <w:p w:rsidR="00733AEC" w:rsidRPr="00C11A32" w:rsidRDefault="00733AEC" w:rsidP="00C11A32">
      <w:pPr>
        <w:pStyle w:val="EndNoteBibliography"/>
        <w:ind w:left="720" w:hanging="720"/>
      </w:pPr>
      <w:r w:rsidRPr="00C11A32">
        <w:t xml:space="preserve">Haunschild, R., Schier, H., &amp; Bornmann, L. (2016). Proposal of a minimum constraint for indicators based on means or averages. </w:t>
      </w:r>
      <w:r w:rsidRPr="00C11A32">
        <w:rPr>
          <w:i/>
        </w:rPr>
        <w:t>Journal of Informetrics, 10</w:t>
      </w:r>
      <w:r w:rsidRPr="00C11A32">
        <w:t xml:space="preserve">(2), 485-486. </w:t>
      </w:r>
      <w:hyperlink r:id="rId14" w:history="1">
        <w:r w:rsidRPr="00E5365D">
          <w:rPr>
            <w:rStyle w:val="Hyperlink"/>
          </w:rPr>
          <w:t>https://doi.org/10.1016/j.joi.2016.03.003</w:t>
        </w:r>
      </w:hyperlink>
      <w:r w:rsidRPr="00C11A32">
        <w:t>.</w:t>
      </w:r>
    </w:p>
    <w:p w:rsidR="00733AEC" w:rsidRPr="00C11A32" w:rsidRDefault="00733AEC" w:rsidP="00C11A32">
      <w:pPr>
        <w:pStyle w:val="EndNoteBibliography"/>
        <w:ind w:left="720" w:hanging="720"/>
      </w:pPr>
      <w:r w:rsidRPr="00C11A32">
        <w:t xml:space="preserve">Herzog, C., Hook, D., &amp; Konkiel, S. (2020). Dimensions: Bringing down barriers between scientometricians and data. </w:t>
      </w:r>
      <w:r w:rsidRPr="00C11A32">
        <w:rPr>
          <w:i/>
        </w:rPr>
        <w:t>Quantitative Science Studies, 1</w:t>
      </w:r>
      <w:r w:rsidRPr="00C11A32">
        <w:t xml:space="preserve">(1), 387-395. </w:t>
      </w:r>
      <w:hyperlink r:id="rId15" w:history="1">
        <w:r w:rsidRPr="00E5365D">
          <w:rPr>
            <w:rStyle w:val="Hyperlink"/>
          </w:rPr>
          <w:t>https://doi.org/10.1162/qss_a_00020</w:t>
        </w:r>
      </w:hyperlink>
      <w:r w:rsidRPr="00C11A32">
        <w:t>.</w:t>
      </w:r>
    </w:p>
    <w:p w:rsidR="00733AEC" w:rsidRPr="00C11A32" w:rsidRDefault="00733AEC" w:rsidP="00C11A32">
      <w:pPr>
        <w:pStyle w:val="EndNoteBibliography"/>
        <w:ind w:left="720" w:hanging="720"/>
      </w:pPr>
      <w:r w:rsidRPr="00C11A32">
        <w:t xml:space="preserve">Koch, R., &amp; Sporl, E. (2007). Statistical methods for comparison of two measuring procedures and for calibration: Analysis of concordance, correlation and regression in the case of measuring intraocular pressure. </w:t>
      </w:r>
      <w:r w:rsidRPr="00C11A32">
        <w:rPr>
          <w:i/>
        </w:rPr>
        <w:t>Klinische Monatsblatter Fur Augenheilkunde, 224</w:t>
      </w:r>
      <w:r w:rsidRPr="00C11A32">
        <w:t xml:space="preserve">(1), 52-57. </w:t>
      </w:r>
      <w:hyperlink r:id="rId16" w:history="1">
        <w:r w:rsidRPr="00E5365D">
          <w:rPr>
            <w:rStyle w:val="Hyperlink"/>
          </w:rPr>
          <w:t>https://doi.org/10.1055/s-2006-927278</w:t>
        </w:r>
      </w:hyperlink>
      <w:r w:rsidRPr="00C11A32">
        <w:t>.</w:t>
      </w:r>
    </w:p>
    <w:p w:rsidR="00733AEC" w:rsidRPr="00C11A32" w:rsidRDefault="00733AEC" w:rsidP="00C11A32">
      <w:pPr>
        <w:pStyle w:val="EndNoteBibliography"/>
        <w:ind w:left="720" w:hanging="720"/>
      </w:pPr>
      <w:r w:rsidRPr="00C11A32">
        <w:t xml:space="preserve">Lin, L. I. (1989). A Concordance Correlation Coefficient to Evaluate Reproducibility. </w:t>
      </w:r>
      <w:r w:rsidRPr="00C11A32">
        <w:rPr>
          <w:i/>
        </w:rPr>
        <w:t>Biometrics, 45</w:t>
      </w:r>
      <w:r w:rsidRPr="00C11A32">
        <w:t xml:space="preserve">(1), 255-268. </w:t>
      </w:r>
      <w:hyperlink r:id="rId17" w:history="1">
        <w:r w:rsidRPr="00E5365D">
          <w:rPr>
            <w:rStyle w:val="Hyperlink"/>
          </w:rPr>
          <w:t>https://doi.org/10.2307/2532051</w:t>
        </w:r>
      </w:hyperlink>
      <w:r w:rsidRPr="00C11A32">
        <w:t>.</w:t>
      </w:r>
    </w:p>
    <w:p w:rsidR="00733AEC" w:rsidRPr="00C11A32" w:rsidRDefault="00733AEC" w:rsidP="00C11A32">
      <w:pPr>
        <w:pStyle w:val="EndNoteBibliography"/>
        <w:ind w:left="720" w:hanging="720"/>
      </w:pPr>
      <w:r w:rsidRPr="00C11A32">
        <w:t xml:space="preserve">Lin, L. I. (2000). A Note on the Concordance Correlation Coefficient. </w:t>
      </w:r>
      <w:r w:rsidRPr="00C11A32">
        <w:rPr>
          <w:i/>
        </w:rPr>
        <w:t>Biometrics, 56</w:t>
      </w:r>
      <w:r w:rsidRPr="00C11A32">
        <w:t xml:space="preserve">(1), 324-325. </w:t>
      </w:r>
      <w:hyperlink r:id="rId18" w:history="1">
        <w:r w:rsidRPr="00E5365D">
          <w:rPr>
            <w:rStyle w:val="Hyperlink"/>
          </w:rPr>
          <w:t>https://doi.org/10.1111/j.0006-341X.2000.00324.x</w:t>
        </w:r>
      </w:hyperlink>
      <w:r w:rsidRPr="00C11A32">
        <w:t>.</w:t>
      </w:r>
    </w:p>
    <w:p w:rsidR="00733AEC" w:rsidRPr="00C11A32" w:rsidRDefault="00733AEC" w:rsidP="00C11A32">
      <w:pPr>
        <w:pStyle w:val="EndNoteBibliography"/>
        <w:ind w:left="720" w:hanging="720"/>
      </w:pPr>
      <w:r w:rsidRPr="00C11A32">
        <w:t xml:space="preserve">Liu, J., Tang, W., Chen, G., Lu, Y., Feng, C., Tu, X.M. (2016). Correlation and agreement: overview and clarification of competing concepts and measures. </w:t>
      </w:r>
      <w:r w:rsidRPr="00C11A32">
        <w:rPr>
          <w:i/>
        </w:rPr>
        <w:t>Shanghai Archives of Psychiatry, 28</w:t>
      </w:r>
      <w:r w:rsidRPr="00C11A32">
        <w:t xml:space="preserve">(2), 6. </w:t>
      </w:r>
      <w:hyperlink r:id="rId19" w:history="1">
        <w:r w:rsidR="00463561" w:rsidRPr="00E5365D">
          <w:rPr>
            <w:rStyle w:val="Hyperlink"/>
          </w:rPr>
          <w:t>https://pubmed.ncbi.nlm.nih.gov/27605869/</w:t>
        </w:r>
      </w:hyperlink>
      <w:bookmarkStart w:id="7" w:name="_GoBack"/>
      <w:bookmarkEnd w:id="7"/>
      <w:r w:rsidR="00463561">
        <w:t>.</w:t>
      </w:r>
    </w:p>
    <w:p w:rsidR="00733AEC" w:rsidRPr="00C11A32" w:rsidRDefault="00733AEC" w:rsidP="00C11A32">
      <w:pPr>
        <w:pStyle w:val="EndNoteBibliography"/>
        <w:ind w:left="720" w:hanging="720"/>
      </w:pPr>
      <w:r w:rsidRPr="00C11A32">
        <w:lastRenderedPageBreak/>
        <w:t xml:space="preserve">Lundberg, J. (2007). Lifting the crown - citation </w:t>
      </w:r>
      <w:r w:rsidRPr="00C11A32">
        <w:rPr>
          <w:i/>
        </w:rPr>
        <w:t>z</w:t>
      </w:r>
      <w:r w:rsidRPr="00C11A32">
        <w:t xml:space="preserve">-score. </w:t>
      </w:r>
      <w:r w:rsidRPr="00C11A32">
        <w:rPr>
          <w:i/>
        </w:rPr>
        <w:t>Journal of Informetrics, 1</w:t>
      </w:r>
      <w:r w:rsidRPr="00C11A32">
        <w:t xml:space="preserve">(2), 145-154. </w:t>
      </w:r>
      <w:hyperlink r:id="rId20" w:history="1">
        <w:r w:rsidRPr="00E5365D">
          <w:rPr>
            <w:rStyle w:val="Hyperlink"/>
          </w:rPr>
          <w:t>https://doi.org/10.1016/j.joi.2006.09.007</w:t>
        </w:r>
      </w:hyperlink>
      <w:r w:rsidRPr="00C11A32">
        <w:t>.</w:t>
      </w:r>
    </w:p>
    <w:p w:rsidR="00733AEC" w:rsidRPr="00C11A32" w:rsidRDefault="00733AEC" w:rsidP="00C11A32">
      <w:pPr>
        <w:pStyle w:val="EndNoteBibliography"/>
        <w:ind w:left="720" w:hanging="720"/>
      </w:pPr>
      <w:r w:rsidRPr="00C11A32">
        <w:t xml:space="preserve">Priem, J., &amp; Piwowar, H. (2022). openalex-concept-tagging. Retrieved June 27, 2022, from </w:t>
      </w:r>
      <w:hyperlink r:id="rId21" w:history="1">
        <w:r w:rsidRPr="00E5365D">
          <w:rPr>
            <w:rStyle w:val="Hyperlink"/>
          </w:rPr>
          <w:t>https://github.com/ourresearch/openalex-concept-tagging</w:t>
        </w:r>
      </w:hyperlink>
    </w:p>
    <w:p w:rsidR="00733AEC" w:rsidRPr="00C11A32" w:rsidRDefault="00733AEC" w:rsidP="00C11A32">
      <w:pPr>
        <w:pStyle w:val="EndNoteBibliography"/>
        <w:ind w:left="720" w:hanging="720"/>
      </w:pPr>
      <w:r w:rsidRPr="00C11A32">
        <w:t xml:space="preserve">Priem, J., Piwowar, H., &amp; Orr, R. (2022). </w:t>
      </w:r>
      <w:r w:rsidRPr="00C11A32">
        <w:rPr>
          <w:i/>
        </w:rPr>
        <w:t>OpenAlex: A fully-open index of scholarly works, authors, venues, institutions, and concepts</w:t>
      </w:r>
      <w:r w:rsidRPr="00C11A32">
        <w:t xml:space="preserve">. Paper presented at the 26th International Conference on Science, Technology and Innovation Indicators (STI 2022), Granada, Spain. </w:t>
      </w:r>
      <w:hyperlink r:id="rId22" w:history="1">
        <w:r w:rsidRPr="00E5365D">
          <w:rPr>
            <w:rStyle w:val="Hyperlink"/>
          </w:rPr>
          <w:t>https://doi.org/10.5281/zenodo.6936227</w:t>
        </w:r>
      </w:hyperlink>
      <w:r w:rsidRPr="00C11A32">
        <w:t xml:space="preserve">. </w:t>
      </w:r>
    </w:p>
    <w:p w:rsidR="00733AEC" w:rsidRPr="00C11A32" w:rsidRDefault="00733AEC" w:rsidP="00C11A32">
      <w:pPr>
        <w:pStyle w:val="EndNoteBibliography"/>
        <w:ind w:left="720" w:hanging="720"/>
      </w:pPr>
      <w:r w:rsidRPr="00C11A32">
        <w:t xml:space="preserve">Rehn, C., Kronman, U., &amp; Wadskog, D. (2007). </w:t>
      </w:r>
      <w:r w:rsidRPr="00C11A32">
        <w:rPr>
          <w:i/>
        </w:rPr>
        <w:t>Bibliometric indicators – definitions and usage at Karolinska Institutet</w:t>
      </w:r>
      <w:r w:rsidRPr="00C11A32">
        <w:t>. Stockholm, Sweden: Karolinska Institutet University Library.</w:t>
      </w:r>
    </w:p>
    <w:p w:rsidR="00733AEC" w:rsidRPr="00C11A32" w:rsidRDefault="00733AEC" w:rsidP="00C11A32">
      <w:pPr>
        <w:pStyle w:val="EndNoteBibliography"/>
        <w:ind w:left="720" w:hanging="720"/>
      </w:pPr>
      <w:r w:rsidRPr="00C11A32">
        <w:t xml:space="preserve">Scheidsteger, T., &amp; Haunschild, R. (2023). Which of the metadata with relevance for bibliometrics are the same and which are different when switching from Microsoft Academic Graph to OpenAlex? </w:t>
      </w:r>
      <w:r w:rsidRPr="00C11A32">
        <w:rPr>
          <w:i/>
        </w:rPr>
        <w:t>Profesional de la información, 32</w:t>
      </w:r>
      <w:r w:rsidRPr="00C11A32">
        <w:t xml:space="preserve">(2). </w:t>
      </w:r>
      <w:hyperlink r:id="rId23" w:history="1">
        <w:r w:rsidRPr="00E5365D">
          <w:rPr>
            <w:rStyle w:val="Hyperlink"/>
          </w:rPr>
          <w:t>https://doi.org/10.3145/epi.2023.mar.09</w:t>
        </w:r>
      </w:hyperlink>
      <w:r w:rsidRPr="00C11A32">
        <w:t>.</w:t>
      </w:r>
    </w:p>
    <w:p w:rsidR="00733AEC" w:rsidRPr="00C11A32" w:rsidRDefault="00733AEC" w:rsidP="00C11A32">
      <w:pPr>
        <w:pStyle w:val="EndNoteBibliography"/>
        <w:ind w:left="720" w:hanging="720"/>
      </w:pPr>
      <w:r w:rsidRPr="00C11A32">
        <w:t xml:space="preserve">Scheidsteger, T., Haunschild, R., Hug, S., &amp; Bornmann, L. (2018). </w:t>
      </w:r>
      <w:r w:rsidRPr="00C11A32">
        <w:rPr>
          <w:i/>
        </w:rPr>
        <w:t>The concordance of field-normalized scores based on Web of Science and Microsoft Academic data: A case study in computer sciences.</w:t>
      </w:r>
      <w:r w:rsidRPr="00C11A32">
        <w:t xml:space="preserve"> Paper presented at the 23th International Conference on Science, Technology and Innovation Indicators (STI 2018), Leiden. The Netherlands. </w:t>
      </w:r>
      <w:hyperlink r:id="rId24" w:history="1">
        <w:r w:rsidRPr="00E5365D">
          <w:rPr>
            <w:rStyle w:val="Hyperlink"/>
          </w:rPr>
          <w:t>https://hdl.handle.net/1887/65358</w:t>
        </w:r>
      </w:hyperlink>
      <w:r w:rsidRPr="00C11A32">
        <w:t>.</w:t>
      </w:r>
    </w:p>
    <w:p w:rsidR="00733AEC" w:rsidRPr="00C11A32" w:rsidRDefault="00733AEC" w:rsidP="00C11A32">
      <w:pPr>
        <w:pStyle w:val="EndNoteBibliography"/>
        <w:ind w:left="720" w:hanging="720"/>
      </w:pPr>
      <w:r w:rsidRPr="00C11A32">
        <w:t xml:space="preserve">Sheldrick, G. M. (2015a). Crystal structure refinement with SHELXL. </w:t>
      </w:r>
      <w:r w:rsidRPr="00C11A32">
        <w:rPr>
          <w:i/>
        </w:rPr>
        <w:t>Acta Crystallographica Section C: Structural Chemistry, 71</w:t>
      </w:r>
      <w:r w:rsidRPr="00C11A32">
        <w:t xml:space="preserve">(1), 3-8. </w:t>
      </w:r>
      <w:hyperlink r:id="rId25" w:history="1">
        <w:r w:rsidRPr="00E5365D">
          <w:rPr>
            <w:rStyle w:val="Hyperlink"/>
          </w:rPr>
          <w:t>https://doi.org/10.1107/S2053229614024218</w:t>
        </w:r>
      </w:hyperlink>
      <w:r w:rsidRPr="00C11A32">
        <w:t>.</w:t>
      </w:r>
    </w:p>
    <w:p w:rsidR="00733AEC" w:rsidRPr="00C11A32" w:rsidRDefault="00733AEC" w:rsidP="00C11A32">
      <w:pPr>
        <w:pStyle w:val="EndNoteBibliography"/>
        <w:ind w:left="720" w:hanging="720"/>
      </w:pPr>
      <w:r w:rsidRPr="00C11A32">
        <w:t xml:space="preserve">Sheldrick, G. M. (2015b). SHELXT – Integrated space-group and crystal-structure determination. </w:t>
      </w:r>
      <w:r w:rsidRPr="00C11A32">
        <w:rPr>
          <w:i/>
        </w:rPr>
        <w:t>Acta Crystallographica Section A: Foundations and Advances, 71</w:t>
      </w:r>
      <w:r w:rsidRPr="00C11A32">
        <w:t xml:space="preserve">(1), 3-8. </w:t>
      </w:r>
      <w:hyperlink r:id="rId26" w:history="1">
        <w:r w:rsidRPr="00E5365D">
          <w:rPr>
            <w:rStyle w:val="Hyperlink"/>
          </w:rPr>
          <w:t>https://doi.org/10.1107/S2053273314026370</w:t>
        </w:r>
      </w:hyperlink>
      <w:r w:rsidRPr="00C11A32">
        <w:t>.</w:t>
      </w:r>
    </w:p>
    <w:p w:rsidR="00733AEC" w:rsidRPr="00C11A32" w:rsidRDefault="00733AEC" w:rsidP="00C11A32">
      <w:pPr>
        <w:pStyle w:val="EndNoteBibliography"/>
        <w:ind w:left="720" w:hanging="720"/>
      </w:pPr>
      <w:r w:rsidRPr="00C11A32">
        <w:t xml:space="preserve">Sinha, A., Shen, Z., Song, Y., Ma, H., Eide, D., Hsu, B.-J. P., &amp; Wang, K. (2015). </w:t>
      </w:r>
      <w:r w:rsidRPr="00C11A32">
        <w:rPr>
          <w:i/>
        </w:rPr>
        <w:t>An Overview of Microsoft Academic Service (MAS) and Applications.</w:t>
      </w:r>
      <w:r w:rsidRPr="00C11A32">
        <w:t xml:space="preserve"> Paper presented at the 24th International Conference on World Wide Web (WWW ’15 Companion), Florence, Italy. </w:t>
      </w:r>
      <w:hyperlink r:id="rId27" w:history="1">
        <w:r w:rsidRPr="00E5365D">
          <w:rPr>
            <w:rStyle w:val="Hyperlink"/>
          </w:rPr>
          <w:t>https://doi.org/10.1145/2740908.2742839</w:t>
        </w:r>
      </w:hyperlink>
      <w:r w:rsidRPr="00C11A32">
        <w:t>.</w:t>
      </w:r>
    </w:p>
    <w:p w:rsidR="00733AEC" w:rsidRPr="00C11A32" w:rsidRDefault="00733AEC" w:rsidP="00C11A32">
      <w:pPr>
        <w:pStyle w:val="EndNoteBibliography"/>
        <w:ind w:left="720" w:hanging="720"/>
      </w:pPr>
      <w:r w:rsidRPr="00C11A32">
        <w:t xml:space="preserve">van Wijk, E., &amp; Costas-Comesaña, R. (2012). </w:t>
      </w:r>
      <w:r w:rsidRPr="00C11A32">
        <w:rPr>
          <w:i/>
        </w:rPr>
        <w:t>Bibliometric Study of FWF Austrian Science Fund 2001-2010/11</w:t>
      </w:r>
      <w:r w:rsidRPr="00C11A32">
        <w:t xml:space="preserve">. Leiden, the Netherlands: Center for Science and Technology Studies (CWTS). URL: </w:t>
      </w:r>
      <w:hyperlink r:id="rId28" w:history="1">
        <w:r w:rsidRPr="00E5365D">
          <w:rPr>
            <w:rStyle w:val="Hyperlink"/>
          </w:rPr>
          <w:t>https://zenodo.org/record/17851</w:t>
        </w:r>
      </w:hyperlink>
      <w:r w:rsidRPr="00C11A32">
        <w:t>.</w:t>
      </w:r>
    </w:p>
    <w:p w:rsidR="00733AEC" w:rsidRPr="00C11A32" w:rsidRDefault="00733AEC" w:rsidP="00C11A32">
      <w:pPr>
        <w:pStyle w:val="EndNoteBibliography"/>
        <w:ind w:left="720" w:hanging="720"/>
      </w:pPr>
      <w:r w:rsidRPr="00C11A32">
        <w:t xml:space="preserve">Waltman, L., van Eck, N. J., van Leeuwen, T. N., Visser, M. S., &amp; van Raan, A. F. J. (2011). Towards a new crown indicator: Some theoretical considerations. </w:t>
      </w:r>
      <w:r w:rsidRPr="00C11A32">
        <w:rPr>
          <w:i/>
        </w:rPr>
        <w:t>Journal of Informetrics, 5</w:t>
      </w:r>
      <w:r w:rsidRPr="00C11A32">
        <w:t xml:space="preserve">(1), 37-47. </w:t>
      </w:r>
      <w:hyperlink r:id="rId29" w:history="1">
        <w:r w:rsidRPr="00E5365D">
          <w:rPr>
            <w:rStyle w:val="Hyperlink"/>
          </w:rPr>
          <w:t>https://doi.org/10.1016/j.joi.2010.08.001</w:t>
        </w:r>
      </w:hyperlink>
      <w:r w:rsidRPr="00C11A32">
        <w:t>.</w:t>
      </w:r>
    </w:p>
    <w:p w:rsidR="00733AEC" w:rsidRPr="00C11A32" w:rsidRDefault="00733AEC" w:rsidP="00C11A32">
      <w:pPr>
        <w:pStyle w:val="EndNoteBibliography"/>
        <w:ind w:left="720" w:hanging="720"/>
      </w:pPr>
      <w:r w:rsidRPr="00C11A32">
        <w:t xml:space="preserve">Wang, K., Shen, Z., Huang, C., Wu, C.-H., Dong, Y., &amp; Kanakia, A. (2020). Microsoft Academic Graph: When experts are not enough. </w:t>
      </w:r>
      <w:r w:rsidRPr="00C11A32">
        <w:rPr>
          <w:i/>
        </w:rPr>
        <w:t>Quantitative Science Studies, 1</w:t>
      </w:r>
      <w:r w:rsidRPr="00C11A32">
        <w:t xml:space="preserve">(1), 396-413. </w:t>
      </w:r>
      <w:hyperlink r:id="rId30" w:history="1">
        <w:r w:rsidRPr="00E5365D">
          <w:rPr>
            <w:rStyle w:val="Hyperlink"/>
          </w:rPr>
          <w:t>https://doi.org/10.1162/qss_a_00021</w:t>
        </w:r>
      </w:hyperlink>
      <w:r w:rsidRPr="00C11A32">
        <w:t>.</w:t>
      </w:r>
    </w:p>
    <w:p w:rsidR="00733AEC" w:rsidRDefault="00733AEC">
      <w:pPr>
        <w:jc w:val="both"/>
      </w:pPr>
      <w:r>
        <w:fldChar w:fldCharType="begin"/>
      </w:r>
      <w:r>
        <w:instrText xml:space="preserve"> ADDIN </w:instrText>
      </w:r>
      <w:r>
        <w:fldChar w:fldCharType="end"/>
      </w:r>
    </w:p>
    <w:p w:rsidR="00614662" w:rsidRDefault="003708D7"/>
    <w:sectPr w:rsidR="00614662" w:rsidSect="00E5365D">
      <w:pgSz w:w="11907" w:h="16839" w:code="9"/>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D8B67C54"/>
    <w:lvl w:ilvl="0">
      <w:start w:val="1"/>
      <w:numFmt w:val="bullet"/>
      <w:lvlText w:val=""/>
      <w:lvlJc w:val="left"/>
      <w:pPr>
        <w:tabs>
          <w:tab w:val="left" w:pos="0"/>
        </w:tabs>
        <w:ind w:left="0" w:firstLine="0"/>
      </w:pPr>
      <w:rPr>
        <w:rFonts w:ascii="Symbol" w:hAnsi="Symbol"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2" w15:restartNumberingAfterBreak="0">
    <w:nsid w:val="11187F80"/>
    <w:multiLevelType w:val="multilevel"/>
    <w:tmpl w:val="5240D898"/>
    <w:lvl w:ilvl="0">
      <w:start w:val="1"/>
      <w:numFmt w:val="bullet"/>
      <w:lvlText w:val="•"/>
      <w:lvlJc w:val="left"/>
      <w:pPr>
        <w:tabs>
          <w:tab w:val="left" w:pos="0"/>
        </w:tabs>
        <w:ind w:left="480" w:hanging="480"/>
      </w:pPr>
    </w:lvl>
    <w:lvl w:ilvl="1">
      <w:start w:val="1"/>
      <w:numFmt w:val="bullet"/>
      <w:lvlText w:val="–"/>
      <w:lvlJc w:val="left"/>
      <w:pPr>
        <w:tabs>
          <w:tab w:val="left" w:pos="720"/>
        </w:tabs>
        <w:ind w:left="1200" w:hanging="480"/>
      </w:pPr>
    </w:lvl>
    <w:lvl w:ilvl="2">
      <w:start w:val="1"/>
      <w:numFmt w:val="bullet"/>
      <w:lvlText w:val="•"/>
      <w:lvlJc w:val="left"/>
      <w:pPr>
        <w:tabs>
          <w:tab w:val="left" w:pos="1440"/>
        </w:tabs>
        <w:ind w:left="1920" w:hanging="480"/>
      </w:pPr>
    </w:lvl>
    <w:lvl w:ilvl="3">
      <w:start w:val="1"/>
      <w:numFmt w:val="bullet"/>
      <w:lvlText w:val="–"/>
      <w:lvlJc w:val="left"/>
      <w:pPr>
        <w:tabs>
          <w:tab w:val="left" w:pos="2160"/>
        </w:tabs>
        <w:ind w:left="2640" w:hanging="480"/>
      </w:pPr>
    </w:lvl>
    <w:lvl w:ilvl="4">
      <w:start w:val="1"/>
      <w:numFmt w:val="bullet"/>
      <w:lvlText w:val="•"/>
      <w:lvlJc w:val="left"/>
      <w:pPr>
        <w:tabs>
          <w:tab w:val="left" w:pos="2880"/>
        </w:tabs>
        <w:ind w:left="3360" w:hanging="480"/>
      </w:pPr>
    </w:lvl>
    <w:lvl w:ilvl="5">
      <w:start w:val="1"/>
      <w:numFmt w:val="bullet"/>
      <w:lvlText w:val="–"/>
      <w:lvlJc w:val="left"/>
      <w:pPr>
        <w:tabs>
          <w:tab w:val="left" w:pos="3600"/>
        </w:tabs>
        <w:ind w:left="4080" w:hanging="480"/>
      </w:pPr>
    </w:lvl>
    <w:lvl w:ilvl="6">
      <w:start w:val="1"/>
      <w:numFmt w:val="bullet"/>
      <w:lvlText w:val="•"/>
      <w:lvlJc w:val="left"/>
      <w:pPr>
        <w:tabs>
          <w:tab w:val="left" w:pos="4320"/>
        </w:tabs>
        <w:ind w:left="4800" w:hanging="480"/>
      </w:pPr>
    </w:lvl>
    <w:lvl w:ilvl="7">
      <w:start w:val="1"/>
      <w:numFmt w:val="bullet"/>
      <w:lvlText w:val="–"/>
      <w:lvlJc w:val="left"/>
      <w:pPr>
        <w:tabs>
          <w:tab w:val="left" w:pos="5040"/>
        </w:tabs>
        <w:ind w:left="5520" w:hanging="480"/>
      </w:pPr>
    </w:lvl>
    <w:lvl w:ilvl="8">
      <w:start w:val="1"/>
      <w:numFmt w:val="bullet"/>
      <w:lvlText w:val="•"/>
      <w:lvlJc w:val="left"/>
      <w:pPr>
        <w:tabs>
          <w:tab w:val="left" w:pos="5760"/>
        </w:tabs>
        <w:ind w:left="624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33AEC"/>
    <w:rsid w:val="003708D7"/>
    <w:rsid w:val="00463561"/>
    <w:rsid w:val="00733AEC"/>
    <w:rsid w:val="00826B6A"/>
    <w:rsid w:val="0088129B"/>
    <w:rsid w:val="009A2700"/>
    <w:rsid w:val="00B72133"/>
    <w:rsid w:val="00E5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F1007"/>
  <w15:chartTrackingRefBased/>
  <w15:docId w15:val="{219CC4FE-BF69-4127-B021-E53CFFCE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AEC"/>
    <w:pPr>
      <w:spacing w:after="0" w:line="240" w:lineRule="auto"/>
    </w:pPr>
    <w:rPr>
      <w:rFonts w:ascii="Times New Roman" w:eastAsia="Times New Roman" w:hAnsi="Times New Roman" w:cs="Times New Roman"/>
      <w:sz w:val="24"/>
      <w:szCs w:val="24"/>
      <w:lang w:val="en-GB" w:eastAsia="sv-SE"/>
    </w:rPr>
  </w:style>
  <w:style w:type="paragraph" w:styleId="Heading1">
    <w:name w:val="heading 1"/>
    <w:basedOn w:val="Normal"/>
    <w:next w:val="Normal"/>
    <w:link w:val="Heading1Char"/>
    <w:uiPriority w:val="99"/>
    <w:qFormat/>
    <w:rsid w:val="00733AEC"/>
    <w:pPr>
      <w:keepNext/>
      <w:outlineLvl w:val="0"/>
    </w:pPr>
    <w:rPr>
      <w:sz w:val="36"/>
      <w:szCs w:val="36"/>
    </w:rPr>
  </w:style>
  <w:style w:type="paragraph" w:styleId="Heading2">
    <w:name w:val="heading 2"/>
    <w:basedOn w:val="Normal"/>
    <w:next w:val="Normal"/>
    <w:link w:val="Heading2Char"/>
    <w:uiPriority w:val="99"/>
    <w:qFormat/>
    <w:rsid w:val="00733AEC"/>
    <w:pPr>
      <w:keepNext/>
      <w:outlineLvl w:val="1"/>
    </w:pPr>
    <w:rPr>
      <w:b/>
      <w:bCs/>
    </w:rPr>
  </w:style>
  <w:style w:type="paragraph" w:styleId="Heading3">
    <w:name w:val="heading 3"/>
    <w:basedOn w:val="Normal"/>
    <w:next w:val="Normal"/>
    <w:link w:val="Heading3Char"/>
    <w:uiPriority w:val="99"/>
    <w:qFormat/>
    <w:rsid w:val="00733AEC"/>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33AEC"/>
    <w:rPr>
      <w:rFonts w:ascii="Times New Roman" w:eastAsia="Times New Roman" w:hAnsi="Times New Roman" w:cs="Times New Roman"/>
      <w:sz w:val="36"/>
      <w:szCs w:val="36"/>
      <w:lang w:val="en-GB" w:eastAsia="sv-SE"/>
    </w:rPr>
  </w:style>
  <w:style w:type="character" w:customStyle="1" w:styleId="Heading2Char">
    <w:name w:val="Heading 2 Char"/>
    <w:link w:val="Heading2"/>
    <w:uiPriority w:val="9"/>
    <w:rsid w:val="00733AEC"/>
    <w:rPr>
      <w:rFonts w:ascii="Times New Roman" w:eastAsia="Times New Roman" w:hAnsi="Times New Roman" w:cs="Times New Roman"/>
      <w:b/>
      <w:bCs/>
      <w:sz w:val="24"/>
      <w:szCs w:val="24"/>
      <w:lang w:val="en-GB" w:eastAsia="sv-SE"/>
    </w:rPr>
  </w:style>
  <w:style w:type="character" w:customStyle="1" w:styleId="Heading3Char">
    <w:name w:val="Heading 3 Char"/>
    <w:link w:val="Heading3"/>
    <w:uiPriority w:val="9"/>
    <w:rsid w:val="00733AEC"/>
    <w:rPr>
      <w:rFonts w:ascii="Times New Roman" w:eastAsia="Times New Roman" w:hAnsi="Times New Roman" w:cs="Times New Roman"/>
      <w:i/>
      <w:iCs/>
      <w:sz w:val="24"/>
      <w:szCs w:val="24"/>
      <w:lang w:val="en-GB" w:eastAsia="sv-SE"/>
    </w:rPr>
  </w:style>
  <w:style w:type="character" w:styleId="Hyperlink">
    <w:name w:val="Hyperlink"/>
    <w:uiPriority w:val="99"/>
    <w:rsid w:val="00733AEC"/>
    <w:rPr>
      <w:rFonts w:cs="Times New Roman"/>
      <w:color w:val="0000FF"/>
      <w:u w:val="single"/>
    </w:rPr>
  </w:style>
  <w:style w:type="paragraph" w:customStyle="1" w:styleId="References">
    <w:name w:val="References"/>
    <w:basedOn w:val="Normal"/>
    <w:uiPriority w:val="99"/>
    <w:rsid w:val="00733AEC"/>
    <w:pPr>
      <w:spacing w:after="80"/>
      <w:ind w:left="144" w:hanging="144"/>
      <w:jc w:val="both"/>
    </w:pPr>
    <w:rPr>
      <w:sz w:val="18"/>
      <w:szCs w:val="18"/>
      <w:lang w:val="en-US" w:eastAsia="en-US"/>
    </w:rPr>
  </w:style>
  <w:style w:type="paragraph" w:styleId="BodyText2">
    <w:name w:val="Body Text 2"/>
    <w:basedOn w:val="Normal"/>
    <w:link w:val="BodyText2Char"/>
    <w:uiPriority w:val="99"/>
    <w:rsid w:val="00733AEC"/>
    <w:pPr>
      <w:jc w:val="both"/>
    </w:pPr>
  </w:style>
  <w:style w:type="character" w:customStyle="1" w:styleId="BodyText2Char">
    <w:name w:val="Body Text 2 Char"/>
    <w:link w:val="BodyText2"/>
    <w:uiPriority w:val="99"/>
    <w:rsid w:val="00733AEC"/>
    <w:rPr>
      <w:rFonts w:ascii="Times New Roman" w:eastAsia="Times New Roman" w:hAnsi="Times New Roman" w:cs="Times New Roman"/>
      <w:sz w:val="24"/>
      <w:szCs w:val="24"/>
      <w:lang w:val="en-GB" w:eastAsia="sv-SE"/>
    </w:rPr>
  </w:style>
  <w:style w:type="paragraph" w:styleId="BodyText">
    <w:name w:val="Body Text"/>
    <w:basedOn w:val="Normal"/>
    <w:link w:val="BodyTextChar"/>
    <w:uiPriority w:val="99"/>
    <w:rsid w:val="00733AEC"/>
    <w:rPr>
      <w:color w:val="0000FF"/>
    </w:rPr>
  </w:style>
  <w:style w:type="character" w:customStyle="1" w:styleId="BodyTextChar">
    <w:name w:val="Body Text Char"/>
    <w:link w:val="BodyText"/>
    <w:uiPriority w:val="99"/>
    <w:rsid w:val="00733AEC"/>
    <w:rPr>
      <w:rFonts w:ascii="Times New Roman" w:eastAsia="Times New Roman" w:hAnsi="Times New Roman" w:cs="Times New Roman"/>
      <w:color w:val="0000FF"/>
      <w:sz w:val="24"/>
      <w:szCs w:val="24"/>
      <w:lang w:val="en-GB" w:eastAsia="sv-SE"/>
    </w:rPr>
  </w:style>
  <w:style w:type="character" w:customStyle="1" w:styleId="eudoraheader">
    <w:name w:val="eudoraheader"/>
    <w:uiPriority w:val="99"/>
    <w:rsid w:val="00733AEC"/>
    <w:rPr>
      <w:rFonts w:cs="Times New Roman"/>
    </w:rPr>
  </w:style>
  <w:style w:type="paragraph" w:styleId="FootnoteText">
    <w:name w:val="footnote text"/>
    <w:basedOn w:val="Normal"/>
    <w:link w:val="FootnoteTextChar"/>
    <w:uiPriority w:val="9"/>
    <w:qFormat/>
    <w:rsid w:val="00733AEC"/>
    <w:rPr>
      <w:sz w:val="20"/>
      <w:szCs w:val="20"/>
    </w:rPr>
  </w:style>
  <w:style w:type="character" w:customStyle="1" w:styleId="FootnoteTextChar">
    <w:name w:val="Footnote Text Char"/>
    <w:link w:val="FootnoteText"/>
    <w:uiPriority w:val="99"/>
    <w:rsid w:val="00733AEC"/>
    <w:rPr>
      <w:rFonts w:ascii="Times New Roman" w:eastAsia="Times New Roman" w:hAnsi="Times New Roman" w:cs="Times New Roman"/>
      <w:sz w:val="20"/>
      <w:szCs w:val="20"/>
      <w:lang w:val="en-GB" w:eastAsia="sv-SE"/>
    </w:rPr>
  </w:style>
  <w:style w:type="character" w:styleId="FootnoteReference">
    <w:name w:val="footnote reference"/>
    <w:rsid w:val="00733AEC"/>
    <w:rPr>
      <w:rFonts w:cs="Times New Roman"/>
      <w:vertAlign w:val="superscript"/>
    </w:rPr>
  </w:style>
  <w:style w:type="character" w:styleId="FollowedHyperlink">
    <w:name w:val="FollowedHyperlink"/>
    <w:uiPriority w:val="99"/>
    <w:rsid w:val="00733AEC"/>
    <w:rPr>
      <w:rFonts w:cs="Times New Roman"/>
      <w:color w:val="800080"/>
      <w:u w:val="single"/>
    </w:rPr>
  </w:style>
  <w:style w:type="character" w:styleId="CommentReference">
    <w:name w:val="annotation reference"/>
    <w:rsid w:val="00733AEC"/>
    <w:rPr>
      <w:rFonts w:cs="Times New Roman"/>
      <w:sz w:val="16"/>
      <w:szCs w:val="16"/>
    </w:rPr>
  </w:style>
  <w:style w:type="paragraph" w:styleId="CommentText">
    <w:name w:val="annotation text"/>
    <w:basedOn w:val="Normal"/>
    <w:link w:val="CommentTextChar"/>
    <w:rsid w:val="00733AEC"/>
    <w:rPr>
      <w:sz w:val="20"/>
      <w:szCs w:val="20"/>
    </w:rPr>
  </w:style>
  <w:style w:type="character" w:customStyle="1" w:styleId="CommentTextChar">
    <w:name w:val="Comment Text Char"/>
    <w:link w:val="CommentText"/>
    <w:rsid w:val="00733AEC"/>
    <w:rPr>
      <w:rFonts w:ascii="Times New Roman" w:eastAsia="Times New Roman" w:hAnsi="Times New Roman" w:cs="Times New Roman"/>
      <w:sz w:val="20"/>
      <w:szCs w:val="20"/>
      <w:lang w:val="en-GB" w:eastAsia="sv-SE"/>
    </w:rPr>
  </w:style>
  <w:style w:type="paragraph" w:styleId="CommentSubject">
    <w:name w:val="annotation subject"/>
    <w:basedOn w:val="CommentText"/>
    <w:next w:val="CommentText"/>
    <w:link w:val="CommentSubjectChar"/>
    <w:uiPriority w:val="99"/>
    <w:rsid w:val="00733AEC"/>
    <w:rPr>
      <w:b/>
      <w:bCs/>
    </w:rPr>
  </w:style>
  <w:style w:type="character" w:customStyle="1" w:styleId="CommentSubjectChar">
    <w:name w:val="Comment Subject Char"/>
    <w:link w:val="CommentSubject"/>
    <w:uiPriority w:val="99"/>
    <w:rsid w:val="00733AEC"/>
    <w:rPr>
      <w:rFonts w:ascii="Times New Roman" w:eastAsia="Times New Roman" w:hAnsi="Times New Roman" w:cs="Times New Roman"/>
      <w:b/>
      <w:bCs/>
      <w:sz w:val="20"/>
      <w:szCs w:val="20"/>
      <w:lang w:val="en-GB" w:eastAsia="sv-SE"/>
    </w:rPr>
  </w:style>
  <w:style w:type="paragraph" w:styleId="BalloonText">
    <w:name w:val="Balloon Text"/>
    <w:basedOn w:val="Normal"/>
    <w:link w:val="BalloonTextChar"/>
    <w:uiPriority w:val="99"/>
    <w:rsid w:val="00733AEC"/>
    <w:rPr>
      <w:rFonts w:ascii="Tahoma" w:hAnsi="Tahoma" w:cs="Tahoma"/>
      <w:sz w:val="16"/>
      <w:szCs w:val="16"/>
    </w:rPr>
  </w:style>
  <w:style w:type="character" w:customStyle="1" w:styleId="BalloonTextChar">
    <w:name w:val="Balloon Text Char"/>
    <w:link w:val="BalloonText"/>
    <w:uiPriority w:val="99"/>
    <w:rsid w:val="00733AEC"/>
    <w:rPr>
      <w:rFonts w:ascii="Tahoma" w:eastAsia="Times New Roman" w:hAnsi="Tahoma" w:cs="Tahoma"/>
      <w:sz w:val="16"/>
      <w:szCs w:val="16"/>
      <w:lang w:val="en-GB" w:eastAsia="sv-SE"/>
    </w:rPr>
  </w:style>
  <w:style w:type="paragraph" w:styleId="Header">
    <w:name w:val="header"/>
    <w:basedOn w:val="Normal"/>
    <w:link w:val="HeaderChar"/>
    <w:uiPriority w:val="99"/>
    <w:rsid w:val="00733AEC"/>
    <w:pPr>
      <w:tabs>
        <w:tab w:val="center" w:pos="4536"/>
        <w:tab w:val="right" w:pos="9072"/>
      </w:tabs>
    </w:pPr>
  </w:style>
  <w:style w:type="character" w:customStyle="1" w:styleId="HeaderChar">
    <w:name w:val="Header Char"/>
    <w:link w:val="Header"/>
    <w:uiPriority w:val="99"/>
    <w:rsid w:val="00733AEC"/>
    <w:rPr>
      <w:rFonts w:ascii="Times New Roman" w:eastAsia="Times New Roman" w:hAnsi="Times New Roman" w:cs="Times New Roman"/>
      <w:sz w:val="24"/>
      <w:szCs w:val="24"/>
      <w:lang w:val="en-GB" w:eastAsia="sv-SE"/>
    </w:rPr>
  </w:style>
  <w:style w:type="paragraph" w:styleId="Footer">
    <w:name w:val="footer"/>
    <w:basedOn w:val="Normal"/>
    <w:link w:val="FooterChar"/>
    <w:uiPriority w:val="99"/>
    <w:rsid w:val="00733AEC"/>
    <w:pPr>
      <w:tabs>
        <w:tab w:val="center" w:pos="4536"/>
        <w:tab w:val="right" w:pos="9072"/>
      </w:tabs>
    </w:pPr>
  </w:style>
  <w:style w:type="character" w:customStyle="1" w:styleId="FooterChar">
    <w:name w:val="Footer Char"/>
    <w:link w:val="Footer"/>
    <w:uiPriority w:val="99"/>
    <w:rsid w:val="00733AEC"/>
    <w:rPr>
      <w:rFonts w:ascii="Times New Roman" w:eastAsia="Times New Roman" w:hAnsi="Times New Roman" w:cs="Times New Roman"/>
      <w:sz w:val="24"/>
      <w:szCs w:val="24"/>
      <w:lang w:val="en-GB" w:eastAsia="sv-SE"/>
    </w:rPr>
  </w:style>
  <w:style w:type="character" w:customStyle="1" w:styleId="NichtaufgelsteErwhnung1">
    <w:name w:val="Nicht aufgelöste Erwähnung1"/>
    <w:uiPriority w:val="99"/>
    <w:rsid w:val="00733AEC"/>
    <w:rPr>
      <w:color w:val="605E5C"/>
      <w:shd w:val="clear" w:color="auto" w:fill="E1DFDD"/>
    </w:rPr>
  </w:style>
  <w:style w:type="paragraph" w:styleId="BlockText">
    <w:name w:val="Block Text"/>
    <w:basedOn w:val="BodyText"/>
    <w:next w:val="BodyText"/>
    <w:uiPriority w:val="9"/>
    <w:qFormat/>
    <w:rsid w:val="00733AEC"/>
    <w:pPr>
      <w:spacing w:before="100" w:after="100"/>
      <w:ind w:left="480" w:right="480"/>
    </w:pPr>
    <w:rPr>
      <w:rFonts w:eastAsia="Cambria" w:cs="SimSun"/>
      <w:color w:val="auto"/>
      <w:lang w:val="en-US" w:eastAsia="en-US"/>
    </w:rPr>
  </w:style>
  <w:style w:type="paragraph" w:customStyle="1" w:styleId="Compact">
    <w:name w:val="Compact"/>
    <w:basedOn w:val="BodyText"/>
    <w:qFormat/>
    <w:rsid w:val="00733AEC"/>
    <w:pPr>
      <w:spacing w:before="36" w:after="36"/>
    </w:pPr>
    <w:rPr>
      <w:rFonts w:eastAsia="Cambria" w:cs="SimSun"/>
      <w:color w:val="auto"/>
      <w:lang w:val="en-US" w:eastAsia="en-US"/>
    </w:rPr>
  </w:style>
  <w:style w:type="paragraph" w:customStyle="1" w:styleId="FirstParagraph">
    <w:name w:val="First Paragraph"/>
    <w:basedOn w:val="BodyText"/>
    <w:next w:val="BodyText"/>
    <w:qFormat/>
    <w:rsid w:val="00733AEC"/>
    <w:pPr>
      <w:spacing w:before="180" w:after="180"/>
    </w:pPr>
    <w:rPr>
      <w:rFonts w:eastAsia="Cambria" w:cs="SimSun"/>
      <w:color w:val="auto"/>
      <w:lang w:val="en-US" w:eastAsia="en-US"/>
    </w:rPr>
  </w:style>
  <w:style w:type="paragraph" w:customStyle="1" w:styleId="EndNoteBibliographyTitle">
    <w:name w:val="EndNote Bibliography Title"/>
    <w:basedOn w:val="Normal"/>
    <w:link w:val="EndNoteBibliographyTitleChar"/>
    <w:rsid w:val="00733AEC"/>
    <w:pPr>
      <w:jc w:val="center"/>
    </w:pPr>
    <w:rPr>
      <w:noProof/>
      <w:lang w:val="sv-SE"/>
    </w:rPr>
  </w:style>
  <w:style w:type="character" w:customStyle="1" w:styleId="EndNoteBibliographyTitleChar">
    <w:name w:val="EndNote Bibliography Title Char"/>
    <w:basedOn w:val="DefaultParagraphFont"/>
    <w:link w:val="EndNoteBibliographyTitle"/>
    <w:rsid w:val="00733AEC"/>
    <w:rPr>
      <w:rFonts w:ascii="Times New Roman" w:eastAsia="Times New Roman" w:hAnsi="Times New Roman" w:cs="Times New Roman"/>
      <w:noProof/>
      <w:sz w:val="24"/>
      <w:szCs w:val="24"/>
      <w:lang w:val="sv-SE" w:eastAsia="sv-SE"/>
    </w:rPr>
  </w:style>
  <w:style w:type="paragraph" w:customStyle="1" w:styleId="EndNoteBibliography">
    <w:name w:val="EndNote Bibliography"/>
    <w:basedOn w:val="Normal"/>
    <w:link w:val="EndNoteBibliographyChar"/>
    <w:rsid w:val="00733AEC"/>
    <w:pPr>
      <w:jc w:val="both"/>
    </w:pPr>
    <w:rPr>
      <w:noProof/>
      <w:lang w:val="sv-SE"/>
    </w:rPr>
  </w:style>
  <w:style w:type="character" w:customStyle="1" w:styleId="EndNoteBibliographyChar">
    <w:name w:val="EndNote Bibliography Char"/>
    <w:basedOn w:val="DefaultParagraphFont"/>
    <w:link w:val="EndNoteBibliography"/>
    <w:rsid w:val="00733AEC"/>
    <w:rPr>
      <w:rFonts w:ascii="Times New Roman" w:eastAsia="Times New Roman" w:hAnsi="Times New Roman" w:cs="Times New Roman"/>
      <w:noProof/>
      <w:sz w:val="24"/>
      <w:szCs w:val="24"/>
      <w:lang w:val="sv-SE" w:eastAsia="sv-SE"/>
    </w:rPr>
  </w:style>
  <w:style w:type="character" w:customStyle="1" w:styleId="NichtaufgelsteErwhnung2">
    <w:name w:val="Nicht aufgelöste Erwähnung2"/>
    <w:basedOn w:val="DefaultParagraphFont"/>
    <w:uiPriority w:val="99"/>
    <w:rsid w:val="00733AEC"/>
    <w:rPr>
      <w:color w:val="605E5C"/>
      <w:shd w:val="clear" w:color="auto" w:fill="E1DFDD"/>
    </w:rPr>
  </w:style>
  <w:style w:type="paragraph" w:styleId="Revision">
    <w:name w:val="Revision"/>
    <w:uiPriority w:val="99"/>
    <w:rsid w:val="00733AEC"/>
    <w:pPr>
      <w:spacing w:after="0" w:line="240" w:lineRule="auto"/>
    </w:pPr>
    <w:rPr>
      <w:rFonts w:ascii="Times New Roman" w:eastAsia="Times New Roman" w:hAnsi="Times New Roman" w:cs="Times New Roman"/>
      <w:sz w:val="2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openalex.org/download-all-data/openalex-snapshot" TargetMode="External"/><Relationship Id="rId13" Type="http://schemas.openxmlformats.org/officeDocument/2006/relationships/hyperlink" Target="https://doi.org/10.3145/epi.2016.ene.02" TargetMode="External"/><Relationship Id="rId18" Type="http://schemas.openxmlformats.org/officeDocument/2006/relationships/hyperlink" Target="https://doi.org/10.1111/j.0006-341X.2000.00324.x" TargetMode="External"/><Relationship Id="rId26" Type="http://schemas.openxmlformats.org/officeDocument/2006/relationships/hyperlink" Target="https://doi.org/10.1107/S2053273314026370" TargetMode="External"/><Relationship Id="rId3" Type="http://schemas.openxmlformats.org/officeDocument/2006/relationships/settings" Target="settings.xml"/><Relationship Id="rId21" Type="http://schemas.openxmlformats.org/officeDocument/2006/relationships/hyperlink" Target="https://github.com/ourresearch/openalex-concept-tagging" TargetMode="External"/><Relationship Id="rId7" Type="http://schemas.openxmlformats.org/officeDocument/2006/relationships/image" Target="media/image3.png"/><Relationship Id="rId12" Type="http://schemas.openxmlformats.org/officeDocument/2006/relationships/hyperlink" Target="https://doi.org/10.1007/s11192-020-03512-7" TargetMode="External"/><Relationship Id="rId17" Type="http://schemas.openxmlformats.org/officeDocument/2006/relationships/hyperlink" Target="https://doi.org/10.2307/2532051" TargetMode="External"/><Relationship Id="rId25" Type="http://schemas.openxmlformats.org/officeDocument/2006/relationships/hyperlink" Target="https://doi.org/10.1107/S2053229614024218" TargetMode="External"/><Relationship Id="rId2" Type="http://schemas.openxmlformats.org/officeDocument/2006/relationships/styles" Target="styles.xml"/><Relationship Id="rId16" Type="http://schemas.openxmlformats.org/officeDocument/2006/relationships/hyperlink" Target="https://doi.org/10.1055/s-2006-927278" TargetMode="External"/><Relationship Id="rId20" Type="http://schemas.openxmlformats.org/officeDocument/2006/relationships/hyperlink" Target="https://doi.org/10.1016/j.joi.2006.09.007" TargetMode="External"/><Relationship Id="rId29" Type="http://schemas.openxmlformats.org/officeDocument/2006/relationships/hyperlink" Target="https://doi.org/10.1016/j.joi.2010.08.00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62/qss_a_00018" TargetMode="External"/><Relationship Id="rId24" Type="http://schemas.openxmlformats.org/officeDocument/2006/relationships/hyperlink" Target="https://hdl.handle.net/1887/65358"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i.org/10.1162/qss_a_00020" TargetMode="External"/><Relationship Id="rId23" Type="http://schemas.openxmlformats.org/officeDocument/2006/relationships/hyperlink" Target="https://doi.org/10.3145/epi.2023.mar.09" TargetMode="External"/><Relationship Id="rId28" Type="http://schemas.openxmlformats.org/officeDocument/2006/relationships/hyperlink" Target="https://zenodo.org/record/17851" TargetMode="External"/><Relationship Id="rId10" Type="http://schemas.openxmlformats.org/officeDocument/2006/relationships/hyperlink" Target="https://doi.org/10.1162/qss_a_00019" TargetMode="External"/><Relationship Id="rId19" Type="http://schemas.openxmlformats.org/officeDocument/2006/relationships/hyperlink" Target="https://pubmed.ncbi.nlm.nih.gov/2760586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project.org" TargetMode="External"/><Relationship Id="rId14" Type="http://schemas.openxmlformats.org/officeDocument/2006/relationships/hyperlink" Target="https://doi.org/10.1016/j.joi.2016.03.003" TargetMode="External"/><Relationship Id="rId22" Type="http://schemas.openxmlformats.org/officeDocument/2006/relationships/hyperlink" Target="https://doi.org/10.5281/zenodo.6936227" TargetMode="External"/><Relationship Id="rId27" Type="http://schemas.openxmlformats.org/officeDocument/2006/relationships/hyperlink" Target="https://doi.org/10.1145/2740908.2742839" TargetMode="External"/><Relationship Id="rId30" Type="http://schemas.openxmlformats.org/officeDocument/2006/relationships/hyperlink" Target="https://doi.org/10.1162/qss_a_00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MPI FKF</Company>
  <LinksUpToDate>false</LinksUpToDate>
  <CharactersWithSpaces>31614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Scheidsteger</dc:creator>
  <cp:keywords/>
  <dc:description/>
  <cp:lastModifiedBy>Thomas Scheidsteger</cp:lastModifiedBy>
  <cp:revision>5</cp:revision>
  <cp:lastPrinted>2023-09-05T17:06:00Z</cp:lastPrinted>
  <dcterms:created xsi:type="dcterms:W3CDTF">2023-09-05T16:12:00Z</dcterms:created>
  <dcterms:modified xsi:type="dcterms:W3CDTF">2023-09-06T08:53:00Z</dcterms:modified>
</cp:coreProperties>
</file>