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B6EE" w14:textId="3EA5306A" w:rsidR="006C677B" w:rsidRPr="005E1A73" w:rsidRDefault="003A08E7">
      <w:pPr>
        <w:pStyle w:val="Heading1"/>
        <w:rPr>
          <w:rFonts w:ascii="Futura" w:hAnsi="Futura" w:cstheme="minorBidi"/>
          <w:iCs/>
          <w:color w:val="DA1E22"/>
          <w:kern w:val="2"/>
          <w:sz w:val="40"/>
          <w:szCs w:val="80"/>
        </w:rPr>
      </w:pPr>
      <w:r w:rsidRPr="005E1A73">
        <w:rPr>
          <w:rFonts w:ascii="Futura" w:hAnsi="Futura"/>
          <w:noProof/>
          <w:lang w:val="en-GB" w:eastAsia="en-GB"/>
        </w:rPr>
        <mc:AlternateContent>
          <mc:Choice Requires="wps">
            <w:drawing>
              <wp:anchor distT="0" distB="0" distL="0" distR="0" simplePos="0" relativeHeight="7" behindDoc="0" locked="0" layoutInCell="0" allowOverlap="1" wp14:anchorId="516F39D2" wp14:editId="330A0482">
                <wp:simplePos x="0" y="0"/>
                <wp:positionH relativeFrom="column">
                  <wp:posOffset>5091430</wp:posOffset>
                </wp:positionH>
                <wp:positionV relativeFrom="paragraph">
                  <wp:posOffset>-745490</wp:posOffset>
                </wp:positionV>
                <wp:extent cx="777240" cy="398780"/>
                <wp:effectExtent l="0" t="0" r="6350" b="3810"/>
                <wp:wrapNone/>
                <wp:docPr id="1" name="Text Box 2"/>
                <wp:cNvGraphicFramePr/>
                <a:graphic xmlns:a="http://schemas.openxmlformats.org/drawingml/2006/main">
                  <a:graphicData uri="http://schemas.microsoft.com/office/word/2010/wordprocessingShape">
                    <wps:wsp>
                      <wps:cNvSpPr/>
                      <wps:spPr>
                        <a:xfrm>
                          <a:off x="0" y="0"/>
                          <a:ext cx="776520" cy="3981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9EF42BD" w14:textId="77777777" w:rsidR="006C677B" w:rsidRDefault="003A08E7">
                            <w:pPr>
                              <w:pStyle w:val="Contenidodelmarco"/>
                              <w:spacing w:before="240" w:after="0"/>
                              <w:jc w:val="right"/>
                              <w:rPr>
                                <w:rFonts w:ascii="Futura" w:hAnsi="Futura"/>
                                <w:sz w:val="18"/>
                                <w:lang w:val="en-GB"/>
                              </w:rPr>
                            </w:pPr>
                            <w:r>
                              <w:rPr>
                                <w:rFonts w:ascii="Futura" w:hAnsi="Futura"/>
                                <w:color w:val="000000"/>
                                <w:sz w:val="18"/>
                                <w:lang w:val="en-GB"/>
                              </w:rPr>
                              <w:t>Article type</w:t>
                            </w:r>
                          </w:p>
                          <w:p w14:paraId="3ADFF0C7" w14:textId="77777777" w:rsidR="006C677B" w:rsidRDefault="003A08E7">
                            <w:pPr>
                              <w:pStyle w:val="Contenidodelmarco"/>
                              <w:spacing w:before="240" w:after="0"/>
                              <w:jc w:val="right"/>
                              <w:rPr>
                                <w:rFonts w:ascii="Futura" w:hAnsi="Futura"/>
                                <w:sz w:val="18"/>
                                <w:lang w:val="en-GB"/>
                              </w:rPr>
                            </w:pPr>
                            <w:r>
                              <w:rPr>
                                <w:rFonts w:ascii="Futura" w:hAnsi="Futura"/>
                                <w:color w:val="000000"/>
                                <w:sz w:val="18"/>
                                <w:lang w:val="en-GB"/>
                              </w:rPr>
                              <w:t>DOI</w:t>
                            </w:r>
                          </w:p>
                        </w:txbxContent>
                      </wps:txbx>
                      <wps:bodyPr>
                        <a:noAutofit/>
                      </wps:bodyPr>
                    </wps:wsp>
                  </a:graphicData>
                </a:graphic>
              </wp:anchor>
            </w:drawing>
          </mc:Choice>
          <mc:Fallback>
            <w:pict>
              <v:rect w14:anchorId="516F39D2" id="Text Box 2" o:spid="_x0000_s1026" style="position:absolute;margin-left:400.9pt;margin-top:-58.7pt;width:61.2pt;height:31.4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" o:allowincell="f" stroked="f" strokeweight=".26mm">
                <v:textbox>
                  <w:txbxContent>
                    <w:p w14:paraId="09EF42BD" w14:textId="77777777" w:rsidR="006C677B" w:rsidRDefault="003A08E7">
                      <w:pPr>
                        <w:pStyle w:val="Contenidodelmarco"/>
                        <w:spacing w:before="240" w:after="0"/>
                        <w:jc w:val="right"/>
                        <w:rPr>
                          <w:rFonts w:ascii="Futura" w:hAnsi="Futura"/>
                          <w:sz w:val="18"/>
                          <w:lang w:val="en-GB"/>
                        </w:rPr>
                      </w:pPr>
                      <w:r>
                        <w:rPr>
                          <w:rFonts w:ascii="Futura" w:hAnsi="Futura"/>
                          <w:color w:val="000000"/>
                          <w:sz w:val="18"/>
                          <w:lang w:val="en-GB"/>
                        </w:rPr>
                        <w:t>Article type</w:t>
                      </w:r>
                    </w:p>
                    <w:p w14:paraId="3ADFF0C7" w14:textId="77777777" w:rsidR="006C677B" w:rsidRDefault="003A08E7">
                      <w:pPr>
                        <w:pStyle w:val="Contenidodelmarco"/>
                        <w:spacing w:before="240" w:after="0"/>
                        <w:jc w:val="right"/>
                        <w:rPr>
                          <w:rFonts w:ascii="Futura" w:hAnsi="Futura"/>
                          <w:sz w:val="18"/>
                          <w:lang w:val="en-GB"/>
                        </w:rPr>
                      </w:pPr>
                      <w:r>
                        <w:rPr>
                          <w:rFonts w:ascii="Futura" w:hAnsi="Futura"/>
                          <w:color w:val="000000"/>
                          <w:sz w:val="18"/>
                          <w:lang w:val="en-GB"/>
                        </w:rPr>
                        <w:t>DOI</w:t>
                      </w:r>
                    </w:p>
                  </w:txbxContent>
                </v:textbox>
              </v:rect>
            </w:pict>
          </mc:Fallback>
        </mc:AlternateContent>
      </w:r>
      <w:r w:rsidR="008C5898" w:rsidRPr="005E1A73">
        <w:rPr>
          <w:rFonts w:ascii="Futura" w:hAnsi="Futura" w:cstheme="minorBidi"/>
          <w:iCs/>
          <w:color w:val="DA1E22"/>
          <w:kern w:val="2"/>
          <w:sz w:val="40"/>
          <w:szCs w:val="80"/>
        </w:rPr>
        <w:t>Why do we do science?</w:t>
      </w:r>
    </w:p>
    <w:p w14:paraId="5C07D855" w14:textId="77777777" w:rsidR="008C5898" w:rsidRPr="005E1A73" w:rsidRDefault="008C5898" w:rsidP="008C5898">
      <w:pPr>
        <w:pStyle w:val="Subtitle"/>
        <w:rPr>
          <w:rFonts w:ascii="Futura" w:hAnsi="Futura"/>
          <w:lang w:val="en-GB"/>
        </w:rPr>
      </w:pPr>
      <w:r w:rsidRPr="005E1A73">
        <w:rPr>
          <w:rFonts w:ascii="Futura" w:hAnsi="Futura"/>
          <w:lang w:val="en-GB"/>
        </w:rPr>
        <w:t>Navigating the paths of individual excellence and team science</w:t>
      </w:r>
    </w:p>
    <w:p w14:paraId="566B564D" w14:textId="77777777" w:rsidR="00113286" w:rsidRDefault="008C5898">
      <w:pPr>
        <w:pStyle w:val="BodyText"/>
        <w:rPr>
          <w:rFonts w:eastAsia="Calibri" w:cs="Times New Roman"/>
          <w:lang w:val="en-GB"/>
        </w:rPr>
      </w:pPr>
      <w:r w:rsidRPr="005E1A73">
        <w:rPr>
          <w:rFonts w:eastAsia="Calibri" w:cs="Times New Roman"/>
          <w:lang w:val="nl-NL"/>
        </w:rPr>
        <w:t>dr. ir. Steven Flipse</w:t>
      </w:r>
      <w:r w:rsidR="005E1A73">
        <w:rPr>
          <w:rFonts w:eastAsia="Calibri" w:cs="Times New Roman"/>
          <w:lang w:val="nl-NL"/>
        </w:rPr>
        <w:t xml:space="preserve"> </w:t>
      </w:r>
      <w:r w:rsidRPr="005E1A73">
        <w:rPr>
          <w:rFonts w:eastAsia="Calibri" w:cs="Times New Roman"/>
          <w:lang w:val="nl-NL"/>
        </w:rPr>
        <w:t xml:space="preserve"> &amp; dr. </w:t>
      </w:r>
      <w:r w:rsidRPr="005E1A73">
        <w:rPr>
          <w:rFonts w:eastAsia="Calibri" w:cs="Times New Roman"/>
          <w:lang w:val="en-GB"/>
        </w:rPr>
        <w:t xml:space="preserve">Eva Kalmar </w:t>
      </w:r>
    </w:p>
    <w:p w14:paraId="1B83B76F" w14:textId="7961D65C" w:rsidR="006C677B" w:rsidRDefault="00113286" w:rsidP="00113286">
      <w:pPr>
        <w:pStyle w:val="BodyText"/>
        <w:rPr>
          <w:lang w:val="en-GB"/>
        </w:rPr>
      </w:pPr>
      <w:r w:rsidRPr="00113286">
        <w:rPr>
          <w:lang w:val="en-GB"/>
        </w:rPr>
        <w:t>Faculty of Applied Sciences, Delft University of</w:t>
      </w:r>
      <w:r>
        <w:rPr>
          <w:lang w:val="en-GB"/>
        </w:rPr>
        <w:t xml:space="preserve"> </w:t>
      </w:r>
      <w:r w:rsidRPr="00113286">
        <w:rPr>
          <w:lang w:val="en-GB"/>
        </w:rPr>
        <w:t xml:space="preserve">Technology, </w:t>
      </w:r>
      <w:proofErr w:type="spellStart"/>
      <w:r w:rsidRPr="00113286">
        <w:rPr>
          <w:lang w:val="en-GB"/>
        </w:rPr>
        <w:t>Lorentzweg</w:t>
      </w:r>
      <w:proofErr w:type="spellEnd"/>
      <w:r w:rsidRPr="00113286">
        <w:rPr>
          <w:lang w:val="en-GB"/>
        </w:rPr>
        <w:t xml:space="preserve"> 1, 2628 CJ Delft, The</w:t>
      </w:r>
      <w:r>
        <w:rPr>
          <w:lang w:val="en-GB"/>
        </w:rPr>
        <w:t xml:space="preserve"> </w:t>
      </w:r>
      <w:r w:rsidRPr="00113286">
        <w:rPr>
          <w:lang w:val="en-GB"/>
        </w:rPr>
        <w:t>Netherlands</w:t>
      </w:r>
      <w:r w:rsidRPr="00113286">
        <w:rPr>
          <w:lang w:val="en-GB"/>
        </w:rPr>
        <w:t xml:space="preserve"> </w:t>
      </w:r>
    </w:p>
    <w:p w14:paraId="5BA3935A" w14:textId="4FECB459" w:rsidR="00113286" w:rsidRPr="00113286" w:rsidRDefault="00113286" w:rsidP="00113286">
      <w:pPr>
        <w:pStyle w:val="BodyText"/>
        <w:rPr>
          <w:lang w:val="en-GB"/>
        </w:rPr>
      </w:pPr>
      <w:r w:rsidRPr="00113286">
        <w:rPr>
          <w:lang w:val="en-GB"/>
        </w:rPr>
        <w:t>S. Flipse</w:t>
      </w:r>
      <w:r>
        <w:rPr>
          <w:lang w:val="en-GB"/>
        </w:rPr>
        <w:t xml:space="preserve"> </w:t>
      </w:r>
      <w:r w:rsidRPr="00113286">
        <w:rPr>
          <w:lang w:val="en-GB"/>
        </w:rPr>
        <w:t>Email: S.M.Flipse@tudelft.nl</w:t>
      </w:r>
    </w:p>
    <w:p w14:paraId="5057738E" w14:textId="243AB03F" w:rsidR="00113286" w:rsidRDefault="00113286" w:rsidP="00113286">
      <w:pPr>
        <w:pStyle w:val="BodyText"/>
        <w:rPr>
          <w:lang w:val="en-GB"/>
        </w:rPr>
      </w:pPr>
      <w:r w:rsidRPr="00113286">
        <w:rPr>
          <w:lang w:val="en-GB"/>
        </w:rPr>
        <w:t>E. Kalmar</w:t>
      </w:r>
      <w:r>
        <w:rPr>
          <w:lang w:val="en-GB"/>
        </w:rPr>
        <w:t xml:space="preserve"> </w:t>
      </w:r>
      <w:r w:rsidRPr="00113286">
        <w:rPr>
          <w:lang w:val="en-GB"/>
        </w:rPr>
        <w:t>Email: E.Kalmar-1@tudelft.</w:t>
      </w:r>
      <w:r>
        <w:rPr>
          <w:lang w:val="en-GB"/>
        </w:rPr>
        <w:t>nl</w:t>
      </w:r>
    </w:p>
    <w:p w14:paraId="2859522D" w14:textId="77777777" w:rsidR="006C677B" w:rsidRDefault="003A08E7">
      <w:pPr>
        <w:pStyle w:val="Heading2"/>
        <w:numPr>
          <w:ilvl w:val="1"/>
          <w:numId w:val="2"/>
        </w:numPr>
      </w:pPr>
      <w:r>
        <w:t>Abstract</w:t>
      </w:r>
    </w:p>
    <w:p w14:paraId="0FACFDB2" w14:textId="77777777" w:rsidR="008C65C6" w:rsidRPr="008C65C6" w:rsidRDefault="008C65C6" w:rsidP="008C65C6">
      <w:pPr>
        <w:pStyle w:val="ListParagraph"/>
        <w:numPr>
          <w:ilvl w:val="0"/>
          <w:numId w:val="2"/>
        </w:numPr>
        <w:rPr>
          <w:lang w:val="en-GB"/>
        </w:rPr>
      </w:pPr>
      <w:r w:rsidRPr="008C65C6">
        <w:rPr>
          <w:lang w:val="en-GB"/>
        </w:rPr>
        <w:t xml:space="preserve">In this whitepaper, we address an issue that has been emerging within the academic community: how do we align our personal career perspectives with ideas of democratic, open and inclusive research and innovation strategies? We address this issue and voice our concerns regarding the governance of this alignment within our lovely institution in the hope that it provides a starting point for further deliberation amongst our scholars and students. </w:t>
      </w:r>
    </w:p>
    <w:p w14:paraId="26064D47" w14:textId="5CBAC353" w:rsidR="006C677B" w:rsidRDefault="008C65C6">
      <w:pPr>
        <w:pStyle w:val="BodyText"/>
        <w:rPr>
          <w:i/>
          <w:iCs/>
        </w:rPr>
      </w:pPr>
      <w:r>
        <w:rPr>
          <w:i/>
          <w:iCs/>
        </w:rPr>
        <w:t>Keywords: fundamentals of science, collaboration, team science, science communication</w:t>
      </w:r>
    </w:p>
    <w:p w14:paraId="452D2800" w14:textId="77777777" w:rsidR="008C65C6" w:rsidRDefault="008C65C6" w:rsidP="008C65C6">
      <w:pPr>
        <w:pStyle w:val="Heading2"/>
        <w:numPr>
          <w:ilvl w:val="1"/>
          <w:numId w:val="2"/>
        </w:numPr>
        <w:rPr>
          <w:color w:val="DA1E22"/>
        </w:rPr>
      </w:pPr>
      <w:r>
        <w:t>Research Highlights</w:t>
      </w:r>
    </w:p>
    <w:p w14:paraId="706457A5" w14:textId="45698AB8" w:rsidR="008C65C6" w:rsidRPr="008C65C6" w:rsidRDefault="008C65C6" w:rsidP="008C65C6">
      <w:pPr>
        <w:pStyle w:val="ListParagraph"/>
        <w:numPr>
          <w:ilvl w:val="0"/>
          <w:numId w:val="5"/>
        </w:numPr>
        <w:suppressAutoHyphens w:val="0"/>
        <w:spacing w:after="0" w:line="288" w:lineRule="auto"/>
        <w:rPr>
          <w:lang w:val="en-GB"/>
        </w:rPr>
      </w:pPr>
      <w:r w:rsidRPr="008C65C6">
        <w:rPr>
          <w:lang w:val="en-GB"/>
        </w:rPr>
        <w:t xml:space="preserve">We are convinced that our staff and students currently do not pay enough attention to the implications of </w:t>
      </w:r>
      <w:r>
        <w:rPr>
          <w:lang w:val="en-GB"/>
        </w:rPr>
        <w:t xml:space="preserve">choosing </w:t>
      </w:r>
      <w:r w:rsidRPr="008C65C6">
        <w:rPr>
          <w:lang w:val="en-GB"/>
        </w:rPr>
        <w:t xml:space="preserve">individual excellence and collaborative science endeavours. Making choices on how we see our academic study programs and careers is based on different interpretations and assumptions around personal and institutional values. </w:t>
      </w:r>
    </w:p>
    <w:p w14:paraId="5483585D" w14:textId="743BE4BC" w:rsidR="008C65C6" w:rsidRPr="008C65C6" w:rsidRDefault="00FE122F" w:rsidP="008C65C6">
      <w:pPr>
        <w:pStyle w:val="ListParagraph"/>
        <w:numPr>
          <w:ilvl w:val="0"/>
          <w:numId w:val="5"/>
        </w:numPr>
        <w:suppressAutoHyphens w:val="0"/>
        <w:spacing w:after="0" w:line="288" w:lineRule="auto"/>
        <w:rPr>
          <w:lang w:val="en-GB"/>
        </w:rPr>
      </w:pPr>
      <w:r>
        <w:rPr>
          <w:lang w:val="en-GB"/>
        </w:rPr>
        <w:t>There are</w:t>
      </w:r>
      <w:r w:rsidR="008C65C6" w:rsidRPr="008C65C6">
        <w:rPr>
          <w:lang w:val="en-GB"/>
        </w:rPr>
        <w:t xml:space="preserve"> </w:t>
      </w:r>
      <w:r>
        <w:rPr>
          <w:lang w:val="en-GB"/>
        </w:rPr>
        <w:t>different</w:t>
      </w:r>
      <w:r w:rsidR="008C65C6" w:rsidRPr="008C65C6">
        <w:rPr>
          <w:lang w:val="en-GB"/>
        </w:rPr>
        <w:t xml:space="preserve"> perspective</w:t>
      </w:r>
      <w:r>
        <w:rPr>
          <w:lang w:val="en-GB"/>
        </w:rPr>
        <w:t>s</w:t>
      </w:r>
      <w:r w:rsidR="008C65C6" w:rsidRPr="008C65C6">
        <w:rPr>
          <w:lang w:val="en-GB"/>
        </w:rPr>
        <w:t xml:space="preserve"> between scholars in research fields that are more discipline-oriented and widely socially oriented in starting points for their scholarly work, but often without explicit consideration of how it influences how collaborative science plays out in practice.</w:t>
      </w:r>
    </w:p>
    <w:p w14:paraId="4DE1D8B4" w14:textId="2DD17E5C" w:rsidR="008C65C6" w:rsidRPr="008C65C6" w:rsidRDefault="008C65C6" w:rsidP="008C65C6">
      <w:pPr>
        <w:pStyle w:val="ListParagraph"/>
        <w:numPr>
          <w:ilvl w:val="0"/>
          <w:numId w:val="5"/>
        </w:numPr>
        <w:suppressAutoHyphens w:val="0"/>
        <w:spacing w:after="0" w:line="288" w:lineRule="auto"/>
        <w:rPr>
          <w:lang w:val="en-GB"/>
        </w:rPr>
      </w:pPr>
      <w:r w:rsidRPr="008C65C6">
        <w:rPr>
          <w:lang w:val="en-GB"/>
        </w:rPr>
        <w:t xml:space="preserve">We observe a difference in how collaboration is integrated into student curricula. If we want to change the educational system to be more about inclusive science, we have to start by making more explicit choices about this in our research agendas.  </w:t>
      </w:r>
    </w:p>
    <w:p w14:paraId="4490B203" w14:textId="77777777" w:rsidR="00FE122F" w:rsidRDefault="008C65C6" w:rsidP="00FE122F">
      <w:pPr>
        <w:pStyle w:val="ListParagraph"/>
        <w:numPr>
          <w:ilvl w:val="0"/>
          <w:numId w:val="5"/>
        </w:numPr>
        <w:suppressAutoHyphens w:val="0"/>
        <w:spacing w:after="0" w:line="288" w:lineRule="auto"/>
        <w:rPr>
          <w:lang w:val="en-GB"/>
        </w:rPr>
      </w:pPr>
      <w:r w:rsidRPr="008C65C6">
        <w:rPr>
          <w:lang w:val="en-GB"/>
        </w:rPr>
        <w:t xml:space="preserve">If we move towards more collaborative science, discipline-oriented scientists should stop hiring future clones. </w:t>
      </w:r>
    </w:p>
    <w:p w14:paraId="7E185CB4" w14:textId="4B20CE21" w:rsidR="008C65C6" w:rsidRPr="00FE122F" w:rsidRDefault="008C65C6" w:rsidP="00FE122F">
      <w:pPr>
        <w:pStyle w:val="ListParagraph"/>
        <w:numPr>
          <w:ilvl w:val="0"/>
          <w:numId w:val="5"/>
        </w:numPr>
        <w:suppressAutoHyphens w:val="0"/>
        <w:spacing w:after="0" w:line="288" w:lineRule="auto"/>
        <w:rPr>
          <w:lang w:val="en-GB"/>
        </w:rPr>
      </w:pPr>
      <w:r w:rsidRPr="00FE122F">
        <w:rPr>
          <w:lang w:val="en-GB"/>
        </w:rPr>
        <w:t>The current (lack of) initiative by our collective management to discuss these and related issues does not do justice to the value of making explicit governance-related choices on the supposed role of the Delft University of Technology in society</w:t>
      </w:r>
    </w:p>
    <w:p w14:paraId="2AE5EC76" w14:textId="77777777" w:rsidR="00FE122F" w:rsidRPr="008C65C6" w:rsidRDefault="00FE122F" w:rsidP="00FE122F">
      <w:pPr>
        <w:pStyle w:val="BodyText"/>
        <w:rPr>
          <w:highlight w:val="green"/>
          <w:lang w:val="en-GB"/>
        </w:rPr>
      </w:pPr>
    </w:p>
    <w:p w14:paraId="20E3B127" w14:textId="77777777" w:rsidR="008C65C6" w:rsidRDefault="008C65C6" w:rsidP="00FE122F">
      <w:pPr>
        <w:pStyle w:val="BodyText"/>
        <w:rPr>
          <w:highlight w:val="green"/>
          <w:lang w:val="en-GB"/>
        </w:rPr>
      </w:pPr>
    </w:p>
    <w:p w14:paraId="29A407F4" w14:textId="31D82DC8" w:rsidR="00A27226" w:rsidRPr="00A27226" w:rsidRDefault="00A27226" w:rsidP="00A27226">
      <w:pPr>
        <w:pStyle w:val="Quote"/>
        <w:rPr>
          <w:color w:val="FF0000"/>
        </w:rPr>
      </w:pPr>
      <w:r w:rsidRPr="00A27226">
        <w:rPr>
          <w:color w:val="FF0000"/>
        </w:rPr>
        <w:t>"Millions saw the apple fall, but Newton was the one who asked why."</w:t>
      </w:r>
    </w:p>
    <w:p w14:paraId="5F7278B5" w14:textId="4D612174" w:rsidR="00FE122F" w:rsidRPr="00A27226" w:rsidRDefault="00A27226" w:rsidP="00A27226">
      <w:pPr>
        <w:pStyle w:val="BodyText"/>
        <w:jc w:val="center"/>
        <w:rPr>
          <w:sz w:val="26"/>
          <w:szCs w:val="28"/>
          <w:highlight w:val="green"/>
          <w:lang w:val="en-GB"/>
        </w:rPr>
      </w:pPr>
      <w:r w:rsidRPr="00A27226">
        <w:rPr>
          <w:sz w:val="20"/>
          <w:szCs w:val="20"/>
        </w:rPr>
        <w:t>Bernard Baruch</w:t>
      </w:r>
    </w:p>
    <w:p w14:paraId="74E3857D" w14:textId="77777777" w:rsidR="00FE122F" w:rsidRPr="00A27226" w:rsidRDefault="00FE122F" w:rsidP="00FE122F">
      <w:pPr>
        <w:pStyle w:val="BodyText"/>
        <w:rPr>
          <w:color w:val="FF0000"/>
          <w:highlight w:val="green"/>
          <w:lang w:val="en-GB"/>
        </w:rPr>
      </w:pPr>
    </w:p>
    <w:p w14:paraId="2511027E" w14:textId="77777777" w:rsidR="00FE122F" w:rsidRDefault="00FE122F" w:rsidP="00FE122F">
      <w:pPr>
        <w:pStyle w:val="BodyText"/>
        <w:rPr>
          <w:highlight w:val="green"/>
          <w:lang w:val="en-GB"/>
        </w:rPr>
      </w:pPr>
    </w:p>
    <w:p w14:paraId="4FB55710" w14:textId="77777777" w:rsidR="00FE122F" w:rsidRDefault="00FE122F" w:rsidP="00FE122F">
      <w:pPr>
        <w:pStyle w:val="BodyText"/>
        <w:rPr>
          <w:highlight w:val="green"/>
          <w:lang w:val="en-GB"/>
        </w:rPr>
      </w:pPr>
    </w:p>
    <w:p w14:paraId="67BD5059" w14:textId="77777777" w:rsidR="00FE122F" w:rsidRPr="008C65C6" w:rsidRDefault="00FE122F" w:rsidP="00FE122F">
      <w:pPr>
        <w:pStyle w:val="BodyText"/>
        <w:rPr>
          <w:highlight w:val="green"/>
          <w:lang w:val="en-GB"/>
        </w:rPr>
      </w:pPr>
    </w:p>
    <w:p w14:paraId="2DEE9EC3" w14:textId="71676803" w:rsidR="006C677B" w:rsidRDefault="005A6248" w:rsidP="00575F60">
      <w:pPr>
        <w:pStyle w:val="Heading2"/>
      </w:pPr>
      <w:r>
        <w:t xml:space="preserve">1. </w:t>
      </w:r>
      <w:r w:rsidR="008C65C6" w:rsidRPr="008C65C6">
        <w:t>Getting started: perspectives on our knowledge society</w:t>
      </w:r>
    </w:p>
    <w:p w14:paraId="364D7023" w14:textId="77777777" w:rsidR="006C677B" w:rsidRDefault="006C677B">
      <w:pPr>
        <w:sectPr w:rsidR="006C677B">
          <w:headerReference w:type="default" r:id="rId8"/>
          <w:footerReference w:type="default" r:id="rId9"/>
          <w:pgSz w:w="12240" w:h="15840"/>
          <w:pgMar w:top="1440" w:right="1440" w:bottom="1553" w:left="1440" w:header="708" w:footer="708" w:gutter="0"/>
          <w:cols w:space="720"/>
          <w:formProt w:val="0"/>
          <w:docGrid w:linePitch="360" w:charSpace="4096"/>
        </w:sectPr>
      </w:pPr>
    </w:p>
    <w:p w14:paraId="437D6E8C" w14:textId="77777777" w:rsidR="00575F60" w:rsidRPr="00575F60" w:rsidRDefault="00575F60" w:rsidP="00575F60">
      <w:pPr>
        <w:spacing w:line="276" w:lineRule="auto"/>
        <w:rPr>
          <w:rFonts w:ascii="Futura" w:hAnsi="Futura"/>
        </w:rPr>
      </w:pPr>
      <w:r w:rsidRPr="00575F60">
        <w:rPr>
          <w:rFonts w:ascii="Futura" w:hAnsi="Futura"/>
        </w:rPr>
        <w:t xml:space="preserve">We live in a knowledge society. In addition to mineral resources, capital and physical activity, knowledge is an increasingly important resource. It contributes to the functioning of democracies and innovation and helps countries to be </w:t>
      </w:r>
      <w:r w:rsidRPr="00575F60">
        <w:rPr>
          <w:rFonts w:ascii="Futura" w:hAnsi="Futura"/>
          <w:lang w:val="en-GB"/>
        </w:rPr>
        <w:t xml:space="preserve">globally </w:t>
      </w:r>
      <w:r w:rsidRPr="00575F60">
        <w:rPr>
          <w:rFonts w:ascii="Futura" w:hAnsi="Futura"/>
        </w:rPr>
        <w:t xml:space="preserve">competitive.  However, the academic world, which contributes significantly to knowledge production, is confronted with new challenges. Classical, single-disciplinary approaches slowly make way for multi-, inter- or transdisciplinary groups, projects and educational </w:t>
      </w:r>
      <w:proofErr w:type="spellStart"/>
      <w:r w:rsidRPr="00575F60">
        <w:rPr>
          <w:rFonts w:ascii="Futura" w:hAnsi="Futura"/>
        </w:rPr>
        <w:t>programmes</w:t>
      </w:r>
      <w:proofErr w:type="spellEnd"/>
      <w:r w:rsidRPr="00575F60">
        <w:rPr>
          <w:rFonts w:ascii="Futura" w:hAnsi="Futura"/>
        </w:rPr>
        <w:t>. Is this a movement for the better?</w:t>
      </w:r>
    </w:p>
    <w:p w14:paraId="3E06D51D" w14:textId="77777777" w:rsidR="00575F60" w:rsidRPr="00575F60" w:rsidRDefault="00575F60" w:rsidP="00575F60">
      <w:pPr>
        <w:spacing w:line="276" w:lineRule="auto"/>
        <w:rPr>
          <w:rFonts w:ascii="Futura" w:hAnsi="Futura"/>
        </w:rPr>
      </w:pPr>
      <w:r w:rsidRPr="00575F60">
        <w:rPr>
          <w:rFonts w:ascii="Futura" w:hAnsi="Futura"/>
        </w:rPr>
        <w:t xml:space="preserve">Perspectives on this topic within the TU Delft differ. Some argue that the key to 'good science' starts from solid disciplinary knowledge; starting from anywhere else leads to sub-optimally academically grounded solutions. Nonsense, others say, starting from the perspective of societal problems embedded in complex social systems is the best way forward: science is not there for science; it is there for society. </w:t>
      </w:r>
    </w:p>
    <w:p w14:paraId="272A94BA" w14:textId="77777777" w:rsidR="00575F60" w:rsidRPr="00575F60" w:rsidRDefault="00575F60" w:rsidP="00575F60">
      <w:pPr>
        <w:spacing w:line="276" w:lineRule="auto"/>
        <w:rPr>
          <w:rFonts w:ascii="Futura" w:hAnsi="Futura"/>
        </w:rPr>
      </w:pPr>
      <w:r w:rsidRPr="00575F60">
        <w:rPr>
          <w:rFonts w:ascii="Futura" w:hAnsi="Futura"/>
        </w:rPr>
        <w:t xml:space="preserve">We observe the same </w:t>
      </w:r>
      <w:r w:rsidRPr="00575F60">
        <w:rPr>
          <w:rFonts w:ascii="Futura" w:hAnsi="Futura"/>
          <w:lang w:val="en-GB"/>
        </w:rPr>
        <w:t xml:space="preserve">combination of perspectives </w:t>
      </w:r>
      <w:r w:rsidRPr="00575F60">
        <w:rPr>
          <w:rFonts w:ascii="Futura" w:hAnsi="Futura"/>
        </w:rPr>
        <w:t>within our institution: fundamental physics education (</w:t>
      </w:r>
      <w:r w:rsidRPr="00575F60">
        <w:rPr>
          <w:rFonts w:ascii="Futura" w:hAnsi="Futura"/>
          <w:lang w:val="en-GB"/>
        </w:rPr>
        <w:t>AS faculty</w:t>
      </w:r>
      <w:r w:rsidRPr="00575F60">
        <w:rPr>
          <w:rFonts w:ascii="Futura" w:hAnsi="Futura"/>
        </w:rPr>
        <w:t>) exists next to broader and more socially embedded programs</w:t>
      </w:r>
      <w:r w:rsidRPr="00575F60">
        <w:rPr>
          <w:rFonts w:ascii="Futura" w:hAnsi="Futura"/>
          <w:lang w:val="en-GB"/>
        </w:rPr>
        <w:t xml:space="preserve"> such as </w:t>
      </w:r>
      <w:r w:rsidRPr="00575F60">
        <w:rPr>
          <w:rFonts w:ascii="Futura" w:hAnsi="Futura"/>
        </w:rPr>
        <w:t>Complex Systems Engineering and Management (TPM</w:t>
      </w:r>
      <w:r w:rsidRPr="00575F60">
        <w:rPr>
          <w:rFonts w:ascii="Futura" w:hAnsi="Futura"/>
          <w:lang w:val="en-GB"/>
        </w:rPr>
        <w:t xml:space="preserve"> faculty</w:t>
      </w:r>
      <w:r w:rsidRPr="00575F60">
        <w:rPr>
          <w:rFonts w:ascii="Futura" w:hAnsi="Futura"/>
        </w:rPr>
        <w:t xml:space="preserve">). Or, even within one faculty, the Master </w:t>
      </w:r>
      <w:proofErr w:type="spellStart"/>
      <w:r w:rsidRPr="00575F60">
        <w:rPr>
          <w:rFonts w:ascii="Futura" w:hAnsi="Futura"/>
        </w:rPr>
        <w:t>programme</w:t>
      </w:r>
      <w:proofErr w:type="spellEnd"/>
      <w:r w:rsidRPr="00575F60">
        <w:rPr>
          <w:rFonts w:ascii="Futura" w:hAnsi="Futura"/>
        </w:rPr>
        <w:t xml:space="preserve"> Architecture, Urbanism and Building Sciences offers technical tracks on architecture and more broadly socially embedded tracks on management in the built environment.</w:t>
      </w:r>
    </w:p>
    <w:p w14:paraId="27985939" w14:textId="77777777" w:rsidR="00575F60" w:rsidRPr="00575F60" w:rsidRDefault="00575F60" w:rsidP="00575F60">
      <w:pPr>
        <w:spacing w:line="276" w:lineRule="auto"/>
        <w:rPr>
          <w:rFonts w:ascii="Futura" w:hAnsi="Futura"/>
        </w:rPr>
      </w:pPr>
      <w:r w:rsidRPr="00575F60">
        <w:rPr>
          <w:rFonts w:ascii="Futura" w:hAnsi="Futura"/>
        </w:rPr>
        <w:t>Simultaneously, in research, we observe fundamental and disciplinary quantum science projects, as well as technical multidisciplinary collaborations such as the E-Refinery</w:t>
      </w:r>
      <w:r w:rsidRPr="00575F60">
        <w:rPr>
          <w:rFonts w:ascii="Futura" w:hAnsi="Futura"/>
          <w:lang w:val="en-GB"/>
        </w:rPr>
        <w:t>. And even</w:t>
      </w:r>
      <w:r w:rsidRPr="00575F60">
        <w:rPr>
          <w:rFonts w:ascii="Futura" w:hAnsi="Futura"/>
        </w:rPr>
        <w:t xml:space="preserve"> </w:t>
      </w:r>
      <w:r w:rsidRPr="00575F60">
        <w:rPr>
          <w:rFonts w:ascii="Futura" w:hAnsi="Futura"/>
          <w:i/>
          <w:iCs/>
        </w:rPr>
        <w:t>transdisciplinary</w:t>
      </w:r>
      <w:r w:rsidRPr="00575F60">
        <w:rPr>
          <w:rFonts w:ascii="Futura" w:hAnsi="Futura"/>
        </w:rPr>
        <w:t xml:space="preserve"> collaborations that transcend all disciplinary boundaries within the Resilient </w:t>
      </w:r>
      <w:r w:rsidRPr="00575F60">
        <w:rPr>
          <w:rFonts w:ascii="Futura" w:hAnsi="Futura"/>
        </w:rPr>
        <w:t xml:space="preserve">Delta Convergence Initiative, where public social, technical and economic </w:t>
      </w:r>
      <w:r w:rsidRPr="00575F60">
        <w:rPr>
          <w:rFonts w:ascii="Futura" w:hAnsi="Futura"/>
          <w:lang w:val="en-GB"/>
        </w:rPr>
        <w:t xml:space="preserve">actors </w:t>
      </w:r>
      <w:r w:rsidRPr="00575F60">
        <w:rPr>
          <w:rFonts w:ascii="Futura" w:hAnsi="Futura"/>
        </w:rPr>
        <w:t>and humanities scholars work together to address real-world challenges.</w:t>
      </w:r>
    </w:p>
    <w:p w14:paraId="1AA39549" w14:textId="77777777" w:rsidR="00575F60" w:rsidRPr="00575F60" w:rsidRDefault="00575F60" w:rsidP="00575F60">
      <w:pPr>
        <w:spacing w:line="276" w:lineRule="auto"/>
        <w:rPr>
          <w:rFonts w:ascii="Futura" w:hAnsi="Futura"/>
        </w:rPr>
      </w:pPr>
      <w:r w:rsidRPr="00575F60">
        <w:rPr>
          <w:rFonts w:ascii="Futura" w:hAnsi="Futura"/>
        </w:rPr>
        <w:t xml:space="preserve">What does this development in disciplinary fields mean to an institution like the TU Delft? What impact does it have on our educational and research </w:t>
      </w:r>
      <w:proofErr w:type="spellStart"/>
      <w:r w:rsidRPr="00575F60">
        <w:rPr>
          <w:rFonts w:ascii="Futura" w:hAnsi="Futura"/>
        </w:rPr>
        <w:t>programmes</w:t>
      </w:r>
      <w:proofErr w:type="spellEnd"/>
      <w:r w:rsidRPr="00575F60">
        <w:rPr>
          <w:rFonts w:ascii="Futura" w:hAnsi="Futura"/>
        </w:rPr>
        <w:t>? And are we sufficiently equipped to accommodate this movement? In this article, we address these and other questions, starting from the perspective: what makes us 'tick' as scientists at an academic institution?</w:t>
      </w:r>
    </w:p>
    <w:p w14:paraId="65C6DEB1" w14:textId="77777777" w:rsidR="00575F60" w:rsidRPr="00575F60" w:rsidRDefault="00575F60" w:rsidP="00575F60">
      <w:pPr>
        <w:pStyle w:val="Heading3"/>
      </w:pPr>
      <w:r w:rsidRPr="00575F60">
        <w:t>Why become a scientist?</w:t>
      </w:r>
    </w:p>
    <w:p w14:paraId="195A0F49" w14:textId="77777777" w:rsidR="00575F60" w:rsidRPr="00575F60" w:rsidRDefault="00575F60" w:rsidP="00575F60">
      <w:pPr>
        <w:spacing w:line="276" w:lineRule="auto"/>
        <w:rPr>
          <w:rFonts w:ascii="Futura" w:hAnsi="Futura"/>
        </w:rPr>
      </w:pPr>
      <w:r w:rsidRPr="00575F60">
        <w:rPr>
          <w:rFonts w:ascii="Futura" w:hAnsi="Futura"/>
        </w:rPr>
        <w:t xml:space="preserve">Citing from the Vision statement of TU Delft: "One important characteristic of TU Delft is that we not only strive to be good at what we do but also that we want to be good for something. At TU Delft, we strive to balance our pursuit of world-class academic excellence on the one hand and providing high-quality education and expert solutions to societal problems on the other hand." </w:t>
      </w:r>
    </w:p>
    <w:p w14:paraId="09C812CA" w14:textId="08CCB5F6" w:rsidR="00575F60" w:rsidRPr="00575F60" w:rsidRDefault="00575F60" w:rsidP="00575F60">
      <w:pPr>
        <w:spacing w:line="276" w:lineRule="auto"/>
        <w:rPr>
          <w:rFonts w:ascii="Futura" w:hAnsi="Futura"/>
          <w:lang w:val="en-GB"/>
        </w:rPr>
      </w:pPr>
      <w:r w:rsidRPr="00575F60">
        <w:rPr>
          <w:rFonts w:ascii="Futura" w:hAnsi="Futura"/>
        </w:rPr>
        <w:t xml:space="preserve">Apparently, our leaders </w:t>
      </w:r>
      <w:r w:rsidRPr="00575F60">
        <w:rPr>
          <w:rFonts w:ascii="Futura" w:hAnsi="Futura"/>
        </w:rPr>
        <w:t>recognize</w:t>
      </w:r>
      <w:r w:rsidRPr="00575F60">
        <w:rPr>
          <w:rFonts w:ascii="Futura" w:hAnsi="Futura"/>
        </w:rPr>
        <w:t xml:space="preserve"> that TU Delft has to excel academically as a research institution, and we also have to provide education and solve societal problems. But by presenting this as on the one hand and the other hand, the question arises if and where we can make these two hands' shake'; whether we can make them support something central that they both support. The current situation appears to be a non-strategically grown mix of single disciplinary research fields – represented as groups within sections within</w:t>
      </w:r>
      <w:r>
        <w:rPr>
          <w:rFonts w:ascii="Futura" w:hAnsi="Futura"/>
        </w:rPr>
        <w:t xml:space="preserve"> </w:t>
      </w:r>
      <w:r w:rsidRPr="00575F60">
        <w:rPr>
          <w:rFonts w:ascii="Futura" w:hAnsi="Futura"/>
          <w:lang w:val="en-GB"/>
        </w:rPr>
        <w:t xml:space="preserve">faculties and some discipline-focused educational programmes, and multi- (or inter- and perhaps trans-) disciplinary research fields – represented as wide collaborative, inter-faculty, or inter-institutional </w:t>
      </w:r>
      <w:r w:rsidRPr="00575F60">
        <w:rPr>
          <w:rFonts w:ascii="Futura" w:hAnsi="Futura"/>
          <w:lang w:val="en-GB"/>
        </w:rPr>
        <w:lastRenderedPageBreak/>
        <w:t>research projects and broader educational programmes. But the question is if this combination of what appears to be naturally grown initiatives can develop into a strategic choice with active governance and managerial guidance.</w:t>
      </w:r>
    </w:p>
    <w:p w14:paraId="3B86BD76" w14:textId="77777777" w:rsidR="00575F60" w:rsidRDefault="00575F60" w:rsidP="00575F60">
      <w:pPr>
        <w:spacing w:line="276" w:lineRule="auto"/>
        <w:rPr>
          <w:rFonts w:ascii="Futura" w:hAnsi="Futura"/>
          <w:lang w:val="en-GB"/>
        </w:rPr>
      </w:pPr>
      <w:r w:rsidRPr="00575F60">
        <w:rPr>
          <w:rFonts w:ascii="Futura" w:hAnsi="Futura"/>
          <w:lang w:val="en-GB"/>
        </w:rPr>
        <w:t xml:space="preserve">Regardless of which of the two perspectives is or becomes leading, the question remains in which direction this will be moving in the near future. This movement dramatically impacts how we </w:t>
      </w:r>
      <w:r w:rsidRPr="00575F60">
        <w:rPr>
          <w:rFonts w:ascii="Futura" w:hAnsi="Futura"/>
          <w:lang w:val="en-GB"/>
        </w:rPr>
        <w:t>view education, what our roles and responsibilities are as researchers, and what are the reasons behind our commitment to being academics in the first place. In the following sections, we will present our views on collaborative science, what this means for future education, and how future collaborative science might be institutionally supported.</w:t>
      </w:r>
    </w:p>
    <w:p w14:paraId="03E10086" w14:textId="77777777" w:rsidR="005A6248" w:rsidRDefault="005A6248" w:rsidP="00575F60">
      <w:pPr>
        <w:spacing w:line="276" w:lineRule="auto"/>
        <w:rPr>
          <w:rFonts w:ascii="Futura" w:hAnsi="Futura"/>
          <w:lang w:val="en-GB"/>
        </w:rPr>
      </w:pPr>
    </w:p>
    <w:p w14:paraId="08C10295" w14:textId="77777777" w:rsidR="005A6248" w:rsidRDefault="005A6248" w:rsidP="00575F60">
      <w:pPr>
        <w:spacing w:line="276" w:lineRule="auto"/>
        <w:rPr>
          <w:rFonts w:ascii="Futura" w:hAnsi="Futura"/>
          <w:lang w:val="en-GB"/>
        </w:rPr>
        <w:sectPr w:rsidR="005A6248">
          <w:type w:val="continuous"/>
          <w:pgSz w:w="12240" w:h="15840"/>
          <w:pgMar w:top="1440" w:right="1440" w:bottom="1553" w:left="1440" w:header="708" w:footer="708" w:gutter="0"/>
          <w:cols w:num="2" w:space="708"/>
          <w:formProt w:val="0"/>
          <w:docGrid w:linePitch="360" w:charSpace="4096"/>
        </w:sectPr>
      </w:pPr>
    </w:p>
    <w:p w14:paraId="2E44DEF7" w14:textId="77777777" w:rsidR="005A6248" w:rsidRDefault="005A6248" w:rsidP="00575F60">
      <w:pPr>
        <w:spacing w:line="276" w:lineRule="auto"/>
        <w:rPr>
          <w:rFonts w:ascii="Futura" w:hAnsi="Futura"/>
          <w:lang w:val="en-GB"/>
        </w:rPr>
      </w:pPr>
    </w:p>
    <w:p w14:paraId="052664EE" w14:textId="69436744" w:rsidR="006C677B" w:rsidRPr="00CE2A87" w:rsidRDefault="005A6248">
      <w:pPr>
        <w:pStyle w:val="Heading3"/>
        <w:numPr>
          <w:ilvl w:val="2"/>
          <w:numId w:val="2"/>
        </w:numPr>
        <w:rPr>
          <w:b/>
          <w:bCs/>
        </w:rPr>
      </w:pPr>
      <w:r w:rsidRPr="00CE2A87">
        <w:rPr>
          <w:b/>
          <w:bCs/>
        </w:rPr>
        <w:t xml:space="preserve">2. </w:t>
      </w:r>
      <w:r w:rsidR="00F750F4" w:rsidRPr="00CE2A87">
        <w:rPr>
          <w:b/>
          <w:bCs/>
        </w:rPr>
        <w:t>Opening up the way we do science by asking</w:t>
      </w:r>
      <w:r w:rsidR="00F750F4" w:rsidRPr="00CE2A87">
        <w:rPr>
          <w:b/>
          <w:bCs/>
        </w:rPr>
        <w:t xml:space="preserve"> questions</w:t>
      </w:r>
    </w:p>
    <w:p w14:paraId="28C57325" w14:textId="768FE507" w:rsidR="006C677B" w:rsidRDefault="00F750F4">
      <w:pPr>
        <w:spacing w:after="0"/>
        <w:rPr>
          <w:rFonts w:ascii="Futura" w:hAnsi="Futura"/>
          <w:lang w:val="fr-FR"/>
        </w:rPr>
      </w:pPr>
      <w:r w:rsidRPr="00F750F4">
        <w:rPr>
          <w:rFonts w:ascii="Futura" w:hAnsi="Futura"/>
          <w:lang w:val="fr-FR"/>
        </w:rPr>
        <w:t xml:space="preserve">Science and innovation are </w:t>
      </w:r>
      <w:proofErr w:type="spellStart"/>
      <w:r w:rsidRPr="00F750F4">
        <w:rPr>
          <w:rFonts w:ascii="Futura" w:hAnsi="Futura"/>
          <w:lang w:val="fr-FR"/>
        </w:rPr>
        <w:t>tightly</w:t>
      </w:r>
      <w:proofErr w:type="spellEnd"/>
      <w:r w:rsidRPr="00F750F4">
        <w:rPr>
          <w:rFonts w:ascii="Futura" w:hAnsi="Futura"/>
          <w:lang w:val="fr-FR"/>
        </w:rPr>
        <w:t xml:space="preserve"> </w:t>
      </w:r>
      <w:proofErr w:type="spellStart"/>
      <w:r w:rsidRPr="00F750F4">
        <w:rPr>
          <w:rFonts w:ascii="Futura" w:hAnsi="Futura"/>
          <w:lang w:val="fr-FR"/>
        </w:rPr>
        <w:t>related</w:t>
      </w:r>
      <w:proofErr w:type="spellEnd"/>
      <w:r w:rsidRPr="00F750F4">
        <w:rPr>
          <w:rFonts w:ascii="Futura" w:hAnsi="Futura"/>
          <w:lang w:val="fr-FR"/>
        </w:rPr>
        <w:t xml:space="preserve">. </w:t>
      </w:r>
      <w:proofErr w:type="spellStart"/>
      <w:r w:rsidRPr="00F750F4">
        <w:rPr>
          <w:rFonts w:ascii="Futura" w:hAnsi="Futura"/>
          <w:lang w:val="fr-FR"/>
        </w:rPr>
        <w:t>We</w:t>
      </w:r>
      <w:proofErr w:type="spellEnd"/>
      <w:r w:rsidRPr="00F750F4">
        <w:rPr>
          <w:rFonts w:ascii="Futura" w:hAnsi="Futura"/>
          <w:lang w:val="fr-FR"/>
        </w:rPr>
        <w:t xml:space="preserve"> </w:t>
      </w:r>
      <w:proofErr w:type="spellStart"/>
      <w:r w:rsidRPr="00F750F4">
        <w:rPr>
          <w:rFonts w:ascii="Futura" w:hAnsi="Futura"/>
          <w:lang w:val="fr-FR"/>
        </w:rPr>
        <w:t>need</w:t>
      </w:r>
      <w:proofErr w:type="spellEnd"/>
      <w:r w:rsidRPr="00F750F4">
        <w:rPr>
          <w:rFonts w:ascii="Futura" w:hAnsi="Futura"/>
          <w:lang w:val="fr-FR"/>
        </w:rPr>
        <w:t xml:space="preserve"> </w:t>
      </w:r>
      <w:proofErr w:type="spellStart"/>
      <w:r w:rsidRPr="00F750F4">
        <w:rPr>
          <w:rFonts w:ascii="Futura" w:hAnsi="Futura"/>
          <w:lang w:val="fr-FR"/>
        </w:rPr>
        <w:t>scientific</w:t>
      </w:r>
      <w:proofErr w:type="spellEnd"/>
      <w:r w:rsidRPr="00F750F4">
        <w:rPr>
          <w:rFonts w:ascii="Futura" w:hAnsi="Futura"/>
          <w:lang w:val="fr-FR"/>
        </w:rPr>
        <w:t xml:space="preserve"> </w:t>
      </w:r>
      <w:proofErr w:type="spellStart"/>
      <w:r w:rsidRPr="00F750F4">
        <w:rPr>
          <w:rFonts w:ascii="Futura" w:hAnsi="Futura"/>
          <w:lang w:val="fr-FR"/>
        </w:rPr>
        <w:t>results</w:t>
      </w:r>
      <w:proofErr w:type="spellEnd"/>
      <w:r w:rsidRPr="00F750F4">
        <w:rPr>
          <w:rFonts w:ascii="Futura" w:hAnsi="Futura"/>
          <w:lang w:val="fr-FR"/>
        </w:rPr>
        <w:t xml:space="preserve"> for </w:t>
      </w:r>
      <w:proofErr w:type="spellStart"/>
      <w:r w:rsidRPr="00F750F4">
        <w:rPr>
          <w:rFonts w:ascii="Futura" w:hAnsi="Futura"/>
          <w:lang w:val="fr-FR"/>
        </w:rPr>
        <w:t>technological</w:t>
      </w:r>
      <w:proofErr w:type="spellEnd"/>
      <w:r w:rsidRPr="00F750F4">
        <w:rPr>
          <w:rFonts w:ascii="Futura" w:hAnsi="Futura"/>
          <w:lang w:val="fr-FR"/>
        </w:rPr>
        <w:t xml:space="preserve"> innovations, and </w:t>
      </w:r>
      <w:proofErr w:type="spellStart"/>
      <w:r w:rsidRPr="00F750F4">
        <w:rPr>
          <w:rFonts w:ascii="Futura" w:hAnsi="Futura"/>
          <w:lang w:val="fr-FR"/>
        </w:rPr>
        <w:t>these</w:t>
      </w:r>
      <w:proofErr w:type="spellEnd"/>
      <w:r w:rsidRPr="00F750F4">
        <w:rPr>
          <w:rFonts w:ascii="Futura" w:hAnsi="Futura"/>
          <w:lang w:val="fr-FR"/>
        </w:rPr>
        <w:t xml:space="preserve"> technologies have – or at least </w:t>
      </w:r>
      <w:proofErr w:type="spellStart"/>
      <w:r w:rsidRPr="00F750F4">
        <w:rPr>
          <w:rFonts w:ascii="Futura" w:hAnsi="Futura"/>
          <w:lang w:val="fr-FR"/>
        </w:rPr>
        <w:t>should</w:t>
      </w:r>
      <w:proofErr w:type="spellEnd"/>
      <w:r w:rsidRPr="00F750F4">
        <w:rPr>
          <w:rFonts w:ascii="Futura" w:hAnsi="Futura"/>
          <w:lang w:val="fr-FR"/>
        </w:rPr>
        <w:t xml:space="preserve"> have – an </w:t>
      </w:r>
      <w:proofErr w:type="spellStart"/>
      <w:r w:rsidRPr="00F750F4">
        <w:rPr>
          <w:rFonts w:ascii="Futura" w:hAnsi="Futura"/>
          <w:lang w:val="fr-FR"/>
        </w:rPr>
        <w:t>effect</w:t>
      </w:r>
      <w:proofErr w:type="spellEnd"/>
      <w:r w:rsidRPr="00F750F4">
        <w:rPr>
          <w:rFonts w:ascii="Futura" w:hAnsi="Futura"/>
          <w:lang w:val="fr-FR"/>
        </w:rPr>
        <w:t xml:space="preserve"> on how </w:t>
      </w:r>
      <w:proofErr w:type="spellStart"/>
      <w:r w:rsidRPr="00F750F4">
        <w:rPr>
          <w:rFonts w:ascii="Futura" w:hAnsi="Futura"/>
          <w:lang w:val="fr-FR"/>
        </w:rPr>
        <w:t>we</w:t>
      </w:r>
      <w:proofErr w:type="spellEnd"/>
      <w:r w:rsidRPr="00F750F4">
        <w:rPr>
          <w:rFonts w:ascii="Futura" w:hAnsi="Futura"/>
          <w:lang w:val="fr-FR"/>
        </w:rPr>
        <w:t xml:space="preserve"> do science. </w:t>
      </w:r>
      <w:proofErr w:type="spellStart"/>
      <w:r w:rsidRPr="00F750F4">
        <w:rPr>
          <w:rFonts w:ascii="Futura" w:hAnsi="Futura"/>
          <w:lang w:val="fr-FR"/>
        </w:rPr>
        <w:t>Yet</w:t>
      </w:r>
      <w:proofErr w:type="spellEnd"/>
      <w:r w:rsidRPr="00F750F4">
        <w:rPr>
          <w:rFonts w:ascii="Futura" w:hAnsi="Futura"/>
          <w:lang w:val="fr-FR"/>
        </w:rPr>
        <w:t xml:space="preserve">, at times </w:t>
      </w:r>
      <w:proofErr w:type="spellStart"/>
      <w:r w:rsidRPr="00F750F4">
        <w:rPr>
          <w:rFonts w:ascii="Futura" w:hAnsi="Futura"/>
          <w:lang w:val="fr-FR"/>
        </w:rPr>
        <w:t>when</w:t>
      </w:r>
      <w:proofErr w:type="spellEnd"/>
      <w:r w:rsidRPr="00F750F4">
        <w:rPr>
          <w:rFonts w:ascii="Futura" w:hAnsi="Futura"/>
          <w:lang w:val="fr-FR"/>
        </w:rPr>
        <w:t xml:space="preserve"> </w:t>
      </w:r>
      <w:proofErr w:type="spellStart"/>
      <w:r w:rsidRPr="00F750F4">
        <w:rPr>
          <w:rFonts w:ascii="Futura" w:hAnsi="Futura"/>
          <w:lang w:val="fr-FR"/>
        </w:rPr>
        <w:t>policymakers</w:t>
      </w:r>
      <w:proofErr w:type="spellEnd"/>
      <w:r w:rsidRPr="00F750F4">
        <w:rPr>
          <w:rFonts w:ascii="Futura" w:hAnsi="Futura"/>
          <w:lang w:val="fr-FR"/>
        </w:rPr>
        <w:t xml:space="preserve"> </w:t>
      </w:r>
      <w:proofErr w:type="spellStart"/>
      <w:r w:rsidRPr="00F750F4">
        <w:rPr>
          <w:rFonts w:ascii="Futura" w:hAnsi="Futura"/>
          <w:lang w:val="fr-FR"/>
        </w:rPr>
        <w:t>would</w:t>
      </w:r>
      <w:proofErr w:type="spellEnd"/>
      <w:r w:rsidRPr="00F750F4">
        <w:rPr>
          <w:rFonts w:ascii="Futura" w:hAnsi="Futura"/>
          <w:lang w:val="fr-FR"/>
        </w:rPr>
        <w:t xml:space="preserve"> like to figure out </w:t>
      </w:r>
      <w:proofErr w:type="spellStart"/>
      <w:r w:rsidRPr="00F750F4">
        <w:rPr>
          <w:rFonts w:ascii="Futura" w:hAnsi="Futura"/>
          <w:lang w:val="fr-FR"/>
        </w:rPr>
        <w:t>which</w:t>
      </w:r>
      <w:proofErr w:type="spellEnd"/>
      <w:r w:rsidRPr="00F750F4">
        <w:rPr>
          <w:rFonts w:ascii="Futura" w:hAnsi="Futura"/>
          <w:lang w:val="fr-FR"/>
        </w:rPr>
        <w:t xml:space="preserve"> </w:t>
      </w:r>
      <w:proofErr w:type="spellStart"/>
      <w:r w:rsidRPr="00F750F4">
        <w:rPr>
          <w:rFonts w:ascii="Futura" w:hAnsi="Futura"/>
          <w:lang w:val="fr-FR"/>
        </w:rPr>
        <w:t>factors</w:t>
      </w:r>
      <w:proofErr w:type="spellEnd"/>
      <w:r w:rsidRPr="00F750F4">
        <w:rPr>
          <w:rFonts w:ascii="Futura" w:hAnsi="Futura"/>
          <w:lang w:val="fr-FR"/>
        </w:rPr>
        <w:t xml:space="preserve"> </w:t>
      </w:r>
      <w:proofErr w:type="spellStart"/>
      <w:r w:rsidRPr="00F750F4">
        <w:rPr>
          <w:rFonts w:ascii="Futura" w:hAnsi="Futura"/>
          <w:lang w:val="fr-FR"/>
        </w:rPr>
        <w:t>could</w:t>
      </w:r>
      <w:proofErr w:type="spellEnd"/>
      <w:r w:rsidRPr="00F750F4">
        <w:rPr>
          <w:rFonts w:ascii="Futura" w:hAnsi="Futura"/>
          <w:lang w:val="fr-FR"/>
        </w:rPr>
        <w:t xml:space="preserve"> </w:t>
      </w:r>
      <w:proofErr w:type="spellStart"/>
      <w:r w:rsidRPr="00F750F4">
        <w:rPr>
          <w:rFonts w:ascii="Futura" w:hAnsi="Futura"/>
          <w:lang w:val="fr-FR"/>
        </w:rPr>
        <w:t>increase</w:t>
      </w:r>
      <w:proofErr w:type="spellEnd"/>
      <w:r w:rsidRPr="00F750F4">
        <w:rPr>
          <w:rFonts w:ascii="Futura" w:hAnsi="Futura"/>
          <w:lang w:val="fr-FR"/>
        </w:rPr>
        <w:t xml:space="preserve"> the </w:t>
      </w:r>
      <w:proofErr w:type="spellStart"/>
      <w:r w:rsidRPr="00F750F4">
        <w:rPr>
          <w:rFonts w:ascii="Futura" w:hAnsi="Futura"/>
          <w:lang w:val="fr-FR"/>
        </w:rPr>
        <w:t>innovativeness</w:t>
      </w:r>
      <w:proofErr w:type="spellEnd"/>
      <w:r w:rsidRPr="00F750F4">
        <w:rPr>
          <w:rFonts w:ascii="Futura" w:hAnsi="Futura"/>
          <w:lang w:val="fr-FR"/>
        </w:rPr>
        <w:t xml:space="preserve"> of a </w:t>
      </w:r>
      <w:proofErr w:type="spellStart"/>
      <w:r w:rsidRPr="00F750F4">
        <w:rPr>
          <w:rFonts w:ascii="Futura" w:hAnsi="Futura"/>
          <w:lang w:val="fr-FR"/>
        </w:rPr>
        <w:t>given</w:t>
      </w:r>
      <w:proofErr w:type="spellEnd"/>
      <w:r w:rsidRPr="00F750F4">
        <w:rPr>
          <w:rFonts w:ascii="Futura" w:hAnsi="Futura"/>
          <w:lang w:val="fr-FR"/>
        </w:rPr>
        <w:t xml:space="preserve"> </w:t>
      </w:r>
      <w:proofErr w:type="spellStart"/>
      <w:r w:rsidRPr="00F750F4">
        <w:rPr>
          <w:rFonts w:ascii="Futura" w:hAnsi="Futura"/>
          <w:lang w:val="fr-FR"/>
        </w:rPr>
        <w:t>region</w:t>
      </w:r>
      <w:proofErr w:type="spellEnd"/>
      <w:r w:rsidRPr="00F750F4">
        <w:rPr>
          <w:rFonts w:ascii="Futura" w:hAnsi="Futura"/>
          <w:lang w:val="fr-FR"/>
        </w:rPr>
        <w:t xml:space="preserve"> or country, </w:t>
      </w:r>
      <w:proofErr w:type="spellStart"/>
      <w:r w:rsidRPr="00F750F4">
        <w:rPr>
          <w:rFonts w:ascii="Futura" w:hAnsi="Futura"/>
          <w:lang w:val="fr-FR"/>
        </w:rPr>
        <w:t>we</w:t>
      </w:r>
      <w:proofErr w:type="spellEnd"/>
      <w:r w:rsidRPr="00F750F4">
        <w:rPr>
          <w:rFonts w:ascii="Futura" w:hAnsi="Futura"/>
          <w:lang w:val="fr-FR"/>
        </w:rPr>
        <w:t xml:space="preserve"> </w:t>
      </w:r>
      <w:proofErr w:type="spellStart"/>
      <w:r w:rsidRPr="00F750F4">
        <w:rPr>
          <w:rFonts w:ascii="Futura" w:hAnsi="Futura"/>
          <w:lang w:val="fr-FR"/>
        </w:rPr>
        <w:t>rarely</w:t>
      </w:r>
      <w:proofErr w:type="spellEnd"/>
      <w:r w:rsidRPr="00F750F4">
        <w:rPr>
          <w:rFonts w:ascii="Futura" w:hAnsi="Futura"/>
          <w:lang w:val="fr-FR"/>
        </w:rPr>
        <w:t xml:space="preserve"> </w:t>
      </w:r>
      <w:proofErr w:type="spellStart"/>
      <w:r w:rsidRPr="00F750F4">
        <w:rPr>
          <w:rFonts w:ascii="Futura" w:hAnsi="Futura"/>
          <w:lang w:val="fr-FR"/>
        </w:rPr>
        <w:t>hear</w:t>
      </w:r>
      <w:proofErr w:type="spellEnd"/>
      <w:r w:rsidRPr="00F750F4">
        <w:rPr>
          <w:rFonts w:ascii="Futura" w:hAnsi="Futura"/>
          <w:lang w:val="fr-FR"/>
        </w:rPr>
        <w:t xml:space="preserve"> about innovations </w:t>
      </w:r>
      <w:proofErr w:type="spellStart"/>
      <w:r w:rsidRPr="00F750F4">
        <w:rPr>
          <w:rFonts w:ascii="Futura" w:hAnsi="Futura"/>
          <w:lang w:val="fr-FR"/>
        </w:rPr>
        <w:t>that</w:t>
      </w:r>
      <w:proofErr w:type="spellEnd"/>
      <w:r w:rsidRPr="00F750F4">
        <w:rPr>
          <w:rFonts w:ascii="Futura" w:hAnsi="Futura"/>
          <w:lang w:val="fr-FR"/>
        </w:rPr>
        <w:t xml:space="preserve"> </w:t>
      </w:r>
      <w:proofErr w:type="spellStart"/>
      <w:r w:rsidRPr="00F750F4">
        <w:rPr>
          <w:rFonts w:ascii="Futura" w:hAnsi="Futura"/>
          <w:lang w:val="fr-FR"/>
        </w:rPr>
        <w:t>reform</w:t>
      </w:r>
      <w:proofErr w:type="spellEnd"/>
      <w:r w:rsidRPr="00F750F4">
        <w:rPr>
          <w:rFonts w:ascii="Futura" w:hAnsi="Futura"/>
          <w:lang w:val="fr-FR"/>
        </w:rPr>
        <w:t xml:space="preserve"> science </w:t>
      </w:r>
      <w:proofErr w:type="spellStart"/>
      <w:r w:rsidRPr="00F750F4">
        <w:rPr>
          <w:rFonts w:ascii="Futura" w:hAnsi="Futura"/>
          <w:lang w:val="fr-FR"/>
        </w:rPr>
        <w:t>itself</w:t>
      </w:r>
      <w:proofErr w:type="spellEnd"/>
      <w:r w:rsidRPr="00F750F4">
        <w:rPr>
          <w:rFonts w:ascii="Futura" w:hAnsi="Futura"/>
          <w:lang w:val="fr-FR"/>
        </w:rPr>
        <w:t xml:space="preserve">. The first </w:t>
      </w:r>
      <w:proofErr w:type="spellStart"/>
      <w:r w:rsidRPr="00F750F4">
        <w:rPr>
          <w:rFonts w:ascii="Futura" w:hAnsi="Futura"/>
          <w:lang w:val="fr-FR"/>
        </w:rPr>
        <w:t>scientific</w:t>
      </w:r>
      <w:proofErr w:type="spellEnd"/>
      <w:r w:rsidRPr="00F750F4">
        <w:rPr>
          <w:rFonts w:ascii="Futura" w:hAnsi="Futura"/>
          <w:lang w:val="fr-FR"/>
        </w:rPr>
        <w:t xml:space="preserve"> </w:t>
      </w:r>
      <w:proofErr w:type="spellStart"/>
      <w:r w:rsidRPr="00F750F4">
        <w:rPr>
          <w:rFonts w:ascii="Futura" w:hAnsi="Futura"/>
          <w:lang w:val="fr-FR"/>
        </w:rPr>
        <w:t>revolution</w:t>
      </w:r>
      <w:proofErr w:type="spellEnd"/>
      <w:r w:rsidRPr="00F750F4">
        <w:rPr>
          <w:rFonts w:ascii="Futura" w:hAnsi="Futura"/>
          <w:lang w:val="fr-FR"/>
        </w:rPr>
        <w:t xml:space="preserve"> in the 17th century laid the </w:t>
      </w:r>
      <w:proofErr w:type="spellStart"/>
      <w:r w:rsidRPr="00F750F4">
        <w:rPr>
          <w:rFonts w:ascii="Futura" w:hAnsi="Futura"/>
          <w:lang w:val="fr-FR"/>
        </w:rPr>
        <w:t>foundations</w:t>
      </w:r>
      <w:proofErr w:type="spellEnd"/>
      <w:r w:rsidRPr="00F750F4">
        <w:rPr>
          <w:rFonts w:ascii="Futura" w:hAnsi="Futura"/>
          <w:lang w:val="fr-FR"/>
        </w:rPr>
        <w:t xml:space="preserve"> of </w:t>
      </w:r>
      <w:proofErr w:type="spellStart"/>
      <w:r w:rsidRPr="00F750F4">
        <w:rPr>
          <w:rFonts w:ascii="Futura" w:hAnsi="Futura"/>
          <w:lang w:val="fr-FR"/>
        </w:rPr>
        <w:t>various</w:t>
      </w:r>
      <w:proofErr w:type="spellEnd"/>
      <w:r w:rsidRPr="00F750F4">
        <w:rPr>
          <w:rFonts w:ascii="Futura" w:hAnsi="Futura"/>
          <w:lang w:val="fr-FR"/>
        </w:rPr>
        <w:t xml:space="preserve"> </w:t>
      </w:r>
      <w:proofErr w:type="spellStart"/>
      <w:r w:rsidRPr="00F750F4">
        <w:rPr>
          <w:rFonts w:ascii="Futura" w:hAnsi="Futura"/>
          <w:lang w:val="fr-FR"/>
        </w:rPr>
        <w:t>scientific</w:t>
      </w:r>
      <w:proofErr w:type="spellEnd"/>
      <w:r w:rsidRPr="00F750F4">
        <w:rPr>
          <w:rFonts w:ascii="Futura" w:hAnsi="Futura"/>
          <w:lang w:val="fr-FR"/>
        </w:rPr>
        <w:t xml:space="preserve"> disciplines and the </w:t>
      </w:r>
      <w:proofErr w:type="spellStart"/>
      <w:r w:rsidRPr="00F750F4">
        <w:rPr>
          <w:rFonts w:ascii="Futura" w:hAnsi="Futura"/>
          <w:lang w:val="fr-FR"/>
        </w:rPr>
        <w:t>principles</w:t>
      </w:r>
      <w:proofErr w:type="spellEnd"/>
      <w:r w:rsidRPr="00F750F4">
        <w:rPr>
          <w:rFonts w:ascii="Futura" w:hAnsi="Futura"/>
          <w:lang w:val="fr-FR"/>
        </w:rPr>
        <w:t xml:space="preserve"> </w:t>
      </w:r>
      <w:proofErr w:type="spellStart"/>
      <w:r w:rsidRPr="00F750F4">
        <w:rPr>
          <w:rFonts w:ascii="Futura" w:hAnsi="Futura"/>
          <w:lang w:val="fr-FR"/>
        </w:rPr>
        <w:t>that</w:t>
      </w:r>
      <w:proofErr w:type="spellEnd"/>
      <w:r w:rsidRPr="00F750F4">
        <w:rPr>
          <w:rFonts w:ascii="Futura" w:hAnsi="Futura"/>
          <w:lang w:val="fr-FR"/>
        </w:rPr>
        <w:t xml:space="preserve"> guide how science </w:t>
      </w:r>
      <w:proofErr w:type="spellStart"/>
      <w:r w:rsidRPr="00F750F4">
        <w:rPr>
          <w:rFonts w:ascii="Futura" w:hAnsi="Futura"/>
          <w:lang w:val="fr-FR"/>
        </w:rPr>
        <w:t>is</w:t>
      </w:r>
      <w:proofErr w:type="spellEnd"/>
      <w:r w:rsidRPr="00F750F4">
        <w:rPr>
          <w:rFonts w:ascii="Futura" w:hAnsi="Futura"/>
          <w:lang w:val="fr-FR"/>
        </w:rPr>
        <w:t xml:space="preserve"> </w:t>
      </w:r>
      <w:proofErr w:type="spellStart"/>
      <w:r w:rsidRPr="00F750F4">
        <w:rPr>
          <w:rFonts w:ascii="Futura" w:hAnsi="Futura"/>
          <w:lang w:val="fr-FR"/>
        </w:rPr>
        <w:t>performed</w:t>
      </w:r>
      <w:proofErr w:type="spellEnd"/>
      <w:r w:rsidRPr="00F750F4">
        <w:rPr>
          <w:rFonts w:ascii="Futura" w:hAnsi="Futura"/>
          <w:lang w:val="fr-FR"/>
        </w:rPr>
        <w:t xml:space="preserve">. The basis of the publication system, for </w:t>
      </w:r>
      <w:proofErr w:type="spellStart"/>
      <w:r w:rsidRPr="00F750F4">
        <w:rPr>
          <w:rFonts w:ascii="Futura" w:hAnsi="Futura"/>
          <w:lang w:val="fr-FR"/>
        </w:rPr>
        <w:t>example</w:t>
      </w:r>
      <w:proofErr w:type="spellEnd"/>
      <w:r w:rsidRPr="00F750F4">
        <w:rPr>
          <w:rFonts w:ascii="Futura" w:hAnsi="Futura"/>
          <w:lang w:val="fr-FR"/>
        </w:rPr>
        <w:t xml:space="preserve">, </w:t>
      </w:r>
      <w:proofErr w:type="spellStart"/>
      <w:r w:rsidRPr="00F750F4">
        <w:rPr>
          <w:rFonts w:ascii="Futura" w:hAnsi="Futura"/>
          <w:lang w:val="fr-FR"/>
        </w:rPr>
        <w:t>was</w:t>
      </w:r>
      <w:proofErr w:type="spellEnd"/>
      <w:r w:rsidRPr="00F750F4">
        <w:rPr>
          <w:rFonts w:ascii="Futura" w:hAnsi="Futura"/>
          <w:lang w:val="fr-FR"/>
        </w:rPr>
        <w:t xml:space="preserve"> </w:t>
      </w:r>
      <w:proofErr w:type="spellStart"/>
      <w:r w:rsidRPr="00F750F4">
        <w:rPr>
          <w:rFonts w:ascii="Futura" w:hAnsi="Futura"/>
          <w:lang w:val="fr-FR"/>
        </w:rPr>
        <w:t>founded</w:t>
      </w:r>
      <w:proofErr w:type="spellEnd"/>
      <w:r w:rsidRPr="00F750F4">
        <w:rPr>
          <w:rFonts w:ascii="Futura" w:hAnsi="Futura"/>
          <w:lang w:val="fr-FR"/>
        </w:rPr>
        <w:t xml:space="preserve"> in the 1660s, and </w:t>
      </w:r>
      <w:proofErr w:type="spellStart"/>
      <w:r w:rsidRPr="00F750F4">
        <w:rPr>
          <w:rFonts w:ascii="Futura" w:hAnsi="Futura"/>
          <w:lang w:val="fr-FR"/>
        </w:rPr>
        <w:t>apart</w:t>
      </w:r>
      <w:proofErr w:type="spellEnd"/>
      <w:r w:rsidRPr="00F750F4">
        <w:rPr>
          <w:rFonts w:ascii="Futura" w:hAnsi="Futura"/>
          <w:lang w:val="fr-FR"/>
        </w:rPr>
        <w:t xml:space="preserve"> </w:t>
      </w:r>
      <w:proofErr w:type="spellStart"/>
      <w:r w:rsidRPr="00F750F4">
        <w:rPr>
          <w:rFonts w:ascii="Futura" w:hAnsi="Futura"/>
          <w:lang w:val="fr-FR"/>
        </w:rPr>
        <w:t>from</w:t>
      </w:r>
      <w:proofErr w:type="spellEnd"/>
      <w:r w:rsidRPr="00F750F4">
        <w:rPr>
          <w:rFonts w:ascii="Futura" w:hAnsi="Futura"/>
          <w:lang w:val="fr-FR"/>
        </w:rPr>
        <w:t xml:space="preserve"> </w:t>
      </w:r>
      <w:proofErr w:type="spellStart"/>
      <w:r w:rsidRPr="00F750F4">
        <w:rPr>
          <w:rFonts w:ascii="Futura" w:hAnsi="Futura"/>
          <w:lang w:val="fr-FR"/>
        </w:rPr>
        <w:t>slight</w:t>
      </w:r>
      <w:proofErr w:type="spellEnd"/>
      <w:r w:rsidRPr="00F750F4">
        <w:rPr>
          <w:rFonts w:ascii="Futura" w:hAnsi="Futura"/>
          <w:lang w:val="fr-FR"/>
        </w:rPr>
        <w:t xml:space="preserve"> adaptations to digitalisation in the last </w:t>
      </w:r>
      <w:proofErr w:type="spellStart"/>
      <w:r w:rsidRPr="00F750F4">
        <w:rPr>
          <w:rFonts w:ascii="Futura" w:hAnsi="Futura"/>
          <w:lang w:val="fr-FR"/>
        </w:rPr>
        <w:t>decades</w:t>
      </w:r>
      <w:proofErr w:type="spellEnd"/>
      <w:r w:rsidRPr="00F750F4">
        <w:rPr>
          <w:rFonts w:ascii="Futura" w:hAnsi="Futura"/>
          <w:lang w:val="fr-FR"/>
        </w:rPr>
        <w:t xml:space="preserve">, </w:t>
      </w:r>
      <w:proofErr w:type="spellStart"/>
      <w:r w:rsidRPr="00F750F4">
        <w:rPr>
          <w:rFonts w:ascii="Futura" w:hAnsi="Futura"/>
          <w:lang w:val="fr-FR"/>
        </w:rPr>
        <w:t>it</w:t>
      </w:r>
      <w:proofErr w:type="spellEnd"/>
      <w:r w:rsidRPr="00F750F4">
        <w:rPr>
          <w:rFonts w:ascii="Futura" w:hAnsi="Futura"/>
          <w:lang w:val="fr-FR"/>
        </w:rPr>
        <w:t xml:space="preserve"> has not </w:t>
      </w:r>
      <w:proofErr w:type="spellStart"/>
      <w:r w:rsidRPr="00F750F4">
        <w:rPr>
          <w:rFonts w:ascii="Futura" w:hAnsi="Futura"/>
          <w:lang w:val="fr-FR"/>
        </w:rPr>
        <w:t>changed</w:t>
      </w:r>
      <w:proofErr w:type="spellEnd"/>
      <w:r w:rsidRPr="00F750F4">
        <w:rPr>
          <w:rFonts w:ascii="Futura" w:hAnsi="Futura"/>
          <w:lang w:val="fr-FR"/>
        </w:rPr>
        <w:t xml:space="preserve"> </w:t>
      </w:r>
      <w:proofErr w:type="spellStart"/>
      <w:r w:rsidRPr="00F750F4">
        <w:rPr>
          <w:rFonts w:ascii="Futura" w:hAnsi="Futura"/>
          <w:lang w:val="fr-FR"/>
        </w:rPr>
        <w:t>much</w:t>
      </w:r>
      <w:proofErr w:type="spellEnd"/>
      <w:r w:rsidRPr="00F750F4">
        <w:rPr>
          <w:rFonts w:ascii="Futura" w:hAnsi="Futura"/>
          <w:lang w:val="fr-FR"/>
        </w:rPr>
        <w:t xml:space="preserve"> </w:t>
      </w:r>
      <w:proofErr w:type="spellStart"/>
      <w:r w:rsidRPr="00F750F4">
        <w:rPr>
          <w:rFonts w:ascii="Futura" w:hAnsi="Futura"/>
          <w:lang w:val="fr-FR"/>
        </w:rPr>
        <w:t>since</w:t>
      </w:r>
      <w:proofErr w:type="spellEnd"/>
      <w:r w:rsidRPr="00F750F4">
        <w:rPr>
          <w:rFonts w:ascii="Futura" w:hAnsi="Futura"/>
          <w:lang w:val="fr-FR"/>
        </w:rPr>
        <w:t xml:space="preserve">; </w:t>
      </w:r>
      <w:proofErr w:type="spellStart"/>
      <w:r w:rsidRPr="00F750F4">
        <w:rPr>
          <w:rFonts w:ascii="Futura" w:hAnsi="Futura"/>
          <w:lang w:val="fr-FR"/>
        </w:rPr>
        <w:t>we</w:t>
      </w:r>
      <w:proofErr w:type="spellEnd"/>
      <w:r w:rsidRPr="00F750F4">
        <w:rPr>
          <w:rFonts w:ascii="Futura" w:hAnsi="Futura"/>
          <w:lang w:val="fr-FR"/>
        </w:rPr>
        <w:t xml:space="preserve"> </w:t>
      </w:r>
      <w:proofErr w:type="spellStart"/>
      <w:r w:rsidRPr="00F750F4">
        <w:rPr>
          <w:rFonts w:ascii="Futura" w:hAnsi="Futura"/>
          <w:lang w:val="fr-FR"/>
        </w:rPr>
        <w:t>still</w:t>
      </w:r>
      <w:proofErr w:type="spellEnd"/>
      <w:r w:rsidRPr="00F750F4">
        <w:rPr>
          <w:rFonts w:ascii="Futura" w:hAnsi="Futura"/>
          <w:lang w:val="fr-FR"/>
        </w:rPr>
        <w:t xml:space="preserve"> download articles in the format of a </w:t>
      </w:r>
      <w:proofErr w:type="spellStart"/>
      <w:r w:rsidRPr="00F750F4">
        <w:rPr>
          <w:rFonts w:ascii="Futura" w:hAnsi="Futura"/>
          <w:lang w:val="fr-FR"/>
        </w:rPr>
        <w:t>printed</w:t>
      </w:r>
      <w:proofErr w:type="spellEnd"/>
      <w:r w:rsidRPr="00F750F4">
        <w:rPr>
          <w:rFonts w:ascii="Futura" w:hAnsi="Futura"/>
          <w:lang w:val="fr-FR"/>
        </w:rPr>
        <w:t xml:space="preserve"> journal due to </w:t>
      </w:r>
      <w:proofErr w:type="spellStart"/>
      <w:r w:rsidRPr="00F750F4">
        <w:rPr>
          <w:rFonts w:ascii="Futura" w:hAnsi="Futura"/>
          <w:lang w:val="fr-FR"/>
        </w:rPr>
        <w:t>historical</w:t>
      </w:r>
      <w:proofErr w:type="spellEnd"/>
      <w:r w:rsidRPr="00F750F4">
        <w:rPr>
          <w:rFonts w:ascii="Futura" w:hAnsi="Futura"/>
          <w:lang w:val="fr-FR"/>
        </w:rPr>
        <w:t xml:space="preserve"> </w:t>
      </w:r>
      <w:proofErr w:type="spellStart"/>
      <w:r w:rsidRPr="00F750F4">
        <w:rPr>
          <w:rFonts w:ascii="Futura" w:hAnsi="Futura"/>
          <w:lang w:val="fr-FR"/>
        </w:rPr>
        <w:t>rather</w:t>
      </w:r>
      <w:proofErr w:type="spellEnd"/>
      <w:r w:rsidRPr="00F750F4">
        <w:rPr>
          <w:rFonts w:ascii="Futura" w:hAnsi="Futura"/>
          <w:lang w:val="fr-FR"/>
        </w:rPr>
        <w:t xml:space="preserve"> </w:t>
      </w:r>
      <w:proofErr w:type="spellStart"/>
      <w:r w:rsidRPr="00F750F4">
        <w:rPr>
          <w:rFonts w:ascii="Futura" w:hAnsi="Futura"/>
          <w:lang w:val="fr-FR"/>
        </w:rPr>
        <w:t>than</w:t>
      </w:r>
      <w:proofErr w:type="spellEnd"/>
      <w:r w:rsidRPr="00F750F4">
        <w:rPr>
          <w:rFonts w:ascii="Futura" w:hAnsi="Futura"/>
          <w:lang w:val="fr-FR"/>
        </w:rPr>
        <w:t xml:space="preserve"> rational </w:t>
      </w:r>
      <w:proofErr w:type="spellStart"/>
      <w:r w:rsidRPr="00F750F4">
        <w:rPr>
          <w:rFonts w:ascii="Futura" w:hAnsi="Futura"/>
          <w:lang w:val="fr-FR"/>
        </w:rPr>
        <w:t>reasons</w:t>
      </w:r>
      <w:proofErr w:type="spellEnd"/>
      <w:r w:rsidRPr="00F750F4">
        <w:rPr>
          <w:rFonts w:ascii="Futura" w:hAnsi="Futura"/>
          <w:lang w:val="fr-FR"/>
        </w:rPr>
        <w:t xml:space="preserve">. Scientific </w:t>
      </w:r>
      <w:proofErr w:type="spellStart"/>
      <w:r w:rsidRPr="00F750F4">
        <w:rPr>
          <w:rFonts w:ascii="Futura" w:hAnsi="Futura"/>
          <w:lang w:val="fr-FR"/>
        </w:rPr>
        <w:t>publishing</w:t>
      </w:r>
      <w:proofErr w:type="spellEnd"/>
      <w:r w:rsidRPr="00F750F4">
        <w:rPr>
          <w:rFonts w:ascii="Futura" w:hAnsi="Futura"/>
          <w:lang w:val="fr-FR"/>
        </w:rPr>
        <w:t xml:space="preserve"> </w:t>
      </w:r>
      <w:proofErr w:type="spellStart"/>
      <w:r w:rsidRPr="00F750F4">
        <w:rPr>
          <w:rFonts w:ascii="Futura" w:hAnsi="Futura"/>
          <w:lang w:val="fr-FR"/>
        </w:rPr>
        <w:t>shaped</w:t>
      </w:r>
      <w:proofErr w:type="spellEnd"/>
      <w:r w:rsidRPr="00F750F4">
        <w:rPr>
          <w:rFonts w:ascii="Futura" w:hAnsi="Futura"/>
          <w:lang w:val="fr-FR"/>
        </w:rPr>
        <w:t xml:space="preserve"> and, at the </w:t>
      </w:r>
      <w:proofErr w:type="spellStart"/>
      <w:r w:rsidRPr="00F750F4">
        <w:rPr>
          <w:rFonts w:ascii="Futura" w:hAnsi="Futura"/>
          <w:lang w:val="fr-FR"/>
        </w:rPr>
        <w:t>same</w:t>
      </w:r>
      <w:proofErr w:type="spellEnd"/>
      <w:r w:rsidRPr="00F750F4">
        <w:rPr>
          <w:rFonts w:ascii="Futura" w:hAnsi="Futura"/>
          <w:lang w:val="fr-FR"/>
        </w:rPr>
        <w:t xml:space="preserve"> time, </w:t>
      </w:r>
      <w:proofErr w:type="spellStart"/>
      <w:r w:rsidRPr="00F750F4">
        <w:rPr>
          <w:rFonts w:ascii="Futura" w:hAnsi="Futura"/>
          <w:lang w:val="fr-FR"/>
        </w:rPr>
        <w:t>limited</w:t>
      </w:r>
      <w:proofErr w:type="spellEnd"/>
      <w:r w:rsidRPr="00F750F4">
        <w:rPr>
          <w:rFonts w:ascii="Futura" w:hAnsi="Futura"/>
          <w:lang w:val="fr-FR"/>
        </w:rPr>
        <w:t xml:space="preserve"> how science </w:t>
      </w:r>
      <w:proofErr w:type="spellStart"/>
      <w:r w:rsidRPr="00F750F4">
        <w:rPr>
          <w:rFonts w:ascii="Futura" w:hAnsi="Futura"/>
          <w:lang w:val="fr-FR"/>
        </w:rPr>
        <w:t>is</w:t>
      </w:r>
      <w:proofErr w:type="spellEnd"/>
      <w:r w:rsidRPr="00F750F4">
        <w:rPr>
          <w:rFonts w:ascii="Futura" w:hAnsi="Futura"/>
          <w:lang w:val="fr-FR"/>
        </w:rPr>
        <w:t xml:space="preserve"> </w:t>
      </w:r>
      <w:proofErr w:type="spellStart"/>
      <w:r w:rsidRPr="00F750F4">
        <w:rPr>
          <w:rFonts w:ascii="Futura" w:hAnsi="Futura"/>
          <w:lang w:val="fr-FR"/>
        </w:rPr>
        <w:t>performed</w:t>
      </w:r>
      <w:proofErr w:type="spellEnd"/>
      <w:r w:rsidRPr="00F750F4">
        <w:rPr>
          <w:rFonts w:ascii="Futura" w:hAnsi="Futura"/>
          <w:lang w:val="fr-FR"/>
        </w:rPr>
        <w:t xml:space="preserve"> by </w:t>
      </w:r>
      <w:proofErr w:type="spellStart"/>
      <w:r w:rsidRPr="00F750F4">
        <w:rPr>
          <w:rFonts w:ascii="Futura" w:hAnsi="Futura"/>
          <w:lang w:val="fr-FR"/>
        </w:rPr>
        <w:t>determining</w:t>
      </w:r>
      <w:proofErr w:type="spellEnd"/>
      <w:r w:rsidRPr="00F750F4">
        <w:rPr>
          <w:rFonts w:ascii="Futura" w:hAnsi="Futura"/>
          <w:lang w:val="fr-FR"/>
        </w:rPr>
        <w:t xml:space="preserve"> how </w:t>
      </w:r>
      <w:proofErr w:type="spellStart"/>
      <w:r w:rsidRPr="00F750F4">
        <w:rPr>
          <w:rFonts w:ascii="Futura" w:hAnsi="Futura"/>
          <w:lang w:val="fr-FR"/>
        </w:rPr>
        <w:t>ideas</w:t>
      </w:r>
      <w:proofErr w:type="spellEnd"/>
      <w:r w:rsidRPr="00F750F4">
        <w:rPr>
          <w:rFonts w:ascii="Futura" w:hAnsi="Futura"/>
          <w:lang w:val="fr-FR"/>
        </w:rPr>
        <w:t xml:space="preserve"> and </w:t>
      </w:r>
      <w:proofErr w:type="spellStart"/>
      <w:r w:rsidRPr="00F750F4">
        <w:rPr>
          <w:rFonts w:ascii="Futura" w:hAnsi="Futura"/>
          <w:lang w:val="fr-FR"/>
        </w:rPr>
        <w:t>results</w:t>
      </w:r>
      <w:proofErr w:type="spellEnd"/>
      <w:r w:rsidRPr="00F750F4">
        <w:rPr>
          <w:rFonts w:ascii="Futura" w:hAnsi="Futura"/>
          <w:lang w:val="fr-FR"/>
        </w:rPr>
        <w:t xml:space="preserve"> are </w:t>
      </w:r>
      <w:proofErr w:type="spellStart"/>
      <w:r w:rsidRPr="00F750F4">
        <w:rPr>
          <w:rFonts w:ascii="Futura" w:hAnsi="Futura"/>
          <w:lang w:val="fr-FR"/>
        </w:rPr>
        <w:t>shared</w:t>
      </w:r>
      <w:proofErr w:type="spellEnd"/>
      <w:r w:rsidRPr="00F750F4">
        <w:rPr>
          <w:rFonts w:ascii="Futura" w:hAnsi="Futura"/>
          <w:lang w:val="fr-FR"/>
        </w:rPr>
        <w:t xml:space="preserve"> </w:t>
      </w:r>
      <w:proofErr w:type="spellStart"/>
      <w:r w:rsidRPr="00F750F4">
        <w:rPr>
          <w:rFonts w:ascii="Futura" w:hAnsi="Futura"/>
          <w:lang w:val="fr-FR"/>
        </w:rPr>
        <w:t>within</w:t>
      </w:r>
      <w:proofErr w:type="spellEnd"/>
      <w:r w:rsidRPr="00F750F4">
        <w:rPr>
          <w:rFonts w:ascii="Futura" w:hAnsi="Futura"/>
          <w:lang w:val="fr-FR"/>
        </w:rPr>
        <w:t xml:space="preserve"> the </w:t>
      </w:r>
      <w:proofErr w:type="spellStart"/>
      <w:r w:rsidRPr="00F750F4">
        <w:rPr>
          <w:rFonts w:ascii="Futura" w:hAnsi="Futura"/>
          <w:lang w:val="fr-FR"/>
        </w:rPr>
        <w:t>scientific</w:t>
      </w:r>
      <w:proofErr w:type="spellEnd"/>
      <w:r w:rsidRPr="00F750F4">
        <w:rPr>
          <w:rFonts w:ascii="Futura" w:hAnsi="Futura"/>
          <w:lang w:val="fr-FR"/>
        </w:rPr>
        <w:t xml:space="preserve"> </w:t>
      </w:r>
      <w:proofErr w:type="spellStart"/>
      <w:r w:rsidRPr="00F750F4">
        <w:rPr>
          <w:rFonts w:ascii="Futura" w:hAnsi="Futura"/>
          <w:lang w:val="fr-FR"/>
        </w:rPr>
        <w:t>community</w:t>
      </w:r>
      <w:proofErr w:type="spellEnd"/>
      <w:r w:rsidRPr="00F750F4">
        <w:rPr>
          <w:rFonts w:ascii="Futura" w:hAnsi="Futura"/>
          <w:lang w:val="fr-FR"/>
        </w:rPr>
        <w:t>.</w:t>
      </w:r>
    </w:p>
    <w:p w14:paraId="48FC4162" w14:textId="77777777" w:rsidR="00F750F4" w:rsidRDefault="00F750F4">
      <w:pPr>
        <w:spacing w:after="0"/>
        <w:rPr>
          <w:rFonts w:ascii="Futura" w:hAnsi="Futura"/>
          <w:lang w:val="fr-FR"/>
        </w:rPr>
      </w:pPr>
    </w:p>
    <w:p w14:paraId="53F20292" w14:textId="77777777" w:rsidR="00F750F4" w:rsidRPr="00F750F4" w:rsidRDefault="00F750F4" w:rsidP="00F750F4">
      <w:pPr>
        <w:pStyle w:val="Heading3"/>
        <w:rPr>
          <w:lang w:val="en-GB"/>
        </w:rPr>
      </w:pPr>
      <w:r w:rsidRPr="00F750F4">
        <w:rPr>
          <w:lang w:val="en-GB"/>
        </w:rPr>
        <w:t>Open and responsible science</w:t>
      </w:r>
    </w:p>
    <w:p w14:paraId="065984FE" w14:textId="77777777" w:rsidR="00F750F4" w:rsidRPr="00F750F4" w:rsidRDefault="00F750F4" w:rsidP="00F750F4">
      <w:pPr>
        <w:spacing w:after="0"/>
        <w:rPr>
          <w:rFonts w:ascii="Futura" w:hAnsi="Futura"/>
          <w:lang w:val="en-GB"/>
        </w:rPr>
      </w:pPr>
      <w:r w:rsidRPr="00F750F4">
        <w:rPr>
          <w:rFonts w:ascii="Futura" w:hAnsi="Futura"/>
          <w:lang w:val="en-GB"/>
        </w:rPr>
        <w:t xml:space="preserve">With the spread of the novel European Commission plans for Open Science, more and more academics question the current ways of scientific publishing. Most of us find that results of scientific studies funded by governmental grants ("citizen's money") should be available </w:t>
      </w:r>
      <w:r w:rsidRPr="00F750F4">
        <w:rPr>
          <w:rFonts w:ascii="Futura" w:hAnsi="Futura"/>
          <w:lang w:val="en-GB"/>
        </w:rPr>
        <w:t>for everyone without a subscription to the journal or paying for the individual article.  </w:t>
      </w:r>
    </w:p>
    <w:p w14:paraId="334FB19B" w14:textId="77777777" w:rsidR="00F750F4" w:rsidRDefault="00F750F4" w:rsidP="00F750F4">
      <w:pPr>
        <w:spacing w:after="0"/>
        <w:rPr>
          <w:rFonts w:ascii="Futura" w:hAnsi="Futura"/>
          <w:lang w:val="en-GB"/>
        </w:rPr>
      </w:pPr>
      <w:r w:rsidRPr="00F750F4">
        <w:rPr>
          <w:rFonts w:ascii="Futura" w:hAnsi="Futura"/>
          <w:lang w:val="en-GB"/>
        </w:rPr>
        <w:t>Open Science shouts for transparency in various aspects of scientific inquiry, not just at the level of publishing. They argue that data should be gathered, stored and made available for other scientists to check and reuse. Other movements also point out weak points in the scientific life cycle. For example, Public Engagement in Science (PES) campaigns for including non-scientific stakeholders in distinct aspects of research: citizens collecting scientific data via citizen science projects or lay people's local and contextual knowledge in discussing technological risks and research policies to democratise science-related decision-making. Responsible Research and Innovation principles were formulated to involve external stakeholders in the research process to start talks on the ethical aspects of science.</w:t>
      </w:r>
    </w:p>
    <w:p w14:paraId="2D578D8A" w14:textId="77777777" w:rsidR="005A6248" w:rsidRPr="00CA4B6F" w:rsidRDefault="005A6248" w:rsidP="005A6248">
      <w:pPr>
        <w:spacing w:line="276" w:lineRule="auto"/>
        <w:jc w:val="center"/>
      </w:pPr>
      <w:r w:rsidRPr="00AE3C16">
        <w:rPr>
          <w:noProof/>
          <w:lang w:eastAsia="en-GB"/>
        </w:rPr>
        <w:drawing>
          <wp:inline distT="0" distB="0" distL="0" distR="0" wp14:anchorId="5B52FAE7" wp14:editId="19704F61">
            <wp:extent cx="3674535" cy="2066925"/>
            <wp:effectExtent l="0" t="0" r="0" b="0"/>
            <wp:docPr id="6" name="Picture 6" descr="A diagram of different types of sci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iagram of different types of scien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9273" cy="2069590"/>
                    </a:xfrm>
                    <a:prstGeom prst="rect">
                      <a:avLst/>
                    </a:prstGeom>
                  </pic:spPr>
                </pic:pic>
              </a:graphicData>
            </a:graphic>
          </wp:inline>
        </w:drawing>
      </w:r>
    </w:p>
    <w:p w14:paraId="1B3FEB92" w14:textId="13139517" w:rsidR="005A6248" w:rsidRDefault="005A6248" w:rsidP="005A6248">
      <w:pPr>
        <w:pStyle w:val="Caption"/>
        <w:rPr>
          <w:rFonts w:ascii="Futura" w:hAnsi="Futura"/>
          <w:lang w:val="en-GB"/>
        </w:rPr>
      </w:pPr>
      <w:r>
        <w:t xml:space="preserve">Figure </w:t>
      </w:r>
      <w:r>
        <w:fldChar w:fldCharType="begin"/>
      </w:r>
      <w:r>
        <w:instrText>SEQ Figura \* ARABIC</w:instrText>
      </w:r>
      <w:r>
        <w:fldChar w:fldCharType="separate"/>
      </w:r>
      <w:r>
        <w:t>1</w:t>
      </w:r>
      <w:r>
        <w:fldChar w:fldCharType="end"/>
      </w:r>
      <w:r>
        <w:t xml:space="preserve"> </w:t>
      </w:r>
      <w:r w:rsidRPr="00CA4B6F">
        <w:rPr>
          <w:sz w:val="16"/>
        </w:rPr>
        <w:t xml:space="preserve">: Open science goes beyond publishing– it is a redefinition of scientific collaboration and output (source: </w:t>
      </w:r>
      <w:hyperlink r:id="rId11" w:history="1">
        <w:r w:rsidRPr="00CA4B6F">
          <w:rPr>
            <w:rStyle w:val="Hyperlink"/>
            <w:sz w:val="16"/>
          </w:rPr>
          <w:t>https://www.tudelft.nl/open-science</w:t>
        </w:r>
      </w:hyperlink>
      <w:r w:rsidRPr="00CA4B6F">
        <w:rPr>
          <w:sz w:val="16"/>
        </w:rPr>
        <w:t>)</w:t>
      </w:r>
    </w:p>
    <w:p w14:paraId="0912DD98" w14:textId="12CE3B51" w:rsidR="005A6248" w:rsidRPr="005A6248" w:rsidRDefault="005A6248" w:rsidP="005A6248">
      <w:pPr>
        <w:spacing w:line="276" w:lineRule="auto"/>
        <w:rPr>
          <w:rFonts w:ascii="Futura" w:hAnsi="Futura"/>
          <w:lang w:val="en-GB"/>
        </w:rPr>
      </w:pPr>
      <w:r w:rsidRPr="005A6248">
        <w:rPr>
          <w:rFonts w:ascii="Futura" w:hAnsi="Futura"/>
          <w:lang w:val="en-GB"/>
        </w:rPr>
        <w:lastRenderedPageBreak/>
        <w:t>These different movements challenge the current ways of performing science. Who should be part of the data collection? Who should have a word in the way a given research is conducted? Who should read scientific results? Who should decide which projects should be performed and who should grant these? How do we measure scientific excellence? If the publication system is old-fashioned and biased, as Open Science advocates say, is it reliable to judge how good scientists are based on their publication list? NWO signed the San Francisco Declaration on Research Assessment (DORA) in 2019 and implemented its principles in the assessment procedures, taking a big step towards changing the measurement aspects. This shows that we need to start a discussion about these issues and figure out a potential solution also within our own institution.</w:t>
      </w:r>
    </w:p>
    <w:p w14:paraId="4E8A05BE" w14:textId="77777777" w:rsidR="005A6248" w:rsidRDefault="005A6248" w:rsidP="005A6248">
      <w:pPr>
        <w:spacing w:after="0"/>
        <w:rPr>
          <w:rFonts w:ascii="Futura" w:hAnsi="Futura"/>
          <w:lang w:val="en-GB"/>
        </w:rPr>
      </w:pPr>
      <w:bookmarkStart w:id="0" w:name="_Hlk152167505"/>
      <w:r w:rsidRPr="005A6248">
        <w:rPr>
          <w:rFonts w:ascii="Futura" w:hAnsi="Futura"/>
          <w:lang w:val="en-GB"/>
        </w:rPr>
        <w:t>These different movements challenge the current ways of performing science. Who should be part of the data collection? Who should have a word in the way a given research is conducted? Who should read scientific results? Who should decide which projects should be performed and who should grant these? How do we measure scientific excellence? If the publication system is old-fashioned and biased, as Open Science advocates say, is it reliable to judge how good scientists are based on their publication list? NWO signed the San Francisco Declaration on Research Assessment (DORA) in 2019 and implemented its principles in the assessment procedures, taking a big step towards changing the measurement aspects. This shows that we need to start a discussion about these issues and figure out a potential solution also within our own institution.</w:t>
      </w:r>
    </w:p>
    <w:p w14:paraId="38FAA7BE" w14:textId="77777777" w:rsidR="005A6248" w:rsidRPr="005A6248" w:rsidRDefault="005A6248" w:rsidP="005A6248">
      <w:pPr>
        <w:pStyle w:val="Heading3"/>
        <w:rPr>
          <w:lang w:val="en-GB"/>
        </w:rPr>
      </w:pPr>
      <w:r w:rsidRPr="005A6248">
        <w:rPr>
          <w:lang w:val="en-GB"/>
        </w:rPr>
        <w:t>Asking ourselves why we do science</w:t>
      </w:r>
    </w:p>
    <w:p w14:paraId="0301FF24" w14:textId="77777777" w:rsidR="005A6248" w:rsidRPr="005A6248" w:rsidRDefault="005A6248" w:rsidP="005A6248">
      <w:pPr>
        <w:spacing w:after="0"/>
        <w:rPr>
          <w:rFonts w:ascii="Futura" w:hAnsi="Futura"/>
          <w:lang w:val="en-GB"/>
        </w:rPr>
      </w:pPr>
      <w:r w:rsidRPr="005A6248">
        <w:rPr>
          <w:rFonts w:ascii="Futura" w:hAnsi="Futura"/>
          <w:lang w:val="en-GB"/>
        </w:rPr>
        <w:t xml:space="preserve">We believe that asking such questions, such as "Why do we do science?" can help us to see what the issues are, and what needs to be changed. The choice between science done to gather fundamental knowledge and science done </w:t>
      </w:r>
      <w:r w:rsidRPr="005A6248">
        <w:rPr>
          <w:rFonts w:ascii="Futura" w:hAnsi="Futura"/>
          <w:lang w:val="en-GB"/>
        </w:rPr>
        <w:t xml:space="preserve">to solve societal problems has consequences on how we make decisions about how we organise our research projects. The two answers might not seem that far apart, but they put you on two different paths when you need to set up a collaboration. Namely, if the focus lies on deepening scientific understanding or creating new technology, one might choose collaboration partners with similar backgrounds but with access to different methodologies or instruments. In contrast, if someone sets solving societal problems central, the collaboration needs to contain diverse collaborating partners to cover different values, perspectives, knowledge fields and interests. This is because complex societal problems have multiple definitions, are viewed differently from different stakeholder perspectives, and, unfortunately, cannot be solved straightforwardly. Teams that are trying to come up with a solution need to tackle the complexity through inter- or </w:t>
      </w:r>
      <w:proofErr w:type="spellStart"/>
      <w:r w:rsidRPr="005A6248">
        <w:rPr>
          <w:rFonts w:ascii="Futura" w:hAnsi="Futura"/>
          <w:lang w:val="en-GB"/>
        </w:rPr>
        <w:t>transdisciplinarity</w:t>
      </w:r>
      <w:proofErr w:type="spellEnd"/>
      <w:r w:rsidRPr="005A6248">
        <w:rPr>
          <w:rFonts w:ascii="Futura" w:hAnsi="Futura"/>
          <w:lang w:val="en-GB"/>
        </w:rPr>
        <w:t>.</w:t>
      </w:r>
    </w:p>
    <w:p w14:paraId="3661108A" w14:textId="77777777" w:rsidR="005A6248" w:rsidRPr="005A6248" w:rsidRDefault="005A6248" w:rsidP="005A6248">
      <w:pPr>
        <w:pStyle w:val="Heading3"/>
        <w:rPr>
          <w:lang w:val="en-GB"/>
        </w:rPr>
      </w:pPr>
      <w:r w:rsidRPr="005A6248">
        <w:rPr>
          <w:lang w:val="en-GB"/>
        </w:rPr>
        <w:t>Change requires different systems and skills</w:t>
      </w:r>
    </w:p>
    <w:p w14:paraId="44C44371" w14:textId="77777777" w:rsidR="005A6248" w:rsidRPr="005A6248" w:rsidRDefault="005A6248" w:rsidP="005A6248">
      <w:pPr>
        <w:spacing w:after="0"/>
        <w:rPr>
          <w:rFonts w:ascii="Futura" w:hAnsi="Futura"/>
          <w:lang w:val="en-GB"/>
        </w:rPr>
      </w:pPr>
      <w:r w:rsidRPr="005A6248">
        <w:rPr>
          <w:rFonts w:ascii="Futura" w:hAnsi="Futura"/>
          <w:lang w:val="en-GB"/>
        </w:rPr>
        <w:t xml:space="preserve">Yet, the classical scientific life cycle and the research support systems are based on and further support fundamental knowledge creation. Classical disciplinary university education focuses on individual performance; universities and research institutions evaluate and reward researchers individually. Next to big </w:t>
      </w:r>
      <w:proofErr w:type="spellStart"/>
      <w:r w:rsidRPr="005A6248">
        <w:rPr>
          <w:rFonts w:ascii="Futura" w:hAnsi="Futura"/>
          <w:lang w:val="en-GB"/>
        </w:rPr>
        <w:t>collaboratory</w:t>
      </w:r>
      <w:proofErr w:type="spellEnd"/>
      <w:r w:rsidRPr="005A6248">
        <w:rPr>
          <w:rFonts w:ascii="Futura" w:hAnsi="Futura"/>
          <w:lang w:val="en-GB"/>
        </w:rPr>
        <w:t xml:space="preserve"> projects, grant providers still publish calls for excellent individuals to persuade their own dream projects (ERC, VENI, etc), and PhD candidates are hired individually. In universities and research institutions, researchers are part of their research team with several other scientists, PhD students, Bachelor/Master students and assistants, usually led by a principal investigator (PI). In these "home teams", researchers need to cooperate but also compete with fellow PhDs and post-docs to get recognition within and outside of their own institution.</w:t>
      </w:r>
    </w:p>
    <w:p w14:paraId="385C2091" w14:textId="77777777" w:rsidR="005A6248" w:rsidRPr="005A6248" w:rsidRDefault="005A6248" w:rsidP="005A6248">
      <w:pPr>
        <w:spacing w:after="0"/>
        <w:rPr>
          <w:rFonts w:ascii="Futura" w:hAnsi="Futura"/>
          <w:lang w:val="en-GB"/>
        </w:rPr>
      </w:pPr>
      <w:r w:rsidRPr="005A6248">
        <w:rPr>
          <w:rFonts w:ascii="Futura" w:hAnsi="Futura"/>
          <w:lang w:val="en-GB"/>
        </w:rPr>
        <w:t xml:space="preserve">Scientific collaborations are often formed outside of these home teams, between different </w:t>
      </w:r>
      <w:r w:rsidRPr="005A6248">
        <w:rPr>
          <w:rFonts w:ascii="Futura" w:hAnsi="Futura"/>
          <w:lang w:val="en-GB"/>
        </w:rPr>
        <w:lastRenderedPageBreak/>
        <w:t xml:space="preserve">faculties and universities, often with industrial partners, governmental organisations and (representatives of) users. Working in such project-based temporary teams means stepping out of the hierarchical home institution and learning or creating new social rules. Managing projects, negotiating expectations and desired outcomes, sharing knowledge, and creating new methods and theories in these kinds of multi-, inter- or transdisciplinary collaborations require specific skills not covered by classical university education. Inter- and transdisciplinary teams set up to solve societal or complex problems have specific team dynamics. At the beginning of these projects, partners bring their own purpose, knowledge, definitions of concepts and interpretations of the problem. These partners also have different ways of approaching the problem and negotiating with each other on how to move further. One of the greatest challenges of these interactions is to bring the different perspectives, problem definitions and potential ways to solve the problem close to each other. </w:t>
      </w:r>
    </w:p>
    <w:p w14:paraId="415A1E56" w14:textId="77777777" w:rsidR="005A6248" w:rsidRDefault="005A6248" w:rsidP="005A6248">
      <w:pPr>
        <w:spacing w:after="0"/>
        <w:rPr>
          <w:rFonts w:ascii="Futura" w:hAnsi="Futura"/>
          <w:lang w:val="en-GB"/>
        </w:rPr>
      </w:pPr>
    </w:p>
    <w:p w14:paraId="74648EEC" w14:textId="77777777" w:rsidR="00CE2A87" w:rsidRDefault="00CE2A87" w:rsidP="005A6248">
      <w:pPr>
        <w:spacing w:after="0"/>
        <w:rPr>
          <w:rFonts w:ascii="Futura" w:hAnsi="Futura"/>
          <w:lang w:val="en-GB"/>
        </w:rPr>
      </w:pPr>
    </w:p>
    <w:p w14:paraId="3715C114" w14:textId="77777777" w:rsidR="00CE2A87" w:rsidRDefault="00CE2A87" w:rsidP="005A6248">
      <w:pPr>
        <w:spacing w:after="0"/>
        <w:rPr>
          <w:rFonts w:ascii="Futura" w:hAnsi="Futura"/>
          <w:lang w:val="en-GB"/>
        </w:rPr>
      </w:pPr>
    </w:p>
    <w:p w14:paraId="188BDC21" w14:textId="77777777" w:rsidR="00CE2A87" w:rsidRPr="005A6248" w:rsidRDefault="00CE2A87" w:rsidP="005A6248">
      <w:pPr>
        <w:spacing w:after="0"/>
        <w:rPr>
          <w:rFonts w:ascii="Futura" w:hAnsi="Futura"/>
          <w:lang w:val="en-GB"/>
        </w:rPr>
      </w:pPr>
    </w:p>
    <w:p w14:paraId="394AA3E8" w14:textId="77777777" w:rsidR="005A6248" w:rsidRPr="005A6248" w:rsidRDefault="005A6248" w:rsidP="005A6248">
      <w:pPr>
        <w:pStyle w:val="Heading3"/>
        <w:rPr>
          <w:lang w:val="en-GB"/>
        </w:rPr>
      </w:pPr>
      <w:r w:rsidRPr="005A6248">
        <w:rPr>
          <w:lang w:val="en-GB"/>
        </w:rPr>
        <w:t>Social learning to address grand challenges</w:t>
      </w:r>
    </w:p>
    <w:p w14:paraId="7F7ECCE0" w14:textId="77777777" w:rsidR="005A6248" w:rsidRPr="005A6248" w:rsidRDefault="005A6248" w:rsidP="005A6248">
      <w:pPr>
        <w:spacing w:after="0"/>
        <w:rPr>
          <w:rFonts w:ascii="Futura" w:hAnsi="Futura"/>
          <w:lang w:val="en-GB"/>
        </w:rPr>
      </w:pPr>
      <w:r w:rsidRPr="005A6248">
        <w:rPr>
          <w:rFonts w:ascii="Futura" w:hAnsi="Futura"/>
          <w:lang w:val="en-GB"/>
        </w:rPr>
        <w:t xml:space="preserve">The convergence of these differences could be seen as </w:t>
      </w:r>
      <w:r w:rsidRPr="005A6248">
        <w:rPr>
          <w:rFonts w:ascii="Futura" w:hAnsi="Futura"/>
          <w:i/>
          <w:iCs/>
          <w:lang w:val="en-GB"/>
        </w:rPr>
        <w:t>social learning</w:t>
      </w:r>
      <w:r w:rsidRPr="005A6248">
        <w:rPr>
          <w:rFonts w:ascii="Futura" w:hAnsi="Futura"/>
          <w:lang w:val="en-GB"/>
        </w:rPr>
        <w:t>, as this leads to shared mental models and the generation of new knowledge. Science communication, social science, and team science provide us with theories, models and methods to understand how such teams function, what methods or interventions can be used to support the desired team processes, and why other methods should be avoided when communicating with diverse stakeholders, especially in situations when the interests are conflicting.</w:t>
      </w:r>
    </w:p>
    <w:p w14:paraId="3E86A629" w14:textId="16826046" w:rsidR="005A6248" w:rsidRPr="005A6248" w:rsidRDefault="005A6248" w:rsidP="005A6248">
      <w:pPr>
        <w:spacing w:after="0"/>
        <w:rPr>
          <w:rFonts w:ascii="Futura" w:hAnsi="Futura"/>
          <w:lang w:val="en-GB"/>
        </w:rPr>
      </w:pPr>
      <w:r w:rsidRPr="005A6248">
        <w:rPr>
          <w:rFonts w:ascii="Futura" w:hAnsi="Futura"/>
          <w:lang w:val="en-GB"/>
        </w:rPr>
        <w:t>Sustainability, energy transition, resilient cities, rising sea level, health care reforms. Projects highlighted at TU Delft's main homepage. These are all complex societal challenges which have technical perspectives but cannot be solved without engaging versatile stakeholders, listening to their ideas, and integrating their knowledge and interests. For these, we need specific scientific knowledge, but also communication, collaboration and social skills. Then why don't we teach these specific skills together with rigorous scientific methodologies and theories? In our next section, we will discuss the topic of how we (should) educate our students.</w:t>
      </w:r>
    </w:p>
    <w:bookmarkEnd w:id="0"/>
    <w:p w14:paraId="14C79F3A" w14:textId="77777777" w:rsidR="00CE2A87" w:rsidRDefault="00CE2A87" w:rsidP="005A6248">
      <w:pPr>
        <w:pStyle w:val="BodyText"/>
        <w:rPr>
          <w:lang w:val="fr-FR"/>
        </w:rPr>
      </w:pPr>
    </w:p>
    <w:p w14:paraId="1524691C" w14:textId="5D4AB804" w:rsidR="00CE2A87" w:rsidRPr="005A6248" w:rsidRDefault="00CE2A87" w:rsidP="005A6248">
      <w:pPr>
        <w:pStyle w:val="BodyText"/>
        <w:rPr>
          <w:lang w:val="fr-FR"/>
        </w:rPr>
        <w:sectPr w:rsidR="00CE2A87" w:rsidRPr="005A6248">
          <w:type w:val="continuous"/>
          <w:pgSz w:w="12240" w:h="15840"/>
          <w:pgMar w:top="1440" w:right="1440" w:bottom="1553" w:left="1440" w:header="708" w:footer="708" w:gutter="0"/>
          <w:cols w:num="2" w:space="708"/>
          <w:formProt w:val="0"/>
          <w:docGrid w:linePitch="360" w:charSpace="4096"/>
        </w:sectPr>
      </w:pPr>
    </w:p>
    <w:p w14:paraId="1725C54B" w14:textId="77777777" w:rsidR="006C677B" w:rsidRDefault="006C677B">
      <w:pPr>
        <w:spacing w:after="0"/>
        <w:rPr>
          <w:rFonts w:ascii="Futura" w:hAnsi="Futura"/>
          <w:lang w:val="en-GB"/>
        </w:rPr>
      </w:pPr>
    </w:p>
    <w:p w14:paraId="1F0E9CD9" w14:textId="77777777" w:rsidR="006C677B" w:rsidRDefault="006C677B">
      <w:pPr>
        <w:sectPr w:rsidR="006C677B">
          <w:type w:val="continuous"/>
          <w:pgSz w:w="12240" w:h="15840"/>
          <w:pgMar w:top="1440" w:right="1440" w:bottom="1553" w:left="1440" w:header="708" w:footer="708" w:gutter="0"/>
          <w:cols w:space="720"/>
          <w:formProt w:val="0"/>
          <w:docGrid w:linePitch="360" w:charSpace="4096"/>
        </w:sectPr>
      </w:pPr>
    </w:p>
    <w:p w14:paraId="4396B88C" w14:textId="3C9CA3E8" w:rsidR="006C677B" w:rsidRPr="00CE2A87" w:rsidRDefault="00CE2A87" w:rsidP="00CE2A87">
      <w:pPr>
        <w:pStyle w:val="Heading2"/>
      </w:pPr>
      <w:r w:rsidRPr="00CE2A87">
        <w:t>3</w:t>
      </w:r>
      <w:r>
        <w:t>.</w:t>
      </w:r>
      <w:r w:rsidRPr="00CE2A87">
        <w:t xml:space="preserve"> </w:t>
      </w:r>
      <w:r w:rsidRPr="00CE2A87">
        <w:t>Education as preparation for multidisciplinary global problem solvers</w:t>
      </w:r>
    </w:p>
    <w:p w14:paraId="2BDF1C9B" w14:textId="77777777" w:rsidR="00CE2A87" w:rsidRPr="00CE2A87" w:rsidRDefault="00CE2A87" w:rsidP="00CE2A87">
      <w:pPr>
        <w:pStyle w:val="BodyText"/>
        <w:rPr>
          <w:lang w:val="fr-FR"/>
        </w:rPr>
      </w:pPr>
      <w:proofErr w:type="spellStart"/>
      <w:r w:rsidRPr="00CE2A87">
        <w:rPr>
          <w:lang w:val="fr-FR"/>
        </w:rPr>
        <w:t>Within</w:t>
      </w:r>
      <w:proofErr w:type="spellEnd"/>
      <w:r w:rsidRPr="00CE2A87">
        <w:rPr>
          <w:lang w:val="fr-FR"/>
        </w:rPr>
        <w:t xml:space="preserve"> the TU Delft, </w:t>
      </w:r>
      <w:proofErr w:type="spellStart"/>
      <w:r w:rsidRPr="00CE2A87">
        <w:rPr>
          <w:lang w:val="fr-FR"/>
        </w:rPr>
        <w:t>we</w:t>
      </w:r>
      <w:proofErr w:type="spellEnd"/>
      <w:r w:rsidRPr="00CE2A87">
        <w:rPr>
          <w:lang w:val="fr-FR"/>
        </w:rPr>
        <w:t xml:space="preserve"> pride </w:t>
      </w:r>
      <w:proofErr w:type="spellStart"/>
      <w:r w:rsidRPr="00CE2A87">
        <w:rPr>
          <w:lang w:val="fr-FR"/>
        </w:rPr>
        <w:t>ourselves</w:t>
      </w:r>
      <w:proofErr w:type="spellEnd"/>
      <w:r w:rsidRPr="00CE2A87">
        <w:rPr>
          <w:lang w:val="fr-FR"/>
        </w:rPr>
        <w:t xml:space="preserve"> on </w:t>
      </w:r>
      <w:proofErr w:type="spellStart"/>
      <w:r w:rsidRPr="00CE2A87">
        <w:rPr>
          <w:lang w:val="fr-FR"/>
        </w:rPr>
        <w:t>offering</w:t>
      </w:r>
      <w:proofErr w:type="spellEnd"/>
      <w:r w:rsidRPr="00CE2A87">
        <w:rPr>
          <w:lang w:val="fr-FR"/>
        </w:rPr>
        <w:t xml:space="preserve"> good </w:t>
      </w:r>
      <w:proofErr w:type="spellStart"/>
      <w:r w:rsidRPr="00CE2A87">
        <w:rPr>
          <w:lang w:val="fr-FR"/>
        </w:rPr>
        <w:t>quality</w:t>
      </w:r>
      <w:proofErr w:type="spellEnd"/>
      <w:r w:rsidRPr="00CE2A87">
        <w:rPr>
          <w:lang w:val="fr-FR"/>
        </w:rPr>
        <w:t xml:space="preserve"> and </w:t>
      </w:r>
      <w:proofErr w:type="spellStart"/>
      <w:r w:rsidRPr="00CE2A87">
        <w:rPr>
          <w:lang w:val="fr-FR"/>
        </w:rPr>
        <w:t>positively</w:t>
      </w:r>
      <w:proofErr w:type="spellEnd"/>
      <w:r w:rsidRPr="00CE2A87">
        <w:rPr>
          <w:lang w:val="fr-FR"/>
        </w:rPr>
        <w:t xml:space="preserve"> </w:t>
      </w:r>
      <w:proofErr w:type="spellStart"/>
      <w:r w:rsidRPr="00CE2A87">
        <w:rPr>
          <w:lang w:val="fr-FR"/>
        </w:rPr>
        <w:t>evaluated</w:t>
      </w:r>
      <w:proofErr w:type="spellEnd"/>
      <w:r w:rsidRPr="00CE2A87">
        <w:rPr>
          <w:lang w:val="fr-FR"/>
        </w:rPr>
        <w:t xml:space="preserve"> </w:t>
      </w:r>
      <w:proofErr w:type="spellStart"/>
      <w:r w:rsidRPr="00CE2A87">
        <w:rPr>
          <w:lang w:val="fr-FR"/>
        </w:rPr>
        <w:t>academic</w:t>
      </w:r>
      <w:proofErr w:type="spellEnd"/>
      <w:r w:rsidRPr="00CE2A87">
        <w:rPr>
          <w:lang w:val="fr-FR"/>
        </w:rPr>
        <w:t xml:space="preserve"> </w:t>
      </w:r>
      <w:proofErr w:type="spellStart"/>
      <w:r w:rsidRPr="00CE2A87">
        <w:rPr>
          <w:lang w:val="fr-FR"/>
        </w:rPr>
        <w:t>education</w:t>
      </w:r>
      <w:proofErr w:type="spellEnd"/>
      <w:r w:rsidRPr="00CE2A87">
        <w:rPr>
          <w:lang w:val="fr-FR"/>
        </w:rPr>
        <w:t xml:space="preserve"> on </w:t>
      </w:r>
      <w:proofErr w:type="spellStart"/>
      <w:r w:rsidRPr="00CE2A87">
        <w:rPr>
          <w:lang w:val="fr-FR"/>
        </w:rPr>
        <w:t>BSc</w:t>
      </w:r>
      <w:proofErr w:type="spellEnd"/>
      <w:r w:rsidRPr="00CE2A87">
        <w:rPr>
          <w:lang w:val="fr-FR"/>
        </w:rPr>
        <w:t xml:space="preserve">, </w:t>
      </w:r>
      <w:proofErr w:type="spellStart"/>
      <w:r w:rsidRPr="00CE2A87">
        <w:rPr>
          <w:lang w:val="fr-FR"/>
        </w:rPr>
        <w:t>MSc</w:t>
      </w:r>
      <w:proofErr w:type="spellEnd"/>
      <w:r w:rsidRPr="00CE2A87">
        <w:rPr>
          <w:lang w:val="fr-FR"/>
        </w:rPr>
        <w:t xml:space="preserve"> and post-master (PhD) </w:t>
      </w:r>
      <w:proofErr w:type="spellStart"/>
      <w:r w:rsidRPr="00CE2A87">
        <w:rPr>
          <w:lang w:val="fr-FR"/>
        </w:rPr>
        <w:t>level</w:t>
      </w:r>
      <w:proofErr w:type="spellEnd"/>
      <w:r w:rsidRPr="00CE2A87">
        <w:rPr>
          <w:lang w:val="fr-FR"/>
        </w:rPr>
        <w:t xml:space="preserve">. And </w:t>
      </w:r>
      <w:proofErr w:type="spellStart"/>
      <w:r w:rsidRPr="00CE2A87">
        <w:rPr>
          <w:lang w:val="fr-FR"/>
        </w:rPr>
        <w:t>perhaps</w:t>
      </w:r>
      <w:proofErr w:type="spellEnd"/>
      <w:r w:rsidRPr="00CE2A87">
        <w:rPr>
          <w:lang w:val="fr-FR"/>
        </w:rPr>
        <w:t xml:space="preserve"> </w:t>
      </w:r>
      <w:proofErr w:type="spellStart"/>
      <w:r w:rsidRPr="00CE2A87">
        <w:rPr>
          <w:lang w:val="fr-FR"/>
        </w:rPr>
        <w:t>rightfully</w:t>
      </w:r>
      <w:proofErr w:type="spellEnd"/>
      <w:r w:rsidRPr="00CE2A87">
        <w:rPr>
          <w:lang w:val="fr-FR"/>
        </w:rPr>
        <w:t xml:space="preserve"> </w:t>
      </w:r>
      <w:proofErr w:type="spellStart"/>
      <w:r w:rsidRPr="00CE2A87">
        <w:rPr>
          <w:lang w:val="fr-FR"/>
        </w:rPr>
        <w:t>so</w:t>
      </w:r>
      <w:proofErr w:type="spellEnd"/>
      <w:r w:rsidRPr="00CE2A87">
        <w:rPr>
          <w:lang w:val="fr-FR"/>
        </w:rPr>
        <w:t xml:space="preserve">. </w:t>
      </w:r>
      <w:proofErr w:type="spellStart"/>
      <w:r w:rsidRPr="00CE2A87">
        <w:rPr>
          <w:lang w:val="fr-FR"/>
        </w:rPr>
        <w:t>Nevertheless</w:t>
      </w:r>
      <w:proofErr w:type="spellEnd"/>
      <w:r w:rsidRPr="00CE2A87">
        <w:rPr>
          <w:lang w:val="fr-FR"/>
        </w:rPr>
        <w:t xml:space="preserve">, a </w:t>
      </w:r>
      <w:proofErr w:type="spellStart"/>
      <w:r w:rsidRPr="00CE2A87">
        <w:rPr>
          <w:lang w:val="fr-FR"/>
        </w:rPr>
        <w:t>valid</w:t>
      </w:r>
      <w:proofErr w:type="spellEnd"/>
      <w:r w:rsidRPr="00CE2A87">
        <w:rPr>
          <w:lang w:val="fr-FR"/>
        </w:rPr>
        <w:t xml:space="preserve"> question </w:t>
      </w:r>
      <w:proofErr w:type="spellStart"/>
      <w:r w:rsidRPr="00CE2A87">
        <w:rPr>
          <w:lang w:val="fr-FR"/>
        </w:rPr>
        <w:t>remains</w:t>
      </w:r>
      <w:proofErr w:type="spellEnd"/>
      <w:r w:rsidRPr="00CE2A87">
        <w:rPr>
          <w:lang w:val="fr-FR"/>
        </w:rPr>
        <w:t xml:space="preserve">: </w:t>
      </w:r>
      <w:proofErr w:type="spellStart"/>
      <w:r w:rsidRPr="00CE2A87">
        <w:rPr>
          <w:lang w:val="fr-FR"/>
        </w:rPr>
        <w:t>what</w:t>
      </w:r>
      <w:proofErr w:type="spellEnd"/>
      <w:r w:rsidRPr="00CE2A87">
        <w:rPr>
          <w:lang w:val="fr-FR"/>
        </w:rPr>
        <w:t xml:space="preserve"> are </w:t>
      </w:r>
      <w:proofErr w:type="spellStart"/>
      <w:r w:rsidRPr="00CE2A87">
        <w:rPr>
          <w:lang w:val="fr-FR"/>
        </w:rPr>
        <w:t>we</w:t>
      </w:r>
      <w:proofErr w:type="spellEnd"/>
      <w:r w:rsidRPr="00CE2A87">
        <w:rPr>
          <w:lang w:val="fr-FR"/>
        </w:rPr>
        <w:t xml:space="preserve"> </w:t>
      </w:r>
      <w:proofErr w:type="spellStart"/>
      <w:r w:rsidRPr="00CE2A87">
        <w:rPr>
          <w:lang w:val="fr-FR"/>
        </w:rPr>
        <w:t>actually</w:t>
      </w:r>
      <w:proofErr w:type="spellEnd"/>
      <w:r w:rsidRPr="00CE2A87">
        <w:rPr>
          <w:lang w:val="fr-FR"/>
        </w:rPr>
        <w:t xml:space="preserve"> </w:t>
      </w:r>
      <w:proofErr w:type="spellStart"/>
      <w:r w:rsidRPr="00CE2A87">
        <w:rPr>
          <w:lang w:val="fr-FR"/>
        </w:rPr>
        <w:t>preparing</w:t>
      </w:r>
      <w:proofErr w:type="spellEnd"/>
      <w:r w:rsidRPr="00CE2A87">
        <w:rPr>
          <w:lang w:val="fr-FR"/>
        </w:rPr>
        <w:t xml:space="preserve"> </w:t>
      </w:r>
      <w:proofErr w:type="spellStart"/>
      <w:r w:rsidRPr="00CE2A87">
        <w:rPr>
          <w:lang w:val="fr-FR"/>
        </w:rPr>
        <w:t>our</w:t>
      </w:r>
      <w:proofErr w:type="spellEnd"/>
      <w:r w:rsidRPr="00CE2A87">
        <w:rPr>
          <w:lang w:val="fr-FR"/>
        </w:rPr>
        <w:t xml:space="preserve"> </w:t>
      </w:r>
      <w:proofErr w:type="spellStart"/>
      <w:r w:rsidRPr="00CE2A87">
        <w:rPr>
          <w:lang w:val="fr-FR"/>
        </w:rPr>
        <w:t>current</w:t>
      </w:r>
      <w:proofErr w:type="spellEnd"/>
      <w:r w:rsidRPr="00CE2A87">
        <w:rPr>
          <w:lang w:val="fr-FR"/>
        </w:rPr>
        <w:t xml:space="preserve"> and future </w:t>
      </w:r>
      <w:proofErr w:type="spellStart"/>
      <w:r w:rsidRPr="00CE2A87">
        <w:rPr>
          <w:lang w:val="fr-FR"/>
        </w:rPr>
        <w:t>students</w:t>
      </w:r>
      <w:proofErr w:type="spellEnd"/>
      <w:r w:rsidRPr="00CE2A87">
        <w:rPr>
          <w:lang w:val="fr-FR"/>
        </w:rPr>
        <w:t xml:space="preserve"> for?  </w:t>
      </w:r>
    </w:p>
    <w:p w14:paraId="4B9DC09A" w14:textId="77777777" w:rsidR="00CE2A87" w:rsidRDefault="00CE2A87" w:rsidP="00CE2A87">
      <w:pPr>
        <w:pStyle w:val="BodyText"/>
        <w:rPr>
          <w:lang w:val="fr-FR"/>
        </w:rPr>
      </w:pPr>
      <w:proofErr w:type="spellStart"/>
      <w:r w:rsidRPr="00CE2A87">
        <w:rPr>
          <w:lang w:val="fr-FR"/>
        </w:rPr>
        <w:t>According</w:t>
      </w:r>
      <w:proofErr w:type="spellEnd"/>
      <w:r w:rsidRPr="00CE2A87">
        <w:rPr>
          <w:lang w:val="fr-FR"/>
        </w:rPr>
        <w:t xml:space="preserve"> to the vision </w:t>
      </w:r>
      <w:proofErr w:type="spellStart"/>
      <w:r w:rsidRPr="00CE2A87">
        <w:rPr>
          <w:lang w:val="fr-FR"/>
        </w:rPr>
        <w:t>statement</w:t>
      </w:r>
      <w:proofErr w:type="spellEnd"/>
      <w:r w:rsidRPr="00CE2A87">
        <w:rPr>
          <w:lang w:val="fr-FR"/>
        </w:rPr>
        <w:t xml:space="preserve"> in the </w:t>
      </w:r>
      <w:proofErr w:type="spellStart"/>
      <w:r w:rsidRPr="00CE2A87">
        <w:rPr>
          <w:lang w:val="fr-FR"/>
        </w:rPr>
        <w:t>current</w:t>
      </w:r>
      <w:proofErr w:type="spellEnd"/>
      <w:r w:rsidRPr="00CE2A87">
        <w:rPr>
          <w:lang w:val="fr-FR"/>
        </w:rPr>
        <w:t xml:space="preserve"> </w:t>
      </w:r>
      <w:proofErr w:type="spellStart"/>
      <w:r w:rsidRPr="00CE2A87">
        <w:rPr>
          <w:lang w:val="fr-FR"/>
        </w:rPr>
        <w:t>strategic</w:t>
      </w:r>
      <w:proofErr w:type="spellEnd"/>
      <w:r w:rsidRPr="00CE2A87">
        <w:rPr>
          <w:lang w:val="fr-FR"/>
        </w:rPr>
        <w:t xml:space="preserve"> plans, the "Delft </w:t>
      </w:r>
      <w:proofErr w:type="spellStart"/>
      <w:r w:rsidRPr="00CE2A87">
        <w:rPr>
          <w:lang w:val="fr-FR"/>
        </w:rPr>
        <w:t>University</w:t>
      </w:r>
      <w:proofErr w:type="spellEnd"/>
      <w:r w:rsidRPr="00CE2A87">
        <w:rPr>
          <w:lang w:val="fr-FR"/>
        </w:rPr>
        <w:t xml:space="preserve"> of </w:t>
      </w:r>
      <w:proofErr w:type="spellStart"/>
      <w:r w:rsidRPr="00CE2A87">
        <w:rPr>
          <w:lang w:val="fr-FR"/>
        </w:rPr>
        <w:t>Technology</w:t>
      </w:r>
      <w:proofErr w:type="spellEnd"/>
      <w:r w:rsidRPr="00CE2A87">
        <w:rPr>
          <w:lang w:val="fr-FR"/>
        </w:rPr>
        <w:t xml:space="preserve"> </w:t>
      </w:r>
      <w:proofErr w:type="spellStart"/>
      <w:r w:rsidRPr="00CE2A87">
        <w:rPr>
          <w:lang w:val="fr-FR"/>
        </w:rPr>
        <w:t>contributes</w:t>
      </w:r>
      <w:proofErr w:type="spellEnd"/>
      <w:r w:rsidRPr="00CE2A87">
        <w:rPr>
          <w:lang w:val="fr-FR"/>
        </w:rPr>
        <w:t xml:space="preserve"> to </w:t>
      </w:r>
      <w:proofErr w:type="spellStart"/>
      <w:r w:rsidRPr="00CE2A87">
        <w:rPr>
          <w:lang w:val="fr-FR"/>
        </w:rPr>
        <w:t>solving</w:t>
      </w:r>
      <w:proofErr w:type="spellEnd"/>
      <w:r w:rsidRPr="00CE2A87">
        <w:rPr>
          <w:lang w:val="fr-FR"/>
        </w:rPr>
        <w:t xml:space="preserve"> global challenges by </w:t>
      </w:r>
      <w:proofErr w:type="spellStart"/>
      <w:r w:rsidRPr="00CE2A87">
        <w:rPr>
          <w:lang w:val="fr-FR"/>
        </w:rPr>
        <w:t>educating</w:t>
      </w:r>
      <w:proofErr w:type="spellEnd"/>
      <w:r w:rsidRPr="00CE2A87">
        <w:rPr>
          <w:lang w:val="fr-FR"/>
        </w:rPr>
        <w:t xml:space="preserve"> new </w:t>
      </w:r>
      <w:proofErr w:type="spellStart"/>
      <w:r w:rsidRPr="00CE2A87">
        <w:rPr>
          <w:lang w:val="fr-FR"/>
        </w:rPr>
        <w:t>generations</w:t>
      </w:r>
      <w:proofErr w:type="spellEnd"/>
      <w:r w:rsidRPr="00CE2A87">
        <w:rPr>
          <w:lang w:val="fr-FR"/>
        </w:rPr>
        <w:t xml:space="preserve"> of </w:t>
      </w:r>
      <w:proofErr w:type="spellStart"/>
      <w:r w:rsidRPr="00CE2A87">
        <w:rPr>
          <w:lang w:val="fr-FR"/>
        </w:rPr>
        <w:t>socially</w:t>
      </w:r>
      <w:proofErr w:type="spellEnd"/>
      <w:r w:rsidRPr="00CE2A87">
        <w:rPr>
          <w:lang w:val="fr-FR"/>
        </w:rPr>
        <w:t xml:space="preserve"> </w:t>
      </w:r>
      <w:proofErr w:type="spellStart"/>
      <w:r w:rsidRPr="00CE2A87">
        <w:rPr>
          <w:lang w:val="fr-FR"/>
        </w:rPr>
        <w:t>responsible</w:t>
      </w:r>
      <w:proofErr w:type="spellEnd"/>
      <w:r w:rsidRPr="00CE2A87">
        <w:rPr>
          <w:lang w:val="fr-FR"/>
        </w:rPr>
        <w:t xml:space="preserve"> </w:t>
      </w:r>
      <w:proofErr w:type="spellStart"/>
      <w:r w:rsidRPr="00CE2A87">
        <w:rPr>
          <w:lang w:val="fr-FR"/>
        </w:rPr>
        <w:t>engineers</w:t>
      </w:r>
      <w:proofErr w:type="spellEnd"/>
      <w:r w:rsidRPr="00CE2A87">
        <w:rPr>
          <w:lang w:val="fr-FR"/>
        </w:rPr>
        <w:t xml:space="preserve"> and </w:t>
      </w:r>
      <w:proofErr w:type="spellStart"/>
      <w:r w:rsidRPr="00CE2A87">
        <w:rPr>
          <w:lang w:val="fr-FR"/>
        </w:rPr>
        <w:t>expanding</w:t>
      </w:r>
      <w:proofErr w:type="spellEnd"/>
      <w:r w:rsidRPr="00CE2A87">
        <w:rPr>
          <w:lang w:val="fr-FR"/>
        </w:rPr>
        <w:t xml:space="preserve"> the </w:t>
      </w:r>
      <w:proofErr w:type="spellStart"/>
      <w:r w:rsidRPr="00CE2A87">
        <w:rPr>
          <w:lang w:val="fr-FR"/>
        </w:rPr>
        <w:t>frontiers</w:t>
      </w:r>
      <w:proofErr w:type="spellEnd"/>
      <w:r w:rsidRPr="00CE2A87">
        <w:rPr>
          <w:lang w:val="fr-FR"/>
        </w:rPr>
        <w:t xml:space="preserve"> of the engineering sciences." </w:t>
      </w:r>
      <w:proofErr w:type="spellStart"/>
      <w:r w:rsidRPr="00CE2A87">
        <w:rPr>
          <w:lang w:val="fr-FR"/>
        </w:rPr>
        <w:t>We</w:t>
      </w:r>
      <w:proofErr w:type="spellEnd"/>
      <w:r w:rsidRPr="00CE2A87">
        <w:rPr>
          <w:lang w:val="fr-FR"/>
        </w:rPr>
        <w:t xml:space="preserve"> </w:t>
      </w:r>
      <w:proofErr w:type="spellStart"/>
      <w:r w:rsidRPr="00CE2A87">
        <w:rPr>
          <w:lang w:val="fr-FR"/>
        </w:rPr>
        <w:t>acknowledge</w:t>
      </w:r>
      <w:proofErr w:type="spellEnd"/>
      <w:r w:rsidRPr="00CE2A87">
        <w:rPr>
          <w:lang w:val="fr-FR"/>
        </w:rPr>
        <w:t xml:space="preserve"> </w:t>
      </w:r>
      <w:proofErr w:type="spellStart"/>
      <w:r w:rsidRPr="00CE2A87">
        <w:rPr>
          <w:lang w:val="fr-FR"/>
        </w:rPr>
        <w:t>that</w:t>
      </w:r>
      <w:proofErr w:type="spellEnd"/>
      <w:r w:rsidRPr="00CE2A87">
        <w:rPr>
          <w:lang w:val="fr-FR"/>
        </w:rPr>
        <w:t xml:space="preserve"> </w:t>
      </w:r>
      <w:proofErr w:type="spellStart"/>
      <w:r w:rsidRPr="00CE2A87">
        <w:rPr>
          <w:lang w:val="fr-FR"/>
        </w:rPr>
        <w:t>this</w:t>
      </w:r>
      <w:proofErr w:type="spellEnd"/>
      <w:r w:rsidRPr="00CE2A87">
        <w:rPr>
          <w:lang w:val="fr-FR"/>
        </w:rPr>
        <w:t xml:space="preserve"> </w:t>
      </w:r>
      <w:proofErr w:type="spellStart"/>
      <w:r w:rsidRPr="00CE2A87">
        <w:rPr>
          <w:lang w:val="fr-FR"/>
        </w:rPr>
        <w:t>requires</w:t>
      </w:r>
      <w:proofErr w:type="spellEnd"/>
      <w:r w:rsidRPr="00CE2A87">
        <w:rPr>
          <w:lang w:val="fr-FR"/>
        </w:rPr>
        <w:t xml:space="preserve"> </w:t>
      </w:r>
      <w:proofErr w:type="spellStart"/>
      <w:r w:rsidRPr="00CE2A87">
        <w:rPr>
          <w:lang w:val="fr-FR"/>
        </w:rPr>
        <w:t>deep</w:t>
      </w:r>
      <w:proofErr w:type="spellEnd"/>
      <w:r w:rsidRPr="00CE2A87">
        <w:rPr>
          <w:lang w:val="fr-FR"/>
        </w:rPr>
        <w:t xml:space="preserve"> content </w:t>
      </w:r>
      <w:proofErr w:type="spellStart"/>
      <w:r w:rsidRPr="00CE2A87">
        <w:rPr>
          <w:lang w:val="fr-FR"/>
        </w:rPr>
        <w:t>knowledge</w:t>
      </w:r>
      <w:proofErr w:type="spellEnd"/>
      <w:r w:rsidRPr="00CE2A87">
        <w:rPr>
          <w:lang w:val="fr-FR"/>
        </w:rPr>
        <w:t xml:space="preserve"> of (one or multiple) </w:t>
      </w:r>
      <w:proofErr w:type="spellStart"/>
      <w:r w:rsidRPr="00CE2A87">
        <w:rPr>
          <w:lang w:val="fr-FR"/>
        </w:rPr>
        <w:t>disciplinary</w:t>
      </w:r>
      <w:proofErr w:type="spellEnd"/>
      <w:r w:rsidRPr="00CE2A87">
        <w:rPr>
          <w:lang w:val="fr-FR"/>
        </w:rPr>
        <w:t xml:space="preserve"> </w:t>
      </w:r>
      <w:proofErr w:type="spellStart"/>
      <w:r w:rsidRPr="00CE2A87">
        <w:rPr>
          <w:lang w:val="fr-FR"/>
        </w:rPr>
        <w:t>fields</w:t>
      </w:r>
      <w:proofErr w:type="spellEnd"/>
      <w:r w:rsidRPr="00CE2A87">
        <w:rPr>
          <w:lang w:val="fr-FR"/>
        </w:rPr>
        <w:t xml:space="preserve"> </w:t>
      </w:r>
      <w:proofErr w:type="spellStart"/>
      <w:r w:rsidRPr="00CE2A87">
        <w:rPr>
          <w:lang w:val="fr-FR"/>
        </w:rPr>
        <w:t>channelled</w:t>
      </w:r>
      <w:proofErr w:type="spellEnd"/>
      <w:r w:rsidRPr="00CE2A87">
        <w:rPr>
          <w:lang w:val="fr-FR"/>
        </w:rPr>
        <w:t xml:space="preserve"> and </w:t>
      </w:r>
      <w:proofErr w:type="spellStart"/>
      <w:r w:rsidRPr="00CE2A87">
        <w:rPr>
          <w:lang w:val="fr-FR"/>
        </w:rPr>
        <w:t>also</w:t>
      </w:r>
      <w:proofErr w:type="spellEnd"/>
      <w:r w:rsidRPr="00CE2A87">
        <w:rPr>
          <w:lang w:val="fr-FR"/>
        </w:rPr>
        <w:t xml:space="preserve"> a </w:t>
      </w:r>
      <w:proofErr w:type="spellStart"/>
      <w:r w:rsidRPr="00CE2A87">
        <w:rPr>
          <w:lang w:val="fr-FR"/>
        </w:rPr>
        <w:t>wider</w:t>
      </w:r>
      <w:proofErr w:type="spellEnd"/>
      <w:r w:rsidRPr="00CE2A87">
        <w:rPr>
          <w:lang w:val="fr-FR"/>
        </w:rPr>
        <w:t xml:space="preserve"> </w:t>
      </w:r>
      <w:proofErr w:type="spellStart"/>
      <w:r w:rsidRPr="00CE2A87">
        <w:rPr>
          <w:lang w:val="fr-FR"/>
        </w:rPr>
        <w:t>view</w:t>
      </w:r>
      <w:proofErr w:type="spellEnd"/>
      <w:r w:rsidRPr="00CE2A87">
        <w:rPr>
          <w:lang w:val="fr-FR"/>
        </w:rPr>
        <w:t xml:space="preserve"> of the social-</w:t>
      </w:r>
      <w:proofErr w:type="spellStart"/>
      <w:r w:rsidRPr="00CE2A87">
        <w:rPr>
          <w:lang w:val="fr-FR"/>
        </w:rPr>
        <w:t>economic</w:t>
      </w:r>
      <w:proofErr w:type="spellEnd"/>
      <w:r w:rsidRPr="00CE2A87">
        <w:rPr>
          <w:lang w:val="fr-FR"/>
        </w:rPr>
        <w:t xml:space="preserve"> and </w:t>
      </w:r>
      <w:proofErr w:type="spellStart"/>
      <w:r w:rsidRPr="00CE2A87">
        <w:rPr>
          <w:lang w:val="fr-FR"/>
        </w:rPr>
        <w:t>technical</w:t>
      </w:r>
      <w:proofErr w:type="spellEnd"/>
      <w:r w:rsidRPr="00CE2A87">
        <w:rPr>
          <w:lang w:val="fr-FR"/>
        </w:rPr>
        <w:t xml:space="preserve"> </w:t>
      </w:r>
      <w:proofErr w:type="spellStart"/>
      <w:r w:rsidRPr="00CE2A87">
        <w:rPr>
          <w:lang w:val="fr-FR"/>
        </w:rPr>
        <w:t>ecosystem</w:t>
      </w:r>
      <w:proofErr w:type="spellEnd"/>
      <w:r w:rsidRPr="00CE2A87">
        <w:rPr>
          <w:lang w:val="fr-FR"/>
        </w:rPr>
        <w:t xml:space="preserve"> in </w:t>
      </w:r>
      <w:proofErr w:type="spellStart"/>
      <w:r w:rsidRPr="00CE2A87">
        <w:rPr>
          <w:lang w:val="fr-FR"/>
        </w:rPr>
        <w:t>which</w:t>
      </w:r>
      <w:proofErr w:type="spellEnd"/>
      <w:r w:rsidRPr="00CE2A87">
        <w:rPr>
          <w:lang w:val="fr-FR"/>
        </w:rPr>
        <w:t xml:space="preserve"> </w:t>
      </w:r>
      <w:proofErr w:type="spellStart"/>
      <w:r w:rsidRPr="00CE2A87">
        <w:rPr>
          <w:lang w:val="fr-FR"/>
        </w:rPr>
        <w:t>such</w:t>
      </w:r>
      <w:proofErr w:type="spellEnd"/>
      <w:r w:rsidRPr="00CE2A87">
        <w:rPr>
          <w:lang w:val="fr-FR"/>
        </w:rPr>
        <w:t xml:space="preserve"> </w:t>
      </w:r>
      <w:proofErr w:type="spellStart"/>
      <w:r w:rsidRPr="00CE2A87">
        <w:rPr>
          <w:lang w:val="fr-FR"/>
        </w:rPr>
        <w:t>deep</w:t>
      </w:r>
      <w:proofErr w:type="spellEnd"/>
      <w:r w:rsidRPr="00CE2A87">
        <w:rPr>
          <w:lang w:val="fr-FR"/>
        </w:rPr>
        <w:t xml:space="preserve"> content </w:t>
      </w:r>
      <w:proofErr w:type="spellStart"/>
      <w:r w:rsidRPr="00CE2A87">
        <w:rPr>
          <w:lang w:val="fr-FR"/>
        </w:rPr>
        <w:t>knowledge</w:t>
      </w:r>
      <w:proofErr w:type="spellEnd"/>
      <w:r w:rsidRPr="00CE2A87">
        <w:rPr>
          <w:lang w:val="fr-FR"/>
        </w:rPr>
        <w:t xml:space="preserve"> can </w:t>
      </w:r>
      <w:proofErr w:type="spellStart"/>
      <w:r w:rsidRPr="00CE2A87">
        <w:rPr>
          <w:lang w:val="fr-FR"/>
        </w:rPr>
        <w:t>be</w:t>
      </w:r>
      <w:proofErr w:type="spellEnd"/>
      <w:r w:rsidRPr="00CE2A87">
        <w:rPr>
          <w:lang w:val="fr-FR"/>
        </w:rPr>
        <w:t xml:space="preserve"> </w:t>
      </w:r>
      <w:proofErr w:type="spellStart"/>
      <w:r w:rsidRPr="00CE2A87">
        <w:rPr>
          <w:lang w:val="fr-FR"/>
        </w:rPr>
        <w:t>channelled</w:t>
      </w:r>
      <w:proofErr w:type="spellEnd"/>
      <w:r w:rsidRPr="00CE2A87">
        <w:rPr>
          <w:lang w:val="fr-FR"/>
        </w:rPr>
        <w:t xml:space="preserve"> </w:t>
      </w:r>
      <w:proofErr w:type="spellStart"/>
      <w:r w:rsidRPr="00CE2A87">
        <w:rPr>
          <w:lang w:val="fr-FR"/>
        </w:rPr>
        <w:t>into</w:t>
      </w:r>
      <w:proofErr w:type="spellEnd"/>
      <w:r w:rsidRPr="00CE2A87">
        <w:rPr>
          <w:lang w:val="fr-FR"/>
        </w:rPr>
        <w:t xml:space="preserve"> </w:t>
      </w:r>
      <w:proofErr w:type="spellStart"/>
      <w:r w:rsidRPr="00CE2A87">
        <w:rPr>
          <w:lang w:val="fr-FR"/>
        </w:rPr>
        <w:t>useful</w:t>
      </w:r>
      <w:proofErr w:type="spellEnd"/>
      <w:r w:rsidRPr="00CE2A87">
        <w:rPr>
          <w:lang w:val="fr-FR"/>
        </w:rPr>
        <w:t xml:space="preserve"> (and </w:t>
      </w:r>
      <w:proofErr w:type="spellStart"/>
      <w:r w:rsidRPr="00CE2A87">
        <w:rPr>
          <w:lang w:val="fr-FR"/>
        </w:rPr>
        <w:t>possibly</w:t>
      </w:r>
      <w:proofErr w:type="spellEnd"/>
      <w:r w:rsidRPr="00CE2A87">
        <w:rPr>
          <w:lang w:val="fr-FR"/>
        </w:rPr>
        <w:t xml:space="preserve"> </w:t>
      </w:r>
      <w:proofErr w:type="spellStart"/>
      <w:r w:rsidRPr="00CE2A87">
        <w:rPr>
          <w:lang w:val="fr-FR"/>
        </w:rPr>
        <w:t>also</w:t>
      </w:r>
      <w:proofErr w:type="spellEnd"/>
      <w:r w:rsidRPr="00CE2A87">
        <w:rPr>
          <w:lang w:val="fr-FR"/>
        </w:rPr>
        <w:t xml:space="preserve"> </w:t>
      </w:r>
      <w:proofErr w:type="spellStart"/>
      <w:r w:rsidRPr="00CE2A87">
        <w:rPr>
          <w:lang w:val="fr-FR"/>
        </w:rPr>
        <w:t>socially</w:t>
      </w:r>
      <w:proofErr w:type="spellEnd"/>
      <w:r w:rsidRPr="00CE2A87">
        <w:rPr>
          <w:lang w:val="fr-FR"/>
        </w:rPr>
        <w:t xml:space="preserve"> </w:t>
      </w:r>
      <w:proofErr w:type="spellStart"/>
      <w:r w:rsidRPr="00CE2A87">
        <w:rPr>
          <w:lang w:val="fr-FR"/>
        </w:rPr>
        <w:t>responsible</w:t>
      </w:r>
      <w:proofErr w:type="spellEnd"/>
      <w:r w:rsidRPr="00CE2A87">
        <w:rPr>
          <w:lang w:val="fr-FR"/>
        </w:rPr>
        <w:t xml:space="preserve">) contributions to </w:t>
      </w:r>
      <w:proofErr w:type="spellStart"/>
      <w:r w:rsidRPr="00CE2A87">
        <w:rPr>
          <w:lang w:val="fr-FR"/>
        </w:rPr>
        <w:t>solving</w:t>
      </w:r>
      <w:proofErr w:type="spellEnd"/>
      <w:r w:rsidRPr="00CE2A87">
        <w:rPr>
          <w:lang w:val="fr-FR"/>
        </w:rPr>
        <w:t xml:space="preserve"> global challenges. </w:t>
      </w:r>
    </w:p>
    <w:p w14:paraId="604FBD38" w14:textId="77777777" w:rsidR="00CE2A87" w:rsidRDefault="00CE2A87" w:rsidP="00CE2A87">
      <w:pPr>
        <w:pStyle w:val="BodyText"/>
        <w:rPr>
          <w:lang w:val="fr-FR"/>
        </w:rPr>
      </w:pPr>
    </w:p>
    <w:p w14:paraId="5A18BB39" w14:textId="77777777" w:rsidR="006C677B" w:rsidRDefault="006C677B">
      <w:pPr>
        <w:pStyle w:val="BodyText"/>
        <w:rPr>
          <w:lang w:val="fr-FR"/>
        </w:rPr>
      </w:pPr>
    </w:p>
    <w:p w14:paraId="58DC095E" w14:textId="77777777" w:rsidR="00CE2A87" w:rsidRPr="00CE2A87" w:rsidRDefault="00CE2A87" w:rsidP="00CE2A87">
      <w:pPr>
        <w:pStyle w:val="Heading3"/>
        <w:rPr>
          <w:lang w:val="en-GB"/>
        </w:rPr>
      </w:pPr>
      <w:r w:rsidRPr="00CE2A87">
        <w:rPr>
          <w:lang w:val="en-GB"/>
        </w:rPr>
        <w:lastRenderedPageBreak/>
        <w:t>T-shaped profiles for all our students?</w:t>
      </w:r>
    </w:p>
    <w:p w14:paraId="0C603E0F" w14:textId="77777777" w:rsidR="00CE2A87" w:rsidRPr="00CE2A87" w:rsidRDefault="00CE2A87" w:rsidP="00CE2A87">
      <w:pPr>
        <w:pStyle w:val="BodyText"/>
        <w:rPr>
          <w:i/>
          <w:iCs/>
          <w:lang w:val="en-GB"/>
        </w:rPr>
      </w:pPr>
      <w:r w:rsidRPr="00CE2A87">
        <w:rPr>
          <w:lang w:val="en-GB"/>
        </w:rPr>
        <w:t>This 'T-shaped profile'</w:t>
      </w:r>
      <w:r w:rsidRPr="00CE2A87">
        <w:rPr>
          <w:vertAlign w:val="superscript"/>
          <w:lang w:val="en-GB"/>
        </w:rPr>
        <w:footnoteReference w:id="1"/>
      </w:r>
      <w:r w:rsidRPr="00CE2A87">
        <w:rPr>
          <w:lang w:val="en-GB"/>
        </w:rPr>
        <w:t xml:space="preserve">( where the deep disciplinary or content knowledge is represented as the vertical part of the T, while the horizontal line corresponds to competencies that are crossing disciplinary boundaries) is also acknowledged within the strategic plan, through which </w:t>
      </w:r>
      <w:r w:rsidRPr="00CE2A87">
        <w:rPr>
          <w:i/>
          <w:iCs/>
          <w:lang w:val="en-GB"/>
        </w:rPr>
        <w:t>"[…] our graduates acquire a thorough and in-depth disciplinary knowledge, while at the same time (usually in the minor and MSc programme) familiarising themselves with other disciplines and developing competences in the application of technical expertise to 'real world' complexities."</w:t>
      </w:r>
    </w:p>
    <w:p w14:paraId="52AF755C" w14:textId="77777777" w:rsidR="00CE2A87" w:rsidRPr="00CA4B6F" w:rsidRDefault="00CE2A87" w:rsidP="00CE2A87">
      <w:pPr>
        <w:spacing w:line="276" w:lineRule="auto"/>
        <w:jc w:val="center"/>
      </w:pPr>
      <w:r w:rsidRPr="00AE3C16">
        <w:rPr>
          <w:noProof/>
        </w:rPr>
        <w:drawing>
          <wp:inline distT="0" distB="0" distL="0" distR="0" wp14:anchorId="26C3DF67" wp14:editId="435E437E">
            <wp:extent cx="3209925" cy="3344057"/>
            <wp:effectExtent l="0" t="0" r="0" b="8890"/>
            <wp:docPr id="265518890" name="Picture 1" descr="A diagram of a 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18890" name="Picture 1" descr="A diagram of a 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212276" cy="3346506"/>
                    </a:xfrm>
                    <a:prstGeom prst="rect">
                      <a:avLst/>
                    </a:prstGeom>
                  </pic:spPr>
                </pic:pic>
              </a:graphicData>
            </a:graphic>
          </wp:inline>
        </w:drawing>
      </w:r>
    </w:p>
    <w:p w14:paraId="274C6496" w14:textId="4EF62EE1" w:rsidR="006C677B" w:rsidRDefault="00CE2A87" w:rsidP="00CE2A87">
      <w:pPr>
        <w:spacing w:line="276" w:lineRule="auto"/>
        <w:jc w:val="center"/>
        <w:rPr>
          <w:rFonts w:ascii="Futura" w:hAnsi="Futura"/>
          <w:lang w:val="fr-FR"/>
        </w:rPr>
      </w:pPr>
      <w:r>
        <w:t xml:space="preserve">Figure </w:t>
      </w:r>
      <w:r>
        <w:fldChar w:fldCharType="begin"/>
      </w:r>
      <w:r>
        <w:instrText>SEQ Figura \* ARABIC</w:instrText>
      </w:r>
      <w:r>
        <w:fldChar w:fldCharType="separate"/>
      </w:r>
      <w:r>
        <w:t>1</w:t>
      </w:r>
      <w:r>
        <w:fldChar w:fldCharType="end"/>
      </w:r>
      <w:r>
        <w:t xml:space="preserve"> </w:t>
      </w:r>
      <w:r w:rsidRPr="00CA4B6F">
        <w:rPr>
          <w:sz w:val="16"/>
        </w:rPr>
        <w:t>: The T-shaped profile</w:t>
      </w:r>
      <w:r w:rsidRPr="00CA4B6F">
        <w:t xml:space="preserve"> </w:t>
      </w:r>
      <w:r w:rsidRPr="00CA4B6F">
        <w:rPr>
          <w:sz w:val="16"/>
        </w:rPr>
        <w:t>(source: https://corporatefinanceinstitute.com/resources/management/t-shaped-skills/)</w:t>
      </w:r>
    </w:p>
    <w:p w14:paraId="3583F72E" w14:textId="77777777" w:rsidR="00CE2A87" w:rsidRPr="00CE2A87" w:rsidRDefault="00CE2A87" w:rsidP="00CE2A87">
      <w:pPr>
        <w:pStyle w:val="BodyText"/>
        <w:rPr>
          <w:lang w:val="en-GB"/>
        </w:rPr>
      </w:pPr>
      <w:r w:rsidRPr="00CE2A87">
        <w:rPr>
          <w:lang w:val="en-GB"/>
        </w:rPr>
        <w:t xml:space="preserve">We can discuss to what extent this is the case, but more reliable is perhaps a short overview of student perspectives on this matter. We quote </w:t>
      </w:r>
      <w:r w:rsidRPr="00CE2A87">
        <w:rPr>
          <w:lang w:val="en-GB"/>
        </w:rPr>
        <w:t xml:space="preserve">experiences from five students who were enrolled in the Communication Design for Innovation MSc program at the time of writing the first version of the article. Most students followed the CDI Master track as a double degree MSc program in conjunction with another engineering program at the TU Delft. This program focused on teaching theories from various fields, including responsible research and innovation, science communication, team science, and competencies such as design, teamwork and social science research skills, but more importantly, to take into account societal aspects in designing new solutions. Therefore after finishing this Master track as a double degree, engineers had a deep disciplinary and a broad inter- or transdisciplinary knowledge and skills. These quotes were collected from the students ironically just before the Faculty decided to close this Master's track. </w:t>
      </w:r>
    </w:p>
    <w:p w14:paraId="22AE8072" w14:textId="77777777" w:rsidR="00CE2A87" w:rsidRPr="00CE2A87" w:rsidRDefault="00CE2A87" w:rsidP="00CE2A87">
      <w:pPr>
        <w:pStyle w:val="BodyText"/>
        <w:numPr>
          <w:ilvl w:val="0"/>
          <w:numId w:val="7"/>
        </w:numPr>
        <w:rPr>
          <w:i/>
          <w:iCs/>
          <w:lang w:val="en-GB"/>
        </w:rPr>
      </w:pPr>
      <w:r w:rsidRPr="00CE2A87">
        <w:rPr>
          <w:i/>
          <w:iCs/>
          <w:lang w:val="en-GB"/>
        </w:rPr>
        <w:t>I've become significantly more open to a wider spectrum of viewpoints in my work as an engineer. No longer am I only focused on the solution to a problem but also on the process, the people involved and how those people feel and interact.</w:t>
      </w:r>
    </w:p>
    <w:p w14:paraId="1B825C00" w14:textId="77777777" w:rsidR="00CE2A87" w:rsidRPr="00CE2A87" w:rsidRDefault="00CE2A87" w:rsidP="00CE2A87">
      <w:pPr>
        <w:pStyle w:val="BodyText"/>
        <w:numPr>
          <w:ilvl w:val="0"/>
          <w:numId w:val="7"/>
        </w:numPr>
        <w:rPr>
          <w:i/>
          <w:iCs/>
          <w:lang w:val="en-GB"/>
        </w:rPr>
      </w:pPr>
      <w:r w:rsidRPr="00CE2A87">
        <w:rPr>
          <w:i/>
          <w:iCs/>
          <w:lang w:val="en-GB"/>
        </w:rPr>
        <w:t>I have only been in the program for a month and it already recontextualises so much of my previous experiences within and outside academia. I am of the opinion that certain parts of this master's program should be included in every other master's program as well.</w:t>
      </w:r>
    </w:p>
    <w:p w14:paraId="73102385" w14:textId="77777777" w:rsidR="00CE2A87" w:rsidRPr="00CE2A87" w:rsidRDefault="00CE2A87" w:rsidP="00CE2A87">
      <w:pPr>
        <w:pStyle w:val="BodyText"/>
        <w:numPr>
          <w:ilvl w:val="0"/>
          <w:numId w:val="7"/>
        </w:numPr>
        <w:rPr>
          <w:i/>
          <w:iCs/>
          <w:lang w:val="en-GB"/>
        </w:rPr>
      </w:pPr>
      <w:r w:rsidRPr="00CE2A87">
        <w:rPr>
          <w:i/>
          <w:iCs/>
          <w:lang w:val="en-GB"/>
        </w:rPr>
        <w:t>Having technical skills does not always mean that you know how to put these skills to use. When I talk about the CDI programme to other students of TU Delft, the only reaction I get is that they wish they knew this programme existed.</w:t>
      </w:r>
    </w:p>
    <w:p w14:paraId="4D2F9602" w14:textId="77777777" w:rsidR="00CE2A87" w:rsidRPr="00CE2A87" w:rsidRDefault="00CE2A87" w:rsidP="00CE2A87">
      <w:pPr>
        <w:pStyle w:val="BodyText"/>
        <w:numPr>
          <w:ilvl w:val="0"/>
          <w:numId w:val="7"/>
        </w:numPr>
        <w:rPr>
          <w:i/>
          <w:iCs/>
          <w:lang w:val="en-GB"/>
        </w:rPr>
      </w:pPr>
      <w:r w:rsidRPr="00CE2A87">
        <w:rPr>
          <w:i/>
          <w:iCs/>
          <w:lang w:val="en-GB"/>
        </w:rPr>
        <w:lastRenderedPageBreak/>
        <w:t>In short, the added value of the CDI programme lies not only in the addition of an important skill set but also in a way of thinking and behaving when working in the scientific field.</w:t>
      </w:r>
    </w:p>
    <w:p w14:paraId="359AABC2" w14:textId="77777777" w:rsidR="00CE2A87" w:rsidRPr="00CE2A87" w:rsidRDefault="00CE2A87" w:rsidP="00CE2A87">
      <w:pPr>
        <w:pStyle w:val="BodyText"/>
        <w:numPr>
          <w:ilvl w:val="0"/>
          <w:numId w:val="7"/>
        </w:numPr>
        <w:rPr>
          <w:i/>
          <w:iCs/>
          <w:lang w:val="en-GB"/>
        </w:rPr>
      </w:pPr>
      <w:r w:rsidRPr="00CE2A87">
        <w:rPr>
          <w:i/>
          <w:iCs/>
          <w:lang w:val="en-GB"/>
        </w:rPr>
        <w:t xml:space="preserve">I'd say it's by far the most complete education I've received so far because it not only taught me valuable knowledge and communicative skills but also improved my creativity and confidence and showed me how to use all this to initiate change in complex systems.  </w:t>
      </w:r>
    </w:p>
    <w:p w14:paraId="09BC13F0" w14:textId="77777777" w:rsidR="00CE2A87" w:rsidRPr="00CE2A87" w:rsidRDefault="00CE2A87" w:rsidP="00CE2A87">
      <w:pPr>
        <w:pStyle w:val="BodyText"/>
        <w:rPr>
          <w:lang w:val="en-GB"/>
        </w:rPr>
      </w:pPr>
      <w:r w:rsidRPr="00CE2A87">
        <w:rPr>
          <w:lang w:val="en-GB"/>
        </w:rPr>
        <w:t xml:space="preserve">By extension, these descriptions all imply that in their technical / engineering programs, such broadening modes of thinking are largely lacking. But they also imply that if you don't know that you miss these broadening mindsets and skills, you are also not likely to go look for them. </w:t>
      </w:r>
    </w:p>
    <w:p w14:paraId="0F55853A" w14:textId="77777777" w:rsidR="00CE2A87" w:rsidRPr="00CE2A87" w:rsidRDefault="00CE2A87" w:rsidP="00CE2A87">
      <w:pPr>
        <w:pStyle w:val="Heading3"/>
        <w:rPr>
          <w:lang w:val="en-GB"/>
        </w:rPr>
      </w:pPr>
      <w:r w:rsidRPr="00CE2A87">
        <w:rPr>
          <w:lang w:val="en-GB"/>
        </w:rPr>
        <w:t>Deep or wide profiles?</w:t>
      </w:r>
    </w:p>
    <w:p w14:paraId="5EE4CDE5" w14:textId="77777777" w:rsidR="00CE2A87" w:rsidRPr="00CE2A87" w:rsidRDefault="00CE2A87" w:rsidP="00CE2A87">
      <w:pPr>
        <w:pStyle w:val="BodyText"/>
        <w:rPr>
          <w:lang w:val="en-GB"/>
        </w:rPr>
      </w:pPr>
      <w:r w:rsidRPr="00CE2A87">
        <w:rPr>
          <w:lang w:val="en-GB"/>
        </w:rPr>
        <w:t>Still, while we think such T-shaped profile development is recommendable, the question is how deep and wide such Ts should be for students to best be able to address the global challenges that lie ahead. Since there is limited time and capacity within any curriculum, depth may come at the expense of width and vice versa.</w:t>
      </w:r>
    </w:p>
    <w:p w14:paraId="0ABBC381" w14:textId="77777777" w:rsidR="00CE2A87" w:rsidRPr="00CE2A87" w:rsidRDefault="00CE2A87" w:rsidP="00CE2A87">
      <w:pPr>
        <w:pStyle w:val="BodyText"/>
        <w:rPr>
          <w:lang w:val="en-GB"/>
        </w:rPr>
      </w:pPr>
      <w:r w:rsidRPr="00CE2A87">
        <w:rPr>
          <w:lang w:val="en-GB"/>
        </w:rPr>
        <w:t>Different perspectives seem to exist. There are those who argue that our task as educators is primarily to train content experts, and the focus in education should be to cover as much content-relevant knowledge as possible (possibly at the expense of a wider societal view). We find this 'empty vessel theory'</w:t>
      </w:r>
      <w:r w:rsidRPr="00CE2A87">
        <w:rPr>
          <w:vertAlign w:val="superscript"/>
          <w:lang w:val="en-GB"/>
        </w:rPr>
        <w:footnoteReference w:id="2"/>
      </w:r>
      <w:r w:rsidRPr="00CE2A87">
        <w:rPr>
          <w:lang w:val="en-GB"/>
        </w:rPr>
        <w:t xml:space="preserve"> for example at the Applied Physics master which contains advanced math, general advanced physics electives and specific MSc Track related electives, an internship and a thesis project; and to widen the T, an ethics and </w:t>
      </w:r>
      <w:r w:rsidRPr="00CE2A87">
        <w:rPr>
          <w:lang w:val="en-GB"/>
        </w:rPr>
        <w:t xml:space="preserve">engineering course (and possibly some room for other electives if the student so chooses). </w:t>
      </w:r>
    </w:p>
    <w:p w14:paraId="6047E242" w14:textId="77777777" w:rsidR="00CE2A87" w:rsidRPr="00CE2A87" w:rsidRDefault="00CE2A87" w:rsidP="00CE2A87">
      <w:pPr>
        <w:pStyle w:val="BodyText"/>
        <w:rPr>
          <w:lang w:val="en-GB"/>
        </w:rPr>
      </w:pPr>
      <w:r w:rsidRPr="00CE2A87">
        <w:rPr>
          <w:lang w:val="en-GB"/>
        </w:rPr>
        <w:t>Yet, there are others who argue that our task is to train experts who are open to the social-ethical and economic complexity of problem-solving associated with addressing global challenges. They offer programs like the MSc in Architecture, Urbanism and Building Sciences, with e.g. a track in Management of the Built Environment, that contains content-related courses around economics, management and law, but also courses that cover content against a wider societal background, around redesigning complex (urban / infrastructure) projects and much room for free electives.  </w:t>
      </w:r>
    </w:p>
    <w:p w14:paraId="40BFF93C" w14:textId="79F6775A" w:rsidR="00CE2A87" w:rsidRDefault="00CE2A87" w:rsidP="00CE2A87">
      <w:pPr>
        <w:pStyle w:val="BodyText"/>
        <w:rPr>
          <w:lang w:val="en-GB"/>
        </w:rPr>
      </w:pPr>
      <w:r w:rsidRPr="00CE2A87">
        <w:rPr>
          <w:lang w:val="en-GB"/>
        </w:rPr>
        <w:t>The question is then what the 'top of the T-shape' actually is. Does it comprise an overview of different sub-disciplines (Physics of Energy Materials, Chemistry and Physics of Solar Cells, Energy Storage in Batteries, Molecular Electronics, Nuclear Reactor Physics, and Materials Chemistry for the Nuclear Fuel Cycle, as part of an Applied Physics track) to help students develop a broader view on the discipline? Or an overview of different disciplines related to a wider global problem-solving perspective, like courses on actor and strategy models, intercultural relations and project management, ethics and impacts of global interventions and macroeconomics for policy analysis, as part of the MSc program in Engineering and Policy Analysis.</w:t>
      </w:r>
    </w:p>
    <w:p w14:paraId="61A65A8B" w14:textId="77777777" w:rsidR="00CE2A87" w:rsidRPr="00CE2A87" w:rsidRDefault="00CE2A87" w:rsidP="00CE2A87">
      <w:pPr>
        <w:pStyle w:val="BodyText"/>
        <w:rPr>
          <w:lang w:val="en-GB"/>
        </w:rPr>
      </w:pPr>
    </w:p>
    <w:p w14:paraId="1FC944EC" w14:textId="77777777" w:rsidR="00CE2A87" w:rsidRPr="00CE2A87" w:rsidRDefault="00CE2A87" w:rsidP="00CE2A87">
      <w:pPr>
        <w:pStyle w:val="Heading3"/>
        <w:rPr>
          <w:lang w:val="en-GB"/>
        </w:rPr>
      </w:pPr>
      <w:r w:rsidRPr="00CE2A87">
        <w:rPr>
          <w:lang w:val="en-GB"/>
        </w:rPr>
        <w:t xml:space="preserve">Science communication and team science: connecting the different disciplines </w:t>
      </w:r>
    </w:p>
    <w:p w14:paraId="0765C836" w14:textId="77777777" w:rsidR="00CE2A87" w:rsidRPr="00CE2A87" w:rsidRDefault="00CE2A87" w:rsidP="00CE2A87">
      <w:pPr>
        <w:pStyle w:val="BodyText"/>
        <w:rPr>
          <w:lang w:val="en-GB"/>
        </w:rPr>
      </w:pPr>
      <w:r w:rsidRPr="00CE2A87">
        <w:rPr>
          <w:lang w:val="en-GB"/>
        </w:rPr>
        <w:t xml:space="preserve">To solve complex societal challenges which have technical perspectives, we need to engage various stakeholders, listen to their ideas, and </w:t>
      </w:r>
      <w:r w:rsidRPr="00CE2A87">
        <w:rPr>
          <w:lang w:val="en-GB"/>
        </w:rPr>
        <w:lastRenderedPageBreak/>
        <w:t xml:space="preserve">integrate their knowledge and interests. For these, we need specific scientific knowledge, but also communication, collaboration and social </w:t>
      </w:r>
      <w:proofErr w:type="spellStart"/>
      <w:r w:rsidRPr="00CE2A87">
        <w:rPr>
          <w:lang w:val="en-GB"/>
        </w:rPr>
        <w:t>skills.If</w:t>
      </w:r>
      <w:proofErr w:type="spellEnd"/>
      <w:r w:rsidRPr="00CE2A87">
        <w:rPr>
          <w:lang w:val="en-GB"/>
        </w:rPr>
        <w:t xml:space="preserve"> we need to master these skills, amongst other 21</w:t>
      </w:r>
      <w:r w:rsidRPr="00CE2A87">
        <w:rPr>
          <w:vertAlign w:val="superscript"/>
          <w:lang w:val="en-GB"/>
        </w:rPr>
        <w:t>st</w:t>
      </w:r>
      <w:r w:rsidRPr="00CE2A87">
        <w:rPr>
          <w:lang w:val="en-GB"/>
        </w:rPr>
        <w:t xml:space="preserve">-century skills, such as problem-solving, design thinking and so on, we need to incorporate these into the education programmes. </w:t>
      </w:r>
    </w:p>
    <w:p w14:paraId="4C9293C3" w14:textId="77777777" w:rsidR="00CE2A87" w:rsidRPr="00CE2A87" w:rsidRDefault="00CE2A87" w:rsidP="00CE2A87">
      <w:pPr>
        <w:spacing w:line="276" w:lineRule="auto"/>
        <w:ind w:firstLine="720"/>
        <w:rPr>
          <w:rFonts w:ascii="Futura" w:hAnsi="Futura"/>
        </w:rPr>
      </w:pPr>
      <w:r w:rsidRPr="00CE2A87">
        <w:rPr>
          <w:rFonts w:ascii="Futura" w:hAnsi="Futura"/>
        </w:rPr>
        <w:t xml:space="preserve">Science communication is often counted as a skill to communicate scientific results to the wider public. We think differently. We believe that Science Communication is (or should be) a team project, an interdisciplinary collaboration of different stakeholders, such as communication experts, researchers, policymakers, librarians, artists, curators of </w:t>
      </w:r>
      <w:proofErr w:type="spellStart"/>
      <w:r w:rsidRPr="00CE2A87">
        <w:rPr>
          <w:rFonts w:ascii="Futura" w:hAnsi="Futura"/>
        </w:rPr>
        <w:t>musea</w:t>
      </w:r>
      <w:proofErr w:type="spellEnd"/>
      <w:r w:rsidRPr="00CE2A87">
        <w:rPr>
          <w:rFonts w:ascii="Futura" w:hAnsi="Futura"/>
        </w:rPr>
        <w:t>, and representatives of diverse citizen groups. People who are communicating with these stakeholders need to master social scientific research methods to gain information on their target groups.</w:t>
      </w:r>
      <w:r w:rsidRPr="00CE2A87">
        <w:rPr>
          <w:rStyle w:val="FootnoteReference"/>
          <w:rFonts w:ascii="Futura" w:hAnsi="Futura"/>
        </w:rPr>
        <w:footnoteReference w:id="3"/>
      </w:r>
      <w:r w:rsidRPr="00CE2A87">
        <w:rPr>
          <w:rFonts w:ascii="Futura" w:hAnsi="Futura"/>
        </w:rPr>
        <w:t xml:space="preserve"> What is important for them? How do they make decisions? Why are they against or for some improvements? Then they also need methodological knowledge on how to perform good public engagement, citizen science or participatory design projects. Science communication is therefore not just a skill on how to talk to a wider public. Although there are science communication tracks or specifications at several universities, science communication should be incorporated into every academic BSc and MSc </w:t>
      </w:r>
      <w:proofErr w:type="spellStart"/>
      <w:r w:rsidRPr="00CE2A87">
        <w:rPr>
          <w:rFonts w:ascii="Futura" w:hAnsi="Futura"/>
        </w:rPr>
        <w:t>programmes</w:t>
      </w:r>
      <w:proofErr w:type="spellEnd"/>
      <w:r w:rsidRPr="00CE2A87">
        <w:rPr>
          <w:rFonts w:ascii="Futura" w:hAnsi="Futura"/>
        </w:rPr>
        <w:t xml:space="preserve">. </w:t>
      </w:r>
    </w:p>
    <w:p w14:paraId="2E3B8E23" w14:textId="77777777" w:rsidR="00CE2A87" w:rsidRPr="00CE2A87" w:rsidRDefault="00CE2A87" w:rsidP="00CE2A87">
      <w:pPr>
        <w:spacing w:line="276" w:lineRule="auto"/>
        <w:rPr>
          <w:rFonts w:ascii="Futura" w:hAnsi="Futura"/>
        </w:rPr>
      </w:pPr>
      <w:r w:rsidRPr="00CE2A87">
        <w:rPr>
          <w:rFonts w:ascii="Futura" w:hAnsi="Futura"/>
        </w:rPr>
        <w:t xml:space="preserve">Teamwork is already part of several BSc and MSc </w:t>
      </w:r>
      <w:proofErr w:type="spellStart"/>
      <w:r w:rsidRPr="00CE2A87">
        <w:rPr>
          <w:rFonts w:ascii="Futura" w:hAnsi="Futura"/>
        </w:rPr>
        <w:t>programmes</w:t>
      </w:r>
      <w:proofErr w:type="spellEnd"/>
      <w:r w:rsidRPr="00CE2A87">
        <w:rPr>
          <w:rFonts w:ascii="Futura" w:hAnsi="Futura"/>
        </w:rPr>
        <w:t xml:space="preserve">. But do the students who are asked to perform teamwork learn how to do that? Are they coached properly? Or do we just let them do it, expecting that they learn it by doing? How do we help them when they consider difficulties if the lecturers or teaching </w:t>
      </w:r>
      <w:r w:rsidRPr="00CE2A87">
        <w:rPr>
          <w:rFonts w:ascii="Futura" w:hAnsi="Futura"/>
        </w:rPr>
        <w:t>assistants do not have any background in team science?</w:t>
      </w:r>
    </w:p>
    <w:p w14:paraId="3DC89694" w14:textId="77777777" w:rsidR="00CE2A87" w:rsidRPr="00CE2A87" w:rsidRDefault="00CE2A87" w:rsidP="00CE2A87">
      <w:pPr>
        <w:spacing w:line="276" w:lineRule="auto"/>
        <w:rPr>
          <w:rFonts w:ascii="Futura" w:hAnsi="Futura"/>
        </w:rPr>
      </w:pPr>
      <w:r w:rsidRPr="00CE2A87">
        <w:rPr>
          <w:rFonts w:ascii="Futura" w:hAnsi="Futura"/>
        </w:rPr>
        <w:t xml:space="preserve">Project- and challenge-based education is trending over technical universities. TU Eindhoven won the </w:t>
      </w:r>
      <w:hyperlink r:id="rId13" w:tgtFrame="_blank" w:history="1">
        <w:r w:rsidRPr="00CE2A87">
          <w:rPr>
            <w:rStyle w:val="Hyperlink"/>
            <w:rFonts w:ascii="Futura" w:hAnsi="Futura"/>
          </w:rPr>
          <w:t>Dutch Higher Education Awards</w:t>
        </w:r>
      </w:hyperlink>
      <w:r w:rsidRPr="00CE2A87">
        <w:rPr>
          <w:rFonts w:ascii="Futura" w:hAnsi="Futura"/>
        </w:rPr>
        <w:t xml:space="preserve"> for this type of education. In project-based courses or </w:t>
      </w:r>
      <w:proofErr w:type="spellStart"/>
      <w:r w:rsidRPr="00CE2A87">
        <w:rPr>
          <w:rFonts w:ascii="Futura" w:hAnsi="Futura"/>
        </w:rPr>
        <w:t>programmes</w:t>
      </w:r>
      <w:proofErr w:type="spellEnd"/>
      <w:r w:rsidRPr="00CE2A87">
        <w:rPr>
          <w:rFonts w:ascii="Futura" w:hAnsi="Futura"/>
        </w:rPr>
        <w:t xml:space="preserve">, student teams work on a project for a client, defining their own learning path, and creating a prototype as a solution for the actual problem. It provides the possibility to learn and practice the skills needed for inter- and transdisciplinary collaborations. Setting up such </w:t>
      </w:r>
      <w:proofErr w:type="spellStart"/>
      <w:r w:rsidRPr="00CE2A87">
        <w:rPr>
          <w:rFonts w:ascii="Futura" w:hAnsi="Futura"/>
        </w:rPr>
        <w:t>programmes</w:t>
      </w:r>
      <w:proofErr w:type="spellEnd"/>
      <w:r w:rsidRPr="00CE2A87">
        <w:rPr>
          <w:rFonts w:ascii="Futura" w:hAnsi="Futura"/>
        </w:rPr>
        <w:t xml:space="preserve"> or courses requires a lot of effort from the education designers, and giving such education demands another perspective of teaching: coaching teams. It is a special expertise with special knowledge in the science of team science. This new scientific discipline collects knowledge basis on team dynamics, important factors that determine the effectiveness of teams. We do not have to reinvent the wheel, just apply the knowledge collected on teams. </w:t>
      </w:r>
    </w:p>
    <w:p w14:paraId="0AE04D3C" w14:textId="77777777" w:rsidR="00CE2A87" w:rsidRPr="00CE2A87" w:rsidRDefault="00CE2A87" w:rsidP="00CE2A87">
      <w:pPr>
        <w:pStyle w:val="Heading3"/>
        <w:rPr>
          <w:lang w:val="en-GB"/>
        </w:rPr>
      </w:pPr>
      <w:r w:rsidRPr="00CE2A87">
        <w:rPr>
          <w:lang w:val="en-GB"/>
        </w:rPr>
        <w:t>Reinforcing loops</w:t>
      </w:r>
    </w:p>
    <w:p w14:paraId="59FFA015" w14:textId="77777777" w:rsidR="00CE2A87" w:rsidRPr="00CE2A87" w:rsidRDefault="00CE2A87" w:rsidP="00CE2A87">
      <w:pPr>
        <w:pStyle w:val="BodyText"/>
        <w:rPr>
          <w:lang w:val="en-GB"/>
        </w:rPr>
      </w:pPr>
      <w:r w:rsidRPr="00CE2A87">
        <w:rPr>
          <w:lang w:val="en-GB"/>
        </w:rPr>
        <w:t xml:space="preserve">Some might argue that students know 'what they're getting themselves into' when they apply for a program; that physics students are just possibly more inherently interested in the content, while students who study at the faculty of Technology, Policy and Management are just more interested in the wider societal context. And that might be fine. But, does that mean that students with a more technology-focused engineering degree are better or worse possible contributors to later global problem-solving? The easy answer is that perhaps we need both. </w:t>
      </w:r>
      <w:r w:rsidRPr="00CE2A87">
        <w:rPr>
          <w:lang w:val="en-GB"/>
        </w:rPr>
        <w:lastRenderedPageBreak/>
        <w:t>But is that a good reason to let curricula remain the way they are?</w:t>
      </w:r>
    </w:p>
    <w:p w14:paraId="3EAD22B1" w14:textId="77777777" w:rsidR="00CE2A87" w:rsidRPr="00CE2A87" w:rsidRDefault="00CE2A87" w:rsidP="00CE2A87">
      <w:pPr>
        <w:pStyle w:val="BodyText"/>
        <w:rPr>
          <w:lang w:val="en-GB"/>
        </w:rPr>
      </w:pPr>
      <w:r w:rsidRPr="00CE2A87">
        <w:rPr>
          <w:lang w:val="en-GB"/>
        </w:rPr>
        <w:t>Yet, before we can answer that question, there is another dichotomy that is worthwhile to address: the role of individual excellence vs group collaboration skills. We seem to observe that with a content focus comes a focus on individual excellence: those who do very well in the technological content-knowledge courses (which are almost without exception graded through an individual exam) score high individual grades and can earn a 'cum laude' on their technical diplomas, to pave the road for a technical PhD that is also valued individually, to continue to a post-doc for another individual technical research project, to continue to a content-focused Tenure Track, etc. On the other side, there are programs in which there is more attention to group work, more eye for wider interdisciplinary knowledge, and more general knowledge. But the lack of individual focus makes it more difficult to 'stand out' or 'shine' as an individual in the individual-focused evaluation systems that a (technical) university offers.</w:t>
      </w:r>
    </w:p>
    <w:p w14:paraId="1318AAB5" w14:textId="77777777" w:rsidR="00CE2A87" w:rsidRPr="00CE2A87" w:rsidRDefault="00CE2A87" w:rsidP="00CE2A87">
      <w:pPr>
        <w:pStyle w:val="BodyText"/>
        <w:rPr>
          <w:lang w:val="en-GB"/>
        </w:rPr>
      </w:pPr>
      <w:r w:rsidRPr="00CE2A87">
        <w:rPr>
          <w:lang w:val="en-GB"/>
        </w:rPr>
        <w:t>And there are also other consequences of this system of rewarding individual excellence. Suppose those who originate from a program that focuses on individual excellence continue to develop such programs. In that case, this leads to a self-fulfilling prophecy: what has worked for them earlier will also work for future students and that's that. The same applies to programs that focus on collectivism. However, the consequence is that people trained in individuality-focused programs will be more likely to hire new colleagues with a similar profile and less likely to hire colleagues with a wider perspective (and similar for colleagues in the more social and group thinking fields). If anything, this only widens the gap between the two perspectives.</w:t>
      </w:r>
    </w:p>
    <w:p w14:paraId="3459A364" w14:textId="77777777" w:rsidR="00CE2A87" w:rsidRPr="00CE2A87" w:rsidRDefault="00CE2A87" w:rsidP="00CE2A87">
      <w:pPr>
        <w:pStyle w:val="BodyText"/>
        <w:rPr>
          <w:lang w:val="en-GB"/>
        </w:rPr>
      </w:pPr>
    </w:p>
    <w:p w14:paraId="6DDE11A9" w14:textId="77777777" w:rsidR="00CE2A87" w:rsidRPr="00CE2A87" w:rsidRDefault="00CE2A87" w:rsidP="00CE2A87">
      <w:pPr>
        <w:pStyle w:val="BodyText"/>
        <w:rPr>
          <w:lang w:val="en-GB"/>
        </w:rPr>
      </w:pPr>
      <w:r w:rsidRPr="00CE2A87">
        <w:rPr>
          <w:lang w:val="en-GB"/>
        </w:rPr>
        <w:t>Shooting stars vs. the dinosaurs</w:t>
      </w:r>
    </w:p>
    <w:p w14:paraId="7B587488" w14:textId="77777777" w:rsidR="00CE2A87" w:rsidRPr="00CE2A87" w:rsidRDefault="00CE2A87" w:rsidP="00CE2A87">
      <w:pPr>
        <w:pStyle w:val="BodyText"/>
        <w:rPr>
          <w:lang w:val="en-GB"/>
        </w:rPr>
      </w:pPr>
      <w:r w:rsidRPr="00CE2A87">
        <w:rPr>
          <w:lang w:val="en-GB"/>
        </w:rPr>
        <w:t>In other words, our own staff population with its own normative (implicit and explicit) values, lies at the origin of the current situation. And then the real question becomes how change can be realised within an organisation that builds on academic freedom and (frequently) quite solitarily operating faculties, departments and sections. A cynic might argue that those who value collaborative perspectives and are not quite keen on individual excellence leave the academy as soon as they get their degrees and start their careers elsewhere. Does this mean that we cultivate our own population of  PhD candidates, post-docs and tenure trackers as individualists, or is it the case that more collaborative and multidisciplinary 'shooting stars' are in fact, killing the old, individualistic and domain-centred dinosaurs?</w:t>
      </w:r>
    </w:p>
    <w:p w14:paraId="0B7B743B" w14:textId="77777777" w:rsidR="00CE2A87" w:rsidRPr="00CE2A87" w:rsidRDefault="00CE2A87" w:rsidP="00CE2A87">
      <w:pPr>
        <w:pStyle w:val="BodyText"/>
        <w:rPr>
          <w:lang w:val="en-GB"/>
        </w:rPr>
      </w:pPr>
      <w:r w:rsidRPr="00CE2A87">
        <w:rPr>
          <w:lang w:val="en-GB"/>
        </w:rPr>
        <w:t xml:space="preserve"> </w:t>
      </w:r>
    </w:p>
    <w:p w14:paraId="1A26A16D" w14:textId="77777777" w:rsidR="00CE2A87" w:rsidRPr="00CE2A87" w:rsidRDefault="00CE2A87" w:rsidP="00CE2A87">
      <w:pPr>
        <w:pStyle w:val="BodyText"/>
        <w:rPr>
          <w:lang w:val="en-GB"/>
        </w:rPr>
      </w:pPr>
      <w:r w:rsidRPr="00CE2A87">
        <w:rPr>
          <w:lang w:val="en-GB"/>
        </w:rPr>
        <w:t xml:space="preserve">Figure 3: Shooting stars vs dinosaurs (source: https://www.justpo.st) </w:t>
      </w:r>
    </w:p>
    <w:p w14:paraId="570B8998" w14:textId="77777777" w:rsidR="00CE2A87" w:rsidRPr="00CE2A87" w:rsidRDefault="00CE2A87" w:rsidP="00CE2A87">
      <w:pPr>
        <w:pStyle w:val="BodyText"/>
        <w:rPr>
          <w:lang w:val="en-GB"/>
        </w:rPr>
      </w:pPr>
    </w:p>
    <w:p w14:paraId="2F372E8E" w14:textId="70AA727E" w:rsidR="00CE2A87" w:rsidRPr="00CE2A87" w:rsidRDefault="00CE2A87" w:rsidP="00CE2A87">
      <w:pPr>
        <w:pStyle w:val="BodyText"/>
        <w:rPr>
          <w:lang w:val="en-GB"/>
        </w:rPr>
      </w:pPr>
      <w:r w:rsidRPr="00CE2A87">
        <w:rPr>
          <w:lang w:val="en-GB"/>
        </w:rPr>
        <w:t>The possibly required change in our programs is also indicated by the fact that most of our hired PhD candidates (and other staff for that matter) are explicitly not alumni of our own programs. One can wonder, what makes other candidates more suitable for positions within our faculties? While we certainly do not opt for the selection or preference of just our own students for the sake of “being our own students”, it is still interesting to explore what (implicit and explicit) reasons might be at play with regard to the preference of other students, other than selection criteria determined by grant organisations (for example for the Marie Curie PhD positions). What skills are ”we” looking for that we cannot seem to find in our own candidates? And, most importantly, how do we change our own programs to align better with these presumably preferred profiles?</w:t>
      </w:r>
    </w:p>
    <w:p w14:paraId="74E2554C" w14:textId="77777777" w:rsidR="00CE2A87" w:rsidRPr="00CE2A87" w:rsidRDefault="00CE2A87" w:rsidP="00CE2A87">
      <w:pPr>
        <w:pStyle w:val="Contenidodelmarco"/>
        <w:rPr>
          <w:lang w:val="en-GB"/>
        </w:rPr>
      </w:pPr>
    </w:p>
    <w:p w14:paraId="5B40F088" w14:textId="77777777" w:rsidR="00CE2A87" w:rsidRDefault="00CE2A87">
      <w:pPr>
        <w:pStyle w:val="Heading3"/>
        <w:numPr>
          <w:ilvl w:val="2"/>
          <w:numId w:val="2"/>
        </w:numPr>
        <w:rPr>
          <w:color w:val="DA1E22"/>
        </w:rPr>
      </w:pPr>
    </w:p>
    <w:p w14:paraId="38BBA81C" w14:textId="29EF4543" w:rsidR="006C677B" w:rsidRDefault="003A08E7">
      <w:pPr>
        <w:pStyle w:val="Heading3"/>
        <w:numPr>
          <w:ilvl w:val="2"/>
          <w:numId w:val="2"/>
        </w:numPr>
        <w:rPr>
          <w:color w:val="DA1E22"/>
        </w:rPr>
      </w:pPr>
      <w:r>
        <w:rPr>
          <w:color w:val="DA1E22"/>
        </w:rPr>
        <w:t xml:space="preserve">Data availability statement </w:t>
      </w:r>
      <w:r>
        <w:rPr>
          <w:color w:val="DA1E22"/>
          <w:sz w:val="22"/>
          <w:szCs w:val="22"/>
        </w:rPr>
        <w:t>(if applicable)</w:t>
      </w:r>
    </w:p>
    <w:p w14:paraId="122D0DF2" w14:textId="77777777" w:rsidR="006C677B" w:rsidRDefault="003A08E7">
      <w:pPr>
        <w:pStyle w:val="BodyText"/>
        <w:rPr>
          <w:lang w:val="fr-FR"/>
        </w:rPr>
      </w:pPr>
      <w:r>
        <w:t xml:space="preserve">Sed </w:t>
      </w:r>
      <w:proofErr w:type="spellStart"/>
      <w:r>
        <w:t>iaculis</w:t>
      </w:r>
      <w:proofErr w:type="spellEnd"/>
      <w:r>
        <w:t xml:space="preserve"> </w:t>
      </w:r>
      <w:proofErr w:type="spellStart"/>
      <w:r>
        <w:t>est</w:t>
      </w:r>
      <w:proofErr w:type="spellEnd"/>
      <w:r>
        <w:t xml:space="preserve"> non </w:t>
      </w:r>
      <w:proofErr w:type="spellStart"/>
      <w:r>
        <w:t>mattis</w:t>
      </w:r>
      <w:proofErr w:type="spellEnd"/>
      <w:r>
        <w:t xml:space="preserve"> </w:t>
      </w:r>
      <w:proofErr w:type="spellStart"/>
      <w:r>
        <w:t>elementum</w:t>
      </w:r>
      <w:proofErr w:type="spellEnd"/>
      <w:r>
        <w:t xml:space="preserve">. Ut </w:t>
      </w:r>
      <w:proofErr w:type="spellStart"/>
      <w:r>
        <w:t>nec</w:t>
      </w:r>
      <w:proofErr w:type="spellEnd"/>
      <w:r>
        <w:t xml:space="preserve"> </w:t>
      </w:r>
      <w:proofErr w:type="spellStart"/>
      <w:r>
        <w:t>feugiat</w:t>
      </w:r>
      <w:proofErr w:type="spellEnd"/>
      <w:r>
        <w:t xml:space="preserve"> </w:t>
      </w:r>
      <w:proofErr w:type="spellStart"/>
      <w:r>
        <w:t>justo</w:t>
      </w:r>
      <w:proofErr w:type="spellEnd"/>
      <w:r>
        <w:t xml:space="preserve">. </w:t>
      </w:r>
      <w:proofErr w:type="spellStart"/>
      <w:r>
        <w:t>Vivamus</w:t>
      </w:r>
      <w:proofErr w:type="spellEnd"/>
      <w:r>
        <w:t xml:space="preserve"> at lorem pulvinar, </w:t>
      </w:r>
      <w:proofErr w:type="spellStart"/>
      <w:r>
        <w:t>faucibus</w:t>
      </w:r>
      <w:proofErr w:type="spellEnd"/>
      <w:r>
        <w:t xml:space="preserve"> </w:t>
      </w:r>
      <w:proofErr w:type="spellStart"/>
      <w:r>
        <w:t>est</w:t>
      </w:r>
      <w:proofErr w:type="spellEnd"/>
      <w:r>
        <w:t xml:space="preserve"> et, </w:t>
      </w:r>
      <w:proofErr w:type="spellStart"/>
      <w:r>
        <w:t>sagittis</w:t>
      </w:r>
      <w:proofErr w:type="spellEnd"/>
      <w:r>
        <w:t xml:space="preserve"> </w:t>
      </w:r>
      <w:proofErr w:type="spellStart"/>
      <w:r>
        <w:t>leo</w:t>
      </w:r>
      <w:proofErr w:type="spellEnd"/>
      <w:r>
        <w:t xml:space="preserve">. </w:t>
      </w:r>
      <w:proofErr w:type="spellStart"/>
      <w:r>
        <w:t>Pellentesque</w:t>
      </w:r>
      <w:proofErr w:type="spellEnd"/>
      <w:r>
        <w:t xml:space="preserve"> eros ipsum, </w:t>
      </w:r>
      <w:proofErr w:type="spellStart"/>
      <w:r>
        <w:t>consectetur</w:t>
      </w:r>
      <w:proofErr w:type="spellEnd"/>
      <w:r>
        <w:t xml:space="preserve"> vitae </w:t>
      </w:r>
      <w:proofErr w:type="spellStart"/>
      <w:r>
        <w:t>orci</w:t>
      </w:r>
      <w:proofErr w:type="spellEnd"/>
      <w:r>
        <w:t xml:space="preserve"> ac, </w:t>
      </w:r>
      <w:proofErr w:type="spellStart"/>
      <w:r>
        <w:t>luctus</w:t>
      </w:r>
      <w:proofErr w:type="spellEnd"/>
      <w:r>
        <w:t xml:space="preserve"> </w:t>
      </w:r>
      <w:proofErr w:type="spellStart"/>
      <w:r>
        <w:t>vulputate</w:t>
      </w:r>
      <w:proofErr w:type="spellEnd"/>
      <w:r>
        <w:t xml:space="preserve"> </w:t>
      </w:r>
      <w:proofErr w:type="spellStart"/>
      <w:r>
        <w:t>urna</w:t>
      </w:r>
      <w:proofErr w:type="spellEnd"/>
      <w:r>
        <w:t xml:space="preserve">. Maecenas sed </w:t>
      </w:r>
      <w:proofErr w:type="spellStart"/>
      <w:r>
        <w:t>mollis</w:t>
      </w:r>
      <w:proofErr w:type="spellEnd"/>
      <w:r>
        <w:t xml:space="preserve"> </w:t>
      </w:r>
      <w:proofErr w:type="spellStart"/>
      <w:r>
        <w:t>felis</w:t>
      </w:r>
      <w:proofErr w:type="spellEnd"/>
      <w:r>
        <w:t xml:space="preserve">. </w:t>
      </w:r>
      <w:proofErr w:type="spellStart"/>
      <w:r>
        <w:t>Pellentesque</w:t>
      </w:r>
      <w:proofErr w:type="spellEnd"/>
      <w:r>
        <w:t xml:space="preserve"> sit </w:t>
      </w:r>
      <w:proofErr w:type="spellStart"/>
      <w:r>
        <w:t>amet</w:t>
      </w:r>
      <w:proofErr w:type="spellEnd"/>
      <w:r>
        <w:t xml:space="preserve"> </w:t>
      </w:r>
      <w:proofErr w:type="spellStart"/>
      <w:r>
        <w:t>tellus</w:t>
      </w:r>
      <w:proofErr w:type="spellEnd"/>
      <w:r>
        <w:t xml:space="preserve"> </w:t>
      </w:r>
      <w:proofErr w:type="spellStart"/>
      <w:r>
        <w:t>imperdiet</w:t>
      </w:r>
      <w:proofErr w:type="spellEnd"/>
      <w:r>
        <w:t xml:space="preserve">, </w:t>
      </w:r>
      <w:proofErr w:type="spellStart"/>
      <w:r>
        <w:t>malesuada</w:t>
      </w:r>
      <w:proofErr w:type="spellEnd"/>
      <w:r>
        <w:t xml:space="preserve"> </w:t>
      </w:r>
      <w:proofErr w:type="spellStart"/>
      <w:r>
        <w:t>nunc</w:t>
      </w:r>
      <w:proofErr w:type="spellEnd"/>
      <w:r>
        <w:t xml:space="preserve"> </w:t>
      </w:r>
      <w:proofErr w:type="spellStart"/>
      <w:r>
        <w:t>nec</w:t>
      </w:r>
      <w:proofErr w:type="spellEnd"/>
      <w:r>
        <w:t xml:space="preserve">, </w:t>
      </w:r>
      <w:proofErr w:type="spellStart"/>
      <w:r>
        <w:t>viverra</w:t>
      </w:r>
      <w:proofErr w:type="spellEnd"/>
      <w:r>
        <w:t xml:space="preserve"> </w:t>
      </w:r>
      <w:proofErr w:type="spellStart"/>
      <w:r>
        <w:t>nulla</w:t>
      </w:r>
      <w:proofErr w:type="spellEnd"/>
      <w:r>
        <w:t xml:space="preserve">. </w:t>
      </w:r>
      <w:proofErr w:type="spellStart"/>
      <w:r>
        <w:t>Vivamus</w:t>
      </w:r>
      <w:proofErr w:type="spellEnd"/>
      <w:r>
        <w:t xml:space="preserve"> </w:t>
      </w:r>
      <w:proofErr w:type="spellStart"/>
      <w:r>
        <w:t>finibus</w:t>
      </w:r>
      <w:proofErr w:type="spellEnd"/>
      <w:r>
        <w:t xml:space="preserve"> </w:t>
      </w:r>
      <w:proofErr w:type="spellStart"/>
      <w:r>
        <w:t>accumsan</w:t>
      </w:r>
      <w:proofErr w:type="spellEnd"/>
      <w:r>
        <w:t xml:space="preserve"> lorem </w:t>
      </w:r>
      <w:proofErr w:type="spellStart"/>
      <w:r>
        <w:t>quis</w:t>
      </w:r>
      <w:proofErr w:type="spellEnd"/>
      <w:r>
        <w:t xml:space="preserve"> </w:t>
      </w:r>
      <w:proofErr w:type="spellStart"/>
      <w:r>
        <w:t>vulputate</w:t>
      </w:r>
      <w:proofErr w:type="spellEnd"/>
      <w:r>
        <w:t>.</w:t>
      </w:r>
    </w:p>
    <w:p w14:paraId="657CB33C" w14:textId="77777777" w:rsidR="006C677B" w:rsidRDefault="003A08E7">
      <w:pPr>
        <w:pStyle w:val="BodyText"/>
        <w:rPr>
          <w:lang w:val="en-GB"/>
        </w:rPr>
      </w:pPr>
      <w:r>
        <w:rPr>
          <w:lang w:val="fr-FR"/>
        </w:rPr>
        <w:t xml:space="preserve">Suspendisse </w:t>
      </w:r>
      <w:proofErr w:type="spellStart"/>
      <w:r>
        <w:rPr>
          <w:lang w:val="fr-FR"/>
        </w:rPr>
        <w:t>ultrices</w:t>
      </w:r>
      <w:proofErr w:type="spellEnd"/>
      <w:r>
        <w:rPr>
          <w:lang w:val="fr-FR"/>
        </w:rPr>
        <w:t xml:space="preserve"> </w:t>
      </w:r>
      <w:proofErr w:type="spellStart"/>
      <w:r>
        <w:rPr>
          <w:lang w:val="fr-FR"/>
        </w:rPr>
        <w:t>felis</w:t>
      </w:r>
      <w:proofErr w:type="spellEnd"/>
      <w:r>
        <w:rPr>
          <w:lang w:val="fr-FR"/>
        </w:rPr>
        <w:t xml:space="preserve"> ut ante pretium </w:t>
      </w:r>
      <w:proofErr w:type="spellStart"/>
      <w:r>
        <w:rPr>
          <w:lang w:val="fr-FR"/>
        </w:rPr>
        <w:t>tincidunt</w:t>
      </w:r>
      <w:proofErr w:type="spellEnd"/>
      <w:r>
        <w:rPr>
          <w:lang w:val="fr-FR"/>
        </w:rPr>
        <w:t xml:space="preserve">. </w:t>
      </w:r>
      <w:proofErr w:type="spellStart"/>
      <w:r>
        <w:rPr>
          <w:lang w:val="fr-FR"/>
        </w:rPr>
        <w:t>Vestibulum</w:t>
      </w:r>
      <w:proofErr w:type="spellEnd"/>
      <w:r>
        <w:rPr>
          <w:lang w:val="fr-FR"/>
        </w:rPr>
        <w:t xml:space="preserve"> </w:t>
      </w:r>
      <w:proofErr w:type="spellStart"/>
      <w:r>
        <w:rPr>
          <w:lang w:val="fr-FR"/>
        </w:rPr>
        <w:t>orci</w:t>
      </w:r>
      <w:proofErr w:type="spellEnd"/>
      <w:r>
        <w:rPr>
          <w:lang w:val="fr-FR"/>
        </w:rPr>
        <w:t xml:space="preserve"> </w:t>
      </w:r>
      <w:proofErr w:type="spellStart"/>
      <w:r>
        <w:rPr>
          <w:lang w:val="fr-FR"/>
        </w:rPr>
        <w:t>turpis</w:t>
      </w:r>
      <w:proofErr w:type="spellEnd"/>
      <w:r>
        <w:rPr>
          <w:lang w:val="fr-FR"/>
        </w:rPr>
        <w:t xml:space="preserve">, </w:t>
      </w:r>
      <w:proofErr w:type="spellStart"/>
      <w:r>
        <w:rPr>
          <w:lang w:val="fr-FR"/>
        </w:rPr>
        <w:t>tincidunt</w:t>
      </w:r>
      <w:proofErr w:type="spellEnd"/>
      <w:r>
        <w:rPr>
          <w:lang w:val="fr-FR"/>
        </w:rPr>
        <w:t xml:space="preserve"> a diam vitae, </w:t>
      </w:r>
      <w:proofErr w:type="spellStart"/>
      <w:r>
        <w:rPr>
          <w:lang w:val="fr-FR"/>
        </w:rPr>
        <w:t>tincidunt</w:t>
      </w:r>
      <w:proofErr w:type="spellEnd"/>
      <w:r>
        <w:rPr>
          <w:lang w:val="fr-FR"/>
        </w:rPr>
        <w:t xml:space="preserve"> </w:t>
      </w:r>
      <w:proofErr w:type="spellStart"/>
      <w:r>
        <w:rPr>
          <w:lang w:val="fr-FR"/>
        </w:rPr>
        <w:t>pellentesque</w:t>
      </w:r>
      <w:proofErr w:type="spellEnd"/>
      <w:r>
        <w:rPr>
          <w:lang w:val="fr-FR"/>
        </w:rPr>
        <w:t xml:space="preserve"> ante. Nunc </w:t>
      </w:r>
      <w:proofErr w:type="spellStart"/>
      <w:r>
        <w:rPr>
          <w:lang w:val="fr-FR"/>
        </w:rPr>
        <w:t>tempor</w:t>
      </w:r>
      <w:proofErr w:type="spellEnd"/>
      <w:r>
        <w:rPr>
          <w:lang w:val="fr-FR"/>
        </w:rPr>
        <w:t xml:space="preserve"> </w:t>
      </w:r>
      <w:proofErr w:type="spellStart"/>
      <w:r>
        <w:rPr>
          <w:lang w:val="fr-FR"/>
        </w:rPr>
        <w:t>accumsan</w:t>
      </w:r>
      <w:proofErr w:type="spellEnd"/>
      <w:r>
        <w:rPr>
          <w:lang w:val="fr-FR"/>
        </w:rPr>
        <w:t xml:space="preserve"> </w:t>
      </w:r>
      <w:proofErr w:type="spellStart"/>
      <w:r>
        <w:rPr>
          <w:lang w:val="fr-FR"/>
        </w:rPr>
        <w:t>interdum</w:t>
      </w:r>
      <w:proofErr w:type="spellEnd"/>
      <w:r>
        <w:rPr>
          <w:lang w:val="fr-FR"/>
        </w:rPr>
        <w:t xml:space="preserve">. In non </w:t>
      </w:r>
      <w:proofErr w:type="spellStart"/>
      <w:r>
        <w:rPr>
          <w:lang w:val="fr-FR"/>
        </w:rPr>
        <w:t>dui</w:t>
      </w:r>
      <w:proofErr w:type="spellEnd"/>
      <w:r>
        <w:rPr>
          <w:lang w:val="fr-FR"/>
        </w:rPr>
        <w:t xml:space="preserve"> </w:t>
      </w:r>
      <w:proofErr w:type="spellStart"/>
      <w:r>
        <w:rPr>
          <w:lang w:val="fr-FR"/>
        </w:rPr>
        <w:t>quis</w:t>
      </w:r>
      <w:proofErr w:type="spellEnd"/>
      <w:r>
        <w:rPr>
          <w:lang w:val="fr-FR"/>
        </w:rPr>
        <w:t xml:space="preserve"> </w:t>
      </w:r>
      <w:proofErr w:type="spellStart"/>
      <w:r>
        <w:rPr>
          <w:lang w:val="fr-FR"/>
        </w:rPr>
        <w:t>urna</w:t>
      </w:r>
      <w:proofErr w:type="spellEnd"/>
      <w:r>
        <w:rPr>
          <w:lang w:val="fr-FR"/>
        </w:rPr>
        <w:t xml:space="preserve"> </w:t>
      </w:r>
      <w:proofErr w:type="spellStart"/>
      <w:r>
        <w:rPr>
          <w:lang w:val="fr-FR"/>
        </w:rPr>
        <w:t>porttitor</w:t>
      </w:r>
      <w:proofErr w:type="spellEnd"/>
      <w:r>
        <w:rPr>
          <w:lang w:val="fr-FR"/>
        </w:rPr>
        <w:t xml:space="preserve"> pretium. Integer </w:t>
      </w:r>
      <w:proofErr w:type="spellStart"/>
      <w:r>
        <w:rPr>
          <w:lang w:val="fr-FR"/>
        </w:rPr>
        <w:t>quis</w:t>
      </w:r>
      <w:proofErr w:type="spellEnd"/>
      <w:r>
        <w:rPr>
          <w:lang w:val="fr-FR"/>
        </w:rPr>
        <w:t xml:space="preserve"> </w:t>
      </w:r>
      <w:proofErr w:type="spellStart"/>
      <w:r>
        <w:rPr>
          <w:lang w:val="fr-FR"/>
        </w:rPr>
        <w:t>nulla</w:t>
      </w:r>
      <w:proofErr w:type="spellEnd"/>
      <w:r>
        <w:rPr>
          <w:lang w:val="fr-FR"/>
        </w:rPr>
        <w:t xml:space="preserve"> </w:t>
      </w:r>
      <w:proofErr w:type="spellStart"/>
      <w:r>
        <w:rPr>
          <w:lang w:val="fr-FR"/>
        </w:rPr>
        <w:t>dapibus</w:t>
      </w:r>
      <w:proofErr w:type="spellEnd"/>
      <w:r>
        <w:rPr>
          <w:lang w:val="fr-FR"/>
        </w:rPr>
        <w:t xml:space="preserve"> </w:t>
      </w:r>
      <w:proofErr w:type="spellStart"/>
      <w:r>
        <w:rPr>
          <w:lang w:val="fr-FR"/>
        </w:rPr>
        <w:t>quam</w:t>
      </w:r>
      <w:proofErr w:type="spellEnd"/>
      <w:r>
        <w:rPr>
          <w:lang w:val="fr-FR"/>
        </w:rPr>
        <w:t xml:space="preserve"> </w:t>
      </w:r>
      <w:proofErr w:type="spellStart"/>
      <w:r>
        <w:rPr>
          <w:lang w:val="fr-FR"/>
        </w:rPr>
        <w:t>luctus</w:t>
      </w:r>
      <w:proofErr w:type="spellEnd"/>
      <w:r>
        <w:rPr>
          <w:lang w:val="fr-FR"/>
        </w:rPr>
        <w:t xml:space="preserve"> commodo. </w:t>
      </w:r>
      <w:proofErr w:type="spellStart"/>
      <w:r>
        <w:rPr>
          <w:lang w:val="fr-FR"/>
        </w:rPr>
        <w:t>Pellentesque</w:t>
      </w:r>
      <w:proofErr w:type="spellEnd"/>
      <w:r>
        <w:rPr>
          <w:lang w:val="fr-FR"/>
        </w:rPr>
        <w:t xml:space="preserve"> ut </w:t>
      </w:r>
      <w:proofErr w:type="spellStart"/>
      <w:r>
        <w:rPr>
          <w:lang w:val="fr-FR"/>
        </w:rPr>
        <w:t>turpis</w:t>
      </w:r>
      <w:proofErr w:type="spellEnd"/>
      <w:r>
        <w:rPr>
          <w:lang w:val="fr-FR"/>
        </w:rPr>
        <w:t xml:space="preserve"> </w:t>
      </w:r>
      <w:proofErr w:type="spellStart"/>
      <w:r>
        <w:rPr>
          <w:lang w:val="fr-FR"/>
        </w:rPr>
        <w:t>quis</w:t>
      </w:r>
      <w:proofErr w:type="spellEnd"/>
      <w:r>
        <w:rPr>
          <w:lang w:val="fr-FR"/>
        </w:rPr>
        <w:t xml:space="preserve"> </w:t>
      </w:r>
      <w:proofErr w:type="spellStart"/>
      <w:r>
        <w:rPr>
          <w:lang w:val="fr-FR"/>
        </w:rPr>
        <w:t>nibh</w:t>
      </w:r>
      <w:proofErr w:type="spellEnd"/>
      <w:r>
        <w:rPr>
          <w:lang w:val="fr-FR"/>
        </w:rPr>
        <w:t xml:space="preserve"> </w:t>
      </w:r>
      <w:proofErr w:type="spellStart"/>
      <w:r>
        <w:rPr>
          <w:lang w:val="fr-FR"/>
        </w:rPr>
        <w:t>vulputate</w:t>
      </w:r>
      <w:proofErr w:type="spellEnd"/>
      <w:r>
        <w:rPr>
          <w:lang w:val="fr-FR"/>
        </w:rPr>
        <w:t xml:space="preserve"> </w:t>
      </w:r>
      <w:proofErr w:type="spellStart"/>
      <w:r>
        <w:rPr>
          <w:lang w:val="fr-FR"/>
        </w:rPr>
        <w:t>fermentum</w:t>
      </w:r>
      <w:proofErr w:type="spellEnd"/>
      <w:r>
        <w:rPr>
          <w:lang w:val="fr-FR"/>
        </w:rPr>
        <w:t xml:space="preserve"> at id </w:t>
      </w:r>
      <w:proofErr w:type="spellStart"/>
      <w:r>
        <w:rPr>
          <w:lang w:val="fr-FR"/>
        </w:rPr>
        <w:t>orci</w:t>
      </w:r>
      <w:proofErr w:type="spellEnd"/>
      <w:r>
        <w:rPr>
          <w:lang w:val="fr-FR"/>
        </w:rPr>
        <w:t xml:space="preserve">. </w:t>
      </w:r>
      <w:proofErr w:type="spellStart"/>
      <w:r>
        <w:rPr>
          <w:lang w:val="fr-FR"/>
        </w:rPr>
        <w:t>Mauris</w:t>
      </w:r>
      <w:proofErr w:type="spellEnd"/>
      <w:r>
        <w:rPr>
          <w:lang w:val="fr-FR"/>
        </w:rPr>
        <w:t xml:space="preserve"> eu </w:t>
      </w:r>
      <w:proofErr w:type="spellStart"/>
      <w:r>
        <w:rPr>
          <w:lang w:val="fr-FR"/>
        </w:rPr>
        <w:t>ligula</w:t>
      </w:r>
      <w:proofErr w:type="spellEnd"/>
      <w:r>
        <w:rPr>
          <w:lang w:val="fr-FR"/>
        </w:rPr>
        <w:t xml:space="preserve"> </w:t>
      </w:r>
      <w:proofErr w:type="spellStart"/>
      <w:r>
        <w:rPr>
          <w:lang w:val="fr-FR"/>
        </w:rPr>
        <w:t>volutpat</w:t>
      </w:r>
      <w:proofErr w:type="spellEnd"/>
      <w:r>
        <w:rPr>
          <w:lang w:val="fr-FR"/>
        </w:rPr>
        <w:t xml:space="preserve">, </w:t>
      </w:r>
      <w:proofErr w:type="spellStart"/>
      <w:r>
        <w:rPr>
          <w:lang w:val="fr-FR"/>
        </w:rPr>
        <w:t>eleifend</w:t>
      </w:r>
      <w:proofErr w:type="spellEnd"/>
      <w:r>
        <w:rPr>
          <w:lang w:val="fr-FR"/>
        </w:rPr>
        <w:t xml:space="preserve"> diam vitae, </w:t>
      </w:r>
      <w:proofErr w:type="spellStart"/>
      <w:r>
        <w:rPr>
          <w:lang w:val="fr-FR"/>
        </w:rPr>
        <w:t>tincidunt</w:t>
      </w:r>
      <w:proofErr w:type="spellEnd"/>
      <w:r>
        <w:rPr>
          <w:lang w:val="fr-FR"/>
        </w:rPr>
        <w:t xml:space="preserve"> </w:t>
      </w:r>
      <w:proofErr w:type="spellStart"/>
      <w:r>
        <w:rPr>
          <w:lang w:val="fr-FR"/>
        </w:rPr>
        <w:t>turpis</w:t>
      </w:r>
      <w:proofErr w:type="spellEnd"/>
      <w:r>
        <w:rPr>
          <w:lang w:val="fr-FR"/>
        </w:rPr>
        <w:t xml:space="preserve">. </w:t>
      </w:r>
      <w:proofErr w:type="spellStart"/>
      <w:r>
        <w:rPr>
          <w:lang w:val="fr-FR"/>
        </w:rPr>
        <w:t>Donec</w:t>
      </w:r>
      <w:proofErr w:type="spellEnd"/>
      <w:r>
        <w:rPr>
          <w:lang w:val="fr-FR"/>
        </w:rPr>
        <w:t xml:space="preserve"> a </w:t>
      </w:r>
      <w:proofErr w:type="spellStart"/>
      <w:r>
        <w:rPr>
          <w:lang w:val="fr-FR"/>
        </w:rPr>
        <w:t>dolor</w:t>
      </w:r>
      <w:proofErr w:type="spellEnd"/>
      <w:r>
        <w:rPr>
          <w:lang w:val="fr-FR"/>
        </w:rPr>
        <w:t xml:space="preserve"> </w:t>
      </w:r>
      <w:proofErr w:type="spellStart"/>
      <w:r>
        <w:rPr>
          <w:lang w:val="fr-FR"/>
        </w:rPr>
        <w:t>malesuada</w:t>
      </w:r>
      <w:proofErr w:type="spellEnd"/>
      <w:r>
        <w:rPr>
          <w:lang w:val="fr-FR"/>
        </w:rPr>
        <w:t xml:space="preserve">, </w:t>
      </w:r>
      <w:proofErr w:type="spellStart"/>
      <w:r>
        <w:rPr>
          <w:lang w:val="fr-FR"/>
        </w:rPr>
        <w:t>feugiat</w:t>
      </w:r>
      <w:proofErr w:type="spellEnd"/>
      <w:r>
        <w:rPr>
          <w:lang w:val="fr-FR"/>
        </w:rPr>
        <w:t xml:space="preserve"> </w:t>
      </w:r>
      <w:proofErr w:type="spellStart"/>
      <w:r>
        <w:rPr>
          <w:lang w:val="fr-FR"/>
        </w:rPr>
        <w:t>eros</w:t>
      </w:r>
      <w:proofErr w:type="spellEnd"/>
      <w:r>
        <w:rPr>
          <w:lang w:val="fr-FR"/>
        </w:rPr>
        <w:t xml:space="preserve"> non, </w:t>
      </w:r>
      <w:proofErr w:type="spellStart"/>
      <w:r>
        <w:rPr>
          <w:lang w:val="fr-FR"/>
        </w:rPr>
        <w:t>pharetra</w:t>
      </w:r>
      <w:proofErr w:type="spellEnd"/>
      <w:r>
        <w:rPr>
          <w:lang w:val="fr-FR"/>
        </w:rPr>
        <w:t xml:space="preserve"> </w:t>
      </w:r>
      <w:proofErr w:type="spellStart"/>
      <w:r>
        <w:rPr>
          <w:lang w:val="fr-FR"/>
        </w:rPr>
        <w:t>urna</w:t>
      </w:r>
      <w:proofErr w:type="spellEnd"/>
      <w:r>
        <w:rPr>
          <w:lang w:val="fr-FR"/>
        </w:rPr>
        <w:t xml:space="preserve">. Integer </w:t>
      </w:r>
      <w:proofErr w:type="spellStart"/>
      <w:r>
        <w:rPr>
          <w:lang w:val="fr-FR"/>
        </w:rPr>
        <w:t>pellentesque</w:t>
      </w:r>
      <w:proofErr w:type="spellEnd"/>
      <w:r>
        <w:rPr>
          <w:lang w:val="fr-FR"/>
        </w:rPr>
        <w:t xml:space="preserve"> </w:t>
      </w:r>
      <w:proofErr w:type="spellStart"/>
      <w:r>
        <w:rPr>
          <w:lang w:val="fr-FR"/>
        </w:rPr>
        <w:t>urna</w:t>
      </w:r>
      <w:proofErr w:type="spellEnd"/>
      <w:r>
        <w:rPr>
          <w:lang w:val="fr-FR"/>
        </w:rPr>
        <w:t xml:space="preserve"> </w:t>
      </w:r>
      <w:proofErr w:type="spellStart"/>
      <w:r>
        <w:rPr>
          <w:lang w:val="fr-FR"/>
        </w:rPr>
        <w:t>vulputate</w:t>
      </w:r>
      <w:proofErr w:type="spellEnd"/>
      <w:r>
        <w:rPr>
          <w:lang w:val="fr-FR"/>
        </w:rPr>
        <w:t xml:space="preserve"> </w:t>
      </w:r>
      <w:proofErr w:type="spellStart"/>
      <w:r>
        <w:rPr>
          <w:lang w:val="fr-FR"/>
        </w:rPr>
        <w:t>justo</w:t>
      </w:r>
      <w:proofErr w:type="spellEnd"/>
      <w:r>
        <w:rPr>
          <w:lang w:val="fr-FR"/>
        </w:rPr>
        <w:t xml:space="preserve"> </w:t>
      </w:r>
      <w:proofErr w:type="spellStart"/>
      <w:r>
        <w:rPr>
          <w:lang w:val="fr-FR"/>
        </w:rPr>
        <w:t>placerat</w:t>
      </w:r>
      <w:proofErr w:type="spellEnd"/>
      <w:r>
        <w:rPr>
          <w:lang w:val="fr-FR"/>
        </w:rPr>
        <w:t xml:space="preserve"> </w:t>
      </w:r>
      <w:proofErr w:type="spellStart"/>
      <w:r>
        <w:rPr>
          <w:lang w:val="fr-FR"/>
        </w:rPr>
        <w:t>tempor</w:t>
      </w:r>
      <w:proofErr w:type="spellEnd"/>
      <w:r>
        <w:rPr>
          <w:lang w:val="fr-FR"/>
        </w:rPr>
        <w:t xml:space="preserve">. Ut </w:t>
      </w:r>
      <w:proofErr w:type="spellStart"/>
      <w:r>
        <w:rPr>
          <w:lang w:val="fr-FR"/>
        </w:rPr>
        <w:t>varius</w:t>
      </w:r>
      <w:proofErr w:type="spellEnd"/>
      <w:r>
        <w:rPr>
          <w:lang w:val="fr-FR"/>
        </w:rPr>
        <w:t xml:space="preserve">, </w:t>
      </w:r>
      <w:proofErr w:type="spellStart"/>
      <w:r>
        <w:rPr>
          <w:lang w:val="fr-FR"/>
        </w:rPr>
        <w:t>lorem</w:t>
      </w:r>
      <w:proofErr w:type="spellEnd"/>
      <w:r>
        <w:rPr>
          <w:lang w:val="fr-FR"/>
        </w:rPr>
        <w:t xml:space="preserve"> vitae cursus </w:t>
      </w:r>
      <w:proofErr w:type="spellStart"/>
      <w:r>
        <w:rPr>
          <w:lang w:val="fr-FR"/>
        </w:rPr>
        <w:t>tempor</w:t>
      </w:r>
      <w:proofErr w:type="spellEnd"/>
      <w:r>
        <w:rPr>
          <w:lang w:val="fr-FR"/>
        </w:rPr>
        <w:t xml:space="preserve">, </w:t>
      </w:r>
      <w:proofErr w:type="spellStart"/>
      <w:r>
        <w:rPr>
          <w:lang w:val="fr-FR"/>
        </w:rPr>
        <w:t>mauris</w:t>
      </w:r>
      <w:proofErr w:type="spellEnd"/>
      <w:r>
        <w:rPr>
          <w:lang w:val="fr-FR"/>
        </w:rPr>
        <w:t xml:space="preserve"> </w:t>
      </w:r>
      <w:proofErr w:type="spellStart"/>
      <w:r>
        <w:rPr>
          <w:lang w:val="fr-FR"/>
        </w:rPr>
        <w:t>nibh</w:t>
      </w:r>
      <w:proofErr w:type="spellEnd"/>
      <w:r>
        <w:rPr>
          <w:lang w:val="fr-FR"/>
        </w:rPr>
        <w:t xml:space="preserve"> </w:t>
      </w:r>
      <w:proofErr w:type="spellStart"/>
      <w:r>
        <w:rPr>
          <w:lang w:val="fr-FR"/>
        </w:rPr>
        <w:t>volutpat</w:t>
      </w:r>
      <w:proofErr w:type="spellEnd"/>
      <w:r>
        <w:rPr>
          <w:lang w:val="fr-FR"/>
        </w:rPr>
        <w:t xml:space="preserve"> </w:t>
      </w:r>
      <w:proofErr w:type="spellStart"/>
      <w:r>
        <w:rPr>
          <w:lang w:val="fr-FR"/>
        </w:rPr>
        <w:t>felis</w:t>
      </w:r>
      <w:proofErr w:type="spellEnd"/>
      <w:r>
        <w:rPr>
          <w:lang w:val="fr-FR"/>
        </w:rPr>
        <w:t xml:space="preserve">, </w:t>
      </w:r>
      <w:proofErr w:type="spellStart"/>
      <w:r>
        <w:rPr>
          <w:lang w:val="fr-FR"/>
        </w:rPr>
        <w:t>quis</w:t>
      </w:r>
      <w:proofErr w:type="spellEnd"/>
      <w:r>
        <w:rPr>
          <w:lang w:val="fr-FR"/>
        </w:rPr>
        <w:t xml:space="preserve"> </w:t>
      </w:r>
      <w:proofErr w:type="spellStart"/>
      <w:r>
        <w:rPr>
          <w:lang w:val="fr-FR"/>
        </w:rPr>
        <w:t>efficitur</w:t>
      </w:r>
      <w:proofErr w:type="spellEnd"/>
      <w:r>
        <w:rPr>
          <w:lang w:val="fr-FR"/>
        </w:rPr>
        <w:t xml:space="preserve"> </w:t>
      </w:r>
      <w:proofErr w:type="spellStart"/>
      <w:r>
        <w:rPr>
          <w:lang w:val="fr-FR"/>
        </w:rPr>
        <w:t>tortor</w:t>
      </w:r>
      <w:proofErr w:type="spellEnd"/>
      <w:r>
        <w:rPr>
          <w:lang w:val="fr-FR"/>
        </w:rPr>
        <w:t xml:space="preserve"> </w:t>
      </w:r>
      <w:proofErr w:type="spellStart"/>
      <w:r>
        <w:rPr>
          <w:lang w:val="fr-FR"/>
        </w:rPr>
        <w:t>elit</w:t>
      </w:r>
      <w:proofErr w:type="spellEnd"/>
      <w:r>
        <w:rPr>
          <w:lang w:val="fr-FR"/>
        </w:rPr>
        <w:t xml:space="preserve"> </w:t>
      </w:r>
      <w:proofErr w:type="spellStart"/>
      <w:r>
        <w:rPr>
          <w:lang w:val="fr-FR"/>
        </w:rPr>
        <w:t>feugiat</w:t>
      </w:r>
      <w:proofErr w:type="spellEnd"/>
      <w:r>
        <w:rPr>
          <w:lang w:val="fr-FR"/>
        </w:rPr>
        <w:t xml:space="preserve"> </w:t>
      </w:r>
      <w:proofErr w:type="spellStart"/>
      <w:r>
        <w:rPr>
          <w:lang w:val="fr-FR"/>
        </w:rPr>
        <w:t>eros</w:t>
      </w:r>
      <w:proofErr w:type="spellEnd"/>
      <w:r>
        <w:rPr>
          <w:lang w:val="fr-FR"/>
        </w:rPr>
        <w:t xml:space="preserve">. </w:t>
      </w:r>
      <w:proofErr w:type="spellStart"/>
      <w:r>
        <w:rPr>
          <w:lang w:val="fr-FR"/>
        </w:rPr>
        <w:t>Donec</w:t>
      </w:r>
      <w:proofErr w:type="spellEnd"/>
      <w:r>
        <w:rPr>
          <w:lang w:val="fr-FR"/>
        </w:rPr>
        <w:t xml:space="preserve"> </w:t>
      </w:r>
      <w:proofErr w:type="spellStart"/>
      <w:r>
        <w:rPr>
          <w:lang w:val="fr-FR"/>
        </w:rPr>
        <w:t>imperdiet</w:t>
      </w:r>
      <w:proofErr w:type="spellEnd"/>
      <w:r>
        <w:rPr>
          <w:lang w:val="fr-FR"/>
        </w:rPr>
        <w:t xml:space="preserve"> </w:t>
      </w:r>
      <w:proofErr w:type="spellStart"/>
      <w:r>
        <w:rPr>
          <w:lang w:val="fr-FR"/>
        </w:rPr>
        <w:t>pellentesque</w:t>
      </w:r>
      <w:proofErr w:type="spellEnd"/>
      <w:r>
        <w:rPr>
          <w:lang w:val="fr-FR"/>
        </w:rPr>
        <w:t xml:space="preserve"> </w:t>
      </w:r>
      <w:proofErr w:type="spellStart"/>
      <w:r>
        <w:rPr>
          <w:lang w:val="fr-FR"/>
        </w:rPr>
        <w:t>eros</w:t>
      </w:r>
      <w:proofErr w:type="spellEnd"/>
      <w:r>
        <w:rPr>
          <w:lang w:val="fr-FR"/>
        </w:rPr>
        <w:t xml:space="preserve">. </w:t>
      </w:r>
      <w:proofErr w:type="spellStart"/>
      <w:r>
        <w:rPr>
          <w:lang w:val="fr-FR"/>
        </w:rPr>
        <w:t>Donec</w:t>
      </w:r>
      <w:proofErr w:type="spellEnd"/>
      <w:r>
        <w:rPr>
          <w:lang w:val="fr-FR"/>
        </w:rPr>
        <w:t xml:space="preserve"> </w:t>
      </w:r>
      <w:proofErr w:type="spellStart"/>
      <w:r>
        <w:rPr>
          <w:lang w:val="fr-FR"/>
        </w:rPr>
        <w:t>efficitur</w:t>
      </w:r>
      <w:proofErr w:type="spellEnd"/>
      <w:r>
        <w:rPr>
          <w:lang w:val="fr-FR"/>
        </w:rPr>
        <w:t xml:space="preserve"> diam </w:t>
      </w:r>
      <w:proofErr w:type="spellStart"/>
      <w:r>
        <w:rPr>
          <w:lang w:val="fr-FR"/>
        </w:rPr>
        <w:t>nulla</w:t>
      </w:r>
      <w:proofErr w:type="spellEnd"/>
      <w:r>
        <w:rPr>
          <w:lang w:val="fr-FR"/>
        </w:rPr>
        <w:t xml:space="preserve">, at </w:t>
      </w:r>
      <w:proofErr w:type="spellStart"/>
      <w:r>
        <w:rPr>
          <w:lang w:val="fr-FR"/>
        </w:rPr>
        <w:t>fermentum</w:t>
      </w:r>
      <w:proofErr w:type="spellEnd"/>
      <w:r>
        <w:rPr>
          <w:lang w:val="fr-FR"/>
        </w:rPr>
        <w:t xml:space="preserve"> </w:t>
      </w:r>
      <w:proofErr w:type="spellStart"/>
      <w:r>
        <w:rPr>
          <w:lang w:val="fr-FR"/>
        </w:rPr>
        <w:t>eros</w:t>
      </w:r>
      <w:proofErr w:type="spellEnd"/>
      <w:r>
        <w:rPr>
          <w:lang w:val="fr-FR"/>
        </w:rPr>
        <w:t xml:space="preserve"> </w:t>
      </w:r>
      <w:proofErr w:type="spellStart"/>
      <w:r>
        <w:rPr>
          <w:lang w:val="fr-FR"/>
        </w:rPr>
        <w:t>lobortis</w:t>
      </w:r>
      <w:proofErr w:type="spellEnd"/>
      <w:r>
        <w:rPr>
          <w:lang w:val="fr-FR"/>
        </w:rPr>
        <w:t xml:space="preserve"> </w:t>
      </w:r>
      <w:proofErr w:type="spellStart"/>
      <w:r>
        <w:rPr>
          <w:lang w:val="fr-FR"/>
        </w:rPr>
        <w:t>eget</w:t>
      </w:r>
      <w:proofErr w:type="spellEnd"/>
      <w:r>
        <w:rPr>
          <w:lang w:val="fr-FR"/>
        </w:rPr>
        <w:t xml:space="preserve">. </w:t>
      </w:r>
      <w:r>
        <w:rPr>
          <w:lang w:val="en-GB"/>
        </w:rPr>
        <w:t xml:space="preserve">Sed auctor </w:t>
      </w:r>
      <w:proofErr w:type="spellStart"/>
      <w:r>
        <w:rPr>
          <w:lang w:val="en-GB"/>
        </w:rPr>
        <w:t>nec</w:t>
      </w:r>
      <w:proofErr w:type="spellEnd"/>
      <w:r>
        <w:rPr>
          <w:lang w:val="en-GB"/>
        </w:rPr>
        <w:t xml:space="preserve"> </w:t>
      </w:r>
      <w:proofErr w:type="spellStart"/>
      <w:r>
        <w:rPr>
          <w:lang w:val="en-GB"/>
        </w:rPr>
        <w:t>metus</w:t>
      </w:r>
      <w:proofErr w:type="spellEnd"/>
      <w:r>
        <w:rPr>
          <w:lang w:val="en-GB"/>
        </w:rPr>
        <w:t xml:space="preserve"> </w:t>
      </w:r>
      <w:proofErr w:type="spellStart"/>
      <w:r>
        <w:rPr>
          <w:lang w:val="en-GB"/>
        </w:rPr>
        <w:t>nec</w:t>
      </w:r>
      <w:proofErr w:type="spellEnd"/>
      <w:r>
        <w:rPr>
          <w:lang w:val="en-GB"/>
        </w:rPr>
        <w:t xml:space="preserve"> </w:t>
      </w:r>
      <w:proofErr w:type="spellStart"/>
      <w:r>
        <w:rPr>
          <w:lang w:val="en-GB"/>
        </w:rPr>
        <w:t>finibus</w:t>
      </w:r>
      <w:proofErr w:type="spellEnd"/>
      <w:r>
        <w:rPr>
          <w:lang w:val="en-GB"/>
        </w:rPr>
        <w:t>.</w:t>
      </w:r>
    </w:p>
    <w:p w14:paraId="7BF4F915" w14:textId="77777777" w:rsidR="006C677B" w:rsidRDefault="006C677B">
      <w:pPr>
        <w:spacing w:after="0"/>
        <w:rPr>
          <w:rFonts w:ascii="Futura" w:hAnsi="Futura"/>
          <w:lang w:val="en-GB"/>
        </w:rPr>
      </w:pPr>
    </w:p>
    <w:p w14:paraId="0004973D" w14:textId="77777777" w:rsidR="006C677B" w:rsidRDefault="003A08E7">
      <w:pPr>
        <w:pStyle w:val="Heading3"/>
        <w:numPr>
          <w:ilvl w:val="2"/>
          <w:numId w:val="2"/>
        </w:numPr>
        <w:rPr>
          <w:color w:val="DA1E22"/>
          <w:lang w:val="en-GB"/>
        </w:rPr>
      </w:pPr>
      <w:r>
        <w:rPr>
          <w:color w:val="DA1E22"/>
          <w:lang w:val="en-GB"/>
        </w:rPr>
        <w:t xml:space="preserve">Contributor Statement </w:t>
      </w:r>
      <w:r>
        <w:rPr>
          <w:color w:val="DA1E22"/>
          <w:sz w:val="22"/>
          <w:szCs w:val="22"/>
          <w:lang w:val="en-GB"/>
        </w:rPr>
        <w:t>(Describe properly all author contributions and all types of contribution)</w:t>
      </w:r>
    </w:p>
    <w:p w14:paraId="4B2AB555" w14:textId="77777777" w:rsidR="006C677B" w:rsidRDefault="003A08E7">
      <w:pPr>
        <w:pStyle w:val="BodyText"/>
        <w:rPr>
          <w:lang w:val="en-GB"/>
        </w:rPr>
      </w:pPr>
      <w:r>
        <w:rPr>
          <w:lang w:val="fr-FR"/>
        </w:rPr>
        <w:t xml:space="preserve">Suspendisse </w:t>
      </w:r>
      <w:proofErr w:type="spellStart"/>
      <w:r>
        <w:rPr>
          <w:lang w:val="fr-FR"/>
        </w:rPr>
        <w:t>ultrices</w:t>
      </w:r>
      <w:proofErr w:type="spellEnd"/>
      <w:r>
        <w:rPr>
          <w:lang w:val="fr-FR"/>
        </w:rPr>
        <w:t xml:space="preserve"> </w:t>
      </w:r>
      <w:proofErr w:type="spellStart"/>
      <w:r>
        <w:rPr>
          <w:lang w:val="fr-FR"/>
        </w:rPr>
        <w:t>felis</w:t>
      </w:r>
      <w:proofErr w:type="spellEnd"/>
      <w:r>
        <w:rPr>
          <w:lang w:val="fr-FR"/>
        </w:rPr>
        <w:t xml:space="preserve"> ut ante pretium </w:t>
      </w:r>
      <w:proofErr w:type="spellStart"/>
      <w:r>
        <w:rPr>
          <w:lang w:val="fr-FR"/>
        </w:rPr>
        <w:t>tincidunt</w:t>
      </w:r>
      <w:proofErr w:type="spellEnd"/>
      <w:r>
        <w:rPr>
          <w:lang w:val="fr-FR"/>
        </w:rPr>
        <w:t xml:space="preserve">. </w:t>
      </w:r>
      <w:proofErr w:type="spellStart"/>
      <w:r>
        <w:rPr>
          <w:lang w:val="fr-FR"/>
        </w:rPr>
        <w:t>Vestibulum</w:t>
      </w:r>
      <w:proofErr w:type="spellEnd"/>
      <w:r>
        <w:rPr>
          <w:lang w:val="fr-FR"/>
        </w:rPr>
        <w:t xml:space="preserve"> </w:t>
      </w:r>
      <w:proofErr w:type="spellStart"/>
      <w:r>
        <w:rPr>
          <w:lang w:val="fr-FR"/>
        </w:rPr>
        <w:t>orci</w:t>
      </w:r>
      <w:proofErr w:type="spellEnd"/>
      <w:r>
        <w:rPr>
          <w:lang w:val="fr-FR"/>
        </w:rPr>
        <w:t xml:space="preserve"> </w:t>
      </w:r>
      <w:proofErr w:type="spellStart"/>
      <w:r>
        <w:rPr>
          <w:lang w:val="fr-FR"/>
        </w:rPr>
        <w:t>turpis</w:t>
      </w:r>
      <w:proofErr w:type="spellEnd"/>
      <w:r>
        <w:rPr>
          <w:lang w:val="fr-FR"/>
        </w:rPr>
        <w:t xml:space="preserve">, </w:t>
      </w:r>
      <w:proofErr w:type="spellStart"/>
      <w:r>
        <w:rPr>
          <w:lang w:val="fr-FR"/>
        </w:rPr>
        <w:t>tincidunt</w:t>
      </w:r>
      <w:proofErr w:type="spellEnd"/>
      <w:r>
        <w:rPr>
          <w:lang w:val="fr-FR"/>
        </w:rPr>
        <w:t xml:space="preserve"> a diam vitae, </w:t>
      </w:r>
      <w:proofErr w:type="spellStart"/>
      <w:r>
        <w:rPr>
          <w:lang w:val="fr-FR"/>
        </w:rPr>
        <w:t>tincidunt</w:t>
      </w:r>
      <w:proofErr w:type="spellEnd"/>
      <w:r>
        <w:rPr>
          <w:lang w:val="fr-FR"/>
        </w:rPr>
        <w:t xml:space="preserve"> </w:t>
      </w:r>
      <w:proofErr w:type="spellStart"/>
      <w:r>
        <w:rPr>
          <w:lang w:val="fr-FR"/>
        </w:rPr>
        <w:t>pellentesque</w:t>
      </w:r>
      <w:proofErr w:type="spellEnd"/>
      <w:r>
        <w:rPr>
          <w:lang w:val="fr-FR"/>
        </w:rPr>
        <w:t xml:space="preserve"> ante. Nunc </w:t>
      </w:r>
      <w:proofErr w:type="spellStart"/>
      <w:r>
        <w:rPr>
          <w:lang w:val="fr-FR"/>
        </w:rPr>
        <w:t>tempor</w:t>
      </w:r>
      <w:proofErr w:type="spellEnd"/>
      <w:r>
        <w:rPr>
          <w:lang w:val="fr-FR"/>
        </w:rPr>
        <w:t xml:space="preserve"> </w:t>
      </w:r>
      <w:proofErr w:type="spellStart"/>
      <w:r>
        <w:rPr>
          <w:lang w:val="fr-FR"/>
        </w:rPr>
        <w:t>accumsan</w:t>
      </w:r>
      <w:proofErr w:type="spellEnd"/>
      <w:r>
        <w:rPr>
          <w:lang w:val="fr-FR"/>
        </w:rPr>
        <w:t xml:space="preserve"> </w:t>
      </w:r>
      <w:proofErr w:type="spellStart"/>
      <w:r>
        <w:rPr>
          <w:lang w:val="fr-FR"/>
        </w:rPr>
        <w:t>interdum</w:t>
      </w:r>
      <w:proofErr w:type="spellEnd"/>
      <w:r>
        <w:rPr>
          <w:lang w:val="fr-FR"/>
        </w:rPr>
        <w:t xml:space="preserve">. In non </w:t>
      </w:r>
      <w:proofErr w:type="spellStart"/>
      <w:r>
        <w:rPr>
          <w:lang w:val="fr-FR"/>
        </w:rPr>
        <w:t>dui</w:t>
      </w:r>
      <w:proofErr w:type="spellEnd"/>
      <w:r>
        <w:rPr>
          <w:lang w:val="fr-FR"/>
        </w:rPr>
        <w:t xml:space="preserve"> </w:t>
      </w:r>
      <w:proofErr w:type="spellStart"/>
      <w:r>
        <w:rPr>
          <w:lang w:val="fr-FR"/>
        </w:rPr>
        <w:t>quis</w:t>
      </w:r>
      <w:proofErr w:type="spellEnd"/>
      <w:r>
        <w:rPr>
          <w:lang w:val="fr-FR"/>
        </w:rPr>
        <w:t xml:space="preserve"> </w:t>
      </w:r>
      <w:proofErr w:type="spellStart"/>
      <w:r>
        <w:rPr>
          <w:lang w:val="fr-FR"/>
        </w:rPr>
        <w:t>urna</w:t>
      </w:r>
      <w:proofErr w:type="spellEnd"/>
      <w:r>
        <w:rPr>
          <w:lang w:val="fr-FR"/>
        </w:rPr>
        <w:t xml:space="preserve"> </w:t>
      </w:r>
      <w:proofErr w:type="spellStart"/>
      <w:r>
        <w:rPr>
          <w:lang w:val="fr-FR"/>
        </w:rPr>
        <w:t>porttitor</w:t>
      </w:r>
      <w:proofErr w:type="spellEnd"/>
      <w:r>
        <w:rPr>
          <w:lang w:val="fr-FR"/>
        </w:rPr>
        <w:t xml:space="preserve"> pretium. Integer </w:t>
      </w:r>
      <w:proofErr w:type="spellStart"/>
      <w:r>
        <w:rPr>
          <w:lang w:val="fr-FR"/>
        </w:rPr>
        <w:t>quis</w:t>
      </w:r>
      <w:proofErr w:type="spellEnd"/>
      <w:r>
        <w:rPr>
          <w:lang w:val="fr-FR"/>
        </w:rPr>
        <w:t xml:space="preserve"> </w:t>
      </w:r>
      <w:proofErr w:type="spellStart"/>
      <w:r>
        <w:rPr>
          <w:lang w:val="fr-FR"/>
        </w:rPr>
        <w:t>nulla</w:t>
      </w:r>
      <w:proofErr w:type="spellEnd"/>
      <w:r>
        <w:rPr>
          <w:lang w:val="fr-FR"/>
        </w:rPr>
        <w:t xml:space="preserve"> </w:t>
      </w:r>
      <w:proofErr w:type="spellStart"/>
      <w:r>
        <w:rPr>
          <w:lang w:val="fr-FR"/>
        </w:rPr>
        <w:t>dapibus</w:t>
      </w:r>
      <w:proofErr w:type="spellEnd"/>
      <w:r>
        <w:rPr>
          <w:lang w:val="fr-FR"/>
        </w:rPr>
        <w:t xml:space="preserve"> </w:t>
      </w:r>
      <w:proofErr w:type="spellStart"/>
      <w:r>
        <w:rPr>
          <w:lang w:val="fr-FR"/>
        </w:rPr>
        <w:t>quam</w:t>
      </w:r>
      <w:proofErr w:type="spellEnd"/>
      <w:r>
        <w:rPr>
          <w:lang w:val="fr-FR"/>
        </w:rPr>
        <w:t xml:space="preserve"> </w:t>
      </w:r>
      <w:proofErr w:type="spellStart"/>
      <w:r>
        <w:rPr>
          <w:lang w:val="fr-FR"/>
        </w:rPr>
        <w:t>luctus</w:t>
      </w:r>
      <w:proofErr w:type="spellEnd"/>
      <w:r>
        <w:rPr>
          <w:lang w:val="fr-FR"/>
        </w:rPr>
        <w:t xml:space="preserve"> commodo. </w:t>
      </w:r>
      <w:proofErr w:type="spellStart"/>
      <w:r>
        <w:rPr>
          <w:lang w:val="fr-FR"/>
        </w:rPr>
        <w:t>Pellentesque</w:t>
      </w:r>
      <w:proofErr w:type="spellEnd"/>
      <w:r>
        <w:rPr>
          <w:lang w:val="fr-FR"/>
        </w:rPr>
        <w:t xml:space="preserve"> ut </w:t>
      </w:r>
      <w:proofErr w:type="spellStart"/>
      <w:r>
        <w:rPr>
          <w:lang w:val="fr-FR"/>
        </w:rPr>
        <w:t>turpis</w:t>
      </w:r>
      <w:proofErr w:type="spellEnd"/>
      <w:r>
        <w:rPr>
          <w:lang w:val="fr-FR"/>
        </w:rPr>
        <w:t xml:space="preserve"> </w:t>
      </w:r>
      <w:proofErr w:type="spellStart"/>
      <w:r>
        <w:rPr>
          <w:lang w:val="fr-FR"/>
        </w:rPr>
        <w:t>quis</w:t>
      </w:r>
      <w:proofErr w:type="spellEnd"/>
      <w:r>
        <w:rPr>
          <w:lang w:val="fr-FR"/>
        </w:rPr>
        <w:t xml:space="preserve"> </w:t>
      </w:r>
      <w:proofErr w:type="spellStart"/>
      <w:r>
        <w:rPr>
          <w:lang w:val="fr-FR"/>
        </w:rPr>
        <w:t>nibh</w:t>
      </w:r>
      <w:proofErr w:type="spellEnd"/>
      <w:r>
        <w:rPr>
          <w:lang w:val="fr-FR"/>
        </w:rPr>
        <w:t xml:space="preserve"> </w:t>
      </w:r>
      <w:proofErr w:type="spellStart"/>
      <w:r>
        <w:rPr>
          <w:lang w:val="fr-FR"/>
        </w:rPr>
        <w:t>vulputate</w:t>
      </w:r>
      <w:proofErr w:type="spellEnd"/>
      <w:r>
        <w:rPr>
          <w:lang w:val="fr-FR"/>
        </w:rPr>
        <w:t xml:space="preserve"> </w:t>
      </w:r>
      <w:proofErr w:type="spellStart"/>
      <w:r>
        <w:rPr>
          <w:lang w:val="fr-FR"/>
        </w:rPr>
        <w:t>fermentum</w:t>
      </w:r>
      <w:proofErr w:type="spellEnd"/>
      <w:r>
        <w:rPr>
          <w:lang w:val="fr-FR"/>
        </w:rPr>
        <w:t xml:space="preserve"> at id </w:t>
      </w:r>
      <w:proofErr w:type="spellStart"/>
      <w:r>
        <w:rPr>
          <w:lang w:val="fr-FR"/>
        </w:rPr>
        <w:t>orci</w:t>
      </w:r>
      <w:proofErr w:type="spellEnd"/>
      <w:r>
        <w:rPr>
          <w:lang w:val="fr-FR"/>
        </w:rPr>
        <w:t xml:space="preserve">. </w:t>
      </w:r>
      <w:proofErr w:type="spellStart"/>
      <w:r>
        <w:rPr>
          <w:lang w:val="fr-FR"/>
        </w:rPr>
        <w:t>Mauris</w:t>
      </w:r>
      <w:proofErr w:type="spellEnd"/>
      <w:r>
        <w:rPr>
          <w:lang w:val="fr-FR"/>
        </w:rPr>
        <w:t xml:space="preserve"> eu </w:t>
      </w:r>
      <w:proofErr w:type="spellStart"/>
      <w:r>
        <w:rPr>
          <w:lang w:val="fr-FR"/>
        </w:rPr>
        <w:t>ligula</w:t>
      </w:r>
      <w:proofErr w:type="spellEnd"/>
      <w:r>
        <w:rPr>
          <w:lang w:val="fr-FR"/>
        </w:rPr>
        <w:t xml:space="preserve"> </w:t>
      </w:r>
      <w:proofErr w:type="spellStart"/>
      <w:r>
        <w:rPr>
          <w:lang w:val="fr-FR"/>
        </w:rPr>
        <w:t>volutpat</w:t>
      </w:r>
      <w:proofErr w:type="spellEnd"/>
      <w:r>
        <w:rPr>
          <w:lang w:val="fr-FR"/>
        </w:rPr>
        <w:t xml:space="preserve">, </w:t>
      </w:r>
      <w:proofErr w:type="spellStart"/>
      <w:r>
        <w:rPr>
          <w:lang w:val="fr-FR"/>
        </w:rPr>
        <w:t>eleifend</w:t>
      </w:r>
      <w:proofErr w:type="spellEnd"/>
      <w:r>
        <w:rPr>
          <w:lang w:val="fr-FR"/>
        </w:rPr>
        <w:t xml:space="preserve"> diam vitae, </w:t>
      </w:r>
      <w:proofErr w:type="spellStart"/>
      <w:r>
        <w:rPr>
          <w:lang w:val="fr-FR"/>
        </w:rPr>
        <w:t>tincidunt</w:t>
      </w:r>
      <w:proofErr w:type="spellEnd"/>
      <w:r>
        <w:rPr>
          <w:lang w:val="fr-FR"/>
        </w:rPr>
        <w:t xml:space="preserve"> </w:t>
      </w:r>
      <w:proofErr w:type="spellStart"/>
      <w:r>
        <w:rPr>
          <w:lang w:val="fr-FR"/>
        </w:rPr>
        <w:t>turpis</w:t>
      </w:r>
      <w:proofErr w:type="spellEnd"/>
      <w:r>
        <w:rPr>
          <w:lang w:val="fr-FR"/>
        </w:rPr>
        <w:t xml:space="preserve">. </w:t>
      </w:r>
      <w:proofErr w:type="spellStart"/>
      <w:r>
        <w:rPr>
          <w:lang w:val="fr-FR"/>
        </w:rPr>
        <w:t>Donec</w:t>
      </w:r>
      <w:proofErr w:type="spellEnd"/>
      <w:r>
        <w:rPr>
          <w:lang w:val="fr-FR"/>
        </w:rPr>
        <w:t xml:space="preserve"> a </w:t>
      </w:r>
      <w:proofErr w:type="spellStart"/>
      <w:r>
        <w:rPr>
          <w:lang w:val="fr-FR"/>
        </w:rPr>
        <w:t>dolor</w:t>
      </w:r>
      <w:proofErr w:type="spellEnd"/>
      <w:r>
        <w:rPr>
          <w:lang w:val="fr-FR"/>
        </w:rPr>
        <w:t xml:space="preserve"> </w:t>
      </w:r>
      <w:proofErr w:type="spellStart"/>
      <w:r>
        <w:rPr>
          <w:lang w:val="fr-FR"/>
        </w:rPr>
        <w:t>malesuada</w:t>
      </w:r>
      <w:proofErr w:type="spellEnd"/>
      <w:r>
        <w:rPr>
          <w:lang w:val="fr-FR"/>
        </w:rPr>
        <w:t xml:space="preserve">, </w:t>
      </w:r>
      <w:proofErr w:type="spellStart"/>
      <w:r>
        <w:rPr>
          <w:lang w:val="fr-FR"/>
        </w:rPr>
        <w:t>feugiat</w:t>
      </w:r>
      <w:proofErr w:type="spellEnd"/>
      <w:r>
        <w:rPr>
          <w:lang w:val="fr-FR"/>
        </w:rPr>
        <w:t xml:space="preserve"> </w:t>
      </w:r>
      <w:proofErr w:type="spellStart"/>
      <w:r>
        <w:rPr>
          <w:lang w:val="fr-FR"/>
        </w:rPr>
        <w:t>eros</w:t>
      </w:r>
      <w:proofErr w:type="spellEnd"/>
      <w:r>
        <w:rPr>
          <w:lang w:val="fr-FR"/>
        </w:rPr>
        <w:t xml:space="preserve"> non, </w:t>
      </w:r>
      <w:proofErr w:type="spellStart"/>
      <w:r>
        <w:rPr>
          <w:lang w:val="fr-FR"/>
        </w:rPr>
        <w:t>pharetra</w:t>
      </w:r>
      <w:proofErr w:type="spellEnd"/>
      <w:r>
        <w:rPr>
          <w:lang w:val="fr-FR"/>
        </w:rPr>
        <w:t xml:space="preserve"> </w:t>
      </w:r>
      <w:proofErr w:type="spellStart"/>
      <w:r>
        <w:rPr>
          <w:lang w:val="fr-FR"/>
        </w:rPr>
        <w:t>urna</w:t>
      </w:r>
      <w:proofErr w:type="spellEnd"/>
      <w:r>
        <w:rPr>
          <w:lang w:val="fr-FR"/>
        </w:rPr>
        <w:t xml:space="preserve">. Integer </w:t>
      </w:r>
      <w:proofErr w:type="spellStart"/>
      <w:r>
        <w:rPr>
          <w:lang w:val="fr-FR"/>
        </w:rPr>
        <w:t>pellentesque</w:t>
      </w:r>
      <w:proofErr w:type="spellEnd"/>
      <w:r>
        <w:rPr>
          <w:lang w:val="fr-FR"/>
        </w:rPr>
        <w:t xml:space="preserve"> </w:t>
      </w:r>
      <w:proofErr w:type="spellStart"/>
      <w:r>
        <w:rPr>
          <w:lang w:val="fr-FR"/>
        </w:rPr>
        <w:t>urna</w:t>
      </w:r>
      <w:proofErr w:type="spellEnd"/>
      <w:r>
        <w:rPr>
          <w:lang w:val="fr-FR"/>
        </w:rPr>
        <w:t xml:space="preserve"> </w:t>
      </w:r>
      <w:proofErr w:type="spellStart"/>
      <w:r>
        <w:rPr>
          <w:lang w:val="fr-FR"/>
        </w:rPr>
        <w:t>vulputate</w:t>
      </w:r>
      <w:proofErr w:type="spellEnd"/>
      <w:r>
        <w:rPr>
          <w:lang w:val="fr-FR"/>
        </w:rPr>
        <w:t xml:space="preserve"> </w:t>
      </w:r>
      <w:proofErr w:type="spellStart"/>
      <w:r>
        <w:rPr>
          <w:lang w:val="fr-FR"/>
        </w:rPr>
        <w:t>justo</w:t>
      </w:r>
      <w:proofErr w:type="spellEnd"/>
      <w:r>
        <w:rPr>
          <w:lang w:val="fr-FR"/>
        </w:rPr>
        <w:t xml:space="preserve"> </w:t>
      </w:r>
      <w:proofErr w:type="spellStart"/>
      <w:r>
        <w:rPr>
          <w:lang w:val="fr-FR"/>
        </w:rPr>
        <w:t>placerat</w:t>
      </w:r>
      <w:proofErr w:type="spellEnd"/>
      <w:r>
        <w:rPr>
          <w:lang w:val="fr-FR"/>
        </w:rPr>
        <w:t xml:space="preserve"> </w:t>
      </w:r>
      <w:proofErr w:type="spellStart"/>
      <w:r>
        <w:rPr>
          <w:lang w:val="fr-FR"/>
        </w:rPr>
        <w:t>tempor</w:t>
      </w:r>
      <w:proofErr w:type="spellEnd"/>
      <w:r>
        <w:rPr>
          <w:lang w:val="fr-FR"/>
        </w:rPr>
        <w:t xml:space="preserve">. Ut </w:t>
      </w:r>
      <w:proofErr w:type="spellStart"/>
      <w:r>
        <w:rPr>
          <w:lang w:val="fr-FR"/>
        </w:rPr>
        <w:t>varius</w:t>
      </w:r>
      <w:proofErr w:type="spellEnd"/>
      <w:r>
        <w:rPr>
          <w:lang w:val="fr-FR"/>
        </w:rPr>
        <w:t xml:space="preserve">, </w:t>
      </w:r>
      <w:proofErr w:type="spellStart"/>
      <w:r>
        <w:rPr>
          <w:lang w:val="fr-FR"/>
        </w:rPr>
        <w:t>lorem</w:t>
      </w:r>
      <w:proofErr w:type="spellEnd"/>
      <w:r>
        <w:rPr>
          <w:lang w:val="fr-FR"/>
        </w:rPr>
        <w:t xml:space="preserve"> vitae cursus </w:t>
      </w:r>
      <w:proofErr w:type="spellStart"/>
      <w:r>
        <w:rPr>
          <w:lang w:val="fr-FR"/>
        </w:rPr>
        <w:t>tempor</w:t>
      </w:r>
      <w:proofErr w:type="spellEnd"/>
      <w:r>
        <w:rPr>
          <w:lang w:val="fr-FR"/>
        </w:rPr>
        <w:t xml:space="preserve">, </w:t>
      </w:r>
      <w:proofErr w:type="spellStart"/>
      <w:r>
        <w:rPr>
          <w:lang w:val="fr-FR"/>
        </w:rPr>
        <w:t>mauris</w:t>
      </w:r>
      <w:proofErr w:type="spellEnd"/>
      <w:r>
        <w:rPr>
          <w:lang w:val="fr-FR"/>
        </w:rPr>
        <w:t xml:space="preserve"> </w:t>
      </w:r>
      <w:proofErr w:type="spellStart"/>
      <w:r>
        <w:rPr>
          <w:lang w:val="fr-FR"/>
        </w:rPr>
        <w:t>nibh</w:t>
      </w:r>
      <w:proofErr w:type="spellEnd"/>
      <w:r>
        <w:rPr>
          <w:lang w:val="fr-FR"/>
        </w:rPr>
        <w:t xml:space="preserve"> </w:t>
      </w:r>
      <w:proofErr w:type="spellStart"/>
      <w:r>
        <w:rPr>
          <w:lang w:val="fr-FR"/>
        </w:rPr>
        <w:t>volutpat</w:t>
      </w:r>
      <w:proofErr w:type="spellEnd"/>
      <w:r>
        <w:rPr>
          <w:lang w:val="fr-FR"/>
        </w:rPr>
        <w:t xml:space="preserve"> </w:t>
      </w:r>
      <w:proofErr w:type="spellStart"/>
      <w:r>
        <w:rPr>
          <w:lang w:val="fr-FR"/>
        </w:rPr>
        <w:t>felis</w:t>
      </w:r>
      <w:proofErr w:type="spellEnd"/>
      <w:r>
        <w:rPr>
          <w:lang w:val="fr-FR"/>
        </w:rPr>
        <w:t xml:space="preserve">, </w:t>
      </w:r>
      <w:proofErr w:type="spellStart"/>
      <w:r>
        <w:rPr>
          <w:lang w:val="fr-FR"/>
        </w:rPr>
        <w:t>quis</w:t>
      </w:r>
      <w:proofErr w:type="spellEnd"/>
      <w:r>
        <w:rPr>
          <w:lang w:val="fr-FR"/>
        </w:rPr>
        <w:t xml:space="preserve"> </w:t>
      </w:r>
      <w:proofErr w:type="spellStart"/>
      <w:r>
        <w:rPr>
          <w:lang w:val="fr-FR"/>
        </w:rPr>
        <w:t>efficitur</w:t>
      </w:r>
      <w:proofErr w:type="spellEnd"/>
      <w:r>
        <w:rPr>
          <w:lang w:val="fr-FR"/>
        </w:rPr>
        <w:t xml:space="preserve"> </w:t>
      </w:r>
      <w:proofErr w:type="spellStart"/>
      <w:r>
        <w:rPr>
          <w:lang w:val="fr-FR"/>
        </w:rPr>
        <w:t>tortor</w:t>
      </w:r>
      <w:proofErr w:type="spellEnd"/>
      <w:r>
        <w:rPr>
          <w:lang w:val="fr-FR"/>
        </w:rPr>
        <w:t xml:space="preserve"> </w:t>
      </w:r>
      <w:proofErr w:type="spellStart"/>
      <w:r>
        <w:rPr>
          <w:lang w:val="fr-FR"/>
        </w:rPr>
        <w:t>elit</w:t>
      </w:r>
      <w:proofErr w:type="spellEnd"/>
      <w:r>
        <w:rPr>
          <w:lang w:val="fr-FR"/>
        </w:rPr>
        <w:t xml:space="preserve"> </w:t>
      </w:r>
      <w:proofErr w:type="spellStart"/>
      <w:r>
        <w:rPr>
          <w:lang w:val="fr-FR"/>
        </w:rPr>
        <w:t>feugiat</w:t>
      </w:r>
      <w:proofErr w:type="spellEnd"/>
      <w:r>
        <w:rPr>
          <w:lang w:val="fr-FR"/>
        </w:rPr>
        <w:t xml:space="preserve"> </w:t>
      </w:r>
      <w:proofErr w:type="spellStart"/>
      <w:r>
        <w:rPr>
          <w:lang w:val="fr-FR"/>
        </w:rPr>
        <w:t>eros</w:t>
      </w:r>
      <w:proofErr w:type="spellEnd"/>
      <w:r>
        <w:rPr>
          <w:lang w:val="fr-FR"/>
        </w:rPr>
        <w:t xml:space="preserve">. </w:t>
      </w:r>
      <w:proofErr w:type="spellStart"/>
      <w:r>
        <w:rPr>
          <w:lang w:val="fr-FR"/>
        </w:rPr>
        <w:t>Donec</w:t>
      </w:r>
      <w:proofErr w:type="spellEnd"/>
      <w:r>
        <w:rPr>
          <w:lang w:val="fr-FR"/>
        </w:rPr>
        <w:t xml:space="preserve"> </w:t>
      </w:r>
      <w:proofErr w:type="spellStart"/>
      <w:r>
        <w:rPr>
          <w:lang w:val="fr-FR"/>
        </w:rPr>
        <w:t>imperdiet</w:t>
      </w:r>
      <w:proofErr w:type="spellEnd"/>
      <w:r>
        <w:rPr>
          <w:lang w:val="fr-FR"/>
        </w:rPr>
        <w:t xml:space="preserve"> </w:t>
      </w:r>
      <w:proofErr w:type="spellStart"/>
      <w:r>
        <w:rPr>
          <w:lang w:val="fr-FR"/>
        </w:rPr>
        <w:t>pellentesque</w:t>
      </w:r>
      <w:proofErr w:type="spellEnd"/>
      <w:r>
        <w:rPr>
          <w:lang w:val="fr-FR"/>
        </w:rPr>
        <w:t xml:space="preserve"> </w:t>
      </w:r>
      <w:proofErr w:type="spellStart"/>
      <w:r>
        <w:rPr>
          <w:lang w:val="fr-FR"/>
        </w:rPr>
        <w:t>eros</w:t>
      </w:r>
      <w:proofErr w:type="spellEnd"/>
      <w:r>
        <w:rPr>
          <w:lang w:val="fr-FR"/>
        </w:rPr>
        <w:t xml:space="preserve">. </w:t>
      </w:r>
      <w:proofErr w:type="spellStart"/>
      <w:r>
        <w:rPr>
          <w:lang w:val="fr-FR"/>
        </w:rPr>
        <w:t>Donec</w:t>
      </w:r>
      <w:proofErr w:type="spellEnd"/>
      <w:r>
        <w:rPr>
          <w:lang w:val="fr-FR"/>
        </w:rPr>
        <w:t xml:space="preserve"> </w:t>
      </w:r>
      <w:proofErr w:type="spellStart"/>
      <w:r>
        <w:rPr>
          <w:lang w:val="fr-FR"/>
        </w:rPr>
        <w:t>efficitur</w:t>
      </w:r>
      <w:proofErr w:type="spellEnd"/>
      <w:r>
        <w:rPr>
          <w:lang w:val="fr-FR"/>
        </w:rPr>
        <w:t xml:space="preserve"> diam </w:t>
      </w:r>
      <w:proofErr w:type="spellStart"/>
      <w:r>
        <w:rPr>
          <w:lang w:val="fr-FR"/>
        </w:rPr>
        <w:t>nulla</w:t>
      </w:r>
      <w:proofErr w:type="spellEnd"/>
      <w:r>
        <w:rPr>
          <w:lang w:val="fr-FR"/>
        </w:rPr>
        <w:t xml:space="preserve">, at </w:t>
      </w:r>
      <w:proofErr w:type="spellStart"/>
      <w:r>
        <w:rPr>
          <w:lang w:val="fr-FR"/>
        </w:rPr>
        <w:t>fermentum</w:t>
      </w:r>
      <w:proofErr w:type="spellEnd"/>
      <w:r>
        <w:rPr>
          <w:lang w:val="fr-FR"/>
        </w:rPr>
        <w:t xml:space="preserve"> </w:t>
      </w:r>
      <w:proofErr w:type="spellStart"/>
      <w:r>
        <w:rPr>
          <w:lang w:val="fr-FR"/>
        </w:rPr>
        <w:t>eros</w:t>
      </w:r>
      <w:proofErr w:type="spellEnd"/>
      <w:r>
        <w:rPr>
          <w:lang w:val="fr-FR"/>
        </w:rPr>
        <w:t xml:space="preserve"> </w:t>
      </w:r>
      <w:proofErr w:type="spellStart"/>
      <w:r>
        <w:rPr>
          <w:lang w:val="fr-FR"/>
        </w:rPr>
        <w:t>lobortis</w:t>
      </w:r>
      <w:proofErr w:type="spellEnd"/>
      <w:r>
        <w:rPr>
          <w:lang w:val="fr-FR"/>
        </w:rPr>
        <w:t xml:space="preserve"> </w:t>
      </w:r>
      <w:proofErr w:type="spellStart"/>
      <w:r>
        <w:rPr>
          <w:lang w:val="fr-FR"/>
        </w:rPr>
        <w:t>eget</w:t>
      </w:r>
      <w:proofErr w:type="spellEnd"/>
      <w:r>
        <w:rPr>
          <w:lang w:val="fr-FR"/>
        </w:rPr>
        <w:t xml:space="preserve">. </w:t>
      </w:r>
      <w:r>
        <w:rPr>
          <w:lang w:val="en-GB"/>
        </w:rPr>
        <w:t xml:space="preserve">Sed auctor </w:t>
      </w:r>
      <w:proofErr w:type="spellStart"/>
      <w:r>
        <w:rPr>
          <w:lang w:val="en-GB"/>
        </w:rPr>
        <w:t>nec</w:t>
      </w:r>
      <w:proofErr w:type="spellEnd"/>
      <w:r>
        <w:rPr>
          <w:lang w:val="en-GB"/>
        </w:rPr>
        <w:t xml:space="preserve"> </w:t>
      </w:r>
      <w:proofErr w:type="spellStart"/>
      <w:r>
        <w:rPr>
          <w:lang w:val="en-GB"/>
        </w:rPr>
        <w:t>metus</w:t>
      </w:r>
      <w:proofErr w:type="spellEnd"/>
      <w:r>
        <w:rPr>
          <w:lang w:val="en-GB"/>
        </w:rPr>
        <w:t xml:space="preserve"> </w:t>
      </w:r>
      <w:proofErr w:type="spellStart"/>
      <w:r>
        <w:rPr>
          <w:lang w:val="en-GB"/>
        </w:rPr>
        <w:t>nec</w:t>
      </w:r>
      <w:proofErr w:type="spellEnd"/>
      <w:r>
        <w:rPr>
          <w:lang w:val="en-GB"/>
        </w:rPr>
        <w:t xml:space="preserve"> </w:t>
      </w:r>
      <w:proofErr w:type="spellStart"/>
      <w:r>
        <w:rPr>
          <w:lang w:val="en-GB"/>
        </w:rPr>
        <w:t>finibus</w:t>
      </w:r>
      <w:proofErr w:type="spellEnd"/>
      <w:r>
        <w:rPr>
          <w:lang w:val="en-GB"/>
        </w:rPr>
        <w:t>.</w:t>
      </w:r>
    </w:p>
    <w:p w14:paraId="407B643C" w14:textId="77777777" w:rsidR="006C677B" w:rsidRDefault="006C677B">
      <w:pPr>
        <w:spacing w:after="0"/>
        <w:rPr>
          <w:rFonts w:ascii="Futura" w:hAnsi="Futura"/>
          <w:lang w:val="en-GB"/>
        </w:rPr>
      </w:pPr>
    </w:p>
    <w:p w14:paraId="58C117C7" w14:textId="77777777" w:rsidR="006C677B" w:rsidRDefault="003A08E7">
      <w:pPr>
        <w:pStyle w:val="Heading3"/>
        <w:numPr>
          <w:ilvl w:val="2"/>
          <w:numId w:val="2"/>
        </w:numPr>
        <w:rPr>
          <w:lang w:val="en-GB"/>
        </w:rPr>
      </w:pPr>
      <w:r>
        <w:t xml:space="preserve">Acknowledgment </w:t>
      </w:r>
    </w:p>
    <w:p w14:paraId="02BA2029" w14:textId="77777777" w:rsidR="006C677B" w:rsidRDefault="003A08E7">
      <w:pPr>
        <w:pStyle w:val="BodyText"/>
        <w:rPr>
          <w:lang w:val="fr-FR"/>
        </w:rPr>
      </w:pPr>
      <w:proofErr w:type="spellStart"/>
      <w:r>
        <w:rPr>
          <w:lang w:val="en-GB"/>
        </w:rPr>
        <w:t>Etiam</w:t>
      </w:r>
      <w:proofErr w:type="spellEnd"/>
      <w:r>
        <w:rPr>
          <w:lang w:val="en-GB"/>
        </w:rPr>
        <w:t xml:space="preserve"> id </w:t>
      </w:r>
      <w:proofErr w:type="spellStart"/>
      <w:r>
        <w:rPr>
          <w:lang w:val="en-GB"/>
        </w:rPr>
        <w:t>urna</w:t>
      </w:r>
      <w:proofErr w:type="spellEnd"/>
      <w:r>
        <w:rPr>
          <w:lang w:val="en-GB"/>
        </w:rPr>
        <w:t xml:space="preserve"> </w:t>
      </w:r>
      <w:proofErr w:type="spellStart"/>
      <w:r>
        <w:rPr>
          <w:lang w:val="en-GB"/>
        </w:rPr>
        <w:t>quam</w:t>
      </w:r>
      <w:proofErr w:type="spellEnd"/>
      <w:r>
        <w:rPr>
          <w:lang w:val="en-GB"/>
        </w:rPr>
        <w:t xml:space="preserve">. Donec semper in </w:t>
      </w:r>
      <w:proofErr w:type="spellStart"/>
      <w:r>
        <w:rPr>
          <w:lang w:val="en-GB"/>
        </w:rPr>
        <w:t>quam</w:t>
      </w:r>
      <w:proofErr w:type="spellEnd"/>
      <w:r>
        <w:rPr>
          <w:lang w:val="en-GB"/>
        </w:rPr>
        <w:t xml:space="preserve"> in </w:t>
      </w:r>
      <w:proofErr w:type="spellStart"/>
      <w:r>
        <w:rPr>
          <w:lang w:val="en-GB"/>
        </w:rPr>
        <w:t>ornare</w:t>
      </w:r>
      <w:proofErr w:type="spellEnd"/>
      <w:r>
        <w:rPr>
          <w:lang w:val="en-GB"/>
        </w:rPr>
        <w:t xml:space="preserve">. </w:t>
      </w:r>
      <w:proofErr w:type="spellStart"/>
      <w:r>
        <w:rPr>
          <w:lang w:val="fr-FR"/>
        </w:rPr>
        <w:t>Nullam</w:t>
      </w:r>
      <w:proofErr w:type="spellEnd"/>
      <w:r>
        <w:rPr>
          <w:lang w:val="fr-FR"/>
        </w:rPr>
        <w:t xml:space="preserve"> </w:t>
      </w:r>
      <w:proofErr w:type="spellStart"/>
      <w:r>
        <w:rPr>
          <w:lang w:val="fr-FR"/>
        </w:rPr>
        <w:t>convallis</w:t>
      </w:r>
      <w:proofErr w:type="spellEnd"/>
      <w:r>
        <w:rPr>
          <w:lang w:val="fr-FR"/>
        </w:rPr>
        <w:t xml:space="preserve"> </w:t>
      </w:r>
      <w:proofErr w:type="spellStart"/>
      <w:r>
        <w:rPr>
          <w:lang w:val="fr-FR"/>
        </w:rPr>
        <w:t>ultricies</w:t>
      </w:r>
      <w:proofErr w:type="spellEnd"/>
      <w:r>
        <w:rPr>
          <w:lang w:val="fr-FR"/>
        </w:rPr>
        <w:t xml:space="preserve"> </w:t>
      </w:r>
      <w:proofErr w:type="spellStart"/>
      <w:r>
        <w:rPr>
          <w:lang w:val="fr-FR"/>
        </w:rPr>
        <w:t>nisl</w:t>
      </w:r>
      <w:proofErr w:type="spellEnd"/>
      <w:r>
        <w:rPr>
          <w:lang w:val="fr-FR"/>
        </w:rPr>
        <w:t xml:space="preserve">, </w:t>
      </w:r>
      <w:proofErr w:type="spellStart"/>
      <w:r>
        <w:rPr>
          <w:lang w:val="fr-FR"/>
        </w:rPr>
        <w:t>sed</w:t>
      </w:r>
      <w:proofErr w:type="spellEnd"/>
      <w:r>
        <w:rPr>
          <w:lang w:val="fr-FR"/>
        </w:rPr>
        <w:t xml:space="preserve"> </w:t>
      </w:r>
      <w:proofErr w:type="spellStart"/>
      <w:r>
        <w:rPr>
          <w:lang w:val="fr-FR"/>
        </w:rPr>
        <w:t>finibus</w:t>
      </w:r>
      <w:proofErr w:type="spellEnd"/>
      <w:r>
        <w:rPr>
          <w:lang w:val="fr-FR"/>
        </w:rPr>
        <w:t xml:space="preserve"> nunc </w:t>
      </w:r>
      <w:proofErr w:type="spellStart"/>
      <w:r>
        <w:rPr>
          <w:lang w:val="fr-FR"/>
        </w:rPr>
        <w:t>ultricies</w:t>
      </w:r>
      <w:proofErr w:type="spellEnd"/>
      <w:r>
        <w:rPr>
          <w:lang w:val="fr-FR"/>
        </w:rPr>
        <w:t xml:space="preserve"> </w:t>
      </w:r>
      <w:proofErr w:type="spellStart"/>
      <w:r>
        <w:rPr>
          <w:lang w:val="fr-FR"/>
        </w:rPr>
        <w:t>quis</w:t>
      </w:r>
      <w:proofErr w:type="spellEnd"/>
      <w:r>
        <w:rPr>
          <w:lang w:val="fr-FR"/>
        </w:rPr>
        <w:t xml:space="preserve">. Nam </w:t>
      </w:r>
      <w:proofErr w:type="spellStart"/>
      <w:r>
        <w:rPr>
          <w:lang w:val="fr-FR"/>
        </w:rPr>
        <w:t>interdum</w:t>
      </w:r>
      <w:proofErr w:type="spellEnd"/>
      <w:r>
        <w:rPr>
          <w:lang w:val="fr-FR"/>
        </w:rPr>
        <w:t xml:space="preserve"> </w:t>
      </w:r>
      <w:proofErr w:type="spellStart"/>
      <w:r>
        <w:rPr>
          <w:lang w:val="fr-FR"/>
        </w:rPr>
        <w:t>purus</w:t>
      </w:r>
      <w:proofErr w:type="spellEnd"/>
      <w:r>
        <w:rPr>
          <w:lang w:val="fr-FR"/>
        </w:rPr>
        <w:t xml:space="preserve"> </w:t>
      </w:r>
      <w:proofErr w:type="spellStart"/>
      <w:r>
        <w:rPr>
          <w:lang w:val="fr-FR"/>
        </w:rPr>
        <w:t>sapien</w:t>
      </w:r>
      <w:proofErr w:type="spellEnd"/>
      <w:r>
        <w:rPr>
          <w:lang w:val="fr-FR"/>
        </w:rPr>
        <w:t xml:space="preserve">, non </w:t>
      </w:r>
      <w:proofErr w:type="spellStart"/>
      <w:r>
        <w:rPr>
          <w:lang w:val="fr-FR"/>
        </w:rPr>
        <w:t>volutpat</w:t>
      </w:r>
      <w:proofErr w:type="spellEnd"/>
      <w:r>
        <w:rPr>
          <w:lang w:val="fr-FR"/>
        </w:rPr>
        <w:t xml:space="preserve"> ante </w:t>
      </w:r>
      <w:proofErr w:type="spellStart"/>
      <w:r>
        <w:rPr>
          <w:lang w:val="fr-FR"/>
        </w:rPr>
        <w:t>suscipit</w:t>
      </w:r>
      <w:proofErr w:type="spellEnd"/>
      <w:r>
        <w:rPr>
          <w:lang w:val="fr-FR"/>
        </w:rPr>
        <w:t xml:space="preserve"> et. In </w:t>
      </w:r>
      <w:proofErr w:type="spellStart"/>
      <w:r>
        <w:rPr>
          <w:lang w:val="fr-FR"/>
        </w:rPr>
        <w:t>ac</w:t>
      </w:r>
      <w:proofErr w:type="spellEnd"/>
      <w:r>
        <w:rPr>
          <w:lang w:val="fr-FR"/>
        </w:rPr>
        <w:t xml:space="preserve"> </w:t>
      </w:r>
      <w:proofErr w:type="spellStart"/>
      <w:r>
        <w:rPr>
          <w:lang w:val="fr-FR"/>
        </w:rPr>
        <w:t>eleifend</w:t>
      </w:r>
      <w:proofErr w:type="spellEnd"/>
      <w:r>
        <w:rPr>
          <w:lang w:val="fr-FR"/>
        </w:rPr>
        <w:t xml:space="preserve"> </w:t>
      </w:r>
      <w:proofErr w:type="spellStart"/>
      <w:r>
        <w:rPr>
          <w:lang w:val="fr-FR"/>
        </w:rPr>
        <w:t>eros</w:t>
      </w:r>
      <w:proofErr w:type="spellEnd"/>
      <w:r>
        <w:rPr>
          <w:lang w:val="fr-FR"/>
        </w:rPr>
        <w:t xml:space="preserve">. </w:t>
      </w:r>
      <w:proofErr w:type="spellStart"/>
      <w:r>
        <w:rPr>
          <w:lang w:val="fr-FR"/>
        </w:rPr>
        <w:t>Etiam</w:t>
      </w:r>
      <w:proofErr w:type="spellEnd"/>
      <w:r>
        <w:rPr>
          <w:lang w:val="fr-FR"/>
        </w:rPr>
        <w:t xml:space="preserve"> </w:t>
      </w:r>
      <w:proofErr w:type="spellStart"/>
      <w:r>
        <w:rPr>
          <w:lang w:val="fr-FR"/>
        </w:rPr>
        <w:t>sit</w:t>
      </w:r>
      <w:proofErr w:type="spellEnd"/>
      <w:r>
        <w:rPr>
          <w:lang w:val="fr-FR"/>
        </w:rPr>
        <w:t xml:space="preserve"> </w:t>
      </w:r>
      <w:proofErr w:type="spellStart"/>
      <w:r>
        <w:rPr>
          <w:lang w:val="fr-FR"/>
        </w:rPr>
        <w:t>amet</w:t>
      </w:r>
      <w:proofErr w:type="spellEnd"/>
      <w:r>
        <w:rPr>
          <w:lang w:val="fr-FR"/>
        </w:rPr>
        <w:t xml:space="preserve"> porta </w:t>
      </w:r>
      <w:proofErr w:type="spellStart"/>
      <w:r>
        <w:rPr>
          <w:lang w:val="fr-FR"/>
        </w:rPr>
        <w:t>nulla</w:t>
      </w:r>
      <w:proofErr w:type="spellEnd"/>
      <w:r>
        <w:rPr>
          <w:lang w:val="fr-FR"/>
        </w:rPr>
        <w:t xml:space="preserve">. </w:t>
      </w:r>
      <w:proofErr w:type="spellStart"/>
      <w:r>
        <w:rPr>
          <w:lang w:val="fr-FR"/>
        </w:rPr>
        <w:t>Quisque</w:t>
      </w:r>
      <w:proofErr w:type="spellEnd"/>
      <w:r>
        <w:rPr>
          <w:lang w:val="fr-FR"/>
        </w:rPr>
        <w:t xml:space="preserve"> nec </w:t>
      </w:r>
      <w:proofErr w:type="spellStart"/>
      <w:r>
        <w:rPr>
          <w:lang w:val="fr-FR"/>
        </w:rPr>
        <w:t>vestibulum</w:t>
      </w:r>
      <w:proofErr w:type="spellEnd"/>
      <w:r>
        <w:rPr>
          <w:lang w:val="fr-FR"/>
        </w:rPr>
        <w:t xml:space="preserve"> </w:t>
      </w:r>
      <w:proofErr w:type="spellStart"/>
      <w:r>
        <w:rPr>
          <w:lang w:val="fr-FR"/>
        </w:rPr>
        <w:t>velit</w:t>
      </w:r>
      <w:proofErr w:type="spellEnd"/>
      <w:r>
        <w:rPr>
          <w:lang w:val="fr-FR"/>
        </w:rPr>
        <w:t>.</w:t>
      </w:r>
    </w:p>
    <w:p w14:paraId="397089D4" w14:textId="77777777" w:rsidR="006C677B" w:rsidRPr="008C5898" w:rsidRDefault="006C677B">
      <w:pPr>
        <w:spacing w:after="0"/>
        <w:rPr>
          <w:color w:val="DA1E22"/>
          <w:sz w:val="28"/>
          <w:lang w:val="fr-FR"/>
        </w:rPr>
      </w:pPr>
    </w:p>
    <w:p w14:paraId="2D64680E" w14:textId="77777777" w:rsidR="006C677B" w:rsidRDefault="003A08E7">
      <w:pPr>
        <w:pStyle w:val="Heading3"/>
        <w:numPr>
          <w:ilvl w:val="2"/>
          <w:numId w:val="2"/>
        </w:numPr>
        <w:rPr>
          <w:lang w:val="en-GB"/>
        </w:rPr>
      </w:pPr>
      <w:r>
        <w:t xml:space="preserve">Reference </w:t>
      </w:r>
    </w:p>
    <w:p w14:paraId="7FF8A9FD" w14:textId="77777777" w:rsidR="006C677B" w:rsidRDefault="003A08E7">
      <w:pPr>
        <w:pStyle w:val="BodyText"/>
        <w:rPr>
          <w:lang w:val="fr-FR"/>
        </w:rPr>
      </w:pPr>
      <w:r>
        <w:t xml:space="preserve">Nulla </w:t>
      </w:r>
      <w:proofErr w:type="spellStart"/>
      <w:r>
        <w:t>facilisi</w:t>
      </w:r>
      <w:proofErr w:type="spellEnd"/>
      <w:r>
        <w:t xml:space="preserve">. Proin </w:t>
      </w:r>
      <w:proofErr w:type="spellStart"/>
      <w:r>
        <w:t>luctus</w:t>
      </w:r>
      <w:proofErr w:type="spellEnd"/>
      <w:r>
        <w:t xml:space="preserve"> ligula a </w:t>
      </w:r>
      <w:proofErr w:type="spellStart"/>
      <w:r>
        <w:t>felis</w:t>
      </w:r>
      <w:proofErr w:type="spellEnd"/>
      <w:r>
        <w:t xml:space="preserve"> </w:t>
      </w:r>
      <w:proofErr w:type="spellStart"/>
      <w:r>
        <w:t>placerat</w:t>
      </w:r>
      <w:proofErr w:type="spellEnd"/>
      <w:r>
        <w:t xml:space="preserve">, </w:t>
      </w:r>
      <w:proofErr w:type="spellStart"/>
      <w:r>
        <w:t>nec</w:t>
      </w:r>
      <w:proofErr w:type="spellEnd"/>
      <w:r>
        <w:t xml:space="preserve"> </w:t>
      </w:r>
      <w:proofErr w:type="spellStart"/>
      <w:r>
        <w:t>aliquam</w:t>
      </w:r>
      <w:proofErr w:type="spellEnd"/>
      <w:r>
        <w:t xml:space="preserve"> ante </w:t>
      </w:r>
      <w:proofErr w:type="spellStart"/>
      <w:r>
        <w:t>sagittis</w:t>
      </w:r>
      <w:proofErr w:type="spellEnd"/>
      <w:r>
        <w:t xml:space="preserve">. Morbi </w:t>
      </w:r>
      <w:proofErr w:type="spellStart"/>
      <w:r>
        <w:t>faucibus</w:t>
      </w:r>
      <w:proofErr w:type="spellEnd"/>
      <w:r>
        <w:t xml:space="preserve"> </w:t>
      </w:r>
      <w:proofErr w:type="spellStart"/>
      <w:r>
        <w:t>euismod</w:t>
      </w:r>
      <w:proofErr w:type="spellEnd"/>
      <w:r>
        <w:t xml:space="preserve"> </w:t>
      </w:r>
      <w:proofErr w:type="spellStart"/>
      <w:r>
        <w:t>egestas</w:t>
      </w:r>
      <w:proofErr w:type="spellEnd"/>
      <w:r>
        <w:t xml:space="preserve">. </w:t>
      </w:r>
      <w:proofErr w:type="spellStart"/>
      <w:r>
        <w:t>Phasellus</w:t>
      </w:r>
      <w:proofErr w:type="spellEnd"/>
      <w:r>
        <w:t xml:space="preserve"> </w:t>
      </w:r>
      <w:proofErr w:type="spellStart"/>
      <w:r>
        <w:t>dapibus</w:t>
      </w:r>
      <w:proofErr w:type="spellEnd"/>
      <w:r>
        <w:t xml:space="preserve">, </w:t>
      </w:r>
      <w:proofErr w:type="spellStart"/>
      <w:r>
        <w:t>massa</w:t>
      </w:r>
      <w:proofErr w:type="spellEnd"/>
      <w:r>
        <w:t xml:space="preserve"> </w:t>
      </w:r>
      <w:proofErr w:type="spellStart"/>
      <w:r>
        <w:t>quis</w:t>
      </w:r>
      <w:proofErr w:type="spellEnd"/>
      <w:r>
        <w:t xml:space="preserve"> dictum </w:t>
      </w:r>
      <w:proofErr w:type="spellStart"/>
      <w:r>
        <w:t>sollicitudin</w:t>
      </w:r>
      <w:proofErr w:type="spellEnd"/>
      <w:r>
        <w:t xml:space="preserve">, </w:t>
      </w:r>
      <w:proofErr w:type="spellStart"/>
      <w:r>
        <w:t>lectus</w:t>
      </w:r>
      <w:proofErr w:type="spellEnd"/>
      <w:r>
        <w:t xml:space="preserve"> </w:t>
      </w:r>
      <w:proofErr w:type="spellStart"/>
      <w:r>
        <w:t>justo</w:t>
      </w:r>
      <w:proofErr w:type="spellEnd"/>
      <w:r>
        <w:t xml:space="preserve"> </w:t>
      </w:r>
      <w:proofErr w:type="spellStart"/>
      <w:r>
        <w:t>egestas</w:t>
      </w:r>
      <w:proofErr w:type="spellEnd"/>
      <w:r>
        <w:t xml:space="preserve"> eros, et </w:t>
      </w:r>
      <w:proofErr w:type="spellStart"/>
      <w:r>
        <w:t>facilisis</w:t>
      </w:r>
      <w:proofErr w:type="spellEnd"/>
      <w:r>
        <w:t xml:space="preserve"> </w:t>
      </w:r>
      <w:proofErr w:type="spellStart"/>
      <w:r>
        <w:t>tellus</w:t>
      </w:r>
      <w:proofErr w:type="spellEnd"/>
      <w:r>
        <w:t xml:space="preserve"> </w:t>
      </w:r>
      <w:proofErr w:type="spellStart"/>
      <w:r>
        <w:t>nisl</w:t>
      </w:r>
      <w:proofErr w:type="spellEnd"/>
      <w:r>
        <w:t xml:space="preserve"> </w:t>
      </w:r>
      <w:proofErr w:type="spellStart"/>
      <w:r>
        <w:t>nec</w:t>
      </w:r>
      <w:proofErr w:type="spellEnd"/>
      <w:r>
        <w:t xml:space="preserve"> ligula. Nam </w:t>
      </w:r>
      <w:proofErr w:type="spellStart"/>
      <w:r>
        <w:t>placerat</w:t>
      </w:r>
      <w:proofErr w:type="spellEnd"/>
      <w:r>
        <w:t xml:space="preserve"> </w:t>
      </w:r>
      <w:proofErr w:type="spellStart"/>
      <w:r>
        <w:t>nunc</w:t>
      </w:r>
      <w:proofErr w:type="spellEnd"/>
      <w:r>
        <w:t xml:space="preserve"> lorem, at </w:t>
      </w:r>
      <w:proofErr w:type="spellStart"/>
      <w:r>
        <w:t>euismod</w:t>
      </w:r>
      <w:proofErr w:type="spellEnd"/>
      <w:r>
        <w:t xml:space="preserve"> </w:t>
      </w:r>
      <w:proofErr w:type="spellStart"/>
      <w:r>
        <w:t>erat</w:t>
      </w:r>
      <w:proofErr w:type="spellEnd"/>
      <w:r>
        <w:t xml:space="preserve"> porta </w:t>
      </w:r>
      <w:proofErr w:type="spellStart"/>
      <w:r>
        <w:t>eu</w:t>
      </w:r>
      <w:proofErr w:type="spellEnd"/>
      <w:r>
        <w:t xml:space="preserve">. Aenean pulvinar </w:t>
      </w:r>
      <w:proofErr w:type="spellStart"/>
      <w:r>
        <w:t>varius</w:t>
      </w:r>
      <w:proofErr w:type="spellEnd"/>
      <w:r>
        <w:t xml:space="preserve"> magna </w:t>
      </w:r>
      <w:proofErr w:type="spellStart"/>
      <w:r>
        <w:t>eu</w:t>
      </w:r>
      <w:proofErr w:type="spellEnd"/>
      <w:r>
        <w:t xml:space="preserve"> </w:t>
      </w:r>
      <w:proofErr w:type="spellStart"/>
      <w:r>
        <w:t>placerat</w:t>
      </w:r>
      <w:proofErr w:type="spellEnd"/>
      <w:r>
        <w:t xml:space="preserve">. </w:t>
      </w:r>
      <w:proofErr w:type="spellStart"/>
      <w:r>
        <w:t>Fusce</w:t>
      </w:r>
      <w:proofErr w:type="spellEnd"/>
      <w:r>
        <w:t xml:space="preserve"> vestibulum </w:t>
      </w:r>
      <w:proofErr w:type="spellStart"/>
      <w:r>
        <w:t>nunc</w:t>
      </w:r>
      <w:proofErr w:type="spellEnd"/>
      <w:r>
        <w:t xml:space="preserve"> </w:t>
      </w:r>
      <w:proofErr w:type="spellStart"/>
      <w:r>
        <w:t>quis</w:t>
      </w:r>
      <w:proofErr w:type="spellEnd"/>
      <w:r>
        <w:t xml:space="preserve"> </w:t>
      </w:r>
      <w:proofErr w:type="spellStart"/>
      <w:r>
        <w:t>nibh</w:t>
      </w:r>
      <w:proofErr w:type="spellEnd"/>
      <w:r>
        <w:t xml:space="preserve"> </w:t>
      </w:r>
      <w:proofErr w:type="spellStart"/>
      <w:r>
        <w:t>venenatis</w:t>
      </w:r>
      <w:proofErr w:type="spellEnd"/>
      <w:r>
        <w:t xml:space="preserve"> </w:t>
      </w:r>
      <w:proofErr w:type="spellStart"/>
      <w:r>
        <w:t>porttitor</w:t>
      </w:r>
      <w:proofErr w:type="spellEnd"/>
      <w:r>
        <w:t xml:space="preserve">. Nulla </w:t>
      </w:r>
      <w:proofErr w:type="spellStart"/>
      <w:r>
        <w:t>consectetur</w:t>
      </w:r>
      <w:proofErr w:type="spellEnd"/>
      <w:r>
        <w:t xml:space="preserve"> </w:t>
      </w:r>
      <w:proofErr w:type="spellStart"/>
      <w:r>
        <w:t>est</w:t>
      </w:r>
      <w:proofErr w:type="spellEnd"/>
      <w:r>
        <w:t xml:space="preserve"> sit </w:t>
      </w:r>
      <w:proofErr w:type="spellStart"/>
      <w:r>
        <w:t>amet</w:t>
      </w:r>
      <w:proofErr w:type="spellEnd"/>
      <w:r>
        <w:t xml:space="preserve"> </w:t>
      </w:r>
      <w:proofErr w:type="spellStart"/>
      <w:r>
        <w:t>egestas</w:t>
      </w:r>
      <w:proofErr w:type="spellEnd"/>
      <w:r>
        <w:t xml:space="preserve"> </w:t>
      </w:r>
      <w:proofErr w:type="spellStart"/>
      <w:r>
        <w:t>sollicitudin</w:t>
      </w:r>
      <w:proofErr w:type="spellEnd"/>
      <w:r>
        <w:t xml:space="preserve">. </w:t>
      </w:r>
      <w:proofErr w:type="spellStart"/>
      <w:r>
        <w:t>Fusce</w:t>
      </w:r>
      <w:proofErr w:type="spellEnd"/>
      <w:r>
        <w:t xml:space="preserve"> </w:t>
      </w:r>
      <w:proofErr w:type="spellStart"/>
      <w:r>
        <w:t>laoreet</w:t>
      </w:r>
      <w:proofErr w:type="spellEnd"/>
      <w:r>
        <w:t xml:space="preserve"> non </w:t>
      </w:r>
      <w:proofErr w:type="spellStart"/>
      <w:r>
        <w:t>orci</w:t>
      </w:r>
      <w:proofErr w:type="spellEnd"/>
      <w:r>
        <w:t xml:space="preserve"> sed </w:t>
      </w:r>
      <w:proofErr w:type="spellStart"/>
      <w:r>
        <w:t>fringilla</w:t>
      </w:r>
      <w:proofErr w:type="spellEnd"/>
      <w:r>
        <w:t xml:space="preserve">. </w:t>
      </w:r>
      <w:proofErr w:type="spellStart"/>
      <w:r>
        <w:t>Etiam</w:t>
      </w:r>
      <w:proofErr w:type="spellEnd"/>
      <w:r>
        <w:t xml:space="preserve"> </w:t>
      </w:r>
      <w:proofErr w:type="spellStart"/>
      <w:r>
        <w:t>tincidunt</w:t>
      </w:r>
      <w:proofErr w:type="spellEnd"/>
      <w:r>
        <w:t xml:space="preserve"> </w:t>
      </w:r>
      <w:proofErr w:type="spellStart"/>
      <w:r>
        <w:t>suscipit</w:t>
      </w:r>
      <w:proofErr w:type="spellEnd"/>
      <w:r>
        <w:t xml:space="preserve"> ex </w:t>
      </w:r>
      <w:proofErr w:type="spellStart"/>
      <w:r>
        <w:t>scelerisque</w:t>
      </w:r>
      <w:proofErr w:type="spellEnd"/>
      <w:r>
        <w:t xml:space="preserve"> convallis. </w:t>
      </w:r>
      <w:proofErr w:type="spellStart"/>
      <w:r>
        <w:t>Aliquam</w:t>
      </w:r>
      <w:proofErr w:type="spellEnd"/>
      <w:r>
        <w:t xml:space="preserve"> </w:t>
      </w:r>
      <w:proofErr w:type="spellStart"/>
      <w:r>
        <w:t>viverra</w:t>
      </w:r>
      <w:proofErr w:type="spellEnd"/>
      <w:r>
        <w:t xml:space="preserve"> </w:t>
      </w:r>
      <w:proofErr w:type="spellStart"/>
      <w:r>
        <w:t>ultricies</w:t>
      </w:r>
      <w:proofErr w:type="spellEnd"/>
      <w:r>
        <w:t xml:space="preserve"> ante, vitae auctor </w:t>
      </w:r>
      <w:proofErr w:type="spellStart"/>
      <w:r>
        <w:t>nibh</w:t>
      </w:r>
      <w:proofErr w:type="spellEnd"/>
      <w:r>
        <w:t xml:space="preserve"> </w:t>
      </w:r>
      <w:proofErr w:type="spellStart"/>
      <w:r>
        <w:t>feugiat</w:t>
      </w:r>
      <w:proofErr w:type="spellEnd"/>
      <w:r>
        <w:t xml:space="preserve"> at. Maecenas </w:t>
      </w:r>
      <w:proofErr w:type="spellStart"/>
      <w:r>
        <w:t>ullamcorper</w:t>
      </w:r>
      <w:proofErr w:type="spellEnd"/>
      <w:r>
        <w:t xml:space="preserve"> </w:t>
      </w:r>
      <w:proofErr w:type="spellStart"/>
      <w:r>
        <w:t>metus</w:t>
      </w:r>
      <w:proofErr w:type="spellEnd"/>
      <w:r>
        <w:t xml:space="preserve"> vel </w:t>
      </w:r>
      <w:proofErr w:type="spellStart"/>
      <w:r>
        <w:t>augue</w:t>
      </w:r>
      <w:proofErr w:type="spellEnd"/>
      <w:r>
        <w:t xml:space="preserve"> </w:t>
      </w:r>
      <w:proofErr w:type="spellStart"/>
      <w:r>
        <w:t>eleifend</w:t>
      </w:r>
      <w:proofErr w:type="spellEnd"/>
      <w:r>
        <w:t xml:space="preserve"> lacinia.</w:t>
      </w:r>
    </w:p>
    <w:p w14:paraId="019E4500" w14:textId="77777777" w:rsidR="006C677B" w:rsidRDefault="003A08E7">
      <w:pPr>
        <w:pStyle w:val="BodyText"/>
        <w:rPr>
          <w:lang w:val="fr-FR"/>
        </w:rPr>
      </w:pPr>
      <w:r>
        <w:t xml:space="preserve">Nulla </w:t>
      </w:r>
      <w:proofErr w:type="spellStart"/>
      <w:r>
        <w:t>facilisi</w:t>
      </w:r>
      <w:proofErr w:type="spellEnd"/>
      <w:r>
        <w:t xml:space="preserve">. Proin </w:t>
      </w:r>
      <w:proofErr w:type="spellStart"/>
      <w:r>
        <w:t>luctus</w:t>
      </w:r>
      <w:proofErr w:type="spellEnd"/>
      <w:r>
        <w:t xml:space="preserve"> ligula a </w:t>
      </w:r>
      <w:proofErr w:type="spellStart"/>
      <w:r>
        <w:t>felis</w:t>
      </w:r>
      <w:proofErr w:type="spellEnd"/>
      <w:r>
        <w:t xml:space="preserve"> </w:t>
      </w:r>
      <w:proofErr w:type="spellStart"/>
      <w:r>
        <w:t>placerat</w:t>
      </w:r>
      <w:proofErr w:type="spellEnd"/>
      <w:r>
        <w:t xml:space="preserve">, </w:t>
      </w:r>
      <w:proofErr w:type="spellStart"/>
      <w:r>
        <w:t>nec</w:t>
      </w:r>
      <w:proofErr w:type="spellEnd"/>
      <w:r>
        <w:t xml:space="preserve"> </w:t>
      </w:r>
      <w:proofErr w:type="spellStart"/>
      <w:r>
        <w:t>aliquam</w:t>
      </w:r>
      <w:proofErr w:type="spellEnd"/>
      <w:r>
        <w:t xml:space="preserve"> ante </w:t>
      </w:r>
      <w:proofErr w:type="spellStart"/>
      <w:r>
        <w:t>sagittis</w:t>
      </w:r>
      <w:proofErr w:type="spellEnd"/>
      <w:r>
        <w:t xml:space="preserve">. Morbi </w:t>
      </w:r>
      <w:proofErr w:type="spellStart"/>
      <w:r>
        <w:t>faucibus</w:t>
      </w:r>
      <w:proofErr w:type="spellEnd"/>
      <w:r>
        <w:t xml:space="preserve"> </w:t>
      </w:r>
      <w:proofErr w:type="spellStart"/>
      <w:r>
        <w:t>euismod</w:t>
      </w:r>
      <w:proofErr w:type="spellEnd"/>
      <w:r>
        <w:t xml:space="preserve"> </w:t>
      </w:r>
      <w:proofErr w:type="spellStart"/>
      <w:r>
        <w:t>egestas</w:t>
      </w:r>
      <w:proofErr w:type="spellEnd"/>
      <w:r>
        <w:t xml:space="preserve">. </w:t>
      </w:r>
      <w:proofErr w:type="spellStart"/>
      <w:r>
        <w:t>Phasellus</w:t>
      </w:r>
      <w:proofErr w:type="spellEnd"/>
      <w:r>
        <w:t xml:space="preserve"> </w:t>
      </w:r>
      <w:proofErr w:type="spellStart"/>
      <w:r>
        <w:t>dapibus</w:t>
      </w:r>
      <w:proofErr w:type="spellEnd"/>
      <w:r>
        <w:t xml:space="preserve">, </w:t>
      </w:r>
      <w:proofErr w:type="spellStart"/>
      <w:r>
        <w:t>massa</w:t>
      </w:r>
      <w:proofErr w:type="spellEnd"/>
      <w:r>
        <w:t xml:space="preserve"> </w:t>
      </w:r>
      <w:proofErr w:type="spellStart"/>
      <w:r>
        <w:t>quis</w:t>
      </w:r>
      <w:proofErr w:type="spellEnd"/>
      <w:r>
        <w:t xml:space="preserve"> dictum </w:t>
      </w:r>
      <w:proofErr w:type="spellStart"/>
      <w:r>
        <w:t>sollicitudin</w:t>
      </w:r>
      <w:proofErr w:type="spellEnd"/>
      <w:r>
        <w:t xml:space="preserve">, </w:t>
      </w:r>
      <w:proofErr w:type="spellStart"/>
      <w:r>
        <w:t>lectus</w:t>
      </w:r>
      <w:proofErr w:type="spellEnd"/>
      <w:r>
        <w:t xml:space="preserve"> </w:t>
      </w:r>
      <w:proofErr w:type="spellStart"/>
      <w:r>
        <w:t>justo</w:t>
      </w:r>
      <w:proofErr w:type="spellEnd"/>
      <w:r>
        <w:t xml:space="preserve"> </w:t>
      </w:r>
      <w:proofErr w:type="spellStart"/>
      <w:r>
        <w:t>egestas</w:t>
      </w:r>
      <w:proofErr w:type="spellEnd"/>
      <w:r>
        <w:t xml:space="preserve"> eros, et </w:t>
      </w:r>
      <w:proofErr w:type="spellStart"/>
      <w:r>
        <w:t>facilisis</w:t>
      </w:r>
      <w:proofErr w:type="spellEnd"/>
      <w:r>
        <w:t xml:space="preserve"> </w:t>
      </w:r>
      <w:proofErr w:type="spellStart"/>
      <w:r>
        <w:t>tellus</w:t>
      </w:r>
      <w:proofErr w:type="spellEnd"/>
      <w:r>
        <w:t xml:space="preserve"> </w:t>
      </w:r>
      <w:proofErr w:type="spellStart"/>
      <w:r>
        <w:t>nisl</w:t>
      </w:r>
      <w:proofErr w:type="spellEnd"/>
      <w:r>
        <w:t xml:space="preserve"> </w:t>
      </w:r>
      <w:proofErr w:type="spellStart"/>
      <w:r>
        <w:t>nec</w:t>
      </w:r>
      <w:proofErr w:type="spellEnd"/>
      <w:r>
        <w:t xml:space="preserve"> ligula. Nam </w:t>
      </w:r>
      <w:proofErr w:type="spellStart"/>
      <w:r>
        <w:t>placerat</w:t>
      </w:r>
      <w:proofErr w:type="spellEnd"/>
      <w:r>
        <w:t xml:space="preserve"> </w:t>
      </w:r>
      <w:proofErr w:type="spellStart"/>
      <w:r>
        <w:t>nunc</w:t>
      </w:r>
      <w:proofErr w:type="spellEnd"/>
      <w:r>
        <w:t xml:space="preserve"> lorem, at </w:t>
      </w:r>
      <w:proofErr w:type="spellStart"/>
      <w:r>
        <w:t>euismod</w:t>
      </w:r>
      <w:proofErr w:type="spellEnd"/>
      <w:r>
        <w:t xml:space="preserve"> </w:t>
      </w:r>
      <w:proofErr w:type="spellStart"/>
      <w:r>
        <w:t>erat</w:t>
      </w:r>
      <w:proofErr w:type="spellEnd"/>
      <w:r>
        <w:t xml:space="preserve"> porta </w:t>
      </w:r>
      <w:proofErr w:type="spellStart"/>
      <w:r>
        <w:t>eu</w:t>
      </w:r>
      <w:proofErr w:type="spellEnd"/>
      <w:r>
        <w:t xml:space="preserve">. Aenean pulvinar </w:t>
      </w:r>
      <w:proofErr w:type="spellStart"/>
      <w:r>
        <w:t>varius</w:t>
      </w:r>
      <w:proofErr w:type="spellEnd"/>
      <w:r>
        <w:t xml:space="preserve"> magna </w:t>
      </w:r>
      <w:proofErr w:type="spellStart"/>
      <w:r>
        <w:t>eu</w:t>
      </w:r>
      <w:proofErr w:type="spellEnd"/>
      <w:r>
        <w:t xml:space="preserve"> </w:t>
      </w:r>
      <w:proofErr w:type="spellStart"/>
      <w:r>
        <w:t>placerat</w:t>
      </w:r>
      <w:proofErr w:type="spellEnd"/>
      <w:r>
        <w:t xml:space="preserve">. </w:t>
      </w:r>
      <w:proofErr w:type="spellStart"/>
      <w:r>
        <w:t>Fusce</w:t>
      </w:r>
      <w:proofErr w:type="spellEnd"/>
      <w:r>
        <w:t xml:space="preserve"> vestibulum </w:t>
      </w:r>
      <w:proofErr w:type="spellStart"/>
      <w:r>
        <w:t>nunc</w:t>
      </w:r>
      <w:proofErr w:type="spellEnd"/>
      <w:r>
        <w:t xml:space="preserve"> </w:t>
      </w:r>
      <w:proofErr w:type="spellStart"/>
      <w:r>
        <w:t>quis</w:t>
      </w:r>
      <w:proofErr w:type="spellEnd"/>
      <w:r>
        <w:t xml:space="preserve"> </w:t>
      </w:r>
      <w:proofErr w:type="spellStart"/>
      <w:r>
        <w:t>nibh</w:t>
      </w:r>
      <w:proofErr w:type="spellEnd"/>
      <w:r>
        <w:t xml:space="preserve"> </w:t>
      </w:r>
      <w:proofErr w:type="spellStart"/>
      <w:r>
        <w:t>venenatis</w:t>
      </w:r>
      <w:proofErr w:type="spellEnd"/>
      <w:r>
        <w:t xml:space="preserve"> </w:t>
      </w:r>
      <w:proofErr w:type="spellStart"/>
      <w:r>
        <w:t>porttitor</w:t>
      </w:r>
      <w:proofErr w:type="spellEnd"/>
      <w:r>
        <w:t xml:space="preserve">. Nulla </w:t>
      </w:r>
      <w:proofErr w:type="spellStart"/>
      <w:r>
        <w:t>consectetur</w:t>
      </w:r>
      <w:proofErr w:type="spellEnd"/>
      <w:r>
        <w:t xml:space="preserve"> </w:t>
      </w:r>
      <w:proofErr w:type="spellStart"/>
      <w:r>
        <w:t>est</w:t>
      </w:r>
      <w:proofErr w:type="spellEnd"/>
      <w:r>
        <w:t xml:space="preserve"> sit </w:t>
      </w:r>
      <w:proofErr w:type="spellStart"/>
      <w:r>
        <w:t>amet</w:t>
      </w:r>
      <w:proofErr w:type="spellEnd"/>
      <w:r>
        <w:t xml:space="preserve"> </w:t>
      </w:r>
      <w:proofErr w:type="spellStart"/>
      <w:r>
        <w:t>egestas</w:t>
      </w:r>
      <w:proofErr w:type="spellEnd"/>
      <w:r>
        <w:t xml:space="preserve"> </w:t>
      </w:r>
      <w:proofErr w:type="spellStart"/>
      <w:r>
        <w:t>sollicitudin</w:t>
      </w:r>
      <w:proofErr w:type="spellEnd"/>
      <w:r>
        <w:t xml:space="preserve">. </w:t>
      </w:r>
      <w:proofErr w:type="spellStart"/>
      <w:r>
        <w:t>Fusce</w:t>
      </w:r>
      <w:proofErr w:type="spellEnd"/>
      <w:r>
        <w:t xml:space="preserve"> </w:t>
      </w:r>
      <w:proofErr w:type="spellStart"/>
      <w:r>
        <w:t>laoreet</w:t>
      </w:r>
      <w:proofErr w:type="spellEnd"/>
      <w:r>
        <w:t xml:space="preserve"> non </w:t>
      </w:r>
      <w:proofErr w:type="spellStart"/>
      <w:r>
        <w:t>orci</w:t>
      </w:r>
      <w:proofErr w:type="spellEnd"/>
      <w:r>
        <w:t xml:space="preserve"> sed </w:t>
      </w:r>
      <w:proofErr w:type="spellStart"/>
      <w:r>
        <w:t>fringilla</w:t>
      </w:r>
      <w:proofErr w:type="spellEnd"/>
      <w:r>
        <w:t xml:space="preserve">. </w:t>
      </w:r>
      <w:proofErr w:type="spellStart"/>
      <w:r>
        <w:t>Etiam</w:t>
      </w:r>
      <w:proofErr w:type="spellEnd"/>
      <w:r>
        <w:t xml:space="preserve"> </w:t>
      </w:r>
      <w:proofErr w:type="spellStart"/>
      <w:r>
        <w:t>tincidunt</w:t>
      </w:r>
      <w:proofErr w:type="spellEnd"/>
      <w:r>
        <w:t xml:space="preserve"> </w:t>
      </w:r>
      <w:proofErr w:type="spellStart"/>
      <w:r>
        <w:t>suscipit</w:t>
      </w:r>
      <w:proofErr w:type="spellEnd"/>
      <w:r>
        <w:t xml:space="preserve"> ex </w:t>
      </w:r>
      <w:proofErr w:type="spellStart"/>
      <w:r>
        <w:t>scelerisque</w:t>
      </w:r>
      <w:proofErr w:type="spellEnd"/>
      <w:r>
        <w:t xml:space="preserve"> convallis. </w:t>
      </w:r>
      <w:proofErr w:type="spellStart"/>
      <w:r>
        <w:t>Aliquam</w:t>
      </w:r>
      <w:proofErr w:type="spellEnd"/>
      <w:r>
        <w:t xml:space="preserve"> </w:t>
      </w:r>
      <w:proofErr w:type="spellStart"/>
      <w:r>
        <w:t>viverra</w:t>
      </w:r>
      <w:proofErr w:type="spellEnd"/>
      <w:r>
        <w:t xml:space="preserve"> </w:t>
      </w:r>
      <w:proofErr w:type="spellStart"/>
      <w:r>
        <w:t>ultricies</w:t>
      </w:r>
      <w:proofErr w:type="spellEnd"/>
      <w:r>
        <w:t xml:space="preserve"> ante, vitae auctor </w:t>
      </w:r>
      <w:proofErr w:type="spellStart"/>
      <w:r>
        <w:t>nibh</w:t>
      </w:r>
      <w:proofErr w:type="spellEnd"/>
      <w:r>
        <w:t xml:space="preserve"> </w:t>
      </w:r>
      <w:proofErr w:type="spellStart"/>
      <w:r>
        <w:lastRenderedPageBreak/>
        <w:t>feugiat</w:t>
      </w:r>
      <w:proofErr w:type="spellEnd"/>
      <w:r>
        <w:t xml:space="preserve"> at. Maecenas </w:t>
      </w:r>
      <w:proofErr w:type="spellStart"/>
      <w:r>
        <w:t>ullamcorper</w:t>
      </w:r>
      <w:proofErr w:type="spellEnd"/>
      <w:r>
        <w:t xml:space="preserve"> </w:t>
      </w:r>
      <w:proofErr w:type="spellStart"/>
      <w:r>
        <w:t>metus</w:t>
      </w:r>
      <w:proofErr w:type="spellEnd"/>
      <w:r>
        <w:t xml:space="preserve"> vel </w:t>
      </w:r>
      <w:proofErr w:type="spellStart"/>
      <w:r>
        <w:t>augue</w:t>
      </w:r>
      <w:proofErr w:type="spellEnd"/>
      <w:r>
        <w:t xml:space="preserve"> </w:t>
      </w:r>
      <w:proofErr w:type="spellStart"/>
      <w:r>
        <w:t>eleifend</w:t>
      </w:r>
      <w:proofErr w:type="spellEnd"/>
      <w:r>
        <w:t xml:space="preserve"> lacinia.</w:t>
      </w:r>
    </w:p>
    <w:p w14:paraId="2FC9CEAB" w14:textId="77777777" w:rsidR="006C677B" w:rsidRDefault="003A08E7">
      <w:pPr>
        <w:pStyle w:val="BodyText"/>
        <w:rPr>
          <w:lang w:val="fr-FR"/>
        </w:rPr>
      </w:pPr>
      <w:r>
        <w:t xml:space="preserve">Nulla </w:t>
      </w:r>
      <w:proofErr w:type="spellStart"/>
      <w:r>
        <w:t>facilisi</w:t>
      </w:r>
      <w:proofErr w:type="spellEnd"/>
      <w:r>
        <w:t xml:space="preserve">. Proin </w:t>
      </w:r>
      <w:proofErr w:type="spellStart"/>
      <w:r>
        <w:t>luctus</w:t>
      </w:r>
      <w:proofErr w:type="spellEnd"/>
      <w:r>
        <w:t xml:space="preserve"> ligula a </w:t>
      </w:r>
      <w:proofErr w:type="spellStart"/>
      <w:r>
        <w:t>felis</w:t>
      </w:r>
      <w:proofErr w:type="spellEnd"/>
      <w:r>
        <w:t xml:space="preserve"> </w:t>
      </w:r>
      <w:proofErr w:type="spellStart"/>
      <w:r>
        <w:t>placerat</w:t>
      </w:r>
      <w:proofErr w:type="spellEnd"/>
      <w:r>
        <w:t xml:space="preserve">, </w:t>
      </w:r>
      <w:proofErr w:type="spellStart"/>
      <w:r>
        <w:t>nec</w:t>
      </w:r>
      <w:proofErr w:type="spellEnd"/>
      <w:r>
        <w:t xml:space="preserve"> </w:t>
      </w:r>
      <w:proofErr w:type="spellStart"/>
      <w:r>
        <w:t>aliquam</w:t>
      </w:r>
      <w:proofErr w:type="spellEnd"/>
      <w:r>
        <w:t xml:space="preserve"> ante </w:t>
      </w:r>
      <w:proofErr w:type="spellStart"/>
      <w:r>
        <w:t>sagittis</w:t>
      </w:r>
      <w:proofErr w:type="spellEnd"/>
      <w:r>
        <w:t xml:space="preserve">. Morbi </w:t>
      </w:r>
      <w:proofErr w:type="spellStart"/>
      <w:r>
        <w:t>faucibus</w:t>
      </w:r>
      <w:proofErr w:type="spellEnd"/>
      <w:r>
        <w:t xml:space="preserve"> </w:t>
      </w:r>
      <w:proofErr w:type="spellStart"/>
      <w:r>
        <w:t>euismod</w:t>
      </w:r>
      <w:proofErr w:type="spellEnd"/>
      <w:r>
        <w:t xml:space="preserve"> </w:t>
      </w:r>
      <w:proofErr w:type="spellStart"/>
      <w:r>
        <w:t>egestas</w:t>
      </w:r>
      <w:proofErr w:type="spellEnd"/>
      <w:r>
        <w:t xml:space="preserve">. </w:t>
      </w:r>
      <w:proofErr w:type="spellStart"/>
      <w:r>
        <w:t>Phasellus</w:t>
      </w:r>
      <w:proofErr w:type="spellEnd"/>
      <w:r>
        <w:t xml:space="preserve"> </w:t>
      </w:r>
      <w:proofErr w:type="spellStart"/>
      <w:r>
        <w:t>dapibus</w:t>
      </w:r>
      <w:proofErr w:type="spellEnd"/>
      <w:r>
        <w:t xml:space="preserve">, </w:t>
      </w:r>
      <w:proofErr w:type="spellStart"/>
      <w:r>
        <w:t>massa</w:t>
      </w:r>
      <w:proofErr w:type="spellEnd"/>
      <w:r>
        <w:t xml:space="preserve"> </w:t>
      </w:r>
      <w:proofErr w:type="spellStart"/>
      <w:r>
        <w:t>quis</w:t>
      </w:r>
      <w:proofErr w:type="spellEnd"/>
      <w:r>
        <w:t xml:space="preserve"> dictum </w:t>
      </w:r>
      <w:proofErr w:type="spellStart"/>
      <w:r>
        <w:t>sollicitudin</w:t>
      </w:r>
      <w:proofErr w:type="spellEnd"/>
      <w:r>
        <w:t xml:space="preserve">, </w:t>
      </w:r>
      <w:proofErr w:type="spellStart"/>
      <w:r>
        <w:t>lectus</w:t>
      </w:r>
      <w:proofErr w:type="spellEnd"/>
      <w:r>
        <w:t xml:space="preserve"> </w:t>
      </w:r>
      <w:proofErr w:type="spellStart"/>
      <w:r>
        <w:t>justo</w:t>
      </w:r>
      <w:proofErr w:type="spellEnd"/>
      <w:r>
        <w:t xml:space="preserve"> </w:t>
      </w:r>
      <w:proofErr w:type="spellStart"/>
      <w:r>
        <w:t>egestas</w:t>
      </w:r>
      <w:proofErr w:type="spellEnd"/>
      <w:r>
        <w:t xml:space="preserve"> eros, et </w:t>
      </w:r>
      <w:proofErr w:type="spellStart"/>
      <w:r>
        <w:t>facilisis</w:t>
      </w:r>
      <w:proofErr w:type="spellEnd"/>
      <w:r>
        <w:t xml:space="preserve"> </w:t>
      </w:r>
      <w:proofErr w:type="spellStart"/>
      <w:r>
        <w:t>tellus</w:t>
      </w:r>
      <w:proofErr w:type="spellEnd"/>
      <w:r>
        <w:t xml:space="preserve"> </w:t>
      </w:r>
      <w:proofErr w:type="spellStart"/>
      <w:r>
        <w:t>nisl</w:t>
      </w:r>
      <w:proofErr w:type="spellEnd"/>
      <w:r>
        <w:t xml:space="preserve"> </w:t>
      </w:r>
      <w:proofErr w:type="spellStart"/>
      <w:r>
        <w:t>nec</w:t>
      </w:r>
      <w:proofErr w:type="spellEnd"/>
      <w:r>
        <w:t xml:space="preserve"> ligula. Nam </w:t>
      </w:r>
      <w:proofErr w:type="spellStart"/>
      <w:r>
        <w:t>placerat</w:t>
      </w:r>
      <w:proofErr w:type="spellEnd"/>
      <w:r>
        <w:t xml:space="preserve"> </w:t>
      </w:r>
      <w:proofErr w:type="spellStart"/>
      <w:r>
        <w:t>nunc</w:t>
      </w:r>
      <w:proofErr w:type="spellEnd"/>
      <w:r>
        <w:t xml:space="preserve"> </w:t>
      </w:r>
      <w:r>
        <w:t xml:space="preserve">lorem, at </w:t>
      </w:r>
      <w:proofErr w:type="spellStart"/>
      <w:r>
        <w:t>euismod</w:t>
      </w:r>
      <w:proofErr w:type="spellEnd"/>
      <w:r>
        <w:t xml:space="preserve"> </w:t>
      </w:r>
      <w:proofErr w:type="spellStart"/>
      <w:r>
        <w:t>erat</w:t>
      </w:r>
      <w:proofErr w:type="spellEnd"/>
      <w:r>
        <w:t xml:space="preserve"> porta </w:t>
      </w:r>
      <w:proofErr w:type="spellStart"/>
      <w:r>
        <w:t>eu</w:t>
      </w:r>
      <w:proofErr w:type="spellEnd"/>
      <w:r>
        <w:t xml:space="preserve">. Aenean pulvinar </w:t>
      </w:r>
      <w:proofErr w:type="spellStart"/>
      <w:r>
        <w:t>varius</w:t>
      </w:r>
      <w:proofErr w:type="spellEnd"/>
      <w:r>
        <w:t xml:space="preserve"> magna </w:t>
      </w:r>
      <w:proofErr w:type="spellStart"/>
      <w:r>
        <w:t>eu</w:t>
      </w:r>
      <w:proofErr w:type="spellEnd"/>
      <w:r>
        <w:t xml:space="preserve"> </w:t>
      </w:r>
      <w:proofErr w:type="spellStart"/>
      <w:r>
        <w:t>placerat</w:t>
      </w:r>
      <w:proofErr w:type="spellEnd"/>
      <w:r>
        <w:t xml:space="preserve">. </w:t>
      </w:r>
      <w:proofErr w:type="spellStart"/>
      <w:r>
        <w:t>Fusce</w:t>
      </w:r>
      <w:proofErr w:type="spellEnd"/>
      <w:r>
        <w:t xml:space="preserve"> vestibulum </w:t>
      </w:r>
      <w:proofErr w:type="spellStart"/>
      <w:r>
        <w:t>nunc</w:t>
      </w:r>
      <w:proofErr w:type="spellEnd"/>
      <w:r>
        <w:t xml:space="preserve"> </w:t>
      </w:r>
      <w:proofErr w:type="spellStart"/>
      <w:r>
        <w:t>quis</w:t>
      </w:r>
      <w:proofErr w:type="spellEnd"/>
      <w:r>
        <w:t xml:space="preserve"> </w:t>
      </w:r>
      <w:proofErr w:type="spellStart"/>
      <w:r>
        <w:t>nibh</w:t>
      </w:r>
      <w:proofErr w:type="spellEnd"/>
      <w:r>
        <w:t xml:space="preserve"> </w:t>
      </w:r>
      <w:proofErr w:type="spellStart"/>
      <w:r>
        <w:t>venenatis</w:t>
      </w:r>
      <w:proofErr w:type="spellEnd"/>
      <w:r>
        <w:t xml:space="preserve"> </w:t>
      </w:r>
      <w:proofErr w:type="spellStart"/>
      <w:r>
        <w:t>porttitor</w:t>
      </w:r>
      <w:proofErr w:type="spellEnd"/>
      <w:r>
        <w:t xml:space="preserve">. Nulla </w:t>
      </w:r>
      <w:proofErr w:type="spellStart"/>
      <w:r>
        <w:t>consectetur</w:t>
      </w:r>
      <w:proofErr w:type="spellEnd"/>
      <w:r>
        <w:t xml:space="preserve"> </w:t>
      </w:r>
      <w:proofErr w:type="spellStart"/>
      <w:r>
        <w:t>est</w:t>
      </w:r>
      <w:proofErr w:type="spellEnd"/>
      <w:r>
        <w:t xml:space="preserve"> sit </w:t>
      </w:r>
      <w:proofErr w:type="spellStart"/>
      <w:r>
        <w:t>amet</w:t>
      </w:r>
      <w:proofErr w:type="spellEnd"/>
      <w:r>
        <w:t xml:space="preserve"> </w:t>
      </w:r>
      <w:proofErr w:type="spellStart"/>
      <w:r>
        <w:t>egestas</w:t>
      </w:r>
      <w:proofErr w:type="spellEnd"/>
      <w:r>
        <w:t xml:space="preserve"> </w:t>
      </w:r>
      <w:proofErr w:type="spellStart"/>
      <w:r>
        <w:t>sollicitudin</w:t>
      </w:r>
      <w:proofErr w:type="spellEnd"/>
      <w:r>
        <w:t xml:space="preserve">. </w:t>
      </w:r>
      <w:proofErr w:type="spellStart"/>
      <w:r>
        <w:t>Fusce</w:t>
      </w:r>
      <w:proofErr w:type="spellEnd"/>
      <w:r>
        <w:t xml:space="preserve"> </w:t>
      </w:r>
      <w:proofErr w:type="spellStart"/>
      <w:r>
        <w:t>laoreet</w:t>
      </w:r>
      <w:proofErr w:type="spellEnd"/>
      <w:r>
        <w:t xml:space="preserve"> non </w:t>
      </w:r>
      <w:proofErr w:type="spellStart"/>
      <w:r>
        <w:t>orci</w:t>
      </w:r>
      <w:proofErr w:type="spellEnd"/>
      <w:r>
        <w:t xml:space="preserve"> sed </w:t>
      </w:r>
      <w:proofErr w:type="spellStart"/>
      <w:r>
        <w:t>fringilla</w:t>
      </w:r>
      <w:proofErr w:type="spellEnd"/>
      <w:r>
        <w:t xml:space="preserve">. </w:t>
      </w:r>
      <w:proofErr w:type="spellStart"/>
      <w:r>
        <w:t>Etiam</w:t>
      </w:r>
      <w:proofErr w:type="spellEnd"/>
      <w:r>
        <w:t xml:space="preserve"> </w:t>
      </w:r>
      <w:proofErr w:type="spellStart"/>
      <w:r>
        <w:t>tincidunt</w:t>
      </w:r>
      <w:proofErr w:type="spellEnd"/>
      <w:r>
        <w:t xml:space="preserve"> </w:t>
      </w:r>
      <w:proofErr w:type="spellStart"/>
      <w:r>
        <w:t>suscipit</w:t>
      </w:r>
      <w:proofErr w:type="spellEnd"/>
      <w:r>
        <w:t xml:space="preserve"> ex </w:t>
      </w:r>
      <w:proofErr w:type="spellStart"/>
      <w:r>
        <w:t>scelerisque</w:t>
      </w:r>
      <w:proofErr w:type="spellEnd"/>
      <w:r>
        <w:t xml:space="preserve"> convallis. </w:t>
      </w:r>
      <w:proofErr w:type="spellStart"/>
      <w:r>
        <w:t>Aliquam</w:t>
      </w:r>
      <w:proofErr w:type="spellEnd"/>
      <w:r>
        <w:t xml:space="preserve"> </w:t>
      </w:r>
      <w:proofErr w:type="spellStart"/>
      <w:r>
        <w:t>viverra</w:t>
      </w:r>
      <w:proofErr w:type="spellEnd"/>
      <w:r>
        <w:t>.</w:t>
      </w:r>
    </w:p>
    <w:p w14:paraId="6C0A3C67" w14:textId="77777777" w:rsidR="006C677B" w:rsidRDefault="006C677B">
      <w:pPr>
        <w:sectPr w:rsidR="006C677B">
          <w:type w:val="continuous"/>
          <w:pgSz w:w="12240" w:h="15840"/>
          <w:pgMar w:top="1440" w:right="1440" w:bottom="1553" w:left="1440" w:header="708" w:footer="708" w:gutter="0"/>
          <w:cols w:num="2" w:space="708"/>
          <w:formProt w:val="0"/>
          <w:docGrid w:linePitch="360" w:charSpace="4096"/>
        </w:sectPr>
      </w:pPr>
    </w:p>
    <w:p w14:paraId="5FBC2F4B" w14:textId="77777777" w:rsidR="006C677B" w:rsidRDefault="006C677B"/>
    <w:sectPr w:rsidR="006C677B">
      <w:type w:val="continuous"/>
      <w:pgSz w:w="12240" w:h="15840"/>
      <w:pgMar w:top="1440" w:right="1440" w:bottom="1553"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8318" w14:textId="77777777" w:rsidR="00DE0373" w:rsidRDefault="003A08E7">
      <w:pPr>
        <w:spacing w:after="0" w:line="240" w:lineRule="auto"/>
      </w:pPr>
      <w:r>
        <w:separator/>
      </w:r>
    </w:p>
  </w:endnote>
  <w:endnote w:type="continuationSeparator" w:id="0">
    <w:p w14:paraId="35A94354" w14:textId="77777777" w:rsidR="00DE0373" w:rsidRDefault="003A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utura">
    <w:altName w:val="Times New Roman"/>
    <w:charset w:val="01"/>
    <w:family w:val="roman"/>
    <w:pitch w:val="variable"/>
  </w:font>
  <w:font w:name="Liberation Sans">
    <w:altName w:val="Arial"/>
    <w:charset w:val="01"/>
    <w:family w:val="roman"/>
    <w:pitch w:val="variable"/>
  </w:font>
  <w:font w:name="Times New Roman (Body CS)">
    <w:altName w:val="Times New Roman"/>
    <w:charset w:val="00"/>
    <w:family w:val="roman"/>
    <w:pitch w:val="default"/>
  </w:font>
  <w:font w:name="CMR8">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6956" w14:textId="7959A2F7" w:rsidR="006C677B" w:rsidRPr="00FE122F" w:rsidRDefault="00FE122F">
    <w:pPr>
      <w:pStyle w:val="Footer"/>
      <w:rPr>
        <w:rFonts w:ascii="Futura" w:hAnsi="Futura"/>
        <w:lang w:val="en-GB"/>
      </w:rPr>
    </w:pPr>
    <w:r>
      <w:rPr>
        <w:rFonts w:ascii="CMR8" w:eastAsia="CMR8" w:cs="CMR8"/>
        <w:sz w:val="16"/>
        <w:szCs w:val="16"/>
        <w:lang w:val="en-GB"/>
      </w:rPr>
      <w:t>@2023 F</w:t>
    </w:r>
    <w:r w:rsidRPr="00FE122F">
      <w:rPr>
        <w:rFonts w:ascii="CMR8" w:eastAsia="CMR8" w:cs="CMR8"/>
        <w:sz w:val="16"/>
        <w:szCs w:val="16"/>
        <w:lang w:val="en-GB"/>
      </w:rPr>
      <w:t>lipse &amp; Kalmar published by TU Delft OPEN on behalf of the authors</w:t>
    </w:r>
  </w:p>
  <w:p w14:paraId="217BE442" w14:textId="3A019FF6" w:rsidR="006C677B" w:rsidRDefault="003A08E7">
    <w:pPr>
      <w:pStyle w:val="Footer"/>
      <w:jc w:val="right"/>
    </w:pPr>
    <w:r>
      <w:t xml:space="preserve">Page | </w:t>
    </w:r>
    <w:r>
      <w:fldChar w:fldCharType="begin"/>
    </w:r>
    <w:r>
      <w:instrText>PAGE</w:instrText>
    </w:r>
    <w:r>
      <w:fldChar w:fldCharType="separate"/>
    </w:r>
    <w:r w:rsidR="00FA4F0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A4D4" w14:textId="77777777" w:rsidR="00DE0373" w:rsidRDefault="003A08E7">
      <w:pPr>
        <w:spacing w:after="0" w:line="240" w:lineRule="auto"/>
      </w:pPr>
      <w:r>
        <w:separator/>
      </w:r>
    </w:p>
  </w:footnote>
  <w:footnote w:type="continuationSeparator" w:id="0">
    <w:p w14:paraId="38542DAD" w14:textId="77777777" w:rsidR="00DE0373" w:rsidRDefault="003A08E7">
      <w:pPr>
        <w:spacing w:after="0" w:line="240" w:lineRule="auto"/>
      </w:pPr>
      <w:r>
        <w:continuationSeparator/>
      </w:r>
    </w:p>
  </w:footnote>
  <w:footnote w:id="1">
    <w:p w14:paraId="63396FEF" w14:textId="77777777" w:rsidR="00CE2A87" w:rsidRDefault="00CE2A87" w:rsidP="00CE2A87">
      <w:pPr>
        <w:pStyle w:val="FootnoteText"/>
      </w:pPr>
      <w:r>
        <w:rPr>
          <w:rStyle w:val="FootnoteReference"/>
        </w:rPr>
        <w:footnoteRef/>
      </w:r>
      <w:r>
        <w:t xml:space="preserve"> Based on Sa'ad Medhat, &amp; Peers, S. (2012). </w:t>
      </w:r>
      <w:r>
        <w:rPr>
          <w:i/>
          <w:iCs/>
        </w:rPr>
        <w:t>White paper: T-shaped learning for the new technologist</w:t>
      </w:r>
      <w:r>
        <w:t>. NEF.</w:t>
      </w:r>
    </w:p>
    <w:p w14:paraId="2D87FD4A" w14:textId="77777777" w:rsidR="00CE2A87" w:rsidRPr="00DD6BCA" w:rsidRDefault="00CE2A87" w:rsidP="00CE2A87">
      <w:pPr>
        <w:pStyle w:val="FootnoteText"/>
      </w:pPr>
    </w:p>
  </w:footnote>
  <w:footnote w:id="2">
    <w:p w14:paraId="339FCDE6" w14:textId="77777777" w:rsidR="00CE2A87" w:rsidRPr="00297DF8" w:rsidRDefault="00CE2A87" w:rsidP="00CE2A87">
      <w:pPr>
        <w:pStyle w:val="FootnoteText"/>
        <w:rPr>
          <w:sz w:val="16"/>
          <w:szCs w:val="16"/>
        </w:rPr>
      </w:pPr>
      <w:r w:rsidRPr="00297DF8">
        <w:rPr>
          <w:rStyle w:val="FootnoteReference"/>
          <w:sz w:val="16"/>
          <w:szCs w:val="16"/>
        </w:rPr>
        <w:footnoteRef/>
      </w:r>
      <w:r w:rsidRPr="00297DF8">
        <w:rPr>
          <w:sz w:val="16"/>
          <w:szCs w:val="16"/>
        </w:rPr>
        <w:t xml:space="preserve"> In this theory, in short, students are considered empty vessels that need to be filled with content knowledge before they can functionally participate in society; in contrast to students being considerate human beings with their own normative frameworks, perfectly capable of functioning in a social system, improving on their contributory capacity to help society as their academic paths progress. </w:t>
      </w:r>
    </w:p>
  </w:footnote>
  <w:footnote w:id="3">
    <w:p w14:paraId="534578A4" w14:textId="77777777" w:rsidR="00CE2A87" w:rsidRPr="007C423E" w:rsidRDefault="00CE2A87" w:rsidP="00CE2A87">
      <w:pPr>
        <w:pStyle w:val="FootnoteText"/>
      </w:pPr>
      <w:r>
        <w:rPr>
          <w:rStyle w:val="FootnoteReference"/>
        </w:rPr>
        <w:footnoteRef/>
      </w:r>
      <w:r>
        <w:t xml:space="preserve"> Kalmár, É., &amp; Stenfert, H. (2020). Science Communication as a design challenge in transdisciplinary collaborations. </w:t>
      </w:r>
      <w:r>
        <w:rPr>
          <w:i/>
          <w:iCs/>
        </w:rPr>
        <w:t>Journal of Science Communication</w:t>
      </w:r>
      <w:r>
        <w:t xml:space="preserve">, </w:t>
      </w:r>
      <w:r>
        <w:rPr>
          <w:i/>
          <w:iCs/>
        </w:rPr>
        <w:t>19</w:t>
      </w:r>
      <w:r>
        <w:t>(4), C01.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456C" w14:textId="77777777" w:rsidR="006C677B" w:rsidRDefault="003A08E7">
    <w:pPr>
      <w:pStyle w:val="Header"/>
    </w:pPr>
    <w:r>
      <w:rPr>
        <w:noProof/>
        <w:lang w:val="en-GB" w:eastAsia="en-GB"/>
      </w:rPr>
      <w:drawing>
        <wp:anchor distT="0" distB="0" distL="0" distR="0" simplePos="0" relativeHeight="6" behindDoc="1" locked="0" layoutInCell="0" allowOverlap="1" wp14:anchorId="792D23E3" wp14:editId="53C6BA8B">
          <wp:simplePos x="0" y="0"/>
          <wp:positionH relativeFrom="column">
            <wp:posOffset>74295</wp:posOffset>
          </wp:positionH>
          <wp:positionV relativeFrom="paragraph">
            <wp:posOffset>-127000</wp:posOffset>
          </wp:positionV>
          <wp:extent cx="1410970" cy="471170"/>
          <wp:effectExtent l="0" t="0" r="0" b="0"/>
          <wp:wrapSquare wrapText="largest"/>
          <wp:docPr id="3"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pic:cNvPicPr>
                    <a:picLocks noChangeAspect="1" noChangeArrowheads="1"/>
                  </pic:cNvPicPr>
                </pic:nvPicPr>
                <pic:blipFill>
                  <a:blip r:embed="rId1"/>
                  <a:stretch>
                    <a:fillRect/>
                  </a:stretch>
                </pic:blipFill>
                <pic:spPr bwMode="auto">
                  <a:xfrm>
                    <a:off x="0" y="0"/>
                    <a:ext cx="1410970" cy="471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009E"/>
    <w:multiLevelType w:val="multilevel"/>
    <w:tmpl w:val="C0F897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FE012DD"/>
    <w:multiLevelType w:val="hybridMultilevel"/>
    <w:tmpl w:val="AED255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1D530D3"/>
    <w:multiLevelType w:val="multilevel"/>
    <w:tmpl w:val="8D1839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DF132E4"/>
    <w:multiLevelType w:val="hybridMultilevel"/>
    <w:tmpl w:val="5C28F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470627"/>
    <w:multiLevelType w:val="hybridMultilevel"/>
    <w:tmpl w:val="6568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768C2"/>
    <w:multiLevelType w:val="multilevel"/>
    <w:tmpl w:val="54AE0D44"/>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62A7AC8"/>
    <w:multiLevelType w:val="hybridMultilevel"/>
    <w:tmpl w:val="005AC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3159202">
    <w:abstractNumId w:val="5"/>
  </w:num>
  <w:num w:numId="2" w16cid:durableId="1334186249">
    <w:abstractNumId w:val="2"/>
  </w:num>
  <w:num w:numId="3" w16cid:durableId="380136608">
    <w:abstractNumId w:val="0"/>
  </w:num>
  <w:num w:numId="4" w16cid:durableId="322389716">
    <w:abstractNumId w:val="1"/>
  </w:num>
  <w:num w:numId="5" w16cid:durableId="1440561913">
    <w:abstractNumId w:val="3"/>
  </w:num>
  <w:num w:numId="6" w16cid:durableId="2101871102">
    <w:abstractNumId w:val="6"/>
  </w:num>
  <w:num w:numId="7" w16cid:durableId="279185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77B"/>
    <w:rsid w:val="00113286"/>
    <w:rsid w:val="003A08E7"/>
    <w:rsid w:val="00575F60"/>
    <w:rsid w:val="005A6248"/>
    <w:rsid w:val="005E1A73"/>
    <w:rsid w:val="006C677B"/>
    <w:rsid w:val="008C5898"/>
    <w:rsid w:val="008C65C6"/>
    <w:rsid w:val="008E443E"/>
    <w:rsid w:val="00902B51"/>
    <w:rsid w:val="00A27226"/>
    <w:rsid w:val="00CE2A87"/>
    <w:rsid w:val="00DE0373"/>
    <w:rsid w:val="00F750F4"/>
    <w:rsid w:val="00FA4F02"/>
    <w:rsid w:val="00FE122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E4BEF"/>
  <w15:docId w15:val="{5DAAFE94-483B-4C2C-A26D-13B59231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387D04"/>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paragraph" w:styleId="Heading2">
    <w:name w:val="heading 2"/>
    <w:basedOn w:val="Ttulo"/>
    <w:next w:val="BodyText"/>
    <w:qFormat/>
    <w:pPr>
      <w:numPr>
        <w:ilvl w:val="1"/>
        <w:numId w:val="1"/>
      </w:numPr>
      <w:spacing w:before="0"/>
      <w:outlineLvl w:val="1"/>
    </w:pPr>
    <w:rPr>
      <w:rFonts w:ascii="Calibri" w:hAnsi="Calibri"/>
      <w:color w:val="C9211E"/>
      <w:sz w:val="32"/>
      <w:szCs w:val="32"/>
    </w:rPr>
  </w:style>
  <w:style w:type="paragraph" w:styleId="Heading3">
    <w:name w:val="heading 3"/>
    <w:basedOn w:val="Heading"/>
    <w:next w:val="BodyText"/>
    <w:qFormat/>
    <w:pPr>
      <w:numPr>
        <w:ilvl w:val="2"/>
        <w:numId w:val="1"/>
      </w:numPr>
      <w:spacing w:before="140"/>
      <w:outlineLvl w:val="2"/>
    </w:pPr>
    <w:rPr>
      <w:rFonts w:ascii="Futura" w:hAnsi="Futura"/>
      <w:color w:val="C9211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52458"/>
  </w:style>
  <w:style w:type="character" w:customStyle="1" w:styleId="FooterChar">
    <w:name w:val="Footer Char"/>
    <w:basedOn w:val="DefaultParagraphFont"/>
    <w:link w:val="Footer"/>
    <w:uiPriority w:val="99"/>
    <w:qFormat/>
    <w:rsid w:val="00252458"/>
  </w:style>
  <w:style w:type="character" w:customStyle="1" w:styleId="Heading1Char">
    <w:name w:val="Heading 1 Char"/>
    <w:basedOn w:val="DefaultParagraphFont"/>
    <w:link w:val="Heading1"/>
    <w:uiPriority w:val="9"/>
    <w:qFormat/>
    <w:rsid w:val="00387D04"/>
    <w:rPr>
      <w:rFonts w:asciiTheme="majorHAnsi" w:eastAsiaTheme="majorEastAsia" w:hAnsiTheme="majorHAnsi" w:cstheme="majorBidi"/>
      <w:color w:val="B3186D" w:themeColor="accent1" w:themeShade="BF"/>
      <w:sz w:val="32"/>
      <w:szCs w:val="32"/>
    </w:rPr>
  </w:style>
  <w:style w:type="character" w:customStyle="1" w:styleId="NoSpacingChar">
    <w:name w:val="No Spacing Char"/>
    <w:basedOn w:val="DefaultParagraphFont"/>
    <w:link w:val="NoSpacing"/>
    <w:uiPriority w:val="1"/>
    <w:qFormat/>
    <w:rsid w:val="00D3795F"/>
    <w:rPr>
      <w:rFonts w:eastAsiaTheme="minorEastAsia"/>
    </w:rPr>
  </w:style>
  <w:style w:type="character" w:customStyle="1" w:styleId="EnlacedeInternet">
    <w:name w:val="Enlace de Internet"/>
    <w:basedOn w:val="DefaultParagraphFont"/>
    <w:uiPriority w:val="99"/>
    <w:unhideWhenUsed/>
    <w:qFormat/>
    <w:rsid w:val="003A45F8"/>
    <w:rPr>
      <w:color w:val="6B9F25" w:themeColor="hyperlink"/>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0" w:line="276" w:lineRule="auto"/>
    </w:pPr>
    <w:rPr>
      <w:rFonts w:ascii="Futura" w:hAnsi="Futura"/>
    </w:rPr>
  </w:style>
  <w:style w:type="paragraph" w:styleId="List">
    <w:name w:val="List"/>
    <w:basedOn w:val="BodyText"/>
    <w:rPr>
      <w:rFonts w:cs="Lohit Devanagari"/>
    </w:rPr>
  </w:style>
  <w:style w:type="paragraph" w:styleId="Caption">
    <w:name w:val="caption"/>
    <w:basedOn w:val="Normal"/>
    <w:next w:val="Normal"/>
    <w:uiPriority w:val="35"/>
    <w:unhideWhenUsed/>
    <w:qFormat/>
    <w:rsid w:val="00ED6D5E"/>
    <w:pPr>
      <w:spacing w:after="200" w:line="240" w:lineRule="auto"/>
    </w:pPr>
    <w:rPr>
      <w:i/>
      <w:iCs/>
      <w:color w:val="454551" w:themeColor="text2"/>
      <w:sz w:val="18"/>
      <w:szCs w:val="18"/>
    </w:rPr>
  </w:style>
  <w:style w:type="paragraph" w:customStyle="1" w:styleId="Index">
    <w:name w:val="Index"/>
    <w:basedOn w:val="Normal"/>
    <w:qFormat/>
    <w:pPr>
      <w:suppressLineNumbers/>
    </w:pPr>
    <w:rPr>
      <w:rFonts w:cs="Lohit Devanagari"/>
    </w:rPr>
  </w:style>
  <w:style w:type="paragraph" w:customStyle="1" w:styleId="Ttulo">
    <w:name w:val="Título"/>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customStyle="1" w:styleId="HeaderandFooter">
    <w:name w:val="Header and Footer"/>
    <w:basedOn w:val="Normal"/>
    <w:qFormat/>
  </w:style>
  <w:style w:type="paragraph" w:styleId="Header">
    <w:name w:val="header"/>
    <w:basedOn w:val="Normal"/>
    <w:link w:val="HeaderChar"/>
    <w:uiPriority w:val="99"/>
    <w:unhideWhenUsed/>
    <w:rsid w:val="00252458"/>
    <w:pPr>
      <w:tabs>
        <w:tab w:val="center" w:pos="4513"/>
        <w:tab w:val="right" w:pos="9026"/>
      </w:tabs>
      <w:spacing w:after="0" w:line="240" w:lineRule="auto"/>
    </w:pPr>
  </w:style>
  <w:style w:type="paragraph" w:styleId="Footer">
    <w:name w:val="footer"/>
    <w:basedOn w:val="Normal"/>
    <w:link w:val="FooterChar"/>
    <w:uiPriority w:val="99"/>
    <w:unhideWhenUsed/>
    <w:rsid w:val="00252458"/>
    <w:pPr>
      <w:tabs>
        <w:tab w:val="center" w:pos="4513"/>
        <w:tab w:val="right" w:pos="9026"/>
      </w:tabs>
      <w:spacing w:after="0" w:line="240" w:lineRule="auto"/>
    </w:pPr>
  </w:style>
  <w:style w:type="paragraph" w:styleId="NormalWeb">
    <w:name w:val="Normal (Web)"/>
    <w:basedOn w:val="Normal"/>
    <w:uiPriority w:val="99"/>
    <w:semiHidden/>
    <w:unhideWhenUsed/>
    <w:qFormat/>
    <w:rsid w:val="00252458"/>
    <w:pPr>
      <w:spacing w:beforeAutospacing="1" w:afterAutospacing="1" w:line="240" w:lineRule="auto"/>
    </w:pPr>
    <w:rPr>
      <w:rFonts w:ascii="Times New Roman" w:eastAsiaTheme="minorEastAsia" w:hAnsi="Times New Roman" w:cs="Times New Roman"/>
      <w:sz w:val="24"/>
      <w:szCs w:val="24"/>
      <w:lang w:val="en-GB" w:eastAsia="en-GB"/>
    </w:rPr>
  </w:style>
  <w:style w:type="paragraph" w:styleId="NoSpacing">
    <w:name w:val="No Spacing"/>
    <w:link w:val="NoSpacingChar"/>
    <w:uiPriority w:val="1"/>
    <w:qFormat/>
    <w:rsid w:val="00D3795F"/>
    <w:rPr>
      <w:rFonts w:ascii="Calibri" w:eastAsiaTheme="minorEastAsia" w:hAnsi="Calibri"/>
    </w:rPr>
  </w:style>
  <w:style w:type="paragraph" w:styleId="ListParagraph">
    <w:name w:val="List Paragraph"/>
    <w:basedOn w:val="Normal"/>
    <w:uiPriority w:val="34"/>
    <w:qFormat/>
    <w:rsid w:val="005D2619"/>
    <w:pPr>
      <w:ind w:left="720"/>
      <w:contextualSpacing/>
    </w:pPr>
  </w:style>
  <w:style w:type="paragraph" w:customStyle="1" w:styleId="Contenidodelmarco">
    <w:name w:val="Contenido del marco"/>
    <w:basedOn w:val="Normal"/>
    <w:qFormat/>
  </w:style>
  <w:style w:type="paragraph" w:styleId="Title">
    <w:name w:val="Title"/>
    <w:basedOn w:val="Ttulo"/>
    <w:next w:val="BodyText"/>
    <w:link w:val="TitleChar"/>
    <w:uiPriority w:val="10"/>
    <w:qFormat/>
    <w:rPr>
      <w:rFonts w:ascii="Calibri" w:hAnsi="Calibri"/>
      <w:sz w:val="40"/>
      <w:szCs w:val="56"/>
    </w:rPr>
  </w:style>
  <w:style w:type="paragraph" w:styleId="Subtitle">
    <w:name w:val="Subtitle"/>
    <w:basedOn w:val="Ttulo"/>
    <w:next w:val="BodyText"/>
    <w:link w:val="SubtitleChar"/>
    <w:uiPriority w:val="11"/>
    <w:qFormat/>
    <w:pPr>
      <w:pBdr>
        <w:bottom w:val="single" w:sz="24" w:space="1" w:color="DA1E22"/>
      </w:pBdr>
      <w:spacing w:before="60"/>
    </w:pPr>
    <w:rPr>
      <w:rFonts w:ascii="Calibri" w:hAnsi="Calibri"/>
      <w:color w:val="C9211E"/>
      <w:sz w:val="32"/>
      <w:szCs w:val="32"/>
    </w:rPr>
  </w:style>
  <w:style w:type="paragraph" w:customStyle="1" w:styleId="FrameContents">
    <w:name w:val="Frame Contents"/>
    <w:basedOn w:val="Normal"/>
    <w:qFormat/>
  </w:style>
  <w:style w:type="table" w:styleId="TableGrid">
    <w:name w:val="Table Grid"/>
    <w:basedOn w:val="TableNormal"/>
    <w:uiPriority w:val="39"/>
    <w:rsid w:val="003B1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rsid w:val="008C5898"/>
    <w:rPr>
      <w:rFonts w:ascii="Calibri" w:eastAsia="Noto Sans CJK SC" w:hAnsi="Calibri" w:cs="Lohit Devanagari"/>
      <w:color w:val="C9211E"/>
      <w:sz w:val="32"/>
      <w:szCs w:val="32"/>
    </w:rPr>
  </w:style>
  <w:style w:type="character" w:customStyle="1" w:styleId="TitleChar">
    <w:name w:val="Title Char"/>
    <w:basedOn w:val="DefaultParagraphFont"/>
    <w:link w:val="Title"/>
    <w:uiPriority w:val="10"/>
    <w:rsid w:val="00A27226"/>
    <w:rPr>
      <w:rFonts w:ascii="Calibri" w:eastAsia="Noto Sans CJK SC" w:hAnsi="Calibri" w:cs="Lohit Devanagari"/>
      <w:sz w:val="40"/>
      <w:szCs w:val="56"/>
    </w:rPr>
  </w:style>
  <w:style w:type="paragraph" w:styleId="Quote">
    <w:name w:val="Quote"/>
    <w:basedOn w:val="Normal"/>
    <w:next w:val="Normal"/>
    <w:link w:val="QuoteChar"/>
    <w:uiPriority w:val="29"/>
    <w:qFormat/>
    <w:rsid w:val="00A27226"/>
    <w:pPr>
      <w:suppressAutoHyphens w:val="0"/>
      <w:spacing w:after="0" w:line="288" w:lineRule="auto"/>
      <w:jc w:val="center"/>
    </w:pPr>
    <w:rPr>
      <w:rFonts w:ascii="Times New Roman" w:hAnsi="Times New Roman" w:cs="Times New Roman (Body CS)"/>
      <w:i/>
      <w:iCs/>
      <w:color w:val="404040" w:themeColor="text1" w:themeTint="BF"/>
      <w:szCs w:val="24"/>
      <w:lang w:val="en-GB"/>
    </w:rPr>
  </w:style>
  <w:style w:type="character" w:customStyle="1" w:styleId="QuoteChar">
    <w:name w:val="Quote Char"/>
    <w:basedOn w:val="DefaultParagraphFont"/>
    <w:link w:val="Quote"/>
    <w:uiPriority w:val="29"/>
    <w:rsid w:val="00A27226"/>
    <w:rPr>
      <w:rFonts w:ascii="Times New Roman" w:hAnsi="Times New Roman" w:cs="Times New Roman (Body CS)"/>
      <w:i/>
      <w:iCs/>
      <w:color w:val="404040" w:themeColor="text1" w:themeTint="BF"/>
      <w:szCs w:val="24"/>
      <w:lang w:val="en-GB"/>
    </w:rPr>
  </w:style>
  <w:style w:type="character" w:styleId="Hyperlink">
    <w:name w:val="Hyperlink"/>
    <w:basedOn w:val="DefaultParagraphFont"/>
    <w:uiPriority w:val="99"/>
    <w:unhideWhenUsed/>
    <w:rsid w:val="005A6248"/>
    <w:rPr>
      <w:color w:val="0000FF"/>
      <w:u w:val="single"/>
    </w:rPr>
  </w:style>
  <w:style w:type="paragraph" w:styleId="FootnoteText">
    <w:name w:val="footnote text"/>
    <w:basedOn w:val="Normal"/>
    <w:link w:val="FootnoteTextChar"/>
    <w:uiPriority w:val="99"/>
    <w:semiHidden/>
    <w:unhideWhenUsed/>
    <w:rsid w:val="00CE2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A87"/>
    <w:rPr>
      <w:sz w:val="20"/>
      <w:szCs w:val="20"/>
    </w:rPr>
  </w:style>
  <w:style w:type="character" w:styleId="FootnoteReference">
    <w:name w:val="footnote reference"/>
    <w:basedOn w:val="DefaultParagraphFont"/>
    <w:uiPriority w:val="99"/>
    <w:semiHidden/>
    <w:unhideWhenUsed/>
    <w:rsid w:val="00CE2A87"/>
    <w:rPr>
      <w:vertAlign w:val="superscript"/>
    </w:rPr>
  </w:style>
  <w:style w:type="paragraph" w:styleId="CommentText">
    <w:name w:val="annotation text"/>
    <w:basedOn w:val="Normal"/>
    <w:link w:val="CommentTextChar"/>
    <w:uiPriority w:val="99"/>
    <w:semiHidden/>
    <w:unhideWhenUsed/>
    <w:rsid w:val="00CE2A87"/>
    <w:pPr>
      <w:spacing w:line="240" w:lineRule="auto"/>
    </w:pPr>
    <w:rPr>
      <w:sz w:val="20"/>
      <w:szCs w:val="20"/>
    </w:rPr>
  </w:style>
  <w:style w:type="character" w:customStyle="1" w:styleId="CommentTextChar">
    <w:name w:val="Comment Text Char"/>
    <w:basedOn w:val="DefaultParagraphFont"/>
    <w:link w:val="CommentText"/>
    <w:uiPriority w:val="99"/>
    <w:semiHidden/>
    <w:rsid w:val="00CE2A87"/>
    <w:rPr>
      <w:sz w:val="20"/>
      <w:szCs w:val="20"/>
    </w:rPr>
  </w:style>
  <w:style w:type="character" w:styleId="CommentReference">
    <w:name w:val="annotation reference"/>
    <w:basedOn w:val="DefaultParagraphFont"/>
    <w:uiPriority w:val="99"/>
    <w:semiHidden/>
    <w:unhideWhenUsed/>
    <w:rsid w:val="00CE2A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ue.nl/en/news/news-overview/01-03-2021-tue-innovation-space-wins-the-netherlands-first-higher-education-aw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delft.nl/open-sci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8D52-E8D1-4A13-A3AF-7F2AB992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4889</Words>
  <Characters>28065</Characters>
  <Application>Microsoft Office Word</Application>
  <DocSecurity>0</DocSecurity>
  <Lines>779</Lines>
  <Paragraphs>100</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Belliard</dc:creator>
  <dc:description/>
  <cp:lastModifiedBy>Éva Kalmár</cp:lastModifiedBy>
  <cp:revision>11</cp:revision>
  <dcterms:created xsi:type="dcterms:W3CDTF">2023-11-29T10:36:00Z</dcterms:created>
  <dcterms:modified xsi:type="dcterms:W3CDTF">2023-11-29T15:37:00Z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TU Delft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DocumentId">
    <vt:lpwstr>2a3d557d0e27038e11ca3c4f72d30a9cbfbc1c6a9939cab87a00afaf2c1af774</vt:lpwstr>
  </property>
</Properties>
</file>