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C615" w14:textId="2E4E3E37" w:rsidR="00021EC6" w:rsidRPr="007A5EA1" w:rsidRDefault="00021EC6" w:rsidP="007A5EA1">
      <w:pPr>
        <w:shd w:val="clear" w:color="auto" w:fill="FFFFFF"/>
        <w:spacing w:before="120" w:after="120" w:line="360" w:lineRule="auto"/>
        <w:jc w:val="center"/>
        <w:rPr>
          <w:rFonts w:ascii="Verdana" w:eastAsia="Times New Roman" w:hAnsi="Verdana" w:cs="Calibri"/>
          <w:b/>
          <w:bCs/>
          <w:color w:val="212121"/>
          <w:lang w:eastAsia="es-ES"/>
          <w14:ligatures w14:val="none"/>
        </w:rPr>
      </w:pPr>
      <w:bookmarkStart w:id="0" w:name="_Hlk149329212"/>
      <w:r>
        <w:rPr>
          <w:rFonts w:ascii="Verdana" w:eastAsia="Times New Roman" w:hAnsi="Verdana" w:cs="Calibri"/>
          <w:b/>
          <w:bCs/>
          <w:color w:val="212121"/>
          <w:lang w:eastAsia="es-ES"/>
          <w14:ligatures w14:val="none"/>
        </w:rPr>
        <w:t>Incumplimiento de normas de bioseguridad en enfermería, Hospital El Triunfo, enero-junio 2021: Consecuencias y Estudio.</w:t>
      </w:r>
      <w:bookmarkEnd w:id="0"/>
    </w:p>
    <w:p w14:paraId="14375173" w14:textId="4D023291" w:rsidR="00FB4F55" w:rsidRDefault="00021EC6" w:rsidP="00DF53E9">
      <w:pPr>
        <w:shd w:val="clear" w:color="auto" w:fill="FFFFFF"/>
        <w:spacing w:before="120" w:after="120" w:line="360" w:lineRule="auto"/>
        <w:ind w:firstLine="709"/>
        <w:jc w:val="center"/>
        <w:rPr>
          <w:rFonts w:ascii="Verdana" w:eastAsia="Times New Roman" w:hAnsi="Verdana" w:cs="Calibri"/>
          <w:b/>
          <w:bCs/>
          <w:color w:val="212121"/>
          <w:lang w:val="en-US" w:eastAsia="es-ES"/>
          <w14:ligatures w14:val="none"/>
        </w:rPr>
      </w:pPr>
      <w:r>
        <w:rPr>
          <w:rFonts w:ascii="Verdana" w:eastAsia="Times New Roman" w:hAnsi="Verdana" w:cs="Calibri"/>
          <w:b/>
          <w:bCs/>
          <w:color w:val="212121"/>
          <w:lang w:val="en-US" w:eastAsia="es-ES"/>
          <w14:ligatures w14:val="none"/>
        </w:rPr>
        <w:t xml:space="preserve">Non-compliance with biosecurity standards in nursing, El </w:t>
      </w:r>
      <w:proofErr w:type="spellStart"/>
      <w:r>
        <w:rPr>
          <w:rFonts w:ascii="Verdana" w:eastAsia="Times New Roman" w:hAnsi="Verdana" w:cs="Calibri"/>
          <w:b/>
          <w:bCs/>
          <w:color w:val="212121"/>
          <w:lang w:val="en-US" w:eastAsia="es-ES"/>
          <w14:ligatures w14:val="none"/>
        </w:rPr>
        <w:t>Triunfo</w:t>
      </w:r>
      <w:proofErr w:type="spellEnd"/>
      <w:r>
        <w:rPr>
          <w:rFonts w:ascii="Verdana" w:eastAsia="Times New Roman" w:hAnsi="Verdana" w:cs="Calibri"/>
          <w:b/>
          <w:bCs/>
          <w:color w:val="212121"/>
          <w:lang w:val="en-US" w:eastAsia="es-ES"/>
          <w14:ligatures w14:val="none"/>
        </w:rPr>
        <w:t xml:space="preserve"> Hospital, January-June 2021: Consequences and study</w:t>
      </w:r>
    </w:p>
    <w:p w14:paraId="293C63AC" w14:textId="77777777" w:rsidR="00FB4F55" w:rsidRDefault="00021EC6" w:rsidP="00DF53E9">
      <w:pPr>
        <w:shd w:val="clear" w:color="auto" w:fill="FFFFFF"/>
        <w:spacing w:before="120" w:after="120" w:line="360" w:lineRule="auto"/>
        <w:ind w:firstLine="709"/>
        <w:rPr>
          <w:rFonts w:ascii="Verdana" w:eastAsia="Times New Roman" w:hAnsi="Verdana" w:cs="Calibri"/>
          <w:b/>
          <w:bCs/>
          <w:color w:val="212121"/>
          <w:lang w:eastAsia="es-ES"/>
          <w14:ligatures w14:val="none"/>
        </w:rPr>
      </w:pPr>
      <w:r>
        <w:rPr>
          <w:rFonts w:ascii="Verdana" w:eastAsia="Times New Roman" w:hAnsi="Verdana" w:cs="Calibri"/>
          <w:b/>
          <w:bCs/>
          <w:color w:val="212121"/>
          <w:lang w:eastAsia="es-ES"/>
          <w14:ligatures w14:val="none"/>
        </w:rPr>
        <w:t>Autores</w:t>
      </w:r>
    </w:p>
    <w:p w14:paraId="7D50447B" w14:textId="64D98C4B" w:rsidR="00455968" w:rsidRDefault="00455968" w:rsidP="00455968">
      <w:pPr>
        <w:shd w:val="clear" w:color="auto" w:fill="FFFFFF"/>
        <w:spacing w:before="120" w:after="120" w:line="360" w:lineRule="auto"/>
        <w:ind w:firstLine="709"/>
        <w:rPr>
          <w:rFonts w:ascii="Verdana" w:eastAsia="Times New Roman" w:hAnsi="Verdana" w:cs="Calibri"/>
          <w:b/>
          <w:bCs/>
          <w:color w:val="212121"/>
          <w:lang w:eastAsia="es-ES"/>
          <w14:ligatures w14:val="none"/>
        </w:rPr>
      </w:pPr>
      <w:r>
        <w:rPr>
          <w:rFonts w:ascii="Verdana" w:eastAsia="Times New Roman" w:hAnsi="Verdana" w:cs="Calibri"/>
          <w:b/>
          <w:bCs/>
          <w:color w:val="212121"/>
          <w:lang w:eastAsia="es-ES"/>
          <w14:ligatures w14:val="none"/>
        </w:rPr>
        <w:t>1.</w:t>
      </w:r>
      <w:r w:rsidRPr="00455968">
        <w:rPr>
          <w:rFonts w:ascii="Verdana" w:eastAsia="Times New Roman" w:hAnsi="Verdana" w:cs="Calibri"/>
          <w:color w:val="212121"/>
          <w:lang w:eastAsia="es-ES"/>
          <w14:ligatures w14:val="none"/>
        </w:rPr>
        <w:t>Ledesma Sánchez Odalys Anael</w:t>
      </w:r>
    </w:p>
    <w:p w14:paraId="6BEF3A66" w14:textId="17455B16" w:rsidR="00455968" w:rsidRDefault="00455968" w:rsidP="00455968">
      <w:pPr>
        <w:shd w:val="clear" w:color="auto" w:fill="FFFFFF"/>
        <w:spacing w:before="120" w:after="120" w:line="360" w:lineRule="auto"/>
        <w:ind w:firstLine="709"/>
        <w:rPr>
          <w:rFonts w:ascii="Verdana" w:eastAsia="Times New Roman" w:hAnsi="Verdana" w:cs="Calibri"/>
          <w:color w:val="212121"/>
          <w:lang w:eastAsia="es-ES"/>
          <w14:ligatures w14:val="none"/>
        </w:rPr>
      </w:pPr>
      <w:r>
        <w:rPr>
          <w:rFonts w:ascii="Verdana" w:eastAsia="Times New Roman" w:hAnsi="Verdana" w:cs="Calibri"/>
          <w:b/>
          <w:bCs/>
          <w:color w:val="212121"/>
          <w:lang w:eastAsia="es-ES"/>
          <w14:ligatures w14:val="none"/>
        </w:rPr>
        <w:t>2.</w:t>
      </w:r>
      <w:r w:rsidRPr="00455968">
        <w:rPr>
          <w:rFonts w:ascii="Verdana" w:eastAsia="Times New Roman" w:hAnsi="Verdana" w:cs="Calibri"/>
          <w:color w:val="212121"/>
          <w:lang w:eastAsia="es-ES"/>
          <w14:ligatures w14:val="none"/>
        </w:rPr>
        <w:t>Vera Castro Jorge Javier</w:t>
      </w:r>
    </w:p>
    <w:p w14:paraId="48F49BAB" w14:textId="52791E0C" w:rsidR="00455968" w:rsidRDefault="00455968" w:rsidP="00455968">
      <w:pPr>
        <w:shd w:val="clear" w:color="auto" w:fill="FFFFFF"/>
        <w:spacing w:before="120" w:after="120" w:line="360" w:lineRule="auto"/>
        <w:ind w:firstLine="709"/>
        <w:rPr>
          <w:rFonts w:ascii="Verdana" w:eastAsia="Times New Roman" w:hAnsi="Verdana" w:cs="Calibri"/>
          <w:color w:val="212121"/>
          <w:lang w:eastAsia="es-ES"/>
          <w14:ligatures w14:val="none"/>
        </w:rPr>
      </w:pPr>
      <w:r w:rsidRPr="00455968">
        <w:rPr>
          <w:rFonts w:ascii="Verdana" w:eastAsia="Times New Roman" w:hAnsi="Verdana" w:cs="Calibri"/>
          <w:b/>
          <w:bCs/>
          <w:color w:val="212121"/>
          <w:lang w:eastAsia="es-ES"/>
          <w14:ligatures w14:val="none"/>
        </w:rPr>
        <w:t>3.</w:t>
      </w:r>
      <w:r>
        <w:rPr>
          <w:rFonts w:ascii="Verdana" w:eastAsia="Times New Roman" w:hAnsi="Verdana" w:cs="Calibri"/>
          <w:color w:val="212121"/>
          <w:lang w:eastAsia="es-ES"/>
          <w14:ligatures w14:val="none"/>
        </w:rPr>
        <w:t xml:space="preserve">Yagual Méndez Melissa Isabel </w:t>
      </w:r>
    </w:p>
    <w:p w14:paraId="31740059" w14:textId="501B51A1" w:rsidR="00455968" w:rsidRPr="00455968" w:rsidRDefault="00712927" w:rsidP="00712927">
      <w:pPr>
        <w:shd w:val="clear" w:color="auto" w:fill="FFFFFF"/>
        <w:spacing w:before="120" w:after="120" w:line="360" w:lineRule="auto"/>
        <w:ind w:firstLine="709"/>
        <w:rPr>
          <w:rFonts w:ascii="Verdana" w:eastAsia="Times New Roman" w:hAnsi="Verdana" w:cs="Calibri"/>
          <w:b/>
          <w:bCs/>
          <w:color w:val="212121"/>
          <w:lang w:eastAsia="es-ES"/>
          <w14:ligatures w14:val="none"/>
        </w:rPr>
      </w:pPr>
      <w:r w:rsidRPr="00712927">
        <w:rPr>
          <w:rFonts w:ascii="Verdana" w:eastAsia="Times New Roman" w:hAnsi="Verdana" w:cs="Calibri"/>
          <w:b/>
          <w:bCs/>
          <w:color w:val="212121"/>
          <w:lang w:eastAsia="es-ES"/>
          <w14:ligatures w14:val="none"/>
        </w:rPr>
        <w:t xml:space="preserve">4. </w:t>
      </w:r>
      <w:r w:rsidRPr="00712927">
        <w:rPr>
          <w:rFonts w:ascii="Verdana" w:eastAsia="Times New Roman" w:hAnsi="Verdana" w:cs="Calibri"/>
          <w:color w:val="212121"/>
          <w:lang w:eastAsia="es-ES"/>
          <w14:ligatures w14:val="none"/>
        </w:rPr>
        <w:t>Zuloaga Zambrano Carlos Alejandro</w:t>
      </w:r>
    </w:p>
    <w:p w14:paraId="050EEC17" w14:textId="77777777" w:rsidR="00FB4F55" w:rsidRDefault="00021EC6" w:rsidP="00DF53E9">
      <w:pPr>
        <w:shd w:val="clear" w:color="auto" w:fill="FFFFFF"/>
        <w:spacing w:before="120" w:after="120" w:line="360" w:lineRule="auto"/>
        <w:ind w:firstLine="709"/>
        <w:rPr>
          <w:rFonts w:ascii="Poppins" w:eastAsia="Times New Roman" w:hAnsi="Poppins" w:cs="Poppins"/>
          <w:color w:val="212121"/>
          <w:sz w:val="28"/>
          <w:szCs w:val="28"/>
          <w:lang w:eastAsia="es-ES"/>
          <w14:ligatures w14:val="none"/>
        </w:rPr>
      </w:pPr>
      <w:r>
        <w:rPr>
          <w:rFonts w:ascii="Verdana" w:eastAsia="Times New Roman" w:hAnsi="Verdana" w:cs="Calibri"/>
          <w:b/>
          <w:bCs/>
          <w:color w:val="212121"/>
          <w:lang w:eastAsia="es-ES"/>
          <w14:ligatures w14:val="none"/>
        </w:rPr>
        <w:t>Resumen</w:t>
      </w:r>
    </w:p>
    <w:p w14:paraId="2883D4F2" w14:textId="77777777" w:rsidR="00FB4F55" w:rsidRDefault="00021EC6" w:rsidP="00DF53E9">
      <w:pPr>
        <w:shd w:val="clear" w:color="auto" w:fill="FFFFFF"/>
        <w:spacing w:before="120" w:after="120" w:line="360" w:lineRule="auto"/>
        <w:ind w:firstLine="709"/>
        <w:jc w:val="both"/>
        <w:rPr>
          <w:rFonts w:ascii="Verdana" w:eastAsia="Times New Roman" w:hAnsi="Verdana" w:cs="Calibri"/>
          <w:color w:val="212121"/>
          <w:lang w:eastAsia="es-ES"/>
          <w14:ligatures w14:val="none"/>
        </w:rPr>
      </w:pPr>
      <w:r>
        <w:rPr>
          <w:rFonts w:ascii="Verdana" w:eastAsia="Times New Roman" w:hAnsi="Verdana" w:cs="Calibri"/>
          <w:color w:val="212121"/>
          <w:lang w:eastAsia="es-ES"/>
          <w14:ligatures w14:val="none"/>
        </w:rPr>
        <w:t xml:space="preserve">El presente trabajo de investigación bibliográfica examinó el incumplimiento de las normas de bioseguridad por parte del personal de enfermería en el Hospital Básico El Triunfo durante el primer semestre de 2021. Después de la revisión de 6 documentos, se determinó que el 83,33% de los estudios identificó insuficiencias en el seguimiento de estas regulaciones. En específico, un 33,33% de los casos estudiados destacaron la existencia de desafíos en la salud mental de los enfermeros, lo cual está relacionado con el estrés continuo y la presión agravada por la pandemia de COVID-19. Este efecto en la salud mental tiene el potencial de ejercer un impacto negativo en la calidad de la atención. En un 50% de los casos, se señaló un incumplimiento de las normas de bioseguridad en relación con los medicamentos, ya sea debido al uso inapropiado de los fármacos o a problemas en el proceso de dispensación. Estas deficiencias pueden influir en la eficacia de los tratamientos y aumentar la mortalidad, incluyendo el riesgo de enfermedades como la tuberculosis. Sin embargo, el 16,67% de los estudios mostraron una retroalimentación positiva por parte de los pacientes en el sector de atención obstétrica, lo que sugiere que al menos en esta área, se están cumpliendo las normas de bioseguridad y proporcionando atención de calidad. Estos hallazgos resaltan la urgencia de fortalecer la formación y supervisión del personal de enfermería en cuestiones de bioseguridad, así como de abordar la salud mental de los profesionales para mantener una atención </w:t>
      </w:r>
      <w:r>
        <w:rPr>
          <w:rFonts w:ascii="Verdana" w:eastAsia="Times New Roman" w:hAnsi="Verdana" w:cs="Calibri"/>
          <w:color w:val="212121"/>
          <w:lang w:eastAsia="es-ES"/>
          <w14:ligatures w14:val="none"/>
        </w:rPr>
        <w:lastRenderedPageBreak/>
        <w:t>de alta calidad. También es esencial asegurar el estricto cumplimiento de las normas de bioseguridad con relación a medicamentos para mejorar la efectividad del tratamiento y reducir el riesgo de propagación de enfermedades.</w:t>
      </w:r>
    </w:p>
    <w:p w14:paraId="648D104B" w14:textId="77777777" w:rsidR="00FB4F55" w:rsidRDefault="00021EC6" w:rsidP="00DF53E9">
      <w:pPr>
        <w:shd w:val="clear" w:color="auto" w:fill="FFFFFF"/>
        <w:spacing w:before="120" w:after="120" w:line="360" w:lineRule="auto"/>
        <w:ind w:firstLine="709"/>
        <w:jc w:val="both"/>
        <w:rPr>
          <w:rFonts w:ascii="Verdana" w:eastAsia="Times New Roman" w:hAnsi="Verdana" w:cs="Calibri"/>
          <w:color w:val="212121"/>
          <w:lang w:eastAsia="es-ES"/>
          <w14:ligatures w14:val="none"/>
        </w:rPr>
      </w:pPr>
      <w:r>
        <w:rPr>
          <w:rFonts w:ascii="Verdana" w:eastAsia="Times New Roman" w:hAnsi="Verdana" w:cs="Calibri"/>
          <w:color w:val="212121"/>
          <w:lang w:eastAsia="es-ES"/>
          <w14:ligatures w14:val="none"/>
        </w:rPr>
        <w:t>Palabras clave: enfermería, COVID-19, 2021, bioseguridad, falencias.</w:t>
      </w:r>
    </w:p>
    <w:p w14:paraId="6CEBAD1F" w14:textId="77777777" w:rsidR="00FB4F55" w:rsidRDefault="00FB4F55" w:rsidP="00DF53E9">
      <w:pPr>
        <w:shd w:val="clear" w:color="auto" w:fill="FFFFFF"/>
        <w:spacing w:before="120" w:after="120" w:line="360" w:lineRule="auto"/>
        <w:jc w:val="both"/>
        <w:rPr>
          <w:rFonts w:ascii="Verdana" w:eastAsia="Times New Roman" w:hAnsi="Verdana" w:cs="Calibri"/>
          <w:color w:val="212121"/>
          <w:lang w:eastAsia="es-ES"/>
          <w14:ligatures w14:val="none"/>
        </w:rPr>
      </w:pPr>
    </w:p>
    <w:p w14:paraId="285D7F4A" w14:textId="77777777" w:rsidR="00FB4F55" w:rsidRDefault="00021EC6" w:rsidP="00DF53E9">
      <w:pPr>
        <w:shd w:val="clear" w:color="auto" w:fill="FFFFFF"/>
        <w:spacing w:before="120" w:after="120" w:line="360" w:lineRule="auto"/>
        <w:ind w:firstLine="709"/>
        <w:rPr>
          <w:rFonts w:ascii="Verdana" w:eastAsia="Times New Roman" w:hAnsi="Verdana" w:cs="Calibri"/>
          <w:b/>
          <w:bCs/>
          <w:color w:val="212121"/>
          <w:lang w:val="en-US" w:eastAsia="es-ES"/>
          <w14:ligatures w14:val="none"/>
        </w:rPr>
      </w:pPr>
      <w:r>
        <w:rPr>
          <w:rFonts w:ascii="Verdana" w:eastAsia="Times New Roman" w:hAnsi="Verdana" w:cs="Calibri"/>
          <w:b/>
          <w:bCs/>
          <w:color w:val="212121"/>
          <w:lang w:val="en-US" w:eastAsia="es-ES"/>
          <w14:ligatures w14:val="none"/>
        </w:rPr>
        <w:t>Abstract</w:t>
      </w:r>
    </w:p>
    <w:p w14:paraId="25E90BA2" w14:textId="77777777" w:rsidR="00FB4F55" w:rsidRDefault="00021EC6" w:rsidP="00DF53E9">
      <w:pPr>
        <w:shd w:val="clear" w:color="auto" w:fill="FFFFFF"/>
        <w:spacing w:before="120" w:after="120" w:line="360" w:lineRule="auto"/>
        <w:ind w:firstLine="709"/>
        <w:jc w:val="both"/>
        <w:rPr>
          <w:rFonts w:ascii="Verdana" w:eastAsia="Times New Roman" w:hAnsi="Verdana" w:cs="Calibri"/>
          <w:color w:val="212121"/>
          <w:lang w:val="en-US" w:eastAsia="es-ES"/>
          <w14:ligatures w14:val="none"/>
        </w:rPr>
      </w:pPr>
      <w:r>
        <w:rPr>
          <w:rFonts w:ascii="Verdana" w:eastAsia="Times New Roman" w:hAnsi="Verdana" w:cs="Calibri"/>
          <w:color w:val="212121"/>
          <w:lang w:val="en-US" w:eastAsia="es-ES"/>
          <w14:ligatures w14:val="none"/>
        </w:rPr>
        <w:t>highlighted challenges in the mental health of nurses, which is linked to continuous stress and heightened pressure due to the COVID-19 pandemic. This impact on mental health has the potential to negatively affect the quality of care. In 50% of the cases, non-compliance with biosecurity regulations regarding medications was noted, either due to inappropriate drug usage or issues in the dispensing process. These deficiencies can impact treatment effectiveness and increase mortality, including the risk of diseases like tuberculosis. However, 16.67% of the studies showed positive feedback from patients in the obstetric care sector, suggesting that, at least in this area, biosecurity regulations are being adhered to, and quality care is being provided. These findings underscore the urgency of strengthening training and supervision of nursing staff in biosecurity practices, as well as addressing the mental health of professionals to maintain high-quality care. It is also essential to ensure strict compliance with biosecurity regulations related to medications to improve treatment effectiveness and reduce the risk of disease transmission.</w:t>
      </w:r>
    </w:p>
    <w:p w14:paraId="786FFFD8" w14:textId="77777777" w:rsidR="00FB4F55" w:rsidRDefault="00021EC6" w:rsidP="00DF53E9">
      <w:pPr>
        <w:shd w:val="clear" w:color="auto" w:fill="FFFFFF"/>
        <w:spacing w:before="120" w:after="120" w:line="360" w:lineRule="auto"/>
        <w:ind w:firstLine="709"/>
        <w:rPr>
          <w:rFonts w:ascii="Poppins" w:eastAsia="Times New Roman" w:hAnsi="Poppins" w:cs="Poppins"/>
          <w:color w:val="212121"/>
          <w:sz w:val="28"/>
          <w:szCs w:val="28"/>
          <w:lang w:val="en-US" w:eastAsia="es-ES"/>
          <w14:ligatures w14:val="none"/>
        </w:rPr>
      </w:pPr>
      <w:r>
        <w:rPr>
          <w:rFonts w:ascii="Verdana" w:eastAsia="Times New Roman" w:hAnsi="Verdana" w:cs="Calibri"/>
          <w:color w:val="212121"/>
          <w:lang w:val="en-US" w:eastAsia="es-ES"/>
          <w14:ligatures w14:val="none"/>
        </w:rPr>
        <w:t>Keywords: nursing, COVID-19, 2021, biosafety, shortcomings.</w:t>
      </w:r>
    </w:p>
    <w:p w14:paraId="7BB6F1EF" w14:textId="77777777" w:rsidR="00FB4F55" w:rsidRDefault="00FB4F55" w:rsidP="00DF53E9">
      <w:pPr>
        <w:shd w:val="clear" w:color="auto" w:fill="FFFFFF"/>
        <w:spacing w:before="120" w:after="120" w:line="360" w:lineRule="auto"/>
        <w:ind w:firstLine="709"/>
        <w:rPr>
          <w:rFonts w:ascii="Poppins" w:eastAsia="Times New Roman" w:hAnsi="Poppins" w:cs="Poppins"/>
          <w:color w:val="212121"/>
          <w:sz w:val="24"/>
          <w:szCs w:val="24"/>
          <w:lang w:val="en-US" w:eastAsia="es-ES"/>
          <w14:ligatures w14:val="none"/>
        </w:rPr>
      </w:pPr>
    </w:p>
    <w:p w14:paraId="346C5064" w14:textId="77777777" w:rsidR="00FB4F55" w:rsidRDefault="00FB4F55" w:rsidP="00DF53E9">
      <w:pPr>
        <w:shd w:val="clear" w:color="auto" w:fill="FFFFFF"/>
        <w:spacing w:before="120" w:after="120" w:line="360" w:lineRule="auto"/>
        <w:ind w:firstLine="709"/>
        <w:rPr>
          <w:rFonts w:ascii="Poppins" w:eastAsia="Times New Roman" w:hAnsi="Poppins" w:cs="Poppins"/>
          <w:color w:val="212121"/>
          <w:sz w:val="24"/>
          <w:szCs w:val="24"/>
          <w:lang w:val="en-US" w:eastAsia="es-ES"/>
          <w14:ligatures w14:val="none"/>
        </w:rPr>
      </w:pPr>
    </w:p>
    <w:p w14:paraId="6C6EE317" w14:textId="77777777" w:rsidR="00DF53E9" w:rsidRDefault="00DF53E9" w:rsidP="00DF53E9">
      <w:pPr>
        <w:shd w:val="clear" w:color="auto" w:fill="FFFFFF"/>
        <w:spacing w:before="120" w:after="120" w:line="360" w:lineRule="auto"/>
        <w:ind w:firstLine="709"/>
        <w:rPr>
          <w:rFonts w:ascii="Poppins" w:eastAsia="Times New Roman" w:hAnsi="Poppins" w:cs="Poppins"/>
          <w:color w:val="212121"/>
          <w:sz w:val="24"/>
          <w:szCs w:val="24"/>
          <w:lang w:val="en-US" w:eastAsia="es-ES"/>
          <w14:ligatures w14:val="none"/>
        </w:rPr>
      </w:pPr>
    </w:p>
    <w:p w14:paraId="162C2B80" w14:textId="77777777" w:rsidR="00DF53E9" w:rsidRDefault="00DF53E9" w:rsidP="00712927">
      <w:pPr>
        <w:shd w:val="clear" w:color="auto" w:fill="FFFFFF"/>
        <w:spacing w:before="120" w:after="120" w:line="360" w:lineRule="auto"/>
        <w:rPr>
          <w:rFonts w:ascii="Poppins" w:eastAsia="Times New Roman" w:hAnsi="Poppins" w:cs="Poppins"/>
          <w:color w:val="212121"/>
          <w:sz w:val="24"/>
          <w:szCs w:val="24"/>
          <w:lang w:val="en-US" w:eastAsia="es-ES"/>
          <w14:ligatures w14:val="none"/>
        </w:rPr>
      </w:pPr>
    </w:p>
    <w:p w14:paraId="7061A424" w14:textId="77777777" w:rsidR="002541AC" w:rsidRDefault="002541AC" w:rsidP="00712927">
      <w:pPr>
        <w:shd w:val="clear" w:color="auto" w:fill="FFFFFF"/>
        <w:spacing w:before="120" w:after="120" w:line="360" w:lineRule="auto"/>
        <w:rPr>
          <w:rFonts w:ascii="Poppins" w:eastAsia="Times New Roman" w:hAnsi="Poppins" w:cs="Poppins"/>
          <w:color w:val="212121"/>
          <w:sz w:val="24"/>
          <w:szCs w:val="24"/>
          <w:lang w:val="en-US" w:eastAsia="es-ES"/>
          <w14:ligatures w14:val="none"/>
        </w:rPr>
      </w:pPr>
    </w:p>
    <w:p w14:paraId="59B5FA02" w14:textId="77777777" w:rsidR="002541AC" w:rsidRDefault="002541AC" w:rsidP="00712927">
      <w:pPr>
        <w:shd w:val="clear" w:color="auto" w:fill="FFFFFF"/>
        <w:spacing w:before="120" w:after="120" w:line="360" w:lineRule="auto"/>
        <w:rPr>
          <w:rFonts w:ascii="Poppins" w:eastAsia="Times New Roman" w:hAnsi="Poppins" w:cs="Poppins"/>
          <w:color w:val="212121"/>
          <w:sz w:val="24"/>
          <w:szCs w:val="24"/>
          <w:lang w:val="en-US" w:eastAsia="es-ES"/>
          <w14:ligatures w14:val="none"/>
        </w:rPr>
      </w:pPr>
    </w:p>
    <w:p w14:paraId="3A54DBD4" w14:textId="77777777" w:rsidR="00FB4F55" w:rsidRDefault="00021EC6" w:rsidP="00DF53E9">
      <w:pPr>
        <w:shd w:val="clear" w:color="auto" w:fill="FFFFFF"/>
        <w:spacing w:before="120" w:after="120" w:line="360" w:lineRule="auto"/>
        <w:ind w:firstLine="709"/>
        <w:rPr>
          <w:rFonts w:ascii="Verdana" w:eastAsia="Times New Roman" w:hAnsi="Verdana" w:cs="Calibri"/>
          <w:b/>
          <w:bCs/>
          <w:color w:val="000000" w:themeColor="text1"/>
          <w:sz w:val="20"/>
          <w:szCs w:val="20"/>
          <w:lang w:eastAsia="es-ES"/>
          <w14:ligatures w14:val="none"/>
        </w:rPr>
      </w:pPr>
      <w:r>
        <w:rPr>
          <w:rFonts w:ascii="Verdana" w:eastAsia="Times New Roman" w:hAnsi="Verdana" w:cs="Calibri"/>
          <w:b/>
          <w:bCs/>
          <w:color w:val="000000" w:themeColor="text1"/>
          <w:lang w:eastAsia="es-ES"/>
          <w14:ligatures w14:val="none"/>
        </w:rPr>
        <w:lastRenderedPageBreak/>
        <w:t>Introducción</w:t>
      </w:r>
    </w:p>
    <w:p w14:paraId="006D5E83" w14:textId="77777777" w:rsidR="002541AC"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 xml:space="preserve">El incumplimiento de las normas de bioseguridad por parte del personal de enfermería en un entorno hospitalario es un tema de crucial importancia en el ámbito de la atención médica. Durante el primer semestre de 2021, el Hospital Básico El Triunfo, como muchas otras instituciones de salud en el mundo, enfrentó desafíos sin precedentes en relación con la implementación efectiva de estas normas. </w:t>
      </w:r>
    </w:p>
    <w:p w14:paraId="64822323" w14:textId="7C98792B" w:rsidR="00FB4F55"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Este periodo fue marcado por la pandemia de COVID-19, que subrayó aún más la urgente necesidad de cumplir rigurosamente con las medidas de bioseguridad. En este contexto, resulta esencial abordar las consecuencias del incumplimiento de las normas de bioseguridad por parte del personal de enfermería en dicho hospital,</w:t>
      </w:r>
      <w:r>
        <w:rPr>
          <w:rFonts w:ascii="Verdana" w:eastAsia="Times New Roman" w:hAnsi="Verdana" w:cs="Calibri"/>
          <w:color w:val="000000" w:themeColor="text1"/>
          <w:vertAlign w:val="superscript"/>
          <w:lang w:val="es-MX" w:eastAsia="es-ES"/>
          <w14:ligatures w14:val="none"/>
        </w:rPr>
        <w:t>1</w:t>
      </w:r>
      <w:r>
        <w:rPr>
          <w:rFonts w:ascii="Verdana" w:eastAsia="Times New Roman" w:hAnsi="Verdana" w:cs="Calibri"/>
          <w:color w:val="000000" w:themeColor="text1"/>
          <w:lang w:val="es-MX" w:eastAsia="es-ES"/>
          <w14:ligatures w14:val="none"/>
        </w:rPr>
        <w:t>.</w:t>
      </w:r>
    </w:p>
    <w:p w14:paraId="358CFB7B" w14:textId="77777777" w:rsidR="002541AC"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 xml:space="preserve">El incumplimiento de las normas de bioseguridad representa un riesgo significativo para la salud y la seguridad tanto de los pacientes como del personal de salud, además de tener un impacto en la comunidad en general. Además de la COVID-19, originada por el virus SARS-CoV-2, existen otras enfermedades infecciosas de preocupación, como la hepatitis B y C, el VIH, la tuberculosis, la gripe y muchas más, que pueden propagarse cuando no se siguen adecuadamente las medidas de prevención. </w:t>
      </w:r>
    </w:p>
    <w:p w14:paraId="6F8AEEB9" w14:textId="3545103E" w:rsidR="00FB4F55"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La transmisión de estas enfermedades pone en riesgo la vida de los pacientes, especialmente aquellos con sistemas inmunológicos comprometidos, como los recién nacidos, los ancianos y aquellos que están bajo tratamiento médico intensivo.</w:t>
      </w:r>
    </w:p>
    <w:p w14:paraId="42F1CD1A" w14:textId="77777777" w:rsidR="002541AC"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 xml:space="preserve">El incumplimiento de las normas de bioseguridad no solo afecta la salud física, sino que también tiene un impacto psicológico en los pacientes y sus familias, que se sienten inseguros y desconfiados respecto a la calidad de la atención médica. La percepción pública del hospital se ve negativamente afectada, lo que puede llevar a la disminución de la utilización de sus servicios y a una disminución en la confianza de la comunidad en la institución. </w:t>
      </w:r>
    </w:p>
    <w:p w14:paraId="768925AD" w14:textId="77777777" w:rsidR="002541AC" w:rsidRDefault="002541AC"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p>
    <w:p w14:paraId="2BE17029" w14:textId="77777777" w:rsidR="002541AC" w:rsidRDefault="002541AC"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p>
    <w:p w14:paraId="35DBDAD3" w14:textId="77777777" w:rsidR="002541AC" w:rsidRDefault="002541AC"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p>
    <w:p w14:paraId="3FF51675" w14:textId="0298AAC4" w:rsidR="00FB4F55"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lastRenderedPageBreak/>
        <w:t>La sobrecarga en los sistemas de atención médica debido al incumplimiento de las normas de bioseguridad también es un problema grave, ya que puede agotar los recursos disponibles y dificultar la atención oportuna y adecuada de los pacientes,</w:t>
      </w:r>
      <w:r>
        <w:rPr>
          <w:rFonts w:ascii="Verdana" w:eastAsia="Times New Roman" w:hAnsi="Verdana" w:cs="Calibri"/>
          <w:color w:val="000000" w:themeColor="text1"/>
          <w:vertAlign w:val="superscript"/>
          <w:lang w:val="es-MX" w:eastAsia="es-ES"/>
          <w14:ligatures w14:val="none"/>
        </w:rPr>
        <w:t>2</w:t>
      </w:r>
      <w:r>
        <w:rPr>
          <w:rFonts w:ascii="Verdana" w:eastAsia="Times New Roman" w:hAnsi="Verdana" w:cs="Calibri"/>
          <w:color w:val="000000" w:themeColor="text1"/>
          <w:lang w:val="es-MX" w:eastAsia="es-ES"/>
          <w14:ligatures w14:val="none"/>
        </w:rPr>
        <w:t>. Por tanto, es esencial abordar este problema con seriedad y aplicar medidas eficaces para garantizar que se cumplan rigurosamente las normas de bioseguridad en los entornos de atención médica.</w:t>
      </w:r>
    </w:p>
    <w:p w14:paraId="386B6C08" w14:textId="77777777" w:rsidR="00FB4F55"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La necesidad de investigar a fondo las consecuencias de este problema es evidente, ya que puede servir como un punto de partida para implementar medidas correctivas y preventivas. Comprender las razones detrás del incumplimiento, evaluar las respuestas de la administración del hospital y medir el alcance de las repercusiones en la salud pública y la percepción del hospital son pasos cruciales para abordar eficazmente la cuestión.</w:t>
      </w:r>
    </w:p>
    <w:p w14:paraId="0C1C4D78" w14:textId="77777777" w:rsidR="00FB4F55"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 xml:space="preserve">Se han realizado estudios previos que exploran la importancia de la bioseguridad en entornos hospitalarios y sus efectos en la salud y la percepción pública. Sin embargo, el análisis específico del período enero-junio de 2021 en el Hospital Básico El Triunfo proporcionará una visión más detallada de las circunstancias y desafíos únicos que enfrentó esta institución durante la pandemia, y permitirá identificar lecciones aprendidas que puedan aplicarse en futuras crisis sanitarias. </w:t>
      </w:r>
    </w:p>
    <w:p w14:paraId="34D4B0E9" w14:textId="77777777" w:rsidR="00FB4F55"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 xml:space="preserve">En países desarrollados como Bélgica, en el primer semestre del año 2021, se instauraron normas de Bioseguridad en muchos sectores, incluyendo el hospitalario, como cuarentena en caso de contacto de alto riesgo, distancia física de 1,5m, seguir un flujo de tráfico de un solo sentido, desinfección periódica de manos, y detección del virus mediante pruebas regulares de muestras de saliva por </w:t>
      </w:r>
      <w:r>
        <w:rPr>
          <w:rFonts w:ascii="Verdana" w:eastAsia="Times New Roman" w:hAnsi="Verdana" w:cs="Calibri"/>
          <w:color w:val="000000" w:themeColor="text1"/>
          <w:lang w:eastAsia="es-ES"/>
          <w14:ligatures w14:val="none"/>
        </w:rPr>
        <w:t xml:space="preserve">RT-qPCR, lo que permitió un mayor cumplimiento de estas normas en los sectores sanitarios, tal como lo detallan </w:t>
      </w:r>
      <w:r>
        <w:rPr>
          <w:rFonts w:ascii="Verdana" w:eastAsia="Times New Roman" w:hAnsi="Verdana" w:cs="Calibri"/>
          <w:color w:val="000000" w:themeColor="text1"/>
          <w:lang w:val="es-MX" w:eastAsia="es-ES"/>
          <w14:ligatures w14:val="none"/>
        </w:rPr>
        <w:t>Renault et al. (2021),</w:t>
      </w:r>
      <w:r>
        <w:rPr>
          <w:rFonts w:ascii="Verdana" w:eastAsia="Times New Roman" w:hAnsi="Verdana" w:cs="Calibri"/>
          <w:color w:val="000000" w:themeColor="text1"/>
          <w:vertAlign w:val="superscript"/>
          <w:lang w:val="es-MX" w:eastAsia="es-ES"/>
          <w14:ligatures w14:val="none"/>
        </w:rPr>
        <w:t>3</w:t>
      </w:r>
      <w:r>
        <w:rPr>
          <w:rFonts w:ascii="Verdana" w:eastAsia="Times New Roman" w:hAnsi="Verdana" w:cs="Calibri"/>
          <w:color w:val="000000" w:themeColor="text1"/>
          <w:lang w:val="es-MX" w:eastAsia="es-ES"/>
          <w14:ligatures w14:val="none"/>
        </w:rPr>
        <w:t xml:space="preserve">; sin embargo, la realidad en países subdesarrollados o en vías de desarrollo fue otra. </w:t>
      </w:r>
    </w:p>
    <w:p w14:paraId="5E93BCF3" w14:textId="77777777" w:rsidR="00FB4F55"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En Ecuador, país de Sudamérica, se presentaron inusuales casos de infecciones por patógenos bacterianos que incrementaban por la presencia del virus SARS-CoV-2,</w:t>
      </w:r>
      <w:r>
        <w:rPr>
          <w:rFonts w:ascii="Verdana" w:eastAsia="Times New Roman" w:hAnsi="Verdana" w:cs="Calibri"/>
          <w:color w:val="000000" w:themeColor="text1"/>
          <w:vertAlign w:val="superscript"/>
          <w:lang w:val="es-MX" w:eastAsia="es-ES"/>
          <w14:ligatures w14:val="none"/>
        </w:rPr>
        <w:t>4</w:t>
      </w:r>
      <w:r>
        <w:rPr>
          <w:rFonts w:ascii="Verdana" w:eastAsia="Times New Roman" w:hAnsi="Verdana" w:cs="Calibri"/>
          <w:color w:val="000000" w:themeColor="text1"/>
          <w:lang w:val="es-MX" w:eastAsia="es-ES"/>
          <w14:ligatures w14:val="none"/>
        </w:rPr>
        <w:t xml:space="preserve">, tal es el caso de un paciente que sin antecedentes médicos, llegó a emergencias con varios síntomas graves, y se había detectado la presencia de la COVID-19, sin </w:t>
      </w:r>
      <w:r>
        <w:rPr>
          <w:rFonts w:ascii="Verdana" w:eastAsia="Times New Roman" w:hAnsi="Verdana" w:cs="Calibri"/>
          <w:color w:val="000000" w:themeColor="text1"/>
          <w:lang w:val="es-MX" w:eastAsia="es-ES"/>
          <w14:ligatures w14:val="none"/>
        </w:rPr>
        <w:lastRenderedPageBreak/>
        <w:t xml:space="preserve">embargo, tras otros análisis, se detectó la cepa </w:t>
      </w:r>
      <w:r>
        <w:rPr>
          <w:rFonts w:ascii="Verdana" w:eastAsia="Times New Roman" w:hAnsi="Verdana" w:cs="Calibri"/>
          <w:i/>
          <w:iCs/>
          <w:color w:val="000000" w:themeColor="text1"/>
          <w:lang w:eastAsia="es-ES"/>
          <w14:ligatures w14:val="none"/>
        </w:rPr>
        <w:t>Klebsiella pneumoniae</w:t>
      </w:r>
      <w:r>
        <w:rPr>
          <w:rFonts w:ascii="Verdana" w:eastAsia="Times New Roman" w:hAnsi="Verdana" w:cs="Calibri"/>
          <w:color w:val="000000" w:themeColor="text1"/>
          <w:lang w:eastAsia="es-ES"/>
          <w14:ligatures w14:val="none"/>
        </w:rPr>
        <w:t xml:space="preserve">, que según los médicos, debido a la falta de atención hospitalaria como ventilación mecánica invasiva, uso de corticoides y ampliación empírica por parte del personal de enfermería, esta cepa mutaría ante los antibióticos y se volvería multirresistente. Este caso muestra quizás la negligencia parcial del personal, sin embargo, en el periodo del 2021 no se abastecían los enfermeros con la abundancia de pacientes con múltiples infecciones, lo que representaría graves consecuencias para la ciudadanía. </w:t>
      </w:r>
    </w:p>
    <w:p w14:paraId="65A58BE0" w14:textId="124EF498" w:rsidR="00FB4F55" w:rsidRPr="00DF53E9"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Por lo antes mencionado, este estudio busca como objetivo principal, analizar el incumplimiento de las prácticas de bioseguridad en el entorno hospitalario en el período enero-junio de 2021 en el Hospital Básico El Triunfo-Ecuador, como estudio base que permita fomentar la seguridad del paciente, la salud de la comunidad y la integridad del sistema de atención médica en general.</w:t>
      </w:r>
    </w:p>
    <w:p w14:paraId="1AF408F0" w14:textId="77777777" w:rsidR="00FB4F55" w:rsidRDefault="00021EC6" w:rsidP="00DF53E9">
      <w:pPr>
        <w:spacing w:before="120" w:after="120" w:line="360" w:lineRule="auto"/>
        <w:ind w:firstLine="709"/>
        <w:rPr>
          <w:rFonts w:ascii="Verdana" w:eastAsia="Times New Roman" w:hAnsi="Verdana" w:cs="Calibri"/>
          <w:b/>
          <w:bCs/>
          <w:color w:val="212121"/>
          <w:lang w:eastAsia="es-ES"/>
          <w14:ligatures w14:val="none"/>
        </w:rPr>
      </w:pPr>
      <w:r>
        <w:rPr>
          <w:rFonts w:ascii="Verdana" w:eastAsia="Times New Roman" w:hAnsi="Verdana" w:cs="Calibri"/>
          <w:b/>
          <w:bCs/>
          <w:color w:val="212121"/>
          <w:lang w:eastAsia="es-ES"/>
          <w14:ligatures w14:val="none"/>
        </w:rPr>
        <w:t>Métodos</w:t>
      </w:r>
    </w:p>
    <w:p w14:paraId="7528308E" w14:textId="355AD905" w:rsidR="00FB4F55" w:rsidRPr="002C4F0C" w:rsidRDefault="00021EC6" w:rsidP="002C4F0C">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212121"/>
          <w:lang w:eastAsia="es-ES"/>
          <w14:ligatures w14:val="none"/>
        </w:rPr>
        <w:t xml:space="preserve">La investigación realizada, por el propósito o fin es de tipo Básica o teórica, según el medio utilizado para obtención de datos es de tipo documental, y de carácter bibliográfico, con diseño descriptivo, que se basa en el análisis de los estudios documentados realizados en el año 2021 sobre el periodo enero-junio en el </w:t>
      </w:r>
      <w:r>
        <w:rPr>
          <w:rFonts w:ascii="Verdana" w:eastAsia="Times New Roman" w:hAnsi="Verdana" w:cs="Calibri"/>
          <w:color w:val="000000" w:themeColor="text1"/>
          <w:lang w:val="es-MX" w:eastAsia="es-ES"/>
          <w14:ligatures w14:val="none"/>
        </w:rPr>
        <w:t>Hospital Básico El Triunfo, incluyendo datos recolectados de artículos, libros y demás, en base a los siguientes buscadores académicos</w:t>
      </w:r>
      <w:r w:rsidR="002C4F0C">
        <w:rPr>
          <w:rFonts w:ascii="Verdana" w:eastAsia="Times New Roman" w:hAnsi="Verdana" w:cs="Calibri"/>
          <w:color w:val="000000" w:themeColor="text1"/>
          <w:lang w:val="es-MX" w:eastAsia="es-ES"/>
          <w14:ligatures w14:val="none"/>
        </w:rPr>
        <w:t xml:space="preserve"> como </w:t>
      </w:r>
      <w:r w:rsidRPr="002C4F0C">
        <w:rPr>
          <w:rFonts w:ascii="Verdana" w:eastAsia="Times New Roman" w:hAnsi="Verdana" w:cs="Calibri"/>
          <w:color w:val="000000" w:themeColor="text1"/>
          <w:lang w:val="en-US" w:eastAsia="es-ES"/>
          <w14:ligatures w14:val="none"/>
        </w:rPr>
        <w:t>Google Académico,</w:t>
      </w:r>
      <w:r w:rsidR="002C4F0C">
        <w:rPr>
          <w:rFonts w:ascii="Verdana" w:eastAsia="Times New Roman" w:hAnsi="Verdana" w:cs="Calibri"/>
          <w:color w:val="000000" w:themeColor="text1"/>
          <w:lang w:val="es-MX" w:eastAsia="es-ES"/>
          <w14:ligatures w14:val="none"/>
        </w:rPr>
        <w:t xml:space="preserve"> </w:t>
      </w:r>
      <w:r w:rsidRPr="002C4F0C">
        <w:rPr>
          <w:rFonts w:ascii="Verdana" w:eastAsia="Times New Roman" w:hAnsi="Verdana" w:cs="Calibri"/>
          <w:color w:val="000000" w:themeColor="text1"/>
          <w:lang w:val="en-US" w:eastAsia="es-ES"/>
          <w14:ligatures w14:val="none"/>
        </w:rPr>
        <w:t>Redalyc,</w:t>
      </w:r>
      <w:r w:rsidR="002C4F0C">
        <w:rPr>
          <w:rFonts w:ascii="Verdana" w:eastAsia="Times New Roman" w:hAnsi="Verdana" w:cs="Calibri"/>
          <w:color w:val="000000" w:themeColor="text1"/>
          <w:lang w:val="en-US" w:eastAsia="es-ES"/>
          <w14:ligatures w14:val="none"/>
        </w:rPr>
        <w:t xml:space="preserve"> </w:t>
      </w:r>
      <w:r w:rsidRPr="002C4F0C">
        <w:rPr>
          <w:rFonts w:ascii="Verdana" w:eastAsia="Times New Roman" w:hAnsi="Verdana" w:cs="Calibri"/>
          <w:color w:val="000000" w:themeColor="text1"/>
          <w:lang w:val="en-US" w:eastAsia="es-ES"/>
          <w14:ligatures w14:val="none"/>
        </w:rPr>
        <w:t>RefSeek,</w:t>
      </w:r>
      <w:r w:rsidR="002C4F0C">
        <w:rPr>
          <w:rFonts w:ascii="Verdana" w:eastAsia="Times New Roman" w:hAnsi="Verdana" w:cs="Calibri"/>
          <w:color w:val="000000" w:themeColor="text1"/>
          <w:lang w:val="en-US" w:eastAsia="es-ES"/>
          <w14:ligatures w14:val="none"/>
        </w:rPr>
        <w:t xml:space="preserve"> </w:t>
      </w:r>
      <w:r w:rsidRPr="002C4F0C">
        <w:rPr>
          <w:rFonts w:ascii="Verdana" w:eastAsia="Times New Roman" w:hAnsi="Verdana" w:cs="Calibri"/>
          <w:color w:val="000000" w:themeColor="text1"/>
          <w:lang w:val="en-US" w:eastAsia="es-ES"/>
          <w14:ligatures w14:val="none"/>
        </w:rPr>
        <w:t>Wolfram Alpha, Web of Science, Dialnet,</w:t>
      </w:r>
      <w:r w:rsidR="002C4F0C">
        <w:rPr>
          <w:rFonts w:ascii="Verdana" w:eastAsia="Times New Roman" w:hAnsi="Verdana" w:cs="Calibri"/>
          <w:color w:val="000000" w:themeColor="text1"/>
          <w:lang w:val="en-US" w:eastAsia="es-ES"/>
          <w14:ligatures w14:val="none"/>
        </w:rPr>
        <w:t xml:space="preserve"> </w:t>
      </w:r>
      <w:r w:rsidRPr="002C4F0C">
        <w:rPr>
          <w:rFonts w:ascii="Verdana" w:eastAsia="Times New Roman" w:hAnsi="Verdana" w:cs="Calibri"/>
          <w:color w:val="000000" w:themeColor="text1"/>
          <w:lang w:val="en-US" w:eastAsia="es-ES"/>
          <w14:ligatures w14:val="none"/>
        </w:rPr>
        <w:t>SciELO, PubMED, y Scopus.</w:t>
      </w:r>
    </w:p>
    <w:p w14:paraId="21DBC0B5" w14:textId="77777777" w:rsidR="00FB4F55"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 xml:space="preserve">Posterior a la recolecta de información se realizarán tablas donde se agrupe la información obtenida que evidencie las consecuencias detalladas del </w:t>
      </w:r>
      <w:r>
        <w:rPr>
          <w:rFonts w:ascii="Verdana" w:eastAsia="Times New Roman" w:hAnsi="Verdana" w:cs="Calibri"/>
          <w:color w:val="000000" w:themeColor="text1"/>
          <w:lang w:eastAsia="es-ES"/>
          <w14:ligatures w14:val="none"/>
        </w:rPr>
        <w:t xml:space="preserve">Incumplimiento de normas de bioseguridad en el personal de enfermería en el </w:t>
      </w:r>
      <w:r>
        <w:rPr>
          <w:rFonts w:ascii="Verdana" w:eastAsia="Times New Roman" w:hAnsi="Verdana" w:cs="Calibri"/>
          <w:color w:val="000000" w:themeColor="text1"/>
          <w:lang w:val="es-MX" w:eastAsia="es-ES"/>
          <w14:ligatures w14:val="none"/>
        </w:rPr>
        <w:t>Hospital Básico El Triunfo.</w:t>
      </w:r>
    </w:p>
    <w:p w14:paraId="067CA2D2" w14:textId="77777777" w:rsidR="00FB4F55" w:rsidRDefault="00021EC6" w:rsidP="00DF53E9">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t xml:space="preserve">Posterior a la Búsqueda Bibliográfica, se realizaron encuestas, donde la muestra de la investigación estuvo conformada por 152 profesionales de la salud, que se designaron al azar. Se realizó un cuestionario de preguntas cerradas destinadas a evaluar el grado de conocimiento del personal sobre temas de bioseguridad. </w:t>
      </w:r>
    </w:p>
    <w:p w14:paraId="15445E01" w14:textId="0B993EAC" w:rsidR="00FB4F55" w:rsidRPr="002541AC" w:rsidRDefault="00021EC6" w:rsidP="002541AC">
      <w:pPr>
        <w:spacing w:before="120" w:after="120" w:line="360" w:lineRule="auto"/>
        <w:ind w:firstLine="709"/>
        <w:jc w:val="both"/>
        <w:rPr>
          <w:rFonts w:ascii="Verdana" w:eastAsia="Times New Roman" w:hAnsi="Verdana" w:cs="Calibri"/>
          <w:color w:val="000000" w:themeColor="text1"/>
          <w:lang w:val="es-MX" w:eastAsia="es-ES"/>
          <w14:ligatures w14:val="none"/>
        </w:rPr>
      </w:pPr>
      <w:r>
        <w:rPr>
          <w:rFonts w:ascii="Verdana" w:eastAsia="Times New Roman" w:hAnsi="Verdana" w:cs="Calibri"/>
          <w:color w:val="000000" w:themeColor="text1"/>
          <w:lang w:val="es-MX" w:eastAsia="es-ES"/>
          <w14:ligatures w14:val="none"/>
        </w:rPr>
        <w:lastRenderedPageBreak/>
        <w:t>La metodología es mixta, por revisión bibliográfica y registros del hospital y la utilización de modelos y fórmulas estadísticas que brindan resultados más precisos.</w:t>
      </w:r>
      <w:r w:rsidR="002541AC">
        <w:rPr>
          <w:rFonts w:ascii="Verdana" w:eastAsia="Times New Roman" w:hAnsi="Verdana" w:cs="Calibri"/>
          <w:color w:val="000000" w:themeColor="text1"/>
          <w:lang w:val="es-MX" w:eastAsia="es-ES"/>
          <w14:ligatures w14:val="none"/>
        </w:rPr>
        <w:t xml:space="preserve"> </w:t>
      </w:r>
      <w:r>
        <w:rPr>
          <w:rFonts w:ascii="Verdana" w:eastAsia="Times New Roman" w:hAnsi="Verdana" w:cs="Calibri"/>
          <w:color w:val="000000" w:themeColor="text1"/>
          <w:lang w:val="es-MX" w:eastAsia="es-ES"/>
          <w14:ligatures w14:val="none"/>
        </w:rPr>
        <w:t>Posee alcance explicativo, porque tiene la finalidad de dar a conocer las causas y eventos por los cuales se ve reflejado un incumplimiento de las normas de bioseguridad de desechos sanitarios por parte del personal enfermero.</w:t>
      </w:r>
    </w:p>
    <w:p w14:paraId="7AD71B8F" w14:textId="77777777" w:rsidR="00FB4F55" w:rsidRDefault="00021EC6" w:rsidP="00DF53E9">
      <w:pPr>
        <w:spacing w:before="120" w:after="120" w:line="360" w:lineRule="auto"/>
        <w:ind w:firstLine="709"/>
        <w:jc w:val="both"/>
        <w:rPr>
          <w:rFonts w:ascii="Verdana" w:hAnsi="Verdana"/>
          <w:b/>
          <w:bCs/>
        </w:rPr>
      </w:pPr>
      <w:r>
        <w:rPr>
          <w:rFonts w:ascii="Verdana" w:hAnsi="Verdana"/>
          <w:b/>
          <w:bCs/>
        </w:rPr>
        <w:t>Resultados</w:t>
      </w:r>
    </w:p>
    <w:p w14:paraId="79B33339" w14:textId="77777777" w:rsidR="00FB4F55" w:rsidRDefault="00021EC6" w:rsidP="00DF53E9">
      <w:pPr>
        <w:spacing w:before="120" w:after="120" w:line="360" w:lineRule="auto"/>
        <w:ind w:firstLine="709"/>
        <w:jc w:val="both"/>
        <w:rPr>
          <w:rFonts w:ascii="Verdana" w:hAnsi="Verdana"/>
        </w:rPr>
      </w:pPr>
      <w:r>
        <w:rPr>
          <w:rFonts w:ascii="Verdana" w:hAnsi="Verdana"/>
        </w:rPr>
        <w:t>Tal y como se detalla en la Tabla 1, el 33,33% de los casos de estudios muestra deficiencias de los enfermeros ligadas a problemas de salud mental. La relación entre la salud mental de los enfermeros y su capacidad para brindar atención de calidad es innegable. Durante el ejercicio de sus funciones, los enfermeros pueden estar sometidos a un estrés significativo, especialmente en situaciones de crisis como la pandemia de COVID-19. El impacto de esta presión constante puede manifestarse en problemas de salud mental, como el agotamiento, la ansiedad y la depresión.</w:t>
      </w:r>
    </w:p>
    <w:p w14:paraId="6AC11DD2" w14:textId="77777777" w:rsidR="00FB4F55" w:rsidRDefault="00021EC6" w:rsidP="00DF53E9">
      <w:pPr>
        <w:spacing w:before="120" w:after="120" w:line="360" w:lineRule="auto"/>
        <w:ind w:firstLine="709"/>
        <w:jc w:val="both"/>
        <w:rPr>
          <w:rFonts w:ascii="Verdana" w:hAnsi="Verdana"/>
        </w:rPr>
      </w:pPr>
      <w:r>
        <w:rPr>
          <w:rFonts w:ascii="Verdana" w:hAnsi="Verdana"/>
        </w:rPr>
        <w:t>Por otro lado, un 50% de los casos, muestra un incumplimiento de las normas de bioseguridad respecto a los medicamentos, en unos casos por el uso indebido de estos fármacos, y en otros, por el desbordamiento de los servicios sanitarios y condiciones inadecuadas de dispensación de medicamentos. Esto ocasiona una deficiencia en la atención de cada paciente, e influye en gran medida en el incremento de mortalidad y otras afeccionas patológicas como la tuberculosis, sumada a la COVID-19.</w:t>
      </w:r>
    </w:p>
    <w:p w14:paraId="193D262D" w14:textId="77777777" w:rsidR="00FB4F55" w:rsidRDefault="00021EC6" w:rsidP="00DF53E9">
      <w:pPr>
        <w:spacing w:before="120" w:after="120" w:line="360" w:lineRule="auto"/>
        <w:ind w:firstLine="709"/>
        <w:jc w:val="both"/>
        <w:rPr>
          <w:rFonts w:ascii="Verdana" w:hAnsi="Verdana"/>
          <w:lang w:val="es-MX"/>
        </w:rPr>
      </w:pPr>
      <w:bookmarkStart w:id="1" w:name="_Hlk149313575"/>
      <w:r>
        <w:rPr>
          <w:rFonts w:ascii="Verdana" w:hAnsi="Verdana"/>
          <w:lang w:val="es-MX"/>
        </w:rPr>
        <w:t>Respecto a las encuestan aplicadas, se evidenció que el 79,6% del personal piensa que las largas jornadas laborales de 12 horas favorecen el incumplimiento de las normas se bioseguridad, además, un 90,79% afirma que el estrés generado por estas condiciones imposibilita su funcionamiento dentro del hospital, y finalmente un 38,83% asegura que la falta de alternativas, inciden directamente en el seguimiento de las normas (Tabla 2).</w:t>
      </w:r>
    </w:p>
    <w:p w14:paraId="59EE412C" w14:textId="77777777" w:rsidR="00FB4F55" w:rsidRDefault="00021EC6" w:rsidP="00DF53E9">
      <w:pPr>
        <w:spacing w:before="120" w:after="120" w:line="360" w:lineRule="auto"/>
        <w:ind w:firstLine="709"/>
        <w:jc w:val="both"/>
        <w:rPr>
          <w:rFonts w:ascii="Verdana" w:hAnsi="Verdana"/>
          <w:lang w:val="es-MX"/>
        </w:rPr>
      </w:pPr>
      <w:r>
        <w:rPr>
          <w:rFonts w:ascii="Verdana" w:hAnsi="Verdana"/>
          <w:lang w:val="es-MX"/>
        </w:rPr>
        <w:t>Respecto al uso de guates como medida de bioseguridad en el hospital, un 84,87% de los encuestados afirma conocer su empleo en el área quirúrgica, así como un 87,5% confirma que conoce su uso en métodos de desinfección dentro de la unidad hospitalaria, y un 90,79% conoce su función dentro de la realización de procedimientos asépticos (Tabla 3).</w:t>
      </w:r>
    </w:p>
    <w:p w14:paraId="5563E293" w14:textId="43176FDF" w:rsidR="00FB4F55" w:rsidRPr="00712927" w:rsidRDefault="00021EC6" w:rsidP="00712927">
      <w:pPr>
        <w:spacing w:before="120" w:after="120" w:line="360" w:lineRule="auto"/>
        <w:ind w:firstLine="709"/>
        <w:jc w:val="both"/>
        <w:rPr>
          <w:rFonts w:ascii="Verdana" w:hAnsi="Verdana"/>
          <w:lang w:val="es-MX"/>
        </w:rPr>
      </w:pPr>
      <w:r>
        <w:rPr>
          <w:rFonts w:ascii="Verdana" w:hAnsi="Verdana"/>
          <w:lang w:val="es-MX"/>
        </w:rPr>
        <w:lastRenderedPageBreak/>
        <w:t>Por otra parte, en relación a las consecuencias de no utilizar las normas de seguridad que se detalla en la Tabla 4, un 60,53% del personal de enfermería afirma conocer que puede adquirir enfermedades con el contacto de fluidos corporales de los pacientes, un 75,66% asegura que conocen que ponen en riesgo la salud de pacientes y otros profesionales si no respetan las normas de seguridad, y finalmente un 88,87% dice haber recibido capacitación sobre las graves consecuencias de no aplicar correctamente las normas de bioseguridad en el hospital.</w:t>
      </w:r>
      <w:bookmarkEnd w:id="1"/>
    </w:p>
    <w:p w14:paraId="73F7F65E" w14:textId="77777777" w:rsidR="00FB4F55" w:rsidRDefault="00021EC6" w:rsidP="00DF53E9">
      <w:pPr>
        <w:spacing w:before="120" w:after="120" w:line="360" w:lineRule="auto"/>
        <w:ind w:firstLine="709"/>
        <w:jc w:val="both"/>
        <w:rPr>
          <w:rFonts w:ascii="Verdana" w:hAnsi="Verdana"/>
          <w:b/>
          <w:bCs/>
        </w:rPr>
      </w:pPr>
      <w:r>
        <w:rPr>
          <w:rFonts w:ascii="Verdana" w:hAnsi="Verdana"/>
          <w:b/>
          <w:bCs/>
        </w:rPr>
        <w:t>Discusión</w:t>
      </w:r>
    </w:p>
    <w:p w14:paraId="0AB3739B" w14:textId="77777777" w:rsidR="00FB4F55" w:rsidRDefault="00021EC6" w:rsidP="00DF53E9">
      <w:pPr>
        <w:spacing w:before="120" w:after="120" w:line="360" w:lineRule="auto"/>
        <w:ind w:firstLine="709"/>
        <w:jc w:val="both"/>
        <w:rPr>
          <w:rFonts w:ascii="Verdana" w:hAnsi="Verdana"/>
        </w:rPr>
      </w:pPr>
      <w:r>
        <w:rPr>
          <w:rFonts w:ascii="Verdana" w:hAnsi="Verdana"/>
        </w:rPr>
        <w:t>Los resultados obtenidos de la revisión de los 6 documentos son reveladores y destacan una serie de preocupaciones críticas en el ámbito de la enfermería, particularmente durante la pandemia de COVID-19 en el primer semestre de 2021. El hecho de que el 83,33% de los estudios indique alguna forma de falencia en el cumplimiento de las normas de bioseguridad por parte del personal de enfermería es motivo de seria preocupación. Esto sugiere que existen áreas de mejora sustanciales en la capacitación y supervisión del personal de enfermería en relación con las prácticas de bioseguridad.</w:t>
      </w:r>
    </w:p>
    <w:p w14:paraId="7C0A1680" w14:textId="77777777" w:rsidR="00FB4F55" w:rsidRDefault="00021EC6" w:rsidP="00DF53E9">
      <w:pPr>
        <w:spacing w:before="120" w:after="120" w:line="360" w:lineRule="auto"/>
        <w:ind w:firstLine="709"/>
        <w:jc w:val="both"/>
        <w:rPr>
          <w:rFonts w:ascii="Verdana" w:hAnsi="Verdana"/>
        </w:rPr>
      </w:pPr>
      <w:r>
        <w:rPr>
          <w:rFonts w:ascii="Verdana" w:hAnsi="Verdana"/>
        </w:rPr>
        <w:t>La conexión entre la salud mental de los enfermeros y la calidad de la atención resalta la necesidad urgente de abordar el bienestar emocional de estos profesionales. El estrés constante al que se enfrentan, exacerbado por la pandemia, puede tener un impacto perjudicial en su salud mental, lo que, a su vez, se traduce en un menor desempeño en su labor, afectando la seguridad y calidad de la atención al paciente.</w:t>
      </w:r>
    </w:p>
    <w:p w14:paraId="2A0E1939" w14:textId="77777777" w:rsidR="00FB4F55" w:rsidRDefault="00021EC6" w:rsidP="00DF53E9">
      <w:pPr>
        <w:spacing w:before="120" w:after="120" w:line="360" w:lineRule="auto"/>
        <w:ind w:firstLine="709"/>
        <w:jc w:val="both"/>
        <w:rPr>
          <w:rFonts w:ascii="Verdana" w:hAnsi="Verdana"/>
        </w:rPr>
      </w:pPr>
      <w:r>
        <w:rPr>
          <w:rFonts w:ascii="Verdana" w:hAnsi="Verdana"/>
        </w:rPr>
        <w:t>El incumplimiento de las normas de bioseguridad relacionado con los medicamentos y las condiciones de dispensación de estos es otro tema crítico. Esto no solo influye en la eficacia de los tratamientos, sino que también puede aumentar la mortalidad y la propagación de enfermedades como la tuberculosis. Esto lo afirman Badreldin y Atallah (2021),</w:t>
      </w:r>
      <w:r>
        <w:rPr>
          <w:rFonts w:ascii="Verdana" w:hAnsi="Verdana"/>
          <w:vertAlign w:val="superscript"/>
        </w:rPr>
        <w:t>12</w:t>
      </w:r>
      <w:r>
        <w:rPr>
          <w:rFonts w:ascii="Verdana" w:hAnsi="Verdana"/>
        </w:rPr>
        <w:t>, que hacen responsables de esta escasez a la mala administración por parte de las autoridades, el bloqueo y el aumento de la demanda, incidiendo de forma directa en los resultados de los pacientes, y evidenciando un incremento significativo de problemas en la salud y en los recursos financieros de los países que no estaban preparados para una contingencia sanitaria mundial.</w:t>
      </w:r>
    </w:p>
    <w:p w14:paraId="69CB97C1" w14:textId="77777777" w:rsidR="00433A5C" w:rsidRDefault="00433A5C" w:rsidP="00DF53E9">
      <w:pPr>
        <w:spacing w:before="120" w:after="120" w:line="360" w:lineRule="auto"/>
        <w:ind w:firstLine="709"/>
        <w:jc w:val="both"/>
        <w:rPr>
          <w:rFonts w:ascii="Verdana" w:hAnsi="Verdana"/>
        </w:rPr>
      </w:pPr>
    </w:p>
    <w:p w14:paraId="79EA68C2" w14:textId="1223283E" w:rsidR="00FB4F55" w:rsidRDefault="00021EC6" w:rsidP="00DF53E9">
      <w:pPr>
        <w:spacing w:before="120" w:after="120" w:line="360" w:lineRule="auto"/>
        <w:ind w:firstLine="709"/>
        <w:jc w:val="both"/>
        <w:rPr>
          <w:rFonts w:ascii="Verdana" w:hAnsi="Verdana"/>
        </w:rPr>
      </w:pPr>
      <w:r>
        <w:rPr>
          <w:rFonts w:ascii="Verdana" w:hAnsi="Verdana"/>
        </w:rPr>
        <w:t>El aspecto positivo es que un 16,67% de los estudios indican una retroalimentación favorable de los pacientes en el sector de atención obstétrica. Esto sugiere que, en al menos algunos aspectos de la atención, se están haciendo las cosas bien. Sin embargo, es imperativo abordar y corregir las áreas problemáticas identificadas para garantizar una atención segura y efectiva en todos los aspectos de la enfermería y, en última instancia, mejorar la calidad de la atención médica.</w:t>
      </w:r>
    </w:p>
    <w:p w14:paraId="30C1DE80" w14:textId="77777777" w:rsidR="00FB4F55" w:rsidRDefault="00021EC6" w:rsidP="00DF53E9">
      <w:pPr>
        <w:spacing w:before="120" w:after="120" w:line="360" w:lineRule="auto"/>
        <w:ind w:firstLine="709"/>
        <w:jc w:val="both"/>
        <w:rPr>
          <w:rFonts w:ascii="Verdana" w:hAnsi="Verdana"/>
        </w:rPr>
      </w:pPr>
      <w:r>
        <w:rPr>
          <w:rFonts w:ascii="Verdana" w:hAnsi="Verdana"/>
        </w:rPr>
        <w:t>Con relación a la fase de encuesta se puede evidenciar altos porcentajes de insatisfacción por parte del personal de enfermería, debido a las altas horas laborales, condiciones de estrés y falta de alternativas en el hospital, en el primer semestre del 2021, sin embargo, los profesionales de enfermería aseguran en altos porcentajes que conocen del uso de guantes como parte de procesos de desinfección y en zonas quirúrgicas, junto a su vasto conocimiento de las consecuencias posibles que se pueden originar por un incumplimiento de estas normas, sobre todo en la salud de los pacientes y seguridad de otros profesionales. Esto es similar a lo reportado por Arcos y Mora (2021),</w:t>
      </w:r>
      <w:r>
        <w:rPr>
          <w:rFonts w:ascii="Verdana" w:hAnsi="Verdana"/>
          <w:vertAlign w:val="superscript"/>
        </w:rPr>
        <w:t>5</w:t>
      </w:r>
      <w:r>
        <w:rPr>
          <w:rFonts w:ascii="Verdana" w:hAnsi="Verdana"/>
        </w:rPr>
        <w:t>, que afirmaron altos porcentajes de descontento en el personal de enfermería por la abrumadora situación en el primer semestre del 2021 cuando el mundo se enfrentaba a la pandemia COVID-19.</w:t>
      </w:r>
    </w:p>
    <w:p w14:paraId="1881B071" w14:textId="77777777" w:rsidR="00FB4F55" w:rsidRDefault="00FB4F55" w:rsidP="00DF53E9">
      <w:pPr>
        <w:spacing w:before="120" w:after="120" w:line="360" w:lineRule="auto"/>
        <w:ind w:left="360" w:firstLine="709"/>
        <w:jc w:val="both"/>
        <w:rPr>
          <w:rFonts w:ascii="Verdana" w:hAnsi="Verdana"/>
          <w:b/>
          <w:bCs/>
        </w:rPr>
      </w:pPr>
    </w:p>
    <w:p w14:paraId="2E41F1A7" w14:textId="77777777" w:rsidR="002541AC" w:rsidRDefault="002541AC" w:rsidP="00DF53E9">
      <w:pPr>
        <w:spacing w:before="120" w:after="120" w:line="360" w:lineRule="auto"/>
        <w:ind w:left="360" w:firstLine="709"/>
        <w:jc w:val="both"/>
        <w:rPr>
          <w:rFonts w:ascii="Verdana" w:hAnsi="Verdana"/>
          <w:b/>
          <w:bCs/>
        </w:rPr>
      </w:pPr>
    </w:p>
    <w:p w14:paraId="64EA5C03" w14:textId="77777777" w:rsidR="002541AC" w:rsidRDefault="002541AC" w:rsidP="00DF53E9">
      <w:pPr>
        <w:spacing w:before="120" w:after="120" w:line="360" w:lineRule="auto"/>
        <w:ind w:left="360" w:firstLine="709"/>
        <w:jc w:val="both"/>
        <w:rPr>
          <w:rFonts w:ascii="Verdana" w:hAnsi="Verdana"/>
          <w:b/>
          <w:bCs/>
        </w:rPr>
      </w:pPr>
    </w:p>
    <w:p w14:paraId="50495C77" w14:textId="77777777" w:rsidR="002541AC" w:rsidRDefault="002541AC" w:rsidP="00DF53E9">
      <w:pPr>
        <w:spacing w:before="120" w:after="120" w:line="360" w:lineRule="auto"/>
        <w:ind w:left="360" w:firstLine="709"/>
        <w:jc w:val="both"/>
        <w:rPr>
          <w:rFonts w:ascii="Verdana" w:hAnsi="Verdana"/>
          <w:b/>
          <w:bCs/>
        </w:rPr>
      </w:pPr>
    </w:p>
    <w:p w14:paraId="1C4482DF" w14:textId="77777777" w:rsidR="002C4F0C" w:rsidRDefault="002C4F0C" w:rsidP="00DF53E9">
      <w:pPr>
        <w:spacing w:before="120" w:after="120" w:line="360" w:lineRule="auto"/>
        <w:ind w:firstLine="709"/>
        <w:jc w:val="both"/>
        <w:rPr>
          <w:rFonts w:ascii="Verdana" w:hAnsi="Verdana"/>
          <w:b/>
          <w:bCs/>
        </w:rPr>
      </w:pPr>
    </w:p>
    <w:p w14:paraId="18F5AF9E" w14:textId="77777777" w:rsidR="002C4F0C" w:rsidRDefault="002C4F0C" w:rsidP="00DF53E9">
      <w:pPr>
        <w:spacing w:before="120" w:after="120" w:line="360" w:lineRule="auto"/>
        <w:ind w:firstLine="709"/>
        <w:jc w:val="both"/>
        <w:rPr>
          <w:rFonts w:ascii="Verdana" w:hAnsi="Verdana"/>
          <w:b/>
          <w:bCs/>
        </w:rPr>
      </w:pPr>
    </w:p>
    <w:p w14:paraId="6AA49FB3" w14:textId="77777777" w:rsidR="002C4F0C" w:rsidRDefault="002C4F0C" w:rsidP="00DF53E9">
      <w:pPr>
        <w:spacing w:before="120" w:after="120" w:line="360" w:lineRule="auto"/>
        <w:ind w:firstLine="709"/>
        <w:jc w:val="both"/>
        <w:rPr>
          <w:rFonts w:ascii="Verdana" w:hAnsi="Verdana"/>
          <w:b/>
          <w:bCs/>
        </w:rPr>
      </w:pPr>
    </w:p>
    <w:p w14:paraId="0572DE62" w14:textId="77777777" w:rsidR="002C4F0C" w:rsidRDefault="002C4F0C" w:rsidP="00DF53E9">
      <w:pPr>
        <w:spacing w:before="120" w:after="120" w:line="360" w:lineRule="auto"/>
        <w:ind w:firstLine="709"/>
        <w:jc w:val="both"/>
        <w:rPr>
          <w:rFonts w:ascii="Verdana" w:hAnsi="Verdana"/>
          <w:b/>
          <w:bCs/>
        </w:rPr>
      </w:pPr>
    </w:p>
    <w:p w14:paraId="6CC0D26C" w14:textId="77777777" w:rsidR="002C4F0C" w:rsidRDefault="002C4F0C" w:rsidP="002541AC">
      <w:pPr>
        <w:spacing w:before="120" w:after="120" w:line="360" w:lineRule="auto"/>
        <w:jc w:val="both"/>
        <w:rPr>
          <w:rFonts w:ascii="Verdana" w:hAnsi="Verdana"/>
          <w:b/>
          <w:bCs/>
        </w:rPr>
      </w:pPr>
    </w:p>
    <w:p w14:paraId="74FC0BB4" w14:textId="77777777" w:rsidR="002541AC" w:rsidRDefault="002541AC" w:rsidP="002541AC">
      <w:pPr>
        <w:spacing w:before="120" w:after="120" w:line="360" w:lineRule="auto"/>
        <w:jc w:val="both"/>
        <w:rPr>
          <w:rFonts w:ascii="Verdana" w:hAnsi="Verdana"/>
          <w:b/>
          <w:bCs/>
        </w:rPr>
      </w:pPr>
    </w:p>
    <w:p w14:paraId="425A8DA8" w14:textId="245EF9DF" w:rsidR="00FB4F55" w:rsidRDefault="00021EC6" w:rsidP="00DF53E9">
      <w:pPr>
        <w:spacing w:before="120" w:after="120" w:line="360" w:lineRule="auto"/>
        <w:ind w:firstLine="709"/>
        <w:jc w:val="both"/>
        <w:rPr>
          <w:rFonts w:ascii="Verdana" w:hAnsi="Verdana"/>
          <w:b/>
          <w:bCs/>
        </w:rPr>
      </w:pPr>
      <w:r>
        <w:rPr>
          <w:rFonts w:ascii="Verdana" w:hAnsi="Verdana"/>
          <w:b/>
          <w:bCs/>
        </w:rPr>
        <w:lastRenderedPageBreak/>
        <w:t>Conclusiones</w:t>
      </w:r>
    </w:p>
    <w:p w14:paraId="637BDF67" w14:textId="0F120DAB" w:rsidR="004E3C82" w:rsidRDefault="004E3C82" w:rsidP="004E3C82">
      <w:pPr>
        <w:spacing w:before="120" w:after="120" w:line="360" w:lineRule="auto"/>
        <w:ind w:firstLine="709"/>
        <w:jc w:val="both"/>
        <w:rPr>
          <w:rFonts w:ascii="Verdana" w:hAnsi="Verdana"/>
          <w:b/>
          <w:bCs/>
        </w:rPr>
      </w:pPr>
      <w:r w:rsidRPr="004E3C82">
        <w:rPr>
          <w:rFonts w:ascii="Verdana" w:eastAsia="Calibri" w:hAnsi="Verdana" w:cs="Times New Roman"/>
          <w:lang w:val="es-EC"/>
          <w14:ligatures w14:val="none"/>
        </w:rPr>
        <w:t>Las normas de Bioseguridad son de una suma importancia dentro de la vida de las personas, ya sean tanto para los pacientes como para los mismos médicos, el uso indebido o el incumplimiento de dichas normas puede llevar a contagio de enfermedades, una de las más comunes son los casos de infecciones, agentes patógenos, incluyendo en los más mínimos cortes con algún instrumento que toco la piel de una persona con alguna enfermedad en la sa</w:t>
      </w:r>
      <w:r>
        <w:rPr>
          <w:rFonts w:ascii="Verdana" w:eastAsia="Calibri" w:hAnsi="Verdana" w:cs="Times New Roman"/>
          <w:lang w:val="es-EC"/>
          <w14:ligatures w14:val="none"/>
        </w:rPr>
        <w:t>ngre.</w:t>
      </w:r>
    </w:p>
    <w:p w14:paraId="050C3009" w14:textId="79446A9B" w:rsidR="004E3C82" w:rsidRDefault="00021EC6" w:rsidP="004E3C82">
      <w:pPr>
        <w:spacing w:before="120" w:after="120" w:line="360" w:lineRule="auto"/>
        <w:ind w:firstLine="709"/>
        <w:jc w:val="both"/>
        <w:rPr>
          <w:rFonts w:ascii="Verdana" w:hAnsi="Verdana"/>
          <w:b/>
          <w:bCs/>
        </w:rPr>
      </w:pPr>
      <w:r w:rsidRPr="004E3C82">
        <w:rPr>
          <w:rFonts w:ascii="Verdana" w:hAnsi="Verdana"/>
        </w:rPr>
        <w:t>La</w:t>
      </w:r>
      <w:r w:rsidR="002C4F0C">
        <w:rPr>
          <w:rFonts w:ascii="Verdana" w:hAnsi="Verdana"/>
        </w:rPr>
        <w:t>s</w:t>
      </w:r>
      <w:r w:rsidRPr="004E3C82">
        <w:rPr>
          <w:rFonts w:ascii="Verdana" w:hAnsi="Verdana"/>
        </w:rPr>
        <w:t xml:space="preserve"> deficiencias en más del 80% de los estudios analizados en el Hospital Básico El Triunfo, son motivo de preocupación y resaltan la necesidad de mejorar la capacitación y supervisión del personal de enfermería en cuanto a las prácticas de bioseguridad.</w:t>
      </w:r>
    </w:p>
    <w:p w14:paraId="48984F15" w14:textId="77777777" w:rsidR="002C4F0C" w:rsidRDefault="00021EC6" w:rsidP="002C4F0C">
      <w:pPr>
        <w:spacing w:before="120" w:after="120" w:line="360" w:lineRule="auto"/>
        <w:ind w:firstLine="709"/>
        <w:jc w:val="both"/>
        <w:rPr>
          <w:rFonts w:ascii="Verdana" w:hAnsi="Verdana"/>
          <w:b/>
          <w:bCs/>
        </w:rPr>
      </w:pPr>
      <w:r w:rsidRPr="004E3C82">
        <w:rPr>
          <w:rFonts w:ascii="Verdana" w:hAnsi="Verdana"/>
        </w:rPr>
        <w:t>Las deficiencias del personal de enfermería ligado a un 33% de los estudios destacan la importancia de abordar el bienestar emocional de los profesionales de enfermería, ya que el estrés constante, particularmente durante la pandemia de COVID-19 en el primer semestre del 2021, puede tener un impacto negativo en su salud mental y, por ende, en la calidad de la atención al paciente.</w:t>
      </w:r>
    </w:p>
    <w:p w14:paraId="2E1B8BB2" w14:textId="0C3183A2" w:rsidR="007A1BCA" w:rsidRPr="002C4F0C" w:rsidRDefault="00021EC6" w:rsidP="002C4F0C">
      <w:pPr>
        <w:spacing w:before="120" w:after="120" w:line="360" w:lineRule="auto"/>
        <w:ind w:firstLine="709"/>
        <w:jc w:val="both"/>
        <w:rPr>
          <w:rFonts w:ascii="Verdana" w:hAnsi="Verdana"/>
          <w:b/>
          <w:bCs/>
        </w:rPr>
      </w:pPr>
      <w:r w:rsidRPr="002C4F0C">
        <w:rPr>
          <w:rFonts w:ascii="Verdana" w:hAnsi="Verdana"/>
        </w:rPr>
        <w:t>Más del 50% de los profesionales de enfermería afirman su descontento con las altas jornadas laborales, casos de estrés, y escasez de alternativas en el hospital, por otro lado, aseguran su conocimiento en el uso y aplicación de guantes en procesos de desinfección, y las posibles consecuencias por el incumplimiento de las normas de bioseguridad.</w:t>
      </w:r>
    </w:p>
    <w:p w14:paraId="0451CE51" w14:textId="77777777" w:rsidR="002C4F0C" w:rsidRDefault="002C4F0C" w:rsidP="004C0434">
      <w:pPr>
        <w:spacing w:before="120" w:after="120" w:line="360" w:lineRule="auto"/>
        <w:ind w:hanging="709"/>
        <w:jc w:val="both"/>
        <w:rPr>
          <w:rFonts w:ascii="Verdana" w:hAnsi="Verdana"/>
          <w:b/>
          <w:bCs/>
        </w:rPr>
      </w:pPr>
    </w:p>
    <w:p w14:paraId="00BE640E" w14:textId="77777777" w:rsidR="002C4F0C" w:rsidRDefault="002C4F0C" w:rsidP="004C0434">
      <w:pPr>
        <w:spacing w:before="120" w:after="120" w:line="360" w:lineRule="auto"/>
        <w:ind w:hanging="709"/>
        <w:jc w:val="both"/>
        <w:rPr>
          <w:rFonts w:ascii="Verdana" w:hAnsi="Verdana"/>
          <w:b/>
          <w:bCs/>
        </w:rPr>
      </w:pPr>
    </w:p>
    <w:p w14:paraId="64BDCD4B" w14:textId="77777777" w:rsidR="002C4F0C" w:rsidRDefault="002C4F0C" w:rsidP="004C0434">
      <w:pPr>
        <w:spacing w:before="120" w:after="120" w:line="360" w:lineRule="auto"/>
        <w:ind w:hanging="709"/>
        <w:jc w:val="both"/>
        <w:rPr>
          <w:rFonts w:ascii="Verdana" w:hAnsi="Verdana"/>
          <w:b/>
          <w:bCs/>
        </w:rPr>
      </w:pPr>
    </w:p>
    <w:p w14:paraId="32F56987" w14:textId="77777777" w:rsidR="002C4F0C" w:rsidRDefault="002C4F0C" w:rsidP="004C0434">
      <w:pPr>
        <w:spacing w:before="120" w:after="120" w:line="360" w:lineRule="auto"/>
        <w:ind w:hanging="709"/>
        <w:jc w:val="both"/>
        <w:rPr>
          <w:rFonts w:ascii="Verdana" w:hAnsi="Verdana"/>
          <w:b/>
          <w:bCs/>
        </w:rPr>
      </w:pPr>
    </w:p>
    <w:p w14:paraId="64CA4284" w14:textId="77777777" w:rsidR="002C4F0C" w:rsidRDefault="002C4F0C" w:rsidP="004C0434">
      <w:pPr>
        <w:spacing w:before="120" w:after="120" w:line="360" w:lineRule="auto"/>
        <w:ind w:hanging="709"/>
        <w:jc w:val="both"/>
        <w:rPr>
          <w:rFonts w:ascii="Verdana" w:hAnsi="Verdana"/>
          <w:b/>
          <w:bCs/>
        </w:rPr>
      </w:pPr>
    </w:p>
    <w:p w14:paraId="77A0DDED" w14:textId="77777777" w:rsidR="00304B6D" w:rsidRDefault="00304B6D" w:rsidP="004C0434">
      <w:pPr>
        <w:spacing w:before="120" w:after="120" w:line="360" w:lineRule="auto"/>
        <w:ind w:hanging="709"/>
        <w:jc w:val="both"/>
        <w:rPr>
          <w:rFonts w:ascii="Verdana" w:hAnsi="Verdana"/>
          <w:b/>
          <w:bCs/>
        </w:rPr>
      </w:pPr>
    </w:p>
    <w:p w14:paraId="0CA4A841" w14:textId="77777777" w:rsidR="002541AC" w:rsidRDefault="002541AC" w:rsidP="004C0434">
      <w:pPr>
        <w:spacing w:before="120" w:after="120" w:line="360" w:lineRule="auto"/>
        <w:ind w:hanging="709"/>
        <w:jc w:val="both"/>
        <w:rPr>
          <w:rFonts w:ascii="Verdana" w:hAnsi="Verdana"/>
          <w:b/>
          <w:bCs/>
        </w:rPr>
      </w:pPr>
    </w:p>
    <w:p w14:paraId="50380903" w14:textId="77777777" w:rsidR="002541AC" w:rsidRDefault="002541AC" w:rsidP="004C0434">
      <w:pPr>
        <w:spacing w:before="120" w:after="120" w:line="360" w:lineRule="auto"/>
        <w:ind w:hanging="709"/>
        <w:jc w:val="both"/>
        <w:rPr>
          <w:rFonts w:ascii="Verdana" w:hAnsi="Verdana"/>
          <w:b/>
          <w:bCs/>
        </w:rPr>
      </w:pPr>
    </w:p>
    <w:p w14:paraId="214717FB" w14:textId="3D078250" w:rsidR="00323722" w:rsidRPr="00323722" w:rsidRDefault="00021EC6" w:rsidP="00323722">
      <w:pPr>
        <w:spacing w:before="120" w:after="120" w:line="360" w:lineRule="auto"/>
        <w:ind w:hanging="709"/>
        <w:jc w:val="both"/>
        <w:rPr>
          <w:rFonts w:ascii="Verdana" w:hAnsi="Verdana"/>
          <w:b/>
          <w:bCs/>
        </w:rPr>
      </w:pPr>
      <w:r>
        <w:rPr>
          <w:rFonts w:ascii="Verdana" w:hAnsi="Verdana"/>
          <w:b/>
          <w:bCs/>
        </w:rPr>
        <w:lastRenderedPageBreak/>
        <w:t>Referencias bibliográfica</w:t>
      </w:r>
      <w:r w:rsidR="001A4430">
        <w:rPr>
          <w:rFonts w:ascii="Verdana" w:hAnsi="Verdana"/>
          <w:b/>
          <w:bCs/>
        </w:rPr>
        <w:t>s</w:t>
      </w:r>
    </w:p>
    <w:p w14:paraId="7C664769" w14:textId="58642623" w:rsidR="004C0434" w:rsidRPr="004C0434" w:rsidRDefault="004C0434" w:rsidP="002541AC">
      <w:pPr>
        <w:spacing w:before="120" w:after="120" w:line="360" w:lineRule="auto"/>
        <w:ind w:left="11" w:hanging="720"/>
        <w:jc w:val="both"/>
        <w:rPr>
          <w:rFonts w:ascii="Verdana" w:hAnsi="Verdana"/>
        </w:rPr>
      </w:pPr>
      <w:r w:rsidRPr="004C0434">
        <w:rPr>
          <w:rFonts w:ascii="Verdana" w:hAnsi="Verdana"/>
        </w:rPr>
        <w:t xml:space="preserve">Anabelle, B. P. (01 de </w:t>
      </w:r>
      <w:proofErr w:type="gramStart"/>
      <w:r w:rsidRPr="004C0434">
        <w:rPr>
          <w:rFonts w:ascii="Verdana" w:hAnsi="Verdana"/>
        </w:rPr>
        <w:t>Marzo</w:t>
      </w:r>
      <w:proofErr w:type="gramEnd"/>
      <w:r w:rsidRPr="004C0434">
        <w:rPr>
          <w:rFonts w:ascii="Verdana" w:hAnsi="Verdana"/>
        </w:rPr>
        <w:t xml:space="preserve"> de 2021). Universidad Técnica de Ambato Repositorio Digital. Obtenido de https://repositorio.uta.edu.ec/jspui/handle/123456789/32640</w:t>
      </w:r>
    </w:p>
    <w:p w14:paraId="7ACE7D01"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Arcos Rendón, L. K., &amp; Mora Reinoso, V. S. (2021). Pandemia del </w:t>
      </w:r>
      <w:proofErr w:type="spellStart"/>
      <w:r w:rsidRPr="004C0434">
        <w:rPr>
          <w:rFonts w:ascii="Verdana" w:hAnsi="Verdana"/>
        </w:rPr>
        <w:t>Covid</w:t>
      </w:r>
      <w:proofErr w:type="spellEnd"/>
      <w:r w:rsidRPr="004C0434">
        <w:rPr>
          <w:rFonts w:ascii="Verdana" w:hAnsi="Verdana"/>
        </w:rPr>
        <w:t xml:space="preserve"> 19 y Depresión en el Personal de Enfermería.</w:t>
      </w:r>
    </w:p>
    <w:p w14:paraId="5E9E84ED"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Badreldin, H. A., &amp; Atallah, B. (2021). Global </w:t>
      </w:r>
      <w:proofErr w:type="spellStart"/>
      <w:r w:rsidRPr="004C0434">
        <w:rPr>
          <w:rFonts w:ascii="Verdana" w:hAnsi="Verdana"/>
        </w:rPr>
        <w:t>drug</w:t>
      </w:r>
      <w:proofErr w:type="spellEnd"/>
      <w:r w:rsidRPr="004C0434">
        <w:rPr>
          <w:rFonts w:ascii="Verdana" w:hAnsi="Verdana"/>
        </w:rPr>
        <w:t xml:space="preserve"> </w:t>
      </w:r>
      <w:proofErr w:type="spellStart"/>
      <w:r w:rsidRPr="004C0434">
        <w:rPr>
          <w:rFonts w:ascii="Verdana" w:hAnsi="Verdana"/>
        </w:rPr>
        <w:t>shortages</w:t>
      </w:r>
      <w:proofErr w:type="spellEnd"/>
      <w:r w:rsidRPr="004C0434">
        <w:rPr>
          <w:rFonts w:ascii="Verdana" w:hAnsi="Verdana"/>
        </w:rPr>
        <w:t xml:space="preserve"> </w:t>
      </w:r>
      <w:proofErr w:type="spellStart"/>
      <w:r w:rsidRPr="004C0434">
        <w:rPr>
          <w:rFonts w:ascii="Verdana" w:hAnsi="Verdana"/>
        </w:rPr>
        <w:t>due</w:t>
      </w:r>
      <w:proofErr w:type="spellEnd"/>
      <w:r w:rsidRPr="004C0434">
        <w:rPr>
          <w:rFonts w:ascii="Verdana" w:hAnsi="Verdana"/>
        </w:rPr>
        <w:t xml:space="preserve"> to COVID-19: </w:t>
      </w:r>
      <w:proofErr w:type="spellStart"/>
      <w:r w:rsidRPr="004C0434">
        <w:rPr>
          <w:rFonts w:ascii="Verdana" w:hAnsi="Verdana"/>
        </w:rPr>
        <w:t>impact</w:t>
      </w:r>
      <w:proofErr w:type="spellEnd"/>
      <w:r w:rsidRPr="004C0434">
        <w:rPr>
          <w:rFonts w:ascii="Verdana" w:hAnsi="Verdana"/>
        </w:rPr>
        <w:t xml:space="preserve"> </w:t>
      </w:r>
      <w:proofErr w:type="spellStart"/>
      <w:r w:rsidRPr="004C0434">
        <w:rPr>
          <w:rFonts w:ascii="Verdana" w:hAnsi="Verdana"/>
        </w:rPr>
        <w:t>on</w:t>
      </w:r>
      <w:proofErr w:type="spellEnd"/>
      <w:r w:rsidRPr="004C0434">
        <w:rPr>
          <w:rFonts w:ascii="Verdana" w:hAnsi="Verdana"/>
        </w:rPr>
        <w:t xml:space="preserve"> </w:t>
      </w:r>
      <w:proofErr w:type="spellStart"/>
      <w:r w:rsidRPr="004C0434">
        <w:rPr>
          <w:rFonts w:ascii="Verdana" w:hAnsi="Verdana"/>
        </w:rPr>
        <w:t>patient</w:t>
      </w:r>
      <w:proofErr w:type="spellEnd"/>
      <w:r w:rsidRPr="004C0434">
        <w:rPr>
          <w:rFonts w:ascii="Verdana" w:hAnsi="Verdana"/>
        </w:rPr>
        <w:t xml:space="preserve"> care and </w:t>
      </w:r>
      <w:proofErr w:type="spellStart"/>
      <w:r w:rsidRPr="004C0434">
        <w:rPr>
          <w:rFonts w:ascii="Verdana" w:hAnsi="Verdana"/>
        </w:rPr>
        <w:t>mitigation</w:t>
      </w:r>
      <w:proofErr w:type="spellEnd"/>
      <w:r w:rsidRPr="004C0434">
        <w:rPr>
          <w:rFonts w:ascii="Verdana" w:hAnsi="Verdana"/>
        </w:rPr>
        <w:t xml:space="preserve"> </w:t>
      </w:r>
      <w:proofErr w:type="spellStart"/>
      <w:r w:rsidRPr="004C0434">
        <w:rPr>
          <w:rFonts w:ascii="Verdana" w:hAnsi="Verdana"/>
        </w:rPr>
        <w:t>strategies</w:t>
      </w:r>
      <w:proofErr w:type="spellEnd"/>
      <w:r w:rsidRPr="004C0434">
        <w:rPr>
          <w:rFonts w:ascii="Verdana" w:hAnsi="Verdana"/>
        </w:rPr>
        <w:t xml:space="preserve">. Research in Social and Administrative </w:t>
      </w:r>
      <w:proofErr w:type="spellStart"/>
      <w:r w:rsidRPr="004C0434">
        <w:rPr>
          <w:rFonts w:ascii="Verdana" w:hAnsi="Verdana"/>
        </w:rPr>
        <w:t>Pharmacy</w:t>
      </w:r>
      <w:proofErr w:type="spellEnd"/>
      <w:r w:rsidRPr="004C0434">
        <w:rPr>
          <w:rFonts w:ascii="Verdana" w:hAnsi="Verdana"/>
        </w:rPr>
        <w:t>, 17(1), 1946-1949.</w:t>
      </w:r>
    </w:p>
    <w:p w14:paraId="025E51CA"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Bravo Bonoso, D. G. (02 de </w:t>
      </w:r>
      <w:proofErr w:type="gramStart"/>
      <w:r w:rsidRPr="004C0434">
        <w:rPr>
          <w:rFonts w:ascii="Verdana" w:hAnsi="Verdana"/>
        </w:rPr>
        <w:t>Agosto</w:t>
      </w:r>
      <w:proofErr w:type="gramEnd"/>
      <w:r w:rsidRPr="004C0434">
        <w:rPr>
          <w:rFonts w:ascii="Verdana" w:hAnsi="Verdana"/>
        </w:rPr>
        <w:t xml:space="preserve"> de 2022). Universidad Estatal del Sur de Manabí Repositorio </w:t>
      </w:r>
      <w:proofErr w:type="gramStart"/>
      <w:r w:rsidRPr="004C0434">
        <w:rPr>
          <w:rFonts w:ascii="Verdana" w:hAnsi="Verdana"/>
        </w:rPr>
        <w:t>Digital .</w:t>
      </w:r>
      <w:proofErr w:type="gramEnd"/>
      <w:r w:rsidRPr="004C0434">
        <w:rPr>
          <w:rFonts w:ascii="Verdana" w:hAnsi="Verdana"/>
        </w:rPr>
        <w:t xml:space="preserve"> Obtenido de Normas de Bioseguridad y Propagación del Covid-19 en el personal de Atención Primaria en Salud: http://repositorio.unesum.edu.ec/handle/53000/3933</w:t>
      </w:r>
    </w:p>
    <w:p w14:paraId="7774761D"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Cárdenas, F. S. (01 de </w:t>
      </w:r>
      <w:proofErr w:type="gramStart"/>
      <w:r w:rsidRPr="004C0434">
        <w:rPr>
          <w:rFonts w:ascii="Verdana" w:hAnsi="Verdana"/>
        </w:rPr>
        <w:t>Septiembre</w:t>
      </w:r>
      <w:proofErr w:type="gramEnd"/>
      <w:r w:rsidRPr="004C0434">
        <w:rPr>
          <w:rFonts w:ascii="Verdana" w:hAnsi="Verdana"/>
        </w:rPr>
        <w:t xml:space="preserve"> de 2020). Revista Cubana de Enfermería Scielo. Obtenido de Factores que intervienen en la aplicación de medidas de bioseguridad del profesional de enfermería.: http://scielo.sld.cu/scielo.php?pid=S0864-03192020000300016&amp;script=sci_arttext&amp;tlng=en</w:t>
      </w:r>
    </w:p>
    <w:p w14:paraId="49E43E88"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Centeno Torres, G. A. (2022). Percepción de la calidad de vida en pacientes con tuberculosis durante la pandemia por COVID-19 atendidos en el Centro Materno Infantil Villa María del Triunfo en el periodo marzo 2020 a noviembre 2021.</w:t>
      </w:r>
    </w:p>
    <w:p w14:paraId="543FCBE2"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Duran, S., </w:t>
      </w:r>
      <w:proofErr w:type="spellStart"/>
      <w:r w:rsidRPr="004C0434">
        <w:rPr>
          <w:rFonts w:ascii="Verdana" w:hAnsi="Verdana"/>
        </w:rPr>
        <w:t>Celik</w:t>
      </w:r>
      <w:proofErr w:type="spellEnd"/>
      <w:r w:rsidRPr="004C0434">
        <w:rPr>
          <w:rFonts w:ascii="Verdana" w:hAnsi="Verdana"/>
        </w:rPr>
        <w:t xml:space="preserve">, I., </w:t>
      </w:r>
      <w:proofErr w:type="spellStart"/>
      <w:r w:rsidRPr="004C0434">
        <w:rPr>
          <w:rFonts w:ascii="Verdana" w:hAnsi="Verdana"/>
        </w:rPr>
        <w:t>Ertugrul</w:t>
      </w:r>
      <w:proofErr w:type="spellEnd"/>
      <w:r w:rsidRPr="004C0434">
        <w:rPr>
          <w:rFonts w:ascii="Verdana" w:hAnsi="Verdana"/>
        </w:rPr>
        <w:t xml:space="preserve">, B., Ok, S., &amp; </w:t>
      </w:r>
      <w:proofErr w:type="spellStart"/>
      <w:r w:rsidRPr="004C0434">
        <w:rPr>
          <w:rFonts w:ascii="Verdana" w:hAnsi="Verdana"/>
        </w:rPr>
        <w:t>Albayrak</w:t>
      </w:r>
      <w:proofErr w:type="spellEnd"/>
      <w:r w:rsidRPr="004C0434">
        <w:rPr>
          <w:rFonts w:ascii="Verdana" w:hAnsi="Verdana"/>
        </w:rPr>
        <w:t xml:space="preserve">, S. (2021). </w:t>
      </w:r>
      <w:proofErr w:type="spellStart"/>
      <w:r w:rsidRPr="004C0434">
        <w:rPr>
          <w:rFonts w:ascii="Verdana" w:hAnsi="Verdana"/>
        </w:rPr>
        <w:t>Factors</w:t>
      </w:r>
      <w:proofErr w:type="spellEnd"/>
      <w:r w:rsidRPr="004C0434">
        <w:rPr>
          <w:rFonts w:ascii="Verdana" w:hAnsi="Verdana"/>
        </w:rPr>
        <w:t xml:space="preserve"> </w:t>
      </w:r>
      <w:proofErr w:type="spellStart"/>
      <w:r w:rsidRPr="004C0434">
        <w:rPr>
          <w:rFonts w:ascii="Verdana" w:hAnsi="Verdana"/>
        </w:rPr>
        <w:t>affecting</w:t>
      </w:r>
      <w:proofErr w:type="spellEnd"/>
      <w:r w:rsidRPr="004C0434">
        <w:rPr>
          <w:rFonts w:ascii="Verdana" w:hAnsi="Verdana"/>
        </w:rPr>
        <w:t xml:space="preserve"> nurses' </w:t>
      </w:r>
      <w:proofErr w:type="spellStart"/>
      <w:r w:rsidRPr="004C0434">
        <w:rPr>
          <w:rFonts w:ascii="Verdana" w:hAnsi="Verdana"/>
        </w:rPr>
        <w:t>professional</w:t>
      </w:r>
      <w:proofErr w:type="spellEnd"/>
      <w:r w:rsidRPr="004C0434">
        <w:rPr>
          <w:rFonts w:ascii="Verdana" w:hAnsi="Verdana"/>
        </w:rPr>
        <w:t xml:space="preserve"> </w:t>
      </w:r>
      <w:proofErr w:type="spellStart"/>
      <w:r w:rsidRPr="004C0434">
        <w:rPr>
          <w:rFonts w:ascii="Verdana" w:hAnsi="Verdana"/>
        </w:rPr>
        <w:t>commitment</w:t>
      </w:r>
      <w:proofErr w:type="spellEnd"/>
      <w:r w:rsidRPr="004C0434">
        <w:rPr>
          <w:rFonts w:ascii="Verdana" w:hAnsi="Verdana"/>
        </w:rPr>
        <w:t xml:space="preserve"> </w:t>
      </w:r>
      <w:proofErr w:type="spellStart"/>
      <w:r w:rsidRPr="004C0434">
        <w:rPr>
          <w:rFonts w:ascii="Verdana" w:hAnsi="Verdana"/>
        </w:rPr>
        <w:t>during</w:t>
      </w:r>
      <w:proofErr w:type="spellEnd"/>
      <w:r w:rsidRPr="004C0434">
        <w:rPr>
          <w:rFonts w:ascii="Verdana" w:hAnsi="Verdana"/>
        </w:rPr>
        <w:t xml:space="preserve"> the COVID</w:t>
      </w:r>
      <w:r w:rsidRPr="004C0434">
        <w:rPr>
          <w:rFonts w:ascii="Cambria Math" w:hAnsi="Cambria Math" w:cs="Cambria Math"/>
        </w:rPr>
        <w:t>‐</w:t>
      </w:r>
      <w:r w:rsidRPr="004C0434">
        <w:rPr>
          <w:rFonts w:ascii="Verdana" w:hAnsi="Verdana"/>
        </w:rPr>
        <w:t xml:space="preserve">19 </w:t>
      </w:r>
      <w:proofErr w:type="spellStart"/>
      <w:r w:rsidRPr="004C0434">
        <w:rPr>
          <w:rFonts w:ascii="Verdana" w:hAnsi="Verdana"/>
        </w:rPr>
        <w:t>pandemic</w:t>
      </w:r>
      <w:proofErr w:type="spellEnd"/>
      <w:r w:rsidRPr="004C0434">
        <w:rPr>
          <w:rFonts w:ascii="Verdana" w:hAnsi="Verdana"/>
        </w:rPr>
        <w:t xml:space="preserve">: a </w:t>
      </w:r>
      <w:proofErr w:type="spellStart"/>
      <w:r w:rsidRPr="004C0434">
        <w:rPr>
          <w:rFonts w:ascii="Verdana" w:hAnsi="Verdana"/>
        </w:rPr>
        <w:t>cross</w:t>
      </w:r>
      <w:r w:rsidRPr="004C0434">
        <w:rPr>
          <w:rFonts w:ascii="Cambria Math" w:hAnsi="Cambria Math" w:cs="Cambria Math"/>
        </w:rPr>
        <w:t>‐</w:t>
      </w:r>
      <w:r w:rsidRPr="004C0434">
        <w:rPr>
          <w:rFonts w:ascii="Verdana" w:hAnsi="Verdana"/>
        </w:rPr>
        <w:t>sectional</w:t>
      </w:r>
      <w:proofErr w:type="spellEnd"/>
      <w:r w:rsidRPr="004C0434">
        <w:rPr>
          <w:rFonts w:ascii="Verdana" w:hAnsi="Verdana"/>
        </w:rPr>
        <w:t xml:space="preserve"> </w:t>
      </w:r>
      <w:proofErr w:type="spellStart"/>
      <w:r w:rsidRPr="004C0434">
        <w:rPr>
          <w:rFonts w:ascii="Verdana" w:hAnsi="Verdana"/>
        </w:rPr>
        <w:t>study</w:t>
      </w:r>
      <w:proofErr w:type="spellEnd"/>
      <w:r w:rsidRPr="004C0434">
        <w:rPr>
          <w:rFonts w:ascii="Verdana" w:hAnsi="Verdana"/>
        </w:rPr>
        <w:t>. Journal of Nursing Management, 29(7), 1906-1915.</w:t>
      </w:r>
    </w:p>
    <w:p w14:paraId="2E7D8D32"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Gabriela, C. B. (08 de </w:t>
      </w:r>
      <w:proofErr w:type="gramStart"/>
      <w:r w:rsidRPr="004C0434">
        <w:rPr>
          <w:rFonts w:ascii="Verdana" w:hAnsi="Verdana"/>
        </w:rPr>
        <w:t>Noviembre</w:t>
      </w:r>
      <w:proofErr w:type="gramEnd"/>
      <w:r w:rsidRPr="004C0434">
        <w:rPr>
          <w:rFonts w:ascii="Verdana" w:hAnsi="Verdana"/>
        </w:rPr>
        <w:t xml:space="preserve"> de 2022). Universidad Católica de Cuenca Repositorio Digital. Obtenido de Cumplimiento de las normas de bioseguridad del personal de enfermería intrahospitalario, en el Ecuador: Una revisión sistemática.: https://dspace.ucacue.edu.ec/handle/ucacue/13707</w:t>
      </w:r>
    </w:p>
    <w:p w14:paraId="219E86D1"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Gaspar Vivas, E. G. (2023). Síndrome de Burnout y desempeño laboral en tiempos de pandemia Covid-19 del personal de enfermería en un hospital de Villa Maria del Triunfo-2022.</w:t>
      </w:r>
    </w:p>
    <w:p w14:paraId="59A6B69F"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lastRenderedPageBreak/>
        <w:t xml:space="preserve">Gómez, B. J. P., Pazmiño, J. P. R., Quinde, G. S. G., </w:t>
      </w:r>
      <w:proofErr w:type="spellStart"/>
      <w:r w:rsidRPr="004C0434">
        <w:rPr>
          <w:rFonts w:ascii="Verdana" w:hAnsi="Verdana"/>
        </w:rPr>
        <w:t>Viejó</w:t>
      </w:r>
      <w:proofErr w:type="spellEnd"/>
      <w:r w:rsidRPr="004C0434">
        <w:rPr>
          <w:rFonts w:ascii="Verdana" w:hAnsi="Verdana"/>
        </w:rPr>
        <w:t xml:space="preserve">, J. F. G., Amaguaña, M. J. M., Neira, É. I. R., ... &amp; Pazmiño, K. A. R. (2022). </w:t>
      </w:r>
      <w:proofErr w:type="spellStart"/>
      <w:r w:rsidRPr="004C0434">
        <w:rPr>
          <w:rFonts w:ascii="Verdana" w:hAnsi="Verdana"/>
        </w:rPr>
        <w:t>Multidrug-resistant</w:t>
      </w:r>
      <w:proofErr w:type="spellEnd"/>
      <w:r w:rsidRPr="004C0434">
        <w:rPr>
          <w:rFonts w:ascii="Verdana" w:hAnsi="Verdana"/>
        </w:rPr>
        <w:t xml:space="preserve"> Klebsiella pneumoniae in a </w:t>
      </w:r>
      <w:proofErr w:type="spellStart"/>
      <w:r w:rsidRPr="004C0434">
        <w:rPr>
          <w:rFonts w:ascii="Verdana" w:hAnsi="Verdana"/>
        </w:rPr>
        <w:t>patient</w:t>
      </w:r>
      <w:proofErr w:type="spellEnd"/>
      <w:r w:rsidRPr="004C0434">
        <w:rPr>
          <w:rFonts w:ascii="Verdana" w:hAnsi="Verdana"/>
        </w:rPr>
        <w:t xml:space="preserve"> with SARS-Cov-2 </w:t>
      </w:r>
      <w:proofErr w:type="spellStart"/>
      <w:r w:rsidRPr="004C0434">
        <w:rPr>
          <w:rFonts w:ascii="Verdana" w:hAnsi="Verdana"/>
        </w:rPr>
        <w:t>pneumonia</w:t>
      </w:r>
      <w:proofErr w:type="spellEnd"/>
      <w:r w:rsidRPr="004C0434">
        <w:rPr>
          <w:rFonts w:ascii="Verdana" w:hAnsi="Verdana"/>
        </w:rPr>
        <w:t xml:space="preserve"> in </w:t>
      </w:r>
      <w:proofErr w:type="spellStart"/>
      <w:r w:rsidRPr="004C0434">
        <w:rPr>
          <w:rFonts w:ascii="Verdana" w:hAnsi="Verdana"/>
        </w:rPr>
        <w:t>an</w:t>
      </w:r>
      <w:proofErr w:type="spellEnd"/>
      <w:r w:rsidRPr="004C0434">
        <w:rPr>
          <w:rFonts w:ascii="Verdana" w:hAnsi="Verdana"/>
        </w:rPr>
        <w:t xml:space="preserve"> intensive care </w:t>
      </w:r>
      <w:proofErr w:type="spellStart"/>
      <w:r w:rsidRPr="004C0434">
        <w:rPr>
          <w:rFonts w:ascii="Verdana" w:hAnsi="Verdana"/>
        </w:rPr>
        <w:t>unit</w:t>
      </w:r>
      <w:proofErr w:type="spellEnd"/>
      <w:r w:rsidRPr="004C0434">
        <w:rPr>
          <w:rFonts w:ascii="Verdana" w:hAnsi="Verdana"/>
        </w:rPr>
        <w:t xml:space="preserve"> in Guayaquil, Ecuador: a case </w:t>
      </w:r>
      <w:proofErr w:type="spellStart"/>
      <w:r w:rsidRPr="004C0434">
        <w:rPr>
          <w:rFonts w:ascii="Verdana" w:hAnsi="Verdana"/>
        </w:rPr>
        <w:t>report</w:t>
      </w:r>
      <w:proofErr w:type="spellEnd"/>
      <w:r w:rsidRPr="004C0434">
        <w:rPr>
          <w:rFonts w:ascii="Verdana" w:hAnsi="Verdana"/>
        </w:rPr>
        <w:t>. The American Journal of Case Reports, 23, e936498-1.</w:t>
      </w:r>
    </w:p>
    <w:p w14:paraId="6BB8E287" w14:textId="77777777" w:rsidR="004C0434" w:rsidRPr="004C0434" w:rsidRDefault="004C0434" w:rsidP="004C0434">
      <w:pPr>
        <w:spacing w:before="120" w:after="120" w:line="360" w:lineRule="auto"/>
        <w:ind w:hanging="709"/>
        <w:jc w:val="both"/>
        <w:rPr>
          <w:rFonts w:ascii="Verdana" w:hAnsi="Verdana"/>
        </w:rPr>
      </w:pPr>
      <w:proofErr w:type="spellStart"/>
      <w:r w:rsidRPr="004C0434">
        <w:rPr>
          <w:rFonts w:ascii="Verdana" w:hAnsi="Verdana"/>
        </w:rPr>
        <w:t>Gutierrez</w:t>
      </w:r>
      <w:proofErr w:type="spellEnd"/>
      <w:r w:rsidRPr="004C0434">
        <w:rPr>
          <w:rFonts w:ascii="Verdana" w:hAnsi="Verdana"/>
        </w:rPr>
        <w:t xml:space="preserve"> Gonzales, J., &amp; Rivero </w:t>
      </w:r>
      <w:proofErr w:type="spellStart"/>
      <w:r w:rsidRPr="004C0434">
        <w:rPr>
          <w:rFonts w:ascii="Verdana" w:hAnsi="Verdana"/>
        </w:rPr>
        <w:t>Valentin</w:t>
      </w:r>
      <w:proofErr w:type="spellEnd"/>
      <w:r w:rsidRPr="004C0434">
        <w:rPr>
          <w:rFonts w:ascii="Verdana" w:hAnsi="Verdana"/>
        </w:rPr>
        <w:t>, S. P. (2021). Buenas prácticas de dispensación de medicamentos de uso común para el covid19 en los establecimientos farmacéuticos en la urbanización tablada de Lurín, Villa María del Triunfo, junio–septiembre 2020.</w:t>
      </w:r>
    </w:p>
    <w:p w14:paraId="2ED73D0B"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Guamán, R. M. (26 de </w:t>
      </w:r>
      <w:proofErr w:type="gramStart"/>
      <w:r w:rsidRPr="004C0434">
        <w:rPr>
          <w:rFonts w:ascii="Verdana" w:hAnsi="Verdana"/>
        </w:rPr>
        <w:t>Agosto</w:t>
      </w:r>
      <w:proofErr w:type="gramEnd"/>
      <w:r w:rsidRPr="004C0434">
        <w:rPr>
          <w:rFonts w:ascii="Verdana" w:hAnsi="Verdana"/>
        </w:rPr>
        <w:t xml:space="preserve"> de 2023). Revista Latinoamericana de Ciencias Sociales y Humanidades. Obtenido de Bioseguridad en ambientes hospitalarios: https://doi.org/10.56712/latam.v4i2.1039</w:t>
      </w:r>
    </w:p>
    <w:p w14:paraId="124DAD55"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Gutiérrez Bermúdez, J. M. (2020). Universidad del Pacífico Repositorio. Obtenido de Manejo de medidas de Bioseguridad en el personal de enfermería que labora en el área de emergencia del Hospital General norte de Guayaquil IESS Los Ceibos: http://uprepositorio.upacifico.edu.ec/handle/123456789/516</w:t>
      </w:r>
    </w:p>
    <w:p w14:paraId="48FF63A7"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Margarita, S. S. (18 de </w:t>
      </w:r>
      <w:proofErr w:type="gramStart"/>
      <w:r w:rsidRPr="004C0434">
        <w:rPr>
          <w:rFonts w:ascii="Verdana" w:hAnsi="Verdana"/>
        </w:rPr>
        <w:t>Febrero</w:t>
      </w:r>
      <w:proofErr w:type="gramEnd"/>
      <w:r w:rsidRPr="004C0434">
        <w:rPr>
          <w:rFonts w:ascii="Verdana" w:hAnsi="Verdana"/>
        </w:rPr>
        <w:t xml:space="preserve"> de 2019). Repositorio Digital Universidad </w:t>
      </w:r>
      <w:proofErr w:type="spellStart"/>
      <w:r w:rsidRPr="004C0434">
        <w:rPr>
          <w:rFonts w:ascii="Verdana" w:hAnsi="Verdana"/>
        </w:rPr>
        <w:t>Tecnica</w:t>
      </w:r>
      <w:proofErr w:type="spellEnd"/>
      <w:r w:rsidRPr="004C0434">
        <w:rPr>
          <w:rFonts w:ascii="Verdana" w:hAnsi="Verdana"/>
        </w:rPr>
        <w:t xml:space="preserve"> de </w:t>
      </w:r>
      <w:proofErr w:type="gramStart"/>
      <w:r w:rsidRPr="004C0434">
        <w:rPr>
          <w:rFonts w:ascii="Verdana" w:hAnsi="Verdana"/>
        </w:rPr>
        <w:t>Machala .</w:t>
      </w:r>
      <w:proofErr w:type="gramEnd"/>
      <w:r w:rsidRPr="004C0434">
        <w:rPr>
          <w:rFonts w:ascii="Verdana" w:hAnsi="Verdana"/>
        </w:rPr>
        <w:t xml:space="preserve"> Obtenido de http://repositorio.utmachala.edu.ec/handle/48000/10378</w:t>
      </w:r>
    </w:p>
    <w:p w14:paraId="089EEC57"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Maricela, C. C. (</w:t>
      </w:r>
      <w:proofErr w:type="gramStart"/>
      <w:r w:rsidRPr="004C0434">
        <w:rPr>
          <w:rFonts w:ascii="Verdana" w:hAnsi="Verdana"/>
        </w:rPr>
        <w:t>Marzo</w:t>
      </w:r>
      <w:proofErr w:type="gramEnd"/>
      <w:r w:rsidRPr="004C0434">
        <w:rPr>
          <w:rFonts w:ascii="Verdana" w:hAnsi="Verdana"/>
        </w:rPr>
        <w:t xml:space="preserve"> de 2022). Universidad de Los Andes Repositorio </w:t>
      </w:r>
      <w:proofErr w:type="gramStart"/>
      <w:r w:rsidRPr="004C0434">
        <w:rPr>
          <w:rFonts w:ascii="Verdana" w:hAnsi="Verdana"/>
        </w:rPr>
        <w:t>Institucional .</w:t>
      </w:r>
      <w:proofErr w:type="gramEnd"/>
      <w:r w:rsidRPr="004C0434">
        <w:rPr>
          <w:rFonts w:ascii="Verdana" w:hAnsi="Verdana"/>
        </w:rPr>
        <w:t xml:space="preserve"> Obtenido de Estrategia de intervención para el cumplimiento de normas de bioseguridad del personal de enfermería en la sala de procedimientos del centro de salud de santa rosa de la ciudad de Riobamba.: https://dspace.uniandes.eduec/handle/123456789/15612</w:t>
      </w:r>
    </w:p>
    <w:p w14:paraId="53DD83F2" w14:textId="77777777" w:rsidR="004C0434" w:rsidRDefault="004C0434" w:rsidP="004C0434">
      <w:pPr>
        <w:spacing w:before="120" w:after="120" w:line="360" w:lineRule="auto"/>
        <w:ind w:hanging="709"/>
        <w:jc w:val="both"/>
        <w:rPr>
          <w:rFonts w:ascii="Verdana" w:hAnsi="Verdana"/>
        </w:rPr>
      </w:pPr>
      <w:proofErr w:type="spellStart"/>
      <w:r w:rsidRPr="004C0434">
        <w:rPr>
          <w:rFonts w:ascii="Verdana" w:hAnsi="Verdana"/>
        </w:rPr>
        <w:t>Miskowiak</w:t>
      </w:r>
      <w:proofErr w:type="spellEnd"/>
      <w:r w:rsidRPr="004C0434">
        <w:rPr>
          <w:rFonts w:ascii="Verdana" w:hAnsi="Verdana"/>
        </w:rPr>
        <w:t xml:space="preserve">, K. W., Johnsen, S., </w:t>
      </w:r>
      <w:proofErr w:type="spellStart"/>
      <w:r w:rsidRPr="004C0434">
        <w:rPr>
          <w:rFonts w:ascii="Verdana" w:hAnsi="Verdana"/>
        </w:rPr>
        <w:t>Sattler</w:t>
      </w:r>
      <w:proofErr w:type="spellEnd"/>
      <w:r w:rsidRPr="004C0434">
        <w:rPr>
          <w:rFonts w:ascii="Verdana" w:hAnsi="Verdana"/>
        </w:rPr>
        <w:t xml:space="preserve">, S. M., Nielsen, S., </w:t>
      </w:r>
      <w:proofErr w:type="spellStart"/>
      <w:r w:rsidRPr="004C0434">
        <w:rPr>
          <w:rFonts w:ascii="Verdana" w:hAnsi="Verdana"/>
        </w:rPr>
        <w:t>Kunalan</w:t>
      </w:r>
      <w:proofErr w:type="spellEnd"/>
      <w:r w:rsidRPr="004C0434">
        <w:rPr>
          <w:rFonts w:ascii="Verdana" w:hAnsi="Verdana"/>
        </w:rPr>
        <w:t xml:space="preserve">, K., </w:t>
      </w:r>
      <w:proofErr w:type="spellStart"/>
      <w:r w:rsidRPr="004C0434">
        <w:rPr>
          <w:rFonts w:ascii="Verdana" w:hAnsi="Verdana"/>
        </w:rPr>
        <w:t>Rungby</w:t>
      </w:r>
      <w:proofErr w:type="spellEnd"/>
      <w:r w:rsidRPr="004C0434">
        <w:rPr>
          <w:rFonts w:ascii="Verdana" w:hAnsi="Verdana"/>
        </w:rPr>
        <w:t xml:space="preserve">, J., ... &amp; </w:t>
      </w:r>
      <w:proofErr w:type="spellStart"/>
      <w:r w:rsidRPr="004C0434">
        <w:rPr>
          <w:rFonts w:ascii="Verdana" w:hAnsi="Verdana"/>
        </w:rPr>
        <w:t>Porsberg</w:t>
      </w:r>
      <w:proofErr w:type="spellEnd"/>
      <w:r w:rsidRPr="004C0434">
        <w:rPr>
          <w:rFonts w:ascii="Verdana" w:hAnsi="Verdana"/>
        </w:rPr>
        <w:t xml:space="preserve">, C. M. (2021). Cognitive </w:t>
      </w:r>
      <w:proofErr w:type="spellStart"/>
      <w:r w:rsidRPr="004C0434">
        <w:rPr>
          <w:rFonts w:ascii="Verdana" w:hAnsi="Verdana"/>
        </w:rPr>
        <w:t>impairments</w:t>
      </w:r>
      <w:proofErr w:type="spellEnd"/>
      <w:r w:rsidRPr="004C0434">
        <w:rPr>
          <w:rFonts w:ascii="Verdana" w:hAnsi="Verdana"/>
        </w:rPr>
        <w:t xml:space="preserve"> </w:t>
      </w:r>
      <w:proofErr w:type="spellStart"/>
      <w:r w:rsidRPr="004C0434">
        <w:rPr>
          <w:rFonts w:ascii="Verdana" w:hAnsi="Verdana"/>
        </w:rPr>
        <w:t>four</w:t>
      </w:r>
      <w:proofErr w:type="spellEnd"/>
      <w:r w:rsidRPr="004C0434">
        <w:rPr>
          <w:rFonts w:ascii="Verdana" w:hAnsi="Verdana"/>
        </w:rPr>
        <w:t xml:space="preserve"> </w:t>
      </w:r>
      <w:proofErr w:type="spellStart"/>
      <w:r w:rsidRPr="004C0434">
        <w:rPr>
          <w:rFonts w:ascii="Verdana" w:hAnsi="Verdana"/>
        </w:rPr>
        <w:t>months</w:t>
      </w:r>
      <w:proofErr w:type="spellEnd"/>
      <w:r w:rsidRPr="004C0434">
        <w:rPr>
          <w:rFonts w:ascii="Verdana" w:hAnsi="Verdana"/>
        </w:rPr>
        <w:t xml:space="preserve"> after COVID-19 hospital </w:t>
      </w:r>
      <w:proofErr w:type="spellStart"/>
      <w:r w:rsidRPr="004C0434">
        <w:rPr>
          <w:rFonts w:ascii="Verdana" w:hAnsi="Verdana"/>
        </w:rPr>
        <w:t>discharge</w:t>
      </w:r>
      <w:proofErr w:type="spellEnd"/>
      <w:r w:rsidRPr="004C0434">
        <w:rPr>
          <w:rFonts w:ascii="Verdana" w:hAnsi="Verdana"/>
        </w:rPr>
        <w:t xml:space="preserve">: </w:t>
      </w:r>
      <w:proofErr w:type="spellStart"/>
      <w:r w:rsidRPr="004C0434">
        <w:rPr>
          <w:rFonts w:ascii="Verdana" w:hAnsi="Verdana"/>
        </w:rPr>
        <w:t>Pattern</w:t>
      </w:r>
      <w:proofErr w:type="spellEnd"/>
      <w:r w:rsidRPr="004C0434">
        <w:rPr>
          <w:rFonts w:ascii="Verdana" w:hAnsi="Verdana"/>
        </w:rPr>
        <w:t xml:space="preserve">, </w:t>
      </w:r>
      <w:proofErr w:type="spellStart"/>
      <w:r w:rsidRPr="004C0434">
        <w:rPr>
          <w:rFonts w:ascii="Verdana" w:hAnsi="Verdana"/>
        </w:rPr>
        <w:t>severity</w:t>
      </w:r>
      <w:proofErr w:type="spellEnd"/>
      <w:r w:rsidRPr="004C0434">
        <w:rPr>
          <w:rFonts w:ascii="Verdana" w:hAnsi="Verdana"/>
        </w:rPr>
        <w:t xml:space="preserve"> and </w:t>
      </w:r>
      <w:proofErr w:type="spellStart"/>
      <w:r w:rsidRPr="004C0434">
        <w:rPr>
          <w:rFonts w:ascii="Verdana" w:hAnsi="Verdana"/>
        </w:rPr>
        <w:t>association</w:t>
      </w:r>
      <w:proofErr w:type="spellEnd"/>
      <w:r w:rsidRPr="004C0434">
        <w:rPr>
          <w:rFonts w:ascii="Verdana" w:hAnsi="Verdana"/>
        </w:rPr>
        <w:t xml:space="preserve"> with </w:t>
      </w:r>
      <w:proofErr w:type="spellStart"/>
      <w:r w:rsidRPr="004C0434">
        <w:rPr>
          <w:rFonts w:ascii="Verdana" w:hAnsi="Verdana"/>
        </w:rPr>
        <w:t>illness</w:t>
      </w:r>
      <w:proofErr w:type="spellEnd"/>
      <w:r w:rsidRPr="004C0434">
        <w:rPr>
          <w:rFonts w:ascii="Verdana" w:hAnsi="Verdana"/>
        </w:rPr>
        <w:t xml:space="preserve"> variables. European </w:t>
      </w:r>
      <w:proofErr w:type="spellStart"/>
      <w:r w:rsidRPr="004C0434">
        <w:rPr>
          <w:rFonts w:ascii="Verdana" w:hAnsi="Verdana"/>
        </w:rPr>
        <w:t>Neuropsychopharmacology</w:t>
      </w:r>
      <w:proofErr w:type="spellEnd"/>
      <w:r w:rsidRPr="004C0434">
        <w:rPr>
          <w:rFonts w:ascii="Verdana" w:hAnsi="Verdana"/>
        </w:rPr>
        <w:t>, 46, 39-48.</w:t>
      </w:r>
    </w:p>
    <w:p w14:paraId="042B4C27" w14:textId="77777777" w:rsidR="00323722" w:rsidRDefault="00323722" w:rsidP="004C0434">
      <w:pPr>
        <w:spacing w:before="120" w:after="120" w:line="360" w:lineRule="auto"/>
        <w:ind w:hanging="709"/>
        <w:jc w:val="both"/>
        <w:rPr>
          <w:rFonts w:ascii="Verdana" w:hAnsi="Verdana"/>
        </w:rPr>
      </w:pPr>
    </w:p>
    <w:p w14:paraId="22EF32FF" w14:textId="77777777" w:rsidR="00323722" w:rsidRPr="004C0434" w:rsidRDefault="00323722" w:rsidP="004C0434">
      <w:pPr>
        <w:spacing w:before="120" w:after="120" w:line="360" w:lineRule="auto"/>
        <w:ind w:hanging="709"/>
        <w:jc w:val="both"/>
        <w:rPr>
          <w:rFonts w:ascii="Verdana" w:hAnsi="Verdana"/>
        </w:rPr>
      </w:pPr>
    </w:p>
    <w:p w14:paraId="741BB98C"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lastRenderedPageBreak/>
        <w:t>Olvera Plúas, J. G. (2020). Universidad Cesar Vallejo Repositorio Digital Institucional. Obtenido de Cumplimiento de las normas de bioseguridad en el área del posoperatorio y emergencia del Hospital Básico de Naranjito Guayas - Ecuador 2020: https://hdl.handle.net/20.500.12692/51933</w:t>
      </w:r>
    </w:p>
    <w:p w14:paraId="66AA1982"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Pacheco, J. X. (06 de </w:t>
      </w:r>
      <w:proofErr w:type="gramStart"/>
      <w:r w:rsidRPr="004C0434">
        <w:rPr>
          <w:rFonts w:ascii="Verdana" w:hAnsi="Verdana"/>
        </w:rPr>
        <w:t>Diciembre</w:t>
      </w:r>
      <w:proofErr w:type="gramEnd"/>
      <w:r w:rsidRPr="004C0434">
        <w:rPr>
          <w:rFonts w:ascii="Verdana" w:hAnsi="Verdana"/>
        </w:rPr>
        <w:t xml:space="preserve"> de 2019). Revista Eugenio Espejo (Facultad de Ciencias de la Salud). Obtenido de https://doi.org/10.37135/ee.004.07.04</w:t>
      </w:r>
    </w:p>
    <w:p w14:paraId="26A16E90"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Rees, E. M., Nightingale, E. S., </w:t>
      </w:r>
      <w:proofErr w:type="spellStart"/>
      <w:r w:rsidRPr="004C0434">
        <w:rPr>
          <w:rFonts w:ascii="Verdana" w:hAnsi="Verdana"/>
        </w:rPr>
        <w:t>Jafari</w:t>
      </w:r>
      <w:proofErr w:type="spellEnd"/>
      <w:r w:rsidRPr="004C0434">
        <w:rPr>
          <w:rFonts w:ascii="Verdana" w:hAnsi="Verdana"/>
        </w:rPr>
        <w:t xml:space="preserve">, Y., </w:t>
      </w:r>
      <w:proofErr w:type="spellStart"/>
      <w:r w:rsidRPr="004C0434">
        <w:rPr>
          <w:rFonts w:ascii="Verdana" w:hAnsi="Verdana"/>
        </w:rPr>
        <w:t>Waterlow</w:t>
      </w:r>
      <w:proofErr w:type="spellEnd"/>
      <w:r w:rsidRPr="004C0434">
        <w:rPr>
          <w:rFonts w:ascii="Verdana" w:hAnsi="Verdana"/>
        </w:rPr>
        <w:t xml:space="preserve">, N. R., Clifford, S., B. Pearson, C. A., ... &amp; </w:t>
      </w:r>
      <w:proofErr w:type="spellStart"/>
      <w:r w:rsidRPr="004C0434">
        <w:rPr>
          <w:rFonts w:ascii="Verdana" w:hAnsi="Verdana"/>
        </w:rPr>
        <w:t>Knight</w:t>
      </w:r>
      <w:proofErr w:type="spellEnd"/>
      <w:r w:rsidRPr="004C0434">
        <w:rPr>
          <w:rFonts w:ascii="Verdana" w:hAnsi="Verdana"/>
        </w:rPr>
        <w:t xml:space="preserve">, G. M. (2020). COVID-19 </w:t>
      </w:r>
      <w:proofErr w:type="spellStart"/>
      <w:r w:rsidRPr="004C0434">
        <w:rPr>
          <w:rFonts w:ascii="Verdana" w:hAnsi="Verdana"/>
        </w:rPr>
        <w:t>length</w:t>
      </w:r>
      <w:proofErr w:type="spellEnd"/>
      <w:r w:rsidRPr="004C0434">
        <w:rPr>
          <w:rFonts w:ascii="Verdana" w:hAnsi="Verdana"/>
        </w:rPr>
        <w:t xml:space="preserve"> of hospital </w:t>
      </w:r>
      <w:proofErr w:type="spellStart"/>
      <w:r w:rsidRPr="004C0434">
        <w:rPr>
          <w:rFonts w:ascii="Verdana" w:hAnsi="Verdana"/>
        </w:rPr>
        <w:t>stay</w:t>
      </w:r>
      <w:proofErr w:type="spellEnd"/>
      <w:r w:rsidRPr="004C0434">
        <w:rPr>
          <w:rFonts w:ascii="Verdana" w:hAnsi="Verdana"/>
        </w:rPr>
        <w:t xml:space="preserve">: a systematic review and data </w:t>
      </w:r>
      <w:proofErr w:type="spellStart"/>
      <w:r w:rsidRPr="004C0434">
        <w:rPr>
          <w:rFonts w:ascii="Verdana" w:hAnsi="Verdana"/>
        </w:rPr>
        <w:t>synthesis</w:t>
      </w:r>
      <w:proofErr w:type="spellEnd"/>
      <w:r w:rsidRPr="004C0434">
        <w:rPr>
          <w:rFonts w:ascii="Verdana" w:hAnsi="Verdana"/>
        </w:rPr>
        <w:t>. BMC medicine, 18, 1-22.</w:t>
      </w:r>
    </w:p>
    <w:p w14:paraId="1A1B5817"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 xml:space="preserve">Renault, V., </w:t>
      </w:r>
      <w:proofErr w:type="spellStart"/>
      <w:r w:rsidRPr="004C0434">
        <w:rPr>
          <w:rFonts w:ascii="Verdana" w:hAnsi="Verdana"/>
        </w:rPr>
        <w:t>Humblet</w:t>
      </w:r>
      <w:proofErr w:type="spellEnd"/>
      <w:r w:rsidRPr="004C0434">
        <w:rPr>
          <w:rFonts w:ascii="Verdana" w:hAnsi="Verdana"/>
        </w:rPr>
        <w:t xml:space="preserve">, M. F., Parisi, G., </w:t>
      </w:r>
      <w:proofErr w:type="spellStart"/>
      <w:r w:rsidRPr="004C0434">
        <w:rPr>
          <w:rFonts w:ascii="Verdana" w:hAnsi="Verdana"/>
        </w:rPr>
        <w:t>Donneau</w:t>
      </w:r>
      <w:proofErr w:type="spellEnd"/>
      <w:r w:rsidRPr="004C0434">
        <w:rPr>
          <w:rFonts w:ascii="Verdana" w:hAnsi="Verdana"/>
        </w:rPr>
        <w:t xml:space="preserve">, A. F., Bureau, F., </w:t>
      </w:r>
      <w:proofErr w:type="spellStart"/>
      <w:r w:rsidRPr="004C0434">
        <w:rPr>
          <w:rFonts w:ascii="Verdana" w:hAnsi="Verdana"/>
        </w:rPr>
        <w:t>Gillet</w:t>
      </w:r>
      <w:proofErr w:type="spellEnd"/>
      <w:r w:rsidRPr="004C0434">
        <w:rPr>
          <w:rFonts w:ascii="Verdana" w:hAnsi="Verdana"/>
        </w:rPr>
        <w:t xml:space="preserve">, L., ... &amp; </w:t>
      </w:r>
      <w:proofErr w:type="spellStart"/>
      <w:r w:rsidRPr="004C0434">
        <w:rPr>
          <w:rFonts w:ascii="Verdana" w:hAnsi="Verdana"/>
        </w:rPr>
        <w:t>Saegerman</w:t>
      </w:r>
      <w:proofErr w:type="spellEnd"/>
      <w:r w:rsidRPr="004C0434">
        <w:rPr>
          <w:rFonts w:ascii="Verdana" w:hAnsi="Verdana"/>
        </w:rPr>
        <w:t xml:space="preserve">, C. (2021). The </w:t>
      </w:r>
      <w:proofErr w:type="spellStart"/>
      <w:r w:rsidRPr="004C0434">
        <w:rPr>
          <w:rFonts w:ascii="Verdana" w:hAnsi="Verdana"/>
        </w:rPr>
        <w:t>first</w:t>
      </w:r>
      <w:proofErr w:type="spellEnd"/>
      <w:r w:rsidRPr="004C0434">
        <w:rPr>
          <w:rFonts w:ascii="Verdana" w:hAnsi="Verdana"/>
        </w:rPr>
        <w:t xml:space="preserve"> </w:t>
      </w:r>
      <w:proofErr w:type="spellStart"/>
      <w:r w:rsidRPr="004C0434">
        <w:rPr>
          <w:rFonts w:ascii="Verdana" w:hAnsi="Verdana"/>
        </w:rPr>
        <w:t>random</w:t>
      </w:r>
      <w:proofErr w:type="spellEnd"/>
      <w:r w:rsidRPr="004C0434">
        <w:rPr>
          <w:rFonts w:ascii="Verdana" w:hAnsi="Verdana"/>
        </w:rPr>
        <w:t xml:space="preserve"> </w:t>
      </w:r>
      <w:proofErr w:type="spellStart"/>
      <w:r w:rsidRPr="004C0434">
        <w:rPr>
          <w:rFonts w:ascii="Verdana" w:hAnsi="Verdana"/>
        </w:rPr>
        <w:t>observational</w:t>
      </w:r>
      <w:proofErr w:type="spellEnd"/>
      <w:r w:rsidRPr="004C0434">
        <w:rPr>
          <w:rFonts w:ascii="Verdana" w:hAnsi="Verdana"/>
        </w:rPr>
        <w:t xml:space="preserve"> </w:t>
      </w:r>
      <w:proofErr w:type="spellStart"/>
      <w:r w:rsidRPr="004C0434">
        <w:rPr>
          <w:rFonts w:ascii="Verdana" w:hAnsi="Verdana"/>
        </w:rPr>
        <w:t>survey</w:t>
      </w:r>
      <w:proofErr w:type="spellEnd"/>
      <w:r w:rsidRPr="004C0434">
        <w:rPr>
          <w:rFonts w:ascii="Verdana" w:hAnsi="Verdana"/>
        </w:rPr>
        <w:t xml:space="preserve"> of barrier gestures against COVID-19. International Journal of Environmental Research and Public Health, 18(19), 9972.</w:t>
      </w:r>
    </w:p>
    <w:p w14:paraId="260F32AA"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Rendon Santillana, J. C., &amp; Alarcon Cajacuri, D. H. (2021). Factores que influyen en automedicación de pandemia Covid-19 en usuarios de farmacia Jessica en Villa Maria del Triunfo 2021</w:t>
      </w:r>
    </w:p>
    <w:p w14:paraId="30176219" w14:textId="77777777" w:rsidR="004C0434" w:rsidRPr="004C0434" w:rsidRDefault="004C0434" w:rsidP="004C0434">
      <w:pPr>
        <w:spacing w:before="120" w:after="120" w:line="360" w:lineRule="auto"/>
        <w:ind w:hanging="709"/>
        <w:jc w:val="both"/>
        <w:rPr>
          <w:rFonts w:ascii="Verdana" w:hAnsi="Verdana"/>
        </w:rPr>
      </w:pPr>
      <w:r w:rsidRPr="004C0434">
        <w:rPr>
          <w:rFonts w:ascii="Verdana" w:hAnsi="Verdana"/>
        </w:rPr>
        <w:t>Valdiviezo Sanchez, J. A. (2022). Satisfacción del paciente y cuidado humanizado de enfermería en el área de hemodiálisis del Hospital Teófilo Dávila–Machala-Ecuador-2021.</w:t>
      </w:r>
    </w:p>
    <w:p w14:paraId="4CBB0005" w14:textId="77777777" w:rsidR="004C0434" w:rsidRPr="004C0434" w:rsidRDefault="004C0434" w:rsidP="004C0434">
      <w:pPr>
        <w:spacing w:before="120" w:after="120" w:line="360" w:lineRule="auto"/>
        <w:ind w:hanging="709"/>
        <w:jc w:val="both"/>
        <w:rPr>
          <w:rFonts w:ascii="Verdana" w:hAnsi="Verdana"/>
          <w:b/>
          <w:bCs/>
        </w:rPr>
      </w:pPr>
    </w:p>
    <w:p w14:paraId="7DBCDFF7" w14:textId="77777777" w:rsidR="00FB4F55" w:rsidRDefault="00FB4F55">
      <w:pPr>
        <w:spacing w:line="240" w:lineRule="auto"/>
        <w:jc w:val="both"/>
        <w:rPr>
          <w:rFonts w:ascii="Verdana" w:hAnsi="Verdana"/>
          <w:b/>
          <w:bCs/>
          <w:sz w:val="20"/>
          <w:szCs w:val="20"/>
        </w:rPr>
      </w:pPr>
    </w:p>
    <w:p w14:paraId="51E90343" w14:textId="77777777" w:rsidR="00FB4F55" w:rsidRDefault="00FB4F55">
      <w:pPr>
        <w:spacing w:line="240" w:lineRule="auto"/>
        <w:jc w:val="both"/>
        <w:rPr>
          <w:rFonts w:ascii="Verdana" w:hAnsi="Verdana"/>
          <w:b/>
          <w:bCs/>
          <w:sz w:val="20"/>
          <w:szCs w:val="20"/>
        </w:rPr>
      </w:pPr>
    </w:p>
    <w:p w14:paraId="732EF6FB" w14:textId="77777777" w:rsidR="00FB4F55" w:rsidRDefault="00FB4F55">
      <w:pPr>
        <w:spacing w:line="240" w:lineRule="auto"/>
        <w:jc w:val="both"/>
        <w:rPr>
          <w:rFonts w:ascii="Verdana" w:hAnsi="Verdana"/>
          <w:b/>
          <w:bCs/>
          <w:sz w:val="20"/>
          <w:szCs w:val="20"/>
        </w:rPr>
      </w:pPr>
    </w:p>
    <w:p w14:paraId="6BC5EC9F" w14:textId="77777777" w:rsidR="00FB4F55" w:rsidRDefault="00FB4F55">
      <w:pPr>
        <w:spacing w:line="240" w:lineRule="auto"/>
        <w:jc w:val="both"/>
        <w:rPr>
          <w:rFonts w:ascii="Verdana" w:hAnsi="Verdana"/>
          <w:b/>
          <w:bCs/>
          <w:sz w:val="20"/>
          <w:szCs w:val="20"/>
        </w:rPr>
      </w:pPr>
    </w:p>
    <w:p w14:paraId="23139044" w14:textId="77777777" w:rsidR="00FB4F55" w:rsidRDefault="00FB4F55">
      <w:pPr>
        <w:spacing w:line="240" w:lineRule="auto"/>
        <w:jc w:val="both"/>
        <w:rPr>
          <w:rFonts w:ascii="Verdana" w:hAnsi="Verdana"/>
          <w:b/>
          <w:bCs/>
          <w:sz w:val="20"/>
          <w:szCs w:val="20"/>
        </w:rPr>
      </w:pPr>
    </w:p>
    <w:p w14:paraId="409247F6" w14:textId="77777777" w:rsidR="00FB4F55" w:rsidRDefault="00FB4F55">
      <w:pPr>
        <w:spacing w:line="240" w:lineRule="auto"/>
        <w:jc w:val="both"/>
        <w:rPr>
          <w:rFonts w:ascii="Verdana" w:hAnsi="Verdana"/>
          <w:b/>
          <w:bCs/>
          <w:sz w:val="20"/>
          <w:szCs w:val="20"/>
        </w:rPr>
      </w:pPr>
    </w:p>
    <w:p w14:paraId="46DF783E" w14:textId="77777777" w:rsidR="00FB4F55" w:rsidRDefault="00FB4F55">
      <w:pPr>
        <w:spacing w:line="240" w:lineRule="auto"/>
        <w:jc w:val="both"/>
        <w:rPr>
          <w:rFonts w:ascii="Verdana" w:hAnsi="Verdana"/>
          <w:b/>
          <w:bCs/>
          <w:sz w:val="20"/>
          <w:szCs w:val="20"/>
        </w:rPr>
      </w:pPr>
    </w:p>
    <w:p w14:paraId="0D17F322" w14:textId="77777777" w:rsidR="00894281" w:rsidRDefault="00894281">
      <w:pPr>
        <w:spacing w:line="240" w:lineRule="auto"/>
        <w:jc w:val="both"/>
        <w:rPr>
          <w:rFonts w:ascii="Verdana" w:hAnsi="Verdana"/>
          <w:b/>
          <w:bCs/>
          <w:sz w:val="20"/>
          <w:szCs w:val="20"/>
        </w:rPr>
      </w:pPr>
    </w:p>
    <w:p w14:paraId="343F6F5F" w14:textId="77777777" w:rsidR="00712927" w:rsidRDefault="00712927">
      <w:pPr>
        <w:spacing w:line="240" w:lineRule="auto"/>
        <w:jc w:val="both"/>
        <w:rPr>
          <w:rFonts w:ascii="Verdana" w:hAnsi="Verdana"/>
          <w:b/>
          <w:bCs/>
          <w:sz w:val="20"/>
          <w:szCs w:val="20"/>
        </w:rPr>
      </w:pPr>
    </w:p>
    <w:p w14:paraId="0084D1B8" w14:textId="77777777" w:rsidR="002C4F0C" w:rsidRDefault="002C4F0C">
      <w:pPr>
        <w:spacing w:line="240" w:lineRule="auto"/>
        <w:jc w:val="both"/>
        <w:rPr>
          <w:rFonts w:ascii="Verdana" w:hAnsi="Verdana"/>
          <w:b/>
          <w:bCs/>
          <w:sz w:val="20"/>
          <w:szCs w:val="20"/>
        </w:rPr>
      </w:pPr>
    </w:p>
    <w:p w14:paraId="2583F1C8" w14:textId="77777777" w:rsidR="002C4F0C" w:rsidRDefault="002C4F0C">
      <w:pPr>
        <w:spacing w:line="240" w:lineRule="auto"/>
        <w:jc w:val="both"/>
        <w:rPr>
          <w:rFonts w:ascii="Verdana" w:hAnsi="Verdana"/>
          <w:b/>
          <w:bCs/>
          <w:sz w:val="20"/>
          <w:szCs w:val="20"/>
        </w:rPr>
      </w:pPr>
    </w:p>
    <w:p w14:paraId="23F3BF02" w14:textId="77777777" w:rsidR="00712927" w:rsidRDefault="00712927">
      <w:pPr>
        <w:spacing w:line="240" w:lineRule="auto"/>
        <w:jc w:val="both"/>
        <w:rPr>
          <w:rFonts w:ascii="Verdana" w:hAnsi="Verdana"/>
          <w:b/>
          <w:bCs/>
          <w:sz w:val="20"/>
          <w:szCs w:val="20"/>
        </w:rPr>
      </w:pPr>
    </w:p>
    <w:p w14:paraId="6268E607" w14:textId="0FF7739D" w:rsidR="00FB4F55" w:rsidRDefault="00021EC6" w:rsidP="00894281">
      <w:pPr>
        <w:spacing w:line="276" w:lineRule="auto"/>
        <w:jc w:val="both"/>
        <w:rPr>
          <w:rFonts w:ascii="Verdana" w:eastAsia="Times New Roman" w:hAnsi="Verdana" w:cs="Calibri"/>
          <w:color w:val="212121"/>
          <w:sz w:val="20"/>
          <w:szCs w:val="20"/>
          <w:lang w:eastAsia="es-ES"/>
          <w14:ligatures w14:val="none"/>
        </w:rPr>
      </w:pPr>
      <w:r>
        <w:rPr>
          <w:rFonts w:ascii="Verdana" w:hAnsi="Verdana"/>
          <w:b/>
          <w:bCs/>
          <w:sz w:val="20"/>
          <w:szCs w:val="20"/>
        </w:rPr>
        <w:t xml:space="preserve">Tabla </w:t>
      </w:r>
      <w:r w:rsidR="00712927">
        <w:rPr>
          <w:rFonts w:ascii="Verdana" w:hAnsi="Verdana"/>
          <w:b/>
          <w:bCs/>
          <w:sz w:val="20"/>
          <w:szCs w:val="20"/>
        </w:rPr>
        <w:t>1</w:t>
      </w:r>
      <w:r>
        <w:rPr>
          <w:rFonts w:ascii="Verdana" w:hAnsi="Verdana"/>
          <w:b/>
          <w:bCs/>
          <w:sz w:val="20"/>
          <w:szCs w:val="20"/>
        </w:rPr>
        <w:t>. Factores que desencadenan el incumplimiento de normas de Bioseguridad en el Hospital Básico El Triunfo.</w:t>
      </w:r>
    </w:p>
    <w:tbl>
      <w:tblPr>
        <w:tblW w:w="9356" w:type="dxa"/>
        <w:tblInd w:w="-157" w:type="dxa"/>
        <w:tblCellMar>
          <w:left w:w="0" w:type="dxa"/>
          <w:right w:w="0" w:type="dxa"/>
        </w:tblCellMar>
        <w:tblLook w:val="0600" w:firstRow="0" w:lastRow="0" w:firstColumn="0" w:lastColumn="0" w:noHBand="1" w:noVBand="1"/>
      </w:tblPr>
      <w:tblGrid>
        <w:gridCol w:w="2177"/>
        <w:gridCol w:w="1226"/>
        <w:gridCol w:w="1275"/>
        <w:gridCol w:w="1134"/>
        <w:gridCol w:w="1134"/>
        <w:gridCol w:w="994"/>
        <w:gridCol w:w="1416"/>
      </w:tblGrid>
      <w:tr w:rsidR="00FB4F55" w14:paraId="51C10AE4" w14:textId="77777777">
        <w:trPr>
          <w:trHeight w:val="380"/>
        </w:trPr>
        <w:tc>
          <w:tcPr>
            <w:tcW w:w="9356" w:type="dxa"/>
            <w:gridSpan w:val="7"/>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6D4D83AA" w14:textId="77777777" w:rsidR="00FB4F55" w:rsidRDefault="00021EC6" w:rsidP="00894281">
            <w:pPr>
              <w:spacing w:after="0" w:line="276" w:lineRule="auto"/>
              <w:jc w:val="center"/>
              <w:rPr>
                <w:rFonts w:ascii="Verdana" w:hAnsi="Verdana" w:cs="Times New Roman"/>
                <w:b/>
                <w:bCs/>
                <w:sz w:val="20"/>
                <w:szCs w:val="20"/>
                <w:lang w:val="es-MX"/>
              </w:rPr>
            </w:pPr>
            <w:r>
              <w:rPr>
                <w:rFonts w:ascii="Verdana" w:hAnsi="Verdana" w:cs="Times New Roman"/>
                <w:b/>
                <w:bCs/>
                <w:sz w:val="20"/>
                <w:szCs w:val="20"/>
                <w:lang w:val="es-MX"/>
              </w:rPr>
              <w:t>FACTORES QUE DESENCADENAN EL INCUMPLIMIENTO DE LAS NORMAS DE BIOSEGURIDAD</w:t>
            </w:r>
          </w:p>
        </w:tc>
      </w:tr>
      <w:tr w:rsidR="00FB4F55" w14:paraId="5FD3292C" w14:textId="77777777">
        <w:trPr>
          <w:trHeight w:val="366"/>
        </w:trPr>
        <w:tc>
          <w:tcPr>
            <w:tcW w:w="2177"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75CBA9A9" w14:textId="77777777" w:rsidR="00FB4F55" w:rsidRDefault="00021EC6" w:rsidP="00894281">
            <w:pPr>
              <w:spacing w:line="276" w:lineRule="auto"/>
              <w:jc w:val="center"/>
              <w:rPr>
                <w:rFonts w:ascii="Verdana" w:hAnsi="Verdana" w:cs="Times New Roman"/>
                <w:b/>
                <w:bCs/>
                <w:sz w:val="20"/>
                <w:szCs w:val="20"/>
              </w:rPr>
            </w:pPr>
            <w:r>
              <w:rPr>
                <w:rFonts w:ascii="Verdana" w:hAnsi="Verdana" w:cs="Times New Roman"/>
                <w:b/>
                <w:bCs/>
                <w:sz w:val="20"/>
                <w:szCs w:val="20"/>
                <w:lang w:val="en-US"/>
              </w:rPr>
              <w:t>Pregunta</w:t>
            </w:r>
          </w:p>
        </w:tc>
        <w:tc>
          <w:tcPr>
            <w:tcW w:w="1226"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2138BA9F" w14:textId="77777777" w:rsidR="00FB4F55" w:rsidRDefault="00021EC6" w:rsidP="00894281">
            <w:pPr>
              <w:spacing w:line="276" w:lineRule="auto"/>
              <w:jc w:val="center"/>
              <w:rPr>
                <w:rFonts w:ascii="Verdana" w:hAnsi="Verdana" w:cs="Times New Roman"/>
                <w:b/>
                <w:bCs/>
                <w:sz w:val="20"/>
                <w:szCs w:val="20"/>
              </w:rPr>
            </w:pPr>
            <w:r>
              <w:rPr>
                <w:rFonts w:ascii="Verdana" w:hAnsi="Verdana" w:cs="Times New Roman"/>
                <w:b/>
                <w:bCs/>
                <w:sz w:val="20"/>
                <w:szCs w:val="20"/>
                <w:lang w:val="en-US"/>
              </w:rPr>
              <w:t>Siempre</w:t>
            </w:r>
          </w:p>
        </w:tc>
        <w:tc>
          <w:tcPr>
            <w:tcW w:w="1275"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185C33EA" w14:textId="77777777" w:rsidR="00FB4F55" w:rsidRDefault="00021EC6" w:rsidP="00894281">
            <w:pPr>
              <w:spacing w:line="276" w:lineRule="auto"/>
              <w:jc w:val="center"/>
              <w:rPr>
                <w:rFonts w:ascii="Verdana" w:hAnsi="Verdana" w:cs="Times New Roman"/>
                <w:b/>
                <w:bCs/>
                <w:sz w:val="20"/>
                <w:szCs w:val="20"/>
              </w:rPr>
            </w:pPr>
            <w:r>
              <w:rPr>
                <w:rFonts w:ascii="Verdana" w:hAnsi="Verdana" w:cs="Times New Roman"/>
                <w:b/>
                <w:bCs/>
                <w:sz w:val="20"/>
                <w:szCs w:val="20"/>
                <w:lang w:val="en-US"/>
              </w:rPr>
              <w:t>Casi siempre</w:t>
            </w:r>
          </w:p>
        </w:tc>
        <w:tc>
          <w:tcPr>
            <w:tcW w:w="1134"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24405CCB" w14:textId="77777777" w:rsidR="00FB4F55" w:rsidRDefault="00021EC6" w:rsidP="00894281">
            <w:pPr>
              <w:spacing w:line="276" w:lineRule="auto"/>
              <w:jc w:val="center"/>
              <w:rPr>
                <w:rFonts w:ascii="Verdana" w:hAnsi="Verdana" w:cs="Times New Roman"/>
                <w:b/>
                <w:bCs/>
                <w:sz w:val="20"/>
                <w:szCs w:val="20"/>
              </w:rPr>
            </w:pPr>
            <w:r>
              <w:rPr>
                <w:rFonts w:ascii="Verdana" w:hAnsi="Verdana" w:cs="Times New Roman"/>
                <w:b/>
                <w:bCs/>
                <w:sz w:val="20"/>
                <w:szCs w:val="20"/>
                <w:lang w:val="en-US"/>
              </w:rPr>
              <w:t>Rara Vez</w:t>
            </w:r>
          </w:p>
        </w:tc>
        <w:tc>
          <w:tcPr>
            <w:tcW w:w="1134"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5434A7D8" w14:textId="77777777" w:rsidR="00FB4F55" w:rsidRDefault="00021EC6" w:rsidP="00894281">
            <w:pPr>
              <w:spacing w:line="276" w:lineRule="auto"/>
              <w:jc w:val="center"/>
              <w:rPr>
                <w:rFonts w:ascii="Verdana" w:hAnsi="Verdana" w:cs="Times New Roman"/>
                <w:b/>
                <w:bCs/>
                <w:sz w:val="20"/>
                <w:szCs w:val="20"/>
              </w:rPr>
            </w:pPr>
            <w:r>
              <w:rPr>
                <w:rFonts w:ascii="Verdana" w:hAnsi="Verdana" w:cs="Times New Roman"/>
                <w:b/>
                <w:bCs/>
                <w:sz w:val="20"/>
                <w:szCs w:val="20"/>
                <w:lang w:val="en-US"/>
              </w:rPr>
              <w:t>Casi Nunca</w:t>
            </w:r>
          </w:p>
        </w:tc>
        <w:tc>
          <w:tcPr>
            <w:tcW w:w="994"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0317E9FB" w14:textId="77777777" w:rsidR="00FB4F55" w:rsidRDefault="00021EC6" w:rsidP="00894281">
            <w:pPr>
              <w:spacing w:line="276" w:lineRule="auto"/>
              <w:jc w:val="center"/>
              <w:rPr>
                <w:rFonts w:ascii="Verdana" w:hAnsi="Verdana" w:cs="Times New Roman"/>
                <w:b/>
                <w:bCs/>
                <w:sz w:val="20"/>
                <w:szCs w:val="20"/>
              </w:rPr>
            </w:pPr>
            <w:r>
              <w:rPr>
                <w:rFonts w:ascii="Verdana" w:hAnsi="Verdana" w:cs="Times New Roman"/>
                <w:b/>
                <w:bCs/>
                <w:sz w:val="20"/>
                <w:szCs w:val="20"/>
                <w:lang w:val="en-US"/>
              </w:rPr>
              <w:t>Nunca</w:t>
            </w:r>
          </w:p>
        </w:tc>
        <w:tc>
          <w:tcPr>
            <w:tcW w:w="1416"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Pr>
          <w:p w14:paraId="4777F3DC" w14:textId="77777777" w:rsidR="00FB4F55" w:rsidRDefault="00021EC6" w:rsidP="00894281">
            <w:pPr>
              <w:spacing w:line="276" w:lineRule="auto"/>
              <w:jc w:val="center"/>
              <w:rPr>
                <w:rFonts w:ascii="Verdana" w:hAnsi="Verdana" w:cs="Times New Roman"/>
                <w:b/>
                <w:bCs/>
                <w:sz w:val="20"/>
                <w:szCs w:val="20"/>
                <w:lang w:val="en-US"/>
              </w:rPr>
            </w:pPr>
            <w:r>
              <w:rPr>
                <w:rFonts w:ascii="Verdana" w:hAnsi="Verdana" w:cs="Times New Roman"/>
                <w:b/>
                <w:bCs/>
                <w:sz w:val="20"/>
                <w:szCs w:val="20"/>
                <w:lang w:val="en-US"/>
              </w:rPr>
              <w:t>Porcentaje</w:t>
            </w:r>
          </w:p>
        </w:tc>
      </w:tr>
      <w:tr w:rsidR="00FB4F55" w14:paraId="62C1D42D" w14:textId="77777777" w:rsidTr="00712927">
        <w:trPr>
          <w:trHeight w:val="2013"/>
        </w:trPr>
        <w:tc>
          <w:tcPr>
            <w:tcW w:w="2177"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2DF5D31" w14:textId="77777777" w:rsidR="00FB4F55" w:rsidRDefault="00021EC6" w:rsidP="00894281">
            <w:pPr>
              <w:spacing w:line="276" w:lineRule="auto"/>
              <w:jc w:val="both"/>
              <w:rPr>
                <w:rFonts w:ascii="Verdana" w:hAnsi="Verdana" w:cs="Times New Roman"/>
                <w:sz w:val="20"/>
                <w:szCs w:val="20"/>
              </w:rPr>
            </w:pPr>
            <w:r>
              <w:rPr>
                <w:rFonts w:ascii="Verdana" w:hAnsi="Verdana" w:cs="Times New Roman"/>
                <w:sz w:val="20"/>
                <w:szCs w:val="20"/>
              </w:rPr>
              <w:t>¿La jornada laboral de 12 horas te imposibilita cumplir con las normas de bioseguridad?</w:t>
            </w:r>
          </w:p>
        </w:tc>
        <w:tc>
          <w:tcPr>
            <w:tcW w:w="1226"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0E070356" w14:textId="101796B7" w:rsidR="00FB4F55" w:rsidRDefault="00712927" w:rsidP="00894281">
            <w:pPr>
              <w:spacing w:line="276" w:lineRule="auto"/>
              <w:jc w:val="center"/>
              <w:rPr>
                <w:rFonts w:ascii="Verdana" w:hAnsi="Verdana"/>
                <w:sz w:val="20"/>
                <w:szCs w:val="20"/>
              </w:rPr>
            </w:pPr>
            <w:r>
              <w:rPr>
                <w:rFonts w:ascii="Verdana" w:hAnsi="Verdana"/>
                <w:sz w:val="20"/>
                <w:szCs w:val="20"/>
              </w:rPr>
              <w:t>79,6%</w:t>
            </w:r>
          </w:p>
        </w:tc>
        <w:tc>
          <w:tcPr>
            <w:tcW w:w="1275"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3E17A840" w14:textId="63F7CDCB" w:rsidR="00FB4F55" w:rsidRDefault="00021EC6" w:rsidP="00894281">
            <w:pPr>
              <w:spacing w:line="276" w:lineRule="auto"/>
              <w:jc w:val="center"/>
              <w:rPr>
                <w:rFonts w:ascii="Verdana" w:hAnsi="Verdana"/>
                <w:sz w:val="20"/>
                <w:szCs w:val="20"/>
              </w:rPr>
            </w:pPr>
            <w:r>
              <w:rPr>
                <w:rFonts w:ascii="Verdana" w:hAnsi="Verdana"/>
                <w:sz w:val="20"/>
                <w:szCs w:val="20"/>
              </w:rPr>
              <w:t>1</w:t>
            </w:r>
            <w:r w:rsidR="00712927">
              <w:rPr>
                <w:rFonts w:ascii="Verdana" w:hAnsi="Verdana"/>
                <w:sz w:val="20"/>
                <w:szCs w:val="20"/>
              </w:rPr>
              <w:t>2,5%</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2C9E66F5" w14:textId="4D691F78" w:rsidR="00FB4F55" w:rsidRDefault="00712927" w:rsidP="00894281">
            <w:pPr>
              <w:spacing w:line="276" w:lineRule="auto"/>
              <w:jc w:val="center"/>
              <w:rPr>
                <w:rFonts w:ascii="Verdana" w:hAnsi="Verdana"/>
                <w:sz w:val="20"/>
                <w:szCs w:val="20"/>
              </w:rPr>
            </w:pPr>
            <w:r>
              <w:rPr>
                <w:rFonts w:ascii="Verdana" w:hAnsi="Verdana"/>
                <w:sz w:val="20"/>
                <w:szCs w:val="20"/>
              </w:rPr>
              <w:t>7,89%</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53E09853" w14:textId="77777777" w:rsidR="00FB4F55" w:rsidRDefault="00FB4F55" w:rsidP="00894281">
            <w:pPr>
              <w:spacing w:line="276" w:lineRule="auto"/>
              <w:jc w:val="center"/>
              <w:rPr>
                <w:rFonts w:ascii="Verdana" w:hAnsi="Verdana"/>
                <w:sz w:val="20"/>
                <w:szCs w:val="20"/>
              </w:rPr>
            </w:pPr>
          </w:p>
        </w:tc>
        <w:tc>
          <w:tcPr>
            <w:tcW w:w="99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6A408164" w14:textId="77777777" w:rsidR="00FB4F55" w:rsidRDefault="00FB4F55" w:rsidP="00894281">
            <w:pPr>
              <w:spacing w:line="276" w:lineRule="auto"/>
              <w:rPr>
                <w:rFonts w:ascii="Verdana" w:hAnsi="Verdana"/>
                <w:sz w:val="20"/>
                <w:szCs w:val="20"/>
              </w:rPr>
            </w:pPr>
          </w:p>
        </w:tc>
        <w:tc>
          <w:tcPr>
            <w:tcW w:w="1416" w:type="dxa"/>
            <w:tcBorders>
              <w:top w:val="single" w:sz="12" w:space="0" w:color="595959"/>
              <w:left w:val="single" w:sz="12" w:space="0" w:color="595959"/>
              <w:bottom w:val="single" w:sz="12" w:space="0" w:color="595959"/>
              <w:right w:val="single" w:sz="12" w:space="0" w:color="595959"/>
            </w:tcBorders>
          </w:tcPr>
          <w:p w14:paraId="19BC6EE7" w14:textId="77777777" w:rsidR="00712927" w:rsidRDefault="00712927" w:rsidP="00712927">
            <w:pPr>
              <w:spacing w:line="276" w:lineRule="auto"/>
              <w:jc w:val="center"/>
              <w:rPr>
                <w:rFonts w:ascii="Verdana" w:hAnsi="Verdana"/>
                <w:sz w:val="20"/>
                <w:szCs w:val="20"/>
              </w:rPr>
            </w:pPr>
          </w:p>
          <w:p w14:paraId="2D38EFBA" w14:textId="77777777" w:rsidR="00712927" w:rsidRDefault="00712927" w:rsidP="00712927">
            <w:pPr>
              <w:spacing w:line="276" w:lineRule="auto"/>
              <w:jc w:val="center"/>
              <w:rPr>
                <w:rFonts w:ascii="Verdana" w:hAnsi="Verdana"/>
                <w:sz w:val="20"/>
                <w:szCs w:val="20"/>
              </w:rPr>
            </w:pPr>
          </w:p>
          <w:p w14:paraId="47B0BFFB" w14:textId="2B3862F4" w:rsidR="00FB4F55" w:rsidRDefault="00712927" w:rsidP="00712927">
            <w:pPr>
              <w:spacing w:line="276" w:lineRule="auto"/>
              <w:jc w:val="center"/>
              <w:rPr>
                <w:rFonts w:ascii="Verdana" w:hAnsi="Verdana"/>
                <w:sz w:val="20"/>
                <w:szCs w:val="20"/>
              </w:rPr>
            </w:pPr>
            <w:r>
              <w:rPr>
                <w:rFonts w:ascii="Verdana" w:hAnsi="Verdana"/>
                <w:sz w:val="20"/>
                <w:szCs w:val="20"/>
              </w:rPr>
              <w:t>100%</w:t>
            </w:r>
          </w:p>
        </w:tc>
      </w:tr>
      <w:tr w:rsidR="00FB4F55" w14:paraId="33B1EDF8" w14:textId="77777777">
        <w:trPr>
          <w:trHeight w:val="255"/>
        </w:trPr>
        <w:tc>
          <w:tcPr>
            <w:tcW w:w="2177"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0F5B3F0" w14:textId="77777777" w:rsidR="00FB4F55" w:rsidRDefault="00021EC6" w:rsidP="00894281">
            <w:pPr>
              <w:spacing w:line="276" w:lineRule="auto"/>
              <w:jc w:val="both"/>
              <w:rPr>
                <w:rFonts w:ascii="Verdana" w:hAnsi="Verdana" w:cs="Times New Roman"/>
                <w:sz w:val="20"/>
                <w:szCs w:val="20"/>
              </w:rPr>
            </w:pPr>
            <w:r>
              <w:rPr>
                <w:rFonts w:ascii="Verdana" w:hAnsi="Verdana" w:cs="Times New Roman"/>
                <w:sz w:val="20"/>
                <w:szCs w:val="20"/>
              </w:rPr>
              <w:t>¿El estrés laboral te imposibilita cumplir con las normas de bioseguridad?</w:t>
            </w:r>
          </w:p>
        </w:tc>
        <w:tc>
          <w:tcPr>
            <w:tcW w:w="1226"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2D04E61D" w14:textId="506E2897" w:rsidR="00FB4F55" w:rsidRDefault="00712927" w:rsidP="00894281">
            <w:pPr>
              <w:spacing w:line="276" w:lineRule="auto"/>
              <w:jc w:val="center"/>
              <w:rPr>
                <w:rFonts w:ascii="Verdana" w:hAnsi="Verdana"/>
                <w:sz w:val="20"/>
                <w:szCs w:val="20"/>
                <w:lang w:val="es-MX"/>
              </w:rPr>
            </w:pPr>
            <w:r>
              <w:rPr>
                <w:rFonts w:ascii="Verdana" w:hAnsi="Verdana"/>
                <w:sz w:val="20"/>
                <w:szCs w:val="20"/>
                <w:lang w:val="es-MX"/>
              </w:rPr>
              <w:t>90,79%</w:t>
            </w:r>
          </w:p>
        </w:tc>
        <w:tc>
          <w:tcPr>
            <w:tcW w:w="1275"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2FFCBDE7" w14:textId="68C6E391" w:rsidR="00FB4F55" w:rsidRDefault="00712927" w:rsidP="00894281">
            <w:pPr>
              <w:spacing w:line="276" w:lineRule="auto"/>
              <w:jc w:val="center"/>
              <w:rPr>
                <w:rFonts w:ascii="Verdana" w:hAnsi="Verdana"/>
                <w:sz w:val="20"/>
                <w:szCs w:val="20"/>
                <w:lang w:val="es-MX"/>
              </w:rPr>
            </w:pPr>
            <w:r>
              <w:rPr>
                <w:rFonts w:ascii="Verdana" w:hAnsi="Verdana"/>
                <w:sz w:val="20"/>
                <w:szCs w:val="20"/>
                <w:lang w:val="es-MX"/>
              </w:rPr>
              <w:t>3,29%</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0E0E18D1" w14:textId="39F976CC" w:rsidR="00FB4F55" w:rsidRDefault="00712927" w:rsidP="00894281">
            <w:pPr>
              <w:spacing w:line="276" w:lineRule="auto"/>
              <w:jc w:val="center"/>
              <w:rPr>
                <w:rFonts w:ascii="Verdana" w:hAnsi="Verdana"/>
                <w:sz w:val="20"/>
                <w:szCs w:val="20"/>
                <w:lang w:val="es-MX"/>
              </w:rPr>
            </w:pPr>
            <w:r>
              <w:rPr>
                <w:rFonts w:ascii="Verdana" w:hAnsi="Verdana"/>
                <w:sz w:val="20"/>
                <w:szCs w:val="20"/>
                <w:lang w:val="es-MX"/>
              </w:rPr>
              <w:t>1,32%</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DDAD1DB" w14:textId="09C6BE6A" w:rsidR="00FB4F55" w:rsidRDefault="00712927" w:rsidP="00894281">
            <w:pPr>
              <w:spacing w:line="276" w:lineRule="auto"/>
              <w:jc w:val="center"/>
              <w:rPr>
                <w:rFonts w:ascii="Verdana" w:hAnsi="Verdana"/>
                <w:sz w:val="20"/>
                <w:szCs w:val="20"/>
                <w:lang w:val="es-MX"/>
              </w:rPr>
            </w:pPr>
            <w:r>
              <w:rPr>
                <w:rFonts w:ascii="Verdana" w:hAnsi="Verdana"/>
                <w:sz w:val="20"/>
                <w:szCs w:val="20"/>
                <w:lang w:val="es-MX"/>
              </w:rPr>
              <w:t>4,61%</w:t>
            </w:r>
          </w:p>
        </w:tc>
        <w:tc>
          <w:tcPr>
            <w:tcW w:w="99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5EB1A6C8" w14:textId="77777777" w:rsidR="00FB4F55" w:rsidRDefault="00FB4F55" w:rsidP="00894281">
            <w:pPr>
              <w:spacing w:line="276" w:lineRule="auto"/>
              <w:rPr>
                <w:rFonts w:ascii="Verdana" w:hAnsi="Verdana"/>
                <w:sz w:val="20"/>
                <w:szCs w:val="20"/>
                <w:lang w:val="es-MX"/>
              </w:rPr>
            </w:pPr>
          </w:p>
        </w:tc>
        <w:tc>
          <w:tcPr>
            <w:tcW w:w="1416" w:type="dxa"/>
            <w:tcBorders>
              <w:top w:val="single" w:sz="12" w:space="0" w:color="595959"/>
              <w:left w:val="single" w:sz="12" w:space="0" w:color="595959"/>
              <w:bottom w:val="single" w:sz="12" w:space="0" w:color="595959"/>
              <w:right w:val="single" w:sz="12" w:space="0" w:color="595959"/>
            </w:tcBorders>
          </w:tcPr>
          <w:p w14:paraId="50BDC4A0" w14:textId="77777777" w:rsidR="00712927" w:rsidRDefault="00712927" w:rsidP="00712927">
            <w:pPr>
              <w:spacing w:line="276" w:lineRule="auto"/>
              <w:jc w:val="center"/>
              <w:rPr>
                <w:rFonts w:ascii="Verdana" w:hAnsi="Verdana"/>
                <w:sz w:val="20"/>
                <w:szCs w:val="20"/>
                <w:lang w:val="es-MX"/>
              </w:rPr>
            </w:pPr>
          </w:p>
          <w:p w14:paraId="605839E5" w14:textId="7107BBD5" w:rsidR="00FB4F55" w:rsidRDefault="00712927" w:rsidP="00712927">
            <w:pPr>
              <w:spacing w:line="276" w:lineRule="auto"/>
              <w:jc w:val="center"/>
              <w:rPr>
                <w:rFonts w:ascii="Verdana" w:hAnsi="Verdana"/>
                <w:sz w:val="20"/>
                <w:szCs w:val="20"/>
                <w:lang w:val="es-MX"/>
              </w:rPr>
            </w:pPr>
            <w:r>
              <w:rPr>
                <w:rFonts w:ascii="Verdana" w:hAnsi="Verdana"/>
                <w:sz w:val="20"/>
                <w:szCs w:val="20"/>
                <w:lang w:val="es-MX"/>
              </w:rPr>
              <w:t>100%</w:t>
            </w:r>
          </w:p>
        </w:tc>
      </w:tr>
      <w:tr w:rsidR="00FB4F55" w14:paraId="14366001" w14:textId="77777777" w:rsidTr="00712927">
        <w:trPr>
          <w:trHeight w:val="1110"/>
        </w:trPr>
        <w:tc>
          <w:tcPr>
            <w:tcW w:w="2177"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C030C86" w14:textId="77777777" w:rsidR="00FB4F55" w:rsidRDefault="00021EC6" w:rsidP="00894281">
            <w:pPr>
              <w:spacing w:line="276" w:lineRule="auto"/>
              <w:jc w:val="both"/>
              <w:rPr>
                <w:rFonts w:ascii="Verdana" w:hAnsi="Verdana" w:cs="Times New Roman"/>
                <w:sz w:val="20"/>
                <w:szCs w:val="20"/>
              </w:rPr>
            </w:pPr>
            <w:r>
              <w:rPr>
                <w:rFonts w:ascii="Verdana" w:hAnsi="Verdana" w:cs="Times New Roman"/>
                <w:sz w:val="20"/>
                <w:szCs w:val="20"/>
              </w:rPr>
              <w:t>¿La falta te imposibilita cumplir con las normas de bioseguridad?</w:t>
            </w:r>
          </w:p>
        </w:tc>
        <w:tc>
          <w:tcPr>
            <w:tcW w:w="1226"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2C044AD2" w14:textId="10BEB51C" w:rsidR="00FB4F55" w:rsidRDefault="00712927" w:rsidP="00894281">
            <w:pPr>
              <w:spacing w:line="276" w:lineRule="auto"/>
              <w:jc w:val="center"/>
              <w:rPr>
                <w:rFonts w:ascii="Verdana" w:hAnsi="Verdana"/>
                <w:sz w:val="20"/>
                <w:szCs w:val="20"/>
                <w:lang w:val="es-MX"/>
              </w:rPr>
            </w:pPr>
            <w:r>
              <w:rPr>
                <w:rFonts w:ascii="Verdana" w:hAnsi="Verdana"/>
                <w:sz w:val="20"/>
                <w:szCs w:val="20"/>
                <w:lang w:val="es-MX"/>
              </w:rPr>
              <w:t>38,94%</w:t>
            </w:r>
          </w:p>
        </w:tc>
        <w:tc>
          <w:tcPr>
            <w:tcW w:w="1275"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3BB72179" w14:textId="7121752A" w:rsidR="00FB4F55" w:rsidRDefault="00712927" w:rsidP="00894281">
            <w:pPr>
              <w:spacing w:line="276" w:lineRule="auto"/>
              <w:jc w:val="center"/>
              <w:rPr>
                <w:rFonts w:ascii="Verdana" w:hAnsi="Verdana"/>
                <w:sz w:val="20"/>
                <w:szCs w:val="20"/>
                <w:lang w:val="es-MX"/>
              </w:rPr>
            </w:pPr>
            <w:r>
              <w:rPr>
                <w:rFonts w:ascii="Verdana" w:hAnsi="Verdana"/>
                <w:sz w:val="20"/>
                <w:szCs w:val="20"/>
                <w:lang w:val="es-MX"/>
              </w:rPr>
              <w:t>19,74%</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7B8BE7DC" w14:textId="01B45C8E" w:rsidR="00FB4F55" w:rsidRDefault="00712927" w:rsidP="00894281">
            <w:pPr>
              <w:spacing w:line="276" w:lineRule="auto"/>
              <w:jc w:val="center"/>
              <w:rPr>
                <w:rFonts w:ascii="Verdana" w:hAnsi="Verdana"/>
                <w:sz w:val="20"/>
                <w:szCs w:val="20"/>
                <w:lang w:val="es-MX"/>
              </w:rPr>
            </w:pPr>
            <w:r>
              <w:rPr>
                <w:rFonts w:ascii="Verdana" w:hAnsi="Verdana"/>
                <w:sz w:val="20"/>
                <w:szCs w:val="20"/>
                <w:lang w:val="es-MX"/>
              </w:rPr>
              <w:t>17,76%</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14AD902" w14:textId="73708521" w:rsidR="00FB4F55" w:rsidRDefault="00712927" w:rsidP="00712927">
            <w:pPr>
              <w:spacing w:line="276" w:lineRule="auto"/>
              <w:rPr>
                <w:rFonts w:ascii="Verdana" w:hAnsi="Verdana"/>
                <w:sz w:val="20"/>
                <w:szCs w:val="20"/>
                <w:lang w:val="es-MX"/>
              </w:rPr>
            </w:pPr>
            <w:r>
              <w:rPr>
                <w:rFonts w:ascii="Verdana" w:hAnsi="Verdana"/>
                <w:sz w:val="20"/>
                <w:szCs w:val="20"/>
                <w:lang w:val="es-MX"/>
              </w:rPr>
              <w:t>23,68%</w:t>
            </w:r>
          </w:p>
        </w:tc>
        <w:tc>
          <w:tcPr>
            <w:tcW w:w="99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6F7405C1" w14:textId="77777777" w:rsidR="00FB4F55" w:rsidRDefault="00FB4F55" w:rsidP="00894281">
            <w:pPr>
              <w:spacing w:line="276" w:lineRule="auto"/>
              <w:rPr>
                <w:rFonts w:ascii="Verdana" w:hAnsi="Verdana"/>
                <w:sz w:val="20"/>
                <w:szCs w:val="20"/>
                <w:lang w:val="es-MX"/>
              </w:rPr>
            </w:pPr>
          </w:p>
        </w:tc>
        <w:tc>
          <w:tcPr>
            <w:tcW w:w="1416" w:type="dxa"/>
            <w:tcBorders>
              <w:top w:val="single" w:sz="12" w:space="0" w:color="595959"/>
              <w:left w:val="single" w:sz="12" w:space="0" w:color="595959"/>
              <w:bottom w:val="single" w:sz="12" w:space="0" w:color="595959"/>
              <w:right w:val="single" w:sz="12" w:space="0" w:color="595959"/>
            </w:tcBorders>
          </w:tcPr>
          <w:p w14:paraId="44FBEB95" w14:textId="77777777" w:rsidR="00FB4F55" w:rsidRDefault="00FB4F55" w:rsidP="00712927">
            <w:pPr>
              <w:spacing w:line="276" w:lineRule="auto"/>
              <w:jc w:val="center"/>
              <w:rPr>
                <w:rFonts w:ascii="Verdana" w:hAnsi="Verdana"/>
                <w:sz w:val="20"/>
                <w:szCs w:val="20"/>
                <w:lang w:val="es-MX"/>
              </w:rPr>
            </w:pPr>
          </w:p>
          <w:p w14:paraId="510DA9C2" w14:textId="6E7E7D37" w:rsidR="00712927" w:rsidRDefault="00712927" w:rsidP="00712927">
            <w:pPr>
              <w:spacing w:line="276" w:lineRule="auto"/>
              <w:jc w:val="center"/>
              <w:rPr>
                <w:rFonts w:ascii="Verdana" w:hAnsi="Verdana"/>
                <w:sz w:val="20"/>
                <w:szCs w:val="20"/>
                <w:lang w:val="es-MX"/>
              </w:rPr>
            </w:pPr>
            <w:r>
              <w:rPr>
                <w:rFonts w:ascii="Verdana" w:hAnsi="Verdana"/>
                <w:sz w:val="20"/>
                <w:szCs w:val="20"/>
                <w:lang w:val="es-MX"/>
              </w:rPr>
              <w:t>100%</w:t>
            </w:r>
          </w:p>
        </w:tc>
      </w:tr>
    </w:tbl>
    <w:p w14:paraId="4CE638FD" w14:textId="77777777" w:rsidR="00712927" w:rsidRDefault="00712927">
      <w:pPr>
        <w:spacing w:line="240" w:lineRule="auto"/>
        <w:jc w:val="both"/>
        <w:rPr>
          <w:rFonts w:ascii="Verdana" w:hAnsi="Verdana"/>
          <w:b/>
          <w:bCs/>
          <w:sz w:val="20"/>
          <w:szCs w:val="20"/>
        </w:rPr>
      </w:pPr>
    </w:p>
    <w:p w14:paraId="5348AAE2" w14:textId="77777777" w:rsidR="002C4F0C" w:rsidRDefault="002C4F0C">
      <w:pPr>
        <w:spacing w:line="240" w:lineRule="auto"/>
        <w:jc w:val="both"/>
        <w:rPr>
          <w:rFonts w:ascii="Verdana" w:hAnsi="Verdana"/>
          <w:b/>
          <w:bCs/>
          <w:sz w:val="20"/>
          <w:szCs w:val="20"/>
        </w:rPr>
      </w:pPr>
    </w:p>
    <w:p w14:paraId="49280CA1" w14:textId="77777777" w:rsidR="002C4F0C" w:rsidRDefault="002C4F0C">
      <w:pPr>
        <w:spacing w:line="240" w:lineRule="auto"/>
        <w:jc w:val="both"/>
        <w:rPr>
          <w:rFonts w:ascii="Verdana" w:hAnsi="Verdana"/>
          <w:b/>
          <w:bCs/>
          <w:sz w:val="20"/>
          <w:szCs w:val="20"/>
        </w:rPr>
      </w:pPr>
    </w:p>
    <w:p w14:paraId="69C68820" w14:textId="77777777" w:rsidR="002C4F0C" w:rsidRDefault="002C4F0C">
      <w:pPr>
        <w:spacing w:line="240" w:lineRule="auto"/>
        <w:jc w:val="both"/>
        <w:rPr>
          <w:rFonts w:ascii="Verdana" w:hAnsi="Verdana"/>
          <w:b/>
          <w:bCs/>
          <w:sz w:val="20"/>
          <w:szCs w:val="20"/>
        </w:rPr>
      </w:pPr>
    </w:p>
    <w:p w14:paraId="29C0D833" w14:textId="77777777" w:rsidR="002C4F0C" w:rsidRDefault="002C4F0C">
      <w:pPr>
        <w:spacing w:line="240" w:lineRule="auto"/>
        <w:jc w:val="both"/>
        <w:rPr>
          <w:rFonts w:ascii="Verdana" w:hAnsi="Verdana"/>
          <w:b/>
          <w:bCs/>
          <w:sz w:val="20"/>
          <w:szCs w:val="20"/>
        </w:rPr>
      </w:pPr>
    </w:p>
    <w:p w14:paraId="4C30B38F" w14:textId="77777777" w:rsidR="002C4F0C" w:rsidRDefault="002C4F0C">
      <w:pPr>
        <w:spacing w:line="240" w:lineRule="auto"/>
        <w:jc w:val="both"/>
        <w:rPr>
          <w:rFonts w:ascii="Verdana" w:hAnsi="Verdana"/>
          <w:b/>
          <w:bCs/>
          <w:sz w:val="20"/>
          <w:szCs w:val="20"/>
        </w:rPr>
      </w:pPr>
    </w:p>
    <w:p w14:paraId="626C7775" w14:textId="77777777" w:rsidR="002C4F0C" w:rsidRDefault="002C4F0C">
      <w:pPr>
        <w:spacing w:line="240" w:lineRule="auto"/>
        <w:jc w:val="both"/>
        <w:rPr>
          <w:rFonts w:ascii="Verdana" w:hAnsi="Verdana"/>
          <w:b/>
          <w:bCs/>
          <w:sz w:val="20"/>
          <w:szCs w:val="20"/>
        </w:rPr>
      </w:pPr>
    </w:p>
    <w:p w14:paraId="1BFBE769" w14:textId="77777777" w:rsidR="002C4F0C" w:rsidRDefault="002C4F0C">
      <w:pPr>
        <w:spacing w:line="240" w:lineRule="auto"/>
        <w:jc w:val="both"/>
        <w:rPr>
          <w:rFonts w:ascii="Verdana" w:hAnsi="Verdana"/>
          <w:b/>
          <w:bCs/>
          <w:sz w:val="20"/>
          <w:szCs w:val="20"/>
        </w:rPr>
      </w:pPr>
    </w:p>
    <w:p w14:paraId="0C9DAD60" w14:textId="77777777" w:rsidR="002C4F0C" w:rsidRDefault="002C4F0C">
      <w:pPr>
        <w:spacing w:line="240" w:lineRule="auto"/>
        <w:jc w:val="both"/>
        <w:rPr>
          <w:rFonts w:ascii="Verdana" w:hAnsi="Verdana"/>
          <w:b/>
          <w:bCs/>
          <w:sz w:val="20"/>
          <w:szCs w:val="20"/>
        </w:rPr>
      </w:pPr>
    </w:p>
    <w:p w14:paraId="5B063506" w14:textId="77777777" w:rsidR="002C4F0C" w:rsidRDefault="002C4F0C">
      <w:pPr>
        <w:spacing w:line="240" w:lineRule="auto"/>
        <w:jc w:val="both"/>
        <w:rPr>
          <w:rFonts w:ascii="Verdana" w:hAnsi="Verdana"/>
          <w:b/>
          <w:bCs/>
          <w:sz w:val="20"/>
          <w:szCs w:val="20"/>
        </w:rPr>
      </w:pPr>
    </w:p>
    <w:p w14:paraId="25BA8585" w14:textId="77777777" w:rsidR="00712927" w:rsidRDefault="00712927">
      <w:pPr>
        <w:spacing w:line="240" w:lineRule="auto"/>
        <w:jc w:val="both"/>
        <w:rPr>
          <w:rFonts w:ascii="Verdana" w:hAnsi="Verdana"/>
          <w:b/>
          <w:bCs/>
          <w:sz w:val="20"/>
          <w:szCs w:val="20"/>
        </w:rPr>
      </w:pPr>
    </w:p>
    <w:p w14:paraId="7CDB450A" w14:textId="5DEAF7C5" w:rsidR="00FB4F55" w:rsidRDefault="00021EC6">
      <w:pPr>
        <w:spacing w:line="240" w:lineRule="auto"/>
        <w:jc w:val="both"/>
        <w:rPr>
          <w:rFonts w:ascii="Verdana" w:eastAsia="Times New Roman" w:hAnsi="Verdana" w:cs="Calibri"/>
          <w:color w:val="212121"/>
          <w:sz w:val="20"/>
          <w:szCs w:val="20"/>
          <w:lang w:eastAsia="es-ES"/>
          <w14:ligatures w14:val="none"/>
        </w:rPr>
      </w:pPr>
      <w:r>
        <w:rPr>
          <w:rFonts w:ascii="Verdana" w:hAnsi="Verdana"/>
          <w:b/>
          <w:bCs/>
          <w:sz w:val="20"/>
          <w:szCs w:val="20"/>
        </w:rPr>
        <w:t xml:space="preserve">Tabla </w:t>
      </w:r>
      <w:r w:rsidR="00712927">
        <w:rPr>
          <w:rFonts w:ascii="Verdana" w:hAnsi="Verdana"/>
          <w:b/>
          <w:bCs/>
          <w:sz w:val="20"/>
          <w:szCs w:val="20"/>
        </w:rPr>
        <w:t>2</w:t>
      </w:r>
      <w:r>
        <w:rPr>
          <w:rFonts w:ascii="Verdana" w:hAnsi="Verdana"/>
          <w:b/>
          <w:bCs/>
          <w:sz w:val="20"/>
          <w:szCs w:val="20"/>
        </w:rPr>
        <w:t>. Incumplimiento de normas de Bioseguridad en el Hospital Básico El Triunfo, respecto al uso de guantes.</w:t>
      </w:r>
    </w:p>
    <w:tbl>
      <w:tblPr>
        <w:tblW w:w="9356" w:type="dxa"/>
        <w:tblInd w:w="-157" w:type="dxa"/>
        <w:tblCellMar>
          <w:left w:w="0" w:type="dxa"/>
          <w:right w:w="0" w:type="dxa"/>
        </w:tblCellMar>
        <w:tblLook w:val="0600" w:firstRow="0" w:lastRow="0" w:firstColumn="0" w:lastColumn="0" w:noHBand="1" w:noVBand="1"/>
      </w:tblPr>
      <w:tblGrid>
        <w:gridCol w:w="2127"/>
        <w:gridCol w:w="1276"/>
        <w:gridCol w:w="1275"/>
        <w:gridCol w:w="1134"/>
        <w:gridCol w:w="1134"/>
        <w:gridCol w:w="994"/>
        <w:gridCol w:w="1416"/>
      </w:tblGrid>
      <w:tr w:rsidR="00FB4F55" w14:paraId="79292D26" w14:textId="77777777">
        <w:trPr>
          <w:trHeight w:val="252"/>
        </w:trPr>
        <w:tc>
          <w:tcPr>
            <w:tcW w:w="9356" w:type="dxa"/>
            <w:gridSpan w:val="7"/>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02F481EE" w14:textId="77777777" w:rsidR="00FB4F55" w:rsidRDefault="00021EC6">
            <w:pPr>
              <w:spacing w:line="240" w:lineRule="auto"/>
              <w:jc w:val="center"/>
              <w:rPr>
                <w:rFonts w:ascii="Verdana" w:hAnsi="Verdana" w:cs="Times New Roman"/>
                <w:b/>
                <w:bCs/>
                <w:sz w:val="20"/>
                <w:szCs w:val="20"/>
                <w:lang w:val="en-US"/>
              </w:rPr>
            </w:pPr>
            <w:r>
              <w:rPr>
                <w:rFonts w:ascii="Verdana" w:hAnsi="Verdana" w:cs="Times New Roman"/>
                <w:b/>
                <w:bCs/>
                <w:sz w:val="20"/>
                <w:szCs w:val="20"/>
                <w:lang w:val="en-US"/>
              </w:rPr>
              <w:t xml:space="preserve">USO DE GUANTES </w:t>
            </w:r>
          </w:p>
        </w:tc>
      </w:tr>
      <w:tr w:rsidR="00FB4F55" w14:paraId="0A555A23" w14:textId="77777777">
        <w:trPr>
          <w:trHeight w:val="298"/>
        </w:trPr>
        <w:tc>
          <w:tcPr>
            <w:tcW w:w="2127"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3BB5F2A9" w14:textId="77777777" w:rsidR="00FB4F55" w:rsidRDefault="00021EC6">
            <w:pPr>
              <w:spacing w:line="240" w:lineRule="auto"/>
              <w:jc w:val="center"/>
              <w:rPr>
                <w:rFonts w:ascii="Verdana" w:hAnsi="Verdana" w:cs="Times New Roman"/>
                <w:b/>
                <w:bCs/>
                <w:sz w:val="20"/>
                <w:szCs w:val="20"/>
              </w:rPr>
            </w:pPr>
            <w:r>
              <w:rPr>
                <w:rFonts w:ascii="Verdana" w:hAnsi="Verdana" w:cs="Times New Roman"/>
                <w:b/>
                <w:bCs/>
                <w:sz w:val="20"/>
                <w:szCs w:val="20"/>
                <w:lang w:val="en-US"/>
              </w:rPr>
              <w:t>Pregunta</w:t>
            </w:r>
          </w:p>
        </w:tc>
        <w:tc>
          <w:tcPr>
            <w:tcW w:w="1276"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4E2AFE82" w14:textId="77777777" w:rsidR="00FB4F55" w:rsidRDefault="00021EC6">
            <w:pPr>
              <w:spacing w:line="240" w:lineRule="auto"/>
              <w:jc w:val="center"/>
              <w:rPr>
                <w:rFonts w:ascii="Verdana" w:hAnsi="Verdana" w:cs="Times New Roman"/>
                <w:b/>
                <w:bCs/>
                <w:sz w:val="20"/>
                <w:szCs w:val="20"/>
              </w:rPr>
            </w:pPr>
            <w:r>
              <w:rPr>
                <w:rFonts w:ascii="Verdana" w:hAnsi="Verdana" w:cs="Times New Roman"/>
                <w:b/>
                <w:bCs/>
                <w:sz w:val="20"/>
                <w:szCs w:val="20"/>
                <w:lang w:val="en-US"/>
              </w:rPr>
              <w:t>Siempre</w:t>
            </w:r>
          </w:p>
        </w:tc>
        <w:tc>
          <w:tcPr>
            <w:tcW w:w="1275"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62729525" w14:textId="77777777" w:rsidR="00FB4F55" w:rsidRDefault="00021EC6">
            <w:pPr>
              <w:spacing w:line="240" w:lineRule="auto"/>
              <w:jc w:val="center"/>
              <w:rPr>
                <w:rFonts w:ascii="Verdana" w:hAnsi="Verdana" w:cs="Times New Roman"/>
                <w:b/>
                <w:bCs/>
                <w:sz w:val="20"/>
                <w:szCs w:val="20"/>
              </w:rPr>
            </w:pPr>
            <w:r>
              <w:rPr>
                <w:rFonts w:ascii="Verdana" w:hAnsi="Verdana" w:cs="Times New Roman"/>
                <w:b/>
                <w:bCs/>
                <w:sz w:val="20"/>
                <w:szCs w:val="20"/>
                <w:lang w:val="en-US"/>
              </w:rPr>
              <w:t>Casi siempre</w:t>
            </w:r>
          </w:p>
        </w:tc>
        <w:tc>
          <w:tcPr>
            <w:tcW w:w="1134"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60D09710" w14:textId="77777777" w:rsidR="00FB4F55" w:rsidRDefault="00021EC6">
            <w:pPr>
              <w:spacing w:line="240" w:lineRule="auto"/>
              <w:jc w:val="center"/>
              <w:rPr>
                <w:rFonts w:ascii="Verdana" w:hAnsi="Verdana" w:cs="Times New Roman"/>
                <w:b/>
                <w:bCs/>
                <w:sz w:val="20"/>
                <w:szCs w:val="20"/>
              </w:rPr>
            </w:pPr>
            <w:r>
              <w:rPr>
                <w:rFonts w:ascii="Verdana" w:hAnsi="Verdana" w:cs="Times New Roman"/>
                <w:b/>
                <w:bCs/>
                <w:sz w:val="20"/>
                <w:szCs w:val="20"/>
                <w:lang w:val="en-US"/>
              </w:rPr>
              <w:t>Rara Vez</w:t>
            </w:r>
          </w:p>
        </w:tc>
        <w:tc>
          <w:tcPr>
            <w:tcW w:w="1134"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3D402CDC" w14:textId="77777777" w:rsidR="00FB4F55" w:rsidRDefault="00021EC6">
            <w:pPr>
              <w:spacing w:line="240" w:lineRule="auto"/>
              <w:jc w:val="center"/>
              <w:rPr>
                <w:rFonts w:ascii="Verdana" w:hAnsi="Verdana" w:cs="Times New Roman"/>
                <w:b/>
                <w:bCs/>
                <w:sz w:val="20"/>
                <w:szCs w:val="20"/>
              </w:rPr>
            </w:pPr>
            <w:r>
              <w:rPr>
                <w:rFonts w:ascii="Verdana" w:hAnsi="Verdana" w:cs="Times New Roman"/>
                <w:b/>
                <w:bCs/>
                <w:sz w:val="20"/>
                <w:szCs w:val="20"/>
                <w:lang w:val="en-US"/>
              </w:rPr>
              <w:t>Casi Nunca</w:t>
            </w:r>
          </w:p>
        </w:tc>
        <w:tc>
          <w:tcPr>
            <w:tcW w:w="994"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6205CAE9" w14:textId="77777777" w:rsidR="00FB4F55" w:rsidRDefault="00021EC6">
            <w:pPr>
              <w:spacing w:line="240" w:lineRule="auto"/>
              <w:jc w:val="center"/>
              <w:rPr>
                <w:rFonts w:ascii="Verdana" w:hAnsi="Verdana" w:cs="Times New Roman"/>
                <w:b/>
                <w:bCs/>
                <w:sz w:val="20"/>
                <w:szCs w:val="20"/>
              </w:rPr>
            </w:pPr>
            <w:r>
              <w:rPr>
                <w:rFonts w:ascii="Verdana" w:hAnsi="Verdana" w:cs="Times New Roman"/>
                <w:b/>
                <w:bCs/>
                <w:sz w:val="20"/>
                <w:szCs w:val="20"/>
                <w:lang w:val="en-US"/>
              </w:rPr>
              <w:t>Nunca</w:t>
            </w:r>
          </w:p>
        </w:tc>
        <w:tc>
          <w:tcPr>
            <w:tcW w:w="1416"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Pr>
          <w:p w14:paraId="1346486E" w14:textId="77777777" w:rsidR="00FB4F55" w:rsidRDefault="00021EC6">
            <w:pPr>
              <w:spacing w:line="240" w:lineRule="auto"/>
              <w:jc w:val="center"/>
              <w:rPr>
                <w:rFonts w:ascii="Verdana" w:hAnsi="Verdana" w:cs="Times New Roman"/>
                <w:b/>
                <w:bCs/>
                <w:sz w:val="20"/>
                <w:szCs w:val="20"/>
                <w:lang w:val="en-US"/>
              </w:rPr>
            </w:pPr>
            <w:r>
              <w:rPr>
                <w:rFonts w:ascii="Verdana" w:hAnsi="Verdana" w:cs="Times New Roman"/>
                <w:b/>
                <w:bCs/>
                <w:sz w:val="20"/>
                <w:szCs w:val="20"/>
                <w:lang w:val="en-US"/>
              </w:rPr>
              <w:t>Porcentaje</w:t>
            </w:r>
          </w:p>
        </w:tc>
      </w:tr>
      <w:tr w:rsidR="00FB4F55" w14:paraId="44104CAE" w14:textId="77777777">
        <w:trPr>
          <w:trHeight w:val="982"/>
        </w:trPr>
        <w:tc>
          <w:tcPr>
            <w:tcW w:w="2127"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076FB0B5" w14:textId="77777777" w:rsidR="00FB4F55" w:rsidRDefault="00021EC6">
            <w:pPr>
              <w:spacing w:line="240" w:lineRule="auto"/>
              <w:jc w:val="both"/>
              <w:rPr>
                <w:rFonts w:ascii="Verdana" w:hAnsi="Verdana" w:cs="Times New Roman"/>
                <w:sz w:val="20"/>
                <w:szCs w:val="20"/>
              </w:rPr>
            </w:pPr>
            <w:r>
              <w:rPr>
                <w:rFonts w:ascii="Verdana" w:hAnsi="Verdana" w:cs="Times New Roman"/>
                <w:sz w:val="20"/>
                <w:szCs w:val="20"/>
              </w:rPr>
              <w:t>¿Conoce el uso de guante para el área quirúrgica?</w:t>
            </w:r>
          </w:p>
        </w:tc>
        <w:tc>
          <w:tcPr>
            <w:tcW w:w="1276"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62DAC7E0" w14:textId="07C79AB5" w:rsidR="00FB4F55" w:rsidRDefault="00712927">
            <w:pPr>
              <w:spacing w:line="240" w:lineRule="auto"/>
              <w:jc w:val="center"/>
              <w:rPr>
                <w:rFonts w:ascii="Verdana" w:hAnsi="Verdana"/>
                <w:sz w:val="20"/>
                <w:szCs w:val="20"/>
              </w:rPr>
            </w:pPr>
            <w:r>
              <w:rPr>
                <w:rFonts w:ascii="Verdana" w:hAnsi="Verdana"/>
                <w:sz w:val="20"/>
                <w:szCs w:val="20"/>
              </w:rPr>
              <w:t>84,87%</w:t>
            </w:r>
          </w:p>
        </w:tc>
        <w:tc>
          <w:tcPr>
            <w:tcW w:w="1275"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7E32B815" w14:textId="480D948F" w:rsidR="00FB4F55" w:rsidRDefault="00712927">
            <w:pPr>
              <w:spacing w:line="240" w:lineRule="auto"/>
              <w:jc w:val="center"/>
              <w:rPr>
                <w:rFonts w:ascii="Verdana" w:hAnsi="Verdana"/>
                <w:sz w:val="20"/>
                <w:szCs w:val="20"/>
              </w:rPr>
            </w:pPr>
            <w:r>
              <w:rPr>
                <w:rFonts w:ascii="Verdana" w:hAnsi="Verdana"/>
                <w:sz w:val="20"/>
                <w:szCs w:val="20"/>
              </w:rPr>
              <w:t>14,47%</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7ACD0A6A" w14:textId="1A55355A" w:rsidR="00FB4F55" w:rsidRDefault="00712927">
            <w:pPr>
              <w:spacing w:line="240" w:lineRule="auto"/>
              <w:jc w:val="center"/>
              <w:rPr>
                <w:rFonts w:ascii="Verdana" w:hAnsi="Verdana"/>
                <w:sz w:val="20"/>
                <w:szCs w:val="20"/>
              </w:rPr>
            </w:pPr>
            <w:r>
              <w:rPr>
                <w:rFonts w:ascii="Verdana" w:hAnsi="Verdana"/>
                <w:sz w:val="20"/>
                <w:szCs w:val="20"/>
              </w:rPr>
              <w:t>0,66%</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27159067" w14:textId="77777777" w:rsidR="00FB4F55" w:rsidRDefault="00FB4F55">
            <w:pPr>
              <w:spacing w:line="240" w:lineRule="auto"/>
              <w:rPr>
                <w:rFonts w:ascii="Verdana" w:hAnsi="Verdana"/>
                <w:sz w:val="20"/>
                <w:szCs w:val="20"/>
              </w:rPr>
            </w:pPr>
          </w:p>
        </w:tc>
        <w:tc>
          <w:tcPr>
            <w:tcW w:w="99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015177B1" w14:textId="77777777" w:rsidR="00FB4F55" w:rsidRDefault="00FB4F55" w:rsidP="00712927">
            <w:pPr>
              <w:spacing w:line="240" w:lineRule="auto"/>
              <w:jc w:val="center"/>
              <w:rPr>
                <w:rFonts w:ascii="Verdana" w:hAnsi="Verdana"/>
                <w:sz w:val="20"/>
                <w:szCs w:val="20"/>
              </w:rPr>
            </w:pPr>
          </w:p>
        </w:tc>
        <w:tc>
          <w:tcPr>
            <w:tcW w:w="1416" w:type="dxa"/>
            <w:tcBorders>
              <w:top w:val="single" w:sz="12" w:space="0" w:color="595959"/>
              <w:left w:val="single" w:sz="12" w:space="0" w:color="595959"/>
              <w:bottom w:val="single" w:sz="12" w:space="0" w:color="595959"/>
              <w:right w:val="single" w:sz="12" w:space="0" w:color="595959"/>
            </w:tcBorders>
          </w:tcPr>
          <w:p w14:paraId="5F200306" w14:textId="77777777" w:rsidR="00FB4F55" w:rsidRDefault="00FB4F55" w:rsidP="00712927">
            <w:pPr>
              <w:spacing w:line="240" w:lineRule="auto"/>
              <w:jc w:val="center"/>
              <w:rPr>
                <w:rFonts w:ascii="Verdana" w:hAnsi="Verdana"/>
                <w:sz w:val="20"/>
                <w:szCs w:val="20"/>
              </w:rPr>
            </w:pPr>
          </w:p>
          <w:p w14:paraId="2D698496" w14:textId="54E8A2E6" w:rsidR="00712927" w:rsidRDefault="00712927" w:rsidP="00712927">
            <w:pPr>
              <w:spacing w:line="240" w:lineRule="auto"/>
              <w:jc w:val="center"/>
              <w:rPr>
                <w:rFonts w:ascii="Verdana" w:hAnsi="Verdana"/>
                <w:sz w:val="20"/>
                <w:szCs w:val="20"/>
              </w:rPr>
            </w:pPr>
            <w:r>
              <w:rPr>
                <w:rFonts w:ascii="Verdana" w:hAnsi="Verdana"/>
                <w:sz w:val="20"/>
                <w:szCs w:val="20"/>
              </w:rPr>
              <w:t>100%</w:t>
            </w:r>
          </w:p>
        </w:tc>
      </w:tr>
      <w:tr w:rsidR="00FB4F55" w14:paraId="618B43AA" w14:textId="77777777">
        <w:trPr>
          <w:trHeight w:val="903"/>
        </w:trPr>
        <w:tc>
          <w:tcPr>
            <w:tcW w:w="2127"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05A7A8D" w14:textId="77777777" w:rsidR="00FB4F55" w:rsidRDefault="00021EC6">
            <w:pPr>
              <w:spacing w:line="240" w:lineRule="auto"/>
              <w:jc w:val="both"/>
              <w:rPr>
                <w:rFonts w:ascii="Verdana" w:hAnsi="Verdana" w:cs="Times New Roman"/>
                <w:sz w:val="20"/>
                <w:szCs w:val="20"/>
              </w:rPr>
            </w:pPr>
            <w:r>
              <w:rPr>
                <w:rFonts w:ascii="Verdana" w:hAnsi="Verdana" w:cs="Times New Roman"/>
                <w:sz w:val="20"/>
                <w:szCs w:val="20"/>
              </w:rPr>
              <w:t>¿Conoce el uso de guante para realizar desinfección?</w:t>
            </w:r>
          </w:p>
        </w:tc>
        <w:tc>
          <w:tcPr>
            <w:tcW w:w="1276"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6A1C5261" w14:textId="189BA07E" w:rsidR="00FB4F55" w:rsidRDefault="00712927" w:rsidP="00712927">
            <w:pPr>
              <w:spacing w:line="240" w:lineRule="auto"/>
              <w:rPr>
                <w:rFonts w:ascii="Verdana" w:hAnsi="Verdana"/>
                <w:sz w:val="20"/>
                <w:szCs w:val="20"/>
              </w:rPr>
            </w:pPr>
            <w:r>
              <w:rPr>
                <w:rFonts w:ascii="Verdana" w:hAnsi="Verdana"/>
                <w:sz w:val="20"/>
                <w:szCs w:val="20"/>
              </w:rPr>
              <w:t xml:space="preserve">   87,5%</w:t>
            </w:r>
          </w:p>
        </w:tc>
        <w:tc>
          <w:tcPr>
            <w:tcW w:w="1275"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5B91474D" w14:textId="39508578" w:rsidR="00FB4F55" w:rsidRDefault="00712927">
            <w:pPr>
              <w:spacing w:line="240" w:lineRule="auto"/>
              <w:jc w:val="center"/>
              <w:rPr>
                <w:rFonts w:ascii="Verdana" w:hAnsi="Verdana"/>
                <w:sz w:val="20"/>
                <w:szCs w:val="20"/>
              </w:rPr>
            </w:pPr>
            <w:r>
              <w:rPr>
                <w:rFonts w:ascii="Verdana" w:hAnsi="Verdana"/>
                <w:sz w:val="20"/>
                <w:szCs w:val="20"/>
              </w:rPr>
              <w:t>7,89%</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6F693CAC" w14:textId="2CC57C2C" w:rsidR="00FB4F55" w:rsidRDefault="00712927">
            <w:pPr>
              <w:spacing w:line="240" w:lineRule="auto"/>
              <w:jc w:val="center"/>
              <w:rPr>
                <w:rFonts w:ascii="Verdana" w:hAnsi="Verdana"/>
                <w:sz w:val="20"/>
                <w:szCs w:val="20"/>
              </w:rPr>
            </w:pPr>
            <w:r>
              <w:rPr>
                <w:rFonts w:ascii="Verdana" w:hAnsi="Verdana"/>
                <w:sz w:val="20"/>
                <w:szCs w:val="20"/>
              </w:rPr>
              <w:t>4,61%</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33497B4F" w14:textId="77777777" w:rsidR="00FB4F55" w:rsidRDefault="00FB4F55">
            <w:pPr>
              <w:spacing w:line="240" w:lineRule="auto"/>
              <w:rPr>
                <w:rFonts w:ascii="Verdana" w:hAnsi="Verdana"/>
                <w:sz w:val="20"/>
                <w:szCs w:val="20"/>
              </w:rPr>
            </w:pPr>
          </w:p>
        </w:tc>
        <w:tc>
          <w:tcPr>
            <w:tcW w:w="99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250C6409" w14:textId="77777777" w:rsidR="00FB4F55" w:rsidRDefault="00FB4F55">
            <w:pPr>
              <w:spacing w:line="240" w:lineRule="auto"/>
              <w:rPr>
                <w:rFonts w:ascii="Verdana" w:hAnsi="Verdana"/>
                <w:sz w:val="20"/>
                <w:szCs w:val="20"/>
              </w:rPr>
            </w:pPr>
          </w:p>
        </w:tc>
        <w:tc>
          <w:tcPr>
            <w:tcW w:w="1416" w:type="dxa"/>
            <w:tcBorders>
              <w:top w:val="single" w:sz="12" w:space="0" w:color="595959"/>
              <w:left w:val="single" w:sz="12" w:space="0" w:color="595959"/>
              <w:bottom w:val="single" w:sz="12" w:space="0" w:color="595959"/>
              <w:right w:val="single" w:sz="12" w:space="0" w:color="595959"/>
            </w:tcBorders>
          </w:tcPr>
          <w:p w14:paraId="0D7B0434" w14:textId="77777777" w:rsidR="00FB4F55" w:rsidRDefault="00FB4F55" w:rsidP="00712927">
            <w:pPr>
              <w:spacing w:line="240" w:lineRule="auto"/>
              <w:jc w:val="center"/>
              <w:rPr>
                <w:rFonts w:ascii="Verdana" w:hAnsi="Verdana"/>
                <w:sz w:val="20"/>
                <w:szCs w:val="20"/>
              </w:rPr>
            </w:pPr>
          </w:p>
          <w:p w14:paraId="67667B0B" w14:textId="0C1490C9" w:rsidR="00712927" w:rsidRDefault="00712927" w:rsidP="00712927">
            <w:pPr>
              <w:spacing w:line="240" w:lineRule="auto"/>
              <w:jc w:val="center"/>
              <w:rPr>
                <w:rFonts w:ascii="Verdana" w:hAnsi="Verdana"/>
                <w:sz w:val="20"/>
                <w:szCs w:val="20"/>
              </w:rPr>
            </w:pPr>
            <w:r>
              <w:rPr>
                <w:rFonts w:ascii="Verdana" w:hAnsi="Verdana"/>
                <w:sz w:val="20"/>
                <w:szCs w:val="20"/>
              </w:rPr>
              <w:t>100%</w:t>
            </w:r>
          </w:p>
        </w:tc>
      </w:tr>
      <w:tr w:rsidR="00FB4F55" w14:paraId="5D5F54CE" w14:textId="77777777">
        <w:trPr>
          <w:trHeight w:val="794"/>
        </w:trPr>
        <w:tc>
          <w:tcPr>
            <w:tcW w:w="2127"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36AFB576" w14:textId="77777777" w:rsidR="00FB4F55" w:rsidRDefault="00021EC6">
            <w:pPr>
              <w:spacing w:line="240" w:lineRule="auto"/>
              <w:jc w:val="both"/>
              <w:rPr>
                <w:rFonts w:ascii="Verdana" w:hAnsi="Verdana" w:cs="Times New Roman"/>
                <w:sz w:val="20"/>
                <w:szCs w:val="20"/>
              </w:rPr>
            </w:pPr>
            <w:r>
              <w:rPr>
                <w:rFonts w:ascii="Verdana" w:hAnsi="Verdana" w:cs="Times New Roman"/>
                <w:sz w:val="20"/>
                <w:szCs w:val="20"/>
              </w:rPr>
              <w:t>¿Conoce el uso de guante para realizar un procedimiento aséptico?</w:t>
            </w:r>
          </w:p>
        </w:tc>
        <w:tc>
          <w:tcPr>
            <w:tcW w:w="1276"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0DD14E81" w14:textId="3181FD6D" w:rsidR="00FB4F55" w:rsidRDefault="00712927">
            <w:pPr>
              <w:spacing w:line="240" w:lineRule="auto"/>
              <w:jc w:val="center"/>
              <w:rPr>
                <w:rFonts w:ascii="Verdana" w:hAnsi="Verdana"/>
                <w:sz w:val="20"/>
                <w:szCs w:val="20"/>
              </w:rPr>
            </w:pPr>
            <w:r>
              <w:rPr>
                <w:rFonts w:ascii="Verdana" w:hAnsi="Verdana"/>
                <w:sz w:val="20"/>
                <w:szCs w:val="20"/>
              </w:rPr>
              <w:t>90,79%</w:t>
            </w:r>
          </w:p>
        </w:tc>
        <w:tc>
          <w:tcPr>
            <w:tcW w:w="1275"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31BD6E26" w14:textId="7C175807" w:rsidR="00FB4F55" w:rsidRDefault="00712927">
            <w:pPr>
              <w:spacing w:line="240" w:lineRule="auto"/>
              <w:jc w:val="center"/>
              <w:rPr>
                <w:rFonts w:ascii="Verdana" w:hAnsi="Verdana"/>
                <w:sz w:val="20"/>
                <w:szCs w:val="20"/>
              </w:rPr>
            </w:pPr>
            <w:r>
              <w:rPr>
                <w:rFonts w:ascii="Verdana" w:hAnsi="Verdana"/>
                <w:sz w:val="20"/>
                <w:szCs w:val="20"/>
              </w:rPr>
              <w:t>7,89%</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B3785FD" w14:textId="2B638F97" w:rsidR="00FB4F55" w:rsidRDefault="00712927">
            <w:pPr>
              <w:spacing w:line="240" w:lineRule="auto"/>
              <w:jc w:val="center"/>
              <w:rPr>
                <w:rFonts w:ascii="Verdana" w:hAnsi="Verdana"/>
                <w:sz w:val="20"/>
                <w:szCs w:val="20"/>
              </w:rPr>
            </w:pPr>
            <w:r>
              <w:rPr>
                <w:rFonts w:ascii="Verdana" w:hAnsi="Verdana"/>
                <w:sz w:val="20"/>
                <w:szCs w:val="20"/>
              </w:rPr>
              <w:t>1,32%</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2C1C211D" w14:textId="77777777" w:rsidR="00FB4F55" w:rsidRDefault="00FB4F55">
            <w:pPr>
              <w:spacing w:line="240" w:lineRule="auto"/>
              <w:rPr>
                <w:rFonts w:ascii="Verdana" w:hAnsi="Verdana"/>
                <w:sz w:val="20"/>
                <w:szCs w:val="20"/>
              </w:rPr>
            </w:pPr>
          </w:p>
        </w:tc>
        <w:tc>
          <w:tcPr>
            <w:tcW w:w="99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E2F2615" w14:textId="77777777" w:rsidR="00FB4F55" w:rsidRDefault="00FB4F55">
            <w:pPr>
              <w:spacing w:line="240" w:lineRule="auto"/>
              <w:rPr>
                <w:rFonts w:ascii="Verdana" w:hAnsi="Verdana"/>
                <w:sz w:val="20"/>
                <w:szCs w:val="20"/>
              </w:rPr>
            </w:pPr>
          </w:p>
        </w:tc>
        <w:tc>
          <w:tcPr>
            <w:tcW w:w="1416" w:type="dxa"/>
            <w:tcBorders>
              <w:top w:val="single" w:sz="12" w:space="0" w:color="595959"/>
              <w:left w:val="single" w:sz="12" w:space="0" w:color="595959"/>
              <w:bottom w:val="single" w:sz="12" w:space="0" w:color="595959"/>
              <w:right w:val="single" w:sz="12" w:space="0" w:color="595959"/>
            </w:tcBorders>
          </w:tcPr>
          <w:p w14:paraId="2C440F87" w14:textId="77777777" w:rsidR="00712927" w:rsidRDefault="00712927" w:rsidP="00712927">
            <w:pPr>
              <w:spacing w:line="240" w:lineRule="auto"/>
              <w:jc w:val="center"/>
              <w:rPr>
                <w:rFonts w:ascii="Verdana" w:hAnsi="Verdana"/>
                <w:sz w:val="20"/>
                <w:szCs w:val="20"/>
              </w:rPr>
            </w:pPr>
          </w:p>
          <w:p w14:paraId="01D4D796" w14:textId="4E15900D" w:rsidR="00FB4F55" w:rsidRDefault="00712927" w:rsidP="00712927">
            <w:pPr>
              <w:spacing w:line="240" w:lineRule="auto"/>
              <w:jc w:val="center"/>
              <w:rPr>
                <w:rFonts w:ascii="Verdana" w:hAnsi="Verdana"/>
                <w:sz w:val="20"/>
                <w:szCs w:val="20"/>
              </w:rPr>
            </w:pPr>
            <w:r>
              <w:rPr>
                <w:rFonts w:ascii="Verdana" w:hAnsi="Verdana"/>
                <w:sz w:val="20"/>
                <w:szCs w:val="20"/>
              </w:rPr>
              <w:t>100%</w:t>
            </w:r>
          </w:p>
        </w:tc>
      </w:tr>
    </w:tbl>
    <w:p w14:paraId="57016152" w14:textId="77777777" w:rsidR="00FB4F55" w:rsidRDefault="00FB4F55">
      <w:pPr>
        <w:rPr>
          <w:rFonts w:ascii="Verdana" w:hAnsi="Verdana"/>
          <w:sz w:val="20"/>
          <w:szCs w:val="20"/>
        </w:rPr>
      </w:pPr>
    </w:p>
    <w:p w14:paraId="135E998A" w14:textId="77777777" w:rsidR="002C4F0C" w:rsidRDefault="002C4F0C">
      <w:pPr>
        <w:spacing w:line="240" w:lineRule="auto"/>
        <w:jc w:val="both"/>
        <w:rPr>
          <w:rFonts w:ascii="Verdana" w:hAnsi="Verdana"/>
          <w:b/>
          <w:bCs/>
          <w:sz w:val="20"/>
          <w:szCs w:val="20"/>
        </w:rPr>
      </w:pPr>
    </w:p>
    <w:p w14:paraId="2143E98C" w14:textId="77777777" w:rsidR="002C4F0C" w:rsidRDefault="002C4F0C">
      <w:pPr>
        <w:spacing w:line="240" w:lineRule="auto"/>
        <w:jc w:val="both"/>
        <w:rPr>
          <w:rFonts w:ascii="Verdana" w:hAnsi="Verdana"/>
          <w:b/>
          <w:bCs/>
          <w:sz w:val="20"/>
          <w:szCs w:val="20"/>
        </w:rPr>
      </w:pPr>
    </w:p>
    <w:p w14:paraId="12E1E97B" w14:textId="77777777" w:rsidR="002C4F0C" w:rsidRDefault="002C4F0C">
      <w:pPr>
        <w:spacing w:line="240" w:lineRule="auto"/>
        <w:jc w:val="both"/>
        <w:rPr>
          <w:rFonts w:ascii="Verdana" w:hAnsi="Verdana"/>
          <w:b/>
          <w:bCs/>
          <w:sz w:val="20"/>
          <w:szCs w:val="20"/>
        </w:rPr>
      </w:pPr>
    </w:p>
    <w:p w14:paraId="085D3B5D" w14:textId="77777777" w:rsidR="002C4F0C" w:rsidRDefault="002C4F0C">
      <w:pPr>
        <w:spacing w:line="240" w:lineRule="auto"/>
        <w:jc w:val="both"/>
        <w:rPr>
          <w:rFonts w:ascii="Verdana" w:hAnsi="Verdana"/>
          <w:b/>
          <w:bCs/>
          <w:sz w:val="20"/>
          <w:szCs w:val="20"/>
        </w:rPr>
      </w:pPr>
    </w:p>
    <w:p w14:paraId="51C6F0E0" w14:textId="77777777" w:rsidR="002C4F0C" w:rsidRDefault="002C4F0C">
      <w:pPr>
        <w:spacing w:line="240" w:lineRule="auto"/>
        <w:jc w:val="both"/>
        <w:rPr>
          <w:rFonts w:ascii="Verdana" w:hAnsi="Verdana"/>
          <w:b/>
          <w:bCs/>
          <w:sz w:val="20"/>
          <w:szCs w:val="20"/>
        </w:rPr>
      </w:pPr>
    </w:p>
    <w:p w14:paraId="034D5D9F" w14:textId="77777777" w:rsidR="002C4F0C" w:rsidRDefault="002C4F0C">
      <w:pPr>
        <w:spacing w:line="240" w:lineRule="auto"/>
        <w:jc w:val="both"/>
        <w:rPr>
          <w:rFonts w:ascii="Verdana" w:hAnsi="Verdana"/>
          <w:b/>
          <w:bCs/>
          <w:sz w:val="20"/>
          <w:szCs w:val="20"/>
        </w:rPr>
      </w:pPr>
    </w:p>
    <w:p w14:paraId="7C89BD4C" w14:textId="77777777" w:rsidR="002C4F0C" w:rsidRDefault="002C4F0C">
      <w:pPr>
        <w:spacing w:line="240" w:lineRule="auto"/>
        <w:jc w:val="both"/>
        <w:rPr>
          <w:rFonts w:ascii="Verdana" w:hAnsi="Verdana"/>
          <w:b/>
          <w:bCs/>
          <w:sz w:val="20"/>
          <w:szCs w:val="20"/>
        </w:rPr>
      </w:pPr>
    </w:p>
    <w:p w14:paraId="0A859AA0" w14:textId="77777777" w:rsidR="002C4F0C" w:rsidRDefault="002C4F0C">
      <w:pPr>
        <w:spacing w:line="240" w:lineRule="auto"/>
        <w:jc w:val="both"/>
        <w:rPr>
          <w:rFonts w:ascii="Verdana" w:hAnsi="Verdana"/>
          <w:b/>
          <w:bCs/>
          <w:sz w:val="20"/>
          <w:szCs w:val="20"/>
        </w:rPr>
      </w:pPr>
    </w:p>
    <w:p w14:paraId="34804B56" w14:textId="77777777" w:rsidR="002C4F0C" w:rsidRDefault="002C4F0C">
      <w:pPr>
        <w:spacing w:line="240" w:lineRule="auto"/>
        <w:jc w:val="both"/>
        <w:rPr>
          <w:rFonts w:ascii="Verdana" w:hAnsi="Verdana"/>
          <w:b/>
          <w:bCs/>
          <w:sz w:val="20"/>
          <w:szCs w:val="20"/>
        </w:rPr>
      </w:pPr>
    </w:p>
    <w:p w14:paraId="5B9A1D5A" w14:textId="77777777" w:rsidR="002541AC" w:rsidRDefault="002541AC">
      <w:pPr>
        <w:spacing w:line="240" w:lineRule="auto"/>
        <w:jc w:val="both"/>
        <w:rPr>
          <w:rFonts w:ascii="Verdana" w:hAnsi="Verdana"/>
          <w:b/>
          <w:bCs/>
          <w:sz w:val="20"/>
          <w:szCs w:val="20"/>
        </w:rPr>
      </w:pPr>
    </w:p>
    <w:p w14:paraId="2639155A" w14:textId="77777777" w:rsidR="002C4F0C" w:rsidRDefault="002C4F0C">
      <w:pPr>
        <w:spacing w:line="240" w:lineRule="auto"/>
        <w:jc w:val="both"/>
        <w:rPr>
          <w:rFonts w:ascii="Verdana" w:hAnsi="Verdana"/>
          <w:b/>
          <w:bCs/>
          <w:sz w:val="20"/>
          <w:szCs w:val="20"/>
        </w:rPr>
      </w:pPr>
    </w:p>
    <w:p w14:paraId="4ED6E0AC" w14:textId="77777777" w:rsidR="002C4F0C" w:rsidRDefault="002C4F0C">
      <w:pPr>
        <w:spacing w:line="240" w:lineRule="auto"/>
        <w:jc w:val="both"/>
        <w:rPr>
          <w:rFonts w:ascii="Verdana" w:hAnsi="Verdana"/>
          <w:b/>
          <w:bCs/>
          <w:sz w:val="20"/>
          <w:szCs w:val="20"/>
        </w:rPr>
      </w:pPr>
    </w:p>
    <w:p w14:paraId="5F8F8676" w14:textId="77777777" w:rsidR="002C4F0C" w:rsidRDefault="002C4F0C">
      <w:pPr>
        <w:spacing w:line="240" w:lineRule="auto"/>
        <w:jc w:val="both"/>
        <w:rPr>
          <w:rFonts w:ascii="Verdana" w:hAnsi="Verdana"/>
          <w:b/>
          <w:bCs/>
          <w:sz w:val="20"/>
          <w:szCs w:val="20"/>
        </w:rPr>
      </w:pPr>
    </w:p>
    <w:p w14:paraId="6AFF60C7" w14:textId="24760AF8" w:rsidR="00FB4F55" w:rsidRDefault="00021EC6">
      <w:pPr>
        <w:spacing w:line="240" w:lineRule="auto"/>
        <w:jc w:val="both"/>
        <w:rPr>
          <w:rFonts w:ascii="Verdana" w:eastAsia="Times New Roman" w:hAnsi="Verdana" w:cs="Calibri"/>
          <w:color w:val="212121"/>
          <w:sz w:val="20"/>
          <w:szCs w:val="20"/>
          <w:lang w:eastAsia="es-ES"/>
          <w14:ligatures w14:val="none"/>
        </w:rPr>
      </w:pPr>
      <w:r>
        <w:rPr>
          <w:rFonts w:ascii="Verdana" w:hAnsi="Verdana"/>
          <w:b/>
          <w:bCs/>
          <w:sz w:val="20"/>
          <w:szCs w:val="20"/>
        </w:rPr>
        <w:t xml:space="preserve">Tabla </w:t>
      </w:r>
      <w:r w:rsidR="00712927">
        <w:rPr>
          <w:rFonts w:ascii="Verdana" w:hAnsi="Verdana"/>
          <w:b/>
          <w:bCs/>
          <w:sz w:val="20"/>
          <w:szCs w:val="20"/>
        </w:rPr>
        <w:t>3</w:t>
      </w:r>
      <w:r>
        <w:rPr>
          <w:rFonts w:ascii="Verdana" w:hAnsi="Verdana"/>
          <w:b/>
          <w:bCs/>
          <w:sz w:val="20"/>
          <w:szCs w:val="20"/>
        </w:rPr>
        <w:t>. Consecuencias del Incumplimiento de normas de Bioseguridad en el Hospital Básico El Triunfo.</w:t>
      </w:r>
    </w:p>
    <w:tbl>
      <w:tblPr>
        <w:tblW w:w="9511" w:type="dxa"/>
        <w:tblInd w:w="-157" w:type="dxa"/>
        <w:tblCellMar>
          <w:left w:w="0" w:type="dxa"/>
          <w:right w:w="0" w:type="dxa"/>
        </w:tblCellMar>
        <w:tblLook w:val="0600" w:firstRow="0" w:lastRow="0" w:firstColumn="0" w:lastColumn="0" w:noHBand="1" w:noVBand="1"/>
      </w:tblPr>
      <w:tblGrid>
        <w:gridCol w:w="2127"/>
        <w:gridCol w:w="1248"/>
        <w:gridCol w:w="1303"/>
        <w:gridCol w:w="1134"/>
        <w:gridCol w:w="1134"/>
        <w:gridCol w:w="1093"/>
        <w:gridCol w:w="1472"/>
      </w:tblGrid>
      <w:tr w:rsidR="00FB4F55" w14:paraId="7C5A1C10" w14:textId="77777777">
        <w:trPr>
          <w:trHeight w:val="486"/>
        </w:trPr>
        <w:tc>
          <w:tcPr>
            <w:tcW w:w="9511" w:type="dxa"/>
            <w:gridSpan w:val="7"/>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623091E6" w14:textId="77777777" w:rsidR="00FB4F55" w:rsidRDefault="00021EC6">
            <w:pPr>
              <w:spacing w:line="240" w:lineRule="auto"/>
              <w:jc w:val="center"/>
              <w:rPr>
                <w:rFonts w:ascii="Verdana" w:hAnsi="Verdana" w:cs="Times New Roman"/>
                <w:b/>
                <w:bCs/>
                <w:sz w:val="20"/>
                <w:szCs w:val="20"/>
                <w:lang w:val="es-MX"/>
              </w:rPr>
            </w:pPr>
            <w:r>
              <w:rPr>
                <w:rFonts w:ascii="Verdana" w:hAnsi="Verdana" w:cs="Times New Roman"/>
                <w:b/>
                <w:bCs/>
                <w:sz w:val="20"/>
                <w:szCs w:val="20"/>
                <w:lang w:val="es-MX"/>
              </w:rPr>
              <w:t>CONSECUENCIAS DE NO UTILIZAR LAS NORMAS DE BIOSEGURIDAD</w:t>
            </w:r>
          </w:p>
        </w:tc>
      </w:tr>
      <w:tr w:rsidR="00FB4F55" w14:paraId="6342F231" w14:textId="77777777">
        <w:trPr>
          <w:trHeight w:val="331"/>
        </w:trPr>
        <w:tc>
          <w:tcPr>
            <w:tcW w:w="2127"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27F38727" w14:textId="77777777" w:rsidR="00FB4F55" w:rsidRDefault="00021EC6">
            <w:pPr>
              <w:spacing w:after="0" w:line="240" w:lineRule="auto"/>
              <w:jc w:val="center"/>
              <w:rPr>
                <w:rFonts w:ascii="Verdana" w:hAnsi="Verdana" w:cs="Times New Roman"/>
                <w:b/>
                <w:bCs/>
                <w:sz w:val="20"/>
                <w:szCs w:val="20"/>
              </w:rPr>
            </w:pPr>
            <w:r>
              <w:rPr>
                <w:rFonts w:ascii="Verdana" w:hAnsi="Verdana" w:cs="Times New Roman"/>
                <w:b/>
                <w:bCs/>
                <w:sz w:val="20"/>
                <w:szCs w:val="20"/>
                <w:lang w:val="en-US"/>
              </w:rPr>
              <w:t>Pregunta</w:t>
            </w:r>
          </w:p>
        </w:tc>
        <w:tc>
          <w:tcPr>
            <w:tcW w:w="1248"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4494A807" w14:textId="77777777" w:rsidR="00FB4F55" w:rsidRDefault="00021EC6">
            <w:pPr>
              <w:spacing w:after="0" w:line="240" w:lineRule="auto"/>
              <w:jc w:val="center"/>
              <w:rPr>
                <w:rFonts w:ascii="Verdana" w:hAnsi="Verdana" w:cs="Times New Roman"/>
                <w:b/>
                <w:bCs/>
                <w:sz w:val="20"/>
                <w:szCs w:val="20"/>
              </w:rPr>
            </w:pPr>
            <w:r>
              <w:rPr>
                <w:rFonts w:ascii="Verdana" w:hAnsi="Verdana" w:cs="Times New Roman"/>
                <w:b/>
                <w:bCs/>
                <w:sz w:val="20"/>
                <w:szCs w:val="20"/>
                <w:lang w:val="en-US"/>
              </w:rPr>
              <w:t>Siempre</w:t>
            </w:r>
          </w:p>
        </w:tc>
        <w:tc>
          <w:tcPr>
            <w:tcW w:w="1303"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15FEEB9D" w14:textId="77777777" w:rsidR="00FB4F55" w:rsidRDefault="00021EC6">
            <w:pPr>
              <w:spacing w:after="0" w:line="240" w:lineRule="auto"/>
              <w:jc w:val="center"/>
              <w:rPr>
                <w:rFonts w:ascii="Verdana" w:hAnsi="Verdana" w:cs="Times New Roman"/>
                <w:b/>
                <w:bCs/>
                <w:sz w:val="20"/>
                <w:szCs w:val="20"/>
              </w:rPr>
            </w:pPr>
            <w:r>
              <w:rPr>
                <w:rFonts w:ascii="Verdana" w:hAnsi="Verdana" w:cs="Times New Roman"/>
                <w:b/>
                <w:bCs/>
                <w:sz w:val="20"/>
                <w:szCs w:val="20"/>
                <w:lang w:val="en-US"/>
              </w:rPr>
              <w:t>Casi siempre</w:t>
            </w:r>
          </w:p>
        </w:tc>
        <w:tc>
          <w:tcPr>
            <w:tcW w:w="1134"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6FA19C0E" w14:textId="77777777" w:rsidR="00FB4F55" w:rsidRDefault="00021EC6">
            <w:pPr>
              <w:spacing w:after="0" w:line="240" w:lineRule="auto"/>
              <w:jc w:val="center"/>
              <w:rPr>
                <w:rFonts w:ascii="Verdana" w:hAnsi="Verdana" w:cs="Times New Roman"/>
                <w:b/>
                <w:bCs/>
                <w:sz w:val="20"/>
                <w:szCs w:val="20"/>
              </w:rPr>
            </w:pPr>
            <w:r>
              <w:rPr>
                <w:rFonts w:ascii="Verdana" w:hAnsi="Verdana" w:cs="Times New Roman"/>
                <w:b/>
                <w:bCs/>
                <w:sz w:val="20"/>
                <w:szCs w:val="20"/>
                <w:lang w:val="en-US"/>
              </w:rPr>
              <w:t>Rara Vez</w:t>
            </w:r>
          </w:p>
        </w:tc>
        <w:tc>
          <w:tcPr>
            <w:tcW w:w="1134"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25ECC3DE" w14:textId="77777777" w:rsidR="00FB4F55" w:rsidRDefault="00021EC6">
            <w:pPr>
              <w:spacing w:after="0" w:line="240" w:lineRule="auto"/>
              <w:jc w:val="center"/>
              <w:rPr>
                <w:rFonts w:ascii="Verdana" w:hAnsi="Verdana" w:cs="Times New Roman"/>
                <w:b/>
                <w:bCs/>
                <w:sz w:val="20"/>
                <w:szCs w:val="20"/>
              </w:rPr>
            </w:pPr>
            <w:r>
              <w:rPr>
                <w:rFonts w:ascii="Verdana" w:hAnsi="Verdana" w:cs="Times New Roman"/>
                <w:b/>
                <w:bCs/>
                <w:sz w:val="20"/>
                <w:szCs w:val="20"/>
                <w:lang w:val="en-US"/>
              </w:rPr>
              <w:t>Casi Nunca</w:t>
            </w:r>
          </w:p>
        </w:tc>
        <w:tc>
          <w:tcPr>
            <w:tcW w:w="1093"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Mar>
              <w:top w:w="144" w:type="dxa"/>
              <w:left w:w="144" w:type="dxa"/>
              <w:bottom w:w="144" w:type="dxa"/>
              <w:right w:w="144" w:type="dxa"/>
            </w:tcMar>
            <w:vAlign w:val="center"/>
          </w:tcPr>
          <w:p w14:paraId="0722DC04" w14:textId="77777777" w:rsidR="00FB4F55" w:rsidRDefault="00021EC6">
            <w:pPr>
              <w:spacing w:after="0" w:line="240" w:lineRule="auto"/>
              <w:jc w:val="center"/>
              <w:rPr>
                <w:rFonts w:ascii="Verdana" w:hAnsi="Verdana" w:cs="Times New Roman"/>
                <w:b/>
                <w:bCs/>
                <w:sz w:val="20"/>
                <w:szCs w:val="20"/>
              </w:rPr>
            </w:pPr>
            <w:r>
              <w:rPr>
                <w:rFonts w:ascii="Verdana" w:hAnsi="Verdana" w:cs="Times New Roman"/>
                <w:b/>
                <w:bCs/>
                <w:sz w:val="20"/>
                <w:szCs w:val="20"/>
                <w:lang w:val="en-US"/>
              </w:rPr>
              <w:t>Nunca</w:t>
            </w:r>
          </w:p>
        </w:tc>
        <w:tc>
          <w:tcPr>
            <w:tcW w:w="1472" w:type="dxa"/>
            <w:tcBorders>
              <w:top w:val="single" w:sz="12" w:space="0" w:color="595959"/>
              <w:left w:val="single" w:sz="12" w:space="0" w:color="595959"/>
              <w:bottom w:val="single" w:sz="12" w:space="0" w:color="595959"/>
              <w:right w:val="single" w:sz="12" w:space="0" w:color="595959"/>
            </w:tcBorders>
            <w:shd w:val="clear" w:color="auto" w:fill="D5DCE4" w:themeFill="text2" w:themeFillTint="33"/>
          </w:tcPr>
          <w:p w14:paraId="5F5F3A0D" w14:textId="77777777" w:rsidR="00FB4F55" w:rsidRDefault="00021EC6">
            <w:pPr>
              <w:spacing w:after="0" w:line="240" w:lineRule="auto"/>
              <w:jc w:val="center"/>
              <w:rPr>
                <w:rFonts w:ascii="Verdana" w:hAnsi="Verdana" w:cs="Times New Roman"/>
                <w:b/>
                <w:bCs/>
                <w:sz w:val="20"/>
                <w:szCs w:val="20"/>
                <w:lang w:val="en-US"/>
              </w:rPr>
            </w:pPr>
            <w:r>
              <w:rPr>
                <w:rFonts w:ascii="Verdana" w:hAnsi="Verdana" w:cs="Times New Roman"/>
                <w:b/>
                <w:bCs/>
                <w:sz w:val="20"/>
                <w:szCs w:val="20"/>
                <w:lang w:val="en-US"/>
              </w:rPr>
              <w:t>Porcentaje</w:t>
            </w:r>
          </w:p>
        </w:tc>
      </w:tr>
      <w:tr w:rsidR="00FB4F55" w14:paraId="06056C06" w14:textId="77777777">
        <w:trPr>
          <w:trHeight w:val="2050"/>
        </w:trPr>
        <w:tc>
          <w:tcPr>
            <w:tcW w:w="2127"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1A522A1B" w14:textId="77777777" w:rsidR="00FB4F55" w:rsidRDefault="00021EC6">
            <w:pPr>
              <w:spacing w:line="240" w:lineRule="auto"/>
              <w:jc w:val="both"/>
              <w:rPr>
                <w:rFonts w:ascii="Verdana" w:hAnsi="Verdana" w:cs="Times New Roman"/>
                <w:sz w:val="20"/>
                <w:szCs w:val="20"/>
              </w:rPr>
            </w:pPr>
            <w:r>
              <w:rPr>
                <w:rFonts w:ascii="Verdana" w:hAnsi="Verdana" w:cs="Times New Roman"/>
                <w:sz w:val="20"/>
                <w:szCs w:val="20"/>
              </w:rPr>
              <w:t>¿Usted conoce que puede adquirir alguna enfermedad al estar en contacto con fluidos corporales del paciente?</w:t>
            </w:r>
          </w:p>
        </w:tc>
        <w:tc>
          <w:tcPr>
            <w:tcW w:w="1248"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5D25FB4A" w14:textId="0AB16807" w:rsidR="00FB4F55" w:rsidRDefault="00712927">
            <w:pPr>
              <w:spacing w:line="240" w:lineRule="auto"/>
              <w:jc w:val="center"/>
              <w:rPr>
                <w:rFonts w:ascii="Verdana" w:hAnsi="Verdana"/>
                <w:sz w:val="20"/>
                <w:szCs w:val="20"/>
              </w:rPr>
            </w:pPr>
            <w:r>
              <w:rPr>
                <w:rFonts w:ascii="Verdana" w:hAnsi="Verdana"/>
                <w:sz w:val="20"/>
                <w:szCs w:val="20"/>
              </w:rPr>
              <w:t>60,53%</w:t>
            </w:r>
          </w:p>
        </w:tc>
        <w:tc>
          <w:tcPr>
            <w:tcW w:w="1303"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1526298A" w14:textId="726ED074" w:rsidR="00FB4F55" w:rsidRDefault="00712927">
            <w:pPr>
              <w:spacing w:line="240" w:lineRule="auto"/>
              <w:jc w:val="center"/>
              <w:rPr>
                <w:rFonts w:ascii="Verdana" w:hAnsi="Verdana"/>
                <w:sz w:val="20"/>
                <w:szCs w:val="20"/>
              </w:rPr>
            </w:pPr>
            <w:r>
              <w:rPr>
                <w:rFonts w:ascii="Verdana" w:hAnsi="Verdana"/>
                <w:sz w:val="20"/>
                <w:szCs w:val="20"/>
              </w:rPr>
              <w:t>36,18%</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74145CEF" w14:textId="081C54C8" w:rsidR="00FB4F55" w:rsidRDefault="00712927" w:rsidP="00712927">
            <w:pPr>
              <w:spacing w:line="240" w:lineRule="auto"/>
              <w:rPr>
                <w:rFonts w:ascii="Verdana" w:hAnsi="Verdana"/>
                <w:sz w:val="20"/>
                <w:szCs w:val="20"/>
              </w:rPr>
            </w:pPr>
            <w:r>
              <w:rPr>
                <w:rFonts w:ascii="Verdana" w:hAnsi="Verdana"/>
                <w:sz w:val="20"/>
                <w:szCs w:val="20"/>
              </w:rPr>
              <w:t>3,29%</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C3E39CE" w14:textId="77777777" w:rsidR="00FB4F55" w:rsidRDefault="00FB4F55">
            <w:pPr>
              <w:spacing w:line="240" w:lineRule="auto"/>
              <w:rPr>
                <w:rFonts w:ascii="Verdana" w:hAnsi="Verdana"/>
                <w:sz w:val="20"/>
                <w:szCs w:val="20"/>
              </w:rPr>
            </w:pPr>
          </w:p>
        </w:tc>
        <w:tc>
          <w:tcPr>
            <w:tcW w:w="1093"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0A3C6CC8" w14:textId="77777777" w:rsidR="00FB4F55" w:rsidRDefault="00FB4F55">
            <w:pPr>
              <w:spacing w:line="240" w:lineRule="auto"/>
              <w:rPr>
                <w:rFonts w:ascii="Verdana" w:hAnsi="Verdana"/>
                <w:sz w:val="20"/>
                <w:szCs w:val="20"/>
              </w:rPr>
            </w:pPr>
          </w:p>
        </w:tc>
        <w:tc>
          <w:tcPr>
            <w:tcW w:w="1472" w:type="dxa"/>
            <w:tcBorders>
              <w:top w:val="single" w:sz="12" w:space="0" w:color="595959"/>
              <w:left w:val="single" w:sz="12" w:space="0" w:color="595959"/>
              <w:bottom w:val="single" w:sz="12" w:space="0" w:color="595959"/>
              <w:right w:val="single" w:sz="12" w:space="0" w:color="595959"/>
            </w:tcBorders>
          </w:tcPr>
          <w:p w14:paraId="6C6FE639" w14:textId="77777777" w:rsidR="00057009" w:rsidRDefault="00057009" w:rsidP="00057009">
            <w:pPr>
              <w:spacing w:line="240" w:lineRule="auto"/>
              <w:jc w:val="center"/>
              <w:rPr>
                <w:rFonts w:ascii="Verdana" w:hAnsi="Verdana"/>
                <w:sz w:val="20"/>
                <w:szCs w:val="20"/>
              </w:rPr>
            </w:pPr>
          </w:p>
          <w:p w14:paraId="7B73DF11" w14:textId="77777777" w:rsidR="00057009" w:rsidRDefault="00057009" w:rsidP="00057009">
            <w:pPr>
              <w:spacing w:line="240" w:lineRule="auto"/>
              <w:jc w:val="center"/>
              <w:rPr>
                <w:rFonts w:ascii="Verdana" w:hAnsi="Verdana"/>
                <w:sz w:val="20"/>
                <w:szCs w:val="20"/>
              </w:rPr>
            </w:pPr>
          </w:p>
          <w:p w14:paraId="4B25D912" w14:textId="1BE0002F" w:rsidR="00FB4F55" w:rsidRDefault="00057009" w:rsidP="00057009">
            <w:pPr>
              <w:spacing w:line="240" w:lineRule="auto"/>
              <w:jc w:val="center"/>
              <w:rPr>
                <w:rFonts w:ascii="Verdana" w:hAnsi="Verdana"/>
                <w:sz w:val="20"/>
                <w:szCs w:val="20"/>
              </w:rPr>
            </w:pPr>
            <w:r>
              <w:rPr>
                <w:rFonts w:ascii="Verdana" w:hAnsi="Verdana"/>
                <w:sz w:val="20"/>
                <w:szCs w:val="20"/>
              </w:rPr>
              <w:t>100%</w:t>
            </w:r>
          </w:p>
        </w:tc>
      </w:tr>
      <w:tr w:rsidR="00FB4F55" w14:paraId="5ED751B8" w14:textId="77777777">
        <w:trPr>
          <w:trHeight w:val="2050"/>
        </w:trPr>
        <w:tc>
          <w:tcPr>
            <w:tcW w:w="2127"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190DC58C" w14:textId="77777777" w:rsidR="00FB4F55" w:rsidRDefault="00021EC6">
            <w:pPr>
              <w:spacing w:line="240" w:lineRule="auto"/>
              <w:jc w:val="both"/>
              <w:rPr>
                <w:rFonts w:ascii="Verdana" w:hAnsi="Verdana" w:cs="Times New Roman"/>
                <w:sz w:val="20"/>
                <w:szCs w:val="20"/>
              </w:rPr>
            </w:pPr>
            <w:r>
              <w:rPr>
                <w:rFonts w:ascii="Verdana" w:hAnsi="Verdana" w:cs="Times New Roman"/>
                <w:sz w:val="20"/>
                <w:szCs w:val="20"/>
              </w:rPr>
              <w:t>¿Usted conoce que puede poner en riesgo la salud de los pacientes y de los otros personales de salud al no respetar las normas de bioseguridad?</w:t>
            </w:r>
          </w:p>
        </w:tc>
        <w:tc>
          <w:tcPr>
            <w:tcW w:w="1248"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0605B82" w14:textId="069BCFC9" w:rsidR="00FB4F55" w:rsidRDefault="00057009">
            <w:pPr>
              <w:spacing w:line="240" w:lineRule="auto"/>
              <w:jc w:val="center"/>
              <w:rPr>
                <w:rFonts w:ascii="Verdana" w:hAnsi="Verdana"/>
                <w:sz w:val="20"/>
                <w:szCs w:val="20"/>
              </w:rPr>
            </w:pPr>
            <w:r>
              <w:rPr>
                <w:rFonts w:ascii="Verdana" w:hAnsi="Verdana"/>
                <w:sz w:val="20"/>
                <w:szCs w:val="20"/>
              </w:rPr>
              <w:t>75,66%</w:t>
            </w:r>
          </w:p>
        </w:tc>
        <w:tc>
          <w:tcPr>
            <w:tcW w:w="1303"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BA3674A" w14:textId="3608A349" w:rsidR="00FB4F55" w:rsidRDefault="00057009">
            <w:pPr>
              <w:spacing w:line="240" w:lineRule="auto"/>
              <w:jc w:val="center"/>
              <w:rPr>
                <w:rFonts w:ascii="Verdana" w:hAnsi="Verdana"/>
                <w:sz w:val="20"/>
                <w:szCs w:val="20"/>
              </w:rPr>
            </w:pPr>
            <w:r>
              <w:rPr>
                <w:rFonts w:ascii="Verdana" w:hAnsi="Verdana"/>
                <w:sz w:val="20"/>
                <w:szCs w:val="20"/>
              </w:rPr>
              <w:t>19,74%</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56BE4C49" w14:textId="6112960F" w:rsidR="00FB4F55" w:rsidRDefault="00057009">
            <w:pPr>
              <w:spacing w:line="240" w:lineRule="auto"/>
              <w:jc w:val="center"/>
              <w:rPr>
                <w:rFonts w:ascii="Verdana" w:hAnsi="Verdana"/>
                <w:sz w:val="20"/>
                <w:szCs w:val="20"/>
              </w:rPr>
            </w:pPr>
            <w:r>
              <w:rPr>
                <w:rFonts w:ascii="Verdana" w:hAnsi="Verdana"/>
                <w:sz w:val="20"/>
                <w:szCs w:val="20"/>
              </w:rPr>
              <w:t>4,61%</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5D817485" w14:textId="77777777" w:rsidR="00FB4F55" w:rsidRDefault="00FB4F55">
            <w:pPr>
              <w:spacing w:line="240" w:lineRule="auto"/>
              <w:rPr>
                <w:rFonts w:ascii="Verdana" w:hAnsi="Verdana"/>
                <w:sz w:val="20"/>
                <w:szCs w:val="20"/>
              </w:rPr>
            </w:pPr>
          </w:p>
        </w:tc>
        <w:tc>
          <w:tcPr>
            <w:tcW w:w="1093"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A5FF0A7" w14:textId="77777777" w:rsidR="00FB4F55" w:rsidRDefault="00FB4F55">
            <w:pPr>
              <w:spacing w:line="240" w:lineRule="auto"/>
              <w:rPr>
                <w:rFonts w:ascii="Verdana" w:hAnsi="Verdana"/>
                <w:sz w:val="20"/>
                <w:szCs w:val="20"/>
              </w:rPr>
            </w:pPr>
          </w:p>
        </w:tc>
        <w:tc>
          <w:tcPr>
            <w:tcW w:w="1472" w:type="dxa"/>
            <w:tcBorders>
              <w:top w:val="single" w:sz="12" w:space="0" w:color="595959"/>
              <w:left w:val="single" w:sz="12" w:space="0" w:color="595959"/>
              <w:bottom w:val="single" w:sz="12" w:space="0" w:color="595959"/>
              <w:right w:val="single" w:sz="12" w:space="0" w:color="595959"/>
            </w:tcBorders>
          </w:tcPr>
          <w:p w14:paraId="36979CC1" w14:textId="77777777" w:rsidR="00057009" w:rsidRDefault="00057009" w:rsidP="00057009">
            <w:pPr>
              <w:spacing w:line="240" w:lineRule="auto"/>
              <w:jc w:val="center"/>
              <w:rPr>
                <w:rFonts w:ascii="Verdana" w:hAnsi="Verdana"/>
                <w:sz w:val="20"/>
                <w:szCs w:val="20"/>
              </w:rPr>
            </w:pPr>
          </w:p>
          <w:p w14:paraId="5A5040A4" w14:textId="77777777" w:rsidR="00057009" w:rsidRDefault="00057009" w:rsidP="00057009">
            <w:pPr>
              <w:spacing w:line="240" w:lineRule="auto"/>
              <w:jc w:val="center"/>
              <w:rPr>
                <w:rFonts w:ascii="Verdana" w:hAnsi="Verdana"/>
                <w:sz w:val="20"/>
                <w:szCs w:val="20"/>
              </w:rPr>
            </w:pPr>
          </w:p>
          <w:p w14:paraId="70591A31" w14:textId="77777777" w:rsidR="00057009" w:rsidRDefault="00057009" w:rsidP="00057009">
            <w:pPr>
              <w:spacing w:line="240" w:lineRule="auto"/>
              <w:jc w:val="center"/>
              <w:rPr>
                <w:rFonts w:ascii="Verdana" w:hAnsi="Verdana"/>
                <w:sz w:val="20"/>
                <w:szCs w:val="20"/>
              </w:rPr>
            </w:pPr>
          </w:p>
          <w:p w14:paraId="5DA00471" w14:textId="53CCBC1A" w:rsidR="00FB4F55" w:rsidRDefault="00057009" w:rsidP="00057009">
            <w:pPr>
              <w:spacing w:line="240" w:lineRule="auto"/>
              <w:jc w:val="center"/>
              <w:rPr>
                <w:rFonts w:ascii="Verdana" w:hAnsi="Verdana"/>
                <w:sz w:val="20"/>
                <w:szCs w:val="20"/>
              </w:rPr>
            </w:pPr>
            <w:r>
              <w:rPr>
                <w:rFonts w:ascii="Verdana" w:hAnsi="Verdana"/>
                <w:sz w:val="20"/>
                <w:szCs w:val="20"/>
              </w:rPr>
              <w:t>100%</w:t>
            </w:r>
          </w:p>
        </w:tc>
      </w:tr>
      <w:tr w:rsidR="00FB4F55" w14:paraId="6AEDFB9C" w14:textId="77777777">
        <w:trPr>
          <w:trHeight w:val="2050"/>
        </w:trPr>
        <w:tc>
          <w:tcPr>
            <w:tcW w:w="2127"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0566E48D" w14:textId="77777777" w:rsidR="00FB4F55" w:rsidRDefault="00021EC6">
            <w:pPr>
              <w:spacing w:line="240" w:lineRule="auto"/>
              <w:jc w:val="both"/>
              <w:rPr>
                <w:rFonts w:ascii="Verdana" w:hAnsi="Verdana" w:cs="Times New Roman"/>
                <w:sz w:val="20"/>
                <w:szCs w:val="20"/>
              </w:rPr>
            </w:pPr>
            <w:r>
              <w:rPr>
                <w:rFonts w:ascii="Verdana" w:hAnsi="Verdana" w:cs="Times New Roman"/>
                <w:sz w:val="20"/>
                <w:szCs w:val="20"/>
              </w:rPr>
              <w:t>¿Usted ha recibido capacitación sobre las consecuencias de no utilizar las normas de bioseguridad?</w:t>
            </w:r>
          </w:p>
        </w:tc>
        <w:tc>
          <w:tcPr>
            <w:tcW w:w="1248"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575AAD7E" w14:textId="767945C8" w:rsidR="00FB4F55" w:rsidRDefault="00057009">
            <w:pPr>
              <w:spacing w:line="240" w:lineRule="auto"/>
              <w:jc w:val="center"/>
              <w:rPr>
                <w:rFonts w:ascii="Verdana" w:hAnsi="Verdana"/>
                <w:sz w:val="20"/>
                <w:szCs w:val="20"/>
              </w:rPr>
            </w:pPr>
            <w:r>
              <w:rPr>
                <w:rFonts w:ascii="Verdana" w:hAnsi="Verdana"/>
                <w:sz w:val="20"/>
                <w:szCs w:val="20"/>
              </w:rPr>
              <w:t>88,87%</w:t>
            </w:r>
          </w:p>
        </w:tc>
        <w:tc>
          <w:tcPr>
            <w:tcW w:w="1303"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CBEA46C" w14:textId="03B3AF5F" w:rsidR="00FB4F55" w:rsidRDefault="00057009">
            <w:pPr>
              <w:spacing w:line="240" w:lineRule="auto"/>
              <w:jc w:val="center"/>
              <w:rPr>
                <w:rFonts w:ascii="Verdana" w:hAnsi="Verdana"/>
                <w:sz w:val="20"/>
                <w:szCs w:val="20"/>
              </w:rPr>
            </w:pPr>
            <w:r>
              <w:rPr>
                <w:rFonts w:ascii="Verdana" w:hAnsi="Verdana"/>
                <w:sz w:val="20"/>
                <w:szCs w:val="20"/>
              </w:rPr>
              <w:t>13,16%</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8B6A16B" w14:textId="56EF9633" w:rsidR="00FB4F55" w:rsidRDefault="00057009">
            <w:pPr>
              <w:spacing w:line="240" w:lineRule="auto"/>
              <w:jc w:val="center"/>
              <w:rPr>
                <w:rFonts w:ascii="Verdana" w:hAnsi="Verdana"/>
                <w:sz w:val="20"/>
                <w:szCs w:val="20"/>
              </w:rPr>
            </w:pPr>
            <w:r>
              <w:rPr>
                <w:rFonts w:ascii="Verdana" w:hAnsi="Verdana"/>
                <w:sz w:val="20"/>
                <w:szCs w:val="20"/>
              </w:rPr>
              <w:t>1,97%</w:t>
            </w:r>
          </w:p>
        </w:tc>
        <w:tc>
          <w:tcPr>
            <w:tcW w:w="1134"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215B6C13" w14:textId="77777777" w:rsidR="00FB4F55" w:rsidRDefault="00FB4F55">
            <w:pPr>
              <w:spacing w:line="240" w:lineRule="auto"/>
              <w:rPr>
                <w:rFonts w:ascii="Verdana" w:hAnsi="Verdana"/>
                <w:sz w:val="20"/>
                <w:szCs w:val="20"/>
              </w:rPr>
            </w:pPr>
          </w:p>
        </w:tc>
        <w:tc>
          <w:tcPr>
            <w:tcW w:w="1093" w:type="dxa"/>
            <w:tcBorders>
              <w:top w:val="single" w:sz="12" w:space="0" w:color="595959"/>
              <w:left w:val="single" w:sz="12" w:space="0" w:color="595959"/>
              <w:bottom w:val="single" w:sz="12" w:space="0" w:color="595959"/>
              <w:right w:val="single" w:sz="12" w:space="0" w:color="595959"/>
            </w:tcBorders>
            <w:shd w:val="clear" w:color="auto" w:fill="auto"/>
            <w:tcMar>
              <w:top w:w="144" w:type="dxa"/>
              <w:left w:w="144" w:type="dxa"/>
              <w:bottom w:w="144" w:type="dxa"/>
              <w:right w:w="144" w:type="dxa"/>
            </w:tcMar>
            <w:vAlign w:val="center"/>
          </w:tcPr>
          <w:p w14:paraId="4B4DE573" w14:textId="77777777" w:rsidR="00FB4F55" w:rsidRDefault="00FB4F55">
            <w:pPr>
              <w:spacing w:line="240" w:lineRule="auto"/>
              <w:rPr>
                <w:rFonts w:ascii="Verdana" w:hAnsi="Verdana"/>
                <w:sz w:val="20"/>
                <w:szCs w:val="20"/>
              </w:rPr>
            </w:pPr>
          </w:p>
        </w:tc>
        <w:tc>
          <w:tcPr>
            <w:tcW w:w="1472" w:type="dxa"/>
            <w:tcBorders>
              <w:top w:val="single" w:sz="12" w:space="0" w:color="595959"/>
              <w:left w:val="single" w:sz="12" w:space="0" w:color="595959"/>
              <w:bottom w:val="single" w:sz="12" w:space="0" w:color="595959"/>
              <w:right w:val="single" w:sz="12" w:space="0" w:color="595959"/>
            </w:tcBorders>
          </w:tcPr>
          <w:p w14:paraId="02CF5001" w14:textId="77777777" w:rsidR="00057009" w:rsidRDefault="00057009" w:rsidP="00057009">
            <w:pPr>
              <w:spacing w:line="240" w:lineRule="auto"/>
              <w:jc w:val="center"/>
              <w:rPr>
                <w:rFonts w:ascii="Verdana" w:hAnsi="Verdana"/>
                <w:sz w:val="20"/>
                <w:szCs w:val="20"/>
              </w:rPr>
            </w:pPr>
          </w:p>
          <w:p w14:paraId="471ACEDA" w14:textId="77777777" w:rsidR="00057009" w:rsidRDefault="00057009" w:rsidP="00057009">
            <w:pPr>
              <w:spacing w:line="240" w:lineRule="auto"/>
              <w:jc w:val="center"/>
              <w:rPr>
                <w:rFonts w:ascii="Verdana" w:hAnsi="Verdana"/>
                <w:sz w:val="20"/>
                <w:szCs w:val="20"/>
              </w:rPr>
            </w:pPr>
          </w:p>
          <w:p w14:paraId="066850BC" w14:textId="663CD741" w:rsidR="00FB4F55" w:rsidRDefault="00057009" w:rsidP="00057009">
            <w:pPr>
              <w:spacing w:line="240" w:lineRule="auto"/>
              <w:jc w:val="center"/>
              <w:rPr>
                <w:rFonts w:ascii="Verdana" w:hAnsi="Verdana"/>
                <w:sz w:val="20"/>
                <w:szCs w:val="20"/>
              </w:rPr>
            </w:pPr>
            <w:r>
              <w:rPr>
                <w:rFonts w:ascii="Verdana" w:hAnsi="Verdana"/>
                <w:sz w:val="20"/>
                <w:szCs w:val="20"/>
              </w:rPr>
              <w:t>100%</w:t>
            </w:r>
          </w:p>
        </w:tc>
      </w:tr>
    </w:tbl>
    <w:p w14:paraId="46DA7C2B" w14:textId="77777777" w:rsidR="00FB4F55" w:rsidRDefault="00FB4F55">
      <w:pPr>
        <w:spacing w:line="240" w:lineRule="auto"/>
        <w:jc w:val="both"/>
        <w:rPr>
          <w:rFonts w:ascii="Verdana" w:hAnsi="Verdana"/>
          <w:b/>
          <w:bCs/>
          <w:sz w:val="20"/>
          <w:szCs w:val="20"/>
        </w:rPr>
      </w:pPr>
    </w:p>
    <w:sectPr w:rsidR="00FB4F55" w:rsidSect="002541AC">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5A67" w14:textId="77777777" w:rsidR="00707366" w:rsidRDefault="00707366">
      <w:pPr>
        <w:spacing w:after="0" w:line="240" w:lineRule="auto"/>
      </w:pPr>
      <w:r>
        <w:separator/>
      </w:r>
    </w:p>
  </w:endnote>
  <w:endnote w:type="continuationSeparator" w:id="0">
    <w:p w14:paraId="4D199D27" w14:textId="77777777" w:rsidR="00707366" w:rsidRDefault="007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01B9" w14:textId="77777777" w:rsidR="00707366" w:rsidRDefault="00707366">
      <w:pPr>
        <w:spacing w:after="0" w:line="240" w:lineRule="auto"/>
      </w:pPr>
      <w:r>
        <w:separator/>
      </w:r>
    </w:p>
  </w:footnote>
  <w:footnote w:type="continuationSeparator" w:id="0">
    <w:p w14:paraId="19879928" w14:textId="77777777" w:rsidR="00707366" w:rsidRDefault="007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58B"/>
    <w:multiLevelType w:val="hybridMultilevel"/>
    <w:tmpl w:val="AA005996"/>
    <w:lvl w:ilvl="0" w:tplc="4378C254">
      <w:start w:val="1"/>
      <w:numFmt w:val="bullet"/>
      <w:lvlText w:val=""/>
      <w:lvlJc w:val="left"/>
      <w:pPr>
        <w:ind w:left="1080" w:hanging="360"/>
      </w:pPr>
      <w:rPr>
        <w:rFonts w:ascii="Symbol" w:hAnsi="Symbol" w:hint="default"/>
      </w:rPr>
    </w:lvl>
    <w:lvl w:ilvl="1" w:tplc="BE2AFAE4">
      <w:start w:val="1"/>
      <w:numFmt w:val="bullet"/>
      <w:lvlText w:val="o"/>
      <w:lvlJc w:val="left"/>
      <w:pPr>
        <w:ind w:left="1800" w:hanging="360"/>
      </w:pPr>
      <w:rPr>
        <w:rFonts w:ascii="Courier New" w:hAnsi="Courier New" w:cs="Courier New" w:hint="default"/>
      </w:rPr>
    </w:lvl>
    <w:lvl w:ilvl="2" w:tplc="B5FE85A0">
      <w:start w:val="1"/>
      <w:numFmt w:val="bullet"/>
      <w:lvlText w:val=""/>
      <w:lvlJc w:val="left"/>
      <w:pPr>
        <w:ind w:left="2520" w:hanging="360"/>
      </w:pPr>
      <w:rPr>
        <w:rFonts w:ascii="Wingdings" w:hAnsi="Wingdings" w:hint="default"/>
      </w:rPr>
    </w:lvl>
    <w:lvl w:ilvl="3" w:tplc="D5AE00E6">
      <w:start w:val="1"/>
      <w:numFmt w:val="bullet"/>
      <w:lvlText w:val=""/>
      <w:lvlJc w:val="left"/>
      <w:pPr>
        <w:ind w:left="3240" w:hanging="360"/>
      </w:pPr>
      <w:rPr>
        <w:rFonts w:ascii="Symbol" w:hAnsi="Symbol" w:hint="default"/>
      </w:rPr>
    </w:lvl>
    <w:lvl w:ilvl="4" w:tplc="E98AEDB8">
      <w:start w:val="1"/>
      <w:numFmt w:val="bullet"/>
      <w:lvlText w:val="o"/>
      <w:lvlJc w:val="left"/>
      <w:pPr>
        <w:ind w:left="3960" w:hanging="360"/>
      </w:pPr>
      <w:rPr>
        <w:rFonts w:ascii="Courier New" w:hAnsi="Courier New" w:cs="Courier New" w:hint="default"/>
      </w:rPr>
    </w:lvl>
    <w:lvl w:ilvl="5" w:tplc="49606732">
      <w:start w:val="1"/>
      <w:numFmt w:val="bullet"/>
      <w:lvlText w:val=""/>
      <w:lvlJc w:val="left"/>
      <w:pPr>
        <w:ind w:left="4680" w:hanging="360"/>
      </w:pPr>
      <w:rPr>
        <w:rFonts w:ascii="Wingdings" w:hAnsi="Wingdings" w:hint="default"/>
      </w:rPr>
    </w:lvl>
    <w:lvl w:ilvl="6" w:tplc="59E06A70">
      <w:start w:val="1"/>
      <w:numFmt w:val="bullet"/>
      <w:lvlText w:val=""/>
      <w:lvlJc w:val="left"/>
      <w:pPr>
        <w:ind w:left="5400" w:hanging="360"/>
      </w:pPr>
      <w:rPr>
        <w:rFonts w:ascii="Symbol" w:hAnsi="Symbol" w:hint="default"/>
      </w:rPr>
    </w:lvl>
    <w:lvl w:ilvl="7" w:tplc="BF7A2DC8">
      <w:start w:val="1"/>
      <w:numFmt w:val="bullet"/>
      <w:lvlText w:val="o"/>
      <w:lvlJc w:val="left"/>
      <w:pPr>
        <w:ind w:left="6120" w:hanging="360"/>
      </w:pPr>
      <w:rPr>
        <w:rFonts w:ascii="Courier New" w:hAnsi="Courier New" w:cs="Courier New" w:hint="default"/>
      </w:rPr>
    </w:lvl>
    <w:lvl w:ilvl="8" w:tplc="B85E689C">
      <w:start w:val="1"/>
      <w:numFmt w:val="bullet"/>
      <w:lvlText w:val=""/>
      <w:lvlJc w:val="left"/>
      <w:pPr>
        <w:ind w:left="6840" w:hanging="360"/>
      </w:pPr>
      <w:rPr>
        <w:rFonts w:ascii="Wingdings" w:hAnsi="Wingdings" w:hint="default"/>
      </w:rPr>
    </w:lvl>
  </w:abstractNum>
  <w:abstractNum w:abstractNumId="1" w15:restartNumberingAfterBreak="0">
    <w:nsid w:val="11A227F6"/>
    <w:multiLevelType w:val="hybridMultilevel"/>
    <w:tmpl w:val="6BC848F6"/>
    <w:lvl w:ilvl="0" w:tplc="825CA6E2">
      <w:start w:val="1"/>
      <w:numFmt w:val="bullet"/>
      <w:lvlText w:val=""/>
      <w:lvlJc w:val="left"/>
      <w:pPr>
        <w:tabs>
          <w:tab w:val="num" w:pos="720"/>
        </w:tabs>
        <w:ind w:left="720" w:hanging="360"/>
      </w:pPr>
      <w:rPr>
        <w:rFonts w:ascii="Symbol" w:hAnsi="Symbol" w:hint="default"/>
        <w:sz w:val="20"/>
      </w:rPr>
    </w:lvl>
    <w:lvl w:ilvl="1" w:tplc="B64C038E">
      <w:start w:val="1"/>
      <w:numFmt w:val="bullet"/>
      <w:lvlText w:val="o"/>
      <w:lvlJc w:val="left"/>
      <w:pPr>
        <w:tabs>
          <w:tab w:val="num" w:pos="1440"/>
        </w:tabs>
        <w:ind w:left="1440" w:hanging="360"/>
      </w:pPr>
      <w:rPr>
        <w:rFonts w:ascii="Courier New" w:hAnsi="Courier New" w:hint="default"/>
        <w:sz w:val="20"/>
      </w:rPr>
    </w:lvl>
    <w:lvl w:ilvl="2" w:tplc="C7F0C4CC">
      <w:start w:val="1"/>
      <w:numFmt w:val="bullet"/>
      <w:lvlText w:val=""/>
      <w:lvlJc w:val="left"/>
      <w:pPr>
        <w:tabs>
          <w:tab w:val="num" w:pos="2160"/>
        </w:tabs>
        <w:ind w:left="2160" w:hanging="360"/>
      </w:pPr>
      <w:rPr>
        <w:rFonts w:ascii="Wingdings" w:hAnsi="Wingdings" w:hint="default"/>
        <w:sz w:val="20"/>
      </w:rPr>
    </w:lvl>
    <w:lvl w:ilvl="3" w:tplc="6E52ACA2">
      <w:start w:val="1"/>
      <w:numFmt w:val="bullet"/>
      <w:lvlText w:val=""/>
      <w:lvlJc w:val="left"/>
      <w:pPr>
        <w:tabs>
          <w:tab w:val="num" w:pos="2880"/>
        </w:tabs>
        <w:ind w:left="2880" w:hanging="360"/>
      </w:pPr>
      <w:rPr>
        <w:rFonts w:ascii="Wingdings" w:hAnsi="Wingdings" w:hint="default"/>
        <w:sz w:val="20"/>
      </w:rPr>
    </w:lvl>
    <w:lvl w:ilvl="4" w:tplc="4530C33C">
      <w:start w:val="1"/>
      <w:numFmt w:val="bullet"/>
      <w:lvlText w:val=""/>
      <w:lvlJc w:val="left"/>
      <w:pPr>
        <w:tabs>
          <w:tab w:val="num" w:pos="3600"/>
        </w:tabs>
        <w:ind w:left="3600" w:hanging="360"/>
      </w:pPr>
      <w:rPr>
        <w:rFonts w:ascii="Wingdings" w:hAnsi="Wingdings" w:hint="default"/>
        <w:sz w:val="20"/>
      </w:rPr>
    </w:lvl>
    <w:lvl w:ilvl="5" w:tplc="517EB764">
      <w:start w:val="1"/>
      <w:numFmt w:val="bullet"/>
      <w:lvlText w:val=""/>
      <w:lvlJc w:val="left"/>
      <w:pPr>
        <w:tabs>
          <w:tab w:val="num" w:pos="4320"/>
        </w:tabs>
        <w:ind w:left="4320" w:hanging="360"/>
      </w:pPr>
      <w:rPr>
        <w:rFonts w:ascii="Wingdings" w:hAnsi="Wingdings" w:hint="default"/>
        <w:sz w:val="20"/>
      </w:rPr>
    </w:lvl>
    <w:lvl w:ilvl="6" w:tplc="178237BC">
      <w:start w:val="1"/>
      <w:numFmt w:val="bullet"/>
      <w:lvlText w:val=""/>
      <w:lvlJc w:val="left"/>
      <w:pPr>
        <w:tabs>
          <w:tab w:val="num" w:pos="5040"/>
        </w:tabs>
        <w:ind w:left="5040" w:hanging="360"/>
      </w:pPr>
      <w:rPr>
        <w:rFonts w:ascii="Wingdings" w:hAnsi="Wingdings" w:hint="default"/>
        <w:sz w:val="20"/>
      </w:rPr>
    </w:lvl>
    <w:lvl w:ilvl="7" w:tplc="9C748C4E">
      <w:start w:val="1"/>
      <w:numFmt w:val="bullet"/>
      <w:lvlText w:val=""/>
      <w:lvlJc w:val="left"/>
      <w:pPr>
        <w:tabs>
          <w:tab w:val="num" w:pos="5760"/>
        </w:tabs>
        <w:ind w:left="5760" w:hanging="360"/>
      </w:pPr>
      <w:rPr>
        <w:rFonts w:ascii="Wingdings" w:hAnsi="Wingdings" w:hint="default"/>
        <w:sz w:val="20"/>
      </w:rPr>
    </w:lvl>
    <w:lvl w:ilvl="8" w:tplc="0DE43D32">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04B61"/>
    <w:multiLevelType w:val="hybridMultilevel"/>
    <w:tmpl w:val="FA1CA8E2"/>
    <w:lvl w:ilvl="0" w:tplc="6F66135C">
      <w:start w:val="1"/>
      <w:numFmt w:val="bullet"/>
      <w:lvlText w:val=""/>
      <w:lvlJc w:val="left"/>
      <w:pPr>
        <w:tabs>
          <w:tab w:val="num" w:pos="720"/>
        </w:tabs>
        <w:ind w:left="720" w:hanging="360"/>
      </w:pPr>
      <w:rPr>
        <w:rFonts w:ascii="Symbol" w:hAnsi="Symbol" w:hint="default"/>
        <w:sz w:val="20"/>
      </w:rPr>
    </w:lvl>
    <w:lvl w:ilvl="1" w:tplc="FB6056CE">
      <w:start w:val="1"/>
      <w:numFmt w:val="bullet"/>
      <w:lvlText w:val="o"/>
      <w:lvlJc w:val="left"/>
      <w:pPr>
        <w:tabs>
          <w:tab w:val="num" w:pos="1440"/>
        </w:tabs>
        <w:ind w:left="1440" w:hanging="360"/>
      </w:pPr>
      <w:rPr>
        <w:rFonts w:ascii="Courier New" w:hAnsi="Courier New" w:hint="default"/>
        <w:sz w:val="20"/>
      </w:rPr>
    </w:lvl>
    <w:lvl w:ilvl="2" w:tplc="8A0A3F7E">
      <w:start w:val="1"/>
      <w:numFmt w:val="bullet"/>
      <w:lvlText w:val=""/>
      <w:lvlJc w:val="left"/>
      <w:pPr>
        <w:tabs>
          <w:tab w:val="num" w:pos="2160"/>
        </w:tabs>
        <w:ind w:left="2160" w:hanging="360"/>
      </w:pPr>
      <w:rPr>
        <w:rFonts w:ascii="Wingdings" w:hAnsi="Wingdings" w:hint="default"/>
        <w:sz w:val="20"/>
      </w:rPr>
    </w:lvl>
    <w:lvl w:ilvl="3" w:tplc="147C1FDE">
      <w:start w:val="1"/>
      <w:numFmt w:val="bullet"/>
      <w:lvlText w:val=""/>
      <w:lvlJc w:val="left"/>
      <w:pPr>
        <w:tabs>
          <w:tab w:val="num" w:pos="2880"/>
        </w:tabs>
        <w:ind w:left="2880" w:hanging="360"/>
      </w:pPr>
      <w:rPr>
        <w:rFonts w:ascii="Wingdings" w:hAnsi="Wingdings" w:hint="default"/>
        <w:sz w:val="20"/>
      </w:rPr>
    </w:lvl>
    <w:lvl w:ilvl="4" w:tplc="F174A740">
      <w:start w:val="1"/>
      <w:numFmt w:val="bullet"/>
      <w:lvlText w:val=""/>
      <w:lvlJc w:val="left"/>
      <w:pPr>
        <w:tabs>
          <w:tab w:val="num" w:pos="3600"/>
        </w:tabs>
        <w:ind w:left="3600" w:hanging="360"/>
      </w:pPr>
      <w:rPr>
        <w:rFonts w:ascii="Wingdings" w:hAnsi="Wingdings" w:hint="default"/>
        <w:sz w:val="20"/>
      </w:rPr>
    </w:lvl>
    <w:lvl w:ilvl="5" w:tplc="C8FE458C">
      <w:start w:val="1"/>
      <w:numFmt w:val="bullet"/>
      <w:lvlText w:val=""/>
      <w:lvlJc w:val="left"/>
      <w:pPr>
        <w:tabs>
          <w:tab w:val="num" w:pos="4320"/>
        </w:tabs>
        <w:ind w:left="4320" w:hanging="360"/>
      </w:pPr>
      <w:rPr>
        <w:rFonts w:ascii="Wingdings" w:hAnsi="Wingdings" w:hint="default"/>
        <w:sz w:val="20"/>
      </w:rPr>
    </w:lvl>
    <w:lvl w:ilvl="6" w:tplc="62CE15FC">
      <w:start w:val="1"/>
      <w:numFmt w:val="bullet"/>
      <w:lvlText w:val=""/>
      <w:lvlJc w:val="left"/>
      <w:pPr>
        <w:tabs>
          <w:tab w:val="num" w:pos="5040"/>
        </w:tabs>
        <w:ind w:left="5040" w:hanging="360"/>
      </w:pPr>
      <w:rPr>
        <w:rFonts w:ascii="Wingdings" w:hAnsi="Wingdings" w:hint="default"/>
        <w:sz w:val="20"/>
      </w:rPr>
    </w:lvl>
    <w:lvl w:ilvl="7" w:tplc="BDF847B8">
      <w:start w:val="1"/>
      <w:numFmt w:val="bullet"/>
      <w:lvlText w:val=""/>
      <w:lvlJc w:val="left"/>
      <w:pPr>
        <w:tabs>
          <w:tab w:val="num" w:pos="5760"/>
        </w:tabs>
        <w:ind w:left="5760" w:hanging="360"/>
      </w:pPr>
      <w:rPr>
        <w:rFonts w:ascii="Wingdings" w:hAnsi="Wingdings" w:hint="default"/>
        <w:sz w:val="20"/>
      </w:rPr>
    </w:lvl>
    <w:lvl w:ilvl="8" w:tplc="DF3CA29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15450"/>
    <w:multiLevelType w:val="hybridMultilevel"/>
    <w:tmpl w:val="A6CC6AB0"/>
    <w:lvl w:ilvl="0" w:tplc="4DCC01BE">
      <w:start w:val="1"/>
      <w:numFmt w:val="bullet"/>
      <w:lvlText w:val=""/>
      <w:lvlJc w:val="left"/>
      <w:pPr>
        <w:tabs>
          <w:tab w:val="num" w:pos="720"/>
        </w:tabs>
        <w:ind w:left="720" w:hanging="360"/>
      </w:pPr>
      <w:rPr>
        <w:rFonts w:ascii="Symbol" w:hAnsi="Symbol" w:hint="default"/>
        <w:sz w:val="20"/>
      </w:rPr>
    </w:lvl>
    <w:lvl w:ilvl="1" w:tplc="26028552">
      <w:start w:val="1"/>
      <w:numFmt w:val="bullet"/>
      <w:lvlText w:val="o"/>
      <w:lvlJc w:val="left"/>
      <w:pPr>
        <w:tabs>
          <w:tab w:val="num" w:pos="1440"/>
        </w:tabs>
        <w:ind w:left="1440" w:hanging="360"/>
      </w:pPr>
      <w:rPr>
        <w:rFonts w:ascii="Courier New" w:hAnsi="Courier New" w:hint="default"/>
        <w:sz w:val="20"/>
      </w:rPr>
    </w:lvl>
    <w:lvl w:ilvl="2" w:tplc="07523898">
      <w:start w:val="1"/>
      <w:numFmt w:val="bullet"/>
      <w:lvlText w:val=""/>
      <w:lvlJc w:val="left"/>
      <w:pPr>
        <w:tabs>
          <w:tab w:val="num" w:pos="2160"/>
        </w:tabs>
        <w:ind w:left="2160" w:hanging="360"/>
      </w:pPr>
      <w:rPr>
        <w:rFonts w:ascii="Wingdings" w:hAnsi="Wingdings" w:hint="default"/>
        <w:sz w:val="20"/>
      </w:rPr>
    </w:lvl>
    <w:lvl w:ilvl="3" w:tplc="AC9EA87C">
      <w:start w:val="1"/>
      <w:numFmt w:val="bullet"/>
      <w:lvlText w:val=""/>
      <w:lvlJc w:val="left"/>
      <w:pPr>
        <w:tabs>
          <w:tab w:val="num" w:pos="2880"/>
        </w:tabs>
        <w:ind w:left="2880" w:hanging="360"/>
      </w:pPr>
      <w:rPr>
        <w:rFonts w:ascii="Wingdings" w:hAnsi="Wingdings" w:hint="default"/>
        <w:sz w:val="20"/>
      </w:rPr>
    </w:lvl>
    <w:lvl w:ilvl="4" w:tplc="2F2867D6">
      <w:start w:val="1"/>
      <w:numFmt w:val="bullet"/>
      <w:lvlText w:val=""/>
      <w:lvlJc w:val="left"/>
      <w:pPr>
        <w:tabs>
          <w:tab w:val="num" w:pos="3600"/>
        </w:tabs>
        <w:ind w:left="3600" w:hanging="360"/>
      </w:pPr>
      <w:rPr>
        <w:rFonts w:ascii="Wingdings" w:hAnsi="Wingdings" w:hint="default"/>
        <w:sz w:val="20"/>
      </w:rPr>
    </w:lvl>
    <w:lvl w:ilvl="5" w:tplc="0696E286">
      <w:start w:val="1"/>
      <w:numFmt w:val="bullet"/>
      <w:lvlText w:val=""/>
      <w:lvlJc w:val="left"/>
      <w:pPr>
        <w:tabs>
          <w:tab w:val="num" w:pos="4320"/>
        </w:tabs>
        <w:ind w:left="4320" w:hanging="360"/>
      </w:pPr>
      <w:rPr>
        <w:rFonts w:ascii="Wingdings" w:hAnsi="Wingdings" w:hint="default"/>
        <w:sz w:val="20"/>
      </w:rPr>
    </w:lvl>
    <w:lvl w:ilvl="6" w:tplc="DE087564">
      <w:start w:val="1"/>
      <w:numFmt w:val="bullet"/>
      <w:lvlText w:val=""/>
      <w:lvlJc w:val="left"/>
      <w:pPr>
        <w:tabs>
          <w:tab w:val="num" w:pos="5040"/>
        </w:tabs>
        <w:ind w:left="5040" w:hanging="360"/>
      </w:pPr>
      <w:rPr>
        <w:rFonts w:ascii="Wingdings" w:hAnsi="Wingdings" w:hint="default"/>
        <w:sz w:val="20"/>
      </w:rPr>
    </w:lvl>
    <w:lvl w:ilvl="7" w:tplc="E94C9D46">
      <w:start w:val="1"/>
      <w:numFmt w:val="bullet"/>
      <w:lvlText w:val=""/>
      <w:lvlJc w:val="left"/>
      <w:pPr>
        <w:tabs>
          <w:tab w:val="num" w:pos="5760"/>
        </w:tabs>
        <w:ind w:left="5760" w:hanging="360"/>
      </w:pPr>
      <w:rPr>
        <w:rFonts w:ascii="Wingdings" w:hAnsi="Wingdings" w:hint="default"/>
        <w:sz w:val="20"/>
      </w:rPr>
    </w:lvl>
    <w:lvl w:ilvl="8" w:tplc="1C449D5A">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23799"/>
    <w:multiLevelType w:val="hybridMultilevel"/>
    <w:tmpl w:val="5C24606E"/>
    <w:lvl w:ilvl="0" w:tplc="C34E38EA">
      <w:start w:val="1"/>
      <w:numFmt w:val="bullet"/>
      <w:lvlText w:val=""/>
      <w:lvlJc w:val="left"/>
      <w:pPr>
        <w:tabs>
          <w:tab w:val="num" w:pos="720"/>
        </w:tabs>
        <w:ind w:left="720" w:hanging="360"/>
      </w:pPr>
      <w:rPr>
        <w:rFonts w:ascii="Symbol" w:hAnsi="Symbol" w:hint="default"/>
        <w:sz w:val="20"/>
      </w:rPr>
    </w:lvl>
    <w:lvl w:ilvl="1" w:tplc="E320E06C">
      <w:start w:val="1"/>
      <w:numFmt w:val="decimal"/>
      <w:lvlText w:val="%2."/>
      <w:lvlJc w:val="left"/>
      <w:pPr>
        <w:ind w:left="1440" w:hanging="360"/>
      </w:pPr>
      <w:rPr>
        <w:rFonts w:ascii="Arial" w:hAnsi="Arial" w:cs="Arial" w:hint="default"/>
        <w:color w:val="222222"/>
      </w:rPr>
    </w:lvl>
    <w:lvl w:ilvl="2" w:tplc="398E44EA">
      <w:start w:val="1"/>
      <w:numFmt w:val="bullet"/>
      <w:lvlText w:val=""/>
      <w:lvlJc w:val="left"/>
      <w:pPr>
        <w:tabs>
          <w:tab w:val="num" w:pos="2160"/>
        </w:tabs>
        <w:ind w:left="2160" w:hanging="360"/>
      </w:pPr>
      <w:rPr>
        <w:rFonts w:ascii="Wingdings" w:hAnsi="Wingdings" w:hint="default"/>
        <w:sz w:val="20"/>
      </w:rPr>
    </w:lvl>
    <w:lvl w:ilvl="3" w:tplc="383CB18A">
      <w:start w:val="1"/>
      <w:numFmt w:val="bullet"/>
      <w:lvlText w:val=""/>
      <w:lvlJc w:val="left"/>
      <w:pPr>
        <w:tabs>
          <w:tab w:val="num" w:pos="2880"/>
        </w:tabs>
        <w:ind w:left="2880" w:hanging="360"/>
      </w:pPr>
      <w:rPr>
        <w:rFonts w:ascii="Wingdings" w:hAnsi="Wingdings" w:hint="default"/>
        <w:sz w:val="20"/>
      </w:rPr>
    </w:lvl>
    <w:lvl w:ilvl="4" w:tplc="8D92BEA0">
      <w:start w:val="1"/>
      <w:numFmt w:val="bullet"/>
      <w:lvlText w:val=""/>
      <w:lvlJc w:val="left"/>
      <w:pPr>
        <w:tabs>
          <w:tab w:val="num" w:pos="3600"/>
        </w:tabs>
        <w:ind w:left="3600" w:hanging="360"/>
      </w:pPr>
      <w:rPr>
        <w:rFonts w:ascii="Wingdings" w:hAnsi="Wingdings" w:hint="default"/>
        <w:sz w:val="20"/>
      </w:rPr>
    </w:lvl>
    <w:lvl w:ilvl="5" w:tplc="802821E0">
      <w:start w:val="1"/>
      <w:numFmt w:val="bullet"/>
      <w:lvlText w:val=""/>
      <w:lvlJc w:val="left"/>
      <w:pPr>
        <w:tabs>
          <w:tab w:val="num" w:pos="4320"/>
        </w:tabs>
        <w:ind w:left="4320" w:hanging="360"/>
      </w:pPr>
      <w:rPr>
        <w:rFonts w:ascii="Wingdings" w:hAnsi="Wingdings" w:hint="default"/>
        <w:sz w:val="20"/>
      </w:rPr>
    </w:lvl>
    <w:lvl w:ilvl="6" w:tplc="D2CC5AF2">
      <w:start w:val="1"/>
      <w:numFmt w:val="bullet"/>
      <w:lvlText w:val=""/>
      <w:lvlJc w:val="left"/>
      <w:pPr>
        <w:tabs>
          <w:tab w:val="num" w:pos="5040"/>
        </w:tabs>
        <w:ind w:left="5040" w:hanging="360"/>
      </w:pPr>
      <w:rPr>
        <w:rFonts w:ascii="Wingdings" w:hAnsi="Wingdings" w:hint="default"/>
        <w:sz w:val="20"/>
      </w:rPr>
    </w:lvl>
    <w:lvl w:ilvl="7" w:tplc="8092CC66">
      <w:start w:val="1"/>
      <w:numFmt w:val="bullet"/>
      <w:lvlText w:val=""/>
      <w:lvlJc w:val="left"/>
      <w:pPr>
        <w:tabs>
          <w:tab w:val="num" w:pos="5760"/>
        </w:tabs>
        <w:ind w:left="5760" w:hanging="360"/>
      </w:pPr>
      <w:rPr>
        <w:rFonts w:ascii="Wingdings" w:hAnsi="Wingdings" w:hint="default"/>
        <w:sz w:val="20"/>
      </w:rPr>
    </w:lvl>
    <w:lvl w:ilvl="8" w:tplc="1552479A">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D347F"/>
    <w:multiLevelType w:val="hybridMultilevel"/>
    <w:tmpl w:val="51E66C74"/>
    <w:lvl w:ilvl="0" w:tplc="3D5C54CE">
      <w:start w:val="1"/>
      <w:numFmt w:val="bullet"/>
      <w:lvlText w:val=""/>
      <w:lvlJc w:val="left"/>
      <w:pPr>
        <w:tabs>
          <w:tab w:val="num" w:pos="720"/>
        </w:tabs>
        <w:ind w:left="720" w:hanging="360"/>
      </w:pPr>
      <w:rPr>
        <w:rFonts w:ascii="Symbol" w:hAnsi="Symbol" w:hint="default"/>
        <w:sz w:val="20"/>
      </w:rPr>
    </w:lvl>
    <w:lvl w:ilvl="1" w:tplc="BD5AB05A">
      <w:start w:val="1"/>
      <w:numFmt w:val="bullet"/>
      <w:lvlText w:val="o"/>
      <w:lvlJc w:val="left"/>
      <w:pPr>
        <w:tabs>
          <w:tab w:val="num" w:pos="1440"/>
        </w:tabs>
        <w:ind w:left="1440" w:hanging="360"/>
      </w:pPr>
      <w:rPr>
        <w:rFonts w:ascii="Courier New" w:hAnsi="Courier New" w:hint="default"/>
        <w:sz w:val="20"/>
      </w:rPr>
    </w:lvl>
    <w:lvl w:ilvl="2" w:tplc="DA266082">
      <w:start w:val="1"/>
      <w:numFmt w:val="bullet"/>
      <w:lvlText w:val=""/>
      <w:lvlJc w:val="left"/>
      <w:pPr>
        <w:tabs>
          <w:tab w:val="num" w:pos="2160"/>
        </w:tabs>
        <w:ind w:left="2160" w:hanging="360"/>
      </w:pPr>
      <w:rPr>
        <w:rFonts w:ascii="Wingdings" w:hAnsi="Wingdings" w:hint="default"/>
        <w:sz w:val="20"/>
      </w:rPr>
    </w:lvl>
    <w:lvl w:ilvl="3" w:tplc="DBF49814">
      <w:start w:val="1"/>
      <w:numFmt w:val="bullet"/>
      <w:lvlText w:val=""/>
      <w:lvlJc w:val="left"/>
      <w:pPr>
        <w:tabs>
          <w:tab w:val="num" w:pos="2880"/>
        </w:tabs>
        <w:ind w:left="2880" w:hanging="360"/>
      </w:pPr>
      <w:rPr>
        <w:rFonts w:ascii="Wingdings" w:hAnsi="Wingdings" w:hint="default"/>
        <w:sz w:val="20"/>
      </w:rPr>
    </w:lvl>
    <w:lvl w:ilvl="4" w:tplc="A04033B2">
      <w:start w:val="1"/>
      <w:numFmt w:val="bullet"/>
      <w:lvlText w:val=""/>
      <w:lvlJc w:val="left"/>
      <w:pPr>
        <w:tabs>
          <w:tab w:val="num" w:pos="3600"/>
        </w:tabs>
        <w:ind w:left="3600" w:hanging="360"/>
      </w:pPr>
      <w:rPr>
        <w:rFonts w:ascii="Wingdings" w:hAnsi="Wingdings" w:hint="default"/>
        <w:sz w:val="20"/>
      </w:rPr>
    </w:lvl>
    <w:lvl w:ilvl="5" w:tplc="998C29C6">
      <w:start w:val="1"/>
      <w:numFmt w:val="bullet"/>
      <w:lvlText w:val=""/>
      <w:lvlJc w:val="left"/>
      <w:pPr>
        <w:tabs>
          <w:tab w:val="num" w:pos="4320"/>
        </w:tabs>
        <w:ind w:left="4320" w:hanging="360"/>
      </w:pPr>
      <w:rPr>
        <w:rFonts w:ascii="Wingdings" w:hAnsi="Wingdings" w:hint="default"/>
        <w:sz w:val="20"/>
      </w:rPr>
    </w:lvl>
    <w:lvl w:ilvl="6" w:tplc="0E644D86">
      <w:start w:val="1"/>
      <w:numFmt w:val="bullet"/>
      <w:lvlText w:val=""/>
      <w:lvlJc w:val="left"/>
      <w:pPr>
        <w:tabs>
          <w:tab w:val="num" w:pos="5040"/>
        </w:tabs>
        <w:ind w:left="5040" w:hanging="360"/>
      </w:pPr>
      <w:rPr>
        <w:rFonts w:ascii="Wingdings" w:hAnsi="Wingdings" w:hint="default"/>
        <w:sz w:val="20"/>
      </w:rPr>
    </w:lvl>
    <w:lvl w:ilvl="7" w:tplc="7DDA9D58">
      <w:start w:val="1"/>
      <w:numFmt w:val="bullet"/>
      <w:lvlText w:val=""/>
      <w:lvlJc w:val="left"/>
      <w:pPr>
        <w:tabs>
          <w:tab w:val="num" w:pos="5760"/>
        </w:tabs>
        <w:ind w:left="5760" w:hanging="360"/>
      </w:pPr>
      <w:rPr>
        <w:rFonts w:ascii="Wingdings" w:hAnsi="Wingdings" w:hint="default"/>
        <w:sz w:val="20"/>
      </w:rPr>
    </w:lvl>
    <w:lvl w:ilvl="8" w:tplc="A2948A7E">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C4A0B"/>
    <w:multiLevelType w:val="hybridMultilevel"/>
    <w:tmpl w:val="84F2B844"/>
    <w:lvl w:ilvl="0" w:tplc="B67E7DAC">
      <w:start w:val="1"/>
      <w:numFmt w:val="bullet"/>
      <w:lvlText w:val=""/>
      <w:lvlJc w:val="left"/>
      <w:pPr>
        <w:tabs>
          <w:tab w:val="num" w:pos="720"/>
        </w:tabs>
        <w:ind w:left="720" w:hanging="360"/>
      </w:pPr>
      <w:rPr>
        <w:rFonts w:ascii="Symbol" w:hAnsi="Symbol" w:hint="default"/>
        <w:sz w:val="20"/>
      </w:rPr>
    </w:lvl>
    <w:lvl w:ilvl="1" w:tplc="9F1448BA">
      <w:start w:val="1"/>
      <w:numFmt w:val="bullet"/>
      <w:lvlText w:val="o"/>
      <w:lvlJc w:val="left"/>
      <w:pPr>
        <w:tabs>
          <w:tab w:val="num" w:pos="1440"/>
        </w:tabs>
        <w:ind w:left="1440" w:hanging="360"/>
      </w:pPr>
      <w:rPr>
        <w:rFonts w:ascii="Courier New" w:hAnsi="Courier New" w:hint="default"/>
        <w:sz w:val="20"/>
      </w:rPr>
    </w:lvl>
    <w:lvl w:ilvl="2" w:tplc="86FA9488">
      <w:start w:val="1"/>
      <w:numFmt w:val="bullet"/>
      <w:lvlText w:val=""/>
      <w:lvlJc w:val="left"/>
      <w:pPr>
        <w:tabs>
          <w:tab w:val="num" w:pos="2160"/>
        </w:tabs>
        <w:ind w:left="2160" w:hanging="360"/>
      </w:pPr>
      <w:rPr>
        <w:rFonts w:ascii="Wingdings" w:hAnsi="Wingdings" w:hint="default"/>
        <w:sz w:val="20"/>
      </w:rPr>
    </w:lvl>
    <w:lvl w:ilvl="3" w:tplc="9918A604">
      <w:start w:val="1"/>
      <w:numFmt w:val="bullet"/>
      <w:lvlText w:val=""/>
      <w:lvlJc w:val="left"/>
      <w:pPr>
        <w:tabs>
          <w:tab w:val="num" w:pos="2880"/>
        </w:tabs>
        <w:ind w:left="2880" w:hanging="360"/>
      </w:pPr>
      <w:rPr>
        <w:rFonts w:ascii="Wingdings" w:hAnsi="Wingdings" w:hint="default"/>
        <w:sz w:val="20"/>
      </w:rPr>
    </w:lvl>
    <w:lvl w:ilvl="4" w:tplc="85520DE6">
      <w:start w:val="1"/>
      <w:numFmt w:val="bullet"/>
      <w:lvlText w:val=""/>
      <w:lvlJc w:val="left"/>
      <w:pPr>
        <w:tabs>
          <w:tab w:val="num" w:pos="3600"/>
        </w:tabs>
        <w:ind w:left="3600" w:hanging="360"/>
      </w:pPr>
      <w:rPr>
        <w:rFonts w:ascii="Wingdings" w:hAnsi="Wingdings" w:hint="default"/>
        <w:sz w:val="20"/>
      </w:rPr>
    </w:lvl>
    <w:lvl w:ilvl="5" w:tplc="926E0560">
      <w:start w:val="1"/>
      <w:numFmt w:val="bullet"/>
      <w:lvlText w:val=""/>
      <w:lvlJc w:val="left"/>
      <w:pPr>
        <w:tabs>
          <w:tab w:val="num" w:pos="4320"/>
        </w:tabs>
        <w:ind w:left="4320" w:hanging="360"/>
      </w:pPr>
      <w:rPr>
        <w:rFonts w:ascii="Wingdings" w:hAnsi="Wingdings" w:hint="default"/>
        <w:sz w:val="20"/>
      </w:rPr>
    </w:lvl>
    <w:lvl w:ilvl="6" w:tplc="B3C2C966">
      <w:start w:val="1"/>
      <w:numFmt w:val="bullet"/>
      <w:lvlText w:val=""/>
      <w:lvlJc w:val="left"/>
      <w:pPr>
        <w:tabs>
          <w:tab w:val="num" w:pos="5040"/>
        </w:tabs>
        <w:ind w:left="5040" w:hanging="360"/>
      </w:pPr>
      <w:rPr>
        <w:rFonts w:ascii="Wingdings" w:hAnsi="Wingdings" w:hint="default"/>
        <w:sz w:val="20"/>
      </w:rPr>
    </w:lvl>
    <w:lvl w:ilvl="7" w:tplc="D670324C">
      <w:start w:val="1"/>
      <w:numFmt w:val="bullet"/>
      <w:lvlText w:val=""/>
      <w:lvlJc w:val="left"/>
      <w:pPr>
        <w:tabs>
          <w:tab w:val="num" w:pos="5760"/>
        </w:tabs>
        <w:ind w:left="5760" w:hanging="360"/>
      </w:pPr>
      <w:rPr>
        <w:rFonts w:ascii="Wingdings" w:hAnsi="Wingdings" w:hint="default"/>
        <w:sz w:val="20"/>
      </w:rPr>
    </w:lvl>
    <w:lvl w:ilvl="8" w:tplc="F67817EC">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958F6"/>
    <w:multiLevelType w:val="hybridMultilevel"/>
    <w:tmpl w:val="3E803094"/>
    <w:lvl w:ilvl="0" w:tplc="E3A61504">
      <w:start w:val="1"/>
      <w:numFmt w:val="bullet"/>
      <w:lvlText w:val=""/>
      <w:lvlJc w:val="left"/>
      <w:pPr>
        <w:tabs>
          <w:tab w:val="num" w:pos="720"/>
        </w:tabs>
        <w:ind w:left="720" w:hanging="360"/>
      </w:pPr>
      <w:rPr>
        <w:rFonts w:ascii="Symbol" w:hAnsi="Symbol" w:hint="default"/>
        <w:sz w:val="20"/>
      </w:rPr>
    </w:lvl>
    <w:lvl w:ilvl="1" w:tplc="B7A49FC2">
      <w:start w:val="1"/>
      <w:numFmt w:val="bullet"/>
      <w:lvlText w:val="o"/>
      <w:lvlJc w:val="left"/>
      <w:pPr>
        <w:tabs>
          <w:tab w:val="num" w:pos="1440"/>
        </w:tabs>
        <w:ind w:left="1440" w:hanging="360"/>
      </w:pPr>
      <w:rPr>
        <w:rFonts w:ascii="Courier New" w:hAnsi="Courier New" w:hint="default"/>
        <w:sz w:val="20"/>
      </w:rPr>
    </w:lvl>
    <w:lvl w:ilvl="2" w:tplc="6A2219E6">
      <w:start w:val="1"/>
      <w:numFmt w:val="bullet"/>
      <w:lvlText w:val=""/>
      <w:lvlJc w:val="left"/>
      <w:pPr>
        <w:tabs>
          <w:tab w:val="num" w:pos="2160"/>
        </w:tabs>
        <w:ind w:left="2160" w:hanging="360"/>
      </w:pPr>
      <w:rPr>
        <w:rFonts w:ascii="Wingdings" w:hAnsi="Wingdings" w:hint="default"/>
        <w:sz w:val="20"/>
      </w:rPr>
    </w:lvl>
    <w:lvl w:ilvl="3" w:tplc="E8302756">
      <w:start w:val="1"/>
      <w:numFmt w:val="bullet"/>
      <w:lvlText w:val=""/>
      <w:lvlJc w:val="left"/>
      <w:pPr>
        <w:tabs>
          <w:tab w:val="num" w:pos="2880"/>
        </w:tabs>
        <w:ind w:left="2880" w:hanging="360"/>
      </w:pPr>
      <w:rPr>
        <w:rFonts w:ascii="Wingdings" w:hAnsi="Wingdings" w:hint="default"/>
        <w:sz w:val="20"/>
      </w:rPr>
    </w:lvl>
    <w:lvl w:ilvl="4" w:tplc="567C293A">
      <w:start w:val="1"/>
      <w:numFmt w:val="bullet"/>
      <w:lvlText w:val=""/>
      <w:lvlJc w:val="left"/>
      <w:pPr>
        <w:tabs>
          <w:tab w:val="num" w:pos="3600"/>
        </w:tabs>
        <w:ind w:left="3600" w:hanging="360"/>
      </w:pPr>
      <w:rPr>
        <w:rFonts w:ascii="Wingdings" w:hAnsi="Wingdings" w:hint="default"/>
        <w:sz w:val="20"/>
      </w:rPr>
    </w:lvl>
    <w:lvl w:ilvl="5" w:tplc="FC807414">
      <w:start w:val="1"/>
      <w:numFmt w:val="bullet"/>
      <w:lvlText w:val=""/>
      <w:lvlJc w:val="left"/>
      <w:pPr>
        <w:tabs>
          <w:tab w:val="num" w:pos="4320"/>
        </w:tabs>
        <w:ind w:left="4320" w:hanging="360"/>
      </w:pPr>
      <w:rPr>
        <w:rFonts w:ascii="Wingdings" w:hAnsi="Wingdings" w:hint="default"/>
        <w:sz w:val="20"/>
      </w:rPr>
    </w:lvl>
    <w:lvl w:ilvl="6" w:tplc="9E442600">
      <w:start w:val="1"/>
      <w:numFmt w:val="bullet"/>
      <w:lvlText w:val=""/>
      <w:lvlJc w:val="left"/>
      <w:pPr>
        <w:tabs>
          <w:tab w:val="num" w:pos="5040"/>
        </w:tabs>
        <w:ind w:left="5040" w:hanging="360"/>
      </w:pPr>
      <w:rPr>
        <w:rFonts w:ascii="Wingdings" w:hAnsi="Wingdings" w:hint="default"/>
        <w:sz w:val="20"/>
      </w:rPr>
    </w:lvl>
    <w:lvl w:ilvl="7" w:tplc="54EE9CA4">
      <w:start w:val="1"/>
      <w:numFmt w:val="bullet"/>
      <w:lvlText w:val=""/>
      <w:lvlJc w:val="left"/>
      <w:pPr>
        <w:tabs>
          <w:tab w:val="num" w:pos="5760"/>
        </w:tabs>
        <w:ind w:left="5760" w:hanging="360"/>
      </w:pPr>
      <w:rPr>
        <w:rFonts w:ascii="Wingdings" w:hAnsi="Wingdings" w:hint="default"/>
        <w:sz w:val="20"/>
      </w:rPr>
    </w:lvl>
    <w:lvl w:ilvl="8" w:tplc="BED8F29A">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F0067"/>
    <w:multiLevelType w:val="hybridMultilevel"/>
    <w:tmpl w:val="25D0EBEA"/>
    <w:lvl w:ilvl="0" w:tplc="1AB60B4E">
      <w:start w:val="1"/>
      <w:numFmt w:val="bullet"/>
      <w:lvlText w:val=""/>
      <w:lvlJc w:val="left"/>
      <w:pPr>
        <w:tabs>
          <w:tab w:val="num" w:pos="720"/>
        </w:tabs>
        <w:ind w:left="720" w:hanging="360"/>
      </w:pPr>
      <w:rPr>
        <w:rFonts w:ascii="Symbol" w:hAnsi="Symbol" w:hint="default"/>
        <w:sz w:val="20"/>
      </w:rPr>
    </w:lvl>
    <w:lvl w:ilvl="1" w:tplc="EFCAD4AE">
      <w:start w:val="1"/>
      <w:numFmt w:val="bullet"/>
      <w:lvlText w:val="o"/>
      <w:lvlJc w:val="left"/>
      <w:pPr>
        <w:tabs>
          <w:tab w:val="num" w:pos="1440"/>
        </w:tabs>
        <w:ind w:left="1440" w:hanging="360"/>
      </w:pPr>
      <w:rPr>
        <w:rFonts w:ascii="Courier New" w:hAnsi="Courier New" w:hint="default"/>
        <w:sz w:val="20"/>
      </w:rPr>
    </w:lvl>
    <w:lvl w:ilvl="2" w:tplc="C25024CE">
      <w:start w:val="1"/>
      <w:numFmt w:val="bullet"/>
      <w:lvlText w:val=""/>
      <w:lvlJc w:val="left"/>
      <w:pPr>
        <w:tabs>
          <w:tab w:val="num" w:pos="2160"/>
        </w:tabs>
        <w:ind w:left="2160" w:hanging="360"/>
      </w:pPr>
      <w:rPr>
        <w:rFonts w:ascii="Wingdings" w:hAnsi="Wingdings" w:hint="default"/>
        <w:sz w:val="20"/>
      </w:rPr>
    </w:lvl>
    <w:lvl w:ilvl="3" w:tplc="6F2C822C">
      <w:start w:val="1"/>
      <w:numFmt w:val="bullet"/>
      <w:lvlText w:val=""/>
      <w:lvlJc w:val="left"/>
      <w:pPr>
        <w:tabs>
          <w:tab w:val="num" w:pos="2880"/>
        </w:tabs>
        <w:ind w:left="2880" w:hanging="360"/>
      </w:pPr>
      <w:rPr>
        <w:rFonts w:ascii="Wingdings" w:hAnsi="Wingdings" w:hint="default"/>
        <w:sz w:val="20"/>
      </w:rPr>
    </w:lvl>
    <w:lvl w:ilvl="4" w:tplc="535681A4">
      <w:start w:val="1"/>
      <w:numFmt w:val="bullet"/>
      <w:lvlText w:val=""/>
      <w:lvlJc w:val="left"/>
      <w:pPr>
        <w:tabs>
          <w:tab w:val="num" w:pos="3600"/>
        </w:tabs>
        <w:ind w:left="3600" w:hanging="360"/>
      </w:pPr>
      <w:rPr>
        <w:rFonts w:ascii="Wingdings" w:hAnsi="Wingdings" w:hint="default"/>
        <w:sz w:val="20"/>
      </w:rPr>
    </w:lvl>
    <w:lvl w:ilvl="5" w:tplc="0EC8938E">
      <w:start w:val="1"/>
      <w:numFmt w:val="bullet"/>
      <w:lvlText w:val=""/>
      <w:lvlJc w:val="left"/>
      <w:pPr>
        <w:tabs>
          <w:tab w:val="num" w:pos="4320"/>
        </w:tabs>
        <w:ind w:left="4320" w:hanging="360"/>
      </w:pPr>
      <w:rPr>
        <w:rFonts w:ascii="Wingdings" w:hAnsi="Wingdings" w:hint="default"/>
        <w:sz w:val="20"/>
      </w:rPr>
    </w:lvl>
    <w:lvl w:ilvl="6" w:tplc="1A988CF6">
      <w:start w:val="1"/>
      <w:numFmt w:val="bullet"/>
      <w:lvlText w:val=""/>
      <w:lvlJc w:val="left"/>
      <w:pPr>
        <w:tabs>
          <w:tab w:val="num" w:pos="5040"/>
        </w:tabs>
        <w:ind w:left="5040" w:hanging="360"/>
      </w:pPr>
      <w:rPr>
        <w:rFonts w:ascii="Wingdings" w:hAnsi="Wingdings" w:hint="default"/>
        <w:sz w:val="20"/>
      </w:rPr>
    </w:lvl>
    <w:lvl w:ilvl="7" w:tplc="4232D0D4">
      <w:start w:val="1"/>
      <w:numFmt w:val="bullet"/>
      <w:lvlText w:val=""/>
      <w:lvlJc w:val="left"/>
      <w:pPr>
        <w:tabs>
          <w:tab w:val="num" w:pos="5760"/>
        </w:tabs>
        <w:ind w:left="5760" w:hanging="360"/>
      </w:pPr>
      <w:rPr>
        <w:rFonts w:ascii="Wingdings" w:hAnsi="Wingdings" w:hint="default"/>
        <w:sz w:val="20"/>
      </w:rPr>
    </w:lvl>
    <w:lvl w:ilvl="8" w:tplc="FFCA6FCC">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E2FC0"/>
    <w:multiLevelType w:val="hybridMultilevel"/>
    <w:tmpl w:val="18B4F5DE"/>
    <w:lvl w:ilvl="0" w:tplc="CB0E943C">
      <w:start w:val="1"/>
      <w:numFmt w:val="bullet"/>
      <w:lvlText w:val=""/>
      <w:lvlJc w:val="left"/>
      <w:pPr>
        <w:tabs>
          <w:tab w:val="num" w:pos="720"/>
        </w:tabs>
        <w:ind w:left="720" w:hanging="360"/>
      </w:pPr>
      <w:rPr>
        <w:rFonts w:ascii="Symbol" w:hAnsi="Symbol" w:hint="default"/>
        <w:sz w:val="20"/>
      </w:rPr>
    </w:lvl>
    <w:lvl w:ilvl="1" w:tplc="62D4E7F2">
      <w:start w:val="1"/>
      <w:numFmt w:val="bullet"/>
      <w:lvlText w:val="-"/>
      <w:lvlJc w:val="left"/>
      <w:pPr>
        <w:ind w:left="1440" w:hanging="360"/>
      </w:pPr>
      <w:rPr>
        <w:rFonts w:ascii="Verdana" w:eastAsia="Times New Roman" w:hAnsi="Verdana" w:cs="Calibri" w:hint="default"/>
      </w:rPr>
    </w:lvl>
    <w:lvl w:ilvl="2" w:tplc="BF48A2EC">
      <w:start w:val="1"/>
      <w:numFmt w:val="bullet"/>
      <w:lvlText w:val=""/>
      <w:lvlJc w:val="left"/>
      <w:pPr>
        <w:tabs>
          <w:tab w:val="num" w:pos="2160"/>
        </w:tabs>
        <w:ind w:left="2160" w:hanging="360"/>
      </w:pPr>
      <w:rPr>
        <w:rFonts w:ascii="Wingdings" w:hAnsi="Wingdings" w:hint="default"/>
        <w:sz w:val="20"/>
      </w:rPr>
    </w:lvl>
    <w:lvl w:ilvl="3" w:tplc="B352CCFE">
      <w:start w:val="1"/>
      <w:numFmt w:val="bullet"/>
      <w:lvlText w:val=""/>
      <w:lvlJc w:val="left"/>
      <w:pPr>
        <w:tabs>
          <w:tab w:val="num" w:pos="2880"/>
        </w:tabs>
        <w:ind w:left="2880" w:hanging="360"/>
      </w:pPr>
      <w:rPr>
        <w:rFonts w:ascii="Wingdings" w:hAnsi="Wingdings" w:hint="default"/>
        <w:sz w:val="20"/>
      </w:rPr>
    </w:lvl>
    <w:lvl w:ilvl="4" w:tplc="E19A5EDE">
      <w:start w:val="1"/>
      <w:numFmt w:val="bullet"/>
      <w:lvlText w:val=""/>
      <w:lvlJc w:val="left"/>
      <w:pPr>
        <w:tabs>
          <w:tab w:val="num" w:pos="3600"/>
        </w:tabs>
        <w:ind w:left="3600" w:hanging="360"/>
      </w:pPr>
      <w:rPr>
        <w:rFonts w:ascii="Wingdings" w:hAnsi="Wingdings" w:hint="default"/>
        <w:sz w:val="20"/>
      </w:rPr>
    </w:lvl>
    <w:lvl w:ilvl="5" w:tplc="FB28BD14">
      <w:start w:val="1"/>
      <w:numFmt w:val="bullet"/>
      <w:lvlText w:val=""/>
      <w:lvlJc w:val="left"/>
      <w:pPr>
        <w:tabs>
          <w:tab w:val="num" w:pos="4320"/>
        </w:tabs>
        <w:ind w:left="4320" w:hanging="360"/>
      </w:pPr>
      <w:rPr>
        <w:rFonts w:ascii="Wingdings" w:hAnsi="Wingdings" w:hint="default"/>
        <w:sz w:val="20"/>
      </w:rPr>
    </w:lvl>
    <w:lvl w:ilvl="6" w:tplc="487407B6">
      <w:start w:val="1"/>
      <w:numFmt w:val="bullet"/>
      <w:lvlText w:val=""/>
      <w:lvlJc w:val="left"/>
      <w:pPr>
        <w:tabs>
          <w:tab w:val="num" w:pos="5040"/>
        </w:tabs>
        <w:ind w:left="5040" w:hanging="360"/>
      </w:pPr>
      <w:rPr>
        <w:rFonts w:ascii="Wingdings" w:hAnsi="Wingdings" w:hint="default"/>
        <w:sz w:val="20"/>
      </w:rPr>
    </w:lvl>
    <w:lvl w:ilvl="7" w:tplc="17B03ADA">
      <w:start w:val="1"/>
      <w:numFmt w:val="bullet"/>
      <w:lvlText w:val=""/>
      <w:lvlJc w:val="left"/>
      <w:pPr>
        <w:tabs>
          <w:tab w:val="num" w:pos="5760"/>
        </w:tabs>
        <w:ind w:left="5760" w:hanging="360"/>
      </w:pPr>
      <w:rPr>
        <w:rFonts w:ascii="Wingdings" w:hAnsi="Wingdings" w:hint="default"/>
        <w:sz w:val="20"/>
      </w:rPr>
    </w:lvl>
    <w:lvl w:ilvl="8" w:tplc="30FEFB1E">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6451F"/>
    <w:multiLevelType w:val="hybridMultilevel"/>
    <w:tmpl w:val="FB08E346"/>
    <w:lvl w:ilvl="0" w:tplc="AB8A3AA2">
      <w:start w:val="1"/>
      <w:numFmt w:val="bullet"/>
      <w:lvlText w:val=""/>
      <w:lvlJc w:val="left"/>
      <w:pPr>
        <w:ind w:left="720" w:hanging="360"/>
      </w:pPr>
      <w:rPr>
        <w:rFonts w:ascii="Symbol" w:hAnsi="Symbol" w:hint="default"/>
      </w:rPr>
    </w:lvl>
    <w:lvl w:ilvl="1" w:tplc="C8F63078">
      <w:start w:val="1"/>
      <w:numFmt w:val="bullet"/>
      <w:lvlText w:val="o"/>
      <w:lvlJc w:val="left"/>
      <w:pPr>
        <w:ind w:left="1440" w:hanging="360"/>
      </w:pPr>
      <w:rPr>
        <w:rFonts w:ascii="Courier New" w:hAnsi="Courier New" w:cs="Courier New" w:hint="default"/>
      </w:rPr>
    </w:lvl>
    <w:lvl w:ilvl="2" w:tplc="BBD211F0">
      <w:start w:val="1"/>
      <w:numFmt w:val="bullet"/>
      <w:lvlText w:val=""/>
      <w:lvlJc w:val="left"/>
      <w:pPr>
        <w:ind w:left="2160" w:hanging="360"/>
      </w:pPr>
      <w:rPr>
        <w:rFonts w:ascii="Wingdings" w:hAnsi="Wingdings" w:hint="default"/>
      </w:rPr>
    </w:lvl>
    <w:lvl w:ilvl="3" w:tplc="9E62B9A0">
      <w:start w:val="1"/>
      <w:numFmt w:val="bullet"/>
      <w:lvlText w:val=""/>
      <w:lvlJc w:val="left"/>
      <w:pPr>
        <w:ind w:left="2880" w:hanging="360"/>
      </w:pPr>
      <w:rPr>
        <w:rFonts w:ascii="Symbol" w:hAnsi="Symbol" w:hint="default"/>
      </w:rPr>
    </w:lvl>
    <w:lvl w:ilvl="4" w:tplc="9DFC55A6">
      <w:start w:val="1"/>
      <w:numFmt w:val="bullet"/>
      <w:lvlText w:val="o"/>
      <w:lvlJc w:val="left"/>
      <w:pPr>
        <w:ind w:left="3600" w:hanging="360"/>
      </w:pPr>
      <w:rPr>
        <w:rFonts w:ascii="Courier New" w:hAnsi="Courier New" w:cs="Courier New" w:hint="default"/>
      </w:rPr>
    </w:lvl>
    <w:lvl w:ilvl="5" w:tplc="1EE493AC">
      <w:start w:val="1"/>
      <w:numFmt w:val="bullet"/>
      <w:lvlText w:val=""/>
      <w:lvlJc w:val="left"/>
      <w:pPr>
        <w:ind w:left="4320" w:hanging="360"/>
      </w:pPr>
      <w:rPr>
        <w:rFonts w:ascii="Wingdings" w:hAnsi="Wingdings" w:hint="default"/>
      </w:rPr>
    </w:lvl>
    <w:lvl w:ilvl="6" w:tplc="902A2A32">
      <w:start w:val="1"/>
      <w:numFmt w:val="bullet"/>
      <w:lvlText w:val=""/>
      <w:lvlJc w:val="left"/>
      <w:pPr>
        <w:ind w:left="5040" w:hanging="360"/>
      </w:pPr>
      <w:rPr>
        <w:rFonts w:ascii="Symbol" w:hAnsi="Symbol" w:hint="default"/>
      </w:rPr>
    </w:lvl>
    <w:lvl w:ilvl="7" w:tplc="2CBEEBEA">
      <w:start w:val="1"/>
      <w:numFmt w:val="bullet"/>
      <w:lvlText w:val="o"/>
      <w:lvlJc w:val="left"/>
      <w:pPr>
        <w:ind w:left="5760" w:hanging="360"/>
      </w:pPr>
      <w:rPr>
        <w:rFonts w:ascii="Courier New" w:hAnsi="Courier New" w:cs="Courier New" w:hint="default"/>
      </w:rPr>
    </w:lvl>
    <w:lvl w:ilvl="8" w:tplc="FF7A8E9C">
      <w:start w:val="1"/>
      <w:numFmt w:val="bullet"/>
      <w:lvlText w:val=""/>
      <w:lvlJc w:val="left"/>
      <w:pPr>
        <w:ind w:left="6480" w:hanging="360"/>
      </w:pPr>
      <w:rPr>
        <w:rFonts w:ascii="Wingdings" w:hAnsi="Wingdings" w:hint="default"/>
      </w:rPr>
    </w:lvl>
  </w:abstractNum>
  <w:abstractNum w:abstractNumId="11" w15:restartNumberingAfterBreak="0">
    <w:nsid w:val="68281C4F"/>
    <w:multiLevelType w:val="hybridMultilevel"/>
    <w:tmpl w:val="8FE854FC"/>
    <w:lvl w:ilvl="0" w:tplc="A44C92EE">
      <w:start w:val="1"/>
      <w:numFmt w:val="bullet"/>
      <w:lvlText w:val=""/>
      <w:lvlJc w:val="left"/>
      <w:pPr>
        <w:tabs>
          <w:tab w:val="num" w:pos="720"/>
        </w:tabs>
        <w:ind w:left="720" w:hanging="360"/>
      </w:pPr>
      <w:rPr>
        <w:rFonts w:ascii="Symbol" w:hAnsi="Symbol" w:hint="default"/>
        <w:sz w:val="20"/>
      </w:rPr>
    </w:lvl>
    <w:lvl w:ilvl="1" w:tplc="5AB8BBBA">
      <w:start w:val="1"/>
      <w:numFmt w:val="bullet"/>
      <w:lvlText w:val="o"/>
      <w:lvlJc w:val="left"/>
      <w:pPr>
        <w:tabs>
          <w:tab w:val="num" w:pos="1440"/>
        </w:tabs>
        <w:ind w:left="1440" w:hanging="360"/>
      </w:pPr>
      <w:rPr>
        <w:rFonts w:ascii="Courier New" w:hAnsi="Courier New" w:hint="default"/>
        <w:sz w:val="20"/>
      </w:rPr>
    </w:lvl>
    <w:lvl w:ilvl="2" w:tplc="5C42E150">
      <w:start w:val="1"/>
      <w:numFmt w:val="bullet"/>
      <w:lvlText w:val=""/>
      <w:lvlJc w:val="left"/>
      <w:pPr>
        <w:tabs>
          <w:tab w:val="num" w:pos="2160"/>
        </w:tabs>
        <w:ind w:left="2160" w:hanging="360"/>
      </w:pPr>
      <w:rPr>
        <w:rFonts w:ascii="Wingdings" w:hAnsi="Wingdings" w:hint="default"/>
        <w:sz w:val="20"/>
      </w:rPr>
    </w:lvl>
    <w:lvl w:ilvl="3" w:tplc="67385306">
      <w:start w:val="1"/>
      <w:numFmt w:val="bullet"/>
      <w:lvlText w:val=""/>
      <w:lvlJc w:val="left"/>
      <w:pPr>
        <w:tabs>
          <w:tab w:val="num" w:pos="2880"/>
        </w:tabs>
        <w:ind w:left="2880" w:hanging="360"/>
      </w:pPr>
      <w:rPr>
        <w:rFonts w:ascii="Wingdings" w:hAnsi="Wingdings" w:hint="default"/>
        <w:sz w:val="20"/>
      </w:rPr>
    </w:lvl>
    <w:lvl w:ilvl="4" w:tplc="A7028CA4">
      <w:start w:val="1"/>
      <w:numFmt w:val="bullet"/>
      <w:lvlText w:val=""/>
      <w:lvlJc w:val="left"/>
      <w:pPr>
        <w:tabs>
          <w:tab w:val="num" w:pos="3600"/>
        </w:tabs>
        <w:ind w:left="3600" w:hanging="360"/>
      </w:pPr>
      <w:rPr>
        <w:rFonts w:ascii="Wingdings" w:hAnsi="Wingdings" w:hint="default"/>
        <w:sz w:val="20"/>
      </w:rPr>
    </w:lvl>
    <w:lvl w:ilvl="5" w:tplc="E11C8C96">
      <w:start w:val="1"/>
      <w:numFmt w:val="bullet"/>
      <w:lvlText w:val=""/>
      <w:lvlJc w:val="left"/>
      <w:pPr>
        <w:tabs>
          <w:tab w:val="num" w:pos="4320"/>
        </w:tabs>
        <w:ind w:left="4320" w:hanging="360"/>
      </w:pPr>
      <w:rPr>
        <w:rFonts w:ascii="Wingdings" w:hAnsi="Wingdings" w:hint="default"/>
        <w:sz w:val="20"/>
      </w:rPr>
    </w:lvl>
    <w:lvl w:ilvl="6" w:tplc="DAA238B2">
      <w:start w:val="1"/>
      <w:numFmt w:val="bullet"/>
      <w:lvlText w:val=""/>
      <w:lvlJc w:val="left"/>
      <w:pPr>
        <w:tabs>
          <w:tab w:val="num" w:pos="5040"/>
        </w:tabs>
        <w:ind w:left="5040" w:hanging="360"/>
      </w:pPr>
      <w:rPr>
        <w:rFonts w:ascii="Wingdings" w:hAnsi="Wingdings" w:hint="default"/>
        <w:sz w:val="20"/>
      </w:rPr>
    </w:lvl>
    <w:lvl w:ilvl="7" w:tplc="64BACB2C">
      <w:start w:val="1"/>
      <w:numFmt w:val="bullet"/>
      <w:lvlText w:val=""/>
      <w:lvlJc w:val="left"/>
      <w:pPr>
        <w:tabs>
          <w:tab w:val="num" w:pos="5760"/>
        </w:tabs>
        <w:ind w:left="5760" w:hanging="360"/>
      </w:pPr>
      <w:rPr>
        <w:rFonts w:ascii="Wingdings" w:hAnsi="Wingdings" w:hint="default"/>
        <w:sz w:val="20"/>
      </w:rPr>
    </w:lvl>
    <w:lvl w:ilvl="8" w:tplc="07BACB6E">
      <w:start w:val="1"/>
      <w:numFmt w:val="bullet"/>
      <w:lvlText w:val=""/>
      <w:lvlJc w:val="left"/>
      <w:pPr>
        <w:tabs>
          <w:tab w:val="num" w:pos="6480"/>
        </w:tabs>
        <w:ind w:left="6480" w:hanging="360"/>
      </w:pPr>
      <w:rPr>
        <w:rFonts w:ascii="Wingdings" w:hAnsi="Wingdings" w:hint="default"/>
        <w:sz w:val="20"/>
      </w:rPr>
    </w:lvl>
  </w:abstractNum>
  <w:num w:numId="1" w16cid:durableId="1132745893">
    <w:abstractNumId w:val="7"/>
  </w:num>
  <w:num w:numId="2" w16cid:durableId="661007702">
    <w:abstractNumId w:val="11"/>
  </w:num>
  <w:num w:numId="3" w16cid:durableId="591547086">
    <w:abstractNumId w:val="5"/>
  </w:num>
  <w:num w:numId="4" w16cid:durableId="1887331464">
    <w:abstractNumId w:val="9"/>
  </w:num>
  <w:num w:numId="5" w16cid:durableId="84694064">
    <w:abstractNumId w:val="8"/>
  </w:num>
  <w:num w:numId="6" w16cid:durableId="260334040">
    <w:abstractNumId w:val="3"/>
  </w:num>
  <w:num w:numId="7" w16cid:durableId="684406719">
    <w:abstractNumId w:val="6"/>
  </w:num>
  <w:num w:numId="8" w16cid:durableId="1888369503">
    <w:abstractNumId w:val="2"/>
  </w:num>
  <w:num w:numId="9" w16cid:durableId="1493714965">
    <w:abstractNumId w:val="1"/>
  </w:num>
  <w:num w:numId="10" w16cid:durableId="754866423">
    <w:abstractNumId w:val="4"/>
  </w:num>
  <w:num w:numId="11" w16cid:durableId="613438476">
    <w:abstractNumId w:val="10"/>
  </w:num>
  <w:num w:numId="12" w16cid:durableId="201537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C"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55"/>
    <w:rsid w:val="00021EC6"/>
    <w:rsid w:val="00057009"/>
    <w:rsid w:val="000F28BA"/>
    <w:rsid w:val="001858B6"/>
    <w:rsid w:val="001A4430"/>
    <w:rsid w:val="002541AC"/>
    <w:rsid w:val="00276C01"/>
    <w:rsid w:val="002C4F0C"/>
    <w:rsid w:val="00304B6D"/>
    <w:rsid w:val="00323722"/>
    <w:rsid w:val="00433A5C"/>
    <w:rsid w:val="00455968"/>
    <w:rsid w:val="00467E06"/>
    <w:rsid w:val="004C0434"/>
    <w:rsid w:val="004E3C82"/>
    <w:rsid w:val="0050539C"/>
    <w:rsid w:val="005F5D53"/>
    <w:rsid w:val="00706BDF"/>
    <w:rsid w:val="00707366"/>
    <w:rsid w:val="00712927"/>
    <w:rsid w:val="007A1BCA"/>
    <w:rsid w:val="007A5EA1"/>
    <w:rsid w:val="007D5373"/>
    <w:rsid w:val="00894281"/>
    <w:rsid w:val="00A502CA"/>
    <w:rsid w:val="00AF36D9"/>
    <w:rsid w:val="00D412DD"/>
    <w:rsid w:val="00DA6F8A"/>
    <w:rsid w:val="00DF53E9"/>
    <w:rsid w:val="00FA3E63"/>
    <w:rsid w:val="00FB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D447D"/>
  <w15:docId w15:val="{08B6F9A9-E3A7-4F49-8846-2AC7E919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pPr>
      <w:spacing w:after="0" w:line="240" w:lineRule="auto"/>
    </w:pPr>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rPr>
      <w:sz w:val="24"/>
      <w:szCs w:val="24"/>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paragraph" w:styleId="Encabezado">
    <w:name w:val="header"/>
    <w:basedOn w:val="Normal"/>
    <w:link w:val="EncabezadoCar"/>
    <w:uiPriority w:val="99"/>
    <w:unhideWhenUsed/>
    <w:pPr>
      <w:tabs>
        <w:tab w:val="center" w:pos="7143"/>
        <w:tab w:val="right" w:pos="14287"/>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7143"/>
        <w:tab w:val="right" w:pos="14287"/>
      </w:tabs>
      <w:spacing w:after="0" w:line="240" w:lineRule="auto"/>
    </w:pPr>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epginaCar">
    <w:name w:val="Pie de página Car"/>
    <w:link w:val="Piedepgina"/>
    <w:uiPriority w:val="99"/>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s-EC" w:eastAsia="es-EC"/>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s-EC" w:eastAsia="es-EC"/>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s-EC" w:eastAsia="es-EC"/>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s-EC" w:eastAsia="es-EC"/>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s-EC" w:eastAsia="es-EC"/>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s-EC" w:eastAsia="es-EC"/>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s-EC" w:eastAsia="es-EC"/>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s-EC" w:eastAsia="es-EC"/>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s-EC" w:eastAsia="es-EC"/>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s-EC" w:eastAsia="es-EC"/>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s-EC" w:eastAsia="es-EC"/>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s-EC" w:eastAsia="es-EC"/>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s-EC" w:eastAsia="es-EC"/>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s-EC" w:eastAsia="es-EC"/>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pPr>
      <w:spacing w:after="0"/>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s-ES"/>
      <w14:ligatures w14:val="none"/>
    </w:rP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ind w:left="720"/>
      <w:contextualSpacing/>
    </w:p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3518D-CEE5-4AA3-BA9E-3A2037BC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3689</Words>
  <Characters>20293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odalys anael ledesma sanchez</cp:lastModifiedBy>
  <cp:revision>4</cp:revision>
  <dcterms:created xsi:type="dcterms:W3CDTF">2023-11-22T00:25:00Z</dcterms:created>
  <dcterms:modified xsi:type="dcterms:W3CDTF">2023-11-30T23:19:00Z</dcterms:modified>
</cp:coreProperties>
</file>